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4C3" w:rsidRDefault="00D66BBC" w:rsidP="00D7132C">
      <w:pPr>
        <w:spacing w:line="480" w:lineRule="auto"/>
        <w:rPr>
          <w:sz w:val="24"/>
          <w:szCs w:val="24"/>
        </w:rPr>
      </w:pPr>
      <w:bookmarkStart w:id="0" w:name="_GoBack"/>
      <w:bookmarkEnd w:id="0"/>
      <w:r>
        <w:rPr>
          <w:sz w:val="24"/>
          <w:szCs w:val="24"/>
        </w:rPr>
        <w:t xml:space="preserve">Ignoring </w:t>
      </w:r>
      <w:r w:rsidR="00D7132C">
        <w:rPr>
          <w:sz w:val="24"/>
          <w:szCs w:val="24"/>
        </w:rPr>
        <w:t xml:space="preserve">the </w:t>
      </w:r>
      <w:r>
        <w:rPr>
          <w:sz w:val="24"/>
          <w:szCs w:val="24"/>
        </w:rPr>
        <w:t xml:space="preserve">spatial </w:t>
      </w:r>
      <w:r w:rsidR="00D7132C">
        <w:rPr>
          <w:sz w:val="24"/>
          <w:szCs w:val="24"/>
        </w:rPr>
        <w:t xml:space="preserve">structure of </w:t>
      </w:r>
      <w:r w:rsidR="004B4B35">
        <w:rPr>
          <w:sz w:val="24"/>
          <w:szCs w:val="24"/>
        </w:rPr>
        <w:t xml:space="preserve">the </w:t>
      </w:r>
      <w:r w:rsidR="00D7132C">
        <w:rPr>
          <w:sz w:val="24"/>
          <w:szCs w:val="24"/>
        </w:rPr>
        <w:t>sea cucumber</w:t>
      </w:r>
      <w:r w:rsidR="004B4B35">
        <w:rPr>
          <w:sz w:val="24"/>
          <w:szCs w:val="24"/>
        </w:rPr>
        <w:t xml:space="preserve"> </w:t>
      </w:r>
      <w:proofErr w:type="spellStart"/>
      <w:r w:rsidR="004B4B35">
        <w:rPr>
          <w:i/>
          <w:sz w:val="24"/>
          <w:szCs w:val="24"/>
        </w:rPr>
        <w:t>Isostichopus</w:t>
      </w:r>
      <w:proofErr w:type="spellEnd"/>
      <w:r w:rsidR="004B4B35">
        <w:rPr>
          <w:i/>
          <w:sz w:val="24"/>
          <w:szCs w:val="24"/>
        </w:rPr>
        <w:t xml:space="preserve"> </w:t>
      </w:r>
      <w:proofErr w:type="spellStart"/>
      <w:r w:rsidR="004B4B35">
        <w:rPr>
          <w:i/>
          <w:sz w:val="24"/>
          <w:szCs w:val="24"/>
        </w:rPr>
        <w:t>fuscus</w:t>
      </w:r>
      <w:proofErr w:type="spellEnd"/>
      <w:r w:rsidR="00946066">
        <w:rPr>
          <w:sz w:val="24"/>
          <w:szCs w:val="24"/>
        </w:rPr>
        <w:t xml:space="preserve"> distribution </w:t>
      </w:r>
      <w:r>
        <w:rPr>
          <w:sz w:val="24"/>
          <w:szCs w:val="24"/>
        </w:rPr>
        <w:t>when granting quotas can be costly</w:t>
      </w:r>
    </w:p>
    <w:p w:rsidR="001E64C3" w:rsidRPr="004B4B35" w:rsidRDefault="00D66BBC">
      <w:pPr>
        <w:spacing w:line="480" w:lineRule="auto"/>
        <w:rPr>
          <w:sz w:val="24"/>
          <w:szCs w:val="24"/>
          <w:lang w:val="es-ES"/>
        </w:rPr>
      </w:pPr>
      <w:r w:rsidRPr="004B4B35">
        <w:rPr>
          <w:sz w:val="24"/>
          <w:szCs w:val="24"/>
          <w:lang w:val="es-ES"/>
        </w:rPr>
        <w:t>Luis E. Calderon-Aguilera</w:t>
      </w:r>
      <w:r w:rsidR="00EE3852" w:rsidRPr="004B4B35">
        <w:rPr>
          <w:sz w:val="24"/>
          <w:szCs w:val="24"/>
          <w:vertAlign w:val="superscript"/>
          <w:lang w:val="es-ES"/>
        </w:rPr>
        <w:t>1*</w:t>
      </w:r>
      <w:r w:rsidRPr="004B4B35">
        <w:rPr>
          <w:sz w:val="24"/>
          <w:szCs w:val="24"/>
          <w:lang w:val="es-ES"/>
        </w:rPr>
        <w:t>, Laura J. Graham</w:t>
      </w:r>
      <w:r w:rsidR="00EE3852" w:rsidRPr="004B4B35">
        <w:rPr>
          <w:sz w:val="24"/>
          <w:szCs w:val="24"/>
          <w:vertAlign w:val="superscript"/>
          <w:lang w:val="es-ES"/>
        </w:rPr>
        <w:t>2</w:t>
      </w:r>
      <w:r w:rsidRPr="004B4B35">
        <w:rPr>
          <w:sz w:val="24"/>
          <w:szCs w:val="24"/>
          <w:lang w:val="es-ES"/>
        </w:rPr>
        <w:t xml:space="preserve">, </w:t>
      </w:r>
      <w:proofErr w:type="spellStart"/>
      <w:r w:rsidRPr="004B4B35">
        <w:rPr>
          <w:sz w:val="24"/>
          <w:szCs w:val="24"/>
          <w:lang w:val="es-ES"/>
        </w:rPr>
        <w:t>Felix</w:t>
      </w:r>
      <w:proofErr w:type="spellEnd"/>
      <w:r w:rsidRPr="004B4B35">
        <w:rPr>
          <w:sz w:val="24"/>
          <w:szCs w:val="24"/>
          <w:lang w:val="es-ES"/>
        </w:rPr>
        <w:t xml:space="preserve"> Eigenbrod</w:t>
      </w:r>
      <w:r w:rsidR="00EE3852" w:rsidRPr="004B4B35">
        <w:rPr>
          <w:sz w:val="24"/>
          <w:szCs w:val="24"/>
          <w:vertAlign w:val="superscript"/>
          <w:lang w:val="es-ES"/>
        </w:rPr>
        <w:t>2</w:t>
      </w:r>
    </w:p>
    <w:p w:rsidR="00FD70FB" w:rsidRPr="007A2E39" w:rsidRDefault="00FD70FB" w:rsidP="00FD70FB">
      <w:pPr>
        <w:spacing w:after="0" w:line="480" w:lineRule="auto"/>
        <w:rPr>
          <w:sz w:val="24"/>
          <w:szCs w:val="24"/>
          <w:lang w:val="en-US"/>
        </w:rPr>
      </w:pPr>
      <w:r>
        <w:rPr>
          <w:sz w:val="24"/>
          <w:szCs w:val="24"/>
          <w:vertAlign w:val="superscript"/>
          <w:lang w:val="es-ES"/>
        </w:rPr>
        <w:t>1</w:t>
      </w:r>
      <w:r w:rsidRPr="009543EC">
        <w:rPr>
          <w:sz w:val="24"/>
          <w:szCs w:val="24"/>
          <w:lang w:val="es-ES"/>
        </w:rPr>
        <w:t xml:space="preserve">Centro de Investigación Científica y de Educación Superior de Ensenada, Baja California, México. </w:t>
      </w:r>
      <w:r w:rsidRPr="007A2E39">
        <w:rPr>
          <w:sz w:val="24"/>
          <w:szCs w:val="24"/>
          <w:lang w:val="en-US"/>
        </w:rPr>
        <w:t>*corresponding author leca@cicese.mx</w:t>
      </w:r>
    </w:p>
    <w:p w:rsidR="001E64C3" w:rsidRDefault="00EE3852">
      <w:pPr>
        <w:spacing w:line="480" w:lineRule="auto"/>
        <w:rPr>
          <w:sz w:val="24"/>
          <w:szCs w:val="24"/>
        </w:rPr>
      </w:pPr>
      <w:r w:rsidRPr="00EE3852">
        <w:rPr>
          <w:sz w:val="24"/>
          <w:szCs w:val="24"/>
          <w:vertAlign w:val="superscript"/>
        </w:rPr>
        <w:t>2</w:t>
      </w:r>
      <w:r w:rsidR="00D66BBC">
        <w:rPr>
          <w:sz w:val="24"/>
          <w:szCs w:val="24"/>
        </w:rPr>
        <w:t>Geography and Environment, University of Southampton, Highfield Campus, Southampton SO17 1BJ, United Kingdom</w:t>
      </w:r>
    </w:p>
    <w:p w:rsidR="001E64C3" w:rsidRPr="007A2E39" w:rsidRDefault="001E64C3">
      <w:pPr>
        <w:spacing w:line="480" w:lineRule="auto"/>
        <w:rPr>
          <w:sz w:val="24"/>
          <w:szCs w:val="24"/>
          <w:lang w:val="en-US"/>
        </w:rPr>
      </w:pPr>
    </w:p>
    <w:p w:rsidR="00250396" w:rsidRPr="007A2E39" w:rsidRDefault="00250396">
      <w:pPr>
        <w:spacing w:line="480" w:lineRule="auto"/>
        <w:rPr>
          <w:sz w:val="24"/>
          <w:szCs w:val="24"/>
          <w:lang w:val="es-MX"/>
        </w:rPr>
      </w:pPr>
      <w:r w:rsidRPr="007A2E39">
        <w:rPr>
          <w:sz w:val="24"/>
          <w:szCs w:val="24"/>
          <w:lang w:val="es-MX"/>
        </w:rPr>
        <w:t>Highlights</w:t>
      </w:r>
    </w:p>
    <w:p w:rsidR="0008302A" w:rsidRPr="00784566" w:rsidRDefault="0008302A" w:rsidP="0008302A">
      <w:pPr>
        <w:pStyle w:val="ListParagraph"/>
        <w:numPr>
          <w:ilvl w:val="0"/>
          <w:numId w:val="1"/>
        </w:numPr>
        <w:spacing w:after="160" w:line="256" w:lineRule="auto"/>
      </w:pPr>
      <w:r>
        <w:rPr>
          <w:sz w:val="24"/>
          <w:szCs w:val="24"/>
        </w:rPr>
        <w:t>Abundance estimation of sea cucumber using state-of-the-art modelling techniques</w:t>
      </w:r>
    </w:p>
    <w:p w:rsidR="0008302A" w:rsidRPr="00784566" w:rsidRDefault="0008302A" w:rsidP="0008302A">
      <w:pPr>
        <w:pStyle w:val="ListParagraph"/>
        <w:numPr>
          <w:ilvl w:val="0"/>
          <w:numId w:val="1"/>
        </w:numPr>
        <w:spacing w:after="160" w:line="256" w:lineRule="auto"/>
      </w:pPr>
      <w:r w:rsidRPr="00784566">
        <w:t>Analysis of the most intensive and longest sampling effort ever conducted in the region</w:t>
      </w:r>
    </w:p>
    <w:p w:rsidR="0008302A" w:rsidRPr="00784566" w:rsidRDefault="0008302A" w:rsidP="0008302A">
      <w:pPr>
        <w:pStyle w:val="ListParagraph"/>
        <w:numPr>
          <w:ilvl w:val="0"/>
          <w:numId w:val="1"/>
        </w:numPr>
        <w:spacing w:after="160" w:line="256" w:lineRule="auto"/>
      </w:pPr>
      <w:r w:rsidRPr="00784566">
        <w:t>Awareness that ignoring its spatial distribution can lead to overestimate abundance</w:t>
      </w:r>
    </w:p>
    <w:p w:rsidR="0008302A" w:rsidRPr="00784566" w:rsidRDefault="0008302A" w:rsidP="0008302A">
      <w:pPr>
        <w:pStyle w:val="ListParagraph"/>
        <w:numPr>
          <w:ilvl w:val="0"/>
          <w:numId w:val="1"/>
        </w:numPr>
      </w:pPr>
      <w:r w:rsidRPr="00784566">
        <w:t>Granting quotas on the basis of flawed estimations can lead to population decrease</w:t>
      </w:r>
    </w:p>
    <w:p w:rsidR="00250396" w:rsidRPr="007A2E39" w:rsidRDefault="00250396" w:rsidP="007A2E39">
      <w:pPr>
        <w:pStyle w:val="ListParagraph"/>
        <w:spacing w:line="480" w:lineRule="auto"/>
        <w:rPr>
          <w:sz w:val="24"/>
          <w:szCs w:val="24"/>
        </w:rPr>
      </w:pPr>
    </w:p>
    <w:p w:rsidR="001E64C3" w:rsidRDefault="00D66BBC">
      <w:pPr>
        <w:spacing w:line="480" w:lineRule="auto"/>
        <w:rPr>
          <w:sz w:val="24"/>
          <w:szCs w:val="24"/>
        </w:rPr>
      </w:pPr>
      <w:r>
        <w:rPr>
          <w:sz w:val="24"/>
          <w:szCs w:val="24"/>
        </w:rPr>
        <w:t>Abstract</w:t>
      </w:r>
    </w:p>
    <w:p w:rsidR="001E64C3" w:rsidRDefault="00545AB0" w:rsidP="000E333D">
      <w:pPr>
        <w:spacing w:line="480" w:lineRule="auto"/>
        <w:rPr>
          <w:sz w:val="24"/>
          <w:szCs w:val="24"/>
        </w:rPr>
      </w:pPr>
      <w:r>
        <w:rPr>
          <w:sz w:val="24"/>
          <w:szCs w:val="24"/>
        </w:rPr>
        <w:t>There is an increasing demand for</w:t>
      </w:r>
      <w:r w:rsidR="00D66BBC">
        <w:rPr>
          <w:sz w:val="24"/>
          <w:szCs w:val="24"/>
        </w:rPr>
        <w:t xml:space="preserve"> fisheries resources worldwide</w:t>
      </w:r>
      <w:r w:rsidR="00D7132C">
        <w:rPr>
          <w:sz w:val="24"/>
          <w:szCs w:val="24"/>
        </w:rPr>
        <w:t>.</w:t>
      </w:r>
      <w:r w:rsidR="00D66BBC">
        <w:rPr>
          <w:sz w:val="24"/>
          <w:szCs w:val="24"/>
        </w:rPr>
        <w:t xml:space="preserve"> </w:t>
      </w:r>
      <w:r w:rsidR="00D7132C">
        <w:rPr>
          <w:sz w:val="24"/>
          <w:szCs w:val="24"/>
        </w:rPr>
        <w:t>For example, t</w:t>
      </w:r>
      <w:r w:rsidR="00D66BBC">
        <w:rPr>
          <w:sz w:val="24"/>
          <w:szCs w:val="24"/>
        </w:rPr>
        <w:t xml:space="preserve">he Asian markets have traditionally consumed sea cucumber as a </w:t>
      </w:r>
      <w:r w:rsidR="00685B95">
        <w:rPr>
          <w:sz w:val="24"/>
          <w:szCs w:val="24"/>
        </w:rPr>
        <w:t xml:space="preserve">delicacy </w:t>
      </w:r>
      <w:r w:rsidR="00D66BBC">
        <w:rPr>
          <w:sz w:val="24"/>
          <w:szCs w:val="24"/>
        </w:rPr>
        <w:t xml:space="preserve">and their buoyant economies have promoted </w:t>
      </w:r>
      <w:r w:rsidR="000E333D">
        <w:rPr>
          <w:sz w:val="24"/>
          <w:szCs w:val="24"/>
        </w:rPr>
        <w:t xml:space="preserve">demand for it in recent years. </w:t>
      </w:r>
      <w:r w:rsidR="00D66BBC">
        <w:rPr>
          <w:sz w:val="24"/>
          <w:szCs w:val="24"/>
        </w:rPr>
        <w:t xml:space="preserve">The brown sea cucumber </w:t>
      </w:r>
      <w:proofErr w:type="spellStart"/>
      <w:r w:rsidR="00D66BBC">
        <w:rPr>
          <w:i/>
          <w:sz w:val="24"/>
          <w:szCs w:val="24"/>
        </w:rPr>
        <w:t>Isostichopus</w:t>
      </w:r>
      <w:proofErr w:type="spellEnd"/>
      <w:r w:rsidR="00D66BBC">
        <w:rPr>
          <w:i/>
          <w:sz w:val="24"/>
          <w:szCs w:val="24"/>
        </w:rPr>
        <w:t xml:space="preserve"> </w:t>
      </w:r>
      <w:proofErr w:type="spellStart"/>
      <w:r w:rsidR="00D66BBC">
        <w:rPr>
          <w:i/>
          <w:sz w:val="24"/>
          <w:szCs w:val="24"/>
        </w:rPr>
        <w:t>fuscus</w:t>
      </w:r>
      <w:proofErr w:type="spellEnd"/>
      <w:r w:rsidR="00D66BBC">
        <w:rPr>
          <w:sz w:val="24"/>
          <w:szCs w:val="24"/>
        </w:rPr>
        <w:t xml:space="preserve"> is the most valuable species from the Eastern Pacific and it has been almost depleted due to overfishing. In this work</w:t>
      </w:r>
      <w:r>
        <w:rPr>
          <w:sz w:val="24"/>
          <w:szCs w:val="24"/>
        </w:rPr>
        <w:t>,</w:t>
      </w:r>
      <w:r w:rsidR="00D66BBC">
        <w:rPr>
          <w:sz w:val="24"/>
          <w:szCs w:val="24"/>
        </w:rPr>
        <w:t xml:space="preserve"> we </w:t>
      </w:r>
      <w:proofErr w:type="spellStart"/>
      <w:r w:rsidR="00D66BBC">
        <w:rPr>
          <w:sz w:val="24"/>
          <w:szCs w:val="24"/>
        </w:rPr>
        <w:t>analyzed</w:t>
      </w:r>
      <w:proofErr w:type="spellEnd"/>
      <w:r w:rsidR="00D66BBC">
        <w:rPr>
          <w:sz w:val="24"/>
          <w:szCs w:val="24"/>
        </w:rPr>
        <w:t xml:space="preserve"> data of sea cucumber abundance collected monthly (October 2014 – December 2016) along the west coast of the Gulf of California (29.95 </w:t>
      </w:r>
      <w:proofErr w:type="spellStart"/>
      <w:r w:rsidR="00D66BBC">
        <w:rPr>
          <w:sz w:val="24"/>
          <w:szCs w:val="24"/>
          <w:vertAlign w:val="superscript"/>
        </w:rPr>
        <w:t>o</w:t>
      </w:r>
      <w:r w:rsidR="00D66BBC">
        <w:rPr>
          <w:sz w:val="24"/>
          <w:szCs w:val="24"/>
        </w:rPr>
        <w:t>N</w:t>
      </w:r>
      <w:proofErr w:type="spellEnd"/>
      <w:r w:rsidR="00D66BBC">
        <w:rPr>
          <w:sz w:val="24"/>
          <w:szCs w:val="24"/>
        </w:rPr>
        <w:t xml:space="preserve"> – 28.05 </w:t>
      </w:r>
      <w:proofErr w:type="spellStart"/>
      <w:r w:rsidR="00D66BBC">
        <w:rPr>
          <w:sz w:val="24"/>
          <w:szCs w:val="24"/>
          <w:vertAlign w:val="superscript"/>
        </w:rPr>
        <w:t>o</w:t>
      </w:r>
      <w:r w:rsidR="00D66BBC">
        <w:rPr>
          <w:sz w:val="24"/>
          <w:szCs w:val="24"/>
        </w:rPr>
        <w:t>N</w:t>
      </w:r>
      <w:proofErr w:type="spellEnd"/>
      <w:r w:rsidR="00D66BBC">
        <w:rPr>
          <w:sz w:val="24"/>
          <w:szCs w:val="24"/>
        </w:rPr>
        <w:t xml:space="preserve">) in 1,107 swath (25 x 2m) </w:t>
      </w:r>
      <w:r w:rsidR="00B61C1C">
        <w:rPr>
          <w:sz w:val="24"/>
          <w:szCs w:val="24"/>
        </w:rPr>
        <w:t>quadrats</w:t>
      </w:r>
      <w:r w:rsidR="00D66BBC">
        <w:rPr>
          <w:sz w:val="24"/>
          <w:szCs w:val="24"/>
        </w:rPr>
        <w:t xml:space="preserve"> performed at 118 sites</w:t>
      </w:r>
      <w:r w:rsidR="00D7132C">
        <w:rPr>
          <w:sz w:val="24"/>
          <w:szCs w:val="24"/>
        </w:rPr>
        <w:t xml:space="preserve"> with the goal of determining if current fishing quotas are sustainable. We</w:t>
      </w:r>
      <w:r w:rsidR="00D66BBC">
        <w:rPr>
          <w:sz w:val="24"/>
          <w:szCs w:val="24"/>
        </w:rPr>
        <w:t xml:space="preserve"> </w:t>
      </w:r>
      <w:r w:rsidR="00015F9A">
        <w:rPr>
          <w:sz w:val="24"/>
          <w:szCs w:val="24"/>
        </w:rPr>
        <w:t>applied</w:t>
      </w:r>
      <w:r w:rsidR="00802A44">
        <w:rPr>
          <w:sz w:val="24"/>
          <w:szCs w:val="24"/>
        </w:rPr>
        <w:t xml:space="preserve"> a </w:t>
      </w:r>
      <w:r w:rsidR="00802A44">
        <w:rPr>
          <w:sz w:val="24"/>
          <w:szCs w:val="24"/>
        </w:rPr>
        <w:lastRenderedPageBreak/>
        <w:t>Bayesian hierarchical modelling approach with integrated nested Laplace approximation</w:t>
      </w:r>
      <w:r w:rsidR="00925F5E">
        <w:rPr>
          <w:sz w:val="24"/>
          <w:szCs w:val="24"/>
        </w:rPr>
        <w:t xml:space="preserve"> (INLA)</w:t>
      </w:r>
      <w:r w:rsidR="00D7132C">
        <w:rPr>
          <w:sz w:val="24"/>
          <w:szCs w:val="24"/>
        </w:rPr>
        <w:t xml:space="preserve"> to this data to accou</w:t>
      </w:r>
      <w:r w:rsidR="004E2BDE">
        <w:rPr>
          <w:sz w:val="24"/>
          <w:szCs w:val="24"/>
        </w:rPr>
        <w:t>nt for spatial</w:t>
      </w:r>
      <w:r w:rsidR="00D7132C">
        <w:rPr>
          <w:sz w:val="24"/>
          <w:szCs w:val="24"/>
        </w:rPr>
        <w:t xml:space="preserve"> structure in the data when calculating densities</w:t>
      </w:r>
      <w:r w:rsidR="00802A44">
        <w:rPr>
          <w:sz w:val="24"/>
          <w:szCs w:val="24"/>
        </w:rPr>
        <w:t xml:space="preserve">. </w:t>
      </w:r>
      <w:r w:rsidR="00D66BBC">
        <w:rPr>
          <w:sz w:val="24"/>
          <w:szCs w:val="24"/>
        </w:rPr>
        <w:t xml:space="preserve">The </w:t>
      </w:r>
      <w:r w:rsidR="00685B95">
        <w:rPr>
          <w:sz w:val="24"/>
          <w:szCs w:val="24"/>
        </w:rPr>
        <w:t xml:space="preserve">observed </w:t>
      </w:r>
      <w:r w:rsidR="00D66BBC">
        <w:rPr>
          <w:sz w:val="24"/>
          <w:szCs w:val="24"/>
        </w:rPr>
        <w:t>density ranged from a minimum of 0 to a maximum of 0.58</w:t>
      </w:r>
      <w:r w:rsidR="00B61C1C">
        <w:rPr>
          <w:sz w:val="24"/>
          <w:szCs w:val="24"/>
        </w:rPr>
        <w:t xml:space="preserve"> </w:t>
      </w:r>
      <w:proofErr w:type="spellStart"/>
      <w:r w:rsidR="00B61C1C">
        <w:rPr>
          <w:sz w:val="24"/>
          <w:szCs w:val="24"/>
        </w:rPr>
        <w:t>ind</w:t>
      </w:r>
      <w:proofErr w:type="spellEnd"/>
      <w:r w:rsidR="00B61C1C">
        <w:rPr>
          <w:sz w:val="24"/>
          <w:szCs w:val="24"/>
        </w:rPr>
        <w:t>/</w:t>
      </w:r>
      <w:r w:rsidR="00D66BBC">
        <w:rPr>
          <w:sz w:val="24"/>
          <w:szCs w:val="24"/>
        </w:rPr>
        <w:t>m</w:t>
      </w:r>
      <w:r w:rsidR="00D66BBC">
        <w:rPr>
          <w:sz w:val="24"/>
          <w:szCs w:val="24"/>
          <w:vertAlign w:val="superscript"/>
        </w:rPr>
        <w:t>2</w:t>
      </w:r>
      <w:r w:rsidR="00D66BBC">
        <w:rPr>
          <w:sz w:val="24"/>
          <w:szCs w:val="24"/>
        </w:rPr>
        <w:t xml:space="preserve">, with an average of 0.03 </w:t>
      </w:r>
      <w:proofErr w:type="spellStart"/>
      <w:r w:rsidR="00B61C1C">
        <w:rPr>
          <w:sz w:val="24"/>
          <w:szCs w:val="24"/>
        </w:rPr>
        <w:t>ind</w:t>
      </w:r>
      <w:proofErr w:type="spellEnd"/>
      <w:r w:rsidR="00B61C1C">
        <w:rPr>
          <w:sz w:val="24"/>
          <w:szCs w:val="24"/>
        </w:rPr>
        <w:t>/</w:t>
      </w:r>
      <w:r w:rsidR="00D66BBC">
        <w:rPr>
          <w:sz w:val="24"/>
          <w:szCs w:val="24"/>
        </w:rPr>
        <w:t>m</w:t>
      </w:r>
      <w:r w:rsidR="00D66BBC">
        <w:rPr>
          <w:sz w:val="24"/>
          <w:szCs w:val="24"/>
          <w:vertAlign w:val="superscript"/>
        </w:rPr>
        <w:t>2</w:t>
      </w:r>
      <w:r w:rsidR="00D66BBC">
        <w:rPr>
          <w:sz w:val="24"/>
          <w:szCs w:val="24"/>
        </w:rPr>
        <w:t xml:space="preserve"> in suitable habitat, defined as the habitat less than 30 m deep and with hard substrate. There are large spatial variations </w:t>
      </w:r>
      <w:r w:rsidR="00685B95">
        <w:rPr>
          <w:sz w:val="24"/>
          <w:szCs w:val="24"/>
        </w:rPr>
        <w:t>in</w:t>
      </w:r>
      <w:r w:rsidR="00D66BBC">
        <w:rPr>
          <w:sz w:val="24"/>
          <w:szCs w:val="24"/>
        </w:rPr>
        <w:t xml:space="preserve"> abundance</w:t>
      </w:r>
      <w:r w:rsidR="00685B95">
        <w:rPr>
          <w:sz w:val="24"/>
          <w:szCs w:val="24"/>
        </w:rPr>
        <w:t>,</w:t>
      </w:r>
      <w:r w:rsidR="00D66BBC">
        <w:rPr>
          <w:sz w:val="24"/>
          <w:szCs w:val="24"/>
        </w:rPr>
        <w:t xml:space="preserve"> but the overall mean suitable habitat is 15.7% (min = 7.8</w:t>
      </w:r>
      <w:r w:rsidR="00802A44">
        <w:rPr>
          <w:sz w:val="24"/>
          <w:szCs w:val="24"/>
        </w:rPr>
        <w:t>%</w:t>
      </w:r>
      <w:r w:rsidR="00D66BBC">
        <w:rPr>
          <w:sz w:val="24"/>
          <w:szCs w:val="24"/>
        </w:rPr>
        <w:t xml:space="preserve">, max = 28.8%) of </w:t>
      </w:r>
      <w:r w:rsidR="00D7132C">
        <w:rPr>
          <w:sz w:val="24"/>
          <w:szCs w:val="24"/>
        </w:rPr>
        <w:t xml:space="preserve">the </w:t>
      </w:r>
      <w:r w:rsidR="00D66BBC">
        <w:rPr>
          <w:sz w:val="24"/>
          <w:szCs w:val="24"/>
        </w:rPr>
        <w:t xml:space="preserve">total fishing area. </w:t>
      </w:r>
      <w:r w:rsidR="0003358F">
        <w:rPr>
          <w:sz w:val="24"/>
          <w:szCs w:val="24"/>
        </w:rPr>
        <w:t xml:space="preserve">Current quotas are usually higher than 5% of the lower </w:t>
      </w:r>
      <w:r w:rsidR="00685B95">
        <w:rPr>
          <w:sz w:val="24"/>
          <w:szCs w:val="24"/>
        </w:rPr>
        <w:t xml:space="preserve">bounds of </w:t>
      </w:r>
      <w:r w:rsidR="0003358F">
        <w:rPr>
          <w:sz w:val="24"/>
          <w:szCs w:val="24"/>
        </w:rPr>
        <w:t>population density</w:t>
      </w:r>
      <w:r w:rsidR="00685B95">
        <w:rPr>
          <w:sz w:val="24"/>
          <w:szCs w:val="24"/>
        </w:rPr>
        <w:t xml:space="preserve"> estimates</w:t>
      </w:r>
      <w:r w:rsidR="0003358F">
        <w:rPr>
          <w:sz w:val="24"/>
          <w:szCs w:val="24"/>
        </w:rPr>
        <w:t xml:space="preserve">. </w:t>
      </w:r>
      <w:r w:rsidR="00D66BBC">
        <w:rPr>
          <w:sz w:val="24"/>
          <w:szCs w:val="24"/>
        </w:rPr>
        <w:t>We propose, among other management measures, that quotas should be granted taking into account the spatial structure of sea cucumber densit</w:t>
      </w:r>
      <w:r w:rsidR="007F55DF">
        <w:rPr>
          <w:sz w:val="24"/>
          <w:szCs w:val="24"/>
        </w:rPr>
        <w:t>ies</w:t>
      </w:r>
      <w:r w:rsidR="00D66BBC">
        <w:rPr>
          <w:sz w:val="24"/>
          <w:szCs w:val="24"/>
        </w:rPr>
        <w:t xml:space="preserve"> as well as the proportion of suitable area </w:t>
      </w:r>
      <w:r w:rsidR="007F55DF">
        <w:rPr>
          <w:sz w:val="24"/>
          <w:szCs w:val="24"/>
        </w:rPr>
        <w:t>within each</w:t>
      </w:r>
      <w:r w:rsidR="00D66BBC">
        <w:rPr>
          <w:sz w:val="24"/>
          <w:szCs w:val="24"/>
        </w:rPr>
        <w:t xml:space="preserve"> estate. </w:t>
      </w:r>
      <w:r w:rsidR="007F55DF">
        <w:rPr>
          <w:sz w:val="24"/>
          <w:szCs w:val="24"/>
        </w:rPr>
        <w:t xml:space="preserve">Given the high levels of illegal fishing within the Gulf of California, it is imperative that quotas are based on the lower </w:t>
      </w:r>
      <w:r w:rsidR="00685B95">
        <w:rPr>
          <w:sz w:val="24"/>
          <w:szCs w:val="24"/>
        </w:rPr>
        <w:t>bounds</w:t>
      </w:r>
      <w:r w:rsidR="007F55DF">
        <w:rPr>
          <w:sz w:val="24"/>
          <w:szCs w:val="24"/>
        </w:rPr>
        <w:t xml:space="preserve"> of spatially explicit density estimates – along with increased </w:t>
      </w:r>
      <w:r w:rsidR="00D66BBC">
        <w:rPr>
          <w:sz w:val="24"/>
          <w:szCs w:val="24"/>
        </w:rPr>
        <w:t>surveillance</w:t>
      </w:r>
      <w:r w:rsidR="007F55DF">
        <w:rPr>
          <w:sz w:val="24"/>
          <w:szCs w:val="24"/>
        </w:rPr>
        <w:t xml:space="preserve"> and</w:t>
      </w:r>
      <w:r w:rsidR="00D66BBC">
        <w:rPr>
          <w:sz w:val="24"/>
          <w:szCs w:val="24"/>
        </w:rPr>
        <w:t xml:space="preserve"> enforcement </w:t>
      </w:r>
      <w:r w:rsidR="007F55DF">
        <w:rPr>
          <w:sz w:val="24"/>
          <w:szCs w:val="24"/>
        </w:rPr>
        <w:t xml:space="preserve">– if the long-term commercial sustainability of the fishery is to be maintained. </w:t>
      </w:r>
    </w:p>
    <w:p w:rsidR="001E64C3" w:rsidRDefault="001E64C3">
      <w:pPr>
        <w:spacing w:line="480" w:lineRule="auto"/>
        <w:rPr>
          <w:sz w:val="24"/>
          <w:szCs w:val="24"/>
        </w:rPr>
      </w:pPr>
    </w:p>
    <w:p w:rsidR="001E64C3" w:rsidRDefault="00D66BBC" w:rsidP="00135577">
      <w:pPr>
        <w:pBdr>
          <w:top w:val="nil"/>
          <w:left w:val="nil"/>
          <w:bottom w:val="nil"/>
          <w:right w:val="nil"/>
          <w:between w:val="nil"/>
        </w:pBdr>
        <w:spacing w:after="120" w:line="480" w:lineRule="auto"/>
        <w:rPr>
          <w:color w:val="000000"/>
          <w:sz w:val="24"/>
          <w:szCs w:val="24"/>
        </w:rPr>
      </w:pPr>
      <w:r>
        <w:rPr>
          <w:color w:val="000000"/>
          <w:sz w:val="24"/>
          <w:szCs w:val="24"/>
        </w:rPr>
        <w:t xml:space="preserve">Keywords: </w:t>
      </w:r>
      <w:proofErr w:type="spellStart"/>
      <w:r w:rsidRPr="00E048BD">
        <w:rPr>
          <w:i/>
          <w:iCs/>
          <w:color w:val="000000"/>
          <w:sz w:val="24"/>
          <w:szCs w:val="24"/>
        </w:rPr>
        <w:t>beche</w:t>
      </w:r>
      <w:proofErr w:type="spellEnd"/>
      <w:r w:rsidRPr="00E048BD">
        <w:rPr>
          <w:i/>
          <w:iCs/>
          <w:color w:val="000000"/>
          <w:sz w:val="24"/>
          <w:szCs w:val="24"/>
        </w:rPr>
        <w:t>-de-</w:t>
      </w:r>
      <w:proofErr w:type="spellStart"/>
      <w:r w:rsidRPr="00E048BD">
        <w:rPr>
          <w:i/>
          <w:iCs/>
          <w:color w:val="000000"/>
          <w:sz w:val="24"/>
          <w:szCs w:val="24"/>
        </w:rPr>
        <w:t>mer</w:t>
      </w:r>
      <w:proofErr w:type="spellEnd"/>
      <w:r w:rsidR="00135577">
        <w:rPr>
          <w:color w:val="000000"/>
          <w:sz w:val="24"/>
          <w:szCs w:val="24"/>
        </w:rPr>
        <w:t>; spatial pattern;</w:t>
      </w:r>
      <w:r>
        <w:rPr>
          <w:color w:val="000000"/>
          <w:sz w:val="24"/>
          <w:szCs w:val="24"/>
        </w:rPr>
        <w:t xml:space="preserve"> marine protected area</w:t>
      </w:r>
      <w:r w:rsidR="00135577">
        <w:rPr>
          <w:color w:val="000000"/>
          <w:sz w:val="24"/>
          <w:szCs w:val="24"/>
        </w:rPr>
        <w:t>;</w:t>
      </w:r>
      <w:r>
        <w:rPr>
          <w:color w:val="000000"/>
          <w:sz w:val="24"/>
          <w:szCs w:val="24"/>
        </w:rPr>
        <w:t xml:space="preserve"> Gulf of California</w:t>
      </w:r>
      <w:r w:rsidR="00135577">
        <w:rPr>
          <w:color w:val="000000"/>
          <w:sz w:val="24"/>
          <w:szCs w:val="24"/>
        </w:rPr>
        <w:t>;</w:t>
      </w:r>
      <w:r>
        <w:rPr>
          <w:color w:val="000000"/>
          <w:sz w:val="24"/>
          <w:szCs w:val="24"/>
        </w:rPr>
        <w:t xml:space="preserve"> spatial modelling</w:t>
      </w:r>
      <w:r w:rsidR="00135577">
        <w:rPr>
          <w:color w:val="000000"/>
          <w:sz w:val="24"/>
          <w:szCs w:val="24"/>
        </w:rPr>
        <w:t>;</w:t>
      </w:r>
      <w:r w:rsidR="007F55DF">
        <w:rPr>
          <w:color w:val="000000"/>
          <w:sz w:val="24"/>
          <w:szCs w:val="24"/>
        </w:rPr>
        <w:t xml:space="preserve"> INLA</w:t>
      </w:r>
    </w:p>
    <w:p w:rsidR="001E64C3" w:rsidRDefault="001E64C3">
      <w:pPr>
        <w:pBdr>
          <w:top w:val="nil"/>
          <w:left w:val="nil"/>
          <w:bottom w:val="nil"/>
          <w:right w:val="nil"/>
          <w:between w:val="nil"/>
        </w:pBdr>
        <w:spacing w:after="120" w:line="480" w:lineRule="auto"/>
        <w:rPr>
          <w:color w:val="000000"/>
          <w:sz w:val="24"/>
          <w:szCs w:val="24"/>
        </w:rPr>
      </w:pPr>
    </w:p>
    <w:p w:rsidR="001E64C3" w:rsidRDefault="00D66BBC">
      <w:pPr>
        <w:rPr>
          <w:color w:val="000000"/>
          <w:sz w:val="24"/>
          <w:szCs w:val="24"/>
        </w:rPr>
      </w:pPr>
      <w:r>
        <w:br w:type="page"/>
      </w:r>
    </w:p>
    <w:p w:rsidR="001E64C3" w:rsidRDefault="00D66BBC">
      <w:pPr>
        <w:spacing w:line="480" w:lineRule="auto"/>
        <w:rPr>
          <w:sz w:val="24"/>
          <w:szCs w:val="24"/>
        </w:rPr>
      </w:pPr>
      <w:r>
        <w:rPr>
          <w:sz w:val="24"/>
          <w:szCs w:val="24"/>
        </w:rPr>
        <w:lastRenderedPageBreak/>
        <w:t>Introduction</w:t>
      </w:r>
    </w:p>
    <w:p w:rsidR="001E64C3" w:rsidRDefault="00D66BBC" w:rsidP="007F55DF">
      <w:pPr>
        <w:spacing w:line="480" w:lineRule="auto"/>
        <w:rPr>
          <w:sz w:val="24"/>
          <w:szCs w:val="24"/>
        </w:rPr>
      </w:pPr>
      <w:r>
        <w:rPr>
          <w:sz w:val="24"/>
          <w:szCs w:val="24"/>
        </w:rPr>
        <w:t>The traditional preference</w:t>
      </w:r>
      <w:r w:rsidR="007F55DF">
        <w:rPr>
          <w:sz w:val="24"/>
          <w:szCs w:val="24"/>
        </w:rPr>
        <w:t>s of Asian consumers</w:t>
      </w:r>
      <w:r>
        <w:rPr>
          <w:sz w:val="24"/>
          <w:szCs w:val="24"/>
        </w:rPr>
        <w:t xml:space="preserve"> as well as the buoyancy of </w:t>
      </w:r>
      <w:r w:rsidR="007F55DF">
        <w:rPr>
          <w:sz w:val="24"/>
          <w:szCs w:val="24"/>
        </w:rPr>
        <w:t>southeast Asian</w:t>
      </w:r>
      <w:r>
        <w:rPr>
          <w:sz w:val="24"/>
          <w:szCs w:val="24"/>
        </w:rPr>
        <w:t xml:space="preserve"> econom</w:t>
      </w:r>
      <w:r w:rsidR="007F55DF">
        <w:rPr>
          <w:sz w:val="24"/>
          <w:szCs w:val="24"/>
        </w:rPr>
        <w:t>ies</w:t>
      </w:r>
      <w:r>
        <w:rPr>
          <w:sz w:val="24"/>
          <w:szCs w:val="24"/>
        </w:rPr>
        <w:t xml:space="preserve"> has increased the pressure o</w:t>
      </w:r>
      <w:r w:rsidR="00595C61">
        <w:rPr>
          <w:sz w:val="24"/>
          <w:szCs w:val="24"/>
        </w:rPr>
        <w:t>n</w:t>
      </w:r>
      <w:r>
        <w:rPr>
          <w:sz w:val="24"/>
          <w:szCs w:val="24"/>
        </w:rPr>
        <w:t xml:space="preserve"> high-valued resources such as the sea cucumber and has led to overexploitation of more than 70 of these fisheries worldwide (Purcell et al.</w:t>
      </w:r>
      <w:r w:rsidR="00EE3852">
        <w:rPr>
          <w:sz w:val="24"/>
          <w:szCs w:val="24"/>
        </w:rPr>
        <w:t>,</w:t>
      </w:r>
      <w:r>
        <w:rPr>
          <w:sz w:val="24"/>
          <w:szCs w:val="24"/>
        </w:rPr>
        <w:t xml:space="preserve"> 2013). These echinoderms are a high-price commodity in the Asian market where </w:t>
      </w:r>
      <w:r w:rsidR="007F55DF">
        <w:rPr>
          <w:sz w:val="24"/>
          <w:szCs w:val="24"/>
        </w:rPr>
        <w:t xml:space="preserve">they </w:t>
      </w:r>
      <w:r>
        <w:rPr>
          <w:sz w:val="24"/>
          <w:szCs w:val="24"/>
        </w:rPr>
        <w:t xml:space="preserve">can reach prices </w:t>
      </w:r>
      <w:r w:rsidR="008659E3">
        <w:rPr>
          <w:sz w:val="24"/>
          <w:szCs w:val="24"/>
        </w:rPr>
        <w:t xml:space="preserve">of </w:t>
      </w:r>
      <w:r>
        <w:rPr>
          <w:sz w:val="24"/>
          <w:szCs w:val="24"/>
        </w:rPr>
        <w:t>up to US$1,030 per kilo of dried product (Purcell et al</w:t>
      </w:r>
      <w:r w:rsidR="00EE3852">
        <w:rPr>
          <w:sz w:val="24"/>
          <w:szCs w:val="24"/>
        </w:rPr>
        <w:t>.</w:t>
      </w:r>
      <w:r>
        <w:rPr>
          <w:sz w:val="24"/>
          <w:szCs w:val="24"/>
        </w:rPr>
        <w:t xml:space="preserve">, 2014), known as trepang or </w:t>
      </w:r>
      <w:proofErr w:type="spellStart"/>
      <w:r>
        <w:rPr>
          <w:i/>
          <w:sz w:val="24"/>
          <w:szCs w:val="24"/>
        </w:rPr>
        <w:t>beche</w:t>
      </w:r>
      <w:proofErr w:type="spellEnd"/>
      <w:r>
        <w:rPr>
          <w:i/>
          <w:sz w:val="24"/>
          <w:szCs w:val="24"/>
        </w:rPr>
        <w:t xml:space="preserve"> de mer</w:t>
      </w:r>
      <w:r>
        <w:rPr>
          <w:sz w:val="24"/>
          <w:szCs w:val="24"/>
        </w:rPr>
        <w:t>. The main markets are Hong Kong, Singapore and Taiwan (</w:t>
      </w:r>
      <w:proofErr w:type="spellStart"/>
      <w:r>
        <w:rPr>
          <w:sz w:val="24"/>
          <w:szCs w:val="24"/>
        </w:rPr>
        <w:t>Conand</w:t>
      </w:r>
      <w:proofErr w:type="spellEnd"/>
      <w:r w:rsidR="00EE3852">
        <w:rPr>
          <w:sz w:val="24"/>
          <w:szCs w:val="24"/>
        </w:rPr>
        <w:t>, 2017</w:t>
      </w:r>
      <w:r w:rsidR="00A41134">
        <w:rPr>
          <w:sz w:val="24"/>
          <w:szCs w:val="24"/>
        </w:rPr>
        <w:t>;</w:t>
      </w:r>
      <w:r w:rsidR="004B2481">
        <w:rPr>
          <w:sz w:val="24"/>
          <w:szCs w:val="24"/>
        </w:rPr>
        <w:t xml:space="preserve"> To et al.,</w:t>
      </w:r>
      <w:r w:rsidR="001B3795" w:rsidRPr="001B3795">
        <w:rPr>
          <w:noProof/>
          <w:sz w:val="24"/>
          <w:szCs w:val="24"/>
        </w:rPr>
        <w:t xml:space="preserve"> 2018)</w:t>
      </w:r>
      <w:r>
        <w:rPr>
          <w:sz w:val="24"/>
          <w:szCs w:val="24"/>
        </w:rPr>
        <w:t xml:space="preserve">. The brown sea cucumber </w:t>
      </w:r>
      <w:proofErr w:type="spellStart"/>
      <w:r>
        <w:rPr>
          <w:i/>
          <w:sz w:val="24"/>
          <w:szCs w:val="24"/>
        </w:rPr>
        <w:t>Isostichopus</w:t>
      </w:r>
      <w:proofErr w:type="spellEnd"/>
      <w:r>
        <w:rPr>
          <w:i/>
          <w:sz w:val="24"/>
          <w:szCs w:val="24"/>
        </w:rPr>
        <w:t xml:space="preserve"> </w:t>
      </w:r>
      <w:proofErr w:type="spellStart"/>
      <w:r>
        <w:rPr>
          <w:i/>
          <w:sz w:val="24"/>
          <w:szCs w:val="24"/>
        </w:rPr>
        <w:t>fuscus</w:t>
      </w:r>
      <w:proofErr w:type="spellEnd"/>
      <w:r>
        <w:rPr>
          <w:i/>
          <w:sz w:val="24"/>
          <w:szCs w:val="24"/>
        </w:rPr>
        <w:t xml:space="preserve"> </w:t>
      </w:r>
      <w:r>
        <w:rPr>
          <w:sz w:val="24"/>
          <w:szCs w:val="24"/>
        </w:rPr>
        <w:t xml:space="preserve">(Ludwig, 1975) </w:t>
      </w:r>
      <w:r w:rsidR="007F55DF">
        <w:rPr>
          <w:sz w:val="24"/>
          <w:szCs w:val="24"/>
        </w:rPr>
        <w:t xml:space="preserve">is </w:t>
      </w:r>
      <w:r>
        <w:rPr>
          <w:sz w:val="24"/>
          <w:szCs w:val="24"/>
        </w:rPr>
        <w:t>distribute</w:t>
      </w:r>
      <w:r w:rsidR="007F55DF">
        <w:rPr>
          <w:sz w:val="24"/>
          <w:szCs w:val="24"/>
        </w:rPr>
        <w:t>d</w:t>
      </w:r>
      <w:r>
        <w:rPr>
          <w:sz w:val="24"/>
          <w:szCs w:val="24"/>
        </w:rPr>
        <w:t xml:space="preserve"> along the Eastern Pacific from the Gulf of California in Mexico to the Galapagos in Ecuador and is the most </w:t>
      </w:r>
      <w:r w:rsidR="007F55DF">
        <w:rPr>
          <w:sz w:val="24"/>
          <w:szCs w:val="24"/>
        </w:rPr>
        <w:t xml:space="preserve">commercially </w:t>
      </w:r>
      <w:r>
        <w:rPr>
          <w:sz w:val="24"/>
          <w:szCs w:val="24"/>
        </w:rPr>
        <w:t>valuable species in Latin</w:t>
      </w:r>
      <w:r w:rsidR="007F55DF">
        <w:rPr>
          <w:sz w:val="24"/>
          <w:szCs w:val="24"/>
        </w:rPr>
        <w:t xml:space="preserve"> </w:t>
      </w:r>
      <w:r>
        <w:rPr>
          <w:sz w:val="24"/>
          <w:szCs w:val="24"/>
        </w:rPr>
        <w:t>America (</w:t>
      </w:r>
      <w:proofErr w:type="spellStart"/>
      <w:r>
        <w:rPr>
          <w:sz w:val="24"/>
          <w:szCs w:val="24"/>
        </w:rPr>
        <w:t>Conand</w:t>
      </w:r>
      <w:proofErr w:type="spellEnd"/>
      <w:r w:rsidR="00EE3852">
        <w:rPr>
          <w:sz w:val="24"/>
          <w:szCs w:val="24"/>
        </w:rPr>
        <w:t>,</w:t>
      </w:r>
      <w:r>
        <w:rPr>
          <w:sz w:val="24"/>
          <w:szCs w:val="24"/>
        </w:rPr>
        <w:t xml:space="preserve"> 2017).</w:t>
      </w:r>
    </w:p>
    <w:p w:rsidR="009D2596" w:rsidRDefault="00D66BBC" w:rsidP="004C3880">
      <w:pPr>
        <w:pBdr>
          <w:top w:val="nil"/>
          <w:left w:val="nil"/>
          <w:bottom w:val="nil"/>
          <w:right w:val="nil"/>
          <w:between w:val="nil"/>
        </w:pBdr>
        <w:spacing w:after="120" w:line="480" w:lineRule="auto"/>
        <w:rPr>
          <w:color w:val="000000"/>
          <w:sz w:val="24"/>
          <w:szCs w:val="24"/>
        </w:rPr>
      </w:pPr>
      <w:r>
        <w:rPr>
          <w:color w:val="000000"/>
          <w:sz w:val="24"/>
          <w:szCs w:val="24"/>
        </w:rPr>
        <w:t xml:space="preserve">The brown sea cucumber </w:t>
      </w:r>
      <w:r w:rsidR="00CB003A" w:rsidRPr="00CB003A">
        <w:rPr>
          <w:i/>
          <w:iCs/>
          <w:color w:val="000000"/>
          <w:sz w:val="24"/>
          <w:szCs w:val="24"/>
        </w:rPr>
        <w:t xml:space="preserve">I. </w:t>
      </w:r>
      <w:proofErr w:type="spellStart"/>
      <w:r w:rsidR="00CB003A" w:rsidRPr="00CB003A">
        <w:rPr>
          <w:i/>
          <w:iCs/>
          <w:color w:val="000000"/>
          <w:sz w:val="24"/>
          <w:szCs w:val="24"/>
        </w:rPr>
        <w:t>fuscus</w:t>
      </w:r>
      <w:proofErr w:type="spellEnd"/>
      <w:r w:rsidR="00CB003A">
        <w:rPr>
          <w:i/>
          <w:iCs/>
          <w:color w:val="000000"/>
          <w:sz w:val="24"/>
          <w:szCs w:val="24"/>
        </w:rPr>
        <w:t xml:space="preserve"> </w:t>
      </w:r>
      <w:r>
        <w:rPr>
          <w:color w:val="000000"/>
          <w:sz w:val="24"/>
          <w:szCs w:val="24"/>
        </w:rPr>
        <w:t xml:space="preserve">fishery in the Gulf of California, as </w:t>
      </w:r>
      <w:r w:rsidR="008659E3">
        <w:rPr>
          <w:color w:val="000000"/>
          <w:sz w:val="24"/>
          <w:szCs w:val="24"/>
        </w:rPr>
        <w:t xml:space="preserve">with </w:t>
      </w:r>
      <w:r>
        <w:rPr>
          <w:color w:val="000000"/>
          <w:sz w:val="24"/>
          <w:szCs w:val="24"/>
        </w:rPr>
        <w:t xml:space="preserve">many other sea cucumber fisheries (see </w:t>
      </w:r>
      <w:proofErr w:type="spellStart"/>
      <w:r w:rsidR="00EE3852">
        <w:rPr>
          <w:sz w:val="24"/>
          <w:szCs w:val="24"/>
        </w:rPr>
        <w:t>Conand</w:t>
      </w:r>
      <w:proofErr w:type="spellEnd"/>
      <w:r w:rsidR="00EE3852">
        <w:rPr>
          <w:sz w:val="24"/>
          <w:szCs w:val="24"/>
        </w:rPr>
        <w:t xml:space="preserve">, 1990; </w:t>
      </w:r>
      <w:r w:rsidR="003C65E4" w:rsidRPr="003C65E4">
        <w:rPr>
          <w:noProof/>
          <w:sz w:val="24"/>
          <w:szCs w:val="24"/>
        </w:rPr>
        <w:t>Purcell</w:t>
      </w:r>
      <w:r w:rsidR="007A2E39">
        <w:rPr>
          <w:noProof/>
          <w:sz w:val="24"/>
          <w:szCs w:val="24"/>
        </w:rPr>
        <w:t xml:space="preserve"> et al.</w:t>
      </w:r>
      <w:r w:rsidR="003C65E4" w:rsidRPr="003C65E4">
        <w:rPr>
          <w:noProof/>
          <w:sz w:val="24"/>
          <w:szCs w:val="24"/>
        </w:rPr>
        <w:t>, 2012</w:t>
      </w:r>
      <w:r w:rsidR="007A2E39">
        <w:rPr>
          <w:noProof/>
          <w:sz w:val="24"/>
          <w:szCs w:val="24"/>
        </w:rPr>
        <w:t xml:space="preserve">, </w:t>
      </w:r>
      <w:r>
        <w:rPr>
          <w:color w:val="000000"/>
          <w:sz w:val="24"/>
          <w:szCs w:val="24"/>
        </w:rPr>
        <w:t>Purcell et al.</w:t>
      </w:r>
      <w:r w:rsidR="00EE3852">
        <w:rPr>
          <w:color w:val="000000"/>
          <w:sz w:val="24"/>
          <w:szCs w:val="24"/>
        </w:rPr>
        <w:t>,</w:t>
      </w:r>
      <w:r>
        <w:rPr>
          <w:color w:val="000000"/>
          <w:sz w:val="24"/>
          <w:szCs w:val="24"/>
        </w:rPr>
        <w:t xml:space="preserve"> 2013; </w:t>
      </w:r>
      <w:proofErr w:type="spellStart"/>
      <w:r>
        <w:rPr>
          <w:color w:val="000000"/>
          <w:sz w:val="24"/>
          <w:szCs w:val="24"/>
        </w:rPr>
        <w:t>Uthicke</w:t>
      </w:r>
      <w:proofErr w:type="spellEnd"/>
      <w:r>
        <w:rPr>
          <w:color w:val="000000"/>
          <w:sz w:val="24"/>
          <w:szCs w:val="24"/>
        </w:rPr>
        <w:t xml:space="preserve"> </w:t>
      </w:r>
      <w:r w:rsidR="00121624">
        <w:rPr>
          <w:color w:val="000000"/>
          <w:sz w:val="24"/>
          <w:szCs w:val="24"/>
        </w:rPr>
        <w:t>e</w:t>
      </w:r>
      <w:r>
        <w:rPr>
          <w:color w:val="000000"/>
          <w:sz w:val="24"/>
          <w:szCs w:val="24"/>
        </w:rPr>
        <w:t>t a</w:t>
      </w:r>
      <w:r w:rsidR="00EE3852">
        <w:rPr>
          <w:sz w:val="24"/>
          <w:szCs w:val="24"/>
        </w:rPr>
        <w:t>l., 2009</w:t>
      </w:r>
      <w:r>
        <w:rPr>
          <w:color w:val="000000"/>
          <w:sz w:val="24"/>
          <w:szCs w:val="24"/>
        </w:rPr>
        <w:t>)</w:t>
      </w:r>
      <w:r w:rsidR="008659E3">
        <w:rPr>
          <w:color w:val="000000"/>
          <w:sz w:val="24"/>
          <w:szCs w:val="24"/>
        </w:rPr>
        <w:t>,</w:t>
      </w:r>
      <w:r>
        <w:rPr>
          <w:color w:val="000000"/>
          <w:sz w:val="24"/>
          <w:szCs w:val="24"/>
        </w:rPr>
        <w:t xml:space="preserve"> is characterized by a boom-and-bust cycle: it peaked in 1991 and three years later it was closed and </w:t>
      </w:r>
      <w:r w:rsidR="00CB003A">
        <w:rPr>
          <w:i/>
          <w:iCs/>
          <w:color w:val="000000"/>
          <w:sz w:val="24"/>
          <w:szCs w:val="24"/>
        </w:rPr>
        <w:t xml:space="preserve">I. </w:t>
      </w:r>
      <w:proofErr w:type="spellStart"/>
      <w:r w:rsidR="00CB003A">
        <w:rPr>
          <w:i/>
          <w:iCs/>
          <w:color w:val="000000"/>
          <w:sz w:val="24"/>
          <w:szCs w:val="24"/>
        </w:rPr>
        <w:t>fuscus</w:t>
      </w:r>
      <w:proofErr w:type="spellEnd"/>
      <w:r w:rsidR="00CB003A">
        <w:rPr>
          <w:i/>
          <w:iCs/>
          <w:color w:val="000000"/>
          <w:sz w:val="24"/>
          <w:szCs w:val="24"/>
        </w:rPr>
        <w:t xml:space="preserve"> </w:t>
      </w:r>
      <w:r>
        <w:rPr>
          <w:color w:val="000000"/>
          <w:sz w:val="24"/>
          <w:szCs w:val="24"/>
        </w:rPr>
        <w:t xml:space="preserve">was listed as endangered (DOF, 1994). </w:t>
      </w:r>
    </w:p>
    <w:p w:rsidR="001E64C3" w:rsidRPr="00E048BD" w:rsidRDefault="00D66BBC" w:rsidP="004C3880">
      <w:pPr>
        <w:pBdr>
          <w:top w:val="nil"/>
          <w:left w:val="nil"/>
          <w:bottom w:val="nil"/>
          <w:right w:val="nil"/>
          <w:between w:val="nil"/>
        </w:pBdr>
        <w:spacing w:after="120" w:line="480" w:lineRule="auto"/>
        <w:rPr>
          <w:color w:val="000000"/>
          <w:sz w:val="28"/>
          <w:szCs w:val="28"/>
        </w:rPr>
      </w:pPr>
      <w:r>
        <w:rPr>
          <w:color w:val="000000"/>
          <w:sz w:val="24"/>
          <w:szCs w:val="24"/>
        </w:rPr>
        <w:t xml:space="preserve">More </w:t>
      </w:r>
      <w:r>
        <w:rPr>
          <w:sz w:val="24"/>
          <w:szCs w:val="24"/>
        </w:rPr>
        <w:t>recently</w:t>
      </w:r>
      <w:r w:rsidR="00EE3852">
        <w:rPr>
          <w:color w:val="000000"/>
          <w:sz w:val="24"/>
          <w:szCs w:val="24"/>
        </w:rPr>
        <w:t xml:space="preserve">, </w:t>
      </w:r>
      <w:r>
        <w:rPr>
          <w:color w:val="000000"/>
          <w:sz w:val="24"/>
          <w:szCs w:val="24"/>
        </w:rPr>
        <w:t>five species of sea cucumber from the Mediterra</w:t>
      </w:r>
      <w:r>
        <w:rPr>
          <w:sz w:val="24"/>
          <w:szCs w:val="24"/>
        </w:rPr>
        <w:t xml:space="preserve">nean and NE Atlantic </w:t>
      </w:r>
      <w:r w:rsidR="008659E3">
        <w:rPr>
          <w:sz w:val="24"/>
          <w:szCs w:val="24"/>
        </w:rPr>
        <w:t xml:space="preserve">have gone from being classified as a new fisheries resource to </w:t>
      </w:r>
      <w:r>
        <w:rPr>
          <w:sz w:val="24"/>
          <w:szCs w:val="24"/>
        </w:rPr>
        <w:t>over-exploitation in</w:t>
      </w:r>
      <w:r w:rsidR="004C3880">
        <w:rPr>
          <w:sz w:val="24"/>
          <w:szCs w:val="24"/>
        </w:rPr>
        <w:t xml:space="preserve"> less than ten years</w:t>
      </w:r>
      <w:r w:rsidR="008659E3">
        <w:rPr>
          <w:sz w:val="24"/>
          <w:szCs w:val="24"/>
        </w:rPr>
        <w:t xml:space="preserve"> (Gonzalez-</w:t>
      </w:r>
      <w:proofErr w:type="spellStart"/>
      <w:r w:rsidR="008659E3">
        <w:rPr>
          <w:sz w:val="24"/>
          <w:szCs w:val="24"/>
        </w:rPr>
        <w:t>Wanguemert</w:t>
      </w:r>
      <w:proofErr w:type="spellEnd"/>
      <w:r w:rsidR="008659E3">
        <w:rPr>
          <w:sz w:val="24"/>
          <w:szCs w:val="24"/>
        </w:rPr>
        <w:t xml:space="preserve"> et al</w:t>
      </w:r>
      <w:r w:rsidR="009943FC">
        <w:rPr>
          <w:sz w:val="24"/>
          <w:szCs w:val="24"/>
        </w:rPr>
        <w:t>.,</w:t>
      </w:r>
      <w:r w:rsidR="008659E3">
        <w:rPr>
          <w:sz w:val="24"/>
          <w:szCs w:val="24"/>
        </w:rPr>
        <w:t xml:space="preserve"> </w:t>
      </w:r>
      <w:r w:rsidR="008659E3" w:rsidRPr="008659E3">
        <w:rPr>
          <w:sz w:val="24"/>
          <w:szCs w:val="24"/>
        </w:rPr>
        <w:t>2018)</w:t>
      </w:r>
      <w:r w:rsidRPr="008659E3">
        <w:rPr>
          <w:sz w:val="24"/>
          <w:szCs w:val="24"/>
        </w:rPr>
        <w:t>.</w:t>
      </w:r>
      <w:r>
        <w:rPr>
          <w:sz w:val="24"/>
          <w:szCs w:val="24"/>
        </w:rPr>
        <w:t xml:space="preserve">  </w:t>
      </w:r>
      <w:r>
        <w:rPr>
          <w:color w:val="000000"/>
          <w:sz w:val="24"/>
          <w:szCs w:val="24"/>
        </w:rPr>
        <w:t xml:space="preserve">The brown sea cucumber is very vulnerable to overfishing because it is a </w:t>
      </w:r>
      <w:r w:rsidR="007F55DF">
        <w:rPr>
          <w:color w:val="000000"/>
          <w:sz w:val="24"/>
          <w:szCs w:val="24"/>
        </w:rPr>
        <w:t xml:space="preserve">slow-growing </w:t>
      </w:r>
      <w:r>
        <w:rPr>
          <w:color w:val="000000"/>
          <w:sz w:val="24"/>
          <w:szCs w:val="24"/>
        </w:rPr>
        <w:t xml:space="preserve">species </w:t>
      </w:r>
      <w:r w:rsidR="007F55DF">
        <w:rPr>
          <w:color w:val="000000"/>
          <w:sz w:val="24"/>
          <w:szCs w:val="24"/>
        </w:rPr>
        <w:t>with</w:t>
      </w:r>
      <w:r>
        <w:rPr>
          <w:color w:val="000000"/>
          <w:sz w:val="24"/>
          <w:szCs w:val="24"/>
        </w:rPr>
        <w:t xml:space="preserve"> late sexual maturity</w:t>
      </w:r>
      <w:r w:rsidR="008659E3">
        <w:rPr>
          <w:color w:val="000000"/>
          <w:sz w:val="24"/>
          <w:szCs w:val="24"/>
        </w:rPr>
        <w:t xml:space="preserve"> and</w:t>
      </w:r>
      <w:r>
        <w:rPr>
          <w:color w:val="000000"/>
          <w:sz w:val="24"/>
          <w:szCs w:val="24"/>
        </w:rPr>
        <w:t xml:space="preserve"> low mobility</w:t>
      </w:r>
      <w:r w:rsidR="007F55DF">
        <w:rPr>
          <w:color w:val="000000"/>
          <w:sz w:val="24"/>
          <w:szCs w:val="24"/>
        </w:rPr>
        <w:t>,</w:t>
      </w:r>
      <w:r w:rsidR="008659E3">
        <w:rPr>
          <w:color w:val="000000"/>
          <w:sz w:val="24"/>
          <w:szCs w:val="24"/>
        </w:rPr>
        <w:t xml:space="preserve"> and it is found</w:t>
      </w:r>
      <w:r>
        <w:rPr>
          <w:color w:val="000000"/>
          <w:sz w:val="24"/>
          <w:szCs w:val="24"/>
        </w:rPr>
        <w:t xml:space="preserve"> in shallow areas</w:t>
      </w:r>
      <w:r w:rsidR="007F55DF">
        <w:rPr>
          <w:color w:val="000000"/>
          <w:sz w:val="24"/>
          <w:szCs w:val="24"/>
        </w:rPr>
        <w:t xml:space="preserve">, making it </w:t>
      </w:r>
      <w:r>
        <w:rPr>
          <w:color w:val="000000"/>
          <w:sz w:val="24"/>
          <w:szCs w:val="24"/>
        </w:rPr>
        <w:t xml:space="preserve">easy to fish. Bahía de los Ángeles, our study area, has </w:t>
      </w:r>
      <w:r w:rsidR="008659E3">
        <w:rPr>
          <w:color w:val="000000"/>
          <w:sz w:val="24"/>
          <w:szCs w:val="24"/>
        </w:rPr>
        <w:t xml:space="preserve">historically </w:t>
      </w:r>
      <w:r>
        <w:rPr>
          <w:color w:val="000000"/>
          <w:sz w:val="24"/>
          <w:szCs w:val="24"/>
        </w:rPr>
        <w:t>contributed most of the catch</w:t>
      </w:r>
      <w:r w:rsidR="007F55DF">
        <w:rPr>
          <w:color w:val="000000"/>
          <w:sz w:val="24"/>
          <w:szCs w:val="24"/>
        </w:rPr>
        <w:t xml:space="preserve"> in the Gulf of California</w:t>
      </w:r>
      <w:r w:rsidR="004C3880">
        <w:rPr>
          <w:color w:val="000000"/>
          <w:sz w:val="24"/>
          <w:szCs w:val="24"/>
        </w:rPr>
        <w:t xml:space="preserve"> (Glockner-Fagetti et al</w:t>
      </w:r>
      <w:r w:rsidR="009943FC">
        <w:rPr>
          <w:color w:val="000000"/>
          <w:sz w:val="24"/>
          <w:szCs w:val="24"/>
        </w:rPr>
        <w:t>.</w:t>
      </w:r>
      <w:r w:rsidR="004C3880">
        <w:rPr>
          <w:color w:val="000000"/>
          <w:sz w:val="24"/>
          <w:szCs w:val="24"/>
        </w:rPr>
        <w:t>, 2016)</w:t>
      </w:r>
      <w:r>
        <w:rPr>
          <w:color w:val="000000"/>
          <w:sz w:val="24"/>
          <w:szCs w:val="24"/>
        </w:rPr>
        <w:t xml:space="preserve">. </w:t>
      </w:r>
      <w:r w:rsidR="005C10F3">
        <w:rPr>
          <w:color w:val="000000"/>
          <w:sz w:val="24"/>
          <w:szCs w:val="24"/>
        </w:rPr>
        <w:t xml:space="preserve">As January 2019, there are three active permits for a total of 41,264 pieces (approximately 13.58 tonnes). </w:t>
      </w:r>
      <w:r>
        <w:rPr>
          <w:color w:val="000000"/>
          <w:sz w:val="24"/>
          <w:szCs w:val="24"/>
        </w:rPr>
        <w:t>However, in spite of its economic, social</w:t>
      </w:r>
      <w:r w:rsidR="008659E3">
        <w:rPr>
          <w:color w:val="000000"/>
          <w:sz w:val="24"/>
          <w:szCs w:val="24"/>
        </w:rPr>
        <w:t>,</w:t>
      </w:r>
      <w:r>
        <w:rPr>
          <w:color w:val="000000"/>
          <w:sz w:val="24"/>
          <w:szCs w:val="24"/>
        </w:rPr>
        <w:t xml:space="preserve"> and ecological importance, there </w:t>
      </w:r>
      <w:r w:rsidR="008659E3">
        <w:rPr>
          <w:color w:val="000000"/>
          <w:sz w:val="24"/>
          <w:szCs w:val="24"/>
        </w:rPr>
        <w:t>has been limited published research on this species in this area</w:t>
      </w:r>
      <w:r>
        <w:rPr>
          <w:color w:val="000000"/>
          <w:sz w:val="24"/>
          <w:szCs w:val="24"/>
        </w:rPr>
        <w:t>.</w:t>
      </w:r>
      <w:r w:rsidR="004C3880">
        <w:rPr>
          <w:color w:val="000000"/>
          <w:sz w:val="24"/>
          <w:szCs w:val="24"/>
        </w:rPr>
        <w:t xml:space="preserve"> </w:t>
      </w:r>
      <w:r w:rsidR="004C3880" w:rsidRPr="00E048BD">
        <w:rPr>
          <w:sz w:val="24"/>
          <w:szCs w:val="24"/>
        </w:rPr>
        <w:t xml:space="preserve">This </w:t>
      </w:r>
      <w:r w:rsidR="004C3880" w:rsidRPr="00E048BD">
        <w:rPr>
          <w:sz w:val="24"/>
          <w:szCs w:val="24"/>
        </w:rPr>
        <w:lastRenderedPageBreak/>
        <w:t>research has focussed on population density declines (Glockner-Fagetti et al.</w:t>
      </w:r>
      <w:r w:rsidR="009943FC">
        <w:rPr>
          <w:sz w:val="24"/>
          <w:szCs w:val="24"/>
        </w:rPr>
        <w:t>,</w:t>
      </w:r>
      <w:r w:rsidR="004C3880" w:rsidRPr="00E048BD">
        <w:rPr>
          <w:sz w:val="24"/>
          <w:szCs w:val="24"/>
        </w:rPr>
        <w:t xml:space="preserve"> 2016); life-history traits (Pañola-Madrigal et al</w:t>
      </w:r>
      <w:r w:rsidR="009943FC">
        <w:rPr>
          <w:sz w:val="24"/>
          <w:szCs w:val="24"/>
        </w:rPr>
        <w:t xml:space="preserve">., </w:t>
      </w:r>
      <w:r w:rsidR="004C3880" w:rsidRPr="00E048BD">
        <w:rPr>
          <w:sz w:val="24"/>
          <w:szCs w:val="24"/>
        </w:rPr>
        <w:t>2017a; Reyes-Bonilla et al.</w:t>
      </w:r>
      <w:r w:rsidR="009943FC">
        <w:rPr>
          <w:sz w:val="24"/>
          <w:szCs w:val="24"/>
        </w:rPr>
        <w:t>,</w:t>
      </w:r>
      <w:r w:rsidR="004C3880" w:rsidRPr="00E048BD">
        <w:rPr>
          <w:sz w:val="24"/>
          <w:szCs w:val="24"/>
        </w:rPr>
        <w:t xml:space="preserve"> 2018); and genetic diversity (Ochoa-Chavez et al.</w:t>
      </w:r>
      <w:r w:rsidR="009943FC">
        <w:rPr>
          <w:sz w:val="24"/>
          <w:szCs w:val="24"/>
        </w:rPr>
        <w:t>,</w:t>
      </w:r>
      <w:r w:rsidR="004C3880" w:rsidRPr="00E048BD">
        <w:rPr>
          <w:sz w:val="24"/>
          <w:szCs w:val="24"/>
        </w:rPr>
        <w:t xml:space="preserve"> 2018). So far, no attempt to identify sustainable fishing quotas has been made. </w:t>
      </w:r>
    </w:p>
    <w:p w:rsidR="00676B33" w:rsidRDefault="00676B33" w:rsidP="00595C61">
      <w:pPr>
        <w:spacing w:line="480" w:lineRule="auto"/>
        <w:rPr>
          <w:sz w:val="24"/>
          <w:szCs w:val="24"/>
        </w:rPr>
      </w:pPr>
      <w:r>
        <w:rPr>
          <w:sz w:val="24"/>
          <w:szCs w:val="24"/>
        </w:rPr>
        <w:t>The overfishing of the sea cucumber may have consequences to the whole ecosystem</w:t>
      </w:r>
      <w:r w:rsidR="00595C61">
        <w:rPr>
          <w:sz w:val="24"/>
          <w:szCs w:val="24"/>
        </w:rPr>
        <w:t>.</w:t>
      </w:r>
      <w:r>
        <w:rPr>
          <w:sz w:val="24"/>
          <w:szCs w:val="24"/>
        </w:rPr>
        <w:t xml:space="preserve"> Purcell et al (2016) reviewed the ecological roles of exploited sea cucumber </w:t>
      </w:r>
      <w:r w:rsidR="00595C61">
        <w:rPr>
          <w:sz w:val="24"/>
          <w:szCs w:val="24"/>
        </w:rPr>
        <w:t xml:space="preserve">in regards to </w:t>
      </w:r>
      <w:r>
        <w:rPr>
          <w:sz w:val="24"/>
          <w:szCs w:val="24"/>
        </w:rPr>
        <w:t xml:space="preserve">sediment health, recycling nutrients, seawater chemistry, </w:t>
      </w:r>
      <w:r w:rsidR="00595C61">
        <w:rPr>
          <w:sz w:val="24"/>
          <w:szCs w:val="24"/>
        </w:rPr>
        <w:t xml:space="preserve">and in terms of </w:t>
      </w:r>
      <w:r>
        <w:rPr>
          <w:sz w:val="24"/>
          <w:szCs w:val="24"/>
        </w:rPr>
        <w:t xml:space="preserve">bolstering biodiversity through symbiotic associations and as </w:t>
      </w:r>
      <w:r w:rsidR="00595C61">
        <w:rPr>
          <w:sz w:val="24"/>
          <w:szCs w:val="24"/>
        </w:rPr>
        <w:t xml:space="preserve">a </w:t>
      </w:r>
      <w:r>
        <w:rPr>
          <w:sz w:val="24"/>
          <w:szCs w:val="24"/>
        </w:rPr>
        <w:t xml:space="preserve">link </w:t>
      </w:r>
      <w:r w:rsidR="00595C61">
        <w:rPr>
          <w:sz w:val="24"/>
          <w:szCs w:val="24"/>
        </w:rPr>
        <w:t>in</w:t>
      </w:r>
      <w:r>
        <w:rPr>
          <w:sz w:val="24"/>
          <w:szCs w:val="24"/>
        </w:rPr>
        <w:t xml:space="preserve"> the food chain. Th</w:t>
      </w:r>
      <w:r w:rsidR="00595C61">
        <w:rPr>
          <w:sz w:val="24"/>
          <w:szCs w:val="24"/>
        </w:rPr>
        <w:t>e</w:t>
      </w:r>
      <w:r>
        <w:rPr>
          <w:sz w:val="24"/>
          <w:szCs w:val="24"/>
        </w:rPr>
        <w:t>se authors emphasize that an ecosystem based management approach</w:t>
      </w:r>
      <w:r w:rsidR="00595C61">
        <w:rPr>
          <w:sz w:val="24"/>
          <w:szCs w:val="24"/>
        </w:rPr>
        <w:t xml:space="preserve"> is necessary due to the </w:t>
      </w:r>
      <w:r>
        <w:rPr>
          <w:sz w:val="24"/>
          <w:szCs w:val="24"/>
        </w:rPr>
        <w:t xml:space="preserve">cascading effects due to over-exploitation of sea cucumbers (Purcell et al., 2016). The Galapagos Marine Reserve adopted an </w:t>
      </w:r>
      <w:r w:rsidR="00595C61">
        <w:rPr>
          <w:sz w:val="24"/>
          <w:szCs w:val="24"/>
        </w:rPr>
        <w:t>ec</w:t>
      </w:r>
      <w:r>
        <w:rPr>
          <w:sz w:val="24"/>
          <w:szCs w:val="24"/>
        </w:rPr>
        <w:t xml:space="preserve">osystem-based spatial management (EBSM) approach at the end of the 1990s but so far has </w:t>
      </w:r>
      <w:r w:rsidR="00595C61">
        <w:rPr>
          <w:sz w:val="24"/>
          <w:szCs w:val="24"/>
        </w:rPr>
        <w:t xml:space="preserve">this has </w:t>
      </w:r>
      <w:r>
        <w:rPr>
          <w:sz w:val="24"/>
          <w:szCs w:val="24"/>
        </w:rPr>
        <w:t xml:space="preserve">been unsuccessful </w:t>
      </w:r>
      <w:r w:rsidR="00595C61">
        <w:rPr>
          <w:sz w:val="24"/>
          <w:szCs w:val="24"/>
        </w:rPr>
        <w:t>in meeting its goals</w:t>
      </w:r>
      <w:r w:rsidR="00993587">
        <w:rPr>
          <w:sz w:val="24"/>
          <w:szCs w:val="24"/>
        </w:rPr>
        <w:t xml:space="preserve"> </w:t>
      </w:r>
      <w:r>
        <w:rPr>
          <w:sz w:val="24"/>
          <w:szCs w:val="24"/>
        </w:rPr>
        <w:t>(</w:t>
      </w:r>
      <w:proofErr w:type="spellStart"/>
      <w:r>
        <w:rPr>
          <w:sz w:val="24"/>
          <w:szCs w:val="24"/>
        </w:rPr>
        <w:t>Castrejón</w:t>
      </w:r>
      <w:proofErr w:type="spellEnd"/>
      <w:r>
        <w:rPr>
          <w:sz w:val="24"/>
          <w:szCs w:val="24"/>
        </w:rPr>
        <w:t xml:space="preserve"> and Charles, 2013).  In </w:t>
      </w:r>
      <w:r w:rsidR="00121624">
        <w:rPr>
          <w:color w:val="000000"/>
          <w:sz w:val="24"/>
          <w:szCs w:val="24"/>
        </w:rPr>
        <w:t>Bahía de los Ángeles</w:t>
      </w:r>
      <w:r>
        <w:rPr>
          <w:sz w:val="24"/>
          <w:szCs w:val="24"/>
        </w:rPr>
        <w:t>, Pañola-Madrigal et al (2017</w:t>
      </w:r>
      <w:r w:rsidR="00B01737">
        <w:rPr>
          <w:sz w:val="24"/>
          <w:szCs w:val="24"/>
        </w:rPr>
        <w:t>b</w:t>
      </w:r>
      <w:r>
        <w:rPr>
          <w:sz w:val="24"/>
          <w:szCs w:val="24"/>
        </w:rPr>
        <w:t>) estimated the role of sea cucumber in the flow of carbonates in the sediments, concluding that unless some protection measures are urgently implemented, exhaustion of this echinoderm may affect the seawater chemistry.</w:t>
      </w:r>
    </w:p>
    <w:p w:rsidR="001E64C3" w:rsidRPr="00031513" w:rsidRDefault="00D66BBC" w:rsidP="00015B38">
      <w:pPr>
        <w:spacing w:line="480" w:lineRule="auto"/>
        <w:rPr>
          <w:sz w:val="24"/>
          <w:szCs w:val="24"/>
        </w:rPr>
      </w:pPr>
      <w:r>
        <w:rPr>
          <w:sz w:val="24"/>
          <w:szCs w:val="24"/>
        </w:rPr>
        <w:t>In Mexico, the management of fishery resources is the responsibility of the National Fisheries Commission (CONAPESCA) which depends on the Secretariat of Agriculture, Livestock, Rural Development, Fisheries and Food (SAGARPA). The two mo</w:t>
      </w:r>
      <w:r w:rsidR="00AB046B">
        <w:rPr>
          <w:sz w:val="24"/>
          <w:szCs w:val="24"/>
        </w:rPr>
        <w:t>st</w:t>
      </w:r>
      <w:r>
        <w:rPr>
          <w:sz w:val="24"/>
          <w:szCs w:val="24"/>
        </w:rPr>
        <w:t xml:space="preserve"> valuable sea cucumber </w:t>
      </w:r>
      <w:r w:rsidR="00AB046B">
        <w:rPr>
          <w:sz w:val="24"/>
          <w:szCs w:val="24"/>
        </w:rPr>
        <w:t xml:space="preserve">species </w:t>
      </w:r>
      <w:r>
        <w:rPr>
          <w:sz w:val="24"/>
          <w:szCs w:val="24"/>
        </w:rPr>
        <w:t xml:space="preserve">harvested in Mexico are </w:t>
      </w:r>
      <w:r w:rsidR="00993587">
        <w:rPr>
          <w:i/>
          <w:sz w:val="24"/>
          <w:szCs w:val="24"/>
        </w:rPr>
        <w:t xml:space="preserve">I. </w:t>
      </w:r>
      <w:proofErr w:type="spellStart"/>
      <w:r>
        <w:rPr>
          <w:i/>
          <w:sz w:val="24"/>
          <w:szCs w:val="24"/>
        </w:rPr>
        <w:t>badion</w:t>
      </w:r>
      <w:r w:rsidR="007C104F">
        <w:rPr>
          <w:i/>
          <w:sz w:val="24"/>
          <w:szCs w:val="24"/>
        </w:rPr>
        <w:t>o</w:t>
      </w:r>
      <w:r>
        <w:rPr>
          <w:i/>
          <w:sz w:val="24"/>
          <w:szCs w:val="24"/>
        </w:rPr>
        <w:t>tus</w:t>
      </w:r>
      <w:proofErr w:type="spellEnd"/>
      <w:r>
        <w:rPr>
          <w:sz w:val="24"/>
          <w:szCs w:val="24"/>
        </w:rPr>
        <w:t xml:space="preserve"> in the Gulf of Mexico and Caribbean, and </w:t>
      </w:r>
      <w:r>
        <w:rPr>
          <w:i/>
          <w:sz w:val="24"/>
          <w:szCs w:val="24"/>
        </w:rPr>
        <w:t xml:space="preserve">I. </w:t>
      </w:r>
      <w:proofErr w:type="spellStart"/>
      <w:r>
        <w:rPr>
          <w:i/>
          <w:sz w:val="24"/>
          <w:szCs w:val="24"/>
        </w:rPr>
        <w:t>fuscus</w:t>
      </w:r>
      <w:proofErr w:type="spellEnd"/>
      <w:r>
        <w:rPr>
          <w:sz w:val="24"/>
          <w:szCs w:val="24"/>
        </w:rPr>
        <w:t xml:space="preserve"> in the Pacific, but </w:t>
      </w:r>
      <w:proofErr w:type="spellStart"/>
      <w:r>
        <w:rPr>
          <w:i/>
          <w:sz w:val="24"/>
          <w:szCs w:val="24"/>
        </w:rPr>
        <w:t>Parastichopus</w:t>
      </w:r>
      <w:proofErr w:type="spellEnd"/>
      <w:r>
        <w:rPr>
          <w:i/>
          <w:sz w:val="24"/>
          <w:szCs w:val="24"/>
        </w:rPr>
        <w:t xml:space="preserve"> </w:t>
      </w:r>
      <w:proofErr w:type="spellStart"/>
      <w:r>
        <w:rPr>
          <w:i/>
          <w:sz w:val="24"/>
          <w:szCs w:val="24"/>
        </w:rPr>
        <w:t>parvimensis</w:t>
      </w:r>
      <w:proofErr w:type="spellEnd"/>
      <w:r>
        <w:rPr>
          <w:sz w:val="24"/>
          <w:szCs w:val="24"/>
        </w:rPr>
        <w:t xml:space="preserve">, </w:t>
      </w:r>
      <w:proofErr w:type="spellStart"/>
      <w:r>
        <w:rPr>
          <w:i/>
          <w:sz w:val="24"/>
          <w:szCs w:val="24"/>
        </w:rPr>
        <w:t>Holothuria</w:t>
      </w:r>
      <w:proofErr w:type="spellEnd"/>
      <w:r>
        <w:rPr>
          <w:i/>
          <w:sz w:val="24"/>
          <w:szCs w:val="24"/>
        </w:rPr>
        <w:t xml:space="preserve"> </w:t>
      </w:r>
      <w:proofErr w:type="spellStart"/>
      <w:r>
        <w:rPr>
          <w:i/>
          <w:sz w:val="24"/>
          <w:szCs w:val="24"/>
        </w:rPr>
        <w:t>floridiana</w:t>
      </w:r>
      <w:proofErr w:type="spellEnd"/>
      <w:r>
        <w:rPr>
          <w:i/>
          <w:sz w:val="24"/>
          <w:szCs w:val="24"/>
        </w:rPr>
        <w:t xml:space="preserve"> </w:t>
      </w:r>
      <w:r>
        <w:rPr>
          <w:sz w:val="24"/>
          <w:szCs w:val="24"/>
        </w:rPr>
        <w:t xml:space="preserve">and other species are </w:t>
      </w:r>
      <w:r w:rsidR="00993587">
        <w:rPr>
          <w:sz w:val="24"/>
          <w:szCs w:val="24"/>
        </w:rPr>
        <w:t xml:space="preserve">also </w:t>
      </w:r>
      <w:r>
        <w:rPr>
          <w:sz w:val="24"/>
          <w:szCs w:val="24"/>
        </w:rPr>
        <w:t>fished (DOF</w:t>
      </w:r>
      <w:r w:rsidR="0053461F">
        <w:rPr>
          <w:sz w:val="24"/>
          <w:szCs w:val="24"/>
        </w:rPr>
        <w:t>,</w:t>
      </w:r>
      <w:r>
        <w:rPr>
          <w:sz w:val="24"/>
          <w:szCs w:val="24"/>
        </w:rPr>
        <w:t xml:space="preserve"> 2018). In 2015, 762 </w:t>
      </w:r>
      <w:r w:rsidR="00993587">
        <w:rPr>
          <w:sz w:val="24"/>
          <w:szCs w:val="24"/>
        </w:rPr>
        <w:t xml:space="preserve">tonnes </w:t>
      </w:r>
      <w:r>
        <w:rPr>
          <w:sz w:val="24"/>
          <w:szCs w:val="24"/>
        </w:rPr>
        <w:t>of sea cucumbe</w:t>
      </w:r>
      <w:r w:rsidR="0053461F">
        <w:rPr>
          <w:sz w:val="24"/>
          <w:szCs w:val="24"/>
        </w:rPr>
        <w:t>r were landed in Mexico</w:t>
      </w:r>
      <w:r w:rsidR="00AB046B">
        <w:rPr>
          <w:sz w:val="24"/>
          <w:szCs w:val="24"/>
        </w:rPr>
        <w:t>, with a value of</w:t>
      </w:r>
      <w:r w:rsidR="0053461F">
        <w:rPr>
          <w:sz w:val="24"/>
          <w:szCs w:val="24"/>
        </w:rPr>
        <w:t xml:space="preserve"> </w:t>
      </w:r>
      <w:r>
        <w:rPr>
          <w:sz w:val="24"/>
          <w:szCs w:val="24"/>
        </w:rPr>
        <w:t xml:space="preserve">$30,434,000 Mexican Pesos (around US$1,623,146) </w:t>
      </w:r>
      <w:r>
        <w:rPr>
          <w:sz w:val="24"/>
          <w:szCs w:val="24"/>
        </w:rPr>
        <w:lastRenderedPageBreak/>
        <w:t>(Anonymous</w:t>
      </w:r>
      <w:r w:rsidR="0053461F">
        <w:rPr>
          <w:sz w:val="24"/>
          <w:szCs w:val="24"/>
        </w:rPr>
        <w:t>,</w:t>
      </w:r>
      <w:r>
        <w:rPr>
          <w:sz w:val="24"/>
          <w:szCs w:val="24"/>
        </w:rPr>
        <w:t xml:space="preserve"> 2018). </w:t>
      </w:r>
      <w:r w:rsidR="00993587">
        <w:rPr>
          <w:sz w:val="24"/>
          <w:szCs w:val="24"/>
        </w:rPr>
        <w:t xml:space="preserve">Although </w:t>
      </w:r>
      <w:r w:rsidR="00993587">
        <w:rPr>
          <w:i/>
          <w:sz w:val="24"/>
          <w:szCs w:val="24"/>
        </w:rPr>
        <w:t xml:space="preserve">I. </w:t>
      </w:r>
      <w:proofErr w:type="spellStart"/>
      <w:r w:rsidR="00F45D22">
        <w:rPr>
          <w:i/>
          <w:sz w:val="24"/>
          <w:szCs w:val="24"/>
        </w:rPr>
        <w:t>badionotus</w:t>
      </w:r>
      <w:proofErr w:type="spellEnd"/>
      <w:r>
        <w:rPr>
          <w:sz w:val="24"/>
          <w:szCs w:val="24"/>
        </w:rPr>
        <w:t xml:space="preserve"> is managed by CONAPESCA, </w:t>
      </w:r>
      <w:r w:rsidR="00993587">
        <w:rPr>
          <w:sz w:val="24"/>
          <w:szCs w:val="24"/>
        </w:rPr>
        <w:t xml:space="preserve">the special protection status of </w:t>
      </w:r>
      <w:r>
        <w:rPr>
          <w:i/>
          <w:sz w:val="24"/>
          <w:szCs w:val="24"/>
        </w:rPr>
        <w:t xml:space="preserve">I. </w:t>
      </w:r>
      <w:proofErr w:type="spellStart"/>
      <w:r>
        <w:rPr>
          <w:i/>
          <w:sz w:val="24"/>
          <w:szCs w:val="24"/>
        </w:rPr>
        <w:t>fuscus</w:t>
      </w:r>
      <w:proofErr w:type="spellEnd"/>
      <w:r>
        <w:rPr>
          <w:sz w:val="24"/>
          <w:szCs w:val="24"/>
        </w:rPr>
        <w:t xml:space="preserve"> </w:t>
      </w:r>
      <w:r w:rsidR="00993587">
        <w:rPr>
          <w:sz w:val="24"/>
          <w:szCs w:val="24"/>
        </w:rPr>
        <w:t>under official Mexican regulation NOM-059</w:t>
      </w:r>
      <w:r w:rsidR="00015B38">
        <w:rPr>
          <w:sz w:val="24"/>
          <w:szCs w:val="24"/>
        </w:rPr>
        <w:t xml:space="preserve"> (</w:t>
      </w:r>
      <w:r w:rsidR="00A10B1F">
        <w:rPr>
          <w:sz w:val="24"/>
          <w:szCs w:val="24"/>
        </w:rPr>
        <w:t>DOF, 2010</w:t>
      </w:r>
      <w:r w:rsidR="00993587">
        <w:rPr>
          <w:sz w:val="24"/>
          <w:szCs w:val="24"/>
        </w:rPr>
        <w:t xml:space="preserve">) means that its </w:t>
      </w:r>
      <w:r>
        <w:rPr>
          <w:sz w:val="24"/>
          <w:szCs w:val="24"/>
        </w:rPr>
        <w:t>management is the responsibility of another Secretariat (Secretariat of Environment and Natural Resources – SEMARNAT)</w:t>
      </w:r>
      <w:r w:rsidR="00993587">
        <w:rPr>
          <w:sz w:val="24"/>
          <w:szCs w:val="24"/>
        </w:rPr>
        <w:t>. S</w:t>
      </w:r>
      <w:r>
        <w:rPr>
          <w:sz w:val="24"/>
          <w:szCs w:val="24"/>
        </w:rPr>
        <w:t>pecifically</w:t>
      </w:r>
      <w:r w:rsidR="00993587">
        <w:rPr>
          <w:sz w:val="24"/>
          <w:szCs w:val="24"/>
        </w:rPr>
        <w:t>, it is the responsibility of</w:t>
      </w:r>
      <w:r>
        <w:rPr>
          <w:sz w:val="24"/>
          <w:szCs w:val="24"/>
        </w:rPr>
        <w:t xml:space="preserve"> the General Directorate of Wildlife (DGVS)</w:t>
      </w:r>
      <w:r w:rsidR="00886D59">
        <w:rPr>
          <w:sz w:val="24"/>
          <w:szCs w:val="24"/>
        </w:rPr>
        <w:t>. T</w:t>
      </w:r>
      <w:r>
        <w:rPr>
          <w:sz w:val="24"/>
          <w:szCs w:val="24"/>
        </w:rPr>
        <w:t>he regulations of general wildlife law do not provide for the use of fishing logbooks</w:t>
      </w:r>
      <w:r w:rsidR="00886D59">
        <w:rPr>
          <w:sz w:val="24"/>
          <w:szCs w:val="24"/>
        </w:rPr>
        <w:t xml:space="preserve">; </w:t>
      </w:r>
      <w:r>
        <w:rPr>
          <w:sz w:val="24"/>
          <w:szCs w:val="24"/>
        </w:rPr>
        <w:t>therefore</w:t>
      </w:r>
      <w:r w:rsidR="00886D59">
        <w:rPr>
          <w:sz w:val="24"/>
          <w:szCs w:val="24"/>
        </w:rPr>
        <w:t>, it is</w:t>
      </w:r>
      <w:r>
        <w:rPr>
          <w:sz w:val="24"/>
          <w:szCs w:val="24"/>
        </w:rPr>
        <w:t xml:space="preserve"> more difficult to keep track of the catches. As this species is CITES Appendix III-listed, the Mexican government is committed to ensure that sea cucumber harvesting for export ‘will not be detrimental to the survival of that species’, and ‘export of specimens of any such species should be limited in order to maintain that species throughout its range at a level consistent with its role in the ecosystems’ (CITES</w:t>
      </w:r>
      <w:r w:rsidR="0053461F">
        <w:rPr>
          <w:sz w:val="24"/>
          <w:szCs w:val="24"/>
        </w:rPr>
        <w:t>,</w:t>
      </w:r>
      <w:r>
        <w:rPr>
          <w:sz w:val="24"/>
          <w:szCs w:val="24"/>
        </w:rPr>
        <w:t xml:space="preserve"> 2017). </w:t>
      </w:r>
    </w:p>
    <w:p w:rsidR="004B3A0E" w:rsidRDefault="00D66BBC" w:rsidP="004B3A0E">
      <w:pPr>
        <w:spacing w:line="480" w:lineRule="auto"/>
        <w:rPr>
          <w:sz w:val="24"/>
          <w:szCs w:val="24"/>
        </w:rPr>
      </w:pPr>
      <w:bookmarkStart w:id="1" w:name="_gjdgxs" w:colFirst="0" w:colLast="0"/>
      <w:bookmarkEnd w:id="1"/>
      <w:r>
        <w:rPr>
          <w:sz w:val="24"/>
          <w:szCs w:val="24"/>
        </w:rPr>
        <w:t xml:space="preserve">To obtain a fishing permit, the interested party (called </w:t>
      </w:r>
      <w:proofErr w:type="spellStart"/>
      <w:r>
        <w:rPr>
          <w:i/>
          <w:sz w:val="24"/>
          <w:szCs w:val="24"/>
        </w:rPr>
        <w:t>permisionario</w:t>
      </w:r>
      <w:proofErr w:type="spellEnd"/>
      <w:r>
        <w:rPr>
          <w:sz w:val="24"/>
          <w:szCs w:val="24"/>
        </w:rPr>
        <w:t xml:space="preserve">) must first apply for the concession of an estate (the sea is federal property) and carry out an assessment of the abundance of cucumber on that estate. The applicants of an estate will seek it to be as large as possible because they will have exclusive fishing rights and because the authority grants the exploitation quotas </w:t>
      </w:r>
      <w:r w:rsidR="00AB046B">
        <w:rPr>
          <w:sz w:val="24"/>
          <w:szCs w:val="24"/>
        </w:rPr>
        <w:t xml:space="preserve">based on a </w:t>
      </w:r>
      <w:r>
        <w:rPr>
          <w:sz w:val="24"/>
          <w:szCs w:val="24"/>
        </w:rPr>
        <w:t>certain percentage (usually 10%) of the total abundance of the resource. In 2008 the first harvesting permits were granted in the area of Bahia de los Angeles (Glockner-Fagetti et al</w:t>
      </w:r>
      <w:r w:rsidR="0053461F">
        <w:rPr>
          <w:sz w:val="24"/>
          <w:szCs w:val="24"/>
        </w:rPr>
        <w:t>.</w:t>
      </w:r>
      <w:r>
        <w:rPr>
          <w:sz w:val="24"/>
          <w:szCs w:val="24"/>
        </w:rPr>
        <w:t>, 2016). Those permits were granted under the assumptions that the arithmetic mean density of sea cucumber</w:t>
      </w:r>
      <w:r w:rsidR="003D129A">
        <w:rPr>
          <w:sz w:val="24"/>
          <w:szCs w:val="24"/>
        </w:rPr>
        <w:t xml:space="preserve"> from </w:t>
      </w:r>
      <w:r w:rsidR="003D129A">
        <w:rPr>
          <w:i/>
          <w:iCs/>
          <w:sz w:val="24"/>
          <w:szCs w:val="24"/>
        </w:rPr>
        <w:t>in situ</w:t>
      </w:r>
      <w:r w:rsidR="003D129A">
        <w:rPr>
          <w:sz w:val="24"/>
          <w:szCs w:val="24"/>
        </w:rPr>
        <w:t xml:space="preserve"> sampling</w:t>
      </w:r>
      <w:r w:rsidR="00886D59">
        <w:rPr>
          <w:sz w:val="24"/>
          <w:szCs w:val="24"/>
        </w:rPr>
        <w:t xml:space="preserve"> </w:t>
      </w:r>
      <w:r>
        <w:rPr>
          <w:sz w:val="24"/>
          <w:szCs w:val="24"/>
        </w:rPr>
        <w:t xml:space="preserve">was a good estimator of the total abundance in </w:t>
      </w:r>
      <w:r w:rsidR="00886D59">
        <w:rPr>
          <w:sz w:val="24"/>
          <w:szCs w:val="24"/>
        </w:rPr>
        <w:t xml:space="preserve">a </w:t>
      </w:r>
      <w:r>
        <w:rPr>
          <w:sz w:val="24"/>
          <w:szCs w:val="24"/>
        </w:rPr>
        <w:t xml:space="preserve">certain area and that the sea cucumber was uniformly distributed in certain proportion of the whole estate. </w:t>
      </w:r>
    </w:p>
    <w:p w:rsidR="004B3A0E" w:rsidRDefault="004B3A0E" w:rsidP="00102BD9">
      <w:pPr>
        <w:spacing w:line="480" w:lineRule="auto"/>
        <w:rPr>
          <w:sz w:val="24"/>
          <w:szCs w:val="24"/>
        </w:rPr>
      </w:pPr>
      <w:r>
        <w:rPr>
          <w:sz w:val="24"/>
          <w:szCs w:val="24"/>
        </w:rPr>
        <w:t xml:space="preserve">However, this assumption of a uniform distribution is almost certainly an overestimate, </w:t>
      </w:r>
      <w:r w:rsidR="00886D59">
        <w:rPr>
          <w:sz w:val="24"/>
          <w:szCs w:val="24"/>
        </w:rPr>
        <w:t xml:space="preserve">because </w:t>
      </w:r>
      <w:r>
        <w:rPr>
          <w:sz w:val="24"/>
          <w:szCs w:val="24"/>
        </w:rPr>
        <w:t>it is based on two flawed assumptions</w:t>
      </w:r>
      <w:bookmarkStart w:id="2" w:name="_ian3j2h6pf8q" w:colFirst="0" w:colLast="0"/>
      <w:bookmarkEnd w:id="2"/>
      <w:r w:rsidR="00A34F95" w:rsidRPr="005C0935">
        <w:rPr>
          <w:sz w:val="24"/>
          <w:szCs w:val="24"/>
        </w:rPr>
        <w:t xml:space="preserve">: 1) the arithmetic mean abundance of </w:t>
      </w:r>
      <w:r w:rsidR="00A34F95" w:rsidRPr="005C0935">
        <w:rPr>
          <w:sz w:val="24"/>
          <w:szCs w:val="24"/>
        </w:rPr>
        <w:lastRenderedPageBreak/>
        <w:t>samples is representative of the total abundance</w:t>
      </w:r>
      <w:r w:rsidR="00102BD9">
        <w:rPr>
          <w:sz w:val="24"/>
          <w:szCs w:val="24"/>
        </w:rPr>
        <w:t>;</w:t>
      </w:r>
      <w:r w:rsidR="00A34F95" w:rsidRPr="005C0935">
        <w:rPr>
          <w:sz w:val="24"/>
          <w:szCs w:val="24"/>
        </w:rPr>
        <w:t xml:space="preserve"> and 2) the substrate is homogenous in the whole area. </w:t>
      </w:r>
      <w:r w:rsidR="005C0935" w:rsidRPr="005C0935">
        <w:rPr>
          <w:sz w:val="24"/>
          <w:szCs w:val="24"/>
        </w:rPr>
        <w:t xml:space="preserve">Benthic species are usually found in patches and therefore abundance data are highly skewed </w:t>
      </w:r>
      <w:r w:rsidR="005C0935" w:rsidRPr="005C0935">
        <w:rPr>
          <w:noProof/>
          <w:sz w:val="24"/>
          <w:szCs w:val="24"/>
        </w:rPr>
        <w:t>(Pennington</w:t>
      </w:r>
      <w:r w:rsidR="0053461F">
        <w:rPr>
          <w:noProof/>
          <w:sz w:val="24"/>
          <w:szCs w:val="24"/>
        </w:rPr>
        <w:t>,</w:t>
      </w:r>
      <w:r w:rsidR="005C0935" w:rsidRPr="005C0935">
        <w:rPr>
          <w:noProof/>
          <w:sz w:val="24"/>
          <w:szCs w:val="24"/>
        </w:rPr>
        <w:t xml:space="preserve"> 1996)</w:t>
      </w:r>
      <w:r w:rsidR="005C0935">
        <w:rPr>
          <w:sz w:val="24"/>
          <w:szCs w:val="24"/>
        </w:rPr>
        <w:t>. Habitat heterogeneity is the rule rather than the exception and this species is found in hard substrate</w:t>
      </w:r>
      <w:r w:rsidR="0017035F">
        <w:rPr>
          <w:sz w:val="24"/>
          <w:szCs w:val="24"/>
        </w:rPr>
        <w:t xml:space="preserve"> (</w:t>
      </w:r>
      <w:proofErr w:type="spellStart"/>
      <w:r w:rsidR="0017035F">
        <w:rPr>
          <w:sz w:val="24"/>
          <w:szCs w:val="24"/>
        </w:rPr>
        <w:t>Maluf</w:t>
      </w:r>
      <w:proofErr w:type="spellEnd"/>
      <w:r w:rsidR="0017035F">
        <w:rPr>
          <w:sz w:val="24"/>
          <w:szCs w:val="24"/>
        </w:rPr>
        <w:t xml:space="preserve">, 1988; </w:t>
      </w:r>
      <w:r w:rsidR="0017035F">
        <w:rPr>
          <w:noProof/>
          <w:sz w:val="24"/>
          <w:szCs w:val="24"/>
        </w:rPr>
        <w:t>Pañola-Madrigal et al., 2017</w:t>
      </w:r>
      <w:r w:rsidR="00B01737">
        <w:rPr>
          <w:noProof/>
          <w:sz w:val="24"/>
          <w:szCs w:val="24"/>
        </w:rPr>
        <w:t>a</w:t>
      </w:r>
      <w:r w:rsidR="0017035F">
        <w:rPr>
          <w:noProof/>
          <w:sz w:val="24"/>
          <w:szCs w:val="24"/>
        </w:rPr>
        <w:t xml:space="preserve">; </w:t>
      </w:r>
      <w:r w:rsidR="005C0935" w:rsidRPr="0017035F">
        <w:rPr>
          <w:noProof/>
          <w:sz w:val="24"/>
          <w:szCs w:val="24"/>
        </w:rPr>
        <w:t>Hermosillo-Nuñez et al.</w:t>
      </w:r>
      <w:r w:rsidR="0017035F">
        <w:rPr>
          <w:noProof/>
          <w:sz w:val="24"/>
          <w:szCs w:val="24"/>
        </w:rPr>
        <w:t>,</w:t>
      </w:r>
      <w:r w:rsidR="005C0935" w:rsidRPr="0017035F">
        <w:rPr>
          <w:noProof/>
          <w:sz w:val="24"/>
          <w:szCs w:val="24"/>
        </w:rPr>
        <w:t xml:space="preserve"> 2015)</w:t>
      </w:r>
      <w:r>
        <w:rPr>
          <w:noProof/>
          <w:sz w:val="24"/>
          <w:szCs w:val="24"/>
        </w:rPr>
        <w:t xml:space="preserve">. Indeed, </w:t>
      </w:r>
      <w:r>
        <w:rPr>
          <w:sz w:val="24"/>
          <w:szCs w:val="24"/>
        </w:rPr>
        <w:t xml:space="preserve">the quotas granted in 2008 </w:t>
      </w:r>
      <w:r w:rsidR="00FD5CC8">
        <w:rPr>
          <w:sz w:val="24"/>
          <w:szCs w:val="24"/>
        </w:rPr>
        <w:t>assumed</w:t>
      </w:r>
      <w:r>
        <w:rPr>
          <w:sz w:val="24"/>
          <w:szCs w:val="24"/>
        </w:rPr>
        <w:t xml:space="preserve"> minimum estimated densities of 0.68 (1.26 org per square meter), which is 2.5 times</w:t>
      </w:r>
      <w:r w:rsidR="00102BD9">
        <w:rPr>
          <w:sz w:val="24"/>
          <w:szCs w:val="24"/>
        </w:rPr>
        <w:t xml:space="preserve"> as high</w:t>
      </w:r>
      <w:r>
        <w:rPr>
          <w:sz w:val="24"/>
          <w:szCs w:val="24"/>
        </w:rPr>
        <w:t xml:space="preserve"> the observed</w:t>
      </w:r>
      <w:r w:rsidR="00102BD9">
        <w:rPr>
          <w:sz w:val="24"/>
          <w:szCs w:val="24"/>
        </w:rPr>
        <w:t xml:space="preserve"> average</w:t>
      </w:r>
      <w:r>
        <w:rPr>
          <w:sz w:val="24"/>
          <w:szCs w:val="24"/>
        </w:rPr>
        <w:t xml:space="preserve"> density (0.27) </w:t>
      </w:r>
      <w:r w:rsidR="00102BD9">
        <w:rPr>
          <w:sz w:val="24"/>
          <w:szCs w:val="24"/>
        </w:rPr>
        <w:t xml:space="preserve">from </w:t>
      </w:r>
      <w:r w:rsidR="00FD5CC8">
        <w:rPr>
          <w:sz w:val="24"/>
          <w:szCs w:val="24"/>
        </w:rPr>
        <w:t>20</w:t>
      </w:r>
      <w:r w:rsidR="00B51691">
        <w:rPr>
          <w:sz w:val="24"/>
          <w:szCs w:val="24"/>
        </w:rPr>
        <w:t xml:space="preserve"> </w:t>
      </w:r>
      <w:r>
        <w:rPr>
          <w:sz w:val="24"/>
          <w:szCs w:val="24"/>
        </w:rPr>
        <w:t xml:space="preserve">sampling sites </w:t>
      </w:r>
      <w:r w:rsidR="00FD5CC8">
        <w:rPr>
          <w:sz w:val="24"/>
          <w:szCs w:val="24"/>
        </w:rPr>
        <w:t>(Glockner-Fagetti et al., 2016</w:t>
      </w:r>
      <w:r w:rsidR="00767BAF">
        <w:rPr>
          <w:sz w:val="24"/>
          <w:szCs w:val="24"/>
        </w:rPr>
        <w:t xml:space="preserve">; </w:t>
      </w:r>
      <w:r>
        <w:rPr>
          <w:sz w:val="24"/>
          <w:szCs w:val="24"/>
        </w:rPr>
        <w:t>supplementa</w:t>
      </w:r>
      <w:r w:rsidR="00EA1D3B">
        <w:rPr>
          <w:sz w:val="24"/>
          <w:szCs w:val="24"/>
        </w:rPr>
        <w:t>ry</w:t>
      </w:r>
      <w:r>
        <w:rPr>
          <w:sz w:val="24"/>
          <w:szCs w:val="24"/>
        </w:rPr>
        <w:t xml:space="preserve"> material figure S1). </w:t>
      </w:r>
    </w:p>
    <w:p w:rsidR="001E64C3" w:rsidRPr="00BD4D8F" w:rsidRDefault="00D66BBC" w:rsidP="00102BD9">
      <w:pPr>
        <w:pBdr>
          <w:top w:val="nil"/>
          <w:left w:val="nil"/>
          <w:bottom w:val="nil"/>
          <w:right w:val="nil"/>
          <w:between w:val="nil"/>
        </w:pBdr>
        <w:spacing w:after="120" w:line="480" w:lineRule="auto"/>
        <w:rPr>
          <w:sz w:val="24"/>
          <w:szCs w:val="24"/>
        </w:rPr>
      </w:pPr>
      <w:r w:rsidRPr="00BD4D8F">
        <w:rPr>
          <w:color w:val="000000"/>
          <w:sz w:val="24"/>
          <w:szCs w:val="24"/>
        </w:rPr>
        <w:t xml:space="preserve">In this work we </w:t>
      </w:r>
      <w:r w:rsidRPr="00BD4D8F">
        <w:rPr>
          <w:sz w:val="24"/>
          <w:szCs w:val="24"/>
        </w:rPr>
        <w:t>estimate sea cucumber densities across</w:t>
      </w:r>
      <w:r w:rsidR="004E2BDE">
        <w:rPr>
          <w:sz w:val="24"/>
          <w:szCs w:val="24"/>
        </w:rPr>
        <w:t xml:space="preserve"> fishing estates </w:t>
      </w:r>
      <w:r w:rsidR="00B51691">
        <w:rPr>
          <w:sz w:val="24"/>
          <w:szCs w:val="24"/>
        </w:rPr>
        <w:t xml:space="preserve">in </w:t>
      </w:r>
      <w:r w:rsidRPr="00BD4D8F">
        <w:rPr>
          <w:sz w:val="24"/>
          <w:szCs w:val="24"/>
        </w:rPr>
        <w:t>the Gulf of California within areas of suitable habitat (&lt; 30m depth)</w:t>
      </w:r>
      <w:r w:rsidR="00B51691">
        <w:rPr>
          <w:sz w:val="24"/>
          <w:szCs w:val="24"/>
        </w:rPr>
        <w:t xml:space="preserve">. We compare estimates from an approach which </w:t>
      </w:r>
      <w:r w:rsidR="00102BD9">
        <w:rPr>
          <w:sz w:val="24"/>
          <w:szCs w:val="24"/>
        </w:rPr>
        <w:t>assum</w:t>
      </w:r>
      <w:r w:rsidR="00B51691">
        <w:rPr>
          <w:sz w:val="24"/>
          <w:szCs w:val="24"/>
        </w:rPr>
        <w:t>es</w:t>
      </w:r>
      <w:r w:rsidR="00102BD9">
        <w:rPr>
          <w:sz w:val="24"/>
          <w:szCs w:val="24"/>
        </w:rPr>
        <w:t xml:space="preserve"> uniform distributions (the</w:t>
      </w:r>
      <w:r w:rsidR="00B51691">
        <w:rPr>
          <w:sz w:val="24"/>
          <w:szCs w:val="24"/>
        </w:rPr>
        <w:t xml:space="preserve"> non-spatial</w:t>
      </w:r>
      <w:r w:rsidR="00102BD9">
        <w:rPr>
          <w:sz w:val="24"/>
          <w:szCs w:val="24"/>
        </w:rPr>
        <w:t xml:space="preserve"> approach used to assign quotas)</w:t>
      </w:r>
      <w:r w:rsidR="00B51691">
        <w:rPr>
          <w:sz w:val="24"/>
          <w:szCs w:val="24"/>
        </w:rPr>
        <w:t xml:space="preserve">, and one which takes </w:t>
      </w:r>
      <w:r w:rsidR="004E2BDE">
        <w:rPr>
          <w:sz w:val="24"/>
          <w:szCs w:val="24"/>
        </w:rPr>
        <w:t>into account the spatial structure of the distribution of this species</w:t>
      </w:r>
      <w:r w:rsidRPr="00BD4D8F">
        <w:rPr>
          <w:sz w:val="24"/>
          <w:szCs w:val="24"/>
        </w:rPr>
        <w:t xml:space="preserve">. We hypothesise that a modelling approach which takes into account the spatial structure of sea cucumber density will perform better than a </w:t>
      </w:r>
      <w:r w:rsidR="00B51691">
        <w:rPr>
          <w:sz w:val="24"/>
          <w:szCs w:val="24"/>
        </w:rPr>
        <w:t>non-spatial</w:t>
      </w:r>
      <w:r w:rsidRPr="00BD4D8F">
        <w:rPr>
          <w:sz w:val="24"/>
          <w:szCs w:val="24"/>
        </w:rPr>
        <w:t xml:space="preserve"> approach. We use our estimated densities to calculate sea cucumber abundance within estates, and compare these estimates to granted quotas. </w:t>
      </w:r>
    </w:p>
    <w:p w:rsidR="001E64C3" w:rsidRPr="00015F9A" w:rsidRDefault="00D66BBC">
      <w:pPr>
        <w:spacing w:line="480" w:lineRule="auto"/>
        <w:rPr>
          <w:sz w:val="24"/>
          <w:szCs w:val="24"/>
        </w:rPr>
      </w:pPr>
      <w:r w:rsidRPr="00015F9A">
        <w:rPr>
          <w:sz w:val="24"/>
          <w:szCs w:val="24"/>
        </w:rPr>
        <w:t>Methods</w:t>
      </w:r>
    </w:p>
    <w:p w:rsidR="001E64C3" w:rsidRPr="00015F9A" w:rsidRDefault="00D66BBC">
      <w:pPr>
        <w:spacing w:line="480" w:lineRule="auto"/>
        <w:rPr>
          <w:sz w:val="24"/>
          <w:szCs w:val="24"/>
        </w:rPr>
      </w:pPr>
      <w:r w:rsidRPr="00015F9A">
        <w:rPr>
          <w:sz w:val="24"/>
          <w:szCs w:val="24"/>
        </w:rPr>
        <w:t>Study site</w:t>
      </w:r>
    </w:p>
    <w:p w:rsidR="001E64C3" w:rsidRDefault="00D66BBC" w:rsidP="00124192">
      <w:pPr>
        <w:pBdr>
          <w:top w:val="nil"/>
          <w:left w:val="nil"/>
          <w:bottom w:val="nil"/>
          <w:right w:val="nil"/>
          <w:between w:val="nil"/>
        </w:pBdr>
        <w:spacing w:after="120" w:line="480" w:lineRule="auto"/>
        <w:rPr>
          <w:color w:val="000000"/>
          <w:sz w:val="24"/>
          <w:szCs w:val="24"/>
        </w:rPr>
      </w:pPr>
      <w:r w:rsidRPr="0017035F">
        <w:rPr>
          <w:color w:val="000000"/>
          <w:sz w:val="24"/>
          <w:szCs w:val="24"/>
        </w:rPr>
        <w:t>The Gulf of California is a large marine ecosystem (</w:t>
      </w:r>
      <w:proofErr w:type="spellStart"/>
      <w:r w:rsidRPr="00031513">
        <w:rPr>
          <w:i/>
          <w:color w:val="000000"/>
          <w:sz w:val="24"/>
          <w:szCs w:val="24"/>
        </w:rPr>
        <w:t>sensu</w:t>
      </w:r>
      <w:proofErr w:type="spellEnd"/>
      <w:r w:rsidRPr="0017035F">
        <w:rPr>
          <w:color w:val="000000"/>
          <w:sz w:val="24"/>
          <w:szCs w:val="24"/>
        </w:rPr>
        <w:t xml:space="preserve"> NOAA, </w:t>
      </w:r>
      <w:hyperlink r:id="rId8" w:history="1">
        <w:r w:rsidR="00B000C5" w:rsidRPr="007E07F8">
          <w:rPr>
            <w:rStyle w:val="Hyperlink"/>
            <w:sz w:val="24"/>
            <w:szCs w:val="24"/>
          </w:rPr>
          <w:t>https://www.st.nmfs.noaa.gov/ecosystems/lme/</w:t>
        </w:r>
      </w:hyperlink>
      <w:r w:rsidRPr="0017035F">
        <w:rPr>
          <w:color w:val="000000"/>
          <w:sz w:val="24"/>
          <w:szCs w:val="24"/>
        </w:rPr>
        <w:t>)</w:t>
      </w:r>
      <w:r w:rsidR="00B000C5">
        <w:rPr>
          <w:color w:val="000000"/>
          <w:sz w:val="24"/>
          <w:szCs w:val="24"/>
        </w:rPr>
        <w:t>.</w:t>
      </w:r>
      <w:r w:rsidRPr="0017035F">
        <w:rPr>
          <w:color w:val="000000"/>
          <w:sz w:val="24"/>
          <w:szCs w:val="24"/>
        </w:rPr>
        <w:t xml:space="preserve"> </w:t>
      </w:r>
      <w:r w:rsidR="00B000C5">
        <w:rPr>
          <w:color w:val="000000"/>
          <w:sz w:val="24"/>
          <w:szCs w:val="24"/>
        </w:rPr>
        <w:t>I</w:t>
      </w:r>
      <w:r w:rsidRPr="0017035F">
        <w:rPr>
          <w:color w:val="000000"/>
          <w:sz w:val="24"/>
          <w:szCs w:val="24"/>
        </w:rPr>
        <w:t>t is a semi-enclosed sea widely recognized for its high productivity and biodiversity (Lluch-Cota et al.</w:t>
      </w:r>
      <w:r w:rsidR="0017035F" w:rsidRPr="0017035F">
        <w:rPr>
          <w:color w:val="000000"/>
          <w:sz w:val="24"/>
          <w:szCs w:val="24"/>
        </w:rPr>
        <w:t>,</w:t>
      </w:r>
      <w:r w:rsidRPr="0017035F">
        <w:rPr>
          <w:color w:val="000000"/>
          <w:sz w:val="24"/>
          <w:szCs w:val="24"/>
        </w:rPr>
        <w:t xml:space="preserve"> 2007). This high productivity, mainly in the Midriff Island region, is due to intense tidal currents with high rates of tidal energy dissipation (up to &gt;0.3 W m</w:t>
      </w:r>
      <w:r w:rsidRPr="0017035F">
        <w:rPr>
          <w:color w:val="000000"/>
          <w:sz w:val="24"/>
          <w:szCs w:val="24"/>
          <w:vertAlign w:val="superscript"/>
        </w:rPr>
        <w:t>-2</w:t>
      </w:r>
      <w:r w:rsidR="0017035F" w:rsidRPr="0017035F">
        <w:rPr>
          <w:color w:val="000000"/>
          <w:sz w:val="24"/>
          <w:szCs w:val="24"/>
        </w:rPr>
        <w:t xml:space="preserve">, Argote et al. 1995 cited by </w:t>
      </w:r>
      <w:r w:rsidRPr="0017035F">
        <w:rPr>
          <w:color w:val="000000"/>
          <w:sz w:val="24"/>
          <w:szCs w:val="24"/>
        </w:rPr>
        <w:t>Alvarez-</w:t>
      </w:r>
      <w:r w:rsidRPr="0017035F">
        <w:rPr>
          <w:color w:val="000000"/>
          <w:sz w:val="24"/>
          <w:szCs w:val="24"/>
        </w:rPr>
        <w:lastRenderedPageBreak/>
        <w:t>Borrego</w:t>
      </w:r>
      <w:r w:rsidR="0017035F" w:rsidRPr="0017035F">
        <w:rPr>
          <w:color w:val="000000"/>
          <w:sz w:val="24"/>
          <w:szCs w:val="24"/>
        </w:rPr>
        <w:t>,</w:t>
      </w:r>
      <w:r w:rsidRPr="0017035F">
        <w:rPr>
          <w:color w:val="000000"/>
          <w:sz w:val="24"/>
          <w:szCs w:val="24"/>
        </w:rPr>
        <w:t xml:space="preserve"> 2008) because this intense water mixing generates nutrient-rich upwelling.  </w:t>
      </w:r>
      <w:r w:rsidRPr="00BD4D8F">
        <w:rPr>
          <w:color w:val="000000"/>
          <w:sz w:val="24"/>
          <w:szCs w:val="24"/>
        </w:rPr>
        <w:t xml:space="preserve">The west coast of the Gulf of California is </w:t>
      </w:r>
      <w:r w:rsidR="00124192">
        <w:rPr>
          <w:color w:val="000000"/>
          <w:sz w:val="24"/>
          <w:szCs w:val="24"/>
        </w:rPr>
        <w:t>part of the</w:t>
      </w:r>
      <w:r w:rsidRPr="00BD4D8F">
        <w:rPr>
          <w:color w:val="000000"/>
          <w:sz w:val="24"/>
          <w:szCs w:val="24"/>
        </w:rPr>
        <w:t xml:space="preserve"> Baja California peninsula, which politically belongs to the Mexican states of Baja California and Baja California Sur</w:t>
      </w:r>
      <w:r w:rsidR="00124192">
        <w:rPr>
          <w:color w:val="000000"/>
          <w:sz w:val="24"/>
          <w:szCs w:val="24"/>
        </w:rPr>
        <w:t>. It</w:t>
      </w:r>
      <w:r w:rsidRPr="00BD4D8F">
        <w:rPr>
          <w:color w:val="000000"/>
          <w:sz w:val="24"/>
          <w:szCs w:val="24"/>
        </w:rPr>
        <w:t xml:space="preserve"> is less populated than the east coast in mainland Mexico, with only some scattered towns (Figure 1). Nevertheless, the </w:t>
      </w:r>
      <w:r w:rsidR="00086690">
        <w:rPr>
          <w:color w:val="000000"/>
          <w:sz w:val="24"/>
          <w:szCs w:val="24"/>
        </w:rPr>
        <w:t xml:space="preserve">whole </w:t>
      </w:r>
      <w:r w:rsidRPr="00BD4D8F">
        <w:rPr>
          <w:color w:val="000000"/>
          <w:sz w:val="24"/>
          <w:szCs w:val="24"/>
        </w:rPr>
        <w:t xml:space="preserve">area is heavily fished by small-scale fishers from San Felipe and </w:t>
      </w:r>
      <w:r w:rsidR="00124192">
        <w:rPr>
          <w:color w:val="000000"/>
          <w:sz w:val="24"/>
          <w:szCs w:val="24"/>
        </w:rPr>
        <w:t xml:space="preserve">the Mexican </w:t>
      </w:r>
      <w:r w:rsidRPr="00BD4D8F">
        <w:rPr>
          <w:color w:val="000000"/>
          <w:sz w:val="24"/>
          <w:szCs w:val="24"/>
        </w:rPr>
        <w:t>mainland</w:t>
      </w:r>
      <w:r w:rsidR="00086690">
        <w:rPr>
          <w:color w:val="000000"/>
          <w:sz w:val="24"/>
          <w:szCs w:val="24"/>
        </w:rPr>
        <w:t xml:space="preserve"> who</w:t>
      </w:r>
      <w:r w:rsidRPr="00BD4D8F">
        <w:rPr>
          <w:color w:val="000000"/>
          <w:sz w:val="24"/>
          <w:szCs w:val="24"/>
        </w:rPr>
        <w:t xml:space="preserve"> fish clams, octopus, sea lobsters and sea cucumber, among many other high valu</w:t>
      </w:r>
      <w:r w:rsidR="00124192">
        <w:rPr>
          <w:color w:val="000000"/>
          <w:sz w:val="24"/>
          <w:szCs w:val="24"/>
        </w:rPr>
        <w:t>e</w:t>
      </w:r>
      <w:r w:rsidRPr="00BD4D8F">
        <w:rPr>
          <w:color w:val="000000"/>
          <w:sz w:val="24"/>
          <w:szCs w:val="24"/>
        </w:rPr>
        <w:t xml:space="preserve"> species. </w:t>
      </w:r>
      <w:r w:rsidRPr="00EE3852">
        <w:rPr>
          <w:color w:val="000000"/>
          <w:sz w:val="24"/>
          <w:szCs w:val="24"/>
        </w:rPr>
        <w:t>Most of the study are</w:t>
      </w:r>
      <w:r>
        <w:rPr>
          <w:color w:val="000000"/>
          <w:sz w:val="24"/>
          <w:szCs w:val="24"/>
        </w:rPr>
        <w:t xml:space="preserve">a is included in the biosphere reserve Bahia de los Angeles and Canales de Ballenas y </w:t>
      </w:r>
      <w:proofErr w:type="spellStart"/>
      <w:r>
        <w:rPr>
          <w:color w:val="000000"/>
          <w:sz w:val="24"/>
          <w:szCs w:val="24"/>
        </w:rPr>
        <w:t>Salsipuedes</w:t>
      </w:r>
      <w:proofErr w:type="spellEnd"/>
      <w:r w:rsidR="00E6777A">
        <w:rPr>
          <w:color w:val="000000"/>
          <w:sz w:val="24"/>
          <w:szCs w:val="24"/>
        </w:rPr>
        <w:t xml:space="preserve"> (Anonymous, 2007)</w:t>
      </w:r>
      <w:r>
        <w:rPr>
          <w:color w:val="000000"/>
          <w:sz w:val="24"/>
          <w:szCs w:val="24"/>
        </w:rPr>
        <w:t xml:space="preserve">. Bahia de los Angeles </w:t>
      </w:r>
      <w:r w:rsidR="00124192">
        <w:rPr>
          <w:color w:val="000000"/>
          <w:sz w:val="24"/>
          <w:szCs w:val="24"/>
        </w:rPr>
        <w:t xml:space="preserve">itself </w:t>
      </w:r>
      <w:r>
        <w:rPr>
          <w:color w:val="000000"/>
          <w:sz w:val="24"/>
          <w:szCs w:val="24"/>
        </w:rPr>
        <w:t>is a</w:t>
      </w:r>
      <w:r w:rsidR="00B000C5">
        <w:rPr>
          <w:color w:val="000000"/>
          <w:sz w:val="24"/>
          <w:szCs w:val="24"/>
        </w:rPr>
        <w:t>n</w:t>
      </w:r>
      <w:r>
        <w:rPr>
          <w:color w:val="000000"/>
          <w:sz w:val="24"/>
          <w:szCs w:val="24"/>
        </w:rPr>
        <w:t xml:space="preserve"> </w:t>
      </w:r>
      <w:r w:rsidR="00124192">
        <w:rPr>
          <w:color w:val="000000"/>
          <w:sz w:val="24"/>
          <w:szCs w:val="24"/>
        </w:rPr>
        <w:t xml:space="preserve">impoverished </w:t>
      </w:r>
      <w:r>
        <w:rPr>
          <w:color w:val="000000"/>
          <w:sz w:val="24"/>
          <w:szCs w:val="24"/>
        </w:rPr>
        <w:t xml:space="preserve">small village with less than 1,000 habitants (590 persons in 2010, according to official figures; only 35% born there; </w:t>
      </w:r>
      <w:r>
        <w:rPr>
          <w:color w:val="333333"/>
          <w:sz w:val="24"/>
          <w:szCs w:val="24"/>
          <w:highlight w:val="white"/>
        </w:rPr>
        <w:t>Mexico’s National Institute of Statistics and Geograph</w:t>
      </w:r>
      <w:r w:rsidR="0017035F">
        <w:rPr>
          <w:color w:val="333333"/>
          <w:sz w:val="24"/>
          <w:szCs w:val="24"/>
          <w:highlight w:val="white"/>
        </w:rPr>
        <w:t>y INEGI</w:t>
      </w:r>
      <w:r>
        <w:rPr>
          <w:color w:val="000000"/>
          <w:sz w:val="24"/>
          <w:szCs w:val="24"/>
        </w:rPr>
        <w:t xml:space="preserve"> </w:t>
      </w:r>
      <w:hyperlink r:id="rId9">
        <w:r>
          <w:rPr>
            <w:color w:val="0000FF"/>
            <w:sz w:val="24"/>
            <w:szCs w:val="24"/>
            <w:u w:val="single"/>
          </w:rPr>
          <w:t>http://www.beta.inegi.org.mx/proyectos/ccpv/2010/</w:t>
        </w:r>
      </w:hyperlink>
      <w:r>
        <w:rPr>
          <w:color w:val="000000"/>
          <w:sz w:val="24"/>
          <w:szCs w:val="24"/>
        </w:rPr>
        <w:t xml:space="preserve">). The main economic activity is small-scale fishing and seasonal tourism, including ecotourism </w:t>
      </w:r>
      <w:r w:rsidR="00086690">
        <w:rPr>
          <w:color w:val="000000"/>
          <w:sz w:val="24"/>
          <w:szCs w:val="24"/>
        </w:rPr>
        <w:t xml:space="preserve">(for example </w:t>
      </w:r>
      <w:r>
        <w:rPr>
          <w:color w:val="000000"/>
          <w:sz w:val="24"/>
          <w:szCs w:val="24"/>
        </w:rPr>
        <w:t>whale shark watching</w:t>
      </w:r>
      <w:r w:rsidR="00086690">
        <w:rPr>
          <w:color w:val="000000"/>
          <w:sz w:val="24"/>
          <w:szCs w:val="24"/>
        </w:rPr>
        <w:t>;</w:t>
      </w:r>
      <w:r>
        <w:rPr>
          <w:color w:val="000000"/>
          <w:sz w:val="24"/>
          <w:szCs w:val="24"/>
        </w:rPr>
        <w:t xml:space="preserve"> </w:t>
      </w:r>
      <w:r>
        <w:rPr>
          <w:sz w:val="24"/>
          <w:szCs w:val="24"/>
        </w:rPr>
        <w:t>Rodríguez-Dowdell et al</w:t>
      </w:r>
      <w:r w:rsidR="0017035F">
        <w:rPr>
          <w:sz w:val="24"/>
          <w:szCs w:val="24"/>
        </w:rPr>
        <w:t>.,</w:t>
      </w:r>
      <w:r>
        <w:rPr>
          <w:sz w:val="24"/>
          <w:szCs w:val="24"/>
        </w:rPr>
        <w:t xml:space="preserve"> 2007)</w:t>
      </w:r>
      <w:r>
        <w:rPr>
          <w:color w:val="000000"/>
          <w:sz w:val="24"/>
          <w:szCs w:val="24"/>
        </w:rPr>
        <w:t xml:space="preserve">. </w:t>
      </w:r>
      <w:r w:rsidR="00124192">
        <w:rPr>
          <w:color w:val="000000"/>
          <w:sz w:val="24"/>
          <w:szCs w:val="24"/>
        </w:rPr>
        <w:t xml:space="preserve">However, the village is blighted by </w:t>
      </w:r>
      <w:r>
        <w:rPr>
          <w:color w:val="000000"/>
          <w:sz w:val="24"/>
          <w:szCs w:val="24"/>
        </w:rPr>
        <w:t>conflicts for land, delinquency</w:t>
      </w:r>
      <w:r w:rsidR="00086690">
        <w:rPr>
          <w:color w:val="000000"/>
          <w:sz w:val="24"/>
          <w:szCs w:val="24"/>
        </w:rPr>
        <w:t>,</w:t>
      </w:r>
      <w:r>
        <w:rPr>
          <w:color w:val="000000"/>
          <w:sz w:val="24"/>
          <w:szCs w:val="24"/>
        </w:rPr>
        <w:t xml:space="preserve"> and drug consumption and trafficking</w:t>
      </w:r>
      <w:r w:rsidR="00086690">
        <w:rPr>
          <w:color w:val="000000"/>
          <w:sz w:val="24"/>
          <w:szCs w:val="24"/>
        </w:rPr>
        <w:t>. Additionally, it</w:t>
      </w:r>
      <w:r w:rsidR="00124192">
        <w:rPr>
          <w:color w:val="000000"/>
          <w:sz w:val="24"/>
          <w:szCs w:val="24"/>
        </w:rPr>
        <w:t xml:space="preserve"> has low levels of literacy and poor telecommunication links. </w:t>
      </w:r>
    </w:p>
    <w:p w:rsidR="001E64C3" w:rsidRDefault="001E64C3">
      <w:pPr>
        <w:spacing w:line="480" w:lineRule="auto"/>
        <w:rPr>
          <w:sz w:val="24"/>
          <w:szCs w:val="24"/>
        </w:rPr>
      </w:pPr>
    </w:p>
    <w:p w:rsidR="001E64C3" w:rsidRDefault="00545AB0" w:rsidP="00ED0965">
      <w:pPr>
        <w:spacing w:line="480" w:lineRule="auto"/>
        <w:rPr>
          <w:sz w:val="24"/>
          <w:szCs w:val="24"/>
        </w:rPr>
      </w:pPr>
      <w:r w:rsidRPr="00784566">
        <w:rPr>
          <w:noProof/>
          <w:sz w:val="24"/>
          <w:szCs w:val="24"/>
          <w:lang w:val="en-US"/>
        </w:rPr>
        <w:lastRenderedPageBreak/>
        <w:drawing>
          <wp:inline distT="0" distB="0" distL="0" distR="0">
            <wp:extent cx="5041900" cy="7200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7200900"/>
                    </a:xfrm>
                    <a:prstGeom prst="rect">
                      <a:avLst/>
                    </a:prstGeom>
                    <a:noFill/>
                    <a:ln>
                      <a:noFill/>
                    </a:ln>
                  </pic:spPr>
                </pic:pic>
              </a:graphicData>
            </a:graphic>
          </wp:inline>
        </w:drawing>
      </w:r>
    </w:p>
    <w:p w:rsidR="001E64C3" w:rsidRDefault="00D66BBC">
      <w:pPr>
        <w:spacing w:after="120" w:line="480" w:lineRule="auto"/>
        <w:rPr>
          <w:sz w:val="24"/>
          <w:szCs w:val="24"/>
        </w:rPr>
      </w:pPr>
      <w:r>
        <w:rPr>
          <w:sz w:val="24"/>
          <w:szCs w:val="24"/>
        </w:rPr>
        <w:t xml:space="preserve">Figure 1. Study area showing the surveyed locations and measured densities. Current and/or last </w:t>
      </w:r>
      <w:proofErr w:type="spellStart"/>
      <w:r>
        <w:rPr>
          <w:sz w:val="24"/>
          <w:szCs w:val="24"/>
        </w:rPr>
        <w:t>concessioned</w:t>
      </w:r>
      <w:proofErr w:type="spellEnd"/>
      <w:r>
        <w:rPr>
          <w:sz w:val="24"/>
          <w:szCs w:val="24"/>
        </w:rPr>
        <w:t xml:space="preserve"> estates for sea cucumber harvesting</w:t>
      </w:r>
      <w:r w:rsidR="00C42396">
        <w:rPr>
          <w:sz w:val="24"/>
          <w:szCs w:val="24"/>
        </w:rPr>
        <w:t xml:space="preserve"> are shown as light grey polygons with black outlines.</w:t>
      </w:r>
    </w:p>
    <w:p w:rsidR="001E64C3" w:rsidRDefault="001E64C3">
      <w:pPr>
        <w:spacing w:line="480" w:lineRule="auto"/>
        <w:rPr>
          <w:sz w:val="24"/>
          <w:szCs w:val="24"/>
        </w:rPr>
      </w:pPr>
    </w:p>
    <w:p w:rsidR="001E64C3" w:rsidRDefault="00D66BBC">
      <w:pPr>
        <w:spacing w:line="480" w:lineRule="auto"/>
        <w:rPr>
          <w:sz w:val="24"/>
          <w:szCs w:val="24"/>
        </w:rPr>
      </w:pPr>
      <w:r>
        <w:rPr>
          <w:sz w:val="24"/>
          <w:szCs w:val="24"/>
        </w:rPr>
        <w:t>Data</w:t>
      </w:r>
    </w:p>
    <w:p w:rsidR="001E64C3" w:rsidRDefault="00D66BBC" w:rsidP="00E6777A">
      <w:pPr>
        <w:spacing w:line="480" w:lineRule="auto"/>
        <w:rPr>
          <w:sz w:val="24"/>
          <w:szCs w:val="24"/>
        </w:rPr>
      </w:pPr>
      <w:r>
        <w:rPr>
          <w:sz w:val="24"/>
          <w:szCs w:val="24"/>
        </w:rPr>
        <w:t>In order to assess the stock abundance of the sea cucumber</w:t>
      </w:r>
      <w:r w:rsidR="00124192">
        <w:rPr>
          <w:sz w:val="24"/>
          <w:szCs w:val="24"/>
        </w:rPr>
        <w:t>,</w:t>
      </w:r>
      <w:r>
        <w:rPr>
          <w:sz w:val="24"/>
          <w:szCs w:val="24"/>
        </w:rPr>
        <w:t xml:space="preserve"> monthly surveys were conducted from October 2014 to December 2016 along the west coast of the Gulf of California (29.95 </w:t>
      </w:r>
      <w:proofErr w:type="spellStart"/>
      <w:r>
        <w:rPr>
          <w:sz w:val="24"/>
          <w:szCs w:val="24"/>
          <w:vertAlign w:val="superscript"/>
        </w:rPr>
        <w:t>o</w:t>
      </w:r>
      <w:r>
        <w:rPr>
          <w:sz w:val="24"/>
          <w:szCs w:val="24"/>
        </w:rPr>
        <w:t>N</w:t>
      </w:r>
      <w:proofErr w:type="spellEnd"/>
      <w:r>
        <w:rPr>
          <w:sz w:val="24"/>
          <w:szCs w:val="24"/>
        </w:rPr>
        <w:t xml:space="preserve"> – 28.05 </w:t>
      </w:r>
      <w:proofErr w:type="spellStart"/>
      <w:r>
        <w:rPr>
          <w:sz w:val="24"/>
          <w:szCs w:val="24"/>
          <w:vertAlign w:val="superscript"/>
        </w:rPr>
        <w:t>o</w:t>
      </w:r>
      <w:r>
        <w:rPr>
          <w:sz w:val="24"/>
          <w:szCs w:val="24"/>
        </w:rPr>
        <w:t>N</w:t>
      </w:r>
      <w:proofErr w:type="spellEnd"/>
      <w:r>
        <w:rPr>
          <w:sz w:val="24"/>
          <w:szCs w:val="24"/>
        </w:rPr>
        <w:t xml:space="preserve">). Sampling followed a stratified sampling design in which strata were those places previously surveyed with </w:t>
      </w:r>
      <w:r w:rsidR="00124192">
        <w:rPr>
          <w:sz w:val="24"/>
          <w:szCs w:val="24"/>
        </w:rPr>
        <w:t xml:space="preserve">a </w:t>
      </w:r>
      <w:r>
        <w:rPr>
          <w:sz w:val="24"/>
          <w:szCs w:val="24"/>
        </w:rPr>
        <w:t>recorded presence of sea cucumber (Glockner-Fagetti et al.</w:t>
      </w:r>
      <w:r w:rsidR="0017035F">
        <w:rPr>
          <w:sz w:val="24"/>
          <w:szCs w:val="24"/>
        </w:rPr>
        <w:t>,</w:t>
      </w:r>
      <w:r>
        <w:rPr>
          <w:sz w:val="24"/>
          <w:szCs w:val="24"/>
        </w:rPr>
        <w:t xml:space="preserve"> 2016)</w:t>
      </w:r>
      <w:r w:rsidR="00124192">
        <w:rPr>
          <w:sz w:val="24"/>
          <w:szCs w:val="24"/>
        </w:rPr>
        <w:t xml:space="preserve">. This approach was taken to avoid the large areas with a sandy substrate, as this </w:t>
      </w:r>
      <w:r w:rsidR="00A64E01">
        <w:rPr>
          <w:sz w:val="24"/>
          <w:szCs w:val="24"/>
        </w:rPr>
        <w:t>s</w:t>
      </w:r>
      <w:r>
        <w:rPr>
          <w:sz w:val="24"/>
          <w:szCs w:val="24"/>
        </w:rPr>
        <w:t xml:space="preserve">pecies is </w:t>
      </w:r>
      <w:r w:rsidR="00124192">
        <w:rPr>
          <w:sz w:val="24"/>
          <w:szCs w:val="24"/>
        </w:rPr>
        <w:t xml:space="preserve">only </w:t>
      </w:r>
      <w:r>
        <w:rPr>
          <w:sz w:val="24"/>
          <w:szCs w:val="24"/>
        </w:rPr>
        <w:t xml:space="preserve">found </w:t>
      </w:r>
      <w:r w:rsidR="00124192">
        <w:rPr>
          <w:sz w:val="24"/>
          <w:szCs w:val="24"/>
        </w:rPr>
        <w:t>o</w:t>
      </w:r>
      <w:r>
        <w:rPr>
          <w:sz w:val="24"/>
          <w:szCs w:val="24"/>
        </w:rPr>
        <w:t>n hard substrate (</w:t>
      </w:r>
      <w:proofErr w:type="spellStart"/>
      <w:r>
        <w:rPr>
          <w:sz w:val="24"/>
          <w:szCs w:val="24"/>
        </w:rPr>
        <w:t>Maluf</w:t>
      </w:r>
      <w:proofErr w:type="spellEnd"/>
      <w:r w:rsidR="0017035F">
        <w:rPr>
          <w:sz w:val="24"/>
          <w:szCs w:val="24"/>
        </w:rPr>
        <w:t>,</w:t>
      </w:r>
      <w:r>
        <w:rPr>
          <w:sz w:val="24"/>
          <w:szCs w:val="24"/>
        </w:rPr>
        <w:t xml:space="preserve"> 1988). </w:t>
      </w:r>
      <w:r w:rsidR="004A501B">
        <w:rPr>
          <w:sz w:val="24"/>
          <w:szCs w:val="24"/>
        </w:rPr>
        <w:t>Nevertheless</w:t>
      </w:r>
      <w:r w:rsidR="00B000C5">
        <w:rPr>
          <w:sz w:val="24"/>
          <w:szCs w:val="24"/>
        </w:rPr>
        <w:t>, many sites included areas with soft substrate (</w:t>
      </w:r>
      <w:r w:rsidR="00A14234">
        <w:rPr>
          <w:sz w:val="24"/>
          <w:szCs w:val="24"/>
        </w:rPr>
        <w:t>sand, pebbles,</w:t>
      </w:r>
      <w:r w:rsidR="00B000C5">
        <w:rPr>
          <w:sz w:val="24"/>
          <w:szCs w:val="24"/>
        </w:rPr>
        <w:t xml:space="preserve"> and</w:t>
      </w:r>
      <w:r w:rsidR="00A14234">
        <w:rPr>
          <w:sz w:val="24"/>
          <w:szCs w:val="24"/>
        </w:rPr>
        <w:t xml:space="preserve"> mud</w:t>
      </w:r>
      <w:r w:rsidR="00B000C5">
        <w:rPr>
          <w:sz w:val="24"/>
          <w:szCs w:val="24"/>
        </w:rPr>
        <w:t>)</w:t>
      </w:r>
      <w:r w:rsidR="00A14234">
        <w:rPr>
          <w:sz w:val="24"/>
          <w:szCs w:val="24"/>
        </w:rPr>
        <w:t xml:space="preserve">. </w:t>
      </w:r>
      <w:r>
        <w:rPr>
          <w:sz w:val="24"/>
          <w:szCs w:val="24"/>
        </w:rPr>
        <w:t xml:space="preserve">At each </w:t>
      </w:r>
      <w:r w:rsidR="00D2792E">
        <w:rPr>
          <w:sz w:val="24"/>
          <w:szCs w:val="24"/>
        </w:rPr>
        <w:t>site,</w:t>
      </w:r>
      <w:r>
        <w:rPr>
          <w:sz w:val="24"/>
          <w:szCs w:val="24"/>
        </w:rPr>
        <w:t xml:space="preserve"> </w:t>
      </w:r>
      <w:r w:rsidR="00D2792E">
        <w:rPr>
          <w:sz w:val="24"/>
          <w:szCs w:val="24"/>
        </w:rPr>
        <w:t xml:space="preserve">we recorded </w:t>
      </w:r>
      <w:r w:rsidR="00086690">
        <w:rPr>
          <w:sz w:val="24"/>
          <w:szCs w:val="24"/>
        </w:rPr>
        <w:t>spatial</w:t>
      </w:r>
      <w:r w:rsidR="00B000C5">
        <w:rPr>
          <w:sz w:val="24"/>
          <w:szCs w:val="24"/>
        </w:rPr>
        <w:t xml:space="preserve"> </w:t>
      </w:r>
      <w:r>
        <w:rPr>
          <w:sz w:val="24"/>
          <w:szCs w:val="24"/>
        </w:rPr>
        <w:t>coordinates</w:t>
      </w:r>
      <w:r w:rsidR="00D2792E">
        <w:rPr>
          <w:sz w:val="24"/>
          <w:szCs w:val="24"/>
        </w:rPr>
        <w:t>,</w:t>
      </w:r>
      <w:r>
        <w:rPr>
          <w:sz w:val="24"/>
          <w:szCs w:val="24"/>
        </w:rPr>
        <w:t xml:space="preserve"> air temperature, wind velocity, sea</w:t>
      </w:r>
      <w:r w:rsidR="00D2792E">
        <w:rPr>
          <w:sz w:val="24"/>
          <w:szCs w:val="24"/>
        </w:rPr>
        <w:t>-</w:t>
      </w:r>
      <w:r>
        <w:rPr>
          <w:sz w:val="24"/>
          <w:szCs w:val="24"/>
        </w:rPr>
        <w:t xml:space="preserve">water temperature, dissolved oxygen and depth. The abundance of sea cucumber was estimated </w:t>
      </w:r>
      <w:r w:rsidR="00831A1B">
        <w:rPr>
          <w:sz w:val="24"/>
          <w:szCs w:val="24"/>
        </w:rPr>
        <w:t xml:space="preserve">by </w:t>
      </w:r>
      <w:r>
        <w:rPr>
          <w:sz w:val="24"/>
          <w:szCs w:val="24"/>
        </w:rPr>
        <w:t xml:space="preserve">conducting two swath </w:t>
      </w:r>
      <w:r w:rsidR="00631D5F">
        <w:rPr>
          <w:sz w:val="24"/>
          <w:szCs w:val="24"/>
        </w:rPr>
        <w:t>quadrats</w:t>
      </w:r>
      <w:r>
        <w:rPr>
          <w:sz w:val="24"/>
          <w:szCs w:val="24"/>
        </w:rPr>
        <w:t xml:space="preserve"> (25 x 2m) at three different depths (0-9 m; 10- 17; 18 -30 m) and this was repeated three times at each location.</w:t>
      </w:r>
      <w:r w:rsidR="00631D5F">
        <w:rPr>
          <w:sz w:val="24"/>
          <w:szCs w:val="24"/>
        </w:rPr>
        <w:t xml:space="preserve"> Collection was performed at </w:t>
      </w:r>
      <w:r w:rsidR="00E22A84">
        <w:rPr>
          <w:sz w:val="24"/>
          <w:szCs w:val="24"/>
        </w:rPr>
        <w:t>night by</w:t>
      </w:r>
      <w:r w:rsidR="00631D5F">
        <w:rPr>
          <w:sz w:val="24"/>
          <w:szCs w:val="24"/>
        </w:rPr>
        <w:t xml:space="preserve"> professional well-trained divers using torches because during daylight sea cucumbers hide at crevices and are missed (Reyes-Bonilla et al, 2016). </w:t>
      </w:r>
      <w:r w:rsidR="00831A1B">
        <w:rPr>
          <w:sz w:val="24"/>
          <w:szCs w:val="24"/>
        </w:rPr>
        <w:t>As such</w:t>
      </w:r>
      <w:r>
        <w:rPr>
          <w:sz w:val="24"/>
          <w:szCs w:val="24"/>
        </w:rPr>
        <w:t xml:space="preserve">, 18 </w:t>
      </w:r>
      <w:r w:rsidR="00631D5F">
        <w:rPr>
          <w:sz w:val="24"/>
          <w:szCs w:val="24"/>
        </w:rPr>
        <w:t>quadrats</w:t>
      </w:r>
      <w:r>
        <w:rPr>
          <w:sz w:val="24"/>
          <w:szCs w:val="24"/>
        </w:rPr>
        <w:t xml:space="preserve"> were performed per location</w:t>
      </w:r>
      <w:r w:rsidR="00831A1B">
        <w:rPr>
          <w:sz w:val="24"/>
          <w:szCs w:val="24"/>
        </w:rPr>
        <w:t xml:space="preserve"> for</w:t>
      </w:r>
      <w:r>
        <w:rPr>
          <w:sz w:val="24"/>
          <w:szCs w:val="24"/>
        </w:rPr>
        <w:t xml:space="preserve"> each visit, except when extreme meteorological conditions impeded</w:t>
      </w:r>
      <w:r w:rsidR="00831A1B">
        <w:rPr>
          <w:sz w:val="24"/>
          <w:szCs w:val="24"/>
        </w:rPr>
        <w:t xml:space="preserve"> the survey</w:t>
      </w:r>
      <w:r>
        <w:rPr>
          <w:sz w:val="24"/>
          <w:szCs w:val="24"/>
        </w:rPr>
        <w:t xml:space="preserve">. </w:t>
      </w:r>
      <w:r w:rsidR="00831A1B">
        <w:rPr>
          <w:sz w:val="24"/>
          <w:szCs w:val="24"/>
        </w:rPr>
        <w:t xml:space="preserve">In total, </w:t>
      </w:r>
      <w:r>
        <w:rPr>
          <w:sz w:val="24"/>
          <w:szCs w:val="24"/>
        </w:rPr>
        <w:t>118 locations were surveyed</w:t>
      </w:r>
      <w:r w:rsidR="00831A1B">
        <w:rPr>
          <w:sz w:val="24"/>
          <w:szCs w:val="24"/>
        </w:rPr>
        <w:t xml:space="preserve"> during the study period</w:t>
      </w:r>
      <w:r w:rsidR="00E6777A">
        <w:rPr>
          <w:sz w:val="24"/>
          <w:szCs w:val="24"/>
        </w:rPr>
        <w:t>.</w:t>
      </w:r>
    </w:p>
    <w:p w:rsidR="001E64C3" w:rsidRDefault="00D66BBC" w:rsidP="00831A1B">
      <w:pPr>
        <w:spacing w:line="480" w:lineRule="auto"/>
        <w:rPr>
          <w:sz w:val="24"/>
          <w:szCs w:val="24"/>
        </w:rPr>
      </w:pPr>
      <w:r>
        <w:rPr>
          <w:sz w:val="24"/>
          <w:szCs w:val="24"/>
        </w:rPr>
        <w:t>Historical quota data of 16 permit</w:t>
      </w:r>
      <w:r w:rsidR="00D2792E">
        <w:rPr>
          <w:sz w:val="24"/>
          <w:szCs w:val="24"/>
        </w:rPr>
        <w:t xml:space="preserve"> </w:t>
      </w:r>
      <w:r>
        <w:rPr>
          <w:sz w:val="24"/>
          <w:szCs w:val="24"/>
        </w:rPr>
        <w:t>holders</w:t>
      </w:r>
      <w:r w:rsidR="00831A1B">
        <w:rPr>
          <w:sz w:val="24"/>
          <w:szCs w:val="24"/>
        </w:rPr>
        <w:t xml:space="preserve">, </w:t>
      </w:r>
      <w:r>
        <w:rPr>
          <w:sz w:val="24"/>
          <w:szCs w:val="24"/>
        </w:rPr>
        <w:t xml:space="preserve">the total area of the </w:t>
      </w:r>
      <w:proofErr w:type="spellStart"/>
      <w:r>
        <w:rPr>
          <w:sz w:val="24"/>
          <w:szCs w:val="24"/>
        </w:rPr>
        <w:t>concessioned</w:t>
      </w:r>
      <w:proofErr w:type="spellEnd"/>
      <w:r>
        <w:rPr>
          <w:sz w:val="24"/>
          <w:szCs w:val="24"/>
        </w:rPr>
        <w:t xml:space="preserve"> estate</w:t>
      </w:r>
      <w:r w:rsidR="00831A1B">
        <w:rPr>
          <w:sz w:val="24"/>
          <w:szCs w:val="24"/>
        </w:rPr>
        <w:t>,</w:t>
      </w:r>
      <w:r>
        <w:rPr>
          <w:sz w:val="24"/>
          <w:szCs w:val="24"/>
        </w:rPr>
        <w:t xml:space="preserve"> as well as the locations of the last-permit holders were provided by </w:t>
      </w:r>
      <w:r w:rsidR="00376E98">
        <w:rPr>
          <w:sz w:val="24"/>
          <w:szCs w:val="24"/>
        </w:rPr>
        <w:t xml:space="preserve">the National </w:t>
      </w:r>
      <w:r w:rsidR="00F73F8C">
        <w:rPr>
          <w:sz w:val="24"/>
          <w:szCs w:val="24"/>
        </w:rPr>
        <w:t>Commission</w:t>
      </w:r>
      <w:r w:rsidR="00376E98">
        <w:rPr>
          <w:sz w:val="24"/>
          <w:szCs w:val="24"/>
        </w:rPr>
        <w:t xml:space="preserve"> for Protected Areas (</w:t>
      </w:r>
      <w:r>
        <w:rPr>
          <w:sz w:val="24"/>
          <w:szCs w:val="24"/>
        </w:rPr>
        <w:t>CONANP</w:t>
      </w:r>
      <w:r w:rsidR="00376E98">
        <w:rPr>
          <w:sz w:val="24"/>
          <w:szCs w:val="24"/>
        </w:rPr>
        <w:t>)</w:t>
      </w:r>
      <w:r>
        <w:rPr>
          <w:sz w:val="24"/>
          <w:szCs w:val="24"/>
        </w:rPr>
        <w:t xml:space="preserve">. </w:t>
      </w:r>
    </w:p>
    <w:p w:rsidR="001E64C3" w:rsidRDefault="00D66BBC">
      <w:pPr>
        <w:spacing w:line="480" w:lineRule="auto"/>
        <w:rPr>
          <w:sz w:val="24"/>
          <w:szCs w:val="24"/>
        </w:rPr>
      </w:pPr>
      <w:r>
        <w:rPr>
          <w:sz w:val="24"/>
          <w:szCs w:val="24"/>
        </w:rPr>
        <w:t>Statistical analysis</w:t>
      </w:r>
    </w:p>
    <w:p w:rsidR="001E64C3" w:rsidRDefault="00D66BBC">
      <w:pPr>
        <w:spacing w:line="480" w:lineRule="auto"/>
        <w:rPr>
          <w:sz w:val="24"/>
          <w:szCs w:val="24"/>
        </w:rPr>
      </w:pPr>
      <w:r>
        <w:rPr>
          <w:sz w:val="24"/>
          <w:szCs w:val="24"/>
        </w:rPr>
        <w:lastRenderedPageBreak/>
        <w:t>Our goal here is to understand whether spatial modelling of sea cucumber densities provides a more reliable model than taking a uniform mean across the study area. In order to do this, we use a Bayesian hierarchical modelling approach with integrated nested Laplace approximation (INLA). The INLA approach is computationally efficient and allows us to fit models with a spatial effect (Rue et al.</w:t>
      </w:r>
      <w:r w:rsidR="0017035F">
        <w:rPr>
          <w:sz w:val="24"/>
          <w:szCs w:val="24"/>
        </w:rPr>
        <w:t>,</w:t>
      </w:r>
      <w:r>
        <w:rPr>
          <w:sz w:val="24"/>
          <w:szCs w:val="24"/>
        </w:rPr>
        <w:t xml:space="preserve"> 2009)</w:t>
      </w:r>
      <w:r w:rsidR="00E22A84">
        <w:rPr>
          <w:sz w:val="24"/>
          <w:szCs w:val="24"/>
        </w:rPr>
        <w:t xml:space="preserve"> and has increased in popularity in species population models (see </w:t>
      </w:r>
      <w:r w:rsidR="005E700B" w:rsidRPr="005E700B">
        <w:rPr>
          <w:noProof/>
          <w:sz w:val="24"/>
          <w:szCs w:val="24"/>
        </w:rPr>
        <w:t>Martínez-Minaya</w:t>
      </w:r>
      <w:r w:rsidR="00960F3F">
        <w:rPr>
          <w:noProof/>
          <w:sz w:val="24"/>
          <w:szCs w:val="24"/>
        </w:rPr>
        <w:t xml:space="preserve"> et al.</w:t>
      </w:r>
      <w:r w:rsidR="005E700B" w:rsidRPr="005E700B">
        <w:rPr>
          <w:noProof/>
          <w:sz w:val="24"/>
          <w:szCs w:val="24"/>
        </w:rPr>
        <w:t>,</w:t>
      </w:r>
      <w:r w:rsidR="00960F3F">
        <w:rPr>
          <w:noProof/>
          <w:sz w:val="24"/>
          <w:szCs w:val="24"/>
        </w:rPr>
        <w:t xml:space="preserve"> </w:t>
      </w:r>
      <w:r w:rsidR="005E700B" w:rsidRPr="005E700B">
        <w:rPr>
          <w:noProof/>
          <w:sz w:val="24"/>
          <w:szCs w:val="24"/>
        </w:rPr>
        <w:t>2018</w:t>
      </w:r>
      <w:r w:rsidR="005E700B">
        <w:rPr>
          <w:sz w:val="24"/>
          <w:szCs w:val="24"/>
        </w:rPr>
        <w:t xml:space="preserve"> </w:t>
      </w:r>
      <w:r w:rsidR="00E22A84">
        <w:rPr>
          <w:sz w:val="24"/>
          <w:szCs w:val="24"/>
        </w:rPr>
        <w:t>for a review)</w:t>
      </w:r>
      <w:r>
        <w:rPr>
          <w:sz w:val="24"/>
          <w:szCs w:val="24"/>
        </w:rPr>
        <w:t>. The random spatial field (modelled as a Gaussian random field) is a spatially indexed stochastic process that represents the unobserved spatial processes driving sea cucumber densities, such as variation in substrate type and sea cucumber gregariousness. This approach is a Bayesian equivalent to kriging (Banerjee et al.</w:t>
      </w:r>
      <w:r w:rsidR="0017035F">
        <w:rPr>
          <w:sz w:val="24"/>
          <w:szCs w:val="24"/>
        </w:rPr>
        <w:t>,</w:t>
      </w:r>
      <w:r>
        <w:rPr>
          <w:sz w:val="24"/>
          <w:szCs w:val="24"/>
        </w:rPr>
        <w:t xml:space="preserve"> 2004). Spatial modelling in INLA has been successfully used in the marine realm to estimate bycatch hotspots (</w:t>
      </w:r>
      <w:proofErr w:type="spellStart"/>
      <w:r>
        <w:rPr>
          <w:sz w:val="24"/>
          <w:szCs w:val="24"/>
        </w:rPr>
        <w:t>Cosandey</w:t>
      </w:r>
      <w:proofErr w:type="spellEnd"/>
      <w:r>
        <w:rPr>
          <w:sz w:val="24"/>
          <w:szCs w:val="24"/>
        </w:rPr>
        <w:t>-Godin et al.</w:t>
      </w:r>
      <w:r w:rsidR="0017035F">
        <w:rPr>
          <w:sz w:val="24"/>
          <w:szCs w:val="24"/>
        </w:rPr>
        <w:t>,</w:t>
      </w:r>
      <w:r>
        <w:rPr>
          <w:sz w:val="24"/>
          <w:szCs w:val="24"/>
        </w:rPr>
        <w:t xml:space="preserve"> 201</w:t>
      </w:r>
      <w:r w:rsidR="009D0B53">
        <w:rPr>
          <w:sz w:val="24"/>
          <w:szCs w:val="24"/>
        </w:rPr>
        <w:t>5</w:t>
      </w:r>
      <w:r>
        <w:rPr>
          <w:sz w:val="24"/>
          <w:szCs w:val="24"/>
        </w:rPr>
        <w:t>), predator–prey interactions (</w:t>
      </w:r>
      <w:proofErr w:type="spellStart"/>
      <w:r>
        <w:rPr>
          <w:sz w:val="24"/>
          <w:szCs w:val="24"/>
        </w:rPr>
        <w:t>Sadykova</w:t>
      </w:r>
      <w:proofErr w:type="spellEnd"/>
      <w:r>
        <w:rPr>
          <w:sz w:val="24"/>
          <w:szCs w:val="24"/>
        </w:rPr>
        <w:t xml:space="preserve"> et al.</w:t>
      </w:r>
      <w:r w:rsidR="0017035F">
        <w:rPr>
          <w:sz w:val="24"/>
          <w:szCs w:val="24"/>
        </w:rPr>
        <w:t>,</w:t>
      </w:r>
      <w:r>
        <w:rPr>
          <w:sz w:val="24"/>
          <w:szCs w:val="24"/>
        </w:rPr>
        <w:t xml:space="preserve"> 2017)</w:t>
      </w:r>
      <w:r w:rsidR="00D2792E">
        <w:rPr>
          <w:sz w:val="24"/>
          <w:szCs w:val="24"/>
        </w:rPr>
        <w:t>,</w:t>
      </w:r>
      <w:r>
        <w:rPr>
          <w:sz w:val="24"/>
          <w:szCs w:val="24"/>
        </w:rPr>
        <w:t xml:space="preserve"> fish distributions (Muñoz et al.</w:t>
      </w:r>
      <w:r w:rsidR="0017035F">
        <w:rPr>
          <w:sz w:val="24"/>
          <w:szCs w:val="24"/>
        </w:rPr>
        <w:t>,</w:t>
      </w:r>
      <w:r w:rsidR="00E6777A">
        <w:rPr>
          <w:sz w:val="24"/>
          <w:szCs w:val="24"/>
        </w:rPr>
        <w:t xml:space="preserve"> 2013</w:t>
      </w:r>
      <w:r>
        <w:rPr>
          <w:sz w:val="24"/>
          <w:szCs w:val="24"/>
        </w:rPr>
        <w:t>)</w:t>
      </w:r>
      <w:r w:rsidR="00EC7D1A">
        <w:rPr>
          <w:sz w:val="24"/>
          <w:szCs w:val="24"/>
        </w:rPr>
        <w:t xml:space="preserve">, and stable isotope concentrations in jellyfish (St John </w:t>
      </w:r>
      <w:proofErr w:type="spellStart"/>
      <w:r w:rsidR="00EC7D1A">
        <w:rPr>
          <w:sz w:val="24"/>
          <w:szCs w:val="24"/>
        </w:rPr>
        <w:t>Glew</w:t>
      </w:r>
      <w:proofErr w:type="spellEnd"/>
      <w:r w:rsidR="00EC7D1A">
        <w:rPr>
          <w:sz w:val="24"/>
          <w:szCs w:val="24"/>
        </w:rPr>
        <w:t xml:space="preserve"> et al., 2019)</w:t>
      </w:r>
      <w:r>
        <w:rPr>
          <w:sz w:val="24"/>
          <w:szCs w:val="24"/>
        </w:rPr>
        <w:t xml:space="preserve">. </w:t>
      </w:r>
    </w:p>
    <w:p w:rsidR="00033386" w:rsidRDefault="00033386" w:rsidP="00033386">
      <w:pPr>
        <w:spacing w:line="480" w:lineRule="auto"/>
        <w:rPr>
          <w:sz w:val="24"/>
          <w:szCs w:val="24"/>
        </w:rPr>
      </w:pPr>
      <w:r>
        <w:rPr>
          <w:sz w:val="24"/>
          <w:szCs w:val="24"/>
        </w:rPr>
        <w:t>There were a large number of zero sea cucumber densities. In order to deal with this, we estimated sea cucumber density using a hurdle model where the hurdle was set at zero (</w:t>
      </w:r>
      <w:proofErr w:type="spellStart"/>
      <w:r>
        <w:rPr>
          <w:sz w:val="24"/>
          <w:szCs w:val="24"/>
        </w:rPr>
        <w:t>Sadykova</w:t>
      </w:r>
      <w:proofErr w:type="spellEnd"/>
      <w:r>
        <w:rPr>
          <w:sz w:val="24"/>
          <w:szCs w:val="24"/>
        </w:rPr>
        <w:t xml:space="preserve"> et al., 2017). The hurdle model allows us to separately estimate density (</w:t>
      </w:r>
      <w:proofErr w:type="spellStart"/>
      <w:r>
        <w:rPr>
          <w:i/>
          <w:sz w:val="24"/>
          <w:szCs w:val="24"/>
        </w:rPr>
        <w:t>y</w:t>
      </w:r>
      <w:r>
        <w:rPr>
          <w:i/>
          <w:sz w:val="24"/>
          <w:szCs w:val="24"/>
          <w:vertAlign w:val="subscript"/>
        </w:rPr>
        <w:t>ijk</w:t>
      </w:r>
      <w:proofErr w:type="spellEnd"/>
      <w:r>
        <w:rPr>
          <w:sz w:val="24"/>
          <w:szCs w:val="24"/>
        </w:rPr>
        <w:t>) and occurrence (</w:t>
      </w:r>
      <w:proofErr w:type="spellStart"/>
      <w:r>
        <w:rPr>
          <w:i/>
          <w:sz w:val="24"/>
          <w:szCs w:val="24"/>
        </w:rPr>
        <w:t>z</w:t>
      </w:r>
      <w:r>
        <w:rPr>
          <w:i/>
          <w:sz w:val="24"/>
          <w:szCs w:val="24"/>
          <w:vertAlign w:val="subscript"/>
        </w:rPr>
        <w:t>ijk</w:t>
      </w:r>
      <w:proofErr w:type="spellEnd"/>
      <w:r>
        <w:rPr>
          <w:sz w:val="24"/>
          <w:szCs w:val="24"/>
        </w:rPr>
        <w:t xml:space="preserve">) of sea cucumber on date </w:t>
      </w:r>
      <w:r>
        <w:rPr>
          <w:i/>
          <w:sz w:val="24"/>
          <w:szCs w:val="24"/>
        </w:rPr>
        <w:t>i</w:t>
      </w:r>
      <w:r>
        <w:rPr>
          <w:sz w:val="24"/>
          <w:szCs w:val="24"/>
        </w:rPr>
        <w:t xml:space="preserve"> at transect </w:t>
      </w:r>
      <w:r>
        <w:rPr>
          <w:i/>
          <w:sz w:val="24"/>
          <w:szCs w:val="24"/>
        </w:rPr>
        <w:t xml:space="preserve">j </w:t>
      </w:r>
      <w:r>
        <w:rPr>
          <w:sz w:val="24"/>
          <w:szCs w:val="24"/>
        </w:rPr>
        <w:t xml:space="preserve">of site </w:t>
      </w:r>
      <w:r>
        <w:rPr>
          <w:i/>
          <w:sz w:val="24"/>
          <w:szCs w:val="24"/>
        </w:rPr>
        <w:t>k</w:t>
      </w:r>
      <w:r>
        <w:rPr>
          <w:sz w:val="24"/>
          <w:szCs w:val="24"/>
        </w:rPr>
        <w:t xml:space="preserve">. We estimated </w:t>
      </w:r>
      <w:proofErr w:type="spellStart"/>
      <w:r>
        <w:rPr>
          <w:i/>
          <w:sz w:val="24"/>
          <w:szCs w:val="24"/>
        </w:rPr>
        <w:t>z</w:t>
      </w:r>
      <w:r>
        <w:rPr>
          <w:i/>
          <w:sz w:val="24"/>
          <w:szCs w:val="24"/>
          <w:vertAlign w:val="subscript"/>
        </w:rPr>
        <w:t>ijk</w:t>
      </w:r>
      <w:proofErr w:type="spellEnd"/>
      <w:r>
        <w:rPr>
          <w:i/>
          <w:sz w:val="24"/>
          <w:szCs w:val="24"/>
        </w:rPr>
        <w:t xml:space="preserve"> </w:t>
      </w:r>
      <w:r>
        <w:rPr>
          <w:sz w:val="24"/>
          <w:szCs w:val="24"/>
        </w:rPr>
        <w:t xml:space="preserve">using a binomial error family and </w:t>
      </w:r>
      <w:proofErr w:type="spellStart"/>
      <w:r>
        <w:rPr>
          <w:i/>
          <w:sz w:val="24"/>
          <w:szCs w:val="24"/>
        </w:rPr>
        <w:t>y</w:t>
      </w:r>
      <w:r>
        <w:rPr>
          <w:i/>
          <w:sz w:val="24"/>
          <w:szCs w:val="24"/>
          <w:vertAlign w:val="subscript"/>
        </w:rPr>
        <w:t>ijk</w:t>
      </w:r>
      <w:proofErr w:type="spellEnd"/>
      <w:r>
        <w:rPr>
          <w:i/>
          <w:sz w:val="24"/>
          <w:szCs w:val="24"/>
        </w:rPr>
        <w:t xml:space="preserve"> </w:t>
      </w:r>
      <w:r>
        <w:rPr>
          <w:sz w:val="24"/>
          <w:szCs w:val="24"/>
        </w:rPr>
        <w:t xml:space="preserve">using a Gamma error family. We fitted two models: with (spatial, equation 1) and without (null, equation 2) a spatial random effect. </w:t>
      </w:r>
    </w:p>
    <w:p w:rsidR="00033386" w:rsidRPr="00784566" w:rsidRDefault="00033386" w:rsidP="00033386">
      <w:pPr>
        <w:rPr>
          <w:rFonts w:eastAsia="SimSun"/>
        </w:rPr>
      </w:pPr>
    </w:p>
    <w:p w:rsidR="00033386" w:rsidRPr="00545AB0" w:rsidRDefault="00F23EA5" w:rsidP="00033386">
      <w:pPr>
        <w:rPr>
          <w:rFonts w:ascii="Cambria Math" w:eastAsia="SimSun" w:hAnsi="Cambria Math"/>
        </w:rPr>
      </w:pPr>
      <m:oMathPara>
        <m:oMath>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ijk</m:t>
              </m:r>
            </m:sub>
          </m:sSub>
          <m:r>
            <w:rPr>
              <w:rFonts w:ascii="Cambria Math" w:eastAsia="SimSun" w:hAnsi="Cambria Math"/>
            </w:rPr>
            <m:t>~ Binomial(</m:t>
          </m:r>
          <m:sSub>
            <m:sSubPr>
              <m:ctrlPr>
                <w:rPr>
                  <w:rFonts w:ascii="Cambria Math" w:eastAsia="SimSun" w:hAnsi="Cambria Math"/>
                  <w:i/>
                </w:rPr>
              </m:ctrlPr>
            </m:sSubPr>
            <m:e>
              <m:r>
                <w:rPr>
                  <w:rFonts w:ascii="Cambria Math" w:eastAsia="SimSun" w:hAnsi="Cambria Math"/>
                </w:rPr>
                <m:t>π</m:t>
              </m:r>
            </m:e>
            <m:sub>
              <m:r>
                <w:rPr>
                  <w:rFonts w:ascii="Cambria Math" w:eastAsia="SimSun" w:hAnsi="Cambria Math"/>
                </w:rPr>
                <m:t>ijk</m:t>
              </m:r>
            </m:sub>
          </m:sSub>
          <m:r>
            <w:rPr>
              <w:rFonts w:ascii="Cambria Math" w:eastAsia="SimSun" w:hAnsi="Cambria Math"/>
            </w:rPr>
            <m:t>)</m:t>
          </m:r>
        </m:oMath>
      </m:oMathPara>
    </w:p>
    <w:p w:rsidR="00033386" w:rsidRPr="00545AB0" w:rsidRDefault="00545AB0" w:rsidP="00033386">
      <w:pPr>
        <w:rPr>
          <w:rFonts w:ascii="Cambria Math" w:eastAsia="SimSun" w:hAnsi="Cambria Math"/>
        </w:rPr>
      </w:pPr>
      <m:oMathPara>
        <m:oMath>
          <m:r>
            <w:rPr>
              <w:rFonts w:ascii="Cambria Math" w:eastAsia="SimSun" w:hAnsi="Cambria Math"/>
            </w:rPr>
            <m:t>logit</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π</m:t>
                  </m:r>
                </m:e>
                <m:sub>
                  <m:r>
                    <w:rPr>
                      <w:rFonts w:ascii="Cambria Math" w:eastAsia="SimSun" w:hAnsi="Cambria Math"/>
                    </w:rPr>
                    <m:t>ijk</m:t>
                  </m:r>
                </m:sub>
              </m:sSub>
            </m:e>
          </m:d>
          <m:r>
            <w:rPr>
              <w:rFonts w:ascii="Cambria Math" w:eastAsia="SimSun" w:hAnsi="Cambria Math"/>
            </w:rPr>
            <m:t>=</m:t>
          </m:r>
          <m:sSup>
            <m:sSupPr>
              <m:ctrlPr>
                <w:rPr>
                  <w:rFonts w:ascii="Cambria Math" w:eastAsia="SimSun" w:hAnsi="Cambria Math"/>
                  <w:i/>
                </w:rPr>
              </m:ctrlPr>
            </m:sSupPr>
            <m:e>
              <m:r>
                <w:rPr>
                  <w:rFonts w:ascii="Cambria Math" w:eastAsia="SimSun" w:hAnsi="Cambria Math"/>
                </w:rPr>
                <m:t>α</m:t>
              </m:r>
            </m:e>
            <m:sup>
              <m:r>
                <w:rPr>
                  <w:rFonts w:ascii="Cambria Math" w:eastAsia="SimSun" w:hAnsi="Cambria Math"/>
                </w:rPr>
                <m:t>z</m:t>
              </m:r>
            </m:sup>
          </m:sSup>
          <m:r>
            <w:rPr>
              <w:rFonts w:ascii="Cambria Math" w:eastAsia="SimSun" w:hAnsi="Cambria Math"/>
            </w:rPr>
            <m:t>+f</m:t>
          </m:r>
          <m:d>
            <m:dPr>
              <m:ctrlPr>
                <w:rPr>
                  <w:rFonts w:ascii="Cambria Math" w:eastAsia="SimSun" w:hAnsi="Cambria Math"/>
                  <w:i/>
                </w:rPr>
              </m:ctrlPr>
            </m:dPr>
            <m:e>
              <m:r>
                <w:rPr>
                  <w:rFonts w:ascii="Cambria Math" w:eastAsia="SimSun" w:hAnsi="Cambria Math"/>
                </w:rPr>
                <m:t>i</m:t>
              </m:r>
            </m:e>
          </m:d>
          <m:r>
            <w:rPr>
              <w:rFonts w:ascii="Cambria Math" w:eastAsia="SimSun" w:hAnsi="Cambria Math"/>
            </w:rPr>
            <m:t>+f</m:t>
          </m:r>
          <m:d>
            <m:dPr>
              <m:ctrlPr>
                <w:rPr>
                  <w:rFonts w:ascii="Cambria Math" w:eastAsia="SimSun" w:hAnsi="Cambria Math"/>
                  <w:i/>
                </w:rPr>
              </m:ctrlPr>
            </m:dPr>
            <m:e>
              <m:r>
                <w:rPr>
                  <w:rFonts w:ascii="Cambria Math" w:eastAsia="SimSun" w:hAnsi="Cambria Math"/>
                </w:rPr>
                <m:t>j</m:t>
              </m:r>
            </m:e>
          </m:d>
          <m:r>
            <w:rPr>
              <w:rFonts w:ascii="Cambria Math" w:eastAsia="SimSun" w:hAnsi="Cambria Math"/>
            </w:rPr>
            <m:t>+f(k)+</m:t>
          </m:r>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ijk</m:t>
              </m:r>
            </m:sub>
          </m:sSub>
        </m:oMath>
      </m:oMathPara>
    </w:p>
    <w:p w:rsidR="00033386" w:rsidRPr="00545AB0" w:rsidRDefault="00F23EA5" w:rsidP="00033386">
      <w:pPr>
        <w:rPr>
          <w:rFonts w:ascii="Cambria Math" w:eastAsia="SimSun" w:hAnsi="Cambria Math"/>
        </w:rPr>
      </w:pPr>
      <m:oMathPara>
        <m:oMath>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ijk</m:t>
              </m:r>
            </m:sub>
          </m:sSub>
          <m:r>
            <w:rPr>
              <w:rFonts w:ascii="Cambria Math" w:eastAsia="SimSun" w:hAnsi="Cambria Math"/>
            </w:rPr>
            <m:t>~ Gamma(</m:t>
          </m:r>
          <m:sSub>
            <m:sSubPr>
              <m:ctrlPr>
                <w:rPr>
                  <w:rFonts w:ascii="Cambria Math" w:eastAsia="SimSun" w:hAnsi="Cambria Math"/>
                  <w:i/>
                </w:rPr>
              </m:ctrlPr>
            </m:sSubPr>
            <m:e>
              <m:r>
                <w:rPr>
                  <w:rFonts w:ascii="Cambria Math" w:eastAsia="SimSun" w:hAnsi="Cambria Math"/>
                </w:rPr>
                <m:t>a</m:t>
              </m:r>
            </m:e>
            <m:sub>
              <m:r>
                <w:rPr>
                  <w:rFonts w:ascii="Cambria Math" w:eastAsia="SimSun" w:hAnsi="Cambria Math"/>
                </w:rPr>
                <m:t>ijk</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b</m:t>
              </m:r>
            </m:e>
            <m:sub>
              <m:r>
                <w:rPr>
                  <w:rFonts w:ascii="Cambria Math" w:eastAsia="SimSun" w:hAnsi="Cambria Math"/>
                </w:rPr>
                <m:t>ijk</m:t>
              </m:r>
            </m:sub>
          </m:sSub>
          <m:r>
            <w:rPr>
              <w:rFonts w:ascii="Cambria Math" w:eastAsia="SimSun" w:hAnsi="Cambria Math"/>
            </w:rPr>
            <m:t>)(1)</m:t>
          </m:r>
        </m:oMath>
      </m:oMathPara>
    </w:p>
    <w:p w:rsidR="00033386" w:rsidRPr="00545AB0" w:rsidRDefault="00F23EA5" w:rsidP="00033386">
      <w:pPr>
        <w:rPr>
          <w:rFonts w:eastAsia="SimSun"/>
        </w:rPr>
      </w:pPr>
      <m:oMathPara>
        <m:oMath>
          <m:func>
            <m:funcPr>
              <m:ctrlPr>
                <w:rPr>
                  <w:rFonts w:ascii="Cambria Math" w:eastAsia="SimSun" w:hAnsi="Cambria Math"/>
                  <w:i/>
                </w:rPr>
              </m:ctrlPr>
            </m:funcPr>
            <m:fName>
              <m:r>
                <m:rPr>
                  <m:sty m:val="p"/>
                </m:rPr>
                <w:rPr>
                  <w:rFonts w:ascii="Cambria Math" w:eastAsia="SimSun" w:hAnsi="Cambria Math"/>
                </w:rPr>
                <m:t>log</m:t>
              </m:r>
              <m:ctrlPr>
                <w:rPr>
                  <w:rFonts w:ascii="Cambria Math" w:eastAsia="SimSun" w:hAnsi="Cambria Math"/>
                </w:rPr>
              </m:ctrlPr>
            </m:fName>
            <m:e>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μ</m:t>
                      </m:r>
                    </m:e>
                    <m:sub>
                      <m:r>
                        <w:rPr>
                          <w:rFonts w:ascii="Cambria Math" w:eastAsia="SimSun" w:hAnsi="Cambria Math"/>
                        </w:rPr>
                        <m:t>ijk</m:t>
                      </m:r>
                    </m:sub>
                  </m:sSub>
                </m:e>
              </m:d>
            </m:e>
          </m:func>
          <m:r>
            <w:rPr>
              <w:rFonts w:ascii="Cambria Math" w:eastAsia="SimSun" w:hAnsi="Cambria Math"/>
            </w:rPr>
            <m:t xml:space="preserve">= </m:t>
          </m:r>
          <m:sSup>
            <m:sSupPr>
              <m:ctrlPr>
                <w:rPr>
                  <w:rFonts w:ascii="Cambria Math" w:eastAsia="SimSun" w:hAnsi="Cambria Math"/>
                  <w:i/>
                </w:rPr>
              </m:ctrlPr>
            </m:sSupPr>
            <m:e>
              <m:r>
                <w:rPr>
                  <w:rFonts w:ascii="Cambria Math" w:eastAsia="SimSun" w:hAnsi="Cambria Math"/>
                </w:rPr>
                <m:t>α</m:t>
              </m:r>
            </m:e>
            <m:sup>
              <m:r>
                <w:rPr>
                  <w:rFonts w:ascii="Cambria Math" w:eastAsia="SimSun" w:hAnsi="Cambria Math"/>
                </w:rPr>
                <m:t>y</m:t>
              </m:r>
            </m:sup>
          </m:sSup>
          <m:r>
            <w:rPr>
              <w:rFonts w:ascii="Cambria Math" w:eastAsia="SimSun" w:hAnsi="Cambria Math"/>
            </w:rPr>
            <m:t>+ f</m:t>
          </m:r>
          <m:d>
            <m:dPr>
              <m:ctrlPr>
                <w:rPr>
                  <w:rFonts w:ascii="Cambria Math" w:eastAsia="SimSun" w:hAnsi="Cambria Math"/>
                  <w:i/>
                </w:rPr>
              </m:ctrlPr>
            </m:dPr>
            <m:e>
              <m:r>
                <w:rPr>
                  <w:rFonts w:ascii="Cambria Math" w:eastAsia="SimSun" w:hAnsi="Cambria Math"/>
                </w:rPr>
                <m:t>i</m:t>
              </m:r>
            </m:e>
          </m:d>
          <m:r>
            <w:rPr>
              <w:rFonts w:ascii="Cambria Math" w:eastAsia="SimSun" w:hAnsi="Cambria Math"/>
            </w:rPr>
            <m:t>+f</m:t>
          </m:r>
          <m:d>
            <m:dPr>
              <m:ctrlPr>
                <w:rPr>
                  <w:rFonts w:ascii="Cambria Math" w:eastAsia="SimSun" w:hAnsi="Cambria Math"/>
                  <w:i/>
                </w:rPr>
              </m:ctrlPr>
            </m:dPr>
            <m:e>
              <m:r>
                <w:rPr>
                  <w:rFonts w:ascii="Cambria Math" w:eastAsia="SimSun" w:hAnsi="Cambria Math"/>
                </w:rPr>
                <m:t>j</m:t>
              </m:r>
            </m:e>
          </m:d>
          <m:r>
            <w:rPr>
              <w:rFonts w:ascii="Cambria Math" w:eastAsia="SimSun" w:hAnsi="Cambria Math"/>
            </w:rPr>
            <m:t>+f</m:t>
          </m:r>
          <m:d>
            <m:dPr>
              <m:ctrlPr>
                <w:rPr>
                  <w:rFonts w:ascii="Cambria Math" w:eastAsia="SimSun" w:hAnsi="Cambria Math"/>
                  <w:i/>
                </w:rPr>
              </m:ctrlPr>
            </m:dPr>
            <m:e>
              <m:r>
                <w:rPr>
                  <w:rFonts w:ascii="Cambria Math" w:eastAsia="SimSun" w:hAnsi="Cambria Math"/>
                </w:rPr>
                <m:t>k</m:t>
              </m:r>
            </m:e>
          </m:d>
          <m:r>
            <w:rPr>
              <w:rFonts w:ascii="Cambria Math" w:eastAsia="SimSun" w:hAnsi="Cambria Math"/>
            </w:rPr>
            <m:t>+</m:t>
          </m:r>
          <m:sSub>
            <m:sSubPr>
              <m:ctrlPr>
                <w:rPr>
                  <w:rFonts w:ascii="Cambria Math" w:eastAsia="SimSun" w:hAnsi="Cambria Math"/>
                  <w:i/>
                </w:rPr>
              </m:ctrlPr>
            </m:sSubPr>
            <m:e>
              <m:r>
                <w:rPr>
                  <w:rFonts w:ascii="Cambria Math" w:eastAsia="SimSun" w:hAnsi="Cambria Math"/>
                </w:rPr>
                <m:t>βS</m:t>
              </m:r>
            </m:e>
            <m:sub>
              <m:r>
                <w:rPr>
                  <w:rFonts w:ascii="Cambria Math" w:eastAsia="SimSun" w:hAnsi="Cambria Math"/>
                </w:rPr>
                <m:t>ijk</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W</m:t>
              </m:r>
            </m:e>
            <m:sub>
              <m:r>
                <w:rPr>
                  <w:rFonts w:ascii="Cambria Math" w:eastAsia="SimSun" w:hAnsi="Cambria Math"/>
                </w:rPr>
                <m:t>ijk</m:t>
              </m:r>
            </m:sub>
          </m:sSub>
        </m:oMath>
      </m:oMathPara>
    </w:p>
    <w:p w:rsidR="00033386" w:rsidRPr="00784566" w:rsidRDefault="00033386" w:rsidP="00033386">
      <w:pPr>
        <w:rPr>
          <w:rFonts w:eastAsia="SimSun"/>
        </w:rPr>
      </w:pPr>
    </w:p>
    <w:p w:rsidR="00033386" w:rsidRPr="00545AB0" w:rsidRDefault="00F23EA5" w:rsidP="00033386">
      <w:pPr>
        <w:rPr>
          <w:rFonts w:eastAsia="SimSun"/>
        </w:rPr>
      </w:pPr>
      <m:oMathPara>
        <m:oMath>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ijk</m:t>
              </m:r>
            </m:sub>
          </m:sSub>
          <m:r>
            <w:rPr>
              <w:rFonts w:ascii="Cambria Math" w:eastAsia="SimSun" w:hAnsi="Cambria Math"/>
            </w:rPr>
            <m:t>~ Binomial</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π</m:t>
                  </m:r>
                </m:e>
                <m:sub>
                  <m:r>
                    <w:rPr>
                      <w:rFonts w:ascii="Cambria Math" w:eastAsia="SimSun" w:hAnsi="Cambria Math"/>
                    </w:rPr>
                    <m:t>ijk</m:t>
                  </m:r>
                </m:sub>
              </m:sSub>
            </m:e>
          </m:d>
        </m:oMath>
      </m:oMathPara>
    </w:p>
    <w:p w:rsidR="00033386" w:rsidRPr="00545AB0" w:rsidRDefault="00545AB0" w:rsidP="00033386">
      <w:pPr>
        <w:rPr>
          <w:rFonts w:eastAsia="SimSun"/>
        </w:rPr>
      </w:pPr>
      <m:oMathPara>
        <m:oMath>
          <m:r>
            <w:rPr>
              <w:rFonts w:ascii="Cambria Math" w:eastAsia="SimSun" w:hAnsi="Cambria Math"/>
            </w:rPr>
            <m:t>logit</m:t>
          </m:r>
          <m:d>
            <m:dPr>
              <m:ctrlPr>
                <w:rPr>
                  <w:rFonts w:ascii="Cambria Math" w:eastAsia="SimSun" w:hAnsi="Cambria Math"/>
                  <w:i/>
                </w:rPr>
              </m:ctrlPr>
            </m:dPr>
            <m:e>
              <m:sSub>
                <m:sSubPr>
                  <m:ctrlPr>
                    <w:rPr>
                      <w:rFonts w:ascii="Cambria Math" w:eastAsia="SimSun" w:hAnsi="Cambria Math"/>
                      <w:i/>
                    </w:rPr>
                  </m:ctrlPr>
                </m:sSubPr>
                <m:e>
                  <m:r>
                    <w:rPr>
                      <w:rFonts w:ascii="Cambria Math" w:eastAsia="SimSun" w:hAnsi="Cambria Math"/>
                    </w:rPr>
                    <m:t>π</m:t>
                  </m:r>
                </m:e>
                <m:sub>
                  <m:r>
                    <w:rPr>
                      <w:rFonts w:ascii="Cambria Math" w:eastAsia="SimSun" w:hAnsi="Cambria Math"/>
                    </w:rPr>
                    <m:t>ijk</m:t>
                  </m:r>
                </m:sub>
              </m:sSub>
            </m:e>
          </m:d>
          <m:r>
            <w:rPr>
              <w:rFonts w:ascii="Cambria Math" w:eastAsia="SimSun" w:hAnsi="Cambria Math"/>
            </w:rPr>
            <m:t>=</m:t>
          </m:r>
          <m:sSup>
            <m:sSupPr>
              <m:ctrlPr>
                <w:rPr>
                  <w:rFonts w:ascii="Cambria Math" w:eastAsia="SimSun" w:hAnsi="Cambria Math"/>
                  <w:i/>
                </w:rPr>
              </m:ctrlPr>
            </m:sSupPr>
            <m:e>
              <m:r>
                <w:rPr>
                  <w:rFonts w:ascii="Cambria Math" w:eastAsia="SimSun" w:hAnsi="Cambria Math"/>
                </w:rPr>
                <m:t>α</m:t>
              </m:r>
            </m:e>
            <m:sup>
              <m:r>
                <w:rPr>
                  <w:rFonts w:ascii="Cambria Math" w:eastAsia="SimSun" w:hAnsi="Cambria Math"/>
                </w:rPr>
                <m:t>z</m:t>
              </m:r>
            </m:sup>
          </m:sSup>
          <m:r>
            <w:rPr>
              <w:rFonts w:ascii="Cambria Math" w:eastAsia="SimSun" w:hAnsi="Cambria Math"/>
            </w:rPr>
            <m:t>+f</m:t>
          </m:r>
          <m:d>
            <m:dPr>
              <m:ctrlPr>
                <w:rPr>
                  <w:rFonts w:ascii="Cambria Math" w:eastAsia="SimSun" w:hAnsi="Cambria Math"/>
                  <w:i/>
                </w:rPr>
              </m:ctrlPr>
            </m:dPr>
            <m:e>
              <m:r>
                <w:rPr>
                  <w:rFonts w:ascii="Cambria Math" w:eastAsia="SimSun" w:hAnsi="Cambria Math"/>
                </w:rPr>
                <m:t>i</m:t>
              </m:r>
            </m:e>
          </m:d>
          <m:r>
            <w:rPr>
              <w:rFonts w:ascii="Cambria Math" w:eastAsia="SimSun" w:hAnsi="Cambria Math"/>
            </w:rPr>
            <m:t>+f</m:t>
          </m:r>
          <m:d>
            <m:dPr>
              <m:ctrlPr>
                <w:rPr>
                  <w:rFonts w:ascii="Cambria Math" w:eastAsia="SimSun" w:hAnsi="Cambria Math"/>
                  <w:i/>
                </w:rPr>
              </m:ctrlPr>
            </m:dPr>
            <m:e>
              <m:r>
                <w:rPr>
                  <w:rFonts w:ascii="Cambria Math" w:eastAsia="SimSun" w:hAnsi="Cambria Math"/>
                </w:rPr>
                <m:t>j</m:t>
              </m:r>
            </m:e>
          </m:d>
          <m:r>
            <w:rPr>
              <w:rFonts w:ascii="Cambria Math" w:eastAsia="SimSun" w:hAnsi="Cambria Math"/>
            </w:rPr>
            <m:t>+f</m:t>
          </m:r>
          <m:d>
            <m:dPr>
              <m:ctrlPr>
                <w:rPr>
                  <w:rFonts w:ascii="Cambria Math" w:eastAsia="SimSun" w:hAnsi="Cambria Math"/>
                  <w:i/>
                </w:rPr>
              </m:ctrlPr>
            </m:dPr>
            <m:e>
              <m:r>
                <w:rPr>
                  <w:rFonts w:ascii="Cambria Math" w:eastAsia="SimSun" w:hAnsi="Cambria Math"/>
                </w:rPr>
                <m:t>k</m:t>
              </m:r>
            </m:e>
          </m:d>
        </m:oMath>
      </m:oMathPara>
    </w:p>
    <w:p w:rsidR="00033386" w:rsidRPr="00784566" w:rsidRDefault="00F23EA5" w:rsidP="00033386">
      <w:pPr>
        <w:ind w:left="2880" w:firstLine="720"/>
        <w:rPr>
          <w:rFonts w:eastAsia="SimSun"/>
        </w:rPr>
      </w:pPr>
      <m:oMath>
        <m:sSub>
          <m:sSubPr>
            <m:ctrlPr>
              <w:rPr>
                <w:rFonts w:ascii="Cambria Math" w:hAnsi="Cambria Math"/>
                <w:i/>
              </w:rPr>
            </m:ctrlPr>
          </m:sSubPr>
          <m:e>
            <m:r>
              <w:rPr>
                <w:rFonts w:ascii="Cambria Math" w:hAnsi="Cambria Math"/>
              </w:rPr>
              <m:t>y</m:t>
            </m:r>
          </m:e>
          <m:sub>
            <m:r>
              <w:rPr>
                <w:rFonts w:ascii="Cambria Math" w:hAnsi="Cambria Math"/>
              </w:rPr>
              <m:t>ijk</m:t>
            </m:r>
          </m:sub>
        </m:sSub>
        <m:r>
          <w:rPr>
            <w:rFonts w:ascii="Cambria Math" w:hAnsi="Cambria Math"/>
          </w:rPr>
          <m:t>~ Gamma</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ijk</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ijk</m:t>
                </m:r>
              </m:sub>
            </m:sSub>
          </m:e>
        </m:d>
      </m:oMath>
      <w:r w:rsidR="00033386" w:rsidRPr="00784566">
        <w:rPr>
          <w:rFonts w:eastAsia="SimSun"/>
        </w:rPr>
        <w:tab/>
        <w:t xml:space="preserve"> </w:t>
      </w:r>
      <w:r w:rsidR="00033386" w:rsidRPr="00784566">
        <w:rPr>
          <w:rFonts w:eastAsia="SimSun"/>
        </w:rPr>
        <w:tab/>
      </w:r>
      <w:r w:rsidR="00033386" w:rsidRPr="00784566">
        <w:rPr>
          <w:rFonts w:eastAsia="SimSun"/>
        </w:rPr>
        <w:tab/>
      </w:r>
      <w:r w:rsidR="00033386" w:rsidRPr="00784566">
        <w:rPr>
          <w:rFonts w:eastAsia="SimSun"/>
        </w:rPr>
        <w:tab/>
        <w:t xml:space="preserve">(2) </w:t>
      </w:r>
    </w:p>
    <w:p w:rsidR="00033386" w:rsidRPr="00545AB0" w:rsidRDefault="00F23EA5" w:rsidP="00033386">
      <w:pPr>
        <w:rPr>
          <w:rFonts w:eastAsia="SimSun"/>
        </w:rPr>
      </w:pPr>
      <m:oMathPara>
        <m:oMath>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ijk</m:t>
                      </m:r>
                    </m:sub>
                  </m:sSub>
                </m:e>
              </m:d>
            </m:e>
          </m:func>
          <m:r>
            <w:rPr>
              <w:rFonts w:ascii="Cambria Math" w:hAnsi="Cambria Math"/>
            </w:rPr>
            <m:t xml:space="preserve">= </m:t>
          </m:r>
          <m:sSup>
            <m:sSupPr>
              <m:ctrlPr>
                <w:rPr>
                  <w:rFonts w:ascii="Cambria Math" w:hAnsi="Cambria Math"/>
                  <w:i/>
                </w:rPr>
              </m:ctrlPr>
            </m:sSupPr>
            <m:e>
              <m:r>
                <w:rPr>
                  <w:rFonts w:ascii="Cambria Math" w:hAnsi="Cambria Math"/>
                </w:rPr>
                <m:t>α</m:t>
              </m:r>
            </m:e>
            <m:sup>
              <m:r>
                <w:rPr>
                  <w:rFonts w:ascii="Cambria Math" w:hAnsi="Cambria Math"/>
                </w:rPr>
                <m:t>y</m:t>
              </m:r>
            </m:sup>
          </m:sSup>
          <m:r>
            <w:rPr>
              <w:rFonts w:ascii="Cambria Math" w:hAnsi="Cambria Math"/>
            </w:rPr>
            <m:t>+ f</m:t>
          </m:r>
          <m:d>
            <m:dPr>
              <m:ctrlPr>
                <w:rPr>
                  <w:rFonts w:ascii="Cambria Math" w:hAnsi="Cambria Math"/>
                  <w:i/>
                </w:rPr>
              </m:ctrlPr>
            </m:dPr>
            <m:e>
              <m:r>
                <w:rPr>
                  <w:rFonts w:ascii="Cambria Math" w:hAnsi="Cambria Math"/>
                </w:rPr>
                <m:t>i</m:t>
              </m:r>
            </m:e>
          </m:d>
          <m:r>
            <w:rPr>
              <w:rFonts w:ascii="Cambria Math" w:hAnsi="Cambria Math"/>
            </w:rPr>
            <m:t>+f</m:t>
          </m:r>
          <m:d>
            <m:dPr>
              <m:ctrlPr>
                <w:rPr>
                  <w:rFonts w:ascii="Cambria Math" w:hAnsi="Cambria Math"/>
                  <w:i/>
                </w:rPr>
              </m:ctrlPr>
            </m:dPr>
            <m:e>
              <m:r>
                <w:rPr>
                  <w:rFonts w:ascii="Cambria Math" w:hAnsi="Cambria Math"/>
                </w:rPr>
                <m:t>j</m:t>
              </m:r>
            </m:e>
          </m:d>
          <m:r>
            <w:rPr>
              <w:rFonts w:ascii="Cambria Math" w:hAnsi="Cambria Math"/>
            </w:rPr>
            <m:t>+f</m:t>
          </m:r>
          <m:d>
            <m:dPr>
              <m:ctrlPr>
                <w:rPr>
                  <w:rFonts w:ascii="Cambria Math" w:hAnsi="Cambria Math"/>
                  <w:i/>
                </w:rPr>
              </m:ctrlPr>
            </m:dPr>
            <m:e>
              <m:r>
                <w:rPr>
                  <w:rFonts w:ascii="Cambria Math" w:hAnsi="Cambria Math"/>
                </w:rPr>
                <m:t>k</m:t>
              </m:r>
            </m:e>
          </m:d>
        </m:oMath>
      </m:oMathPara>
    </w:p>
    <w:p w:rsidR="00033386" w:rsidRPr="00784566" w:rsidRDefault="00033386" w:rsidP="00033386">
      <w:pPr>
        <w:rPr>
          <w:rFonts w:eastAsia="SimSun"/>
        </w:rPr>
      </w:pPr>
    </w:p>
    <w:p w:rsidR="00033386" w:rsidRPr="00784566" w:rsidRDefault="00033386" w:rsidP="00033386">
      <w:pPr>
        <w:spacing w:line="480" w:lineRule="auto"/>
        <w:rPr>
          <w:sz w:val="24"/>
          <w:szCs w:val="24"/>
        </w:rPr>
      </w:pPr>
      <w:r>
        <w:rPr>
          <w:sz w:val="24"/>
          <w:szCs w:val="24"/>
        </w:rPr>
        <w:t>Here, abundance</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ijk</m:t>
            </m:r>
          </m:sub>
        </m:sSub>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ijk</m:t>
                </m:r>
              </m:sub>
            </m:sSub>
          </m:num>
          <m:den>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ijk</m:t>
                </m:r>
              </m:sub>
            </m:sSub>
          </m:den>
        </m:f>
      </m:oMath>
      <w:r w:rsidRPr="00784566">
        <w:rPr>
          <w:rFonts w:eastAsia="SimSun"/>
          <w:sz w:val="24"/>
          <w:szCs w:val="24"/>
        </w:rPr>
        <w:t xml:space="preserve">; </w:t>
      </w:r>
      <m:oMath>
        <m:sSup>
          <m:sSupPr>
            <m:ctrlPr>
              <w:rPr>
                <w:rFonts w:ascii="Cambria Math" w:eastAsia="SimSun" w:hAnsi="Cambria Math"/>
                <w:i/>
                <w:sz w:val="24"/>
                <w:szCs w:val="24"/>
              </w:rPr>
            </m:ctrlPr>
          </m:sSupPr>
          <m:e>
            <m:r>
              <w:rPr>
                <w:rFonts w:ascii="Cambria Math" w:eastAsia="SimSun" w:hAnsi="Cambria Math"/>
                <w:sz w:val="24"/>
                <w:szCs w:val="24"/>
              </w:rPr>
              <m:t>α</m:t>
            </m:r>
          </m:e>
          <m:sup>
            <m:r>
              <w:rPr>
                <w:rFonts w:ascii="Cambria Math" w:eastAsia="SimSun" w:hAnsi="Cambria Math"/>
                <w:sz w:val="24"/>
                <w:szCs w:val="24"/>
              </w:rPr>
              <m:t>z</m:t>
            </m:r>
          </m:sup>
        </m:sSup>
      </m:oMath>
      <w:r w:rsidRPr="00784566">
        <w:rPr>
          <w:rFonts w:eastAsia="SimSun"/>
          <w:sz w:val="24"/>
          <w:szCs w:val="24"/>
        </w:rPr>
        <w:t xml:space="preserve"> and </w:t>
      </w:r>
      <m:oMath>
        <m:sSup>
          <m:sSupPr>
            <m:ctrlPr>
              <w:rPr>
                <w:rFonts w:ascii="Cambria Math" w:eastAsia="SimSun" w:hAnsi="Cambria Math"/>
                <w:i/>
                <w:sz w:val="24"/>
                <w:szCs w:val="24"/>
              </w:rPr>
            </m:ctrlPr>
          </m:sSupPr>
          <m:e>
            <m:r>
              <w:rPr>
                <w:rFonts w:ascii="Cambria Math" w:eastAsia="SimSun" w:hAnsi="Cambria Math"/>
                <w:sz w:val="24"/>
                <w:szCs w:val="24"/>
              </w:rPr>
              <m:t>α</m:t>
            </m:r>
          </m:e>
          <m:sup>
            <m:r>
              <w:rPr>
                <w:rFonts w:ascii="Cambria Math" w:eastAsia="SimSun" w:hAnsi="Cambria Math"/>
                <w:sz w:val="24"/>
                <w:szCs w:val="24"/>
              </w:rPr>
              <m:t>y</m:t>
            </m:r>
          </m:sup>
        </m:sSup>
      </m:oMath>
      <w:r w:rsidRPr="00784566">
        <w:rPr>
          <w:rFonts w:eastAsia="SimSun"/>
          <w:sz w:val="24"/>
          <w:szCs w:val="24"/>
        </w:rPr>
        <w:t xml:space="preserve"> are the intercepts for the occurrence and abundance models, respectively. </w:t>
      </w:r>
      <w:r>
        <w:rPr>
          <w:sz w:val="24"/>
          <w:szCs w:val="24"/>
        </w:rPr>
        <w:t>To account for structure in the data collection, we fitted site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k</m:t>
            </m:r>
          </m:e>
        </m:d>
      </m:oMath>
      <w:r w:rsidRPr="00784566">
        <w:rPr>
          <w:rFonts w:eastAsia="SimSun"/>
          <w:sz w:val="24"/>
          <w:szCs w:val="24"/>
        </w:rPr>
        <w:t xml:space="preserve">) </w:t>
      </w:r>
      <w:r>
        <w:rPr>
          <w:sz w:val="24"/>
          <w:szCs w:val="24"/>
        </w:rPr>
        <w:t xml:space="preserve">and transect within site </w:t>
      </w:r>
      <w:r w:rsidRPr="00784566">
        <w:rPr>
          <w:rFonts w:eastAsia="SimSun"/>
          <w:sz w:val="24"/>
          <w:szCs w:val="24"/>
        </w:rPr>
        <w:t>(</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j</m:t>
            </m:r>
          </m:e>
        </m:d>
      </m:oMath>
      <w:r w:rsidRPr="00784566">
        <w:rPr>
          <w:rFonts w:eastAsia="SimSun"/>
          <w:sz w:val="24"/>
          <w:szCs w:val="24"/>
        </w:rPr>
        <w:t xml:space="preserve">) </w:t>
      </w:r>
      <w:r>
        <w:rPr>
          <w:sz w:val="24"/>
          <w:szCs w:val="24"/>
        </w:rPr>
        <w:t xml:space="preserve">as unstructured Gaussian random effects. Additionally, we included </w:t>
      </w:r>
      <w:r w:rsidRPr="00784566">
        <w:rPr>
          <w:rFonts w:eastAsia="SimSun"/>
          <w:sz w:val="24"/>
          <w:szCs w:val="24"/>
        </w:rPr>
        <w:t>date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i</m:t>
            </m:r>
          </m:e>
        </m:d>
      </m:oMath>
      <w:r w:rsidRPr="00784566">
        <w:rPr>
          <w:rFonts w:eastAsia="SimSun"/>
          <w:sz w:val="24"/>
          <w:szCs w:val="24"/>
        </w:rPr>
        <w:t>) as a Gaussian random effect with a random walk structure</w:t>
      </w:r>
      <w:r>
        <w:rPr>
          <w:sz w:val="24"/>
          <w:szCs w:val="24"/>
        </w:rPr>
        <w:t xml:space="preserve">. This accounted for multiple samples within the nested site/transect structure and uneven sampling across dates. </w:t>
      </w:r>
    </w:p>
    <w:p w:rsidR="00033386" w:rsidRDefault="00033386" w:rsidP="00033386">
      <w:pPr>
        <w:spacing w:line="480" w:lineRule="auto"/>
        <w:rPr>
          <w:sz w:val="24"/>
          <w:szCs w:val="24"/>
        </w:rPr>
      </w:pPr>
      <w:r>
        <w:rPr>
          <w:sz w:val="24"/>
          <w:szCs w:val="24"/>
        </w:rPr>
        <w:t xml:space="preserve">Residual spatial correlation was modelled as a Gaussian random effect with </w:t>
      </w:r>
      <w:proofErr w:type="spellStart"/>
      <w:r>
        <w:rPr>
          <w:sz w:val="24"/>
          <w:szCs w:val="24"/>
        </w:rPr>
        <w:t>Mat</w:t>
      </w:r>
      <w:r>
        <w:rPr>
          <w:rFonts w:ascii="LMRoman10-Regular" w:hAnsi="LMRoman10-Regular" w:cs="LMRoman10-Regular"/>
          <w:sz w:val="20"/>
          <w:szCs w:val="20"/>
        </w:rPr>
        <w:t>é</w:t>
      </w:r>
      <w:r>
        <w:rPr>
          <w:sz w:val="24"/>
          <w:szCs w:val="24"/>
        </w:rPr>
        <w:t>rn</w:t>
      </w:r>
      <w:proofErr w:type="spellEnd"/>
      <w:r>
        <w:rPr>
          <w:sz w:val="24"/>
          <w:szCs w:val="24"/>
        </w:rPr>
        <w:t xml:space="preserve"> structure. We used the barrier formation of the spatial Gaussian field</w:t>
      </w:r>
      <w:r w:rsidR="001B3795">
        <w:rPr>
          <w:sz w:val="24"/>
          <w:szCs w:val="24"/>
        </w:rPr>
        <w:t xml:space="preserve"> </w:t>
      </w:r>
      <w:r w:rsidR="001B3795" w:rsidRPr="001B3795">
        <w:rPr>
          <w:noProof/>
          <w:sz w:val="24"/>
          <w:szCs w:val="24"/>
        </w:rPr>
        <w:t>(Bakka</w:t>
      </w:r>
      <w:r w:rsidR="00037632">
        <w:rPr>
          <w:noProof/>
          <w:sz w:val="24"/>
          <w:szCs w:val="24"/>
        </w:rPr>
        <w:t xml:space="preserve"> et al.</w:t>
      </w:r>
      <w:r w:rsidR="001B3795" w:rsidRPr="001B3795">
        <w:rPr>
          <w:noProof/>
          <w:sz w:val="24"/>
          <w:szCs w:val="24"/>
        </w:rPr>
        <w:t>, 2019)</w:t>
      </w:r>
      <w:r>
        <w:rPr>
          <w:sz w:val="24"/>
          <w:szCs w:val="24"/>
        </w:rPr>
        <w:t xml:space="preserve"> to avoiding smoothing over land, and to take into account the barrier effect of islands. This was modelled using the stochastic partial differential equation (SPDE) approach (Lindgren et al., 2011). The spatial effect of the occurrence model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ijk</m:t>
            </m:r>
          </m:sub>
        </m:sSub>
      </m:oMath>
      <w:r w:rsidRPr="00784566">
        <w:rPr>
          <w:rFonts w:eastAsia="SimSun"/>
          <w:sz w:val="24"/>
          <w:szCs w:val="24"/>
        </w:rPr>
        <w:t xml:space="preserve">) was included as a covariate in the abundance model with coefficient </w:t>
      </w:r>
      <m:oMath>
        <m:r>
          <w:rPr>
            <w:rFonts w:ascii="Cambria Math" w:eastAsia="SimSun" w:hAnsi="Cambria Math"/>
            <w:sz w:val="24"/>
            <w:szCs w:val="24"/>
          </w:rPr>
          <m:t>β</m:t>
        </m:r>
      </m:oMath>
      <w:r w:rsidRPr="00784566">
        <w:rPr>
          <w:rFonts w:eastAsia="SimSun"/>
          <w:sz w:val="24"/>
          <w:szCs w:val="24"/>
        </w:rPr>
        <w:t>. The abundance model also had its own spatial effect (</w:t>
      </w:r>
      <m:oMath>
        <m:sSub>
          <m:sSubPr>
            <m:ctrlPr>
              <w:rPr>
                <w:rFonts w:ascii="Cambria Math" w:eastAsia="SimSun" w:hAnsi="Cambria Math"/>
                <w:i/>
                <w:sz w:val="24"/>
                <w:szCs w:val="24"/>
              </w:rPr>
            </m:ctrlPr>
          </m:sSubPr>
          <m:e>
            <m:r>
              <w:rPr>
                <w:rFonts w:ascii="Cambria Math" w:eastAsia="SimSun" w:hAnsi="Cambria Math"/>
                <w:sz w:val="24"/>
                <w:szCs w:val="24"/>
              </w:rPr>
              <m:t>W</m:t>
            </m:r>
          </m:e>
          <m:sub>
            <m:r>
              <w:rPr>
                <w:rFonts w:ascii="Cambria Math" w:eastAsia="SimSun" w:hAnsi="Cambria Math"/>
                <w:sz w:val="24"/>
                <w:szCs w:val="24"/>
              </w:rPr>
              <m:t>ijk</m:t>
            </m:r>
          </m:sub>
        </m:sSub>
      </m:oMath>
      <w:r w:rsidRPr="00784566">
        <w:rPr>
          <w:rFonts w:eastAsia="SimSun"/>
          <w:sz w:val="24"/>
          <w:szCs w:val="24"/>
        </w:rPr>
        <w:t xml:space="preserve">). </w:t>
      </w:r>
      <w:r>
        <w:rPr>
          <w:sz w:val="24"/>
          <w:szCs w:val="24"/>
        </w:rPr>
        <w:t>This approach allows us to make predictions which take into account the spatial structure of sea cucumber densities. For the spatial field, we used penalised complexity priors</w:t>
      </w:r>
      <w:r w:rsidR="001B3795">
        <w:rPr>
          <w:sz w:val="24"/>
          <w:szCs w:val="24"/>
        </w:rPr>
        <w:t xml:space="preserve"> </w:t>
      </w:r>
      <w:r w:rsidR="001B3795" w:rsidRPr="001B3795">
        <w:rPr>
          <w:noProof/>
          <w:sz w:val="24"/>
          <w:szCs w:val="24"/>
        </w:rPr>
        <w:t>(Fuglstad</w:t>
      </w:r>
      <w:r w:rsidR="00037632">
        <w:rPr>
          <w:noProof/>
          <w:sz w:val="24"/>
          <w:szCs w:val="24"/>
        </w:rPr>
        <w:t xml:space="preserve"> et al., </w:t>
      </w:r>
      <w:r w:rsidR="001B3795" w:rsidRPr="001B3795">
        <w:rPr>
          <w:noProof/>
          <w:sz w:val="24"/>
          <w:szCs w:val="24"/>
        </w:rPr>
        <w:t>2018)</w:t>
      </w:r>
      <w:r>
        <w:rPr>
          <w:sz w:val="24"/>
          <w:szCs w:val="24"/>
        </w:rPr>
        <w:t xml:space="preserve"> with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ρ&lt;1000m</m:t>
            </m:r>
          </m:e>
        </m:d>
        <m:r>
          <w:rPr>
            <w:rFonts w:ascii="Cambria Math" w:hAnsi="Cambria Math"/>
            <w:sz w:val="24"/>
            <w:szCs w:val="24"/>
          </w:rPr>
          <m:t>=0.05</m:t>
        </m:r>
      </m:oMath>
      <w:r w:rsidRPr="00784566">
        <w:rPr>
          <w:rFonts w:eastAsia="SimSun"/>
          <w:sz w:val="24"/>
          <w:szCs w:val="24"/>
        </w:rPr>
        <w:t xml:space="preserve"> and </w:t>
      </w:r>
      <m:oMath>
        <m:r>
          <w:rPr>
            <w:rFonts w:ascii="Cambria Math" w:eastAsia="SimSun" w:hAnsi="Cambria Math"/>
            <w:sz w:val="24"/>
            <w:szCs w:val="24"/>
          </w:rPr>
          <m:t>p</m:t>
        </m:r>
        <m:d>
          <m:dPr>
            <m:ctrlPr>
              <w:rPr>
                <w:rFonts w:ascii="Cambria Math" w:eastAsia="SimSun" w:hAnsi="Cambria Math"/>
                <w:i/>
                <w:sz w:val="24"/>
                <w:szCs w:val="24"/>
              </w:rPr>
            </m:ctrlPr>
          </m:dPr>
          <m:e>
            <m:r>
              <w:rPr>
                <w:rFonts w:ascii="Cambria Math" w:eastAsia="SimSun" w:hAnsi="Cambria Math"/>
                <w:sz w:val="24"/>
                <w:szCs w:val="24"/>
              </w:rPr>
              <m:t>σ&lt;30</m:t>
            </m:r>
          </m:e>
        </m:d>
        <m:r>
          <w:rPr>
            <w:rFonts w:ascii="Cambria Math" w:eastAsia="SimSun" w:hAnsi="Cambria Math"/>
            <w:sz w:val="24"/>
            <w:szCs w:val="24"/>
          </w:rPr>
          <m:t>=0.05</m:t>
        </m:r>
      </m:oMath>
      <w:r w:rsidRPr="00784566">
        <w:rPr>
          <w:rFonts w:eastAsia="SimSun"/>
          <w:sz w:val="24"/>
          <w:szCs w:val="24"/>
        </w:rPr>
        <w:t xml:space="preserve">. </w:t>
      </w:r>
      <w:r>
        <w:rPr>
          <w:sz w:val="24"/>
          <w:szCs w:val="24"/>
        </w:rPr>
        <w:t>We compared models using Watanabe’s information criterion (WAIC), which is a generalisation of Akaike’s information criterion (AIC) suitable for hierarchical Bayesian models (</w:t>
      </w:r>
      <w:r w:rsidR="007A2E39">
        <w:rPr>
          <w:sz w:val="24"/>
          <w:szCs w:val="24"/>
        </w:rPr>
        <w:t xml:space="preserve">Watanabe, </w:t>
      </w:r>
      <w:r w:rsidR="007A2E39">
        <w:rPr>
          <w:sz w:val="24"/>
          <w:szCs w:val="24"/>
        </w:rPr>
        <w:lastRenderedPageBreak/>
        <w:t>2010</w:t>
      </w:r>
      <w:r>
        <w:rPr>
          <w:sz w:val="24"/>
          <w:szCs w:val="24"/>
        </w:rPr>
        <w:t xml:space="preserve">). A smaller WAIC suggests a better model, with a difference of 10 or more providing strong evidence for the model with smallest WAIC. </w:t>
      </w:r>
      <w:r>
        <w:t xml:space="preserve"> </w:t>
      </w:r>
    </w:p>
    <w:p w:rsidR="001E64C3" w:rsidRDefault="00D66BBC" w:rsidP="00B000C5">
      <w:pPr>
        <w:spacing w:line="480" w:lineRule="auto"/>
        <w:rPr>
          <w:sz w:val="24"/>
          <w:szCs w:val="24"/>
        </w:rPr>
      </w:pPr>
      <w:r>
        <w:rPr>
          <w:sz w:val="24"/>
          <w:szCs w:val="24"/>
        </w:rPr>
        <w:t xml:space="preserve">We used the resulting spatial model to estimate sea cucumber density into a 100 x 100 m resolution representation of all areas &lt; 30 m depth. </w:t>
      </w:r>
      <w:r w:rsidR="004A501B">
        <w:rPr>
          <w:sz w:val="24"/>
          <w:szCs w:val="24"/>
        </w:rPr>
        <w:t>The 30 m depth was chosen because no sampling was conducted below</w:t>
      </w:r>
      <w:r w:rsidR="00B000C5">
        <w:rPr>
          <w:sz w:val="24"/>
          <w:szCs w:val="24"/>
        </w:rPr>
        <w:t xml:space="preserve"> 30 m depth</w:t>
      </w:r>
      <w:r w:rsidR="00D2792E">
        <w:rPr>
          <w:sz w:val="24"/>
          <w:szCs w:val="24"/>
        </w:rPr>
        <w:t xml:space="preserve"> </w:t>
      </w:r>
      <w:r w:rsidR="004A501B">
        <w:rPr>
          <w:sz w:val="24"/>
          <w:szCs w:val="24"/>
        </w:rPr>
        <w:t>for safety reasons</w:t>
      </w:r>
      <w:r w:rsidR="00D2792E">
        <w:rPr>
          <w:sz w:val="24"/>
          <w:szCs w:val="24"/>
        </w:rPr>
        <w:t>,</w:t>
      </w:r>
      <w:r w:rsidR="004A501B">
        <w:rPr>
          <w:sz w:val="24"/>
          <w:szCs w:val="24"/>
        </w:rPr>
        <w:t xml:space="preserve"> </w:t>
      </w:r>
      <w:r w:rsidR="00D2792E">
        <w:rPr>
          <w:sz w:val="24"/>
          <w:szCs w:val="24"/>
        </w:rPr>
        <w:t>and</w:t>
      </w:r>
      <w:r w:rsidR="004A501B">
        <w:rPr>
          <w:sz w:val="24"/>
          <w:szCs w:val="24"/>
        </w:rPr>
        <w:t xml:space="preserve"> because it is</w:t>
      </w:r>
      <w:r w:rsidR="00D2792E">
        <w:rPr>
          <w:sz w:val="24"/>
          <w:szCs w:val="24"/>
        </w:rPr>
        <w:t xml:space="preserve"> </w:t>
      </w:r>
      <w:r w:rsidR="004A501B">
        <w:rPr>
          <w:sz w:val="24"/>
          <w:szCs w:val="24"/>
        </w:rPr>
        <w:t>proposed as management measure to keep part of the stock unfished (see below).</w:t>
      </w:r>
      <w:r w:rsidR="00A14234">
        <w:rPr>
          <w:sz w:val="24"/>
          <w:szCs w:val="24"/>
        </w:rPr>
        <w:t xml:space="preserve"> </w:t>
      </w:r>
      <w:r w:rsidR="00B000C5">
        <w:rPr>
          <w:sz w:val="24"/>
          <w:szCs w:val="24"/>
        </w:rPr>
        <w:t>Bathymetry was obtained from GEBCO (</w:t>
      </w:r>
      <w:hyperlink r:id="rId11" w:history="1">
        <w:r w:rsidR="00B000C5" w:rsidRPr="00FA2F52">
          <w:rPr>
            <w:rStyle w:val="Hyperlink"/>
            <w:sz w:val="24"/>
            <w:szCs w:val="24"/>
          </w:rPr>
          <w:t>https://www.gebco.net/</w:t>
        </w:r>
      </w:hyperlink>
      <w:r w:rsidR="00B000C5">
        <w:rPr>
          <w:sz w:val="24"/>
          <w:szCs w:val="24"/>
        </w:rPr>
        <w:t>; last visited on 12/06/2018)</w:t>
      </w:r>
      <w:r w:rsidR="00D2792E">
        <w:rPr>
          <w:sz w:val="24"/>
          <w:szCs w:val="24"/>
        </w:rPr>
        <w:t xml:space="preserve"> and</w:t>
      </w:r>
      <w:r w:rsidR="00B000C5">
        <w:rPr>
          <w:sz w:val="24"/>
          <w:szCs w:val="24"/>
        </w:rPr>
        <w:t xml:space="preserve"> </w:t>
      </w:r>
      <w:r w:rsidR="00FD095C">
        <w:rPr>
          <w:sz w:val="24"/>
          <w:szCs w:val="24"/>
        </w:rPr>
        <w:t>fine-tuned</w:t>
      </w:r>
      <w:r w:rsidR="00B000C5">
        <w:rPr>
          <w:sz w:val="24"/>
          <w:szCs w:val="24"/>
        </w:rPr>
        <w:t xml:space="preserve"> by López (pers. com). </w:t>
      </w:r>
      <w:r w:rsidR="00A14234">
        <w:rPr>
          <w:sz w:val="24"/>
          <w:szCs w:val="24"/>
        </w:rPr>
        <w:t>Therefore, we consider as suitable habitat for harvesting purposes and abundance estimation the area within a</w:t>
      </w:r>
      <w:r w:rsidR="00D2792E">
        <w:rPr>
          <w:sz w:val="24"/>
          <w:szCs w:val="24"/>
        </w:rPr>
        <w:t>n</w:t>
      </w:r>
      <w:r w:rsidR="00A14234">
        <w:rPr>
          <w:sz w:val="24"/>
          <w:szCs w:val="24"/>
        </w:rPr>
        <w:t xml:space="preserve"> estate that is shallower than 30 m.</w:t>
      </w:r>
    </w:p>
    <w:p w:rsidR="001E64C3" w:rsidRDefault="00D66BBC">
      <w:pPr>
        <w:spacing w:line="480" w:lineRule="auto"/>
        <w:rPr>
          <w:sz w:val="24"/>
          <w:szCs w:val="24"/>
        </w:rPr>
      </w:pPr>
      <w:r>
        <w:rPr>
          <w:sz w:val="24"/>
          <w:szCs w:val="24"/>
        </w:rPr>
        <w:t xml:space="preserve">Using our estimated sea cucumber densities at 100 x 100 m resolution, we calculated the total estimated abundances within nine estates and compared </w:t>
      </w:r>
      <w:r w:rsidR="00B128C8">
        <w:rPr>
          <w:sz w:val="24"/>
          <w:szCs w:val="24"/>
        </w:rPr>
        <w:t xml:space="preserve">this </w:t>
      </w:r>
      <w:r>
        <w:rPr>
          <w:sz w:val="24"/>
          <w:szCs w:val="24"/>
        </w:rPr>
        <w:t xml:space="preserve">to the granted. </w:t>
      </w:r>
    </w:p>
    <w:p w:rsidR="001E64C3" w:rsidRDefault="00D66BBC">
      <w:pPr>
        <w:spacing w:line="480" w:lineRule="auto"/>
        <w:rPr>
          <w:sz w:val="24"/>
          <w:szCs w:val="24"/>
        </w:rPr>
      </w:pPr>
      <w:r>
        <w:rPr>
          <w:sz w:val="24"/>
          <w:szCs w:val="24"/>
        </w:rPr>
        <w:t>All analyses were performed in R version 3.5.0 (R Core Team 2018) using the INLA package (Rue et al.</w:t>
      </w:r>
      <w:r w:rsidR="0017035F">
        <w:rPr>
          <w:sz w:val="24"/>
          <w:szCs w:val="24"/>
        </w:rPr>
        <w:t>,</w:t>
      </w:r>
      <w:r>
        <w:rPr>
          <w:sz w:val="24"/>
          <w:szCs w:val="24"/>
        </w:rPr>
        <w:t xml:space="preserve"> 2009). </w:t>
      </w:r>
      <w:r w:rsidR="008D13D8">
        <w:rPr>
          <w:sz w:val="24"/>
          <w:szCs w:val="24"/>
        </w:rPr>
        <w:t>For fixed effects and non-spatial random effects, w</w:t>
      </w:r>
      <w:r>
        <w:rPr>
          <w:sz w:val="24"/>
          <w:szCs w:val="24"/>
        </w:rPr>
        <w:t xml:space="preserve">e used default priors. </w:t>
      </w:r>
      <w:r w:rsidR="00D2792E">
        <w:rPr>
          <w:sz w:val="24"/>
          <w:szCs w:val="24"/>
        </w:rPr>
        <w:t xml:space="preserve">Code required to replicate these analyses are available at </w:t>
      </w:r>
      <w:hyperlink r:id="rId12" w:history="1">
        <w:r w:rsidR="00D2792E" w:rsidRPr="004258A8">
          <w:rPr>
            <w:rStyle w:val="Hyperlink"/>
            <w:sz w:val="24"/>
            <w:szCs w:val="24"/>
          </w:rPr>
          <w:t>www.github.com/laurajanegraham/sea_cucumber</w:t>
        </w:r>
      </w:hyperlink>
      <w:r w:rsidR="00D2792E">
        <w:rPr>
          <w:sz w:val="24"/>
          <w:szCs w:val="24"/>
        </w:rPr>
        <w:t xml:space="preserve">. </w:t>
      </w:r>
    </w:p>
    <w:p w:rsidR="001E64C3" w:rsidRDefault="00D66BBC">
      <w:pPr>
        <w:spacing w:line="480" w:lineRule="auto"/>
        <w:rPr>
          <w:sz w:val="24"/>
          <w:szCs w:val="24"/>
        </w:rPr>
      </w:pPr>
      <w:r>
        <w:rPr>
          <w:sz w:val="24"/>
          <w:szCs w:val="24"/>
        </w:rPr>
        <w:t>Results</w:t>
      </w:r>
    </w:p>
    <w:p w:rsidR="003D129A" w:rsidRDefault="00D2792E" w:rsidP="00B000C5">
      <w:pPr>
        <w:spacing w:line="480" w:lineRule="auto"/>
        <w:rPr>
          <w:sz w:val="24"/>
          <w:szCs w:val="24"/>
        </w:rPr>
        <w:sectPr w:rsidR="003D129A" w:rsidSect="009543EC">
          <w:footerReference w:type="even" r:id="rId13"/>
          <w:footerReference w:type="default" r:id="rId14"/>
          <w:pgSz w:w="11906" w:h="16838"/>
          <w:pgMar w:top="1440" w:right="1440" w:bottom="1440" w:left="1440" w:header="708" w:footer="708" w:gutter="0"/>
          <w:lnNumType w:countBy="1" w:restart="continuous"/>
          <w:pgNumType w:start="1"/>
          <w:cols w:space="720"/>
          <w:docGrid w:linePitch="299"/>
        </w:sectPr>
      </w:pPr>
      <w:r>
        <w:rPr>
          <w:sz w:val="24"/>
          <w:szCs w:val="24"/>
        </w:rPr>
        <w:t>T</w:t>
      </w:r>
      <w:r w:rsidR="00D66BBC">
        <w:rPr>
          <w:sz w:val="24"/>
          <w:szCs w:val="24"/>
        </w:rPr>
        <w:t xml:space="preserve">he </w:t>
      </w:r>
      <w:r w:rsidR="00885385">
        <w:rPr>
          <w:sz w:val="24"/>
          <w:szCs w:val="24"/>
        </w:rPr>
        <w:t xml:space="preserve">observed </w:t>
      </w:r>
      <w:r w:rsidR="00D66BBC">
        <w:rPr>
          <w:sz w:val="24"/>
          <w:szCs w:val="24"/>
        </w:rPr>
        <w:t xml:space="preserve">density </w:t>
      </w:r>
      <w:r>
        <w:rPr>
          <w:sz w:val="24"/>
          <w:szCs w:val="24"/>
        </w:rPr>
        <w:t xml:space="preserve">of </w:t>
      </w:r>
      <w:r w:rsidRPr="00031513">
        <w:rPr>
          <w:i/>
          <w:sz w:val="24"/>
          <w:szCs w:val="24"/>
        </w:rPr>
        <w:t xml:space="preserve">I. </w:t>
      </w:r>
      <w:proofErr w:type="spellStart"/>
      <w:r w:rsidRPr="00031513">
        <w:rPr>
          <w:i/>
          <w:sz w:val="24"/>
          <w:szCs w:val="24"/>
        </w:rPr>
        <w:t>fuscus</w:t>
      </w:r>
      <w:proofErr w:type="spellEnd"/>
      <w:r>
        <w:rPr>
          <w:sz w:val="24"/>
          <w:szCs w:val="24"/>
        </w:rPr>
        <w:t xml:space="preserve"> </w:t>
      </w:r>
      <w:r w:rsidR="00D66BBC">
        <w:rPr>
          <w:sz w:val="24"/>
          <w:szCs w:val="24"/>
        </w:rPr>
        <w:t>ranged from a minimum of 0 to a maximum of 0.58 org· m</w:t>
      </w:r>
      <w:r w:rsidR="00D66BBC">
        <w:rPr>
          <w:sz w:val="24"/>
          <w:szCs w:val="24"/>
          <w:vertAlign w:val="superscript"/>
        </w:rPr>
        <w:t>2</w:t>
      </w:r>
      <w:r w:rsidR="00D66BBC">
        <w:rPr>
          <w:sz w:val="24"/>
          <w:szCs w:val="24"/>
        </w:rPr>
        <w:t>, with an average of 0.03 org· m</w:t>
      </w:r>
      <w:r w:rsidR="005E4B42" w:rsidRPr="005E4B42">
        <w:rPr>
          <w:sz w:val="24"/>
          <w:szCs w:val="24"/>
          <w:vertAlign w:val="superscript"/>
        </w:rPr>
        <w:t>-</w:t>
      </w:r>
      <w:r w:rsidR="00D66BBC">
        <w:rPr>
          <w:sz w:val="24"/>
          <w:szCs w:val="24"/>
          <w:vertAlign w:val="superscript"/>
        </w:rPr>
        <w:t>2</w:t>
      </w:r>
      <w:r w:rsidR="00D66BBC">
        <w:rPr>
          <w:sz w:val="24"/>
          <w:szCs w:val="24"/>
        </w:rPr>
        <w:t xml:space="preserve">. </w:t>
      </w:r>
      <w:r w:rsidR="00B128C8">
        <w:rPr>
          <w:sz w:val="24"/>
          <w:szCs w:val="24"/>
        </w:rPr>
        <w:t>T</w:t>
      </w:r>
      <w:r w:rsidR="00D66BBC">
        <w:rPr>
          <w:sz w:val="24"/>
          <w:szCs w:val="24"/>
        </w:rPr>
        <w:t xml:space="preserve">he </w:t>
      </w:r>
      <w:r w:rsidR="00C45C46">
        <w:rPr>
          <w:sz w:val="24"/>
          <w:szCs w:val="24"/>
        </w:rPr>
        <w:t xml:space="preserve">mean </w:t>
      </w:r>
      <w:r w:rsidR="00D66BBC">
        <w:rPr>
          <w:sz w:val="24"/>
          <w:szCs w:val="24"/>
        </w:rPr>
        <w:t xml:space="preserve">suitable </w:t>
      </w:r>
      <w:r w:rsidR="00C45C46">
        <w:rPr>
          <w:sz w:val="24"/>
          <w:szCs w:val="24"/>
        </w:rPr>
        <w:t xml:space="preserve">fishing zones within the estates (defined as areas with a depth &lt; 30 m) was </w:t>
      </w:r>
      <w:r w:rsidR="00D66BBC">
        <w:rPr>
          <w:sz w:val="24"/>
          <w:szCs w:val="24"/>
        </w:rPr>
        <w:t>15.7% (minimum = 7.8</w:t>
      </w:r>
      <w:r w:rsidR="005E4B42">
        <w:rPr>
          <w:sz w:val="24"/>
          <w:szCs w:val="24"/>
        </w:rPr>
        <w:t>%</w:t>
      </w:r>
      <w:r w:rsidR="00D66BBC">
        <w:rPr>
          <w:sz w:val="24"/>
          <w:szCs w:val="24"/>
        </w:rPr>
        <w:t>, maximum = 28.8%) of the total concession area</w:t>
      </w:r>
      <w:r w:rsidR="00B128C8">
        <w:rPr>
          <w:sz w:val="24"/>
          <w:szCs w:val="24"/>
        </w:rPr>
        <w:t xml:space="preserve"> (Table 1)</w:t>
      </w:r>
      <w:r w:rsidR="00D66BBC">
        <w:rPr>
          <w:sz w:val="24"/>
          <w:szCs w:val="24"/>
        </w:rPr>
        <w:t xml:space="preserve">. </w:t>
      </w:r>
      <w:r w:rsidR="008025A2">
        <w:rPr>
          <w:sz w:val="24"/>
          <w:szCs w:val="24"/>
        </w:rPr>
        <w:t xml:space="preserve">If quotas were granted under the assumptions that the habitat is homogenous in the whole estate (i.e. ignoring bathymetry and type of substrate), </w:t>
      </w:r>
      <w:r w:rsidR="008025A2">
        <w:rPr>
          <w:sz w:val="24"/>
          <w:szCs w:val="24"/>
        </w:rPr>
        <w:lastRenderedPageBreak/>
        <w:t>and that the overall mean density (0.03</w:t>
      </w:r>
      <w:r w:rsidR="008025A2" w:rsidRPr="008025A2">
        <w:rPr>
          <w:sz w:val="24"/>
          <w:szCs w:val="24"/>
        </w:rPr>
        <w:t xml:space="preserve"> </w:t>
      </w:r>
      <w:r w:rsidR="008025A2">
        <w:rPr>
          <w:sz w:val="24"/>
          <w:szCs w:val="24"/>
        </w:rPr>
        <w:t>org· m</w:t>
      </w:r>
      <w:r w:rsidR="008025A2" w:rsidRPr="005E4B42">
        <w:rPr>
          <w:sz w:val="24"/>
          <w:szCs w:val="24"/>
          <w:vertAlign w:val="superscript"/>
        </w:rPr>
        <w:t>-</w:t>
      </w:r>
      <w:r w:rsidR="008025A2">
        <w:rPr>
          <w:sz w:val="24"/>
          <w:szCs w:val="24"/>
          <w:vertAlign w:val="superscript"/>
        </w:rPr>
        <w:t>2</w:t>
      </w:r>
      <w:r w:rsidR="008025A2">
        <w:rPr>
          <w:sz w:val="24"/>
          <w:szCs w:val="24"/>
        </w:rPr>
        <w:t xml:space="preserve">) holds true for the whole </w:t>
      </w:r>
      <w:r w:rsidR="00C45C46">
        <w:rPr>
          <w:sz w:val="24"/>
          <w:szCs w:val="24"/>
        </w:rPr>
        <w:t xml:space="preserve">study </w:t>
      </w:r>
      <w:r w:rsidR="008025A2">
        <w:rPr>
          <w:sz w:val="24"/>
          <w:szCs w:val="24"/>
        </w:rPr>
        <w:t xml:space="preserve">area, </w:t>
      </w:r>
      <w:r w:rsidR="00B000C5">
        <w:rPr>
          <w:sz w:val="24"/>
          <w:szCs w:val="24"/>
        </w:rPr>
        <w:t xml:space="preserve">current </w:t>
      </w:r>
      <w:r w:rsidR="008025A2">
        <w:rPr>
          <w:sz w:val="24"/>
          <w:szCs w:val="24"/>
        </w:rPr>
        <w:t xml:space="preserve">quotas might </w:t>
      </w:r>
      <w:r w:rsidR="00E6777A">
        <w:rPr>
          <w:sz w:val="24"/>
          <w:szCs w:val="24"/>
        </w:rPr>
        <w:t>be unsustainably large</w:t>
      </w:r>
      <w:r w:rsidR="008025A2">
        <w:rPr>
          <w:sz w:val="24"/>
          <w:szCs w:val="24"/>
        </w:rPr>
        <w:t>.</w:t>
      </w:r>
    </w:p>
    <w:p w:rsidR="001E64C3" w:rsidRDefault="00D66BBC" w:rsidP="001634E8">
      <w:pPr>
        <w:spacing w:line="480" w:lineRule="auto"/>
        <w:rPr>
          <w:sz w:val="24"/>
          <w:szCs w:val="24"/>
        </w:rPr>
      </w:pPr>
      <w:bookmarkStart w:id="3" w:name="_30j0zll" w:colFirst="0" w:colLast="0"/>
      <w:bookmarkEnd w:id="3"/>
      <w:r>
        <w:rPr>
          <w:b/>
          <w:sz w:val="24"/>
          <w:szCs w:val="24"/>
        </w:rPr>
        <w:lastRenderedPageBreak/>
        <w:t xml:space="preserve">Table 1. </w:t>
      </w:r>
      <w:r w:rsidR="00CA6AE3">
        <w:rPr>
          <w:bCs/>
          <w:sz w:val="24"/>
          <w:szCs w:val="24"/>
        </w:rPr>
        <w:t>Total area (ha) of each estate</w:t>
      </w:r>
      <w:r w:rsidR="008025A2">
        <w:rPr>
          <w:bCs/>
          <w:sz w:val="24"/>
          <w:szCs w:val="24"/>
        </w:rPr>
        <w:t xml:space="preserve">, </w:t>
      </w:r>
      <w:r w:rsidR="002363D9">
        <w:rPr>
          <w:bCs/>
          <w:sz w:val="24"/>
          <w:szCs w:val="24"/>
        </w:rPr>
        <w:t>total area &lt; 30 m and</w:t>
      </w:r>
      <w:r w:rsidR="00CA6AE3">
        <w:rPr>
          <w:bCs/>
          <w:sz w:val="24"/>
          <w:szCs w:val="24"/>
        </w:rPr>
        <w:t xml:space="preserve"> </w:t>
      </w:r>
      <w:r>
        <w:rPr>
          <w:sz w:val="24"/>
          <w:szCs w:val="24"/>
        </w:rPr>
        <w:t>estimated sea cucumber abundance (number of individuals)</w:t>
      </w:r>
      <w:r w:rsidR="002363D9">
        <w:rPr>
          <w:sz w:val="24"/>
          <w:szCs w:val="24"/>
        </w:rPr>
        <w:t xml:space="preserve"> based on both the spatial and non-spatial models. </w:t>
      </w:r>
      <w:r>
        <w:rPr>
          <w:sz w:val="24"/>
          <w:szCs w:val="24"/>
        </w:rPr>
        <w:t xml:space="preserve">Estimated sea cucumber abundance is the posterior mean from the spatial INLA model, LCI and UCI are the lower and upper limits of the 95% credible interval. </w:t>
      </w:r>
    </w:p>
    <w:tbl>
      <w:tblPr>
        <w:tblW w:w="1009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866"/>
        <w:gridCol w:w="1244"/>
        <w:gridCol w:w="1151"/>
        <w:gridCol w:w="1250"/>
        <w:gridCol w:w="993"/>
        <w:gridCol w:w="1119"/>
        <w:gridCol w:w="1355"/>
        <w:gridCol w:w="993"/>
        <w:gridCol w:w="1119"/>
      </w:tblGrid>
      <w:tr w:rsidR="003278DC" w:rsidTr="005A217B">
        <w:trPr>
          <w:trHeight w:val="268"/>
        </w:trPr>
        <w:tc>
          <w:tcPr>
            <w:tcW w:w="866" w:type="dxa"/>
            <w:noWrap/>
            <w:vAlign w:val="bottom"/>
            <w:hideMark/>
          </w:tcPr>
          <w:p w:rsidR="003278DC" w:rsidRDefault="003278DC" w:rsidP="005A217B">
            <w:pPr>
              <w:spacing w:after="0" w:line="360" w:lineRule="auto"/>
              <w:rPr>
                <w:sz w:val="20"/>
                <w:szCs w:val="20"/>
              </w:rPr>
            </w:pPr>
          </w:p>
        </w:tc>
        <w:tc>
          <w:tcPr>
            <w:tcW w:w="1244" w:type="dxa"/>
            <w:noWrap/>
            <w:vAlign w:val="bottom"/>
            <w:hideMark/>
          </w:tcPr>
          <w:p w:rsidR="003278DC" w:rsidRDefault="003278DC" w:rsidP="005A217B">
            <w:pPr>
              <w:spacing w:line="360" w:lineRule="auto"/>
              <w:rPr>
                <w:sz w:val="20"/>
                <w:szCs w:val="20"/>
                <w:lang w:val="en-US"/>
              </w:rPr>
            </w:pPr>
          </w:p>
        </w:tc>
        <w:tc>
          <w:tcPr>
            <w:tcW w:w="1151" w:type="dxa"/>
            <w:noWrap/>
            <w:vAlign w:val="bottom"/>
            <w:hideMark/>
          </w:tcPr>
          <w:p w:rsidR="003278DC" w:rsidRDefault="003278DC" w:rsidP="005A217B">
            <w:pPr>
              <w:spacing w:line="360" w:lineRule="auto"/>
              <w:rPr>
                <w:sz w:val="20"/>
                <w:szCs w:val="20"/>
                <w:lang w:val="en-US"/>
              </w:rPr>
            </w:pPr>
          </w:p>
        </w:tc>
        <w:tc>
          <w:tcPr>
            <w:tcW w:w="3362" w:type="dxa"/>
            <w:gridSpan w:val="3"/>
            <w:noWrap/>
            <w:vAlign w:val="bottom"/>
            <w:hideMark/>
          </w:tcPr>
          <w:p w:rsidR="003278DC" w:rsidRDefault="003278DC" w:rsidP="005A217B">
            <w:pPr>
              <w:spacing w:after="0" w:line="360" w:lineRule="auto"/>
              <w:jc w:val="center"/>
              <w:rPr>
                <w:rFonts w:eastAsia="Times New Roman" w:cs="Times New Roman"/>
                <w:b/>
                <w:color w:val="000000"/>
                <w:lang w:eastAsia="en-GB"/>
              </w:rPr>
            </w:pPr>
            <w:r>
              <w:rPr>
                <w:rFonts w:eastAsia="Times New Roman" w:cs="Times New Roman"/>
                <w:b/>
                <w:color w:val="000000"/>
                <w:lang w:eastAsia="en-GB"/>
              </w:rPr>
              <w:t>Spatial model</w:t>
            </w:r>
          </w:p>
        </w:tc>
        <w:tc>
          <w:tcPr>
            <w:tcW w:w="3467" w:type="dxa"/>
            <w:gridSpan w:val="3"/>
            <w:noWrap/>
            <w:vAlign w:val="bottom"/>
            <w:hideMark/>
          </w:tcPr>
          <w:p w:rsidR="003278DC" w:rsidRDefault="003278DC" w:rsidP="005A217B">
            <w:pPr>
              <w:spacing w:after="0" w:line="360" w:lineRule="auto"/>
              <w:jc w:val="center"/>
              <w:rPr>
                <w:rFonts w:eastAsia="Times New Roman" w:cs="Times New Roman"/>
                <w:b/>
                <w:color w:val="000000"/>
                <w:lang w:eastAsia="en-GB"/>
              </w:rPr>
            </w:pPr>
            <w:r>
              <w:rPr>
                <w:rFonts w:eastAsia="Times New Roman" w:cs="Times New Roman"/>
                <w:b/>
                <w:color w:val="000000"/>
                <w:lang w:eastAsia="en-GB"/>
              </w:rPr>
              <w:t>Non-spatial model</w:t>
            </w:r>
          </w:p>
        </w:tc>
      </w:tr>
      <w:tr w:rsidR="003278DC" w:rsidTr="005A217B">
        <w:trPr>
          <w:trHeight w:val="268"/>
        </w:trPr>
        <w:tc>
          <w:tcPr>
            <w:tcW w:w="866" w:type="dxa"/>
            <w:noWrap/>
            <w:hideMark/>
          </w:tcPr>
          <w:p w:rsidR="003278DC" w:rsidRDefault="003278DC" w:rsidP="005A217B">
            <w:pPr>
              <w:spacing w:after="0" w:line="360" w:lineRule="auto"/>
              <w:rPr>
                <w:rFonts w:eastAsia="Times New Roman" w:cs="Times New Roman"/>
                <w:b/>
                <w:color w:val="000000"/>
                <w:lang w:eastAsia="en-GB"/>
              </w:rPr>
            </w:pPr>
            <w:r>
              <w:rPr>
                <w:rFonts w:eastAsia="Times New Roman" w:cs="Times New Roman"/>
                <w:b/>
                <w:color w:val="000000"/>
                <w:lang w:eastAsia="en-GB"/>
              </w:rPr>
              <w:t>Estate</w:t>
            </w:r>
          </w:p>
        </w:tc>
        <w:tc>
          <w:tcPr>
            <w:tcW w:w="1244" w:type="dxa"/>
            <w:noWrap/>
            <w:hideMark/>
          </w:tcPr>
          <w:p w:rsidR="003278DC" w:rsidRDefault="003278DC" w:rsidP="005A217B">
            <w:pPr>
              <w:spacing w:after="0" w:line="360" w:lineRule="auto"/>
              <w:rPr>
                <w:rFonts w:eastAsia="Times New Roman" w:cs="Times New Roman"/>
                <w:b/>
                <w:color w:val="000000"/>
                <w:lang w:eastAsia="en-GB"/>
              </w:rPr>
            </w:pPr>
            <w:r>
              <w:rPr>
                <w:rFonts w:eastAsia="Times New Roman" w:cs="Times New Roman"/>
                <w:b/>
                <w:color w:val="000000"/>
                <w:lang w:eastAsia="en-GB"/>
              </w:rPr>
              <w:t>Total area (ha)</w:t>
            </w:r>
          </w:p>
        </w:tc>
        <w:tc>
          <w:tcPr>
            <w:tcW w:w="1151" w:type="dxa"/>
            <w:noWrap/>
            <w:hideMark/>
          </w:tcPr>
          <w:p w:rsidR="003278DC" w:rsidRDefault="003278DC" w:rsidP="005A217B">
            <w:pPr>
              <w:spacing w:after="0" w:line="360" w:lineRule="auto"/>
              <w:rPr>
                <w:rFonts w:eastAsia="Times New Roman" w:cs="Times New Roman"/>
                <w:b/>
                <w:color w:val="000000"/>
                <w:lang w:eastAsia="en-GB"/>
              </w:rPr>
            </w:pPr>
            <w:r>
              <w:rPr>
                <w:rFonts w:eastAsia="Times New Roman" w:cs="Times New Roman"/>
                <w:b/>
                <w:color w:val="000000"/>
                <w:lang w:eastAsia="en-GB"/>
              </w:rPr>
              <w:t>Total area &lt; 30m (ha)</w:t>
            </w:r>
          </w:p>
        </w:tc>
        <w:tc>
          <w:tcPr>
            <w:tcW w:w="1250" w:type="dxa"/>
            <w:noWrap/>
            <w:hideMark/>
          </w:tcPr>
          <w:p w:rsidR="003278DC" w:rsidRDefault="003278DC" w:rsidP="005A217B">
            <w:pPr>
              <w:spacing w:after="0" w:line="360" w:lineRule="auto"/>
              <w:rPr>
                <w:rFonts w:eastAsia="Times New Roman" w:cs="Times New Roman"/>
                <w:b/>
                <w:color w:val="000000"/>
                <w:lang w:eastAsia="en-GB"/>
              </w:rPr>
            </w:pPr>
            <w:r>
              <w:rPr>
                <w:rFonts w:eastAsia="Times New Roman" w:cs="Times New Roman"/>
                <w:b/>
                <w:color w:val="000000"/>
                <w:lang w:eastAsia="en-GB"/>
              </w:rPr>
              <w:t>Estimated abundance</w:t>
            </w:r>
          </w:p>
        </w:tc>
        <w:tc>
          <w:tcPr>
            <w:tcW w:w="993" w:type="dxa"/>
            <w:noWrap/>
            <w:hideMark/>
          </w:tcPr>
          <w:p w:rsidR="003278DC" w:rsidRDefault="003278DC" w:rsidP="005A217B">
            <w:pPr>
              <w:spacing w:after="0" w:line="360" w:lineRule="auto"/>
              <w:rPr>
                <w:rFonts w:eastAsia="Times New Roman" w:cs="Times New Roman"/>
                <w:b/>
                <w:color w:val="000000"/>
                <w:lang w:eastAsia="en-GB"/>
              </w:rPr>
            </w:pPr>
            <w:r>
              <w:rPr>
                <w:rFonts w:eastAsia="Times New Roman" w:cs="Times New Roman"/>
                <w:b/>
                <w:color w:val="000000"/>
                <w:lang w:eastAsia="en-GB"/>
              </w:rPr>
              <w:t>LCI</w:t>
            </w:r>
          </w:p>
        </w:tc>
        <w:tc>
          <w:tcPr>
            <w:tcW w:w="1119" w:type="dxa"/>
            <w:noWrap/>
            <w:hideMark/>
          </w:tcPr>
          <w:p w:rsidR="003278DC" w:rsidRDefault="003278DC" w:rsidP="005A217B">
            <w:pPr>
              <w:spacing w:after="0" w:line="360" w:lineRule="auto"/>
              <w:rPr>
                <w:rFonts w:eastAsia="Times New Roman" w:cs="Times New Roman"/>
                <w:b/>
                <w:color w:val="000000"/>
                <w:lang w:eastAsia="en-GB"/>
              </w:rPr>
            </w:pPr>
            <w:r>
              <w:rPr>
                <w:rFonts w:eastAsia="Times New Roman" w:cs="Times New Roman"/>
                <w:b/>
                <w:color w:val="000000"/>
                <w:lang w:eastAsia="en-GB"/>
              </w:rPr>
              <w:t>UCI</w:t>
            </w:r>
          </w:p>
        </w:tc>
        <w:tc>
          <w:tcPr>
            <w:tcW w:w="1355" w:type="dxa"/>
            <w:noWrap/>
            <w:hideMark/>
          </w:tcPr>
          <w:p w:rsidR="003278DC" w:rsidRDefault="003278DC" w:rsidP="005A217B">
            <w:pPr>
              <w:spacing w:after="0" w:line="360" w:lineRule="auto"/>
              <w:rPr>
                <w:rFonts w:eastAsia="Times New Roman" w:cs="Times New Roman"/>
                <w:b/>
                <w:color w:val="000000"/>
                <w:lang w:eastAsia="en-GB"/>
              </w:rPr>
            </w:pPr>
            <w:r>
              <w:rPr>
                <w:rFonts w:eastAsia="Times New Roman" w:cs="Times New Roman"/>
                <w:b/>
                <w:color w:val="000000"/>
                <w:lang w:eastAsia="en-GB"/>
              </w:rPr>
              <w:t>Estimated abundance</w:t>
            </w:r>
          </w:p>
        </w:tc>
        <w:tc>
          <w:tcPr>
            <w:tcW w:w="993" w:type="dxa"/>
            <w:noWrap/>
            <w:hideMark/>
          </w:tcPr>
          <w:p w:rsidR="003278DC" w:rsidRDefault="003278DC" w:rsidP="005A217B">
            <w:pPr>
              <w:spacing w:after="0" w:line="360" w:lineRule="auto"/>
              <w:rPr>
                <w:rFonts w:eastAsia="Times New Roman" w:cs="Times New Roman"/>
                <w:b/>
                <w:color w:val="000000"/>
                <w:lang w:eastAsia="en-GB"/>
              </w:rPr>
            </w:pPr>
            <w:r>
              <w:rPr>
                <w:rFonts w:eastAsia="Times New Roman" w:cs="Times New Roman"/>
                <w:b/>
                <w:color w:val="000000"/>
                <w:lang w:eastAsia="en-GB"/>
              </w:rPr>
              <w:t>LCI</w:t>
            </w:r>
          </w:p>
        </w:tc>
        <w:tc>
          <w:tcPr>
            <w:tcW w:w="1119" w:type="dxa"/>
            <w:noWrap/>
            <w:hideMark/>
          </w:tcPr>
          <w:p w:rsidR="003278DC" w:rsidRDefault="003278DC" w:rsidP="005A217B">
            <w:pPr>
              <w:spacing w:after="0" w:line="360" w:lineRule="auto"/>
              <w:rPr>
                <w:rFonts w:eastAsia="Times New Roman" w:cs="Times New Roman"/>
                <w:b/>
                <w:color w:val="000000"/>
                <w:lang w:eastAsia="en-GB"/>
              </w:rPr>
            </w:pPr>
            <w:r>
              <w:rPr>
                <w:rFonts w:eastAsia="Times New Roman" w:cs="Times New Roman"/>
                <w:b/>
                <w:color w:val="000000"/>
                <w:lang w:eastAsia="en-GB"/>
              </w:rPr>
              <w:t>UCI</w:t>
            </w:r>
          </w:p>
        </w:tc>
      </w:tr>
      <w:tr w:rsidR="003278DC" w:rsidTr="005A217B">
        <w:trPr>
          <w:trHeight w:val="268"/>
        </w:trPr>
        <w:tc>
          <w:tcPr>
            <w:tcW w:w="866"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w:t>
            </w:r>
          </w:p>
        </w:tc>
        <w:tc>
          <w:tcPr>
            <w:tcW w:w="1244"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2730</w:t>
            </w:r>
          </w:p>
        </w:tc>
        <w:tc>
          <w:tcPr>
            <w:tcW w:w="1151"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791</w:t>
            </w:r>
          </w:p>
        </w:tc>
        <w:tc>
          <w:tcPr>
            <w:tcW w:w="1250"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256329</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81270</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613743</w:t>
            </w:r>
          </w:p>
        </w:tc>
        <w:tc>
          <w:tcPr>
            <w:tcW w:w="1355"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258715</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228531</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291928</w:t>
            </w:r>
          </w:p>
        </w:tc>
      </w:tr>
      <w:tr w:rsidR="003278DC" w:rsidTr="005A217B">
        <w:trPr>
          <w:trHeight w:val="268"/>
        </w:trPr>
        <w:tc>
          <w:tcPr>
            <w:tcW w:w="866"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w:t>
            </w:r>
          </w:p>
        </w:tc>
        <w:tc>
          <w:tcPr>
            <w:tcW w:w="1244"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8276</w:t>
            </w:r>
          </w:p>
        </w:tc>
        <w:tc>
          <w:tcPr>
            <w:tcW w:w="1151"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900</w:t>
            </w:r>
          </w:p>
        </w:tc>
        <w:tc>
          <w:tcPr>
            <w:tcW w:w="1250"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291548</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100177</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672912</w:t>
            </w:r>
          </w:p>
        </w:tc>
        <w:tc>
          <w:tcPr>
            <w:tcW w:w="1355"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294366</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260023</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332156</w:t>
            </w:r>
          </w:p>
        </w:tc>
      </w:tr>
      <w:tr w:rsidR="003278DC" w:rsidTr="005A217B">
        <w:trPr>
          <w:trHeight w:val="268"/>
        </w:trPr>
        <w:tc>
          <w:tcPr>
            <w:tcW w:w="866"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3</w:t>
            </w:r>
          </w:p>
        </w:tc>
        <w:tc>
          <w:tcPr>
            <w:tcW w:w="1244"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17364</w:t>
            </w:r>
          </w:p>
        </w:tc>
        <w:tc>
          <w:tcPr>
            <w:tcW w:w="1151"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2344</w:t>
            </w:r>
          </w:p>
        </w:tc>
        <w:tc>
          <w:tcPr>
            <w:tcW w:w="1250"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929029</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403279</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1862389</w:t>
            </w:r>
          </w:p>
        </w:tc>
        <w:tc>
          <w:tcPr>
            <w:tcW w:w="1355"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766660</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677215</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865081</w:t>
            </w:r>
          </w:p>
        </w:tc>
      </w:tr>
      <w:tr w:rsidR="003278DC" w:rsidTr="005A217B">
        <w:trPr>
          <w:trHeight w:val="268"/>
        </w:trPr>
        <w:tc>
          <w:tcPr>
            <w:tcW w:w="866"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4</w:t>
            </w:r>
          </w:p>
        </w:tc>
        <w:tc>
          <w:tcPr>
            <w:tcW w:w="1244"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14141</w:t>
            </w:r>
          </w:p>
        </w:tc>
        <w:tc>
          <w:tcPr>
            <w:tcW w:w="1151"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1119</w:t>
            </w:r>
          </w:p>
        </w:tc>
        <w:tc>
          <w:tcPr>
            <w:tcW w:w="1250"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418475</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149425</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948772</w:t>
            </w:r>
          </w:p>
        </w:tc>
        <w:tc>
          <w:tcPr>
            <w:tcW w:w="1355"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365995</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323295</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412980</w:t>
            </w:r>
          </w:p>
        </w:tc>
      </w:tr>
      <w:tr w:rsidR="003278DC" w:rsidTr="005A217B">
        <w:trPr>
          <w:trHeight w:val="268"/>
        </w:trPr>
        <w:tc>
          <w:tcPr>
            <w:tcW w:w="866"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5</w:t>
            </w:r>
          </w:p>
        </w:tc>
        <w:tc>
          <w:tcPr>
            <w:tcW w:w="1244"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6577</w:t>
            </w:r>
          </w:p>
        </w:tc>
        <w:tc>
          <w:tcPr>
            <w:tcW w:w="1151"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1201</w:t>
            </w:r>
          </w:p>
        </w:tc>
        <w:tc>
          <w:tcPr>
            <w:tcW w:w="1250"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426698</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169417</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894961</w:t>
            </w:r>
          </w:p>
        </w:tc>
        <w:tc>
          <w:tcPr>
            <w:tcW w:w="1355"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392815</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346986</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443243</w:t>
            </w:r>
          </w:p>
        </w:tc>
      </w:tr>
      <w:tr w:rsidR="003278DC" w:rsidTr="005A217B">
        <w:trPr>
          <w:trHeight w:val="268"/>
        </w:trPr>
        <w:tc>
          <w:tcPr>
            <w:tcW w:w="866"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6</w:t>
            </w:r>
          </w:p>
        </w:tc>
        <w:tc>
          <w:tcPr>
            <w:tcW w:w="1244"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17135</w:t>
            </w:r>
          </w:p>
        </w:tc>
        <w:tc>
          <w:tcPr>
            <w:tcW w:w="1151"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2368</w:t>
            </w:r>
          </w:p>
        </w:tc>
        <w:tc>
          <w:tcPr>
            <w:tcW w:w="1250"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766617</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274795</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1731653</w:t>
            </w:r>
          </w:p>
        </w:tc>
        <w:tc>
          <w:tcPr>
            <w:tcW w:w="1355"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774510</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684149</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873938</w:t>
            </w:r>
          </w:p>
        </w:tc>
      </w:tr>
      <w:tr w:rsidR="003278DC" w:rsidTr="005A217B">
        <w:trPr>
          <w:trHeight w:val="268"/>
        </w:trPr>
        <w:tc>
          <w:tcPr>
            <w:tcW w:w="866"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7</w:t>
            </w:r>
          </w:p>
        </w:tc>
        <w:tc>
          <w:tcPr>
            <w:tcW w:w="1244"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10100</w:t>
            </w:r>
          </w:p>
        </w:tc>
        <w:tc>
          <w:tcPr>
            <w:tcW w:w="1151"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1575</w:t>
            </w:r>
          </w:p>
        </w:tc>
        <w:tc>
          <w:tcPr>
            <w:tcW w:w="1250"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440176</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142204</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1027565</w:t>
            </w:r>
          </w:p>
        </w:tc>
        <w:tc>
          <w:tcPr>
            <w:tcW w:w="1355"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515141</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455040</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581272</w:t>
            </w:r>
          </w:p>
        </w:tc>
      </w:tr>
      <w:tr w:rsidR="003278DC" w:rsidTr="005A217B">
        <w:trPr>
          <w:trHeight w:val="268"/>
        </w:trPr>
        <w:tc>
          <w:tcPr>
            <w:tcW w:w="866"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8</w:t>
            </w:r>
          </w:p>
        </w:tc>
        <w:tc>
          <w:tcPr>
            <w:tcW w:w="1244"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34744</w:t>
            </w:r>
          </w:p>
        </w:tc>
        <w:tc>
          <w:tcPr>
            <w:tcW w:w="1151"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3125</w:t>
            </w:r>
          </w:p>
        </w:tc>
        <w:tc>
          <w:tcPr>
            <w:tcW w:w="1250"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872695</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268488</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2107759</w:t>
            </w:r>
          </w:p>
        </w:tc>
        <w:tc>
          <w:tcPr>
            <w:tcW w:w="1355"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1022105</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902857</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1153318</w:t>
            </w:r>
          </w:p>
        </w:tc>
      </w:tr>
      <w:tr w:rsidR="003278DC" w:rsidTr="005A217B">
        <w:trPr>
          <w:trHeight w:val="268"/>
        </w:trPr>
        <w:tc>
          <w:tcPr>
            <w:tcW w:w="866"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9</w:t>
            </w:r>
          </w:p>
        </w:tc>
        <w:tc>
          <w:tcPr>
            <w:tcW w:w="1244"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2861</w:t>
            </w:r>
          </w:p>
        </w:tc>
        <w:tc>
          <w:tcPr>
            <w:tcW w:w="1151"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520</w:t>
            </w:r>
          </w:p>
        </w:tc>
        <w:tc>
          <w:tcPr>
            <w:tcW w:w="1250"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159560</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54347</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370257</w:t>
            </w:r>
          </w:p>
        </w:tc>
        <w:tc>
          <w:tcPr>
            <w:tcW w:w="1355"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170078</w:t>
            </w:r>
          </w:p>
        </w:tc>
        <w:tc>
          <w:tcPr>
            <w:tcW w:w="993"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150235</w:t>
            </w:r>
          </w:p>
        </w:tc>
        <w:tc>
          <w:tcPr>
            <w:tcW w:w="1119" w:type="dxa"/>
            <w:noWrap/>
            <w:vAlign w:val="bottom"/>
            <w:hideMark/>
          </w:tcPr>
          <w:p w:rsidR="003278DC" w:rsidRDefault="003278DC" w:rsidP="005A217B">
            <w:pPr>
              <w:spacing w:after="0" w:line="360" w:lineRule="auto"/>
              <w:jc w:val="right"/>
              <w:rPr>
                <w:rFonts w:eastAsia="Times New Roman" w:cs="Times New Roman"/>
                <w:color w:val="000000"/>
                <w:lang w:eastAsia="en-GB"/>
              </w:rPr>
            </w:pPr>
            <w:r>
              <w:rPr>
                <w:rFonts w:eastAsia="Times New Roman" w:cs="Times New Roman"/>
                <w:color w:val="000000"/>
                <w:lang w:eastAsia="en-GB"/>
              </w:rPr>
              <w:t>191912</w:t>
            </w:r>
          </w:p>
        </w:tc>
      </w:tr>
    </w:tbl>
    <w:p w:rsidR="003D129A" w:rsidRDefault="003D129A">
      <w:pPr>
        <w:spacing w:after="120" w:line="480" w:lineRule="auto"/>
        <w:rPr>
          <w:sz w:val="24"/>
          <w:szCs w:val="24"/>
        </w:rPr>
        <w:sectPr w:rsidR="003D129A" w:rsidSect="003D129A">
          <w:pgSz w:w="16838" w:h="11906" w:orient="landscape"/>
          <w:pgMar w:top="1440" w:right="1440" w:bottom="1440" w:left="1440" w:header="708" w:footer="708" w:gutter="0"/>
          <w:lnNumType w:countBy="1" w:restart="continuous"/>
          <w:pgNumType w:start="1"/>
          <w:cols w:space="720"/>
          <w:docGrid w:linePitch="299"/>
        </w:sectPr>
      </w:pPr>
    </w:p>
    <w:p w:rsidR="004F79E1" w:rsidRDefault="004F79E1" w:rsidP="004F79E1">
      <w:pPr>
        <w:autoSpaceDE w:val="0"/>
        <w:autoSpaceDN w:val="0"/>
        <w:adjustRightInd w:val="0"/>
        <w:spacing w:after="0" w:line="480" w:lineRule="auto"/>
        <w:rPr>
          <w:rFonts w:ascii="Carlito" w:hAnsi="Carlito" w:cs="Carlito"/>
          <w:sz w:val="24"/>
          <w:szCs w:val="24"/>
        </w:rPr>
      </w:pPr>
      <w:r>
        <w:rPr>
          <w:rFonts w:ascii="Carlito" w:hAnsi="Carlito" w:cs="Carlito"/>
          <w:sz w:val="24"/>
          <w:szCs w:val="24"/>
        </w:rPr>
        <w:lastRenderedPageBreak/>
        <w:t>There was more support for the spatial (WAIC = -3382 for the density model and WAIC = 1289 for the occurrence model) than the null model (WAIC = -3327 for the density model and WAIC = 1324 for the occurrence model) which suggests that spatial pattern of sea cucumber density should be accounted for when making predictions</w:t>
      </w:r>
      <w:r w:rsidR="00225F01">
        <w:rPr>
          <w:rFonts w:ascii="Carlito" w:hAnsi="Carlito" w:cs="Carlito"/>
          <w:sz w:val="24"/>
          <w:szCs w:val="24"/>
        </w:rPr>
        <w:t xml:space="preserve"> (Table 2)</w:t>
      </w:r>
      <w:r>
        <w:rPr>
          <w:rFonts w:ascii="Carlito" w:hAnsi="Carlito" w:cs="Carlito"/>
          <w:sz w:val="24"/>
          <w:szCs w:val="24"/>
        </w:rPr>
        <w:t>.</w:t>
      </w:r>
    </w:p>
    <w:p w:rsidR="00743087" w:rsidRDefault="00743087" w:rsidP="004F79E1">
      <w:pPr>
        <w:autoSpaceDE w:val="0"/>
        <w:autoSpaceDN w:val="0"/>
        <w:adjustRightInd w:val="0"/>
        <w:spacing w:after="0" w:line="480" w:lineRule="auto"/>
        <w:rPr>
          <w:rFonts w:ascii="Carlito" w:hAnsi="Carlito" w:cs="Carlito"/>
          <w:sz w:val="24"/>
          <w:szCs w:val="24"/>
        </w:rPr>
      </w:pPr>
    </w:p>
    <w:p w:rsidR="008D13D8" w:rsidRPr="008D13D8" w:rsidRDefault="008D13D8" w:rsidP="004F79E1">
      <w:pPr>
        <w:autoSpaceDE w:val="0"/>
        <w:autoSpaceDN w:val="0"/>
        <w:adjustRightInd w:val="0"/>
        <w:spacing w:after="0" w:line="480" w:lineRule="auto"/>
        <w:rPr>
          <w:rFonts w:ascii="Carlito" w:hAnsi="Carlito" w:cs="Carlito"/>
          <w:b/>
          <w:sz w:val="24"/>
          <w:szCs w:val="24"/>
        </w:rPr>
      </w:pPr>
      <w:r w:rsidRPr="008D13D8">
        <w:rPr>
          <w:rFonts w:ascii="Carlito" w:hAnsi="Carlito" w:cs="Carlito"/>
          <w:b/>
          <w:sz w:val="24"/>
          <w:szCs w:val="24"/>
        </w:rPr>
        <w:t xml:space="preserve">Table 2 </w:t>
      </w:r>
      <w:r w:rsidRPr="008D13D8">
        <w:rPr>
          <w:rFonts w:ascii="Carlito" w:hAnsi="Carlito" w:cs="Carlito"/>
          <w:sz w:val="24"/>
          <w:szCs w:val="24"/>
        </w:rPr>
        <w:t xml:space="preserve">Watanabe’s Information Criterion </w:t>
      </w:r>
      <w:r>
        <w:rPr>
          <w:rFonts w:ascii="Carlito" w:hAnsi="Carlito" w:cs="Carlito"/>
          <w:sz w:val="24"/>
          <w:szCs w:val="24"/>
        </w:rPr>
        <w:t xml:space="preserve">(WAIC) </w:t>
      </w:r>
      <w:r w:rsidRPr="008D13D8">
        <w:rPr>
          <w:rFonts w:ascii="Carlito" w:hAnsi="Carlito" w:cs="Carlito"/>
          <w:sz w:val="24"/>
          <w:szCs w:val="24"/>
        </w:rPr>
        <w:t>for the occupancy and density models</w:t>
      </w:r>
      <w:r w:rsidR="00743087">
        <w:rPr>
          <w:rFonts w:ascii="Carlito" w:hAnsi="Carlito" w:cs="Carlito"/>
          <w:sz w:val="24"/>
          <w:szCs w:val="24"/>
        </w:rPr>
        <w:t xml:space="preserve">. Occupancy was modelled with a binomial distribution, and density with a Gamma distribution. Both null and spatial models included site, transect and date as random effects. The spatial model included an additional spatial random effect using the </w:t>
      </w:r>
      <w:r w:rsidR="00743087" w:rsidRPr="00743087">
        <w:rPr>
          <w:rFonts w:ascii="Carlito" w:hAnsi="Carlito" w:cs="Carlito"/>
          <w:sz w:val="24"/>
          <w:szCs w:val="24"/>
        </w:rPr>
        <w:t xml:space="preserve">Gaussian random effect with </w:t>
      </w:r>
      <w:proofErr w:type="spellStart"/>
      <w:r w:rsidR="00743087" w:rsidRPr="00743087">
        <w:rPr>
          <w:rFonts w:ascii="Carlito" w:hAnsi="Carlito" w:cs="Carlito"/>
          <w:sz w:val="24"/>
          <w:szCs w:val="24"/>
        </w:rPr>
        <w:t>Matérn</w:t>
      </w:r>
      <w:proofErr w:type="spellEnd"/>
      <w:r w:rsidR="00743087" w:rsidRPr="00743087">
        <w:rPr>
          <w:rFonts w:ascii="Carlito" w:hAnsi="Carlito" w:cs="Carlito"/>
          <w:sz w:val="24"/>
          <w:szCs w:val="24"/>
        </w:rPr>
        <w:t xml:space="preserve"> structure</w:t>
      </w:r>
      <w:r w:rsidR="00743087">
        <w:rPr>
          <w:rFonts w:ascii="Carlito" w:hAnsi="Carlito" w:cs="Carlito"/>
          <w:sz w:val="24"/>
          <w:szCs w:val="24"/>
        </w:rPr>
        <w:t xml:space="preserve">. </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964"/>
        <w:gridCol w:w="1560"/>
        <w:gridCol w:w="1417"/>
      </w:tblGrid>
      <w:tr w:rsidR="008D13D8" w:rsidTr="005A217B">
        <w:tc>
          <w:tcPr>
            <w:tcW w:w="3964" w:type="dxa"/>
            <w:shd w:val="clear" w:color="auto" w:fill="auto"/>
          </w:tcPr>
          <w:p w:rsidR="008D13D8" w:rsidRPr="00784566" w:rsidRDefault="008D13D8" w:rsidP="005A217B">
            <w:pPr>
              <w:autoSpaceDE w:val="0"/>
              <w:autoSpaceDN w:val="0"/>
              <w:adjustRightInd w:val="0"/>
              <w:spacing w:after="0" w:line="360" w:lineRule="auto"/>
              <w:jc w:val="center"/>
              <w:rPr>
                <w:rFonts w:ascii="Carlito" w:hAnsi="Carlito" w:cs="Carlito"/>
                <w:b/>
                <w:sz w:val="24"/>
                <w:szCs w:val="24"/>
              </w:rPr>
            </w:pPr>
            <w:r w:rsidRPr="00784566">
              <w:rPr>
                <w:rFonts w:ascii="Carlito" w:hAnsi="Carlito" w:cs="Carlito"/>
                <w:b/>
                <w:sz w:val="24"/>
                <w:szCs w:val="24"/>
              </w:rPr>
              <w:t>Model</w:t>
            </w:r>
          </w:p>
        </w:tc>
        <w:tc>
          <w:tcPr>
            <w:tcW w:w="1560" w:type="dxa"/>
            <w:shd w:val="clear" w:color="auto" w:fill="auto"/>
          </w:tcPr>
          <w:p w:rsidR="008D13D8" w:rsidRPr="00784566" w:rsidRDefault="008D13D8" w:rsidP="005A217B">
            <w:pPr>
              <w:autoSpaceDE w:val="0"/>
              <w:autoSpaceDN w:val="0"/>
              <w:adjustRightInd w:val="0"/>
              <w:spacing w:after="0" w:line="360" w:lineRule="auto"/>
              <w:jc w:val="center"/>
              <w:rPr>
                <w:rFonts w:ascii="Carlito" w:hAnsi="Carlito" w:cs="Carlito"/>
                <w:b/>
                <w:sz w:val="24"/>
                <w:szCs w:val="24"/>
              </w:rPr>
            </w:pPr>
            <w:r w:rsidRPr="00784566">
              <w:rPr>
                <w:rFonts w:ascii="Carlito" w:hAnsi="Carlito" w:cs="Carlito"/>
                <w:b/>
                <w:sz w:val="24"/>
                <w:szCs w:val="24"/>
              </w:rPr>
              <w:t>Occupancy</w:t>
            </w:r>
          </w:p>
        </w:tc>
        <w:tc>
          <w:tcPr>
            <w:tcW w:w="1417" w:type="dxa"/>
            <w:shd w:val="clear" w:color="auto" w:fill="auto"/>
          </w:tcPr>
          <w:p w:rsidR="008D13D8" w:rsidRPr="00784566" w:rsidRDefault="008D13D8" w:rsidP="005A217B">
            <w:pPr>
              <w:autoSpaceDE w:val="0"/>
              <w:autoSpaceDN w:val="0"/>
              <w:adjustRightInd w:val="0"/>
              <w:spacing w:after="0" w:line="360" w:lineRule="auto"/>
              <w:jc w:val="center"/>
              <w:rPr>
                <w:rFonts w:ascii="Carlito" w:hAnsi="Carlito" w:cs="Carlito"/>
                <w:b/>
                <w:sz w:val="24"/>
                <w:szCs w:val="24"/>
              </w:rPr>
            </w:pPr>
            <w:r w:rsidRPr="00784566">
              <w:rPr>
                <w:rFonts w:ascii="Carlito" w:hAnsi="Carlito" w:cs="Carlito"/>
                <w:b/>
                <w:sz w:val="24"/>
                <w:szCs w:val="24"/>
              </w:rPr>
              <w:t>Density</w:t>
            </w:r>
          </w:p>
        </w:tc>
      </w:tr>
      <w:tr w:rsidR="008D13D8" w:rsidTr="005A217B">
        <w:tc>
          <w:tcPr>
            <w:tcW w:w="3964" w:type="dxa"/>
            <w:shd w:val="clear" w:color="auto" w:fill="auto"/>
          </w:tcPr>
          <w:p w:rsidR="008D13D8" w:rsidRPr="00784566" w:rsidRDefault="008D13D8" w:rsidP="005A217B">
            <w:pPr>
              <w:autoSpaceDE w:val="0"/>
              <w:autoSpaceDN w:val="0"/>
              <w:adjustRightInd w:val="0"/>
              <w:spacing w:after="0" w:line="360" w:lineRule="auto"/>
              <w:rPr>
                <w:rFonts w:ascii="Carlito" w:hAnsi="Carlito" w:cs="Carlito"/>
                <w:sz w:val="24"/>
                <w:szCs w:val="24"/>
              </w:rPr>
            </w:pPr>
            <w:r w:rsidRPr="00784566">
              <w:rPr>
                <w:rFonts w:ascii="Carlito" w:hAnsi="Carlito" w:cs="Carlito"/>
                <w:sz w:val="24"/>
                <w:szCs w:val="24"/>
              </w:rPr>
              <w:t>Null</w:t>
            </w:r>
            <w:r w:rsidR="00743087" w:rsidRPr="00784566">
              <w:rPr>
                <w:rFonts w:ascii="Carlito" w:hAnsi="Carlito" w:cs="Carlito"/>
                <w:sz w:val="24"/>
                <w:szCs w:val="24"/>
              </w:rPr>
              <w:t xml:space="preserve"> (</w:t>
            </w:r>
            <w:r w:rsidR="00743087" w:rsidRPr="00784566">
              <w:rPr>
                <w:rFonts w:ascii="Carlito" w:hAnsi="Carlito" w:cs="Carlito"/>
                <w:i/>
                <w:sz w:val="24"/>
                <w:szCs w:val="24"/>
              </w:rPr>
              <w:t>site, transect and date as random effects</w:t>
            </w:r>
            <w:r w:rsidR="00743087" w:rsidRPr="00784566">
              <w:rPr>
                <w:rFonts w:ascii="Carlito" w:hAnsi="Carlito" w:cs="Carlito"/>
                <w:sz w:val="24"/>
                <w:szCs w:val="24"/>
              </w:rPr>
              <w:t>)</w:t>
            </w:r>
          </w:p>
        </w:tc>
        <w:tc>
          <w:tcPr>
            <w:tcW w:w="1560" w:type="dxa"/>
            <w:shd w:val="clear" w:color="auto" w:fill="auto"/>
          </w:tcPr>
          <w:p w:rsidR="008D13D8" w:rsidRPr="00784566" w:rsidRDefault="00743087" w:rsidP="005A217B">
            <w:pPr>
              <w:autoSpaceDE w:val="0"/>
              <w:autoSpaceDN w:val="0"/>
              <w:adjustRightInd w:val="0"/>
              <w:spacing w:after="0" w:line="360" w:lineRule="auto"/>
              <w:jc w:val="right"/>
              <w:rPr>
                <w:rFonts w:ascii="Carlito" w:hAnsi="Carlito" w:cs="Carlito"/>
                <w:sz w:val="24"/>
                <w:szCs w:val="24"/>
              </w:rPr>
            </w:pPr>
            <w:r w:rsidRPr="00784566">
              <w:rPr>
                <w:rFonts w:ascii="Carlito" w:hAnsi="Carlito" w:cs="Carlito"/>
                <w:sz w:val="24"/>
                <w:szCs w:val="24"/>
              </w:rPr>
              <w:t>1324</w:t>
            </w:r>
          </w:p>
        </w:tc>
        <w:tc>
          <w:tcPr>
            <w:tcW w:w="1417" w:type="dxa"/>
            <w:shd w:val="clear" w:color="auto" w:fill="auto"/>
          </w:tcPr>
          <w:p w:rsidR="008D13D8" w:rsidRPr="00784566" w:rsidRDefault="00743087" w:rsidP="005A217B">
            <w:pPr>
              <w:autoSpaceDE w:val="0"/>
              <w:autoSpaceDN w:val="0"/>
              <w:adjustRightInd w:val="0"/>
              <w:spacing w:after="0" w:line="360" w:lineRule="auto"/>
              <w:jc w:val="right"/>
              <w:rPr>
                <w:rFonts w:ascii="Carlito" w:hAnsi="Carlito" w:cs="Carlito"/>
                <w:sz w:val="24"/>
                <w:szCs w:val="24"/>
              </w:rPr>
            </w:pPr>
            <w:r w:rsidRPr="00784566">
              <w:rPr>
                <w:rFonts w:ascii="Carlito" w:hAnsi="Carlito" w:cs="Carlito"/>
                <w:sz w:val="24"/>
                <w:szCs w:val="24"/>
              </w:rPr>
              <w:t>-3327</w:t>
            </w:r>
          </w:p>
        </w:tc>
      </w:tr>
      <w:tr w:rsidR="008D13D8" w:rsidTr="005A217B">
        <w:tc>
          <w:tcPr>
            <w:tcW w:w="3964" w:type="dxa"/>
            <w:shd w:val="clear" w:color="auto" w:fill="auto"/>
          </w:tcPr>
          <w:p w:rsidR="008D13D8" w:rsidRPr="00784566" w:rsidRDefault="00743087" w:rsidP="005A217B">
            <w:pPr>
              <w:autoSpaceDE w:val="0"/>
              <w:autoSpaceDN w:val="0"/>
              <w:adjustRightInd w:val="0"/>
              <w:spacing w:after="0" w:line="360" w:lineRule="auto"/>
              <w:rPr>
                <w:rFonts w:ascii="Carlito" w:hAnsi="Carlito" w:cs="Carlito"/>
                <w:sz w:val="24"/>
                <w:szCs w:val="24"/>
              </w:rPr>
            </w:pPr>
            <w:r w:rsidRPr="00784566">
              <w:rPr>
                <w:rFonts w:ascii="Carlito" w:hAnsi="Carlito" w:cs="Carlito"/>
                <w:sz w:val="24"/>
                <w:szCs w:val="24"/>
              </w:rPr>
              <w:t>Spatial (</w:t>
            </w:r>
            <w:r w:rsidRPr="00784566">
              <w:rPr>
                <w:rFonts w:ascii="Carlito" w:hAnsi="Carlito" w:cs="Carlito"/>
                <w:i/>
                <w:sz w:val="24"/>
                <w:szCs w:val="24"/>
              </w:rPr>
              <w:t>site, transect, date and spatial random effects</w:t>
            </w:r>
            <w:r w:rsidRPr="00784566">
              <w:rPr>
                <w:rFonts w:ascii="Carlito" w:hAnsi="Carlito" w:cs="Carlito"/>
                <w:sz w:val="24"/>
                <w:szCs w:val="24"/>
              </w:rPr>
              <w:t>)</w:t>
            </w:r>
          </w:p>
        </w:tc>
        <w:tc>
          <w:tcPr>
            <w:tcW w:w="1560" w:type="dxa"/>
            <w:shd w:val="clear" w:color="auto" w:fill="auto"/>
          </w:tcPr>
          <w:p w:rsidR="008D13D8" w:rsidRPr="00784566" w:rsidRDefault="00743087" w:rsidP="005A217B">
            <w:pPr>
              <w:autoSpaceDE w:val="0"/>
              <w:autoSpaceDN w:val="0"/>
              <w:adjustRightInd w:val="0"/>
              <w:spacing w:after="0" w:line="360" w:lineRule="auto"/>
              <w:jc w:val="right"/>
              <w:rPr>
                <w:rFonts w:ascii="Carlito" w:hAnsi="Carlito" w:cs="Carlito"/>
                <w:sz w:val="24"/>
                <w:szCs w:val="24"/>
              </w:rPr>
            </w:pPr>
            <w:r w:rsidRPr="00784566">
              <w:rPr>
                <w:rFonts w:ascii="Carlito" w:hAnsi="Carlito" w:cs="Carlito"/>
                <w:sz w:val="24"/>
                <w:szCs w:val="24"/>
              </w:rPr>
              <w:t>1289</w:t>
            </w:r>
          </w:p>
        </w:tc>
        <w:tc>
          <w:tcPr>
            <w:tcW w:w="1417" w:type="dxa"/>
            <w:shd w:val="clear" w:color="auto" w:fill="auto"/>
          </w:tcPr>
          <w:p w:rsidR="008D13D8" w:rsidRPr="00784566" w:rsidRDefault="00743087" w:rsidP="005A217B">
            <w:pPr>
              <w:autoSpaceDE w:val="0"/>
              <w:autoSpaceDN w:val="0"/>
              <w:adjustRightInd w:val="0"/>
              <w:spacing w:after="0" w:line="360" w:lineRule="auto"/>
              <w:jc w:val="right"/>
              <w:rPr>
                <w:rFonts w:ascii="Carlito" w:hAnsi="Carlito" w:cs="Carlito"/>
                <w:sz w:val="24"/>
                <w:szCs w:val="24"/>
              </w:rPr>
            </w:pPr>
            <w:r w:rsidRPr="00784566">
              <w:rPr>
                <w:rFonts w:ascii="Carlito" w:hAnsi="Carlito" w:cs="Carlito"/>
                <w:sz w:val="24"/>
                <w:szCs w:val="24"/>
              </w:rPr>
              <w:t>-3382</w:t>
            </w:r>
          </w:p>
        </w:tc>
      </w:tr>
    </w:tbl>
    <w:p w:rsidR="008D13D8" w:rsidRDefault="008D13D8" w:rsidP="004F79E1">
      <w:pPr>
        <w:autoSpaceDE w:val="0"/>
        <w:autoSpaceDN w:val="0"/>
        <w:adjustRightInd w:val="0"/>
        <w:spacing w:after="0" w:line="480" w:lineRule="auto"/>
        <w:rPr>
          <w:rFonts w:ascii="Carlito" w:hAnsi="Carlito" w:cs="Carlito"/>
          <w:sz w:val="24"/>
          <w:szCs w:val="24"/>
        </w:rPr>
      </w:pPr>
    </w:p>
    <w:p w:rsidR="001E64C3" w:rsidRDefault="00B324EC">
      <w:pPr>
        <w:spacing w:line="480" w:lineRule="auto"/>
        <w:rPr>
          <w:color w:val="000000"/>
          <w:sz w:val="24"/>
          <w:szCs w:val="24"/>
        </w:rPr>
      </w:pPr>
      <w:r>
        <w:rPr>
          <w:sz w:val="24"/>
          <w:szCs w:val="24"/>
        </w:rPr>
        <w:t xml:space="preserve">We used the spatial model to estimate sea cucumber density </w:t>
      </w:r>
      <w:r w:rsidR="00830E01">
        <w:rPr>
          <w:sz w:val="24"/>
          <w:szCs w:val="24"/>
        </w:rPr>
        <w:t xml:space="preserve">across all 30m depth zones in the study area (Figure </w:t>
      </w:r>
      <w:r w:rsidR="00767BAF">
        <w:rPr>
          <w:sz w:val="24"/>
          <w:szCs w:val="24"/>
        </w:rPr>
        <w:t>2</w:t>
      </w:r>
      <w:r w:rsidR="007D56DF">
        <w:rPr>
          <w:sz w:val="24"/>
          <w:szCs w:val="24"/>
        </w:rPr>
        <w:t xml:space="preserve">; estimates of occurrence are shown in </w:t>
      </w:r>
      <w:r w:rsidR="00EA1D3B">
        <w:rPr>
          <w:sz w:val="24"/>
          <w:szCs w:val="24"/>
        </w:rPr>
        <w:t>Supplementary Material</w:t>
      </w:r>
      <w:r w:rsidR="007D56DF">
        <w:rPr>
          <w:sz w:val="24"/>
          <w:szCs w:val="24"/>
        </w:rPr>
        <w:t xml:space="preserve"> 1 Figure 2</w:t>
      </w:r>
      <w:r w:rsidR="00830E01">
        <w:rPr>
          <w:sz w:val="24"/>
          <w:szCs w:val="24"/>
        </w:rPr>
        <w:t xml:space="preserve">). </w:t>
      </w:r>
    </w:p>
    <w:p w:rsidR="001E64C3" w:rsidRDefault="00545AB0">
      <w:pPr>
        <w:pBdr>
          <w:top w:val="nil"/>
          <w:left w:val="nil"/>
          <w:bottom w:val="nil"/>
          <w:right w:val="nil"/>
          <w:between w:val="nil"/>
        </w:pBdr>
        <w:spacing w:after="120" w:line="480" w:lineRule="auto"/>
        <w:rPr>
          <w:sz w:val="24"/>
          <w:szCs w:val="24"/>
        </w:rPr>
      </w:pPr>
      <w:r w:rsidRPr="00784566">
        <w:rPr>
          <w:noProof/>
          <w:lang w:val="en-US"/>
        </w:rPr>
        <w:lastRenderedPageBreak/>
        <w:drawing>
          <wp:inline distT="0" distB="0" distL="0" distR="0">
            <wp:extent cx="5734050" cy="4298950"/>
            <wp:effectExtent l="0" t="0" r="0" b="635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4298950"/>
                    </a:xfrm>
                    <a:prstGeom prst="rect">
                      <a:avLst/>
                    </a:prstGeom>
                    <a:noFill/>
                    <a:ln>
                      <a:noFill/>
                    </a:ln>
                  </pic:spPr>
                </pic:pic>
              </a:graphicData>
            </a:graphic>
          </wp:inline>
        </w:drawing>
      </w:r>
    </w:p>
    <w:p w:rsidR="001E64C3" w:rsidRDefault="00D66BBC">
      <w:pPr>
        <w:spacing w:line="480" w:lineRule="auto"/>
        <w:rPr>
          <w:sz w:val="24"/>
          <w:szCs w:val="24"/>
        </w:rPr>
      </w:pPr>
      <w:r>
        <w:rPr>
          <w:sz w:val="24"/>
          <w:szCs w:val="24"/>
        </w:rPr>
        <w:t xml:space="preserve">Figure </w:t>
      </w:r>
      <w:r w:rsidR="00767BAF">
        <w:rPr>
          <w:sz w:val="24"/>
          <w:szCs w:val="24"/>
        </w:rPr>
        <w:t>2</w:t>
      </w:r>
      <w:r>
        <w:rPr>
          <w:sz w:val="24"/>
          <w:szCs w:val="24"/>
        </w:rPr>
        <w:t>. Mean density of se</w:t>
      </w:r>
      <w:r w:rsidR="008025A2">
        <w:rPr>
          <w:sz w:val="24"/>
          <w:szCs w:val="24"/>
        </w:rPr>
        <w:t>a cucumber (org</w:t>
      </w:r>
      <w:r w:rsidR="00A37CBB">
        <w:rPr>
          <w:rFonts w:ascii="Arial" w:hAnsi="Arial" w:cs="Arial"/>
          <w:sz w:val="24"/>
          <w:szCs w:val="24"/>
        </w:rPr>
        <w:t>·</w:t>
      </w:r>
      <w:r w:rsidR="00A37CBB">
        <w:rPr>
          <w:sz w:val="24"/>
          <w:szCs w:val="24"/>
        </w:rPr>
        <w:t>m</w:t>
      </w:r>
      <w:r w:rsidR="00A37CBB" w:rsidRPr="00A37CBB">
        <w:rPr>
          <w:sz w:val="24"/>
          <w:szCs w:val="24"/>
          <w:vertAlign w:val="superscript"/>
        </w:rPr>
        <w:t>-2</w:t>
      </w:r>
      <w:r>
        <w:rPr>
          <w:sz w:val="24"/>
          <w:szCs w:val="24"/>
        </w:rPr>
        <w:t>)</w:t>
      </w:r>
      <w:r w:rsidR="003278DC">
        <w:rPr>
          <w:sz w:val="24"/>
          <w:szCs w:val="24"/>
        </w:rPr>
        <w:t>.</w:t>
      </w:r>
    </w:p>
    <w:p w:rsidR="004A5240" w:rsidRPr="004A5240" w:rsidRDefault="007D56DF" w:rsidP="007A2E39">
      <w:pPr>
        <w:spacing w:line="480" w:lineRule="auto"/>
        <w:rPr>
          <w:sz w:val="24"/>
          <w:szCs w:val="24"/>
        </w:rPr>
      </w:pPr>
      <w:r>
        <w:rPr>
          <w:sz w:val="24"/>
          <w:szCs w:val="24"/>
        </w:rPr>
        <w:t xml:space="preserve">Using the non-spatial model, all granted quotas are reasonable. However, when using the spatial model, </w:t>
      </w:r>
      <w:r w:rsidR="004C7517">
        <w:rPr>
          <w:sz w:val="24"/>
          <w:szCs w:val="24"/>
        </w:rPr>
        <w:t>three</w:t>
      </w:r>
      <w:r w:rsidR="00D66BBC">
        <w:rPr>
          <w:sz w:val="24"/>
          <w:szCs w:val="24"/>
        </w:rPr>
        <w:t xml:space="preserve"> of the nine estates</w:t>
      </w:r>
      <w:r>
        <w:rPr>
          <w:sz w:val="24"/>
          <w:szCs w:val="24"/>
        </w:rPr>
        <w:t xml:space="preserve"> (6, 7, 9)</w:t>
      </w:r>
      <w:r w:rsidR="00D66BBC">
        <w:rPr>
          <w:sz w:val="24"/>
          <w:szCs w:val="24"/>
        </w:rPr>
        <w:t xml:space="preserve"> </w:t>
      </w:r>
      <w:r>
        <w:rPr>
          <w:sz w:val="24"/>
          <w:szCs w:val="24"/>
        </w:rPr>
        <w:t xml:space="preserve">have a greater </w:t>
      </w:r>
      <w:r w:rsidR="00D66BBC">
        <w:rPr>
          <w:sz w:val="24"/>
          <w:szCs w:val="24"/>
        </w:rPr>
        <w:t xml:space="preserve">quota </w:t>
      </w:r>
      <w:r>
        <w:rPr>
          <w:sz w:val="24"/>
          <w:szCs w:val="24"/>
        </w:rPr>
        <w:t xml:space="preserve">than </w:t>
      </w:r>
      <w:r w:rsidR="00D66BBC">
        <w:rPr>
          <w:sz w:val="24"/>
          <w:szCs w:val="24"/>
        </w:rPr>
        <w:t xml:space="preserve">the lower credible interval of </w:t>
      </w:r>
      <w:r w:rsidR="004C7517">
        <w:rPr>
          <w:sz w:val="24"/>
          <w:szCs w:val="24"/>
        </w:rPr>
        <w:t>10</w:t>
      </w:r>
      <w:r w:rsidR="00D66BBC">
        <w:rPr>
          <w:sz w:val="24"/>
          <w:szCs w:val="24"/>
        </w:rPr>
        <w:t xml:space="preserve">% of the total estimated abundance, </w:t>
      </w:r>
      <w:r w:rsidR="00307CCD">
        <w:rPr>
          <w:sz w:val="24"/>
          <w:szCs w:val="24"/>
        </w:rPr>
        <w:t xml:space="preserve">while </w:t>
      </w:r>
      <w:r w:rsidR="00D66BBC">
        <w:rPr>
          <w:sz w:val="24"/>
          <w:szCs w:val="24"/>
        </w:rPr>
        <w:t xml:space="preserve">in </w:t>
      </w:r>
      <w:r w:rsidR="004A5240" w:rsidRPr="004A5240">
        <w:rPr>
          <w:sz w:val="24"/>
          <w:szCs w:val="24"/>
        </w:rPr>
        <w:t xml:space="preserve">three of them the quota is close to this limit (1, 2, 8). </w:t>
      </w:r>
    </w:p>
    <w:p w:rsidR="001E64C3" w:rsidRDefault="001E64C3" w:rsidP="00307CCD">
      <w:pPr>
        <w:spacing w:line="480" w:lineRule="auto"/>
        <w:rPr>
          <w:sz w:val="24"/>
          <w:szCs w:val="24"/>
        </w:rPr>
      </w:pPr>
    </w:p>
    <w:p w:rsidR="001E64C3" w:rsidRDefault="001E64C3">
      <w:pPr>
        <w:pBdr>
          <w:top w:val="nil"/>
          <w:left w:val="nil"/>
          <w:bottom w:val="nil"/>
          <w:right w:val="nil"/>
          <w:between w:val="nil"/>
        </w:pBdr>
        <w:spacing w:after="120" w:line="480" w:lineRule="auto"/>
        <w:rPr>
          <w:sz w:val="24"/>
          <w:szCs w:val="24"/>
        </w:rPr>
      </w:pPr>
    </w:p>
    <w:p w:rsidR="001E64C3" w:rsidRDefault="00545AB0">
      <w:pPr>
        <w:pBdr>
          <w:top w:val="nil"/>
          <w:left w:val="nil"/>
          <w:bottom w:val="nil"/>
          <w:right w:val="nil"/>
          <w:between w:val="nil"/>
        </w:pBdr>
        <w:spacing w:after="120" w:line="480" w:lineRule="auto"/>
        <w:rPr>
          <w:sz w:val="24"/>
          <w:szCs w:val="24"/>
        </w:rPr>
      </w:pPr>
      <w:r w:rsidRPr="00784566">
        <w:rPr>
          <w:noProof/>
          <w:lang w:val="en-US"/>
        </w:rPr>
        <w:lastRenderedPageBreak/>
        <w:drawing>
          <wp:inline distT="0" distB="0" distL="0" distR="0">
            <wp:extent cx="5734050" cy="4044950"/>
            <wp:effectExtent l="0" t="0" r="0" b="0"/>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4044950"/>
                    </a:xfrm>
                    <a:prstGeom prst="rect">
                      <a:avLst/>
                    </a:prstGeom>
                    <a:noFill/>
                    <a:ln>
                      <a:noFill/>
                    </a:ln>
                  </pic:spPr>
                </pic:pic>
              </a:graphicData>
            </a:graphic>
          </wp:inline>
        </w:drawing>
      </w:r>
    </w:p>
    <w:p w:rsidR="001E64C3" w:rsidRDefault="00D66BBC">
      <w:pPr>
        <w:pBdr>
          <w:top w:val="nil"/>
          <w:left w:val="nil"/>
          <w:bottom w:val="nil"/>
          <w:right w:val="nil"/>
          <w:between w:val="nil"/>
        </w:pBdr>
        <w:spacing w:after="120" w:line="480" w:lineRule="auto"/>
        <w:rPr>
          <w:sz w:val="24"/>
          <w:szCs w:val="24"/>
        </w:rPr>
      </w:pPr>
      <w:r>
        <w:rPr>
          <w:sz w:val="24"/>
          <w:szCs w:val="24"/>
        </w:rPr>
        <w:t xml:space="preserve">Figure </w:t>
      </w:r>
      <w:r w:rsidR="00767BAF">
        <w:rPr>
          <w:sz w:val="24"/>
          <w:szCs w:val="24"/>
        </w:rPr>
        <w:t>3</w:t>
      </w:r>
      <w:r>
        <w:rPr>
          <w:sz w:val="24"/>
          <w:szCs w:val="24"/>
        </w:rPr>
        <w:t xml:space="preserve">. Quota (in number of pieces of sea cucumber) granted to each estate (see figure 1 for location of each estate). The estimated </w:t>
      </w:r>
      <w:r w:rsidR="00586727">
        <w:rPr>
          <w:sz w:val="24"/>
          <w:szCs w:val="24"/>
        </w:rPr>
        <w:t xml:space="preserve">quota from the spatial </w:t>
      </w:r>
      <w:r>
        <w:rPr>
          <w:sz w:val="24"/>
          <w:szCs w:val="24"/>
        </w:rPr>
        <w:t>(c</w:t>
      </w:r>
      <w:r w:rsidR="004C7517">
        <w:rPr>
          <w:sz w:val="24"/>
          <w:szCs w:val="24"/>
        </w:rPr>
        <w:t>ircles</w:t>
      </w:r>
      <w:r>
        <w:rPr>
          <w:sz w:val="24"/>
          <w:szCs w:val="24"/>
        </w:rPr>
        <w:t>)</w:t>
      </w:r>
      <w:r w:rsidR="00586727">
        <w:rPr>
          <w:sz w:val="24"/>
          <w:szCs w:val="24"/>
        </w:rPr>
        <w:t xml:space="preserve"> and non-spatial (triangles) models</w:t>
      </w:r>
      <w:r>
        <w:rPr>
          <w:sz w:val="24"/>
          <w:szCs w:val="24"/>
        </w:rPr>
        <w:t xml:space="preserve"> assuming that </w:t>
      </w:r>
      <w:r w:rsidR="00586727">
        <w:rPr>
          <w:sz w:val="24"/>
          <w:szCs w:val="24"/>
        </w:rPr>
        <w:t xml:space="preserve">the </w:t>
      </w:r>
      <w:r>
        <w:rPr>
          <w:sz w:val="24"/>
          <w:szCs w:val="24"/>
        </w:rPr>
        <w:t xml:space="preserve">quota </w:t>
      </w:r>
      <w:r w:rsidR="007D56DF">
        <w:rPr>
          <w:sz w:val="24"/>
          <w:szCs w:val="24"/>
        </w:rPr>
        <w:t xml:space="preserve">is </w:t>
      </w:r>
      <w:r w:rsidR="004C7517">
        <w:rPr>
          <w:sz w:val="24"/>
          <w:szCs w:val="24"/>
        </w:rPr>
        <w:t>10</w:t>
      </w:r>
      <w:r>
        <w:rPr>
          <w:sz w:val="24"/>
          <w:szCs w:val="24"/>
        </w:rPr>
        <w:t>% of total abundance</w:t>
      </w:r>
      <w:r w:rsidR="00586727">
        <w:rPr>
          <w:sz w:val="24"/>
          <w:szCs w:val="24"/>
        </w:rPr>
        <w:t>. L</w:t>
      </w:r>
      <w:r>
        <w:rPr>
          <w:sz w:val="24"/>
          <w:szCs w:val="24"/>
        </w:rPr>
        <w:t>ower 95% credible interval</w:t>
      </w:r>
      <w:r w:rsidR="00586727">
        <w:rPr>
          <w:sz w:val="24"/>
          <w:szCs w:val="24"/>
        </w:rPr>
        <w:t>s</w:t>
      </w:r>
      <w:r>
        <w:rPr>
          <w:sz w:val="24"/>
          <w:szCs w:val="24"/>
        </w:rPr>
        <w:t xml:space="preserve"> </w:t>
      </w:r>
      <w:r w:rsidR="00586727">
        <w:rPr>
          <w:sz w:val="24"/>
          <w:szCs w:val="24"/>
        </w:rPr>
        <w:t xml:space="preserve">for both models are </w:t>
      </w:r>
      <w:r>
        <w:rPr>
          <w:sz w:val="24"/>
          <w:szCs w:val="24"/>
        </w:rPr>
        <w:t>shown for each estate</w:t>
      </w:r>
      <w:r w:rsidR="00586727">
        <w:rPr>
          <w:sz w:val="24"/>
          <w:szCs w:val="24"/>
        </w:rPr>
        <w:t xml:space="preserve"> as error bars</w:t>
      </w:r>
      <w:r>
        <w:rPr>
          <w:sz w:val="24"/>
          <w:szCs w:val="24"/>
        </w:rPr>
        <w:t>. Under a precautionary approach allowable catch should consider the lowest estimate of abundance, so the upper 95% credible interval is not shown.</w:t>
      </w:r>
    </w:p>
    <w:p w:rsidR="001E64C3" w:rsidRDefault="001E64C3">
      <w:pPr>
        <w:pBdr>
          <w:top w:val="nil"/>
          <w:left w:val="nil"/>
          <w:bottom w:val="nil"/>
          <w:right w:val="nil"/>
          <w:between w:val="nil"/>
        </w:pBdr>
        <w:spacing w:after="120" w:line="480" w:lineRule="auto"/>
        <w:rPr>
          <w:sz w:val="24"/>
          <w:szCs w:val="24"/>
        </w:rPr>
      </w:pPr>
    </w:p>
    <w:p w:rsidR="001E64C3" w:rsidRDefault="00D66BBC">
      <w:pPr>
        <w:pBdr>
          <w:top w:val="nil"/>
          <w:left w:val="nil"/>
          <w:bottom w:val="nil"/>
          <w:right w:val="nil"/>
          <w:between w:val="nil"/>
        </w:pBdr>
        <w:spacing w:after="120" w:line="480" w:lineRule="auto"/>
        <w:rPr>
          <w:sz w:val="24"/>
          <w:szCs w:val="24"/>
        </w:rPr>
      </w:pPr>
      <w:r>
        <w:rPr>
          <w:sz w:val="24"/>
          <w:szCs w:val="24"/>
        </w:rPr>
        <w:t>Discussion</w:t>
      </w:r>
    </w:p>
    <w:p w:rsidR="00832530" w:rsidRDefault="00676B33" w:rsidP="00676B33">
      <w:pPr>
        <w:spacing w:line="480" w:lineRule="auto"/>
        <w:rPr>
          <w:sz w:val="24"/>
          <w:szCs w:val="24"/>
        </w:rPr>
      </w:pPr>
      <w:r>
        <w:rPr>
          <w:sz w:val="24"/>
          <w:szCs w:val="24"/>
        </w:rPr>
        <w:t xml:space="preserve">The analysis of the spatial patterns of benthic organisms is not novel (Andrew and </w:t>
      </w:r>
      <w:proofErr w:type="spellStart"/>
      <w:r>
        <w:rPr>
          <w:sz w:val="24"/>
          <w:szCs w:val="24"/>
        </w:rPr>
        <w:t>Mapstone</w:t>
      </w:r>
      <w:proofErr w:type="spellEnd"/>
      <w:r>
        <w:rPr>
          <w:sz w:val="24"/>
          <w:szCs w:val="24"/>
        </w:rPr>
        <w:t xml:space="preserve">, 1987). </w:t>
      </w:r>
      <w:r w:rsidR="00832530">
        <w:rPr>
          <w:sz w:val="24"/>
          <w:szCs w:val="24"/>
        </w:rPr>
        <w:t>Indeed</w:t>
      </w:r>
      <w:r w:rsidR="00CF13FE">
        <w:rPr>
          <w:sz w:val="24"/>
          <w:szCs w:val="24"/>
        </w:rPr>
        <w:t>,</w:t>
      </w:r>
      <w:r w:rsidR="00832530">
        <w:rPr>
          <w:sz w:val="24"/>
          <w:szCs w:val="24"/>
        </w:rPr>
        <w:t xml:space="preserve"> </w:t>
      </w:r>
      <w:proofErr w:type="spellStart"/>
      <w:r w:rsidR="00832530">
        <w:rPr>
          <w:sz w:val="24"/>
          <w:szCs w:val="24"/>
        </w:rPr>
        <w:t>Orenzans</w:t>
      </w:r>
      <w:proofErr w:type="spellEnd"/>
      <w:r w:rsidR="00832530">
        <w:rPr>
          <w:sz w:val="24"/>
          <w:szCs w:val="24"/>
        </w:rPr>
        <w:t xml:space="preserve"> et al</w:t>
      </w:r>
      <w:r w:rsidR="00965834">
        <w:rPr>
          <w:sz w:val="24"/>
          <w:szCs w:val="24"/>
        </w:rPr>
        <w:t xml:space="preserve"> (2005) defined most sea cucumber fisheries as "S-fisher</w:t>
      </w:r>
      <w:r w:rsidR="00CF13FE">
        <w:rPr>
          <w:sz w:val="24"/>
          <w:szCs w:val="24"/>
        </w:rPr>
        <w:t>ies</w:t>
      </w:r>
      <w:r w:rsidR="00965834">
        <w:rPr>
          <w:sz w:val="24"/>
          <w:szCs w:val="24"/>
        </w:rPr>
        <w:t xml:space="preserve">": small-scale, spatially-structured and targeting sedentary stocks. </w:t>
      </w:r>
    </w:p>
    <w:p w:rsidR="00676B33" w:rsidRDefault="00676B33" w:rsidP="00676B33">
      <w:pPr>
        <w:spacing w:line="480" w:lineRule="auto"/>
        <w:rPr>
          <w:sz w:val="24"/>
          <w:szCs w:val="24"/>
        </w:rPr>
      </w:pPr>
      <w:r>
        <w:rPr>
          <w:sz w:val="24"/>
          <w:szCs w:val="24"/>
        </w:rPr>
        <w:lastRenderedPageBreak/>
        <w:t xml:space="preserve">However, accounting for spatial patterns in abundance estimates is often </w:t>
      </w:r>
      <w:r w:rsidR="00A80A2F">
        <w:rPr>
          <w:sz w:val="24"/>
          <w:szCs w:val="24"/>
        </w:rPr>
        <w:t xml:space="preserve">missing from </w:t>
      </w:r>
      <w:r w:rsidR="00A80A2F" w:rsidRPr="00A80A2F">
        <w:rPr>
          <w:sz w:val="24"/>
          <w:szCs w:val="24"/>
        </w:rPr>
        <w:t>stock assessment of fishery resources, such as clams and sea cucumber</w:t>
      </w:r>
      <w:r w:rsidR="00A80A2F">
        <w:rPr>
          <w:sz w:val="24"/>
          <w:szCs w:val="24"/>
        </w:rPr>
        <w:t>.</w:t>
      </w:r>
      <w:r>
        <w:rPr>
          <w:sz w:val="24"/>
          <w:szCs w:val="24"/>
        </w:rPr>
        <w:t xml:space="preserve"> </w:t>
      </w:r>
      <w:r w:rsidR="00A80A2F">
        <w:rPr>
          <w:sz w:val="24"/>
          <w:szCs w:val="24"/>
        </w:rPr>
        <w:t>I</w:t>
      </w:r>
      <w:r w:rsidR="009261DB">
        <w:rPr>
          <w:sz w:val="24"/>
          <w:szCs w:val="24"/>
        </w:rPr>
        <w:t>n</w:t>
      </w:r>
      <w:r w:rsidR="00A80A2F">
        <w:rPr>
          <w:sz w:val="24"/>
          <w:szCs w:val="24"/>
        </w:rPr>
        <w:t xml:space="preserve"> fact, the </w:t>
      </w:r>
      <w:r>
        <w:rPr>
          <w:sz w:val="24"/>
          <w:szCs w:val="24"/>
        </w:rPr>
        <w:t xml:space="preserve">total abundance (or biomass, </w:t>
      </w:r>
      <w:r w:rsidRPr="00031513">
        <w:rPr>
          <w:i/>
          <w:sz w:val="24"/>
          <w:szCs w:val="24"/>
        </w:rPr>
        <w:t>β</w:t>
      </w:r>
      <w:r>
        <w:rPr>
          <w:sz w:val="24"/>
          <w:szCs w:val="24"/>
        </w:rPr>
        <w:t>) of the resource in a certai</w:t>
      </w:r>
      <w:r w:rsidR="009261DB">
        <w:rPr>
          <w:sz w:val="24"/>
          <w:szCs w:val="24"/>
        </w:rPr>
        <w:t xml:space="preserve">n </w:t>
      </w:r>
      <w:r>
        <w:rPr>
          <w:sz w:val="24"/>
          <w:szCs w:val="24"/>
        </w:rPr>
        <w:t>area (</w:t>
      </w:r>
      <w:r w:rsidRPr="00031513">
        <w:rPr>
          <w:i/>
          <w:sz w:val="24"/>
          <w:szCs w:val="24"/>
        </w:rPr>
        <w:t>A</w:t>
      </w:r>
      <w:r>
        <w:rPr>
          <w:sz w:val="24"/>
          <w:szCs w:val="24"/>
        </w:rPr>
        <w:t xml:space="preserve">) is estimated assuming that the arithmetic </w:t>
      </w:r>
      <w:proofErr w:type="gramStart"/>
      <w:r>
        <w:rPr>
          <w:sz w:val="24"/>
          <w:szCs w:val="24"/>
        </w:rPr>
        <w:t>mean</w:t>
      </w:r>
      <w:proofErr w:type="gramEnd"/>
      <w:r>
        <w:rPr>
          <w:sz w:val="24"/>
          <w:szCs w:val="24"/>
        </w:rPr>
        <w:t xml:space="preserve"> </w:t>
      </w:r>
      <m:oMath>
        <m:acc>
          <m:accPr>
            <m:chr m:val="̃"/>
            <m:ctrlPr>
              <w:rPr>
                <w:rFonts w:ascii="Cambria Math" w:hAnsi="Cambria Math"/>
                <w:i/>
                <w:sz w:val="24"/>
                <w:szCs w:val="24"/>
              </w:rPr>
            </m:ctrlPr>
          </m:accPr>
          <m:e>
            <m:r>
              <w:rPr>
                <w:rFonts w:ascii="Cambria Math" w:hAnsi="Cambria Math"/>
                <w:sz w:val="24"/>
                <w:szCs w:val="24"/>
              </w:rPr>
              <m:t>x</m:t>
            </m:r>
          </m:e>
        </m:acc>
      </m:oMath>
      <w:r>
        <w:rPr>
          <w:sz w:val="24"/>
          <w:szCs w:val="24"/>
        </w:rPr>
        <w:t xml:space="preserve"> of some replicates of the density holds for the whole area, i.e., </w:t>
      </w:r>
      <m:oMath>
        <m:r>
          <w:rPr>
            <w:rFonts w:ascii="Cambria Math" w:hAnsi="Cambria Math"/>
            <w:sz w:val="24"/>
            <w:szCs w:val="24"/>
          </w:rPr>
          <m:t>β=</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∙A</m:t>
        </m:r>
      </m:oMath>
      <w:r>
        <w:rPr>
          <w:sz w:val="24"/>
          <w:szCs w:val="24"/>
        </w:rPr>
        <w:t xml:space="preserve">. </w:t>
      </w:r>
      <w:r w:rsidR="00B061F8">
        <w:rPr>
          <w:sz w:val="24"/>
          <w:szCs w:val="24"/>
        </w:rPr>
        <w:t xml:space="preserve">If CPUE (catch per unit effort) data is used as an index of abundance (N) assuming that CPUE = </w:t>
      </w:r>
      <w:proofErr w:type="spellStart"/>
      <w:r w:rsidR="00B061F8">
        <w:rPr>
          <w:i/>
          <w:sz w:val="24"/>
          <w:szCs w:val="24"/>
        </w:rPr>
        <w:t>q</w:t>
      </w:r>
      <w:r w:rsidR="00B061F8">
        <w:rPr>
          <w:sz w:val="24"/>
          <w:szCs w:val="24"/>
        </w:rPr>
        <w:t>N</w:t>
      </w:r>
      <w:proofErr w:type="spellEnd"/>
      <w:r w:rsidR="00B061F8">
        <w:rPr>
          <w:sz w:val="24"/>
          <w:szCs w:val="24"/>
        </w:rPr>
        <w:t xml:space="preserve">, where </w:t>
      </w:r>
      <w:r w:rsidR="00B061F8" w:rsidRPr="007A2E39">
        <w:rPr>
          <w:sz w:val="24"/>
          <w:szCs w:val="24"/>
        </w:rPr>
        <w:t>q</w:t>
      </w:r>
      <w:r w:rsidR="00B061F8">
        <w:rPr>
          <w:sz w:val="24"/>
          <w:szCs w:val="24"/>
        </w:rPr>
        <w:t xml:space="preserve"> = catchability coefficient, the abundance is frequently overestimated in </w:t>
      </w:r>
      <w:r>
        <w:rPr>
          <w:sz w:val="24"/>
          <w:szCs w:val="24"/>
        </w:rPr>
        <w:t xml:space="preserve">the case for </w:t>
      </w:r>
      <w:r w:rsidR="00B1506C">
        <w:rPr>
          <w:sz w:val="24"/>
          <w:szCs w:val="24"/>
        </w:rPr>
        <w:t>div</w:t>
      </w:r>
      <w:r w:rsidR="00B061F8">
        <w:rPr>
          <w:sz w:val="24"/>
          <w:szCs w:val="24"/>
        </w:rPr>
        <w:t>ing</w:t>
      </w:r>
      <w:r>
        <w:rPr>
          <w:sz w:val="24"/>
          <w:szCs w:val="24"/>
        </w:rPr>
        <w:t xml:space="preserve"> fisheries</w:t>
      </w:r>
      <w:r w:rsidR="009725C7">
        <w:rPr>
          <w:sz w:val="24"/>
          <w:szCs w:val="24"/>
        </w:rPr>
        <w:t xml:space="preserve"> in which the fisher can actually see the target</w:t>
      </w:r>
      <w:r>
        <w:rPr>
          <w:sz w:val="24"/>
          <w:szCs w:val="24"/>
        </w:rPr>
        <w:t xml:space="preserve">, because </w:t>
      </w:r>
      <w:r w:rsidR="00110C8D">
        <w:rPr>
          <w:sz w:val="24"/>
          <w:szCs w:val="24"/>
        </w:rPr>
        <w:t xml:space="preserve">catchability </w:t>
      </w:r>
      <w:r w:rsidR="000E254B">
        <w:rPr>
          <w:sz w:val="24"/>
          <w:szCs w:val="24"/>
        </w:rPr>
        <w:t>(</w:t>
      </w:r>
      <w:r w:rsidR="000E254B" w:rsidRPr="000E254B">
        <w:rPr>
          <w:i/>
          <w:sz w:val="24"/>
          <w:szCs w:val="24"/>
        </w:rPr>
        <w:t>q</w:t>
      </w:r>
      <w:r w:rsidR="000E254B">
        <w:rPr>
          <w:sz w:val="24"/>
          <w:szCs w:val="24"/>
        </w:rPr>
        <w:t xml:space="preserve">) </w:t>
      </w:r>
      <w:r w:rsidR="00110C8D" w:rsidRPr="000E254B">
        <w:rPr>
          <w:sz w:val="24"/>
          <w:szCs w:val="24"/>
        </w:rPr>
        <w:t>is</w:t>
      </w:r>
      <w:r w:rsidR="00110C8D">
        <w:rPr>
          <w:sz w:val="24"/>
          <w:szCs w:val="24"/>
        </w:rPr>
        <w:t xml:space="preserve"> close to 100% of available stock which is not the case for trawling nets and other non-selective methods of fishing</w:t>
      </w:r>
      <w:r w:rsidR="00B061F8">
        <w:rPr>
          <w:sz w:val="24"/>
          <w:szCs w:val="24"/>
        </w:rPr>
        <w:t xml:space="preserve"> </w:t>
      </w:r>
      <w:r w:rsidR="000E254B">
        <w:rPr>
          <w:sz w:val="24"/>
          <w:szCs w:val="24"/>
        </w:rPr>
        <w:t>(King</w:t>
      </w:r>
      <w:r w:rsidR="005A217B">
        <w:rPr>
          <w:sz w:val="24"/>
          <w:szCs w:val="24"/>
        </w:rPr>
        <w:t>,</w:t>
      </w:r>
      <w:r w:rsidR="000E254B">
        <w:rPr>
          <w:sz w:val="24"/>
          <w:szCs w:val="24"/>
        </w:rPr>
        <w:t xml:space="preserve"> 2007).</w:t>
      </w:r>
    </w:p>
    <w:p w:rsidR="001E64C3" w:rsidRPr="00CE058F" w:rsidRDefault="00D66BBC" w:rsidP="00A64E01">
      <w:pPr>
        <w:pBdr>
          <w:top w:val="nil"/>
          <w:left w:val="nil"/>
          <w:bottom w:val="nil"/>
          <w:right w:val="nil"/>
          <w:between w:val="nil"/>
        </w:pBdr>
        <w:spacing w:after="120" w:line="480" w:lineRule="auto"/>
        <w:rPr>
          <w:sz w:val="24"/>
          <w:szCs w:val="24"/>
        </w:rPr>
      </w:pPr>
      <w:r>
        <w:rPr>
          <w:sz w:val="24"/>
          <w:szCs w:val="24"/>
        </w:rPr>
        <w:t xml:space="preserve">In this work we have shown that extrapolation of the mean abundance from sampling to the whole area of the </w:t>
      </w:r>
      <w:proofErr w:type="spellStart"/>
      <w:r>
        <w:rPr>
          <w:sz w:val="24"/>
          <w:szCs w:val="24"/>
        </w:rPr>
        <w:t>concessioned</w:t>
      </w:r>
      <w:proofErr w:type="spellEnd"/>
      <w:r>
        <w:rPr>
          <w:sz w:val="24"/>
          <w:szCs w:val="24"/>
        </w:rPr>
        <w:t xml:space="preserve"> estate </w:t>
      </w:r>
      <w:r w:rsidR="00A80A2F">
        <w:rPr>
          <w:sz w:val="24"/>
          <w:szCs w:val="24"/>
        </w:rPr>
        <w:t xml:space="preserve">(non-spatial model estimates) </w:t>
      </w:r>
      <w:r>
        <w:rPr>
          <w:sz w:val="24"/>
          <w:szCs w:val="24"/>
        </w:rPr>
        <w:t>may lead to overestimation of the sea cucumber abundance. If quotas are granted on the basis of a certain proportion of the total abundance without taking into account that just a fraction of the estate area is suitable for harvesting (</w:t>
      </w:r>
      <w:proofErr w:type="spellStart"/>
      <w:r>
        <w:rPr>
          <w:sz w:val="24"/>
          <w:szCs w:val="24"/>
        </w:rPr>
        <w:t>i.e</w:t>
      </w:r>
      <w:proofErr w:type="spellEnd"/>
      <w:r>
        <w:rPr>
          <w:sz w:val="24"/>
          <w:szCs w:val="24"/>
        </w:rPr>
        <w:t xml:space="preserve">, less than 30 m deep), they will result </w:t>
      </w:r>
      <w:r w:rsidR="00A80A2F">
        <w:rPr>
          <w:sz w:val="24"/>
          <w:szCs w:val="24"/>
        </w:rPr>
        <w:t xml:space="preserve">in </w:t>
      </w:r>
      <w:r>
        <w:rPr>
          <w:sz w:val="24"/>
          <w:szCs w:val="24"/>
        </w:rPr>
        <w:t xml:space="preserve">overfishing. Indeed the huge quotas granted in 2008 (2,110,240 pieces to 10 permit holders) may be responsible of the drastic decline of the population which forced </w:t>
      </w:r>
      <w:r w:rsidR="005A217B">
        <w:rPr>
          <w:sz w:val="24"/>
          <w:szCs w:val="24"/>
        </w:rPr>
        <w:t>severe</w:t>
      </w:r>
      <w:r w:rsidR="006E325C">
        <w:rPr>
          <w:sz w:val="24"/>
          <w:szCs w:val="24"/>
        </w:rPr>
        <w:t xml:space="preserve"> reductions in quotas </w:t>
      </w:r>
      <w:r>
        <w:rPr>
          <w:sz w:val="24"/>
          <w:szCs w:val="24"/>
        </w:rPr>
        <w:t xml:space="preserve">as well as the number of permit holders </w:t>
      </w:r>
      <w:r w:rsidR="006E325C">
        <w:rPr>
          <w:sz w:val="24"/>
          <w:szCs w:val="24"/>
        </w:rPr>
        <w:t>there</w:t>
      </w:r>
      <w:r>
        <w:rPr>
          <w:sz w:val="24"/>
          <w:szCs w:val="24"/>
        </w:rPr>
        <w:t>afte</w:t>
      </w:r>
      <w:r w:rsidR="006E325C">
        <w:rPr>
          <w:sz w:val="24"/>
          <w:szCs w:val="24"/>
        </w:rPr>
        <w:t>r</w:t>
      </w:r>
      <w:r>
        <w:rPr>
          <w:sz w:val="24"/>
          <w:szCs w:val="24"/>
        </w:rPr>
        <w:t>.</w:t>
      </w:r>
      <w:r w:rsidR="00110C8D">
        <w:rPr>
          <w:sz w:val="24"/>
          <w:szCs w:val="24"/>
        </w:rPr>
        <w:t xml:space="preserve"> Moreover, </w:t>
      </w:r>
      <w:r w:rsidR="00EB1DE6">
        <w:rPr>
          <w:sz w:val="24"/>
          <w:szCs w:val="24"/>
        </w:rPr>
        <w:t xml:space="preserve">Purcell (2010) pointed out that because most sea cucumber species are long-lived and with low productivity as is the case for </w:t>
      </w:r>
      <w:r w:rsidR="00EB1DE6">
        <w:rPr>
          <w:i/>
          <w:sz w:val="24"/>
          <w:szCs w:val="24"/>
        </w:rPr>
        <w:t xml:space="preserve">I. </w:t>
      </w:r>
      <w:proofErr w:type="spellStart"/>
      <w:r w:rsidR="00EB1DE6">
        <w:rPr>
          <w:i/>
          <w:sz w:val="24"/>
          <w:szCs w:val="24"/>
        </w:rPr>
        <w:t>fuscus</w:t>
      </w:r>
      <w:proofErr w:type="spellEnd"/>
      <w:r w:rsidR="00EB1DE6">
        <w:rPr>
          <w:sz w:val="24"/>
          <w:szCs w:val="24"/>
        </w:rPr>
        <w:t xml:space="preserve">, removing a very small fraction (2-4%) may deplete breeding stocks. </w:t>
      </w:r>
      <w:proofErr w:type="spellStart"/>
      <w:r w:rsidR="00962190">
        <w:rPr>
          <w:sz w:val="24"/>
          <w:szCs w:val="24"/>
        </w:rPr>
        <w:t>U</w:t>
      </w:r>
      <w:r w:rsidR="005A217B">
        <w:rPr>
          <w:sz w:val="24"/>
          <w:szCs w:val="24"/>
        </w:rPr>
        <w:t>thicke</w:t>
      </w:r>
      <w:proofErr w:type="spellEnd"/>
      <w:r w:rsidR="001014F8">
        <w:rPr>
          <w:sz w:val="24"/>
          <w:szCs w:val="24"/>
        </w:rPr>
        <w:t xml:space="preserve"> (2004) </w:t>
      </w:r>
      <w:r w:rsidR="00962190">
        <w:rPr>
          <w:sz w:val="24"/>
          <w:szCs w:val="24"/>
        </w:rPr>
        <w:t>documented</w:t>
      </w:r>
      <w:r w:rsidR="00CE058F">
        <w:rPr>
          <w:sz w:val="24"/>
          <w:szCs w:val="24"/>
        </w:rPr>
        <w:t xml:space="preserve"> that annual catches &lt; 5% of virgin biomass depleted populations of </w:t>
      </w:r>
      <w:proofErr w:type="spellStart"/>
      <w:r w:rsidR="00CE058F">
        <w:rPr>
          <w:i/>
          <w:sz w:val="24"/>
          <w:szCs w:val="24"/>
        </w:rPr>
        <w:t>Holothuria</w:t>
      </w:r>
      <w:proofErr w:type="spellEnd"/>
      <w:r w:rsidR="00CE058F">
        <w:rPr>
          <w:i/>
          <w:sz w:val="24"/>
          <w:szCs w:val="24"/>
        </w:rPr>
        <w:t xml:space="preserve"> </w:t>
      </w:r>
      <w:proofErr w:type="spellStart"/>
      <w:r w:rsidR="00CE058F">
        <w:rPr>
          <w:i/>
          <w:sz w:val="24"/>
          <w:szCs w:val="24"/>
        </w:rPr>
        <w:t>nobilis</w:t>
      </w:r>
      <w:proofErr w:type="spellEnd"/>
      <w:r w:rsidR="00CE058F">
        <w:rPr>
          <w:sz w:val="24"/>
          <w:szCs w:val="24"/>
        </w:rPr>
        <w:t xml:space="preserve"> in the Great Barrier and suggested an extremely cautious approach in the management of </w:t>
      </w:r>
      <w:proofErr w:type="spellStart"/>
      <w:r w:rsidR="00CE058F" w:rsidRPr="005A217B">
        <w:rPr>
          <w:i/>
          <w:sz w:val="24"/>
          <w:szCs w:val="24"/>
        </w:rPr>
        <w:t>beche</w:t>
      </w:r>
      <w:proofErr w:type="spellEnd"/>
      <w:r w:rsidR="00CE058F" w:rsidRPr="005A217B">
        <w:rPr>
          <w:i/>
          <w:sz w:val="24"/>
          <w:szCs w:val="24"/>
        </w:rPr>
        <w:t>-de-</w:t>
      </w:r>
      <w:proofErr w:type="spellStart"/>
      <w:r w:rsidR="00CE058F" w:rsidRPr="005A217B">
        <w:rPr>
          <w:i/>
          <w:sz w:val="24"/>
          <w:szCs w:val="24"/>
        </w:rPr>
        <w:t>mer</w:t>
      </w:r>
      <w:proofErr w:type="spellEnd"/>
      <w:r w:rsidR="00CE058F">
        <w:rPr>
          <w:sz w:val="24"/>
          <w:szCs w:val="24"/>
        </w:rPr>
        <w:t xml:space="preserve"> fisheries. </w:t>
      </w:r>
    </w:p>
    <w:p w:rsidR="00676B33" w:rsidRDefault="00676B33" w:rsidP="00261384">
      <w:pPr>
        <w:spacing w:line="480" w:lineRule="auto"/>
        <w:rPr>
          <w:sz w:val="24"/>
          <w:szCs w:val="24"/>
        </w:rPr>
      </w:pPr>
      <w:r>
        <w:rPr>
          <w:sz w:val="24"/>
          <w:szCs w:val="24"/>
        </w:rPr>
        <w:lastRenderedPageBreak/>
        <w:t xml:space="preserve">An important additional issue in the Gulf of California that needs to be considered when setting quotas is illegal fishing. Brown sea cucumber commercial harvesting was </w:t>
      </w:r>
      <w:r w:rsidR="00FA410E">
        <w:rPr>
          <w:sz w:val="24"/>
          <w:szCs w:val="24"/>
        </w:rPr>
        <w:t>forbidden</w:t>
      </w:r>
      <w:r>
        <w:rPr>
          <w:sz w:val="24"/>
          <w:szCs w:val="24"/>
        </w:rPr>
        <w:t xml:space="preserve"> between 2000 and 2007 (Glockner-Fagetti et al., 2016). However, </w:t>
      </w:r>
      <w:r w:rsidR="00FA410E">
        <w:rPr>
          <w:sz w:val="24"/>
          <w:szCs w:val="24"/>
        </w:rPr>
        <w:t>evidence exists to suggest</w:t>
      </w:r>
      <w:r>
        <w:rPr>
          <w:sz w:val="24"/>
          <w:szCs w:val="24"/>
        </w:rPr>
        <w:t xml:space="preserve"> that illegal fishing has always occurred in the region. </w:t>
      </w:r>
      <w:r w:rsidR="00FA410E">
        <w:rPr>
          <w:sz w:val="24"/>
          <w:szCs w:val="24"/>
        </w:rPr>
        <w:t xml:space="preserve">Unreported and illegal fishing is by far </w:t>
      </w:r>
      <w:r>
        <w:rPr>
          <w:sz w:val="24"/>
          <w:szCs w:val="24"/>
        </w:rPr>
        <w:t>the most important threat to sea cucumber fisher</w:t>
      </w:r>
      <w:r w:rsidR="00FA410E">
        <w:rPr>
          <w:sz w:val="24"/>
          <w:szCs w:val="24"/>
        </w:rPr>
        <w:t xml:space="preserve">ies. </w:t>
      </w:r>
      <w:r>
        <w:rPr>
          <w:sz w:val="24"/>
          <w:szCs w:val="24"/>
        </w:rPr>
        <w:t xml:space="preserve">Poaching is rampant all over the region, </w:t>
      </w:r>
      <w:r w:rsidR="00FA410E">
        <w:rPr>
          <w:sz w:val="24"/>
          <w:szCs w:val="24"/>
        </w:rPr>
        <w:t>in part because</w:t>
      </w:r>
      <w:r>
        <w:rPr>
          <w:sz w:val="24"/>
          <w:szCs w:val="24"/>
        </w:rPr>
        <w:t xml:space="preserve"> there are many isolated, scattered and </w:t>
      </w:r>
      <w:r w:rsidR="00307CCD">
        <w:rPr>
          <w:sz w:val="24"/>
          <w:szCs w:val="24"/>
        </w:rPr>
        <w:t>uninhabited</w:t>
      </w:r>
      <w:r>
        <w:rPr>
          <w:sz w:val="24"/>
          <w:szCs w:val="24"/>
        </w:rPr>
        <w:t xml:space="preserve"> islands where poachers, who predominantly come from mainland, </w:t>
      </w:r>
      <w:r w:rsidR="00FA410E">
        <w:rPr>
          <w:sz w:val="24"/>
          <w:szCs w:val="24"/>
        </w:rPr>
        <w:t>prepare the product for the market</w:t>
      </w:r>
      <w:r>
        <w:rPr>
          <w:sz w:val="24"/>
          <w:szCs w:val="24"/>
        </w:rPr>
        <w:t xml:space="preserve"> (Cisneros-Montemayor et al., 2013). During the surveys that were conducted to gather abundance data, we frequently saw poachers camping at the islands. Illegal, unreported and unregulated fishing is a significant issue all over the world (Agnew et al., 2009)</w:t>
      </w:r>
      <w:r w:rsidR="00FA410E">
        <w:rPr>
          <w:sz w:val="24"/>
          <w:szCs w:val="24"/>
        </w:rPr>
        <w:t>. The high value of sea cucumber makes it a target for illegal fishing globally</w:t>
      </w:r>
      <w:r>
        <w:rPr>
          <w:sz w:val="24"/>
          <w:szCs w:val="24"/>
        </w:rPr>
        <w:t xml:space="preserve"> (</w:t>
      </w:r>
      <w:proofErr w:type="spellStart"/>
      <w:r>
        <w:rPr>
          <w:sz w:val="24"/>
          <w:szCs w:val="24"/>
        </w:rPr>
        <w:t>Conand</w:t>
      </w:r>
      <w:proofErr w:type="spellEnd"/>
      <w:r>
        <w:rPr>
          <w:sz w:val="24"/>
          <w:szCs w:val="24"/>
        </w:rPr>
        <w:t>, 2018; Gonzalez-</w:t>
      </w:r>
      <w:proofErr w:type="spellStart"/>
      <w:r>
        <w:rPr>
          <w:sz w:val="24"/>
          <w:szCs w:val="24"/>
        </w:rPr>
        <w:t>Wanguemert</w:t>
      </w:r>
      <w:proofErr w:type="spellEnd"/>
      <w:r>
        <w:rPr>
          <w:sz w:val="24"/>
          <w:szCs w:val="24"/>
        </w:rPr>
        <w:t xml:space="preserve"> et al., 2018)</w:t>
      </w:r>
      <w:r w:rsidR="00307CCD">
        <w:rPr>
          <w:sz w:val="24"/>
          <w:szCs w:val="24"/>
        </w:rPr>
        <w:t xml:space="preserve">. </w:t>
      </w:r>
      <w:r w:rsidR="00FA410E">
        <w:rPr>
          <w:sz w:val="24"/>
          <w:szCs w:val="24"/>
        </w:rPr>
        <w:t xml:space="preserve">In </w:t>
      </w:r>
      <w:r>
        <w:rPr>
          <w:sz w:val="24"/>
          <w:szCs w:val="24"/>
        </w:rPr>
        <w:t>Mexico</w:t>
      </w:r>
      <w:r w:rsidR="00FA410E">
        <w:rPr>
          <w:sz w:val="24"/>
          <w:szCs w:val="24"/>
        </w:rPr>
        <w:t>, it is estimated that illegal fishing accounts for twice the reported catches (</w:t>
      </w:r>
      <w:r>
        <w:rPr>
          <w:sz w:val="24"/>
          <w:szCs w:val="24"/>
        </w:rPr>
        <w:t>Cisneros-Montemayor et al</w:t>
      </w:r>
      <w:r w:rsidR="00E6777A">
        <w:rPr>
          <w:sz w:val="24"/>
          <w:szCs w:val="24"/>
        </w:rPr>
        <w:t>.,</w:t>
      </w:r>
      <w:r>
        <w:rPr>
          <w:sz w:val="24"/>
          <w:szCs w:val="24"/>
        </w:rPr>
        <w:t xml:space="preserve"> 2013). </w:t>
      </w:r>
      <w:r w:rsidR="00261384">
        <w:rPr>
          <w:sz w:val="24"/>
          <w:szCs w:val="24"/>
        </w:rPr>
        <w:t>B</w:t>
      </w:r>
      <w:r>
        <w:rPr>
          <w:sz w:val="24"/>
          <w:szCs w:val="24"/>
        </w:rPr>
        <w:t xml:space="preserve">etween 2013 and 2018, 1,024,813 pieces of sea cucumber </w:t>
      </w:r>
      <w:r w:rsidR="00A80A2F">
        <w:rPr>
          <w:sz w:val="24"/>
          <w:szCs w:val="24"/>
        </w:rPr>
        <w:t>were</w:t>
      </w:r>
      <w:r>
        <w:rPr>
          <w:sz w:val="24"/>
          <w:szCs w:val="24"/>
        </w:rPr>
        <w:t xml:space="preserve"> confiscated in the region</w:t>
      </w:r>
      <w:r w:rsidR="00261384">
        <w:rPr>
          <w:sz w:val="24"/>
          <w:szCs w:val="24"/>
        </w:rPr>
        <w:t xml:space="preserve"> (Calderon-Aguilera, </w:t>
      </w:r>
      <w:r w:rsidR="00D05EAB">
        <w:rPr>
          <w:sz w:val="24"/>
          <w:szCs w:val="24"/>
        </w:rPr>
        <w:t>2019</w:t>
      </w:r>
      <w:r w:rsidR="00261384" w:rsidRPr="00261384">
        <w:rPr>
          <w:sz w:val="24"/>
          <w:szCs w:val="24"/>
        </w:rPr>
        <w:t>)</w:t>
      </w:r>
      <w:r w:rsidRPr="00261384">
        <w:rPr>
          <w:sz w:val="24"/>
          <w:szCs w:val="24"/>
        </w:rPr>
        <w:t>,</w:t>
      </w:r>
      <w:r>
        <w:rPr>
          <w:sz w:val="24"/>
          <w:szCs w:val="24"/>
        </w:rPr>
        <w:t xml:space="preserve"> </w:t>
      </w:r>
      <w:r w:rsidR="00A80A2F">
        <w:rPr>
          <w:sz w:val="24"/>
          <w:szCs w:val="24"/>
        </w:rPr>
        <w:t xml:space="preserve">which </w:t>
      </w:r>
      <w:r>
        <w:rPr>
          <w:sz w:val="24"/>
          <w:szCs w:val="24"/>
        </w:rPr>
        <w:t>suggests the illegal catch is certainly much larger.</w:t>
      </w:r>
      <w:r w:rsidR="00B24A1C">
        <w:rPr>
          <w:sz w:val="24"/>
          <w:szCs w:val="24"/>
        </w:rPr>
        <w:t xml:space="preserve"> T</w:t>
      </w:r>
      <w:r>
        <w:rPr>
          <w:sz w:val="24"/>
          <w:szCs w:val="24"/>
        </w:rPr>
        <w:t xml:space="preserve">his illegal activity means it is </w:t>
      </w:r>
      <w:r w:rsidR="00261384">
        <w:rPr>
          <w:sz w:val="24"/>
          <w:szCs w:val="24"/>
        </w:rPr>
        <w:t>crucial</w:t>
      </w:r>
      <w:r>
        <w:rPr>
          <w:sz w:val="24"/>
          <w:szCs w:val="24"/>
        </w:rPr>
        <w:t xml:space="preserve"> that conservative estimates of total abundance are used in setting sea cucumber quotas in the Gulf of Califo</w:t>
      </w:r>
      <w:r w:rsidR="00B24A1C">
        <w:rPr>
          <w:sz w:val="24"/>
          <w:szCs w:val="24"/>
        </w:rPr>
        <w:t>rnia.</w:t>
      </w:r>
      <w:r w:rsidR="00A80A2F">
        <w:rPr>
          <w:sz w:val="24"/>
          <w:szCs w:val="24"/>
        </w:rPr>
        <w:t xml:space="preserve"> We therefore argue for the use of lower bounds</w:t>
      </w:r>
      <w:r w:rsidR="00261384">
        <w:rPr>
          <w:sz w:val="24"/>
          <w:szCs w:val="24"/>
        </w:rPr>
        <w:t>, rather than means,</w:t>
      </w:r>
      <w:r w:rsidR="00A80A2F">
        <w:rPr>
          <w:sz w:val="24"/>
          <w:szCs w:val="24"/>
        </w:rPr>
        <w:t xml:space="preserve"> of modelled estimates in setting quotas. </w:t>
      </w:r>
      <w:r w:rsidR="00261384" w:rsidRPr="00261384">
        <w:rPr>
          <w:sz w:val="24"/>
          <w:szCs w:val="24"/>
        </w:rPr>
        <w:t>While current quotas are more reasonable than those set in 2008, most are still above sustainable levels of harvesting as estimated by the lower credible interval from the spatial models.</w:t>
      </w:r>
    </w:p>
    <w:p w:rsidR="00237F43" w:rsidRPr="00261384" w:rsidRDefault="00237F43" w:rsidP="009F1622">
      <w:pPr>
        <w:spacing w:line="480" w:lineRule="auto"/>
        <w:rPr>
          <w:sz w:val="24"/>
          <w:szCs w:val="24"/>
        </w:rPr>
      </w:pPr>
      <w:r>
        <w:rPr>
          <w:sz w:val="24"/>
          <w:szCs w:val="24"/>
        </w:rPr>
        <w:t xml:space="preserve">A further reason to err on the side of caution when setting these quotas is that both in current system and in our models, it is assumed that all areas contain suitable substrate. In our modelling approach, we did not have data on substrate type for the full study area, only </w:t>
      </w:r>
      <w:r>
        <w:rPr>
          <w:sz w:val="24"/>
          <w:szCs w:val="24"/>
        </w:rPr>
        <w:lastRenderedPageBreak/>
        <w:t xml:space="preserve">the sampled locations. This means that although substrate type will </w:t>
      </w:r>
      <w:r w:rsidR="00566B1F">
        <w:rPr>
          <w:sz w:val="24"/>
          <w:szCs w:val="24"/>
        </w:rPr>
        <w:t>play a part in driving</w:t>
      </w:r>
      <w:r>
        <w:rPr>
          <w:sz w:val="24"/>
          <w:szCs w:val="24"/>
        </w:rPr>
        <w:t xml:space="preserve"> </w:t>
      </w:r>
      <w:r w:rsidR="00566B1F">
        <w:rPr>
          <w:sz w:val="24"/>
          <w:szCs w:val="24"/>
        </w:rPr>
        <w:t xml:space="preserve">species abundances, we were unable to use knowledge of the relationship with substrate type to make predictions. </w:t>
      </w:r>
      <w:r w:rsidR="00675B52">
        <w:rPr>
          <w:sz w:val="24"/>
          <w:szCs w:val="24"/>
        </w:rPr>
        <w:t xml:space="preserve">Based on our observations, this species is only found in hard substrate. However, </w:t>
      </w:r>
      <w:proofErr w:type="spellStart"/>
      <w:r w:rsidR="009F1622" w:rsidRPr="00784566">
        <w:rPr>
          <w:sz w:val="24"/>
          <w:szCs w:val="24"/>
        </w:rPr>
        <w:t>Kerstitch</w:t>
      </w:r>
      <w:proofErr w:type="spellEnd"/>
      <w:r w:rsidR="009F1622" w:rsidRPr="00784566">
        <w:rPr>
          <w:sz w:val="24"/>
          <w:szCs w:val="24"/>
        </w:rPr>
        <w:t xml:space="preserve"> (1989) reported it</w:t>
      </w:r>
      <w:r w:rsidR="00D72740" w:rsidRPr="00784566">
        <w:rPr>
          <w:sz w:val="24"/>
          <w:szCs w:val="24"/>
        </w:rPr>
        <w:t xml:space="preserve"> on</w:t>
      </w:r>
      <w:r w:rsidR="009F1622" w:rsidRPr="00784566">
        <w:rPr>
          <w:sz w:val="28"/>
          <w:szCs w:val="28"/>
        </w:rPr>
        <w:t xml:space="preserve"> </w:t>
      </w:r>
      <w:r w:rsidR="009F1622" w:rsidRPr="009F1622">
        <w:rPr>
          <w:sz w:val="24"/>
          <w:szCs w:val="24"/>
        </w:rPr>
        <w:t>reefs, rocks, coralline algae, coral, sand and mud too.</w:t>
      </w:r>
      <w:r w:rsidR="004233EB">
        <w:rPr>
          <w:sz w:val="24"/>
          <w:szCs w:val="24"/>
        </w:rPr>
        <w:t xml:space="preserve"> </w:t>
      </w:r>
      <w:r w:rsidR="00566B1F">
        <w:rPr>
          <w:sz w:val="24"/>
          <w:szCs w:val="24"/>
        </w:rPr>
        <w:t>Future study</w:t>
      </w:r>
      <w:r w:rsidR="006E5F74">
        <w:rPr>
          <w:sz w:val="24"/>
          <w:szCs w:val="24"/>
        </w:rPr>
        <w:t xml:space="preserve"> focus on the</w:t>
      </w:r>
      <w:r w:rsidR="00675B52">
        <w:rPr>
          <w:sz w:val="24"/>
          <w:szCs w:val="24"/>
        </w:rPr>
        <w:t xml:space="preserve"> substrate – abundance relationship would give valuable information on this issue.</w:t>
      </w:r>
    </w:p>
    <w:p w:rsidR="001E64C3" w:rsidRDefault="00DD4A0A" w:rsidP="00DD4A0A">
      <w:pPr>
        <w:spacing w:line="480" w:lineRule="auto"/>
        <w:rPr>
          <w:sz w:val="24"/>
          <w:szCs w:val="24"/>
        </w:rPr>
      </w:pPr>
      <w:r>
        <w:rPr>
          <w:sz w:val="24"/>
          <w:szCs w:val="24"/>
        </w:rPr>
        <w:t xml:space="preserve">A possible explanation for the very large confidence intervals in our density estimates is due to </w:t>
      </w:r>
      <w:r w:rsidR="00D66BBC">
        <w:rPr>
          <w:sz w:val="24"/>
          <w:szCs w:val="24"/>
        </w:rPr>
        <w:t>temporal variation o</w:t>
      </w:r>
      <w:r w:rsidR="00A80A2F">
        <w:rPr>
          <w:sz w:val="24"/>
          <w:szCs w:val="24"/>
        </w:rPr>
        <w:t>f</w:t>
      </w:r>
      <w:r w:rsidR="00D66BBC">
        <w:rPr>
          <w:sz w:val="24"/>
          <w:szCs w:val="24"/>
        </w:rPr>
        <w:t xml:space="preserve"> abundance due to harvesting. The fishing season regularly goes from September to April, so surveys conducted close to the end of the season might result </w:t>
      </w:r>
      <w:r w:rsidR="00261384">
        <w:rPr>
          <w:sz w:val="24"/>
          <w:szCs w:val="24"/>
        </w:rPr>
        <w:t>i</w:t>
      </w:r>
      <w:r w:rsidR="00D66BBC">
        <w:rPr>
          <w:sz w:val="24"/>
          <w:szCs w:val="24"/>
        </w:rPr>
        <w:t>n lower abundances and vice versa at the beginning of the season.</w:t>
      </w:r>
      <w:r>
        <w:rPr>
          <w:sz w:val="24"/>
          <w:szCs w:val="24"/>
        </w:rPr>
        <w:t xml:space="preserve"> Due to logistic constraints, surveys were not conducted randomly, but rather from </w:t>
      </w:r>
      <w:r w:rsidR="00D66BBC">
        <w:rPr>
          <w:sz w:val="24"/>
          <w:szCs w:val="24"/>
        </w:rPr>
        <w:t>north to south</w:t>
      </w:r>
      <w:r>
        <w:rPr>
          <w:sz w:val="24"/>
          <w:szCs w:val="24"/>
        </w:rPr>
        <w:t xml:space="preserve">, with 4 months between repeats of sampling at any given a site. As such, there is a potentially an additional spatial harvest-driven signal in the data that we are unable to statistically correct for, which reduces the certainty around our </w:t>
      </w:r>
      <w:r w:rsidR="00676B33">
        <w:rPr>
          <w:sz w:val="24"/>
          <w:szCs w:val="24"/>
        </w:rPr>
        <w:t>density</w:t>
      </w:r>
      <w:r>
        <w:rPr>
          <w:sz w:val="24"/>
          <w:szCs w:val="24"/>
        </w:rPr>
        <w:t xml:space="preserve"> estimates. In addition, a</w:t>
      </w:r>
      <w:r w:rsidR="00D66BBC">
        <w:rPr>
          <w:sz w:val="24"/>
          <w:szCs w:val="24"/>
        </w:rPr>
        <w:t>ll surveys were conducted at night because the sea cucumber hides inside crevices during daylight</w:t>
      </w:r>
      <w:r w:rsidR="005E4B42">
        <w:rPr>
          <w:sz w:val="24"/>
          <w:szCs w:val="24"/>
        </w:rPr>
        <w:t xml:space="preserve"> (Reyes-Bonilla et al., 2016)</w:t>
      </w:r>
      <w:r>
        <w:rPr>
          <w:sz w:val="24"/>
          <w:szCs w:val="24"/>
        </w:rPr>
        <w:t>. As such,</w:t>
      </w:r>
      <w:r w:rsidR="00D66BBC">
        <w:rPr>
          <w:sz w:val="24"/>
          <w:szCs w:val="24"/>
        </w:rPr>
        <w:t xml:space="preserve"> some individuals could have been missed, but we estimate that </w:t>
      </w:r>
      <w:r>
        <w:rPr>
          <w:sz w:val="24"/>
          <w:szCs w:val="24"/>
        </w:rPr>
        <w:t xml:space="preserve">this accounted for less </w:t>
      </w:r>
      <w:r w:rsidR="00D66BBC">
        <w:rPr>
          <w:sz w:val="24"/>
          <w:szCs w:val="24"/>
        </w:rPr>
        <w:t>than 5%</w:t>
      </w:r>
      <w:r>
        <w:rPr>
          <w:sz w:val="24"/>
          <w:szCs w:val="24"/>
        </w:rPr>
        <w:t xml:space="preserve"> of individuals</w:t>
      </w:r>
      <w:r w:rsidR="00D66BBC">
        <w:rPr>
          <w:sz w:val="24"/>
          <w:szCs w:val="24"/>
        </w:rPr>
        <w:t xml:space="preserve">.  </w:t>
      </w:r>
    </w:p>
    <w:p w:rsidR="005B706E" w:rsidRDefault="00261384" w:rsidP="00676B33">
      <w:pPr>
        <w:spacing w:line="480" w:lineRule="auto"/>
        <w:rPr>
          <w:sz w:val="24"/>
          <w:szCs w:val="24"/>
        </w:rPr>
      </w:pPr>
      <w:r>
        <w:rPr>
          <w:sz w:val="24"/>
          <w:szCs w:val="24"/>
        </w:rPr>
        <w:t>S</w:t>
      </w:r>
      <w:r w:rsidR="00B24A1C">
        <w:rPr>
          <w:sz w:val="24"/>
          <w:szCs w:val="24"/>
        </w:rPr>
        <w:t xml:space="preserve">etting sufficiently conservative quotas is not the only management action that is required to ensure the long-term sustainability of the sea cucumber fishery in the Gulf of California. </w:t>
      </w:r>
      <w:r w:rsidR="005B706E">
        <w:rPr>
          <w:sz w:val="24"/>
          <w:szCs w:val="24"/>
        </w:rPr>
        <w:t>This should be considered along with a diversity of additional management actions. Firstly, a suggestion has been made to restrict harvesting to daylight and prosecute anyone fishing at night (</w:t>
      </w:r>
      <w:r w:rsidR="00D66BBC">
        <w:rPr>
          <w:sz w:val="24"/>
          <w:szCs w:val="24"/>
        </w:rPr>
        <w:t>Glockner-Fagetti et a</w:t>
      </w:r>
      <w:r w:rsidR="00E6777A">
        <w:rPr>
          <w:sz w:val="24"/>
          <w:szCs w:val="24"/>
        </w:rPr>
        <w:t>l.,</w:t>
      </w:r>
      <w:r w:rsidR="00D66BBC">
        <w:rPr>
          <w:sz w:val="24"/>
          <w:szCs w:val="24"/>
        </w:rPr>
        <w:t xml:space="preserve"> 2016)</w:t>
      </w:r>
      <w:r w:rsidR="005B706E">
        <w:rPr>
          <w:sz w:val="24"/>
          <w:szCs w:val="24"/>
        </w:rPr>
        <w:t>.</w:t>
      </w:r>
      <w:r w:rsidR="00D66BBC">
        <w:rPr>
          <w:sz w:val="24"/>
          <w:szCs w:val="24"/>
        </w:rPr>
        <w:t xml:space="preserve"> </w:t>
      </w:r>
      <w:r>
        <w:rPr>
          <w:sz w:val="24"/>
          <w:szCs w:val="24"/>
        </w:rPr>
        <w:t xml:space="preserve">Fishing during daylight would ensure that around 15% of the stock remains untouched, as concluded by a study comparing </w:t>
      </w:r>
      <w:r w:rsidR="00631D5F">
        <w:rPr>
          <w:sz w:val="24"/>
          <w:szCs w:val="24"/>
        </w:rPr>
        <w:t>quadrats</w:t>
      </w:r>
      <w:r>
        <w:rPr>
          <w:sz w:val="24"/>
          <w:szCs w:val="24"/>
        </w:rPr>
        <w:t xml:space="preserve"> between day </w:t>
      </w:r>
      <w:r>
        <w:rPr>
          <w:sz w:val="24"/>
          <w:szCs w:val="24"/>
        </w:rPr>
        <w:lastRenderedPageBreak/>
        <w:t>and night surveys (</w:t>
      </w:r>
      <w:r w:rsidRPr="00261384">
        <w:rPr>
          <w:sz w:val="24"/>
          <w:szCs w:val="24"/>
        </w:rPr>
        <w:t>Reyes-Bonilla et al</w:t>
      </w:r>
      <w:r w:rsidR="00E6777A">
        <w:rPr>
          <w:sz w:val="24"/>
          <w:szCs w:val="24"/>
        </w:rPr>
        <w:t>.,</w:t>
      </w:r>
      <w:r w:rsidRPr="00261384">
        <w:rPr>
          <w:sz w:val="24"/>
          <w:szCs w:val="24"/>
        </w:rPr>
        <w:t xml:space="preserve"> 2016).</w:t>
      </w:r>
      <w:r>
        <w:rPr>
          <w:sz w:val="24"/>
          <w:szCs w:val="24"/>
        </w:rPr>
        <w:t xml:space="preserve"> They found that during daylight 15% of sea cucumber was not sampled because they were hidden between crevices. </w:t>
      </w:r>
    </w:p>
    <w:p w:rsidR="0037188D" w:rsidRDefault="00C253A3">
      <w:pPr>
        <w:spacing w:line="480" w:lineRule="auto"/>
        <w:rPr>
          <w:sz w:val="24"/>
          <w:szCs w:val="24"/>
        </w:rPr>
      </w:pPr>
      <w:r>
        <w:rPr>
          <w:sz w:val="24"/>
          <w:szCs w:val="24"/>
        </w:rPr>
        <w:t>Secondly</w:t>
      </w:r>
      <w:r w:rsidR="005B706E">
        <w:rPr>
          <w:sz w:val="24"/>
          <w:szCs w:val="24"/>
        </w:rPr>
        <w:t xml:space="preserve">, </w:t>
      </w:r>
      <w:r w:rsidR="00D66BBC">
        <w:rPr>
          <w:sz w:val="24"/>
          <w:szCs w:val="24"/>
        </w:rPr>
        <w:t>limiting harvesting to 30 m depth</w:t>
      </w:r>
      <w:r w:rsidR="005B706E">
        <w:rPr>
          <w:sz w:val="24"/>
          <w:szCs w:val="24"/>
        </w:rPr>
        <w:t xml:space="preserve"> would have two-fold benefits</w:t>
      </w:r>
      <w:r w:rsidR="00D66BBC">
        <w:rPr>
          <w:sz w:val="24"/>
          <w:szCs w:val="24"/>
        </w:rPr>
        <w:t xml:space="preserve">: </w:t>
      </w:r>
      <w:r w:rsidR="005B706E">
        <w:rPr>
          <w:sz w:val="24"/>
          <w:szCs w:val="24"/>
        </w:rPr>
        <w:t xml:space="preserve">(1) it would </w:t>
      </w:r>
      <w:r w:rsidR="00D66BBC">
        <w:rPr>
          <w:sz w:val="24"/>
          <w:szCs w:val="24"/>
        </w:rPr>
        <w:t>preserve part of the sea cucumber population for reproduction and recruitment</w:t>
      </w:r>
      <w:r w:rsidR="005B706E">
        <w:rPr>
          <w:sz w:val="24"/>
          <w:szCs w:val="24"/>
        </w:rPr>
        <w:t>;</w:t>
      </w:r>
      <w:r w:rsidR="00D66BBC">
        <w:rPr>
          <w:sz w:val="24"/>
          <w:szCs w:val="24"/>
        </w:rPr>
        <w:t xml:space="preserve"> </w:t>
      </w:r>
      <w:r w:rsidR="005B706E">
        <w:rPr>
          <w:sz w:val="24"/>
          <w:szCs w:val="24"/>
        </w:rPr>
        <w:t xml:space="preserve">(2) it would ensure the </w:t>
      </w:r>
      <w:r w:rsidR="00D66BBC">
        <w:rPr>
          <w:sz w:val="24"/>
          <w:szCs w:val="24"/>
        </w:rPr>
        <w:t>safety of the fish</w:t>
      </w:r>
      <w:r w:rsidR="005B706E">
        <w:rPr>
          <w:sz w:val="24"/>
          <w:szCs w:val="24"/>
        </w:rPr>
        <w:t>ers</w:t>
      </w:r>
      <w:r w:rsidR="00D66BBC">
        <w:rPr>
          <w:sz w:val="24"/>
          <w:szCs w:val="24"/>
        </w:rPr>
        <w:t xml:space="preserve">. The assumption is that below harvestable depths, the remaining stock may act as a consistent reservoir to replenish the shallows with recruits. </w:t>
      </w:r>
      <w:r w:rsidR="004F55BF">
        <w:rPr>
          <w:sz w:val="24"/>
          <w:szCs w:val="24"/>
        </w:rPr>
        <w:t xml:space="preserve">Conducting surveys deeper than 30m using </w:t>
      </w:r>
      <w:r w:rsidR="00962190">
        <w:rPr>
          <w:sz w:val="24"/>
          <w:szCs w:val="24"/>
        </w:rPr>
        <w:t>remotely operated vehicles (</w:t>
      </w:r>
      <w:r w:rsidR="004F55BF">
        <w:rPr>
          <w:sz w:val="24"/>
          <w:szCs w:val="24"/>
        </w:rPr>
        <w:t>ROVs</w:t>
      </w:r>
      <w:r w:rsidR="00962190">
        <w:rPr>
          <w:sz w:val="24"/>
          <w:szCs w:val="24"/>
        </w:rPr>
        <w:t>)</w:t>
      </w:r>
      <w:r w:rsidR="004F55BF">
        <w:rPr>
          <w:sz w:val="24"/>
          <w:szCs w:val="24"/>
        </w:rPr>
        <w:t xml:space="preserve"> to estimate abundance of sea cucumber would give a more accurate idea of how depleted is the population as well as taking samples for genetic analysis. </w:t>
      </w:r>
      <w:r w:rsidR="00165FE0">
        <w:rPr>
          <w:sz w:val="24"/>
          <w:szCs w:val="24"/>
        </w:rPr>
        <w:t>A recent work</w:t>
      </w:r>
      <w:r w:rsidR="00165FE0" w:rsidRPr="00165FE0">
        <w:rPr>
          <w:sz w:val="24"/>
          <w:szCs w:val="24"/>
        </w:rPr>
        <w:t xml:space="preserve"> found that the genetic diversity of this species in the study region is high in spite of the drastic reduction in abundance</w:t>
      </w:r>
      <w:r w:rsidR="00165FE0">
        <w:rPr>
          <w:sz w:val="24"/>
          <w:szCs w:val="24"/>
        </w:rPr>
        <w:t xml:space="preserve"> (</w:t>
      </w:r>
      <w:r w:rsidR="00165FE0" w:rsidRPr="00165FE0">
        <w:rPr>
          <w:sz w:val="24"/>
          <w:szCs w:val="24"/>
        </w:rPr>
        <w:t>Ochoa-Chavez et al 2018). The most plausible explanation is that there must be some part of the stock deeper that replenishes the population</w:t>
      </w:r>
      <w:r w:rsidR="00DF3939">
        <w:rPr>
          <w:sz w:val="24"/>
          <w:szCs w:val="24"/>
        </w:rPr>
        <w:t>, as predicted by the ‘deep reef refugia’ hypothesis</w:t>
      </w:r>
      <w:r w:rsidR="00165FE0" w:rsidRPr="00165FE0">
        <w:rPr>
          <w:sz w:val="24"/>
          <w:szCs w:val="24"/>
        </w:rPr>
        <w:t xml:space="preserve">. </w:t>
      </w:r>
      <w:r w:rsidR="00623525">
        <w:rPr>
          <w:sz w:val="24"/>
          <w:szCs w:val="24"/>
        </w:rPr>
        <w:fldChar w:fldCharType="begin" w:fldLock="1"/>
      </w:r>
      <w:r w:rsidR="00EF6F0C">
        <w:rPr>
          <w:sz w:val="24"/>
          <w:szCs w:val="24"/>
        </w:rPr>
        <w:instrText>ADDIN CSL_CITATION {"citationItems":[{"id":"ITEM-1","itemData":{"DOI":"10.1007/s00338-009-0581-x","ISBN":"0722-4028","ISSN":"07224028","abstract":"Coral reefs in shallow-water environments (\\30 m) are in decline due to local and global anthropogenic stresses. This has led to renewed interest in the ‘deep reef refugia’ hypothesis (DRRH), which stipulates that deep reef areas (1) are protected or dampened from disturbances that affect shallow reef areas and (2) can provide a viable reproductive source for shallow reef areas following dis- turbance. Using the Caribbean as an example, the assump- tions of this hypothesis were explored by reviewing the literature for scleractinian corals—the reef framework builders on tropical reefs. Although there is evidence to support that deep reefs ([30 m) can escape the direct effects of storm-induced waves and thermal bleaching events, deep reefs are certainly not immune to disturbance. Additionally, the potential of deep reefs to provide propagules for shallow reef areas seems limited to ‘depth-generalist’ coral species, which constitute only*25% of the total coral biodiversity. Larval connectivity between shallow and deep populations of these species may be further limited due to specific life history traits (e.g., brooding reproductive strategy and ver- tical symbiont acquisition mode). This review exposes how little is known about deep reefs and coral reproduction over depth. Hence, a series of urgent research priorities are pro- posed to determine the extent to which deep reefs may act as a refuge in the face of global reef decline.","author":[{"dropping-particle":"","family":"Bongaerts","given":"P.","non-dropping-particle":"","parse-names":false,"suffix":""},{"dropping-particle":"","family":"Ridgway","given":"T.","non-dropping-particle":"","parse-names":false,"suffix":""},{"dropping-particle":"","family":"Sampayo","given":"E. M.","non-dropping-particle":"","parse-names":false,"suffix":""},{"dropping-particle":"","family":"Hoegh-Guldberg","given":"O.","non-dropping-particle":"","parse-names":false,"suffix":""}],"container-title":"Coral Reefs","id":"ITEM-1","issue":"2","issued":{"date-parts":[["2010"]]},"page":"1-19","title":"Assessing the 'deep reef refugia' hypothesis: Focus on Caribbean reefs","type":"article-journal","volume":"29"},"uris":["http://www.mendeley.com/documents/?uuid=d128d1b5-5643-4891-9287-3e05bdda0301"]}],"mendeley":{"formattedCitation":"(Bongaerts, Ridgway, Sampayo, &amp; Hoegh-Guldberg, 2010)","plainTextFormattedCitation":"(Bongaerts, Ridgway, Sampayo, &amp; Hoegh-Guldberg, 2010)","previouslyFormattedCitation":"(Bongaerts, Ridgway, Sampayo, &amp; Hoegh-Guldberg, 2010)"},"properties":{"noteIndex":0},"schema":"https://github.com/citation-style-language/schema/raw/master/csl-citation.json"}</w:instrText>
      </w:r>
      <w:r w:rsidR="00623525">
        <w:rPr>
          <w:sz w:val="24"/>
          <w:szCs w:val="24"/>
        </w:rPr>
        <w:fldChar w:fldCharType="separate"/>
      </w:r>
      <w:r w:rsidR="00623525" w:rsidRPr="00623525">
        <w:rPr>
          <w:noProof/>
          <w:sz w:val="24"/>
          <w:szCs w:val="24"/>
        </w:rPr>
        <w:t>(Bongaerts, Ridgway, Sampayo, &amp; Hoegh-Guldberg, 2010)</w:t>
      </w:r>
      <w:r w:rsidR="00623525">
        <w:rPr>
          <w:sz w:val="24"/>
          <w:szCs w:val="24"/>
        </w:rPr>
        <w:fldChar w:fldCharType="end"/>
      </w:r>
      <w:r w:rsidR="00DF3939">
        <w:rPr>
          <w:sz w:val="24"/>
          <w:szCs w:val="24"/>
        </w:rPr>
        <w:t>(</w:t>
      </w:r>
      <w:proofErr w:type="spellStart"/>
      <w:r w:rsidR="00DF3939">
        <w:rPr>
          <w:sz w:val="24"/>
          <w:szCs w:val="24"/>
        </w:rPr>
        <w:t>B</w:t>
      </w:r>
      <w:r w:rsidR="00A0311B">
        <w:rPr>
          <w:sz w:val="24"/>
          <w:szCs w:val="24"/>
        </w:rPr>
        <w:t>ongaerts</w:t>
      </w:r>
      <w:proofErr w:type="spellEnd"/>
      <w:r w:rsidR="00A0311B">
        <w:rPr>
          <w:sz w:val="24"/>
          <w:szCs w:val="24"/>
        </w:rPr>
        <w:t xml:space="preserve"> et al., </w:t>
      </w:r>
      <w:r w:rsidR="00DF3939">
        <w:rPr>
          <w:sz w:val="24"/>
          <w:szCs w:val="24"/>
        </w:rPr>
        <w:t xml:space="preserve">2010). </w:t>
      </w:r>
      <w:r w:rsidR="0052242A">
        <w:rPr>
          <w:sz w:val="24"/>
          <w:szCs w:val="24"/>
        </w:rPr>
        <w:t>Moreover,</w:t>
      </w:r>
      <w:r w:rsidR="00165FE0">
        <w:rPr>
          <w:sz w:val="24"/>
          <w:szCs w:val="24"/>
        </w:rPr>
        <w:t xml:space="preserve"> d</w:t>
      </w:r>
      <w:r w:rsidR="00D66BBC">
        <w:rPr>
          <w:sz w:val="24"/>
          <w:szCs w:val="24"/>
        </w:rPr>
        <w:t>iminished shallow stocks have resulted in collectors adopting increasingly deeper high-risk bounce diving. There are no official figures of the number of fatalities and permanent</w:t>
      </w:r>
      <w:r w:rsidR="005B706E">
        <w:rPr>
          <w:sz w:val="24"/>
          <w:szCs w:val="24"/>
        </w:rPr>
        <w:t>ly</w:t>
      </w:r>
      <w:r w:rsidR="00D66BBC">
        <w:rPr>
          <w:sz w:val="24"/>
          <w:szCs w:val="24"/>
        </w:rPr>
        <w:t xml:space="preserve"> disabled fishers, but this is a matter of local concern. In the sea cucumber fishery in the Yucatan peninsula, </w:t>
      </w:r>
      <w:r w:rsidR="002E4709">
        <w:rPr>
          <w:sz w:val="24"/>
          <w:szCs w:val="24"/>
        </w:rPr>
        <w:t xml:space="preserve">a </w:t>
      </w:r>
      <w:r w:rsidR="00D66BBC">
        <w:rPr>
          <w:sz w:val="24"/>
          <w:szCs w:val="24"/>
        </w:rPr>
        <w:t xml:space="preserve">35-old dive fisher died </w:t>
      </w:r>
      <w:r w:rsidR="002E4709">
        <w:rPr>
          <w:sz w:val="24"/>
          <w:szCs w:val="24"/>
        </w:rPr>
        <w:t xml:space="preserve">due to </w:t>
      </w:r>
      <w:r w:rsidR="00D66BBC">
        <w:rPr>
          <w:sz w:val="24"/>
          <w:szCs w:val="24"/>
        </w:rPr>
        <w:t>cardiopulmonary decompression sickness</w:t>
      </w:r>
      <w:r w:rsidR="002E4709">
        <w:rPr>
          <w:sz w:val="24"/>
          <w:szCs w:val="24"/>
        </w:rPr>
        <w:t xml:space="preserve">. This incident </w:t>
      </w:r>
      <w:r w:rsidR="00D66BBC">
        <w:rPr>
          <w:sz w:val="24"/>
          <w:szCs w:val="24"/>
        </w:rPr>
        <w:t>suggest</w:t>
      </w:r>
      <w:r w:rsidR="002E4709">
        <w:rPr>
          <w:sz w:val="24"/>
          <w:szCs w:val="24"/>
        </w:rPr>
        <w:t>s</w:t>
      </w:r>
      <w:r w:rsidR="00D66BBC">
        <w:rPr>
          <w:sz w:val="24"/>
          <w:szCs w:val="24"/>
        </w:rPr>
        <w:t xml:space="preserve"> that fishers should have formal dive training</w:t>
      </w:r>
      <w:r w:rsidR="002E4709">
        <w:rPr>
          <w:sz w:val="24"/>
          <w:szCs w:val="24"/>
        </w:rPr>
        <w:t xml:space="preserve"> </w:t>
      </w:r>
      <w:r w:rsidR="002E4709" w:rsidRPr="002E4709">
        <w:rPr>
          <w:sz w:val="24"/>
          <w:szCs w:val="24"/>
        </w:rPr>
        <w:t>(Mendez et al., 2017)</w:t>
      </w:r>
      <w:r w:rsidR="00D66BBC">
        <w:rPr>
          <w:sz w:val="24"/>
          <w:szCs w:val="24"/>
        </w:rPr>
        <w:t>.</w:t>
      </w:r>
    </w:p>
    <w:p w:rsidR="009E33B5" w:rsidRDefault="009E33B5">
      <w:pPr>
        <w:spacing w:line="480" w:lineRule="auto"/>
        <w:rPr>
          <w:sz w:val="24"/>
          <w:szCs w:val="24"/>
        </w:rPr>
      </w:pPr>
      <w:r>
        <w:rPr>
          <w:sz w:val="24"/>
          <w:szCs w:val="24"/>
        </w:rPr>
        <w:t xml:space="preserve">Thirdly, we propose that quotas should be </w:t>
      </w:r>
      <w:r>
        <w:rPr>
          <w:sz w:val="24"/>
          <w:szCs w:val="24"/>
        </w:rPr>
        <w:sym w:font="Symbol" w:char="F0A3"/>
      </w:r>
      <w:r>
        <w:rPr>
          <w:sz w:val="24"/>
          <w:szCs w:val="24"/>
        </w:rPr>
        <w:t xml:space="preserve"> 2% of the lower credible interval of the estimated abundance at each estate</w:t>
      </w:r>
      <w:r w:rsidR="00E205EC">
        <w:rPr>
          <w:sz w:val="24"/>
          <w:szCs w:val="24"/>
        </w:rPr>
        <w:t xml:space="preserve"> and considering the spatial distribution of this species</w:t>
      </w:r>
      <w:r>
        <w:rPr>
          <w:sz w:val="24"/>
          <w:szCs w:val="24"/>
        </w:rPr>
        <w:t>. That</w:t>
      </w:r>
      <w:r w:rsidR="00E205EC">
        <w:rPr>
          <w:sz w:val="24"/>
          <w:szCs w:val="24"/>
        </w:rPr>
        <w:t xml:space="preserve"> quota</w:t>
      </w:r>
      <w:r>
        <w:rPr>
          <w:sz w:val="24"/>
          <w:szCs w:val="24"/>
        </w:rPr>
        <w:t xml:space="preserve"> might be not profitable</w:t>
      </w:r>
      <w:r w:rsidR="00E205EC">
        <w:rPr>
          <w:sz w:val="24"/>
          <w:szCs w:val="24"/>
        </w:rPr>
        <w:t xml:space="preserve"> for the fisher but it is critical for the conservation of this resource. </w:t>
      </w:r>
    </w:p>
    <w:p w:rsidR="001E64C3" w:rsidRDefault="00B24A1C">
      <w:pPr>
        <w:spacing w:line="480" w:lineRule="auto"/>
        <w:rPr>
          <w:sz w:val="24"/>
          <w:szCs w:val="24"/>
        </w:rPr>
      </w:pPr>
      <w:r>
        <w:rPr>
          <w:sz w:val="24"/>
          <w:szCs w:val="24"/>
        </w:rPr>
        <w:lastRenderedPageBreak/>
        <w:t xml:space="preserve">Finally, </w:t>
      </w:r>
      <w:r w:rsidR="005B706E">
        <w:rPr>
          <w:sz w:val="24"/>
          <w:szCs w:val="24"/>
        </w:rPr>
        <w:t xml:space="preserve">a </w:t>
      </w:r>
      <w:r w:rsidR="00D66BBC">
        <w:rPr>
          <w:sz w:val="24"/>
          <w:szCs w:val="24"/>
        </w:rPr>
        <w:t xml:space="preserve">management strategy </w:t>
      </w:r>
      <w:r w:rsidR="005B706E">
        <w:rPr>
          <w:sz w:val="24"/>
          <w:szCs w:val="24"/>
        </w:rPr>
        <w:t xml:space="preserve">currently </w:t>
      </w:r>
      <w:r w:rsidR="00D66BBC">
        <w:rPr>
          <w:sz w:val="24"/>
          <w:szCs w:val="24"/>
        </w:rPr>
        <w:t xml:space="preserve">under consideration is sea ranching of this species. As a part of this project, suitable locations for </w:t>
      </w:r>
      <w:proofErr w:type="spellStart"/>
      <w:r w:rsidR="00D66BBC">
        <w:rPr>
          <w:sz w:val="24"/>
          <w:szCs w:val="24"/>
        </w:rPr>
        <w:t>mariculture</w:t>
      </w:r>
      <w:proofErr w:type="spellEnd"/>
      <w:r w:rsidR="00D66BBC">
        <w:rPr>
          <w:sz w:val="24"/>
          <w:szCs w:val="24"/>
        </w:rPr>
        <w:t xml:space="preserve"> were identified in the area, </w:t>
      </w:r>
      <w:r w:rsidR="005B706E">
        <w:rPr>
          <w:sz w:val="24"/>
          <w:szCs w:val="24"/>
        </w:rPr>
        <w:t xml:space="preserve">selected based on </w:t>
      </w:r>
      <w:r w:rsidR="00D66BBC">
        <w:rPr>
          <w:sz w:val="24"/>
          <w:szCs w:val="24"/>
        </w:rPr>
        <w:t xml:space="preserve">substrate, primary productivity and accessibility. </w:t>
      </w:r>
      <w:r w:rsidR="00676B33">
        <w:rPr>
          <w:sz w:val="24"/>
          <w:szCs w:val="24"/>
        </w:rPr>
        <w:t xml:space="preserve">At present, </w:t>
      </w:r>
      <w:r w:rsidR="00D66BBC">
        <w:rPr>
          <w:sz w:val="24"/>
          <w:szCs w:val="24"/>
        </w:rPr>
        <w:t xml:space="preserve">artificial fertilization has succeeded but total mortality occurs at later larval stages (S. Gonzalez, pers. </w:t>
      </w:r>
      <w:r w:rsidR="005B706E">
        <w:rPr>
          <w:sz w:val="24"/>
          <w:szCs w:val="24"/>
        </w:rPr>
        <w:t>c</w:t>
      </w:r>
      <w:r w:rsidR="00D66BBC">
        <w:rPr>
          <w:sz w:val="24"/>
          <w:szCs w:val="24"/>
        </w:rPr>
        <w:t>omm.). Therefore, smaller individuals could be collected and kept in semi-enclosed conditions for growing and later harvesting.</w:t>
      </w:r>
    </w:p>
    <w:p w:rsidR="001E64C3" w:rsidRDefault="00D66BBC">
      <w:pPr>
        <w:spacing w:line="480" w:lineRule="auto"/>
        <w:rPr>
          <w:sz w:val="24"/>
          <w:szCs w:val="24"/>
        </w:rPr>
      </w:pPr>
      <w:r>
        <w:rPr>
          <w:sz w:val="24"/>
          <w:szCs w:val="24"/>
        </w:rPr>
        <w:t>Understanding the potential causes of sea cucumber loss and/or current population structure in the Gulf of California requires further research on reproduction, settlement and recruitment success, as well as of ecological and environmental parameters. This species is listed as endangered by the IUCN</w:t>
      </w:r>
      <w:r w:rsidR="005B706E">
        <w:rPr>
          <w:sz w:val="24"/>
          <w:szCs w:val="24"/>
        </w:rPr>
        <w:t>, which</w:t>
      </w:r>
      <w:r>
        <w:rPr>
          <w:sz w:val="24"/>
          <w:szCs w:val="24"/>
        </w:rPr>
        <w:t xml:space="preserve"> points </w:t>
      </w:r>
      <w:r w:rsidR="005B706E">
        <w:rPr>
          <w:sz w:val="24"/>
          <w:szCs w:val="24"/>
        </w:rPr>
        <w:t xml:space="preserve">to the need for more research </w:t>
      </w:r>
      <w:r>
        <w:rPr>
          <w:sz w:val="24"/>
          <w:szCs w:val="24"/>
        </w:rPr>
        <w:t>(Mercier et al.</w:t>
      </w:r>
      <w:r w:rsidR="00A0311B">
        <w:rPr>
          <w:sz w:val="24"/>
          <w:szCs w:val="24"/>
        </w:rPr>
        <w:t>,</w:t>
      </w:r>
      <w:r>
        <w:rPr>
          <w:sz w:val="24"/>
          <w:szCs w:val="24"/>
        </w:rPr>
        <w:t xml:space="preserve"> 2013). Taking into account the spatial structure of this species will improve the process of granting quotas, but still more research must be conducted in order to achieve sustainable management of this species.</w:t>
      </w:r>
    </w:p>
    <w:p w:rsidR="001E64C3" w:rsidRDefault="00D66BBC">
      <w:pPr>
        <w:spacing w:line="480" w:lineRule="auto"/>
        <w:rPr>
          <w:sz w:val="24"/>
          <w:szCs w:val="24"/>
        </w:rPr>
      </w:pPr>
      <w:r>
        <w:rPr>
          <w:sz w:val="24"/>
          <w:szCs w:val="24"/>
        </w:rPr>
        <w:t>Acknowledgments</w:t>
      </w:r>
    </w:p>
    <w:p w:rsidR="001E64C3" w:rsidRDefault="00D66BBC">
      <w:pPr>
        <w:spacing w:line="480" w:lineRule="auto"/>
        <w:rPr>
          <w:sz w:val="24"/>
          <w:szCs w:val="24"/>
        </w:rPr>
      </w:pPr>
      <w:r>
        <w:rPr>
          <w:sz w:val="24"/>
          <w:szCs w:val="24"/>
        </w:rPr>
        <w:t xml:space="preserve">LECA thanks CONACYT (Ref. 0291769) for partial financial support and ERC (SCALEFORES project ID 680176 to FE). Field data gathered with support of CONACYT-SAGARPA (grant 0225235 to LECA) under the permits SGPA/DGVS/08368/14 and SGPA/DGVS/14216/15. We are grateful to O. </w:t>
      </w:r>
      <w:proofErr w:type="spellStart"/>
      <w:r>
        <w:rPr>
          <w:sz w:val="24"/>
          <w:szCs w:val="24"/>
        </w:rPr>
        <w:t>Pedrin</w:t>
      </w:r>
      <w:proofErr w:type="spellEnd"/>
      <w:r>
        <w:rPr>
          <w:sz w:val="24"/>
          <w:szCs w:val="24"/>
        </w:rPr>
        <w:t xml:space="preserve"> (CONANP) for providing quotas data and M. Lopez for bathymetric data.</w:t>
      </w:r>
    </w:p>
    <w:p w:rsidR="001E64C3" w:rsidRDefault="00D66BBC">
      <w:pPr>
        <w:spacing w:line="480" w:lineRule="auto"/>
        <w:rPr>
          <w:sz w:val="24"/>
          <w:szCs w:val="24"/>
        </w:rPr>
      </w:pPr>
      <w:r>
        <w:rPr>
          <w:sz w:val="24"/>
          <w:szCs w:val="24"/>
        </w:rPr>
        <w:t>Compliance with ethical standards</w:t>
      </w:r>
    </w:p>
    <w:p w:rsidR="001E64C3" w:rsidRDefault="00D66BBC">
      <w:pPr>
        <w:spacing w:line="480" w:lineRule="auto"/>
        <w:rPr>
          <w:sz w:val="24"/>
          <w:szCs w:val="24"/>
        </w:rPr>
      </w:pPr>
      <w:r>
        <w:rPr>
          <w:sz w:val="24"/>
          <w:szCs w:val="24"/>
        </w:rPr>
        <w:t>Conflict of interest</w:t>
      </w:r>
    </w:p>
    <w:p w:rsidR="001E64C3" w:rsidRDefault="00D66BBC">
      <w:pPr>
        <w:rPr>
          <w:sz w:val="24"/>
          <w:szCs w:val="24"/>
        </w:rPr>
      </w:pPr>
      <w:r>
        <w:rPr>
          <w:sz w:val="24"/>
          <w:szCs w:val="24"/>
        </w:rPr>
        <w:t>The authors have no conflicts of interest to declare.</w:t>
      </w:r>
    </w:p>
    <w:p w:rsidR="007E2EA4" w:rsidRPr="00A64E01" w:rsidRDefault="007E2EA4">
      <w:pPr>
        <w:widowControl w:val="0"/>
        <w:spacing w:line="480" w:lineRule="auto"/>
        <w:ind w:left="480" w:hanging="480"/>
        <w:rPr>
          <w:sz w:val="24"/>
          <w:szCs w:val="24"/>
        </w:rPr>
      </w:pPr>
      <w:r w:rsidRPr="00A64E01">
        <w:rPr>
          <w:sz w:val="24"/>
          <w:szCs w:val="24"/>
        </w:rPr>
        <w:lastRenderedPageBreak/>
        <w:t>Literature cited</w:t>
      </w:r>
    </w:p>
    <w:p w:rsidR="00EF6F0C" w:rsidRPr="00EF6F0C" w:rsidRDefault="00EF6F0C" w:rsidP="00EF6F0C">
      <w:pPr>
        <w:widowControl w:val="0"/>
        <w:autoSpaceDE w:val="0"/>
        <w:autoSpaceDN w:val="0"/>
        <w:adjustRightInd w:val="0"/>
        <w:spacing w:line="480" w:lineRule="auto"/>
        <w:ind w:left="480" w:hanging="480"/>
        <w:rPr>
          <w:noProof/>
          <w:sz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EF6F0C">
        <w:rPr>
          <w:noProof/>
          <w:sz w:val="24"/>
          <w:lang w:val="en-US"/>
        </w:rPr>
        <w:t xml:space="preserve">Bongaerts, P., Ridgway, T., Sampayo, E. M., &amp; Hoegh-Guldberg, O. (2010). Assessing the “deep reef refugia” hypothesis: Focus on Caribbean reefs. </w:t>
      </w:r>
      <w:r w:rsidRPr="00EF6F0C">
        <w:rPr>
          <w:i/>
          <w:iCs/>
          <w:noProof/>
          <w:sz w:val="24"/>
          <w:lang w:val="en-US"/>
        </w:rPr>
        <w:t>Coral Reefs</w:t>
      </w:r>
      <w:r w:rsidRPr="00EF6F0C">
        <w:rPr>
          <w:noProof/>
          <w:sz w:val="24"/>
          <w:lang w:val="en-US"/>
        </w:rPr>
        <w:t xml:space="preserve">, </w:t>
      </w:r>
      <w:r w:rsidRPr="00EF6F0C">
        <w:rPr>
          <w:i/>
          <w:iCs/>
          <w:noProof/>
          <w:sz w:val="24"/>
          <w:lang w:val="en-US"/>
        </w:rPr>
        <w:t>29</w:t>
      </w:r>
      <w:r w:rsidRPr="00EF6F0C">
        <w:rPr>
          <w:noProof/>
          <w:sz w:val="24"/>
          <w:lang w:val="en-US"/>
        </w:rPr>
        <w:t>(2), 1–19. https://doi.org/10.1007/s00338-009-0581-x</w:t>
      </w:r>
    </w:p>
    <w:p w:rsidR="009C5ACE" w:rsidRPr="00784566" w:rsidRDefault="00EF6F0C" w:rsidP="005E700B">
      <w:pPr>
        <w:widowControl w:val="0"/>
        <w:autoSpaceDE w:val="0"/>
        <w:autoSpaceDN w:val="0"/>
        <w:adjustRightInd w:val="0"/>
        <w:spacing w:line="480" w:lineRule="auto"/>
        <w:ind w:left="480" w:hanging="480"/>
        <w:rPr>
          <w:sz w:val="24"/>
          <w:szCs w:val="24"/>
        </w:rPr>
      </w:pPr>
      <w:r>
        <w:rPr>
          <w:sz w:val="24"/>
          <w:szCs w:val="24"/>
        </w:rPr>
        <w:fldChar w:fldCharType="end"/>
      </w:r>
      <w:r w:rsidR="009C5ACE" w:rsidRPr="00784566">
        <w:rPr>
          <w:sz w:val="24"/>
          <w:szCs w:val="24"/>
        </w:rPr>
        <w:t xml:space="preserve">Agnew, D.J., Pearce J., Pramod, G., </w:t>
      </w:r>
      <w:proofErr w:type="spellStart"/>
      <w:r w:rsidR="009C5ACE" w:rsidRPr="00784566">
        <w:rPr>
          <w:sz w:val="24"/>
          <w:szCs w:val="24"/>
        </w:rPr>
        <w:t>Peatman</w:t>
      </w:r>
      <w:proofErr w:type="spellEnd"/>
      <w:r w:rsidR="009C5ACE" w:rsidRPr="00784566">
        <w:rPr>
          <w:sz w:val="24"/>
          <w:szCs w:val="24"/>
        </w:rPr>
        <w:t xml:space="preserve">, T., Watson, R., Beddington, J.R., Pitcher, T.J., 2009. Estimating the worldwide extent of illegal fishing. </w:t>
      </w:r>
      <w:proofErr w:type="spellStart"/>
      <w:r w:rsidR="009C5ACE" w:rsidRPr="00784566">
        <w:rPr>
          <w:sz w:val="24"/>
          <w:szCs w:val="24"/>
        </w:rPr>
        <w:t>PLoS</w:t>
      </w:r>
      <w:proofErr w:type="spellEnd"/>
      <w:r w:rsidR="009C5ACE" w:rsidRPr="00784566">
        <w:rPr>
          <w:sz w:val="24"/>
          <w:szCs w:val="24"/>
        </w:rPr>
        <w:t xml:space="preserve"> One 4. doi:10.1371/journal.pone.0004570.</w:t>
      </w:r>
    </w:p>
    <w:p w:rsidR="009C5ACE" w:rsidRPr="00784566" w:rsidRDefault="009C5ACE">
      <w:pPr>
        <w:widowControl w:val="0"/>
        <w:spacing w:line="480" w:lineRule="auto"/>
        <w:ind w:left="480" w:hanging="480"/>
        <w:rPr>
          <w:sz w:val="24"/>
          <w:szCs w:val="24"/>
          <w:lang w:val="es-ES"/>
        </w:rPr>
      </w:pPr>
      <w:r w:rsidRPr="00784566">
        <w:rPr>
          <w:sz w:val="24"/>
          <w:szCs w:val="24"/>
          <w:lang w:val="es-ES"/>
        </w:rPr>
        <w:t xml:space="preserve">Álvarez-Borrego, S., 2008. Oceanografía de la región de las grandes islas. In: G.D. </w:t>
      </w:r>
      <w:proofErr w:type="spellStart"/>
      <w:r w:rsidRPr="00784566">
        <w:rPr>
          <w:sz w:val="24"/>
          <w:szCs w:val="24"/>
          <w:lang w:val="es-ES"/>
        </w:rPr>
        <w:t>Danemann</w:t>
      </w:r>
      <w:proofErr w:type="spellEnd"/>
      <w:r w:rsidRPr="00784566">
        <w:rPr>
          <w:sz w:val="24"/>
          <w:szCs w:val="24"/>
          <w:lang w:val="es-ES"/>
        </w:rPr>
        <w:t xml:space="preserve"> y E. Ezcurra, editor. Bahía de Los Ángeles: recursos naturales y comunidad. Línea Base 2007. </w:t>
      </w:r>
      <w:proofErr w:type="spellStart"/>
      <w:r w:rsidRPr="00784566">
        <w:rPr>
          <w:sz w:val="24"/>
          <w:szCs w:val="24"/>
          <w:lang w:val="es-ES"/>
        </w:rPr>
        <w:t>Mexico</w:t>
      </w:r>
      <w:proofErr w:type="spellEnd"/>
      <w:r w:rsidRPr="00784566">
        <w:rPr>
          <w:sz w:val="24"/>
          <w:szCs w:val="24"/>
          <w:lang w:val="es-ES"/>
        </w:rPr>
        <w:t xml:space="preserve"> City: Pronatura Noroeste A.C. – SEMARNAT –INE y Museo de Historia Natural de San Diego. p. 45–65.</w:t>
      </w:r>
    </w:p>
    <w:p w:rsidR="009C5ACE" w:rsidRPr="00784566" w:rsidRDefault="009C5ACE" w:rsidP="00CA3C2A">
      <w:pPr>
        <w:widowControl w:val="0"/>
        <w:spacing w:line="480" w:lineRule="auto"/>
        <w:ind w:left="480" w:hanging="480"/>
        <w:rPr>
          <w:sz w:val="24"/>
          <w:szCs w:val="24"/>
          <w:lang w:val="es-ES"/>
        </w:rPr>
      </w:pPr>
      <w:r w:rsidRPr="00784566">
        <w:rPr>
          <w:sz w:val="24"/>
          <w:szCs w:val="24"/>
        </w:rPr>
        <w:t xml:space="preserve">Andrew, N. L., </w:t>
      </w:r>
      <w:proofErr w:type="spellStart"/>
      <w:r w:rsidRPr="00784566">
        <w:rPr>
          <w:sz w:val="24"/>
          <w:szCs w:val="24"/>
        </w:rPr>
        <w:t>Mapstone</w:t>
      </w:r>
      <w:proofErr w:type="spellEnd"/>
      <w:r w:rsidRPr="00784566">
        <w:rPr>
          <w:sz w:val="24"/>
          <w:szCs w:val="24"/>
        </w:rPr>
        <w:t xml:space="preserve">, B. D., 1987. Sampling and the description of spatial pattern in marine ecology. </w:t>
      </w:r>
      <w:proofErr w:type="spellStart"/>
      <w:r w:rsidRPr="00784566">
        <w:rPr>
          <w:sz w:val="24"/>
          <w:szCs w:val="24"/>
          <w:lang w:val="es-ES"/>
        </w:rPr>
        <w:t>Oceanogr</w:t>
      </w:r>
      <w:proofErr w:type="spellEnd"/>
      <w:r w:rsidRPr="00784566">
        <w:rPr>
          <w:sz w:val="24"/>
          <w:szCs w:val="24"/>
          <w:lang w:val="es-ES"/>
        </w:rPr>
        <w:t>.  Mar. Biol., 25, 39-90.</w:t>
      </w:r>
    </w:p>
    <w:p w:rsidR="009C5ACE" w:rsidRPr="00784566" w:rsidRDefault="009C5ACE">
      <w:pPr>
        <w:widowControl w:val="0"/>
        <w:spacing w:line="480" w:lineRule="auto"/>
        <w:ind w:left="480" w:hanging="480"/>
        <w:rPr>
          <w:sz w:val="24"/>
          <w:szCs w:val="24"/>
          <w:lang w:val="es-ES"/>
        </w:rPr>
      </w:pPr>
      <w:r w:rsidRPr="00784566">
        <w:rPr>
          <w:sz w:val="24"/>
          <w:szCs w:val="24"/>
          <w:lang w:val="es-ES"/>
        </w:rPr>
        <w:t>Anonymous. 2007. DECRETO por el que se declara área natural protegida, con la categoría de reserva de la biosfera, la zona marina conocida como Bahía de los Ángeles, canales de Ballenas y de Salsipuedes, comprendiendo la zona federal marítimo terrestre correspondiente a l. :11.</w:t>
      </w:r>
    </w:p>
    <w:p w:rsidR="009C5ACE" w:rsidRPr="00784566" w:rsidRDefault="009C5ACE">
      <w:pPr>
        <w:widowControl w:val="0"/>
        <w:spacing w:line="480" w:lineRule="auto"/>
        <w:rPr>
          <w:rFonts w:eastAsia="Times New Roman" w:cs="Times New Roman"/>
          <w:sz w:val="24"/>
          <w:szCs w:val="24"/>
        </w:rPr>
      </w:pPr>
      <w:r w:rsidRPr="00784566">
        <w:rPr>
          <w:rFonts w:eastAsia="Times New Roman" w:cs="Times New Roman"/>
          <w:sz w:val="24"/>
          <w:szCs w:val="24"/>
          <w:lang w:val="es-ES"/>
        </w:rPr>
        <w:t xml:space="preserve">Anonymous. 2018. Anuario Estadístico de Pesca y Acuicultura 2015. </w:t>
      </w:r>
      <w:r w:rsidRPr="00784566">
        <w:rPr>
          <w:rFonts w:eastAsia="Times New Roman" w:cs="Times New Roman"/>
          <w:sz w:val="24"/>
          <w:szCs w:val="24"/>
        </w:rPr>
        <w:t>Mazatlán.</w:t>
      </w:r>
    </w:p>
    <w:p w:rsidR="009C5ACE" w:rsidRPr="005E700B" w:rsidRDefault="009C5ACE" w:rsidP="005E700B">
      <w:pPr>
        <w:widowControl w:val="0"/>
        <w:autoSpaceDE w:val="0"/>
        <w:autoSpaceDN w:val="0"/>
        <w:adjustRightInd w:val="0"/>
        <w:spacing w:line="480" w:lineRule="auto"/>
        <w:ind w:left="480" w:hanging="480"/>
        <w:rPr>
          <w:noProof/>
          <w:sz w:val="24"/>
          <w:lang w:val="en-US"/>
        </w:rPr>
      </w:pPr>
      <w:r w:rsidRPr="005E700B">
        <w:rPr>
          <w:noProof/>
          <w:sz w:val="24"/>
          <w:lang w:val="en-US"/>
        </w:rPr>
        <w:t>Bakka, H., Vanhatalo, J., Illian, J. B., Simpson, D., &amp; Rue, H. (2019). Non-stationary Gaussian models with physical barriers</w:t>
      </w:r>
      <w:r w:rsidRPr="009C5ACE">
        <w:rPr>
          <w:noProof/>
          <w:sz w:val="24"/>
          <w:lang w:val="en-US"/>
        </w:rPr>
        <w:t xml:space="preserve">. </w:t>
      </w:r>
      <w:r w:rsidRPr="009C5ACE">
        <w:rPr>
          <w:iCs/>
          <w:noProof/>
          <w:sz w:val="24"/>
          <w:lang w:val="en-US"/>
        </w:rPr>
        <w:t>Spatial Statistics</w:t>
      </w:r>
      <w:r w:rsidRPr="009C5ACE">
        <w:rPr>
          <w:noProof/>
          <w:sz w:val="24"/>
          <w:lang w:val="en-US"/>
        </w:rPr>
        <w:t xml:space="preserve">, </w:t>
      </w:r>
      <w:r w:rsidRPr="009C5ACE">
        <w:rPr>
          <w:iCs/>
          <w:noProof/>
          <w:sz w:val="24"/>
          <w:lang w:val="en-US"/>
        </w:rPr>
        <w:t>29</w:t>
      </w:r>
      <w:r w:rsidRPr="005E700B">
        <w:rPr>
          <w:noProof/>
          <w:sz w:val="24"/>
          <w:lang w:val="en-US"/>
        </w:rPr>
        <w:t>, 268–288. https://doi.org/https://doi.org/10.1016/j.spasta.2019.01.002</w:t>
      </w:r>
    </w:p>
    <w:p w:rsidR="009C5ACE" w:rsidRPr="00784566" w:rsidRDefault="009C5ACE" w:rsidP="008F253A">
      <w:pPr>
        <w:widowControl w:val="0"/>
        <w:spacing w:line="480" w:lineRule="auto"/>
        <w:ind w:left="480" w:hanging="480"/>
        <w:rPr>
          <w:sz w:val="24"/>
          <w:szCs w:val="24"/>
        </w:rPr>
      </w:pPr>
      <w:r w:rsidRPr="00784566">
        <w:rPr>
          <w:sz w:val="24"/>
          <w:szCs w:val="24"/>
          <w:lang w:val="de-DE"/>
        </w:rPr>
        <w:lastRenderedPageBreak/>
        <w:t xml:space="preserve">Banerjee, S., Carlin, B. P., Gelfand, A. E., 2004. </w:t>
      </w:r>
      <w:r w:rsidRPr="00784566">
        <w:rPr>
          <w:sz w:val="24"/>
          <w:szCs w:val="24"/>
        </w:rPr>
        <w:t xml:space="preserve">Hierarchical </w:t>
      </w:r>
      <w:proofErr w:type="spellStart"/>
      <w:r w:rsidRPr="00784566">
        <w:rPr>
          <w:sz w:val="24"/>
          <w:szCs w:val="24"/>
        </w:rPr>
        <w:t>modeling</w:t>
      </w:r>
      <w:proofErr w:type="spellEnd"/>
      <w:r w:rsidRPr="00784566">
        <w:rPr>
          <w:sz w:val="24"/>
          <w:szCs w:val="24"/>
        </w:rPr>
        <w:t xml:space="preserve"> and analysis for spatial data. Chapman and Hall/CRC.</w:t>
      </w:r>
    </w:p>
    <w:p w:rsidR="009C5ACE" w:rsidRPr="00784566" w:rsidRDefault="009C5ACE" w:rsidP="008F253A">
      <w:pPr>
        <w:widowControl w:val="0"/>
        <w:spacing w:line="480" w:lineRule="auto"/>
        <w:ind w:left="480" w:hanging="480"/>
        <w:rPr>
          <w:sz w:val="24"/>
          <w:szCs w:val="24"/>
        </w:rPr>
      </w:pPr>
      <w:r w:rsidRPr="00784566">
        <w:rPr>
          <w:sz w:val="24"/>
          <w:szCs w:val="24"/>
        </w:rPr>
        <w:t xml:space="preserve">Calderon-Aguilera, L.E. 2019. Illegal fishing of the sea cucumber </w:t>
      </w:r>
      <w:proofErr w:type="spellStart"/>
      <w:r w:rsidRPr="00784566">
        <w:rPr>
          <w:i/>
          <w:iCs/>
          <w:sz w:val="24"/>
          <w:szCs w:val="24"/>
        </w:rPr>
        <w:t>Isostichopus</w:t>
      </w:r>
      <w:proofErr w:type="spellEnd"/>
      <w:r w:rsidRPr="00784566">
        <w:rPr>
          <w:i/>
          <w:iCs/>
          <w:sz w:val="24"/>
          <w:szCs w:val="24"/>
        </w:rPr>
        <w:t xml:space="preserve"> </w:t>
      </w:r>
      <w:proofErr w:type="spellStart"/>
      <w:r w:rsidRPr="00784566">
        <w:rPr>
          <w:i/>
          <w:iCs/>
          <w:sz w:val="24"/>
          <w:szCs w:val="24"/>
        </w:rPr>
        <w:t>fuscus</w:t>
      </w:r>
      <w:proofErr w:type="spellEnd"/>
      <w:r w:rsidRPr="00784566">
        <w:rPr>
          <w:sz w:val="24"/>
          <w:szCs w:val="24"/>
        </w:rPr>
        <w:t xml:space="preserve"> is rampant in the Gulf of California, Mexico. SPC </w:t>
      </w:r>
      <w:proofErr w:type="spellStart"/>
      <w:r w:rsidRPr="00784566">
        <w:rPr>
          <w:sz w:val="24"/>
          <w:szCs w:val="24"/>
        </w:rPr>
        <w:t>Beche</w:t>
      </w:r>
      <w:proofErr w:type="spellEnd"/>
      <w:r w:rsidRPr="00784566">
        <w:rPr>
          <w:sz w:val="24"/>
          <w:szCs w:val="24"/>
        </w:rPr>
        <w:t>-de-</w:t>
      </w:r>
      <w:proofErr w:type="spellStart"/>
      <w:r w:rsidRPr="00784566">
        <w:rPr>
          <w:sz w:val="24"/>
          <w:szCs w:val="24"/>
        </w:rPr>
        <w:t>mer</w:t>
      </w:r>
      <w:proofErr w:type="spellEnd"/>
      <w:r w:rsidRPr="00784566">
        <w:rPr>
          <w:sz w:val="24"/>
          <w:szCs w:val="24"/>
        </w:rPr>
        <w:t xml:space="preserve"> Inf. Bull. 39: 42-49.</w:t>
      </w:r>
    </w:p>
    <w:p w:rsidR="009C5ACE" w:rsidRPr="00784566" w:rsidRDefault="009C5ACE">
      <w:pPr>
        <w:widowControl w:val="0"/>
        <w:spacing w:line="480" w:lineRule="auto"/>
        <w:ind w:left="480" w:hanging="480"/>
        <w:rPr>
          <w:sz w:val="24"/>
          <w:szCs w:val="24"/>
          <w:lang w:val="pt-PT"/>
        </w:rPr>
      </w:pPr>
      <w:proofErr w:type="spellStart"/>
      <w:r w:rsidRPr="00784566">
        <w:rPr>
          <w:sz w:val="24"/>
          <w:szCs w:val="24"/>
        </w:rPr>
        <w:t>Castrejón</w:t>
      </w:r>
      <w:proofErr w:type="spellEnd"/>
      <w:r w:rsidRPr="00784566">
        <w:rPr>
          <w:sz w:val="24"/>
          <w:szCs w:val="24"/>
        </w:rPr>
        <w:t>, M., Charles, A., 2013. Improving fisheries co-management through ecosystem-based spatial management: The Galapagos Marine Reserve. Mar Policy. 38:235–</w:t>
      </w:r>
      <w:r w:rsidRPr="00784566">
        <w:rPr>
          <w:sz w:val="24"/>
          <w:szCs w:val="24"/>
          <w:lang w:val="pt-PT"/>
        </w:rPr>
        <w:t>245. doi:10.1016/j.marpol.2012.05.040.</w:t>
      </w:r>
    </w:p>
    <w:p w:rsidR="009C5ACE" w:rsidRPr="00784566" w:rsidRDefault="009C5ACE">
      <w:pPr>
        <w:widowControl w:val="0"/>
        <w:spacing w:line="480" w:lineRule="auto"/>
        <w:ind w:left="480" w:hanging="480"/>
        <w:rPr>
          <w:sz w:val="24"/>
          <w:szCs w:val="24"/>
        </w:rPr>
      </w:pPr>
      <w:r w:rsidRPr="00784566">
        <w:rPr>
          <w:sz w:val="24"/>
          <w:szCs w:val="24"/>
          <w:lang w:val="pt-PT"/>
        </w:rPr>
        <w:t xml:space="preserve">Cisneros-Montemayor, A.M., Cisneros-Mata, M.A., Harper, S., Pauly, D., 2013. </w:t>
      </w:r>
      <w:r w:rsidRPr="00784566">
        <w:rPr>
          <w:sz w:val="24"/>
          <w:szCs w:val="24"/>
        </w:rPr>
        <w:t>Extent and implications of IUU catch in Mexico’s marine fisheries. Mar. Policy 39:283–288. doi:10.1016/j.marpol.2012.12.003.</w:t>
      </w:r>
    </w:p>
    <w:p w:rsidR="009C5ACE" w:rsidRPr="00784566" w:rsidRDefault="009C5ACE">
      <w:pPr>
        <w:widowControl w:val="0"/>
        <w:spacing w:line="480" w:lineRule="auto"/>
        <w:ind w:left="480" w:hanging="480"/>
        <w:rPr>
          <w:sz w:val="24"/>
          <w:szCs w:val="24"/>
        </w:rPr>
      </w:pPr>
      <w:r w:rsidRPr="00784566">
        <w:rPr>
          <w:sz w:val="24"/>
          <w:szCs w:val="24"/>
        </w:rPr>
        <w:t xml:space="preserve">CITES. 2017. Convention on International Trade of Endangered Species of Wild Fauna and Flora. </w:t>
      </w:r>
      <w:hyperlink r:id="rId17" w:history="1">
        <w:r w:rsidRPr="00784566">
          <w:rPr>
            <w:rStyle w:val="Hyperlink"/>
            <w:sz w:val="24"/>
            <w:szCs w:val="24"/>
          </w:rPr>
          <w:t>https://www.cites.org/</w:t>
        </w:r>
      </w:hyperlink>
    </w:p>
    <w:p w:rsidR="009C5ACE" w:rsidRPr="00784566" w:rsidRDefault="00EC0010" w:rsidP="007E2EA4">
      <w:pPr>
        <w:widowControl w:val="0"/>
        <w:spacing w:line="480" w:lineRule="auto"/>
        <w:ind w:left="480" w:hanging="480"/>
        <w:rPr>
          <w:sz w:val="24"/>
          <w:szCs w:val="24"/>
        </w:rPr>
      </w:pPr>
      <w:proofErr w:type="spellStart"/>
      <w:r>
        <w:rPr>
          <w:sz w:val="24"/>
          <w:szCs w:val="24"/>
        </w:rPr>
        <w:t>Conand</w:t>
      </w:r>
      <w:proofErr w:type="spellEnd"/>
      <w:r>
        <w:rPr>
          <w:sz w:val="24"/>
          <w:szCs w:val="24"/>
        </w:rPr>
        <w:t xml:space="preserve">, C. </w:t>
      </w:r>
      <w:r w:rsidR="009C5ACE" w:rsidRPr="00784566">
        <w:rPr>
          <w:sz w:val="24"/>
          <w:szCs w:val="24"/>
        </w:rPr>
        <w:t xml:space="preserve">1990. The fishery resources of Pacific Island countries. Part 2: Holothurians. F.A.O. Fish. Tech. Pap., </w:t>
      </w:r>
      <w:proofErr w:type="gramStart"/>
      <w:r w:rsidR="009C5ACE" w:rsidRPr="00784566">
        <w:rPr>
          <w:sz w:val="24"/>
          <w:szCs w:val="24"/>
        </w:rPr>
        <w:t>N.º</w:t>
      </w:r>
      <w:proofErr w:type="gramEnd"/>
      <w:r w:rsidR="009C5ACE" w:rsidRPr="00784566">
        <w:rPr>
          <w:sz w:val="24"/>
          <w:szCs w:val="24"/>
        </w:rPr>
        <w:t xml:space="preserve"> 272.2, 143 pp. Available at: http://www.fao.org/docrep/pdf/008/t0293e/t0293e03.pdf</w:t>
      </w:r>
    </w:p>
    <w:p w:rsidR="009C5ACE" w:rsidRPr="00784566" w:rsidRDefault="009C5ACE" w:rsidP="0089000A">
      <w:pPr>
        <w:widowControl w:val="0"/>
        <w:spacing w:line="480" w:lineRule="auto"/>
        <w:ind w:left="480" w:hanging="480"/>
        <w:rPr>
          <w:sz w:val="24"/>
          <w:szCs w:val="24"/>
        </w:rPr>
      </w:pPr>
      <w:proofErr w:type="spellStart"/>
      <w:r w:rsidRPr="00784566">
        <w:rPr>
          <w:sz w:val="24"/>
          <w:szCs w:val="24"/>
        </w:rPr>
        <w:t>Conand</w:t>
      </w:r>
      <w:proofErr w:type="spellEnd"/>
      <w:r w:rsidRPr="00784566">
        <w:rPr>
          <w:sz w:val="24"/>
          <w:szCs w:val="24"/>
        </w:rPr>
        <w:t>, C. 2017. Expansion of global sea cucumber fisheries buoys exports. Rev. Biol. Trop. 65:S1–S10.</w:t>
      </w:r>
      <w:r w:rsidRPr="005D3DA2">
        <w:t xml:space="preserve"> </w:t>
      </w:r>
      <w:r w:rsidRPr="00784566">
        <w:rPr>
          <w:sz w:val="24"/>
          <w:szCs w:val="24"/>
        </w:rPr>
        <w:t>https://doi.org/10.15517/rbt.v65i1-1.31661</w:t>
      </w:r>
    </w:p>
    <w:p w:rsidR="009C5ACE" w:rsidRPr="00784566" w:rsidRDefault="009C5ACE">
      <w:pPr>
        <w:widowControl w:val="0"/>
        <w:spacing w:line="480" w:lineRule="auto"/>
        <w:ind w:left="480" w:hanging="480"/>
        <w:rPr>
          <w:sz w:val="24"/>
          <w:szCs w:val="24"/>
        </w:rPr>
      </w:pPr>
      <w:proofErr w:type="spellStart"/>
      <w:r w:rsidRPr="00784566">
        <w:rPr>
          <w:sz w:val="24"/>
          <w:szCs w:val="24"/>
        </w:rPr>
        <w:t>Conand</w:t>
      </w:r>
      <w:proofErr w:type="spellEnd"/>
      <w:r w:rsidRPr="00784566">
        <w:rPr>
          <w:sz w:val="24"/>
          <w:szCs w:val="24"/>
        </w:rPr>
        <w:t xml:space="preserve">, C. 2018. Recent information on worldwide illegal fisheries for sea cucumbers. SPC </w:t>
      </w:r>
      <w:proofErr w:type="spellStart"/>
      <w:r w:rsidRPr="00784566">
        <w:rPr>
          <w:sz w:val="24"/>
          <w:szCs w:val="24"/>
        </w:rPr>
        <w:t>Beche</w:t>
      </w:r>
      <w:proofErr w:type="spellEnd"/>
      <w:r w:rsidRPr="00784566">
        <w:rPr>
          <w:sz w:val="24"/>
          <w:szCs w:val="24"/>
        </w:rPr>
        <w:t>-de-</w:t>
      </w:r>
      <w:proofErr w:type="spellStart"/>
      <w:r w:rsidRPr="00784566">
        <w:rPr>
          <w:sz w:val="24"/>
          <w:szCs w:val="24"/>
        </w:rPr>
        <w:t>mer</w:t>
      </w:r>
      <w:proofErr w:type="spellEnd"/>
      <w:r w:rsidRPr="00784566">
        <w:rPr>
          <w:sz w:val="24"/>
          <w:szCs w:val="24"/>
        </w:rPr>
        <w:t xml:space="preserve"> Inf. Bull. 38:68–71. </w:t>
      </w:r>
    </w:p>
    <w:p w:rsidR="009C5ACE" w:rsidRPr="00784566" w:rsidRDefault="009C5ACE" w:rsidP="008F253A">
      <w:pPr>
        <w:widowControl w:val="0"/>
        <w:spacing w:line="480" w:lineRule="auto"/>
        <w:ind w:left="480" w:hanging="480"/>
        <w:rPr>
          <w:sz w:val="24"/>
          <w:szCs w:val="24"/>
        </w:rPr>
      </w:pPr>
      <w:proofErr w:type="spellStart"/>
      <w:r w:rsidRPr="00784566">
        <w:rPr>
          <w:sz w:val="24"/>
          <w:szCs w:val="24"/>
        </w:rPr>
        <w:t>Cosandey</w:t>
      </w:r>
      <w:proofErr w:type="spellEnd"/>
      <w:r w:rsidRPr="00784566">
        <w:rPr>
          <w:sz w:val="24"/>
          <w:szCs w:val="24"/>
        </w:rPr>
        <w:t xml:space="preserve">-Godin, A., </w:t>
      </w:r>
      <w:proofErr w:type="spellStart"/>
      <w:r w:rsidRPr="00784566">
        <w:rPr>
          <w:sz w:val="24"/>
          <w:szCs w:val="24"/>
        </w:rPr>
        <w:t>Krainski</w:t>
      </w:r>
      <w:proofErr w:type="spellEnd"/>
      <w:r w:rsidRPr="00784566">
        <w:rPr>
          <w:sz w:val="24"/>
          <w:szCs w:val="24"/>
        </w:rPr>
        <w:t xml:space="preserve">, E. T., Worm, B., </w:t>
      </w:r>
      <w:proofErr w:type="spellStart"/>
      <w:r w:rsidRPr="00784566">
        <w:rPr>
          <w:sz w:val="24"/>
          <w:szCs w:val="24"/>
        </w:rPr>
        <w:t>Flemming</w:t>
      </w:r>
      <w:proofErr w:type="spellEnd"/>
      <w:r w:rsidRPr="00784566">
        <w:rPr>
          <w:sz w:val="24"/>
          <w:szCs w:val="24"/>
        </w:rPr>
        <w:t xml:space="preserve">, J. M., 2015. Applying Bayesian spatiotemporal models to fisheries bycatch in the Canadian Arctic. Canadian Journal of </w:t>
      </w:r>
      <w:r w:rsidRPr="00784566">
        <w:rPr>
          <w:sz w:val="24"/>
          <w:szCs w:val="24"/>
        </w:rPr>
        <w:lastRenderedPageBreak/>
        <w:t>Fisheries and Aquatic Sciences, 72(2), 186–197. https://doi.org/10.1139/cjfas-2014-0159</w:t>
      </w:r>
    </w:p>
    <w:p w:rsidR="009C5ACE" w:rsidRPr="00784566" w:rsidRDefault="009C5ACE">
      <w:pPr>
        <w:widowControl w:val="0"/>
        <w:spacing w:line="480" w:lineRule="auto"/>
        <w:ind w:left="480" w:hanging="480"/>
        <w:rPr>
          <w:sz w:val="24"/>
          <w:szCs w:val="24"/>
          <w:lang w:val="es-ES"/>
        </w:rPr>
      </w:pPr>
      <w:r w:rsidRPr="00784566">
        <w:rPr>
          <w:sz w:val="24"/>
          <w:szCs w:val="24"/>
          <w:lang w:val="es-ES"/>
        </w:rPr>
        <w:t xml:space="preserve">DOF. 1994. NORMA Oficial Mexicana NOM-059-ECOL-1994, que determina las especies y subespecies de flora y fauna silvestres terrestres y acuáticas en peligro de extinción, amenazadas, raras y las sujetas a protección especial, y que establece especificaciones para su protección. 16 de mayo de 1994. Diario Oficial de la Federación, México. </w:t>
      </w:r>
      <w:proofErr w:type="spellStart"/>
      <w:r w:rsidRPr="00784566">
        <w:rPr>
          <w:sz w:val="24"/>
          <w:szCs w:val="24"/>
          <w:lang w:val="es-ES"/>
        </w:rPr>
        <w:t>Available</w:t>
      </w:r>
      <w:proofErr w:type="spellEnd"/>
      <w:r w:rsidRPr="00784566">
        <w:rPr>
          <w:sz w:val="24"/>
          <w:szCs w:val="24"/>
          <w:lang w:val="es-ES"/>
        </w:rPr>
        <w:t xml:space="preserve"> at: http://www.dof.gob.mx/nota_detalle.php?codigo=4695637&amp;fecha=16/05/1994</w:t>
      </w:r>
    </w:p>
    <w:p w:rsidR="009C5ACE" w:rsidRPr="00090D64" w:rsidRDefault="009C5ACE">
      <w:pPr>
        <w:widowControl w:val="0"/>
        <w:spacing w:line="480" w:lineRule="auto"/>
        <w:ind w:left="480" w:hanging="480"/>
        <w:rPr>
          <w:sz w:val="24"/>
          <w:szCs w:val="24"/>
        </w:rPr>
      </w:pPr>
      <w:r w:rsidRPr="00784566">
        <w:rPr>
          <w:sz w:val="24"/>
          <w:szCs w:val="24"/>
          <w:lang w:val="es-ES"/>
        </w:rPr>
        <w:t xml:space="preserve">DOF. 2010. Norma Oficial Mexicana. NOM-059-SEMARNAT-2010, Protección ambiental Especies nativas de México de flora y fauna silvestres – Categorías de riesgo y especificaciones para su inclusión, exclusión o cambio – Lista de especies en riesgo, 27 de noviembre de 2010. Diario Oficial de la Federación, México. </w:t>
      </w:r>
      <w:r w:rsidRPr="00090D64">
        <w:rPr>
          <w:sz w:val="24"/>
          <w:szCs w:val="24"/>
        </w:rPr>
        <w:t xml:space="preserve">Available at: </w:t>
      </w:r>
      <w:hyperlink r:id="rId18" w:history="1">
        <w:r w:rsidRPr="00090D64">
          <w:rPr>
            <w:rStyle w:val="Hyperlink"/>
            <w:sz w:val="24"/>
            <w:szCs w:val="24"/>
          </w:rPr>
          <w:t>http://dof.gob.mx/nota_detalle_popup.php?codigo=5173091</w:t>
        </w:r>
      </w:hyperlink>
      <w:r w:rsidRPr="00090D64">
        <w:rPr>
          <w:sz w:val="24"/>
          <w:szCs w:val="24"/>
        </w:rPr>
        <w:t xml:space="preserve"> </w:t>
      </w:r>
    </w:p>
    <w:p w:rsidR="009C5ACE" w:rsidRPr="00784566" w:rsidRDefault="009C5ACE">
      <w:pPr>
        <w:widowControl w:val="0"/>
        <w:spacing w:line="480" w:lineRule="auto"/>
        <w:ind w:left="480" w:hanging="480"/>
        <w:rPr>
          <w:sz w:val="24"/>
          <w:szCs w:val="24"/>
          <w:lang w:val="es-ES"/>
        </w:rPr>
      </w:pPr>
      <w:r w:rsidRPr="00784566">
        <w:rPr>
          <w:sz w:val="24"/>
          <w:szCs w:val="24"/>
          <w:lang w:val="es-ES"/>
        </w:rPr>
        <w:t>DOF. 2018. Acuerdo por el que se da a conocer la actualización de la Carta Nacional Pesquera. Diario Oficial de la Federación, México. 106 pp.</w:t>
      </w:r>
    </w:p>
    <w:p w:rsidR="009C5ACE" w:rsidRPr="005E700B" w:rsidRDefault="009C5ACE" w:rsidP="005E700B">
      <w:pPr>
        <w:widowControl w:val="0"/>
        <w:autoSpaceDE w:val="0"/>
        <w:autoSpaceDN w:val="0"/>
        <w:adjustRightInd w:val="0"/>
        <w:spacing w:line="480" w:lineRule="auto"/>
        <w:ind w:left="480" w:hanging="480"/>
        <w:rPr>
          <w:noProof/>
          <w:sz w:val="24"/>
          <w:lang w:val="en-US"/>
        </w:rPr>
      </w:pPr>
      <w:r w:rsidRPr="007A2E39">
        <w:rPr>
          <w:noProof/>
          <w:sz w:val="24"/>
          <w:lang w:val="es-MX"/>
        </w:rPr>
        <w:t xml:space="preserve">Fuglstad, G.-A., Simpson, D., Lindgren, F., &amp; Rue, H. (2018). </w:t>
      </w:r>
      <w:r w:rsidRPr="005E700B">
        <w:rPr>
          <w:noProof/>
          <w:sz w:val="24"/>
          <w:lang w:val="en-US"/>
        </w:rPr>
        <w:t xml:space="preserve">Constructing Priors that Penalize the Complexity of Gaussian Random Fields. </w:t>
      </w:r>
      <w:r w:rsidRPr="009C5ACE">
        <w:rPr>
          <w:iCs/>
          <w:noProof/>
          <w:sz w:val="24"/>
          <w:lang w:val="en-US"/>
        </w:rPr>
        <w:t>Journal of the American Statistical Association</w:t>
      </w:r>
      <w:r w:rsidRPr="005E700B">
        <w:rPr>
          <w:noProof/>
          <w:sz w:val="24"/>
          <w:lang w:val="en-US"/>
        </w:rPr>
        <w:t>, 1–8. https://doi.org/10.1080/01621459.2017.1415907</w:t>
      </w:r>
    </w:p>
    <w:p w:rsidR="009C5ACE" w:rsidRPr="00784566" w:rsidRDefault="009C5ACE">
      <w:pPr>
        <w:widowControl w:val="0"/>
        <w:spacing w:line="480" w:lineRule="auto"/>
        <w:ind w:left="480" w:hanging="480"/>
        <w:rPr>
          <w:sz w:val="24"/>
          <w:szCs w:val="24"/>
        </w:rPr>
      </w:pPr>
      <w:r w:rsidRPr="00EC0010">
        <w:rPr>
          <w:sz w:val="24"/>
          <w:szCs w:val="24"/>
          <w:lang w:val="en-US"/>
        </w:rPr>
        <w:t>Glockner-Fagetti, A., Calderon-Aguilera, L.E., Herrero-</w:t>
      </w:r>
      <w:proofErr w:type="spellStart"/>
      <w:r w:rsidRPr="00EC0010">
        <w:rPr>
          <w:sz w:val="24"/>
          <w:szCs w:val="24"/>
          <w:lang w:val="en-US"/>
        </w:rPr>
        <w:t>Pérezrul</w:t>
      </w:r>
      <w:proofErr w:type="spellEnd"/>
      <w:r w:rsidRPr="00EC0010">
        <w:rPr>
          <w:sz w:val="24"/>
          <w:szCs w:val="24"/>
          <w:lang w:val="en-US"/>
        </w:rPr>
        <w:t xml:space="preserve">, M.D., 2016. </w:t>
      </w:r>
      <w:r w:rsidRPr="00784566">
        <w:rPr>
          <w:sz w:val="24"/>
          <w:szCs w:val="24"/>
        </w:rPr>
        <w:t xml:space="preserve">Density decrease in an exploited population of brown sea cucumber </w:t>
      </w:r>
      <w:proofErr w:type="spellStart"/>
      <w:r w:rsidRPr="00784566">
        <w:rPr>
          <w:i/>
          <w:iCs/>
          <w:sz w:val="24"/>
          <w:szCs w:val="24"/>
        </w:rPr>
        <w:t>Isostichopus</w:t>
      </w:r>
      <w:proofErr w:type="spellEnd"/>
      <w:r w:rsidRPr="00784566">
        <w:rPr>
          <w:i/>
          <w:iCs/>
          <w:sz w:val="24"/>
          <w:szCs w:val="24"/>
        </w:rPr>
        <w:t xml:space="preserve"> </w:t>
      </w:r>
      <w:proofErr w:type="spellStart"/>
      <w:r w:rsidRPr="00784566">
        <w:rPr>
          <w:i/>
          <w:iCs/>
          <w:sz w:val="24"/>
          <w:szCs w:val="24"/>
        </w:rPr>
        <w:t>fuscus</w:t>
      </w:r>
      <w:proofErr w:type="spellEnd"/>
      <w:r w:rsidRPr="00784566">
        <w:rPr>
          <w:sz w:val="24"/>
          <w:szCs w:val="24"/>
        </w:rPr>
        <w:t xml:space="preserve"> in a biosphere reserve from the Baja California peninsula, Mexico. Ocean Coast. </w:t>
      </w:r>
      <w:proofErr w:type="spellStart"/>
      <w:r w:rsidRPr="00784566">
        <w:rPr>
          <w:sz w:val="24"/>
          <w:szCs w:val="24"/>
        </w:rPr>
        <w:t>Manag</w:t>
      </w:r>
      <w:proofErr w:type="spellEnd"/>
      <w:r w:rsidRPr="00784566">
        <w:rPr>
          <w:sz w:val="24"/>
          <w:szCs w:val="24"/>
        </w:rPr>
        <w:t>. 121:49–59. doi:10.1016/j.ocecoaman.2015.12.009.</w:t>
      </w:r>
    </w:p>
    <w:p w:rsidR="009C5ACE" w:rsidRPr="00784566" w:rsidRDefault="009C5ACE" w:rsidP="008F253A">
      <w:pPr>
        <w:widowControl w:val="0"/>
        <w:spacing w:line="480" w:lineRule="auto"/>
        <w:ind w:left="480" w:hanging="480"/>
        <w:rPr>
          <w:sz w:val="24"/>
          <w:szCs w:val="24"/>
          <w:lang w:val="es-ES"/>
        </w:rPr>
      </w:pPr>
      <w:r w:rsidRPr="00EC0010">
        <w:rPr>
          <w:sz w:val="24"/>
          <w:szCs w:val="24"/>
          <w:lang w:val="en-US"/>
        </w:rPr>
        <w:lastRenderedPageBreak/>
        <w:t>Gonzalez-</w:t>
      </w:r>
      <w:proofErr w:type="spellStart"/>
      <w:r w:rsidRPr="00EC0010">
        <w:rPr>
          <w:sz w:val="24"/>
          <w:szCs w:val="24"/>
          <w:lang w:val="en-US"/>
        </w:rPr>
        <w:t>Wanguemert</w:t>
      </w:r>
      <w:proofErr w:type="spellEnd"/>
      <w:r w:rsidRPr="00EC0010">
        <w:rPr>
          <w:sz w:val="24"/>
          <w:szCs w:val="24"/>
          <w:lang w:val="en-US"/>
        </w:rPr>
        <w:t>, M., Dominguez-</w:t>
      </w:r>
      <w:proofErr w:type="spellStart"/>
      <w:r w:rsidRPr="00EC0010">
        <w:rPr>
          <w:sz w:val="24"/>
          <w:szCs w:val="24"/>
          <w:lang w:val="en-US"/>
        </w:rPr>
        <w:t>Godino</w:t>
      </w:r>
      <w:proofErr w:type="spellEnd"/>
      <w:r w:rsidRPr="00EC0010">
        <w:rPr>
          <w:sz w:val="24"/>
          <w:szCs w:val="24"/>
          <w:lang w:val="en-US"/>
        </w:rPr>
        <w:t xml:space="preserve">, J. A., Canovas, F., 2018. </w:t>
      </w:r>
      <w:r w:rsidRPr="00784566">
        <w:rPr>
          <w:sz w:val="24"/>
          <w:szCs w:val="24"/>
        </w:rPr>
        <w:t xml:space="preserve">The fast development of sea cucumber fisheries in the Mediterranean and NE Atlantic waters: From a new marine resource to its over-exploitation. </w:t>
      </w:r>
      <w:proofErr w:type="spellStart"/>
      <w:r w:rsidRPr="00784566">
        <w:rPr>
          <w:sz w:val="24"/>
          <w:szCs w:val="24"/>
          <w:lang w:val="es-ES"/>
        </w:rPr>
        <w:t>Ocean</w:t>
      </w:r>
      <w:proofErr w:type="spellEnd"/>
      <w:r w:rsidRPr="00784566">
        <w:rPr>
          <w:sz w:val="24"/>
          <w:szCs w:val="24"/>
          <w:lang w:val="es-ES"/>
        </w:rPr>
        <w:t xml:space="preserve"> </w:t>
      </w:r>
      <w:proofErr w:type="spellStart"/>
      <w:r w:rsidRPr="00784566">
        <w:rPr>
          <w:sz w:val="24"/>
          <w:szCs w:val="24"/>
          <w:lang w:val="es-ES"/>
        </w:rPr>
        <w:t>Coast</w:t>
      </w:r>
      <w:proofErr w:type="spellEnd"/>
      <w:r w:rsidRPr="00784566">
        <w:rPr>
          <w:sz w:val="24"/>
          <w:szCs w:val="24"/>
          <w:lang w:val="es-ES"/>
        </w:rPr>
        <w:t xml:space="preserve">. </w:t>
      </w:r>
      <w:proofErr w:type="spellStart"/>
      <w:r w:rsidRPr="00784566">
        <w:rPr>
          <w:sz w:val="24"/>
          <w:szCs w:val="24"/>
          <w:lang w:val="es-ES"/>
        </w:rPr>
        <w:t>Manag</w:t>
      </w:r>
      <w:proofErr w:type="spellEnd"/>
      <w:r w:rsidRPr="00784566">
        <w:rPr>
          <w:sz w:val="24"/>
          <w:szCs w:val="24"/>
          <w:lang w:val="es-ES"/>
        </w:rPr>
        <w:t>. 151, 165–177. https://doi.org/10.1016/j.ocecoaman.2017.10.002</w:t>
      </w:r>
    </w:p>
    <w:p w:rsidR="009C5ACE" w:rsidRPr="00784566" w:rsidRDefault="009C5ACE" w:rsidP="0089000A">
      <w:pPr>
        <w:widowControl w:val="0"/>
        <w:spacing w:line="480" w:lineRule="auto"/>
        <w:ind w:left="480" w:hanging="480"/>
        <w:rPr>
          <w:sz w:val="24"/>
          <w:szCs w:val="24"/>
        </w:rPr>
      </w:pPr>
      <w:r w:rsidRPr="00784566">
        <w:rPr>
          <w:sz w:val="24"/>
          <w:szCs w:val="24"/>
          <w:lang w:val="es-MX"/>
        </w:rPr>
        <w:t xml:space="preserve">Hermosillo-Nuñez, B., Rodríguez-Zaragoza, F., Ortiz, M., Galván-Villa, C., Cupul-Magaña, A., Ríos-Jara, E., 2015. </w:t>
      </w:r>
      <w:r w:rsidRPr="00784566">
        <w:rPr>
          <w:sz w:val="24"/>
          <w:szCs w:val="24"/>
        </w:rPr>
        <w:t>Effect of habitat structure on the most frequent echinoderm species inhabiting coral reef communities at Isla Isabel National Park (Mexico). Community Ecol. 16:125–134. doi:10.1556/168.2015.16.1.14.</w:t>
      </w:r>
    </w:p>
    <w:p w:rsidR="009C5ACE" w:rsidRPr="00784566" w:rsidRDefault="009C5ACE" w:rsidP="009F1622">
      <w:pPr>
        <w:widowControl w:val="0"/>
        <w:spacing w:line="480" w:lineRule="auto"/>
        <w:ind w:left="480" w:hanging="480"/>
        <w:rPr>
          <w:sz w:val="24"/>
          <w:szCs w:val="24"/>
        </w:rPr>
      </w:pPr>
      <w:proofErr w:type="spellStart"/>
      <w:r w:rsidRPr="00784566">
        <w:rPr>
          <w:sz w:val="24"/>
          <w:szCs w:val="24"/>
        </w:rPr>
        <w:t>Kerstitch</w:t>
      </w:r>
      <w:proofErr w:type="spellEnd"/>
      <w:r w:rsidRPr="00784566">
        <w:rPr>
          <w:sz w:val="24"/>
          <w:szCs w:val="24"/>
        </w:rPr>
        <w:t>, A. (1989). Sea of Cortez marine invertebrates. A guide for the Pacific Coast, Mexico to Ecuador. Sea Challengers. Monterey, California, USA.</w:t>
      </w:r>
    </w:p>
    <w:p w:rsidR="009C5ACE" w:rsidRPr="00784566" w:rsidRDefault="009C5ACE">
      <w:pPr>
        <w:widowControl w:val="0"/>
        <w:spacing w:line="480" w:lineRule="auto"/>
        <w:ind w:left="480" w:hanging="480"/>
        <w:rPr>
          <w:sz w:val="24"/>
          <w:szCs w:val="24"/>
        </w:rPr>
      </w:pPr>
      <w:r w:rsidRPr="00784566">
        <w:rPr>
          <w:sz w:val="24"/>
          <w:szCs w:val="24"/>
          <w:lang w:val="de-DE"/>
        </w:rPr>
        <w:t xml:space="preserve">Lindgren, F., Rue, H., Lindström, J., 2011. </w:t>
      </w:r>
      <w:r w:rsidRPr="00784566">
        <w:rPr>
          <w:sz w:val="24"/>
          <w:szCs w:val="24"/>
        </w:rPr>
        <w:t xml:space="preserve">An explicit link between Gaussian fields and Gaussian Markov random fields: the stochastic partial differential equation approach. J. R. Stat. Soc. Ser. B (Statistical </w:t>
      </w:r>
      <w:proofErr w:type="spellStart"/>
      <w:r w:rsidRPr="00784566">
        <w:rPr>
          <w:sz w:val="24"/>
          <w:szCs w:val="24"/>
        </w:rPr>
        <w:t>Methodol</w:t>
      </w:r>
      <w:proofErr w:type="spellEnd"/>
      <w:r w:rsidRPr="00784566">
        <w:rPr>
          <w:sz w:val="24"/>
          <w:szCs w:val="24"/>
        </w:rPr>
        <w:t>. 73:423–498. doi:10.1111/j.1467-9868.2011.00777.x.</w:t>
      </w:r>
    </w:p>
    <w:p w:rsidR="009C5ACE" w:rsidRPr="00784566" w:rsidRDefault="009C5ACE" w:rsidP="008F253A">
      <w:pPr>
        <w:widowControl w:val="0"/>
        <w:spacing w:line="480" w:lineRule="auto"/>
        <w:ind w:left="480" w:hanging="480"/>
        <w:rPr>
          <w:sz w:val="24"/>
          <w:szCs w:val="24"/>
        </w:rPr>
      </w:pPr>
      <w:r w:rsidRPr="00784566">
        <w:rPr>
          <w:sz w:val="24"/>
          <w:szCs w:val="24"/>
          <w:lang w:val="es-ES"/>
        </w:rPr>
        <w:t xml:space="preserve">Lluch-Cota, S.E., </w:t>
      </w:r>
      <w:proofErr w:type="spellStart"/>
      <w:r w:rsidRPr="00784566">
        <w:rPr>
          <w:sz w:val="24"/>
          <w:szCs w:val="24"/>
          <w:lang w:val="es-ES"/>
        </w:rPr>
        <w:t>Aragon</w:t>
      </w:r>
      <w:proofErr w:type="spellEnd"/>
      <w:r w:rsidRPr="00784566">
        <w:rPr>
          <w:sz w:val="24"/>
          <w:szCs w:val="24"/>
          <w:lang w:val="es-ES"/>
        </w:rPr>
        <w:t>-Noriega, E.A., Arreguin-</w:t>
      </w:r>
      <w:proofErr w:type="spellStart"/>
      <w:r w:rsidRPr="00784566">
        <w:rPr>
          <w:sz w:val="24"/>
          <w:szCs w:val="24"/>
          <w:lang w:val="es-ES"/>
        </w:rPr>
        <w:t>Sanchez</w:t>
      </w:r>
      <w:proofErr w:type="spellEnd"/>
      <w:r w:rsidRPr="00784566">
        <w:rPr>
          <w:sz w:val="24"/>
          <w:szCs w:val="24"/>
          <w:lang w:val="es-ES"/>
        </w:rPr>
        <w:t xml:space="preserve">, F., </w:t>
      </w:r>
      <w:proofErr w:type="spellStart"/>
      <w:r w:rsidRPr="00784566">
        <w:rPr>
          <w:sz w:val="24"/>
          <w:szCs w:val="24"/>
          <w:lang w:val="es-ES"/>
        </w:rPr>
        <w:t>Auriles</w:t>
      </w:r>
      <w:proofErr w:type="spellEnd"/>
      <w:r w:rsidRPr="00784566">
        <w:rPr>
          <w:sz w:val="24"/>
          <w:szCs w:val="24"/>
          <w:lang w:val="es-ES"/>
        </w:rPr>
        <w:t xml:space="preserve">-Gamboa, D., Bautista-Romero, J.J., Brusca, R.C., Cervantes-Duarte, R., Cortes-Altamirano, R., Del Monte-Luna, P., Esquivel-Herrera, A., et al., 2007. </w:t>
      </w:r>
      <w:r w:rsidRPr="00784566">
        <w:rPr>
          <w:sz w:val="24"/>
          <w:szCs w:val="24"/>
        </w:rPr>
        <w:t xml:space="preserve">The Gulf of California : Review of ecosystem status and sustainability challenges. Prog. </w:t>
      </w:r>
      <w:proofErr w:type="spellStart"/>
      <w:r w:rsidRPr="00784566">
        <w:rPr>
          <w:sz w:val="24"/>
          <w:szCs w:val="24"/>
        </w:rPr>
        <w:t>Oceanogr</w:t>
      </w:r>
      <w:proofErr w:type="spellEnd"/>
      <w:r w:rsidRPr="00784566">
        <w:rPr>
          <w:sz w:val="24"/>
          <w:szCs w:val="24"/>
        </w:rPr>
        <w:t>. 73:1–26. doi:10.1016/j.pocean.2007.01.013.</w:t>
      </w:r>
    </w:p>
    <w:p w:rsidR="009C5ACE" w:rsidRPr="00784566" w:rsidRDefault="009C5ACE">
      <w:pPr>
        <w:widowControl w:val="0"/>
        <w:spacing w:line="480" w:lineRule="auto"/>
        <w:ind w:left="480" w:hanging="480"/>
        <w:rPr>
          <w:sz w:val="24"/>
          <w:szCs w:val="24"/>
        </w:rPr>
      </w:pPr>
      <w:proofErr w:type="spellStart"/>
      <w:r w:rsidRPr="00784566">
        <w:rPr>
          <w:sz w:val="24"/>
          <w:szCs w:val="24"/>
        </w:rPr>
        <w:t>Maluf</w:t>
      </w:r>
      <w:proofErr w:type="spellEnd"/>
      <w:r w:rsidRPr="00784566">
        <w:rPr>
          <w:sz w:val="24"/>
          <w:szCs w:val="24"/>
        </w:rPr>
        <w:t>, L.Y., 1988. Composition and distribution of the central eastern Pacific echinoderms. 6th ed. Los Angeles, California: Natural History Museum of Los Angeles County.</w:t>
      </w:r>
    </w:p>
    <w:p w:rsidR="009C5ACE" w:rsidRPr="005E700B" w:rsidRDefault="009C5ACE" w:rsidP="005E700B">
      <w:pPr>
        <w:widowControl w:val="0"/>
        <w:autoSpaceDE w:val="0"/>
        <w:autoSpaceDN w:val="0"/>
        <w:adjustRightInd w:val="0"/>
        <w:spacing w:line="480" w:lineRule="auto"/>
        <w:ind w:left="480" w:hanging="480"/>
        <w:rPr>
          <w:noProof/>
          <w:sz w:val="24"/>
          <w:lang w:val="en-US"/>
        </w:rPr>
      </w:pPr>
      <w:r w:rsidRPr="00D72D19">
        <w:rPr>
          <w:noProof/>
          <w:sz w:val="24"/>
          <w:lang w:val="es-MX"/>
        </w:rPr>
        <w:t xml:space="preserve">Martínez-Minaya, J., Cameletti, M., Conesa, D., &amp; Pennino, M. G. (2018). </w:t>
      </w:r>
      <w:r w:rsidRPr="005E700B">
        <w:rPr>
          <w:noProof/>
          <w:sz w:val="24"/>
          <w:lang w:val="en-US"/>
        </w:rPr>
        <w:t xml:space="preserve">Species distribution </w:t>
      </w:r>
      <w:r w:rsidRPr="005E700B">
        <w:rPr>
          <w:noProof/>
          <w:sz w:val="24"/>
          <w:lang w:val="en-US"/>
        </w:rPr>
        <w:lastRenderedPageBreak/>
        <w:t xml:space="preserve">modeling: A statistical review with focus in spatio-temporal issues. </w:t>
      </w:r>
      <w:r w:rsidRPr="009C5ACE">
        <w:rPr>
          <w:iCs/>
          <w:noProof/>
          <w:sz w:val="24"/>
          <w:lang w:val="en-US"/>
        </w:rPr>
        <w:t>Stochastic Environmental Research and Risk Assessment</w:t>
      </w:r>
      <w:r w:rsidRPr="009C5ACE">
        <w:rPr>
          <w:noProof/>
          <w:sz w:val="24"/>
          <w:lang w:val="en-US"/>
        </w:rPr>
        <w:t xml:space="preserve">, </w:t>
      </w:r>
      <w:r w:rsidRPr="009C5ACE">
        <w:rPr>
          <w:iCs/>
          <w:noProof/>
          <w:sz w:val="24"/>
          <w:lang w:val="en-US"/>
        </w:rPr>
        <w:t>32</w:t>
      </w:r>
      <w:r w:rsidRPr="005E700B">
        <w:rPr>
          <w:noProof/>
          <w:sz w:val="24"/>
          <w:lang w:val="en-US"/>
        </w:rPr>
        <w:t>(11), 3227–3244.</w:t>
      </w:r>
    </w:p>
    <w:p w:rsidR="009C5ACE" w:rsidRPr="00784566" w:rsidRDefault="009C5ACE">
      <w:pPr>
        <w:widowControl w:val="0"/>
        <w:spacing w:line="480" w:lineRule="auto"/>
        <w:ind w:left="480" w:hanging="480"/>
        <w:rPr>
          <w:sz w:val="24"/>
          <w:szCs w:val="24"/>
        </w:rPr>
      </w:pPr>
      <w:r w:rsidRPr="00784566">
        <w:rPr>
          <w:sz w:val="24"/>
          <w:szCs w:val="24"/>
          <w:lang w:val="it-IT"/>
        </w:rPr>
        <w:t xml:space="preserve">Mendez, N., Huchim-Lara, O., Rivera-Canul, N., Chin, W., Tec. J, Cordero-Romero, S., 2017. </w:t>
      </w:r>
      <w:r w:rsidRPr="00784566">
        <w:rPr>
          <w:sz w:val="24"/>
          <w:szCs w:val="24"/>
        </w:rPr>
        <w:t xml:space="preserve">Fatal cardiopulmonary decompression sickness in an untrained fisherman diver in Yucatan, Mexico: a clinical case report. UNDERSEA </w:t>
      </w:r>
      <w:proofErr w:type="spellStart"/>
      <w:r w:rsidRPr="00784566">
        <w:rPr>
          <w:sz w:val="24"/>
          <w:szCs w:val="24"/>
        </w:rPr>
        <w:t>Hyperb</w:t>
      </w:r>
      <w:proofErr w:type="spellEnd"/>
      <w:r w:rsidRPr="00784566">
        <w:rPr>
          <w:sz w:val="24"/>
          <w:szCs w:val="24"/>
        </w:rPr>
        <w:t>. Med. 44:279–281.</w:t>
      </w:r>
    </w:p>
    <w:p w:rsidR="009C5ACE" w:rsidRPr="00784566" w:rsidRDefault="009C5ACE">
      <w:pPr>
        <w:widowControl w:val="0"/>
        <w:spacing w:line="480" w:lineRule="auto"/>
        <w:ind w:left="480" w:hanging="480"/>
        <w:rPr>
          <w:sz w:val="24"/>
          <w:szCs w:val="24"/>
        </w:rPr>
      </w:pPr>
      <w:r w:rsidRPr="00EC0010">
        <w:rPr>
          <w:sz w:val="24"/>
          <w:szCs w:val="24"/>
        </w:rPr>
        <w:t xml:space="preserve">Mercier, A., Hamel, J.F., </w:t>
      </w:r>
      <w:proofErr w:type="spellStart"/>
      <w:r w:rsidRPr="00EC0010">
        <w:rPr>
          <w:sz w:val="24"/>
          <w:szCs w:val="24"/>
        </w:rPr>
        <w:t>Toral-Granda</w:t>
      </w:r>
      <w:proofErr w:type="spellEnd"/>
      <w:r w:rsidRPr="00EC0010">
        <w:rPr>
          <w:sz w:val="24"/>
          <w:szCs w:val="24"/>
        </w:rPr>
        <w:t xml:space="preserve">, T.G., Alvarado, J.J., Ortiz, P.E., Benavides, M., 2013. </w:t>
      </w:r>
      <w:proofErr w:type="spellStart"/>
      <w:r w:rsidRPr="00784566">
        <w:rPr>
          <w:i/>
          <w:iCs/>
          <w:sz w:val="24"/>
          <w:szCs w:val="24"/>
        </w:rPr>
        <w:t>Isostichopus</w:t>
      </w:r>
      <w:proofErr w:type="spellEnd"/>
      <w:r w:rsidRPr="00784566">
        <w:rPr>
          <w:i/>
          <w:iCs/>
          <w:sz w:val="24"/>
          <w:szCs w:val="24"/>
        </w:rPr>
        <w:t xml:space="preserve"> </w:t>
      </w:r>
      <w:proofErr w:type="spellStart"/>
      <w:r w:rsidRPr="00784566">
        <w:rPr>
          <w:i/>
          <w:iCs/>
          <w:sz w:val="24"/>
          <w:szCs w:val="24"/>
        </w:rPr>
        <w:t>fuscus</w:t>
      </w:r>
      <w:proofErr w:type="spellEnd"/>
      <w:r w:rsidRPr="00784566">
        <w:rPr>
          <w:sz w:val="24"/>
          <w:szCs w:val="24"/>
        </w:rPr>
        <w:t xml:space="preserve">. The IUCN Red List of Threatened Species 2013: e.T180373A1621878. Available at </w:t>
      </w:r>
      <w:hyperlink r:id="rId19" w:history="1">
        <w:r w:rsidRPr="00784566">
          <w:rPr>
            <w:rStyle w:val="Hyperlink"/>
            <w:sz w:val="24"/>
            <w:szCs w:val="24"/>
          </w:rPr>
          <w:t>https://www.iucn.org/resources/conservation-tools/iucn-red-list-threatened-species</w:t>
        </w:r>
      </w:hyperlink>
      <w:r w:rsidRPr="00784566">
        <w:rPr>
          <w:sz w:val="24"/>
          <w:szCs w:val="24"/>
        </w:rPr>
        <w:t xml:space="preserve"> </w:t>
      </w:r>
    </w:p>
    <w:p w:rsidR="009C5ACE" w:rsidRPr="00784566" w:rsidRDefault="009C5ACE" w:rsidP="00572844">
      <w:pPr>
        <w:widowControl w:val="0"/>
        <w:spacing w:line="480" w:lineRule="auto"/>
        <w:ind w:left="480" w:hanging="480"/>
        <w:rPr>
          <w:sz w:val="24"/>
          <w:szCs w:val="24"/>
          <w:lang w:val="es-ES"/>
        </w:rPr>
      </w:pPr>
      <w:r w:rsidRPr="00784566">
        <w:rPr>
          <w:sz w:val="24"/>
          <w:szCs w:val="24"/>
          <w:lang w:val="es-MX"/>
        </w:rPr>
        <w:t xml:space="preserve">Muñoz, F., Pennino, M. G., Conesa, D., López-Quílez, A., Bellido, J. M., 2013. </w:t>
      </w:r>
      <w:r w:rsidRPr="00784566">
        <w:rPr>
          <w:sz w:val="24"/>
          <w:szCs w:val="24"/>
        </w:rPr>
        <w:t xml:space="preserve">Estimation and prediction of the spatial occurrence of fish species using Bayesian latent Gaussian models. </w:t>
      </w:r>
      <w:proofErr w:type="spellStart"/>
      <w:r w:rsidRPr="00784566">
        <w:rPr>
          <w:sz w:val="24"/>
          <w:szCs w:val="24"/>
          <w:lang w:val="es-ES"/>
        </w:rPr>
        <w:t>Stochast</w:t>
      </w:r>
      <w:proofErr w:type="spellEnd"/>
      <w:r w:rsidRPr="00784566">
        <w:rPr>
          <w:sz w:val="24"/>
          <w:szCs w:val="24"/>
          <w:lang w:val="es-ES"/>
        </w:rPr>
        <w:t xml:space="preserve">. </w:t>
      </w:r>
      <w:proofErr w:type="spellStart"/>
      <w:r w:rsidRPr="00784566">
        <w:rPr>
          <w:sz w:val="24"/>
          <w:szCs w:val="24"/>
          <w:lang w:val="es-ES"/>
        </w:rPr>
        <w:t>Environ</w:t>
      </w:r>
      <w:proofErr w:type="spellEnd"/>
      <w:r w:rsidRPr="00784566">
        <w:rPr>
          <w:sz w:val="24"/>
          <w:szCs w:val="24"/>
          <w:lang w:val="es-ES"/>
        </w:rPr>
        <w:t xml:space="preserve">. Res. </w:t>
      </w:r>
      <w:proofErr w:type="spellStart"/>
      <w:r w:rsidRPr="00784566">
        <w:rPr>
          <w:sz w:val="24"/>
          <w:szCs w:val="24"/>
          <w:lang w:val="es-ES"/>
        </w:rPr>
        <w:t>Risk</w:t>
      </w:r>
      <w:proofErr w:type="spellEnd"/>
      <w:r w:rsidRPr="00784566">
        <w:rPr>
          <w:sz w:val="24"/>
          <w:szCs w:val="24"/>
          <w:lang w:val="es-ES"/>
        </w:rPr>
        <w:t xml:space="preserve"> </w:t>
      </w:r>
      <w:proofErr w:type="spellStart"/>
      <w:r w:rsidRPr="00784566">
        <w:rPr>
          <w:sz w:val="24"/>
          <w:szCs w:val="24"/>
          <w:lang w:val="es-ES"/>
        </w:rPr>
        <w:t>Assess</w:t>
      </w:r>
      <w:proofErr w:type="spellEnd"/>
      <w:r w:rsidRPr="00784566">
        <w:rPr>
          <w:sz w:val="24"/>
          <w:szCs w:val="24"/>
          <w:lang w:val="es-ES"/>
        </w:rPr>
        <w:t>. 27(5), 1171-1180.</w:t>
      </w:r>
    </w:p>
    <w:p w:rsidR="009C5ACE" w:rsidRPr="00784566" w:rsidRDefault="009C5ACE" w:rsidP="00572844">
      <w:pPr>
        <w:widowControl w:val="0"/>
        <w:spacing w:line="480" w:lineRule="auto"/>
        <w:ind w:left="480" w:hanging="480"/>
        <w:rPr>
          <w:sz w:val="24"/>
          <w:szCs w:val="24"/>
          <w:lang w:val="es-MX"/>
        </w:rPr>
      </w:pPr>
      <w:r w:rsidRPr="00784566">
        <w:rPr>
          <w:sz w:val="24"/>
          <w:szCs w:val="24"/>
          <w:lang w:val="es-MX"/>
        </w:rPr>
        <w:t xml:space="preserve">Ochoa-Chávez, J.M., Del Río Portilla, M.A., Calderon-Aguilera, L.E., Rocha-Olivares, A., 2018. </w:t>
      </w:r>
      <w:r w:rsidRPr="00784566">
        <w:rPr>
          <w:sz w:val="24"/>
          <w:szCs w:val="24"/>
        </w:rPr>
        <w:t xml:space="preserve">Genetic connectivity of the endangered brown sea cucumber </w:t>
      </w:r>
      <w:proofErr w:type="spellStart"/>
      <w:r w:rsidRPr="00784566">
        <w:rPr>
          <w:i/>
          <w:iCs/>
          <w:sz w:val="24"/>
          <w:szCs w:val="24"/>
        </w:rPr>
        <w:t>Isostichopus</w:t>
      </w:r>
      <w:proofErr w:type="spellEnd"/>
      <w:r w:rsidRPr="00784566">
        <w:rPr>
          <w:i/>
          <w:iCs/>
          <w:sz w:val="24"/>
          <w:szCs w:val="24"/>
        </w:rPr>
        <w:t xml:space="preserve"> </w:t>
      </w:r>
      <w:proofErr w:type="spellStart"/>
      <w:r w:rsidRPr="00784566">
        <w:rPr>
          <w:i/>
          <w:iCs/>
          <w:sz w:val="24"/>
          <w:szCs w:val="24"/>
        </w:rPr>
        <w:t>fuscus</w:t>
      </w:r>
      <w:proofErr w:type="spellEnd"/>
      <w:r w:rsidRPr="00784566">
        <w:rPr>
          <w:sz w:val="24"/>
          <w:szCs w:val="24"/>
        </w:rPr>
        <w:t xml:space="preserve"> in the northern Gulf of California revealed by novel microsatellite markers. </w:t>
      </w:r>
      <w:r w:rsidRPr="00784566">
        <w:rPr>
          <w:sz w:val="24"/>
          <w:szCs w:val="24"/>
          <w:lang w:val="es-MX"/>
        </w:rPr>
        <w:t xml:space="preserve">Revista Mexicana de Biodiversidad. </w:t>
      </w:r>
      <w:hyperlink r:id="rId20" w:history="1">
        <w:r w:rsidRPr="00784566">
          <w:rPr>
            <w:rStyle w:val="Hyperlink"/>
            <w:sz w:val="24"/>
            <w:szCs w:val="24"/>
            <w:lang w:val="es-MX"/>
          </w:rPr>
          <w:t>http://dx.doi.org/10.22201/ib.20078706e.2018.2.2294</w:t>
        </w:r>
      </w:hyperlink>
      <w:r w:rsidRPr="00784566">
        <w:rPr>
          <w:sz w:val="24"/>
          <w:szCs w:val="24"/>
          <w:lang w:val="es-MX"/>
        </w:rPr>
        <w:t xml:space="preserve"> </w:t>
      </w:r>
    </w:p>
    <w:p w:rsidR="009C5ACE" w:rsidRPr="00EC0010" w:rsidRDefault="009C5ACE" w:rsidP="00572844">
      <w:pPr>
        <w:widowControl w:val="0"/>
        <w:spacing w:line="480" w:lineRule="auto"/>
        <w:ind w:left="480" w:hanging="480"/>
        <w:rPr>
          <w:sz w:val="24"/>
          <w:szCs w:val="24"/>
          <w:lang w:val="es-MX"/>
        </w:rPr>
      </w:pPr>
      <w:r w:rsidRPr="00784566">
        <w:rPr>
          <w:sz w:val="24"/>
          <w:szCs w:val="24"/>
          <w:lang w:val="es-MX"/>
        </w:rPr>
        <w:t xml:space="preserve">Orensanz, J.M., Parma, A.M., Jerez, G., Barahona, N., Montecinos, M. and I. Elias. </w:t>
      </w:r>
      <w:r w:rsidRPr="00784566">
        <w:rPr>
          <w:sz w:val="24"/>
          <w:szCs w:val="24"/>
        </w:rPr>
        <w:t xml:space="preserve">2005. What are the key elements for the sustainability of “S-fisheries”? </w:t>
      </w:r>
      <w:r w:rsidRPr="00EC0010">
        <w:rPr>
          <w:sz w:val="24"/>
          <w:szCs w:val="24"/>
          <w:lang w:val="es-MX"/>
        </w:rPr>
        <w:t>Insights from South America. Bull. Mar. Sci. 76(2): 527–556</w:t>
      </w:r>
    </w:p>
    <w:p w:rsidR="009C5ACE" w:rsidRPr="00784566" w:rsidRDefault="009C5ACE" w:rsidP="0089000A">
      <w:pPr>
        <w:widowControl w:val="0"/>
        <w:spacing w:line="480" w:lineRule="auto"/>
        <w:ind w:left="480" w:hanging="480"/>
        <w:rPr>
          <w:sz w:val="24"/>
          <w:szCs w:val="24"/>
          <w:lang w:val="es-MX"/>
        </w:rPr>
      </w:pPr>
      <w:r w:rsidRPr="00EC0010">
        <w:rPr>
          <w:sz w:val="24"/>
          <w:szCs w:val="24"/>
          <w:lang w:val="es-MX"/>
        </w:rPr>
        <w:t xml:space="preserve">Pañola-Madrigal, A., Calderon-Aguilera, L.E., Aguilar-Cruz, C.A., Reyes-Bonilla, H., Herrero-Pérezrul, M.D., 2017a. </w:t>
      </w:r>
      <w:r w:rsidRPr="00784566">
        <w:rPr>
          <w:sz w:val="24"/>
          <w:szCs w:val="24"/>
        </w:rPr>
        <w:t>Reproductive cycle of the sea cucumber (</w:t>
      </w:r>
      <w:proofErr w:type="spellStart"/>
      <w:r w:rsidRPr="00784566">
        <w:rPr>
          <w:i/>
          <w:iCs/>
          <w:sz w:val="24"/>
          <w:szCs w:val="24"/>
        </w:rPr>
        <w:t>Isostichopus</w:t>
      </w:r>
      <w:proofErr w:type="spellEnd"/>
      <w:r w:rsidRPr="00784566">
        <w:rPr>
          <w:i/>
          <w:iCs/>
          <w:sz w:val="24"/>
          <w:szCs w:val="24"/>
        </w:rPr>
        <w:t xml:space="preserve"> </w:t>
      </w:r>
      <w:proofErr w:type="spellStart"/>
      <w:r w:rsidRPr="00784566">
        <w:rPr>
          <w:i/>
          <w:iCs/>
          <w:sz w:val="24"/>
          <w:szCs w:val="24"/>
        </w:rPr>
        <w:t>fuscus</w:t>
      </w:r>
      <w:proofErr w:type="spellEnd"/>
      <w:r w:rsidRPr="00784566">
        <w:rPr>
          <w:sz w:val="24"/>
          <w:szCs w:val="24"/>
        </w:rPr>
        <w:t xml:space="preserve">) and its relationship with oceanographic variables at its northernmost distribution site. </w:t>
      </w:r>
      <w:r w:rsidRPr="00784566">
        <w:rPr>
          <w:sz w:val="24"/>
          <w:szCs w:val="24"/>
          <w:lang w:val="es-MX"/>
        </w:rPr>
        <w:lastRenderedPageBreak/>
        <w:t>Rev. Biol. Trop. 65:S180–S196. doi:10.15517/rbt.v65i1-1.31687.</w:t>
      </w:r>
    </w:p>
    <w:p w:rsidR="009C5ACE" w:rsidRPr="00784566" w:rsidRDefault="009C5ACE" w:rsidP="00572844">
      <w:pPr>
        <w:widowControl w:val="0"/>
        <w:spacing w:line="480" w:lineRule="auto"/>
        <w:ind w:left="480" w:hanging="480"/>
        <w:rPr>
          <w:sz w:val="24"/>
          <w:szCs w:val="24"/>
          <w:lang w:val="es-ES"/>
        </w:rPr>
      </w:pPr>
      <w:r w:rsidRPr="00784566">
        <w:rPr>
          <w:sz w:val="24"/>
          <w:szCs w:val="24"/>
          <w:lang w:val="es-MX"/>
        </w:rPr>
        <w:t xml:space="preserve">Pañola-Madrigal, A., Galaviz-López, J.M., Castañeda-Rivero, F., Calderon-Aguilera, L.E., 2017b. </w:t>
      </w:r>
      <w:r w:rsidRPr="00784566">
        <w:rPr>
          <w:sz w:val="24"/>
          <w:szCs w:val="24"/>
          <w:lang w:val="es-ES"/>
        </w:rPr>
        <w:t xml:space="preserve">El papel del pepino de mar en el flujo de carbono orgánico de los sedimentos. P. 307-312. En: Paz, F., R. Torres y A. Velázquez (Editores). 2017. Estado Actual del Conocimiento del Ciclo del Carbono y sus Interacciones en México: Síntesis a 2017. Serie Síntesis Nacionales. Programa Mexicano del Carbono en colaboración con el Centro de Investigación Científica y de Educación Superior de Ensenada y la Universidad Autónoma de Baja California. Texcoco, Estado de México, México. </w:t>
      </w:r>
    </w:p>
    <w:p w:rsidR="009C5ACE" w:rsidRPr="00784566" w:rsidRDefault="009C5ACE" w:rsidP="0089000A">
      <w:pPr>
        <w:widowControl w:val="0"/>
        <w:spacing w:line="480" w:lineRule="auto"/>
        <w:ind w:left="480" w:hanging="480"/>
        <w:rPr>
          <w:sz w:val="24"/>
          <w:szCs w:val="24"/>
        </w:rPr>
      </w:pPr>
      <w:r w:rsidRPr="00784566">
        <w:rPr>
          <w:sz w:val="24"/>
          <w:szCs w:val="24"/>
          <w:lang w:val="es-ES"/>
        </w:rPr>
        <w:t xml:space="preserve">Pennington, M., 1996. </w:t>
      </w:r>
      <w:proofErr w:type="spellStart"/>
      <w:r w:rsidRPr="00784566">
        <w:rPr>
          <w:sz w:val="24"/>
          <w:szCs w:val="24"/>
          <w:lang w:val="es-ES"/>
        </w:rPr>
        <w:t>Highly</w:t>
      </w:r>
      <w:proofErr w:type="spellEnd"/>
      <w:r w:rsidRPr="00784566">
        <w:rPr>
          <w:sz w:val="24"/>
          <w:szCs w:val="24"/>
          <w:lang w:val="es-ES"/>
        </w:rPr>
        <w:t xml:space="preserve"> </w:t>
      </w:r>
      <w:proofErr w:type="spellStart"/>
      <w:r w:rsidRPr="00784566">
        <w:rPr>
          <w:sz w:val="24"/>
          <w:szCs w:val="24"/>
          <w:lang w:val="es-ES"/>
        </w:rPr>
        <w:t>Skewed</w:t>
      </w:r>
      <w:proofErr w:type="spellEnd"/>
      <w:r w:rsidRPr="00784566">
        <w:rPr>
          <w:sz w:val="24"/>
          <w:szCs w:val="24"/>
          <w:lang w:val="es-ES"/>
        </w:rPr>
        <w:t xml:space="preserve"> Marine Data. </w:t>
      </w:r>
      <w:r w:rsidRPr="00784566">
        <w:rPr>
          <w:sz w:val="24"/>
          <w:szCs w:val="24"/>
        </w:rPr>
        <w:t>Fish. Bull. 94:498–505.</w:t>
      </w:r>
    </w:p>
    <w:p w:rsidR="009C5ACE" w:rsidRPr="00784566" w:rsidRDefault="009C5ACE" w:rsidP="003B5B7D">
      <w:pPr>
        <w:widowControl w:val="0"/>
        <w:spacing w:line="480" w:lineRule="auto"/>
        <w:ind w:left="480" w:hanging="480"/>
        <w:rPr>
          <w:rStyle w:val="Hyperlink"/>
          <w:sz w:val="24"/>
          <w:szCs w:val="24"/>
          <w:lang w:val="it-IT"/>
        </w:rPr>
      </w:pPr>
      <w:r w:rsidRPr="00EC0010">
        <w:rPr>
          <w:sz w:val="24"/>
          <w:szCs w:val="24"/>
          <w:lang w:val="en-US"/>
        </w:rPr>
        <w:t xml:space="preserve">Purcell, S. W., </w:t>
      </w:r>
      <w:proofErr w:type="spellStart"/>
      <w:r w:rsidRPr="00EC0010">
        <w:rPr>
          <w:sz w:val="24"/>
          <w:szCs w:val="24"/>
          <w:lang w:val="en-US"/>
        </w:rPr>
        <w:t>Polidoro</w:t>
      </w:r>
      <w:proofErr w:type="spellEnd"/>
      <w:r w:rsidRPr="00EC0010">
        <w:rPr>
          <w:sz w:val="24"/>
          <w:szCs w:val="24"/>
          <w:lang w:val="en-US"/>
        </w:rPr>
        <w:t xml:space="preserve">, B. A., Hamel, J.-F., </w:t>
      </w:r>
      <w:proofErr w:type="spellStart"/>
      <w:r w:rsidRPr="00EC0010">
        <w:rPr>
          <w:sz w:val="24"/>
          <w:szCs w:val="24"/>
          <w:lang w:val="en-US"/>
        </w:rPr>
        <w:t>Gamboa</w:t>
      </w:r>
      <w:proofErr w:type="spellEnd"/>
      <w:r w:rsidRPr="00EC0010">
        <w:rPr>
          <w:sz w:val="24"/>
          <w:szCs w:val="24"/>
          <w:lang w:val="en-US"/>
        </w:rPr>
        <w:t xml:space="preserve">, R. U., Mercier, A., 2014. </w:t>
      </w:r>
      <w:r w:rsidRPr="00784566">
        <w:rPr>
          <w:sz w:val="24"/>
          <w:szCs w:val="24"/>
        </w:rPr>
        <w:t xml:space="preserve">The cost of being valuable: predictors of extinction risk in marine invertebrates exploited as luxury seafood. Proceedings. Biological Sciences, 281(1781), 20133296. </w:t>
      </w:r>
      <w:hyperlink r:id="rId21" w:history="1">
        <w:r w:rsidRPr="00784566">
          <w:rPr>
            <w:rStyle w:val="Hyperlink"/>
            <w:sz w:val="24"/>
            <w:szCs w:val="24"/>
            <w:lang w:val="it-IT"/>
          </w:rPr>
          <w:t>https://doi.org/10.1098/rspb.2013.3296</w:t>
        </w:r>
      </w:hyperlink>
    </w:p>
    <w:p w:rsidR="009C5ACE" w:rsidRPr="005E700B" w:rsidRDefault="009C5ACE" w:rsidP="005E700B">
      <w:pPr>
        <w:widowControl w:val="0"/>
        <w:autoSpaceDE w:val="0"/>
        <w:autoSpaceDN w:val="0"/>
        <w:adjustRightInd w:val="0"/>
        <w:spacing w:line="480" w:lineRule="auto"/>
        <w:ind w:left="480" w:hanging="480"/>
        <w:rPr>
          <w:noProof/>
          <w:sz w:val="24"/>
          <w:lang w:val="en-US"/>
        </w:rPr>
      </w:pPr>
      <w:r w:rsidRPr="005E700B">
        <w:rPr>
          <w:noProof/>
          <w:sz w:val="24"/>
          <w:lang w:val="en-US"/>
        </w:rPr>
        <w:t>Purcel</w:t>
      </w:r>
      <w:r w:rsidR="00EC0010">
        <w:rPr>
          <w:noProof/>
          <w:sz w:val="24"/>
          <w:lang w:val="en-US"/>
        </w:rPr>
        <w:t xml:space="preserve">l, S., Samyn, Y., &amp; Conand, C. </w:t>
      </w:r>
      <w:r w:rsidRPr="005E700B">
        <w:rPr>
          <w:noProof/>
          <w:sz w:val="24"/>
          <w:lang w:val="en-US"/>
        </w:rPr>
        <w:t xml:space="preserve">2012. </w:t>
      </w:r>
      <w:r w:rsidRPr="005E700B">
        <w:rPr>
          <w:i/>
          <w:iCs/>
          <w:noProof/>
          <w:sz w:val="24"/>
          <w:lang w:val="en-US"/>
        </w:rPr>
        <w:t>Commercially important sea cucumbers of the world, FAO Species Catalogue for Fishery Purposes No. 6</w:t>
      </w:r>
      <w:r w:rsidRPr="005E700B">
        <w:rPr>
          <w:noProof/>
          <w:sz w:val="24"/>
          <w:lang w:val="en-US"/>
        </w:rPr>
        <w:t xml:space="preserve">. </w:t>
      </w:r>
      <w:r w:rsidRPr="005E700B">
        <w:rPr>
          <w:i/>
          <w:iCs/>
          <w:noProof/>
          <w:sz w:val="24"/>
          <w:lang w:val="en-US"/>
        </w:rPr>
        <w:t>FAO Species Catalogue for Fishery Purposes No. 6</w:t>
      </w:r>
      <w:r w:rsidRPr="005E700B">
        <w:rPr>
          <w:noProof/>
          <w:sz w:val="24"/>
          <w:lang w:val="en-US"/>
        </w:rPr>
        <w:t>.</w:t>
      </w:r>
    </w:p>
    <w:p w:rsidR="009C5ACE" w:rsidRPr="00784566" w:rsidRDefault="009C5ACE">
      <w:pPr>
        <w:widowControl w:val="0"/>
        <w:spacing w:line="480" w:lineRule="auto"/>
        <w:ind w:left="480" w:hanging="480"/>
        <w:rPr>
          <w:sz w:val="24"/>
          <w:szCs w:val="24"/>
        </w:rPr>
      </w:pPr>
      <w:r w:rsidRPr="00784566">
        <w:rPr>
          <w:sz w:val="24"/>
          <w:szCs w:val="24"/>
        </w:rPr>
        <w:t xml:space="preserve">Purcell, S.W., </w:t>
      </w:r>
      <w:proofErr w:type="spellStart"/>
      <w:r w:rsidRPr="00784566">
        <w:rPr>
          <w:sz w:val="24"/>
          <w:szCs w:val="24"/>
        </w:rPr>
        <w:t>Conand</w:t>
      </w:r>
      <w:proofErr w:type="spellEnd"/>
      <w:r w:rsidRPr="00784566">
        <w:rPr>
          <w:sz w:val="24"/>
          <w:szCs w:val="24"/>
        </w:rPr>
        <w:t xml:space="preserve">, C., </w:t>
      </w:r>
      <w:proofErr w:type="spellStart"/>
      <w:r w:rsidRPr="00784566">
        <w:rPr>
          <w:sz w:val="24"/>
          <w:szCs w:val="24"/>
        </w:rPr>
        <w:t>Uthicke</w:t>
      </w:r>
      <w:proofErr w:type="spellEnd"/>
      <w:r w:rsidRPr="00784566">
        <w:rPr>
          <w:sz w:val="24"/>
          <w:szCs w:val="24"/>
        </w:rPr>
        <w:t xml:space="preserve">, S., Byrne, M., 2016. Ecological roles of exploited sea cucumbers. </w:t>
      </w:r>
      <w:proofErr w:type="spellStart"/>
      <w:r w:rsidRPr="00784566">
        <w:rPr>
          <w:sz w:val="24"/>
          <w:szCs w:val="24"/>
        </w:rPr>
        <w:t>Oceanogr</w:t>
      </w:r>
      <w:proofErr w:type="spellEnd"/>
      <w:r w:rsidRPr="00784566">
        <w:rPr>
          <w:sz w:val="24"/>
          <w:szCs w:val="24"/>
        </w:rPr>
        <w:t xml:space="preserve">. Mar. Biol. An </w:t>
      </w:r>
      <w:proofErr w:type="spellStart"/>
      <w:r w:rsidRPr="00784566">
        <w:rPr>
          <w:sz w:val="24"/>
          <w:szCs w:val="24"/>
        </w:rPr>
        <w:t>Annu</w:t>
      </w:r>
      <w:proofErr w:type="spellEnd"/>
      <w:r w:rsidRPr="00784566">
        <w:rPr>
          <w:sz w:val="24"/>
          <w:szCs w:val="24"/>
        </w:rPr>
        <w:t>. Rev. 54:367–386.</w:t>
      </w:r>
    </w:p>
    <w:p w:rsidR="009C5ACE" w:rsidRPr="00784566" w:rsidRDefault="009C5ACE">
      <w:pPr>
        <w:widowControl w:val="0"/>
        <w:spacing w:line="480" w:lineRule="auto"/>
        <w:ind w:left="480" w:hanging="480"/>
        <w:rPr>
          <w:sz w:val="24"/>
          <w:szCs w:val="24"/>
        </w:rPr>
      </w:pPr>
      <w:r w:rsidRPr="00784566">
        <w:rPr>
          <w:sz w:val="24"/>
          <w:szCs w:val="24"/>
        </w:rPr>
        <w:t xml:space="preserve">Purcell, S.W., Mercier, A., </w:t>
      </w:r>
      <w:proofErr w:type="spellStart"/>
      <w:r w:rsidRPr="00784566">
        <w:rPr>
          <w:sz w:val="24"/>
          <w:szCs w:val="24"/>
        </w:rPr>
        <w:t>Conand</w:t>
      </w:r>
      <w:proofErr w:type="spellEnd"/>
      <w:r w:rsidRPr="00784566">
        <w:rPr>
          <w:sz w:val="24"/>
          <w:szCs w:val="24"/>
        </w:rPr>
        <w:t xml:space="preserve">, C., Hamel, J.F., </w:t>
      </w:r>
      <w:proofErr w:type="spellStart"/>
      <w:r w:rsidRPr="00784566">
        <w:rPr>
          <w:sz w:val="24"/>
          <w:szCs w:val="24"/>
        </w:rPr>
        <w:t>Toral-Granda</w:t>
      </w:r>
      <w:proofErr w:type="spellEnd"/>
      <w:r w:rsidRPr="00784566">
        <w:rPr>
          <w:sz w:val="24"/>
          <w:szCs w:val="24"/>
        </w:rPr>
        <w:t xml:space="preserve">, M.V., </w:t>
      </w:r>
      <w:proofErr w:type="spellStart"/>
      <w:r w:rsidRPr="00784566">
        <w:rPr>
          <w:sz w:val="24"/>
          <w:szCs w:val="24"/>
        </w:rPr>
        <w:t>Lovatelli</w:t>
      </w:r>
      <w:proofErr w:type="spellEnd"/>
      <w:r w:rsidRPr="00784566">
        <w:rPr>
          <w:sz w:val="24"/>
          <w:szCs w:val="24"/>
        </w:rPr>
        <w:t xml:space="preserve">, A., </w:t>
      </w:r>
      <w:proofErr w:type="spellStart"/>
      <w:r w:rsidRPr="00784566">
        <w:rPr>
          <w:sz w:val="24"/>
          <w:szCs w:val="24"/>
        </w:rPr>
        <w:t>Uthicke</w:t>
      </w:r>
      <w:proofErr w:type="spellEnd"/>
      <w:r w:rsidRPr="00784566">
        <w:rPr>
          <w:sz w:val="24"/>
          <w:szCs w:val="24"/>
        </w:rPr>
        <w:t xml:space="preserve"> S. 2013. Sea cucumber fisheries: Global analysis of stocks, management measures and drivers of overfishing. Fish </w:t>
      </w:r>
      <w:proofErr w:type="spellStart"/>
      <w:r w:rsidRPr="00784566">
        <w:rPr>
          <w:sz w:val="24"/>
          <w:szCs w:val="24"/>
        </w:rPr>
        <w:t>Fish</w:t>
      </w:r>
      <w:proofErr w:type="spellEnd"/>
      <w:r w:rsidRPr="00784566">
        <w:rPr>
          <w:sz w:val="24"/>
          <w:szCs w:val="24"/>
        </w:rPr>
        <w:t>. 14:34–59. doi:10.1111/j.1467-2979.2011.00443.x.</w:t>
      </w:r>
    </w:p>
    <w:p w:rsidR="009C5ACE" w:rsidRPr="00784566" w:rsidRDefault="009C5ACE" w:rsidP="003B5B7D">
      <w:pPr>
        <w:widowControl w:val="0"/>
        <w:spacing w:line="480" w:lineRule="auto"/>
        <w:ind w:left="480" w:hanging="480"/>
        <w:rPr>
          <w:sz w:val="24"/>
          <w:szCs w:val="24"/>
        </w:rPr>
      </w:pPr>
      <w:r w:rsidRPr="00784566">
        <w:rPr>
          <w:sz w:val="24"/>
          <w:szCs w:val="24"/>
        </w:rPr>
        <w:lastRenderedPageBreak/>
        <w:t xml:space="preserve">Purcell, S.W., </w:t>
      </w:r>
      <w:proofErr w:type="spellStart"/>
      <w:r w:rsidRPr="00784566">
        <w:rPr>
          <w:sz w:val="24"/>
          <w:szCs w:val="24"/>
        </w:rPr>
        <w:t>Ngaluafe</w:t>
      </w:r>
      <w:proofErr w:type="spellEnd"/>
      <w:r w:rsidRPr="00784566">
        <w:rPr>
          <w:sz w:val="24"/>
          <w:szCs w:val="24"/>
        </w:rPr>
        <w:t xml:space="preserve">, P., </w:t>
      </w:r>
      <w:proofErr w:type="spellStart"/>
      <w:r w:rsidRPr="00784566">
        <w:rPr>
          <w:sz w:val="24"/>
          <w:szCs w:val="24"/>
        </w:rPr>
        <w:t>Lalavanua</w:t>
      </w:r>
      <w:proofErr w:type="spellEnd"/>
      <w:r w:rsidRPr="00784566">
        <w:rPr>
          <w:sz w:val="24"/>
          <w:szCs w:val="24"/>
        </w:rPr>
        <w:t xml:space="preserve">, W., </w:t>
      </w:r>
      <w:proofErr w:type="spellStart"/>
      <w:r w:rsidRPr="00784566">
        <w:rPr>
          <w:sz w:val="24"/>
          <w:szCs w:val="24"/>
        </w:rPr>
        <w:t>Ceccarelli</w:t>
      </w:r>
      <w:proofErr w:type="spellEnd"/>
      <w:r w:rsidRPr="00784566">
        <w:rPr>
          <w:sz w:val="24"/>
          <w:szCs w:val="24"/>
        </w:rPr>
        <w:t xml:space="preserve">, D. M., 2018. Market price trends of Latin American and </w:t>
      </w:r>
      <w:proofErr w:type="gramStart"/>
      <w:r w:rsidRPr="00784566">
        <w:rPr>
          <w:sz w:val="24"/>
          <w:szCs w:val="24"/>
        </w:rPr>
        <w:t>Caribbean sea</w:t>
      </w:r>
      <w:proofErr w:type="gramEnd"/>
      <w:r w:rsidRPr="00784566">
        <w:rPr>
          <w:sz w:val="24"/>
          <w:szCs w:val="24"/>
        </w:rPr>
        <w:t xml:space="preserve"> cucumbers inform fisheries management. Reg. Mar. St. Mar. Sci., 17, 127–132. https://doi.org/10.1016/j.rsma.2017.12.003</w:t>
      </w:r>
    </w:p>
    <w:p w:rsidR="009C5ACE" w:rsidRPr="00784566" w:rsidRDefault="009C5ACE" w:rsidP="003B5B7D">
      <w:pPr>
        <w:widowControl w:val="0"/>
        <w:spacing w:line="480" w:lineRule="auto"/>
        <w:ind w:left="480" w:hanging="480"/>
        <w:rPr>
          <w:sz w:val="24"/>
          <w:szCs w:val="24"/>
          <w:lang w:val="it-IT"/>
        </w:rPr>
      </w:pPr>
      <w:r w:rsidRPr="00784566">
        <w:rPr>
          <w:sz w:val="24"/>
          <w:szCs w:val="24"/>
          <w:lang w:val="it-IT"/>
        </w:rPr>
        <w:t>Purcell, S.W., Samyn, Y. &amp; CONAND, C. 2012. Commercially important sea cucumbers of the world.FAO Species Catalogue for Fishery Purposes.No. 6. Rome, FAO. 150 pp.</w:t>
      </w:r>
    </w:p>
    <w:p w:rsidR="009C5ACE" w:rsidRPr="00784566" w:rsidRDefault="009C5ACE" w:rsidP="007B66AA">
      <w:pPr>
        <w:widowControl w:val="0"/>
        <w:spacing w:line="480" w:lineRule="auto"/>
        <w:ind w:left="480" w:hanging="480"/>
        <w:rPr>
          <w:sz w:val="24"/>
          <w:szCs w:val="24"/>
          <w:lang w:val="es-ES"/>
        </w:rPr>
      </w:pPr>
      <w:r w:rsidRPr="00784566">
        <w:rPr>
          <w:sz w:val="24"/>
          <w:szCs w:val="24"/>
        </w:rPr>
        <w:t xml:space="preserve">R Core Team. 2018. R: A language and environment for statistical computing. </w:t>
      </w:r>
      <w:proofErr w:type="spellStart"/>
      <w:r w:rsidRPr="00784566">
        <w:rPr>
          <w:sz w:val="24"/>
          <w:szCs w:val="24"/>
          <w:lang w:val="es-ES"/>
        </w:rPr>
        <w:t>Vienna</w:t>
      </w:r>
      <w:proofErr w:type="spellEnd"/>
      <w:r w:rsidRPr="00784566">
        <w:rPr>
          <w:sz w:val="24"/>
          <w:szCs w:val="24"/>
          <w:lang w:val="es-ES"/>
        </w:rPr>
        <w:t>, Austria.</w:t>
      </w:r>
    </w:p>
    <w:p w:rsidR="009C5ACE" w:rsidRPr="00784566" w:rsidRDefault="009C5ACE" w:rsidP="003B5B7D">
      <w:pPr>
        <w:widowControl w:val="0"/>
        <w:spacing w:line="480" w:lineRule="auto"/>
        <w:ind w:left="480" w:hanging="480"/>
        <w:rPr>
          <w:sz w:val="24"/>
          <w:szCs w:val="24"/>
          <w:lang w:val="es-ES"/>
        </w:rPr>
      </w:pPr>
      <w:r w:rsidRPr="00784566">
        <w:rPr>
          <w:sz w:val="24"/>
          <w:szCs w:val="24"/>
          <w:lang w:val="es-ES"/>
        </w:rPr>
        <w:t xml:space="preserve">Reyes Bonilla, H., Ramírez Ortiz, G., Herrero </w:t>
      </w:r>
      <w:proofErr w:type="spellStart"/>
      <w:r w:rsidRPr="00784566">
        <w:rPr>
          <w:sz w:val="24"/>
          <w:szCs w:val="24"/>
          <w:lang w:val="es-ES"/>
        </w:rPr>
        <w:t>Pérezrul</w:t>
      </w:r>
      <w:proofErr w:type="spellEnd"/>
      <w:r w:rsidRPr="00784566">
        <w:rPr>
          <w:sz w:val="24"/>
          <w:szCs w:val="24"/>
          <w:lang w:val="es-ES"/>
        </w:rPr>
        <w:t xml:space="preserve">, M.D., </w:t>
      </w:r>
      <w:proofErr w:type="spellStart"/>
      <w:r w:rsidRPr="00784566">
        <w:rPr>
          <w:sz w:val="24"/>
          <w:szCs w:val="24"/>
          <w:lang w:val="es-ES"/>
        </w:rPr>
        <w:t>Calderon</w:t>
      </w:r>
      <w:proofErr w:type="spellEnd"/>
      <w:r w:rsidRPr="00784566">
        <w:rPr>
          <w:sz w:val="24"/>
          <w:szCs w:val="24"/>
          <w:lang w:val="es-ES"/>
        </w:rPr>
        <w:t xml:space="preserve"> Aguilera, L.E., 2016. Subestimación de la abundancia del pepino café </w:t>
      </w:r>
      <w:proofErr w:type="spellStart"/>
      <w:r w:rsidRPr="00784566">
        <w:rPr>
          <w:sz w:val="24"/>
          <w:szCs w:val="24"/>
          <w:lang w:val="es-ES"/>
        </w:rPr>
        <w:t>Isostichopus</w:t>
      </w:r>
      <w:proofErr w:type="spellEnd"/>
      <w:r w:rsidRPr="00784566">
        <w:rPr>
          <w:sz w:val="24"/>
          <w:szCs w:val="24"/>
          <w:lang w:val="es-ES"/>
        </w:rPr>
        <w:t xml:space="preserve"> </w:t>
      </w:r>
      <w:proofErr w:type="spellStart"/>
      <w:r w:rsidRPr="00784566">
        <w:rPr>
          <w:sz w:val="24"/>
          <w:szCs w:val="24"/>
          <w:lang w:val="es-ES"/>
        </w:rPr>
        <w:t>fuscus</w:t>
      </w:r>
      <w:proofErr w:type="spellEnd"/>
      <w:r w:rsidRPr="00784566">
        <w:rPr>
          <w:sz w:val="24"/>
          <w:szCs w:val="24"/>
          <w:lang w:val="es-ES"/>
        </w:rPr>
        <w:t xml:space="preserve"> (</w:t>
      </w:r>
      <w:proofErr w:type="spellStart"/>
      <w:r w:rsidRPr="00784566">
        <w:rPr>
          <w:sz w:val="24"/>
          <w:szCs w:val="24"/>
          <w:lang w:val="es-ES"/>
        </w:rPr>
        <w:t>Holothuroidea</w:t>
      </w:r>
      <w:proofErr w:type="spellEnd"/>
      <w:r w:rsidRPr="00784566">
        <w:rPr>
          <w:sz w:val="24"/>
          <w:szCs w:val="24"/>
          <w:lang w:val="es-ES"/>
        </w:rPr>
        <w:t xml:space="preserve">: </w:t>
      </w:r>
      <w:proofErr w:type="spellStart"/>
      <w:r w:rsidRPr="00784566">
        <w:rPr>
          <w:sz w:val="24"/>
          <w:szCs w:val="24"/>
          <w:lang w:val="es-ES"/>
        </w:rPr>
        <w:t>Echinodermata</w:t>
      </w:r>
      <w:proofErr w:type="spellEnd"/>
      <w:r w:rsidRPr="00784566">
        <w:rPr>
          <w:sz w:val="24"/>
          <w:szCs w:val="24"/>
          <w:lang w:val="es-ES"/>
        </w:rPr>
        <w:t xml:space="preserve">), en muestreos diurnos con respecto a nocturnos en el Golfo de California. Rev. Mex. </w:t>
      </w:r>
      <w:proofErr w:type="spellStart"/>
      <w:r w:rsidRPr="00784566">
        <w:rPr>
          <w:sz w:val="24"/>
          <w:szCs w:val="24"/>
          <w:lang w:val="es-ES"/>
        </w:rPr>
        <w:t>Biodiv</w:t>
      </w:r>
      <w:proofErr w:type="spellEnd"/>
      <w:r w:rsidRPr="00784566">
        <w:rPr>
          <w:sz w:val="24"/>
          <w:szCs w:val="24"/>
          <w:lang w:val="es-ES"/>
        </w:rPr>
        <w:t xml:space="preserve">. </w:t>
      </w:r>
      <w:r w:rsidR="007E59B0">
        <w:rPr>
          <w:sz w:val="24"/>
          <w:szCs w:val="24"/>
          <w:lang w:val="es-ES"/>
        </w:rPr>
        <w:t xml:space="preserve">87, 519-522 </w:t>
      </w:r>
      <w:r w:rsidRPr="00784566">
        <w:rPr>
          <w:sz w:val="24"/>
          <w:szCs w:val="24"/>
          <w:lang w:val="es-ES"/>
        </w:rPr>
        <w:t>http://dx.doi.org/10.1016/j.rmb.2016.05.004.</w:t>
      </w:r>
    </w:p>
    <w:p w:rsidR="009C5ACE" w:rsidRPr="00784566" w:rsidRDefault="009C5ACE" w:rsidP="000426F7">
      <w:pPr>
        <w:widowControl w:val="0"/>
        <w:spacing w:line="480" w:lineRule="auto"/>
        <w:ind w:left="480" w:hanging="480"/>
        <w:rPr>
          <w:sz w:val="24"/>
          <w:szCs w:val="24"/>
        </w:rPr>
      </w:pPr>
      <w:r w:rsidRPr="00784566">
        <w:rPr>
          <w:sz w:val="24"/>
          <w:szCs w:val="24"/>
          <w:lang w:val="es-MX"/>
        </w:rPr>
        <w:t xml:space="preserve">Reyes-Bonilla, H., L. E. Calderon-Aguilera, J. M. Galaviz-López and M. D. Herrero-Pérezrul. </w:t>
      </w:r>
      <w:r w:rsidRPr="00784566">
        <w:rPr>
          <w:sz w:val="24"/>
          <w:szCs w:val="24"/>
        </w:rPr>
        <w:t xml:space="preserve">2018. Size and relative condition of the brown sea cucumber </w:t>
      </w:r>
      <w:proofErr w:type="spellStart"/>
      <w:r w:rsidRPr="00784566">
        <w:rPr>
          <w:i/>
          <w:iCs/>
          <w:sz w:val="24"/>
          <w:szCs w:val="24"/>
        </w:rPr>
        <w:t>Isostichopus</w:t>
      </w:r>
      <w:proofErr w:type="spellEnd"/>
      <w:r w:rsidRPr="00784566">
        <w:rPr>
          <w:i/>
          <w:iCs/>
          <w:sz w:val="24"/>
          <w:szCs w:val="24"/>
        </w:rPr>
        <w:t xml:space="preserve"> </w:t>
      </w:r>
      <w:proofErr w:type="spellStart"/>
      <w:r w:rsidRPr="00784566">
        <w:rPr>
          <w:i/>
          <w:iCs/>
          <w:sz w:val="24"/>
          <w:szCs w:val="24"/>
        </w:rPr>
        <w:t>fuscus</w:t>
      </w:r>
      <w:proofErr w:type="spellEnd"/>
      <w:r w:rsidRPr="00784566">
        <w:rPr>
          <w:sz w:val="24"/>
          <w:szCs w:val="24"/>
        </w:rPr>
        <w:t xml:space="preserve"> in the northern Gulf of California, Mexico. Lat. Amer. J. </w:t>
      </w:r>
      <w:proofErr w:type="spellStart"/>
      <w:r w:rsidRPr="00784566">
        <w:rPr>
          <w:sz w:val="24"/>
          <w:szCs w:val="24"/>
        </w:rPr>
        <w:t>Aquat</w:t>
      </w:r>
      <w:proofErr w:type="spellEnd"/>
      <w:r w:rsidRPr="00784566">
        <w:rPr>
          <w:sz w:val="24"/>
          <w:szCs w:val="24"/>
        </w:rPr>
        <w:t xml:space="preserve">. Res. 46: 831-836. </w:t>
      </w:r>
      <w:proofErr w:type="spellStart"/>
      <w:r w:rsidRPr="00784566">
        <w:rPr>
          <w:sz w:val="24"/>
          <w:szCs w:val="24"/>
        </w:rPr>
        <w:t>doi</w:t>
      </w:r>
      <w:proofErr w:type="spellEnd"/>
      <w:r w:rsidRPr="00784566">
        <w:rPr>
          <w:sz w:val="24"/>
          <w:szCs w:val="24"/>
        </w:rPr>
        <w:t>:</w:t>
      </w:r>
      <w:r w:rsidRPr="002D0538">
        <w:t xml:space="preserve"> </w:t>
      </w:r>
      <w:r w:rsidRPr="00784566">
        <w:rPr>
          <w:sz w:val="24"/>
          <w:szCs w:val="24"/>
        </w:rPr>
        <w:t>10.3856/vol46-issue4-fulltext-21</w:t>
      </w:r>
    </w:p>
    <w:p w:rsidR="009C5ACE" w:rsidRPr="00784566" w:rsidRDefault="009C5ACE">
      <w:pPr>
        <w:widowControl w:val="0"/>
        <w:spacing w:line="480" w:lineRule="auto"/>
        <w:ind w:left="480" w:hanging="480"/>
        <w:rPr>
          <w:sz w:val="24"/>
          <w:szCs w:val="24"/>
        </w:rPr>
      </w:pPr>
      <w:r w:rsidRPr="00EC0010">
        <w:rPr>
          <w:sz w:val="24"/>
          <w:szCs w:val="24"/>
          <w:lang w:val="en-US"/>
        </w:rPr>
        <w:t xml:space="preserve">Rodríguez-Dowdell, N., </w:t>
      </w:r>
      <w:proofErr w:type="spellStart"/>
      <w:r w:rsidRPr="00EC0010">
        <w:rPr>
          <w:sz w:val="24"/>
          <w:szCs w:val="24"/>
          <w:lang w:val="en-US"/>
        </w:rPr>
        <w:t>Enríquez</w:t>
      </w:r>
      <w:proofErr w:type="spellEnd"/>
      <w:r w:rsidRPr="00EC0010">
        <w:rPr>
          <w:sz w:val="24"/>
          <w:szCs w:val="24"/>
          <w:lang w:val="en-US"/>
        </w:rPr>
        <w:t xml:space="preserve">-Andrade, R., Cárdenas-Torres, N., 2007. </w:t>
      </w:r>
      <w:r w:rsidRPr="00784566">
        <w:rPr>
          <w:sz w:val="24"/>
          <w:szCs w:val="24"/>
        </w:rPr>
        <w:t xml:space="preserve">Property rights-based management: Whale shark ecotourism in Bahia de los Angeles, Mexico. Fish. Res. 84, 119–127. </w:t>
      </w:r>
      <w:hyperlink r:id="rId22" w:history="1">
        <w:r w:rsidRPr="0089000A">
          <w:t>https://doi.org/10.1016/j.fishres.2006.11.020</w:t>
        </w:r>
      </w:hyperlink>
      <w:r>
        <w:t xml:space="preserve">  </w:t>
      </w:r>
    </w:p>
    <w:p w:rsidR="009C5ACE" w:rsidRPr="00784566" w:rsidRDefault="009C5ACE">
      <w:pPr>
        <w:widowControl w:val="0"/>
        <w:spacing w:line="480" w:lineRule="auto"/>
        <w:ind w:left="480" w:hanging="480"/>
        <w:rPr>
          <w:sz w:val="24"/>
          <w:szCs w:val="24"/>
        </w:rPr>
      </w:pPr>
      <w:r w:rsidRPr="00784566">
        <w:rPr>
          <w:sz w:val="24"/>
          <w:szCs w:val="24"/>
          <w:lang w:val="it-IT"/>
        </w:rPr>
        <w:t xml:space="preserve">Rue, H., Martino, S., Chopin, N., 2009. </w:t>
      </w:r>
      <w:r w:rsidRPr="00784566">
        <w:rPr>
          <w:sz w:val="24"/>
          <w:szCs w:val="24"/>
        </w:rPr>
        <w:t xml:space="preserve">Approximate Bayesian inference for latent Gaussian models by using integrated nested Laplace approximations. J R Stat Soc Ser b (statistical </w:t>
      </w:r>
      <w:proofErr w:type="spellStart"/>
      <w:r w:rsidRPr="00784566">
        <w:rPr>
          <w:sz w:val="24"/>
          <w:szCs w:val="24"/>
        </w:rPr>
        <w:t>Methodol</w:t>
      </w:r>
      <w:proofErr w:type="spellEnd"/>
      <w:r w:rsidRPr="00784566">
        <w:rPr>
          <w:sz w:val="24"/>
          <w:szCs w:val="24"/>
        </w:rPr>
        <w:t xml:space="preserve">. 71:319–392. </w:t>
      </w:r>
      <w:hyperlink r:id="rId23" w:history="1">
        <w:r w:rsidRPr="00784566">
          <w:rPr>
            <w:rStyle w:val="Hyperlink"/>
            <w:sz w:val="24"/>
            <w:szCs w:val="24"/>
          </w:rPr>
          <w:t>https://doi.org/10.1111/j.1467-9868.2008.00700.x</w:t>
        </w:r>
      </w:hyperlink>
      <w:r w:rsidRPr="00784566">
        <w:rPr>
          <w:sz w:val="24"/>
          <w:szCs w:val="24"/>
        </w:rPr>
        <w:t xml:space="preserve"> </w:t>
      </w:r>
    </w:p>
    <w:p w:rsidR="009C5ACE" w:rsidRPr="00784566" w:rsidRDefault="009C5ACE">
      <w:pPr>
        <w:widowControl w:val="0"/>
        <w:spacing w:line="480" w:lineRule="auto"/>
        <w:ind w:left="480" w:hanging="480"/>
        <w:rPr>
          <w:sz w:val="24"/>
          <w:szCs w:val="24"/>
          <w:lang w:val="de-DE"/>
        </w:rPr>
      </w:pPr>
      <w:proofErr w:type="spellStart"/>
      <w:r w:rsidRPr="00784566">
        <w:rPr>
          <w:sz w:val="24"/>
          <w:szCs w:val="24"/>
        </w:rPr>
        <w:lastRenderedPageBreak/>
        <w:t>Sadykova</w:t>
      </w:r>
      <w:proofErr w:type="spellEnd"/>
      <w:r w:rsidRPr="00784566">
        <w:rPr>
          <w:sz w:val="24"/>
          <w:szCs w:val="24"/>
        </w:rPr>
        <w:t xml:space="preserve">, D, Scott, B.E., De </w:t>
      </w:r>
      <w:proofErr w:type="spellStart"/>
      <w:r w:rsidRPr="00784566">
        <w:rPr>
          <w:sz w:val="24"/>
          <w:szCs w:val="24"/>
        </w:rPr>
        <w:t>Dominicis</w:t>
      </w:r>
      <w:proofErr w:type="spellEnd"/>
      <w:r w:rsidRPr="00784566">
        <w:rPr>
          <w:sz w:val="24"/>
          <w:szCs w:val="24"/>
        </w:rPr>
        <w:t xml:space="preserve">, M., Wakelin, S.L., </w:t>
      </w:r>
      <w:proofErr w:type="spellStart"/>
      <w:r w:rsidRPr="00784566">
        <w:rPr>
          <w:sz w:val="24"/>
          <w:szCs w:val="24"/>
        </w:rPr>
        <w:t>Sadykov</w:t>
      </w:r>
      <w:proofErr w:type="spellEnd"/>
      <w:r w:rsidRPr="00784566">
        <w:rPr>
          <w:sz w:val="24"/>
          <w:szCs w:val="24"/>
        </w:rPr>
        <w:t xml:space="preserve">, A., Wolf, J., 2017. Bayesian joint models with INLA exploring marine mobile predator–prey and competitor species habitat overlap. </w:t>
      </w:r>
      <w:r w:rsidRPr="00784566">
        <w:rPr>
          <w:sz w:val="24"/>
          <w:szCs w:val="24"/>
          <w:lang w:val="de-DE"/>
        </w:rPr>
        <w:t xml:space="preserve">Ecol Evol. 7:5212–5226. </w:t>
      </w:r>
      <w:hyperlink r:id="rId24" w:history="1">
        <w:r w:rsidRPr="00784566">
          <w:rPr>
            <w:rStyle w:val="Hyperlink"/>
            <w:sz w:val="24"/>
            <w:szCs w:val="24"/>
            <w:lang w:val="de-DE"/>
          </w:rPr>
          <w:t>https://doi.org/10.1002/ece3.3081</w:t>
        </w:r>
      </w:hyperlink>
      <w:r w:rsidRPr="00784566">
        <w:rPr>
          <w:sz w:val="24"/>
          <w:szCs w:val="24"/>
          <w:lang w:val="de-DE"/>
        </w:rPr>
        <w:t xml:space="preserve"> </w:t>
      </w:r>
    </w:p>
    <w:p w:rsidR="009C5ACE" w:rsidRPr="00784566" w:rsidRDefault="009C5ACE" w:rsidP="00044E9F">
      <w:pPr>
        <w:widowControl w:val="0"/>
        <w:spacing w:line="480" w:lineRule="auto"/>
        <w:ind w:left="480" w:hanging="480"/>
        <w:rPr>
          <w:sz w:val="24"/>
          <w:szCs w:val="24"/>
        </w:rPr>
      </w:pPr>
      <w:r w:rsidRPr="00784566">
        <w:rPr>
          <w:sz w:val="24"/>
          <w:szCs w:val="24"/>
          <w:lang w:val="de-DE"/>
        </w:rPr>
        <w:t xml:space="preserve">Spiegelhalter, D. J., Best, N. G., Carlin, B. P., Van Der Linde, A., 2002. </w:t>
      </w:r>
      <w:r w:rsidRPr="00784566">
        <w:rPr>
          <w:sz w:val="24"/>
          <w:szCs w:val="24"/>
        </w:rPr>
        <w:t>Bayesian measures of model complexity and fit. J. Royal Stat. Soc. Series B (Statistical Methodology), 64(4), 583-639.</w:t>
      </w:r>
    </w:p>
    <w:p w:rsidR="009C5ACE" w:rsidRPr="00784566" w:rsidRDefault="009C5ACE" w:rsidP="00044E9F">
      <w:pPr>
        <w:widowControl w:val="0"/>
        <w:spacing w:line="480" w:lineRule="auto"/>
        <w:ind w:left="480" w:hanging="480"/>
        <w:rPr>
          <w:sz w:val="24"/>
          <w:szCs w:val="24"/>
          <w:lang w:val="de-DE"/>
        </w:rPr>
      </w:pPr>
      <w:r w:rsidRPr="00784566">
        <w:rPr>
          <w:sz w:val="24"/>
          <w:szCs w:val="24"/>
          <w:lang w:val="de-DE"/>
        </w:rPr>
        <w:t xml:space="preserve">St John Glew et al., 2019. Spatial Models of Carbon, Nitrogen and Sulphur Stable Isotope Distributions (Isoscapes) across a Shelf Sea. Methods in Ecology and Evolution, 10, 518–531. </w:t>
      </w:r>
      <w:hyperlink r:id="rId25" w:history="1">
        <w:r w:rsidRPr="00784566">
          <w:rPr>
            <w:rStyle w:val="Hyperlink"/>
            <w:sz w:val="24"/>
            <w:szCs w:val="24"/>
            <w:lang w:val="de-DE"/>
          </w:rPr>
          <w:t>https://doi.org/10.1111/2041-210X.13138</w:t>
        </w:r>
      </w:hyperlink>
      <w:r w:rsidRPr="00784566">
        <w:rPr>
          <w:sz w:val="24"/>
          <w:szCs w:val="24"/>
          <w:lang w:val="de-DE"/>
        </w:rPr>
        <w:t xml:space="preserve"> </w:t>
      </w:r>
    </w:p>
    <w:p w:rsidR="009C5ACE" w:rsidRPr="00784566" w:rsidRDefault="009C5ACE" w:rsidP="00044E9F">
      <w:pPr>
        <w:widowControl w:val="0"/>
        <w:spacing w:line="480" w:lineRule="auto"/>
        <w:ind w:left="480" w:hanging="480"/>
        <w:rPr>
          <w:sz w:val="24"/>
          <w:szCs w:val="24"/>
        </w:rPr>
      </w:pPr>
      <w:r w:rsidRPr="00784566">
        <w:rPr>
          <w:sz w:val="24"/>
          <w:szCs w:val="24"/>
        </w:rPr>
        <w:t xml:space="preserve">To, A.W.L., Shea, S.K.H. &amp; </w:t>
      </w:r>
      <w:proofErr w:type="spellStart"/>
      <w:r w:rsidRPr="00784566">
        <w:rPr>
          <w:sz w:val="24"/>
          <w:szCs w:val="24"/>
        </w:rPr>
        <w:t>Conand</w:t>
      </w:r>
      <w:proofErr w:type="spellEnd"/>
      <w:r w:rsidRPr="00784566">
        <w:rPr>
          <w:sz w:val="24"/>
          <w:szCs w:val="24"/>
        </w:rPr>
        <w:t xml:space="preserve">, C. 2018. Trade patterns of </w:t>
      </w:r>
      <w:proofErr w:type="spellStart"/>
      <w:r w:rsidRPr="00784566">
        <w:rPr>
          <w:sz w:val="24"/>
          <w:szCs w:val="24"/>
        </w:rPr>
        <w:t>bêche</w:t>
      </w:r>
      <w:proofErr w:type="spellEnd"/>
      <w:r w:rsidRPr="00784566">
        <w:rPr>
          <w:sz w:val="24"/>
          <w:szCs w:val="24"/>
        </w:rPr>
        <w:t>-de-</w:t>
      </w:r>
      <w:proofErr w:type="spellStart"/>
      <w:r w:rsidRPr="00784566">
        <w:rPr>
          <w:sz w:val="24"/>
          <w:szCs w:val="24"/>
        </w:rPr>
        <w:t>mer</w:t>
      </w:r>
      <w:proofErr w:type="spellEnd"/>
      <w:r w:rsidRPr="00784566">
        <w:rPr>
          <w:sz w:val="24"/>
          <w:szCs w:val="24"/>
        </w:rPr>
        <w:t xml:space="preserve"> at the global hub for trade and consumption – an update for Hong Kong. SPC </w:t>
      </w:r>
      <w:proofErr w:type="spellStart"/>
      <w:r w:rsidRPr="00784566">
        <w:rPr>
          <w:sz w:val="24"/>
          <w:szCs w:val="24"/>
        </w:rPr>
        <w:t>Bêche</w:t>
      </w:r>
      <w:proofErr w:type="spellEnd"/>
      <w:r w:rsidRPr="00784566">
        <w:rPr>
          <w:sz w:val="24"/>
          <w:szCs w:val="24"/>
        </w:rPr>
        <w:t>-de-</w:t>
      </w:r>
      <w:proofErr w:type="spellStart"/>
      <w:r w:rsidRPr="00784566">
        <w:rPr>
          <w:sz w:val="24"/>
          <w:szCs w:val="24"/>
        </w:rPr>
        <w:t>mer</w:t>
      </w:r>
      <w:proofErr w:type="spellEnd"/>
      <w:r w:rsidRPr="00784566">
        <w:rPr>
          <w:sz w:val="24"/>
          <w:szCs w:val="24"/>
        </w:rPr>
        <w:t xml:space="preserve"> Information Bulletin, 38: 64-67.</w:t>
      </w:r>
    </w:p>
    <w:p w:rsidR="009C5ACE" w:rsidRPr="00784566" w:rsidRDefault="009C5ACE" w:rsidP="00044E9F">
      <w:pPr>
        <w:widowControl w:val="0"/>
        <w:spacing w:line="480" w:lineRule="auto"/>
        <w:ind w:left="480" w:hanging="480"/>
        <w:rPr>
          <w:sz w:val="24"/>
          <w:szCs w:val="24"/>
        </w:rPr>
      </w:pPr>
      <w:r w:rsidRPr="00784566">
        <w:rPr>
          <w:sz w:val="24"/>
          <w:szCs w:val="24"/>
          <w:lang w:val="de-DE"/>
        </w:rPr>
        <w:t xml:space="preserve">Uthicke, S., Schaffelke, B.,  Byrn, M., 2009. </w:t>
      </w:r>
      <w:r w:rsidRPr="00784566">
        <w:rPr>
          <w:sz w:val="24"/>
          <w:szCs w:val="24"/>
        </w:rPr>
        <w:t>A boom–bust phylum? Ecological and evolutionary consequences of density varia</w:t>
      </w:r>
      <w:r>
        <w:rPr>
          <w:sz w:val="24"/>
          <w:szCs w:val="24"/>
        </w:rPr>
        <w:t xml:space="preserve">tions in echinoderms. Ecol. </w:t>
      </w:r>
      <w:proofErr w:type="spellStart"/>
      <w:r>
        <w:rPr>
          <w:sz w:val="24"/>
          <w:szCs w:val="24"/>
        </w:rPr>
        <w:t>Monogr</w:t>
      </w:r>
      <w:proofErr w:type="spellEnd"/>
      <w:r>
        <w:rPr>
          <w:sz w:val="24"/>
          <w:szCs w:val="24"/>
        </w:rPr>
        <w:t>.</w:t>
      </w:r>
      <w:r w:rsidRPr="00784566">
        <w:rPr>
          <w:sz w:val="24"/>
          <w:szCs w:val="24"/>
        </w:rPr>
        <w:t xml:space="preserve"> 79(1), 3–24. </w:t>
      </w:r>
      <w:hyperlink r:id="rId26" w:history="1">
        <w:r w:rsidRPr="00784566">
          <w:rPr>
            <w:rStyle w:val="Hyperlink"/>
            <w:sz w:val="24"/>
            <w:szCs w:val="24"/>
          </w:rPr>
          <w:t>https://doi.org/10.1890/07-1861.1</w:t>
        </w:r>
      </w:hyperlink>
    </w:p>
    <w:p w:rsidR="009C5ACE" w:rsidRDefault="009C5ACE" w:rsidP="0024783C">
      <w:pPr>
        <w:widowControl w:val="0"/>
        <w:spacing w:line="480" w:lineRule="auto"/>
        <w:ind w:left="480" w:hanging="480"/>
        <w:rPr>
          <w:sz w:val="24"/>
          <w:szCs w:val="24"/>
        </w:rPr>
      </w:pPr>
      <w:r w:rsidRPr="00784566">
        <w:rPr>
          <w:sz w:val="24"/>
          <w:szCs w:val="24"/>
        </w:rPr>
        <w:t>Watanabe, S., 2010. Asymptotic equivalence of Bayes cross validation and widely applicable information criterion in sing</w:t>
      </w:r>
      <w:r>
        <w:rPr>
          <w:sz w:val="24"/>
          <w:szCs w:val="24"/>
        </w:rPr>
        <w:t xml:space="preserve">ular learning theory. J. </w:t>
      </w:r>
      <w:r w:rsidRPr="00784566">
        <w:rPr>
          <w:sz w:val="24"/>
          <w:szCs w:val="24"/>
        </w:rPr>
        <w:t>Mach</w:t>
      </w:r>
      <w:r>
        <w:rPr>
          <w:sz w:val="24"/>
          <w:szCs w:val="24"/>
        </w:rPr>
        <w:t>.</w:t>
      </w:r>
      <w:r w:rsidRPr="00784566">
        <w:rPr>
          <w:sz w:val="24"/>
          <w:szCs w:val="24"/>
        </w:rPr>
        <w:t xml:space="preserve"> Learn</w:t>
      </w:r>
      <w:r>
        <w:rPr>
          <w:sz w:val="24"/>
          <w:szCs w:val="24"/>
        </w:rPr>
        <w:t>.</w:t>
      </w:r>
      <w:r w:rsidRPr="00784566">
        <w:rPr>
          <w:sz w:val="24"/>
          <w:szCs w:val="24"/>
        </w:rPr>
        <w:t xml:space="preserve"> Re</w:t>
      </w:r>
      <w:r>
        <w:rPr>
          <w:sz w:val="24"/>
          <w:szCs w:val="24"/>
        </w:rPr>
        <w:t>.</w:t>
      </w:r>
      <w:r w:rsidRPr="00784566">
        <w:rPr>
          <w:sz w:val="24"/>
          <w:szCs w:val="24"/>
        </w:rPr>
        <w:t>, 11: 3571-3594.</w:t>
      </w:r>
    </w:p>
    <w:p w:rsidR="009C5ACE" w:rsidRPr="00784566" w:rsidRDefault="009C5ACE" w:rsidP="0024783C">
      <w:pPr>
        <w:widowControl w:val="0"/>
        <w:spacing w:line="480" w:lineRule="auto"/>
        <w:ind w:left="480" w:hanging="480"/>
        <w:rPr>
          <w:sz w:val="24"/>
          <w:szCs w:val="24"/>
        </w:rPr>
      </w:pPr>
      <w:r>
        <w:rPr>
          <w:sz w:val="24"/>
          <w:szCs w:val="24"/>
        </w:rPr>
        <w:br w:type="page"/>
      </w:r>
    </w:p>
    <w:sectPr w:rsidR="009C5ACE" w:rsidRPr="00784566" w:rsidSect="003D129A">
      <w:pgSz w:w="11906" w:h="16838"/>
      <w:pgMar w:top="1440" w:right="1440" w:bottom="1440" w:left="1440" w:header="708" w:footer="708"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26A" w:rsidRDefault="002B726A">
      <w:pPr>
        <w:spacing w:after="0" w:line="240" w:lineRule="auto"/>
      </w:pPr>
      <w:r>
        <w:separator/>
      </w:r>
    </w:p>
  </w:endnote>
  <w:endnote w:type="continuationSeparator" w:id="0">
    <w:p w:rsidR="002B726A" w:rsidRDefault="002B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LMRoman10-Regular">
    <w:altName w:val="Calibri"/>
    <w:panose1 w:val="00000000000000000000"/>
    <w:charset w:val="00"/>
    <w:family w:val="auto"/>
    <w:notTrueType/>
    <w:pitch w:val="default"/>
    <w:sig w:usb0="00000003" w:usb1="00000000" w:usb2="00000000" w:usb3="00000000" w:csb0="00000001" w:csb1="00000000"/>
  </w:font>
  <w:font w:name="Carlit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3D8" w:rsidRDefault="008D13D8">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8D13D8" w:rsidRDefault="008D13D8">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3D8" w:rsidRDefault="008D13D8">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C0010">
      <w:rPr>
        <w:noProof/>
        <w:color w:val="000000"/>
      </w:rPr>
      <w:t>16</w:t>
    </w:r>
    <w:r>
      <w:rPr>
        <w:color w:val="000000"/>
      </w:rPr>
      <w:fldChar w:fldCharType="end"/>
    </w:r>
  </w:p>
  <w:p w:rsidR="008D13D8" w:rsidRDefault="008D13D8">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26A" w:rsidRDefault="002B726A">
      <w:pPr>
        <w:spacing w:after="0" w:line="240" w:lineRule="auto"/>
      </w:pPr>
      <w:r>
        <w:separator/>
      </w:r>
    </w:p>
  </w:footnote>
  <w:footnote w:type="continuationSeparator" w:id="0">
    <w:p w:rsidR="002B726A" w:rsidRDefault="002B7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547FA"/>
    <w:multiLevelType w:val="hybridMultilevel"/>
    <w:tmpl w:val="AEBCE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E430C8"/>
    <w:multiLevelType w:val="hybridMultilevel"/>
    <w:tmpl w:val="441A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4C3"/>
    <w:rsid w:val="00007006"/>
    <w:rsid w:val="00015B38"/>
    <w:rsid w:val="00015F9A"/>
    <w:rsid w:val="00031513"/>
    <w:rsid w:val="00033386"/>
    <w:rsid w:val="0003358F"/>
    <w:rsid w:val="00037632"/>
    <w:rsid w:val="000426F7"/>
    <w:rsid w:val="00044AC1"/>
    <w:rsid w:val="00044E9F"/>
    <w:rsid w:val="00046E96"/>
    <w:rsid w:val="00051E79"/>
    <w:rsid w:val="000554AC"/>
    <w:rsid w:val="00062F67"/>
    <w:rsid w:val="0008302A"/>
    <w:rsid w:val="00086690"/>
    <w:rsid w:val="00090D64"/>
    <w:rsid w:val="000910F6"/>
    <w:rsid w:val="0009623E"/>
    <w:rsid w:val="000D1681"/>
    <w:rsid w:val="000E254B"/>
    <w:rsid w:val="000E333D"/>
    <w:rsid w:val="000E6AFD"/>
    <w:rsid w:val="000F6209"/>
    <w:rsid w:val="001014F8"/>
    <w:rsid w:val="0010251C"/>
    <w:rsid w:val="00102BD9"/>
    <w:rsid w:val="00110C8D"/>
    <w:rsid w:val="00121624"/>
    <w:rsid w:val="00124192"/>
    <w:rsid w:val="00135577"/>
    <w:rsid w:val="0013671E"/>
    <w:rsid w:val="001448DF"/>
    <w:rsid w:val="001634E8"/>
    <w:rsid w:val="00165FE0"/>
    <w:rsid w:val="00166574"/>
    <w:rsid w:val="0017035F"/>
    <w:rsid w:val="001923B7"/>
    <w:rsid w:val="00196F5D"/>
    <w:rsid w:val="001979BF"/>
    <w:rsid w:val="001B3795"/>
    <w:rsid w:val="001C3549"/>
    <w:rsid w:val="001E64C3"/>
    <w:rsid w:val="001F3984"/>
    <w:rsid w:val="001F63DF"/>
    <w:rsid w:val="00211DF5"/>
    <w:rsid w:val="00225F01"/>
    <w:rsid w:val="002363D9"/>
    <w:rsid w:val="00237F43"/>
    <w:rsid w:val="0024783C"/>
    <w:rsid w:val="00250396"/>
    <w:rsid w:val="00261384"/>
    <w:rsid w:val="002640AB"/>
    <w:rsid w:val="002B726A"/>
    <w:rsid w:val="002C05BA"/>
    <w:rsid w:val="002C1C1C"/>
    <w:rsid w:val="002D0538"/>
    <w:rsid w:val="002E05B8"/>
    <w:rsid w:val="002E4709"/>
    <w:rsid w:val="002F5E28"/>
    <w:rsid w:val="00307CCD"/>
    <w:rsid w:val="003278DC"/>
    <w:rsid w:val="003504CF"/>
    <w:rsid w:val="00370F84"/>
    <w:rsid w:val="0037188D"/>
    <w:rsid w:val="00372570"/>
    <w:rsid w:val="00376E98"/>
    <w:rsid w:val="003928FA"/>
    <w:rsid w:val="003A223A"/>
    <w:rsid w:val="003B5B7D"/>
    <w:rsid w:val="003C65E4"/>
    <w:rsid w:val="003D129A"/>
    <w:rsid w:val="003D46E1"/>
    <w:rsid w:val="003F5EF7"/>
    <w:rsid w:val="003F6042"/>
    <w:rsid w:val="004233EB"/>
    <w:rsid w:val="00437FD4"/>
    <w:rsid w:val="00461202"/>
    <w:rsid w:val="004A501B"/>
    <w:rsid w:val="004A5240"/>
    <w:rsid w:val="004A5B31"/>
    <w:rsid w:val="004B1517"/>
    <w:rsid w:val="004B2481"/>
    <w:rsid w:val="004B3A0E"/>
    <w:rsid w:val="004B4B35"/>
    <w:rsid w:val="004C3880"/>
    <w:rsid w:val="004C7517"/>
    <w:rsid w:val="004E12D9"/>
    <w:rsid w:val="004E2BDE"/>
    <w:rsid w:val="004E452A"/>
    <w:rsid w:val="004E4F0B"/>
    <w:rsid w:val="004F55BF"/>
    <w:rsid w:val="004F79E1"/>
    <w:rsid w:val="005067B5"/>
    <w:rsid w:val="0052242A"/>
    <w:rsid w:val="0053461F"/>
    <w:rsid w:val="00545AB0"/>
    <w:rsid w:val="00566B1F"/>
    <w:rsid w:val="00572844"/>
    <w:rsid w:val="00575989"/>
    <w:rsid w:val="00586727"/>
    <w:rsid w:val="00595C61"/>
    <w:rsid w:val="00596860"/>
    <w:rsid w:val="005A1FFD"/>
    <w:rsid w:val="005A217B"/>
    <w:rsid w:val="005B706E"/>
    <w:rsid w:val="005C0935"/>
    <w:rsid w:val="005C10F3"/>
    <w:rsid w:val="005D3DA2"/>
    <w:rsid w:val="005D7C9D"/>
    <w:rsid w:val="005E1DC2"/>
    <w:rsid w:val="005E42BD"/>
    <w:rsid w:val="005E4B42"/>
    <w:rsid w:val="005E700B"/>
    <w:rsid w:val="00615357"/>
    <w:rsid w:val="00623525"/>
    <w:rsid w:val="00631D5F"/>
    <w:rsid w:val="00634EF4"/>
    <w:rsid w:val="00635286"/>
    <w:rsid w:val="00675B52"/>
    <w:rsid w:val="00676B33"/>
    <w:rsid w:val="00677601"/>
    <w:rsid w:val="00685B95"/>
    <w:rsid w:val="00693236"/>
    <w:rsid w:val="006972AF"/>
    <w:rsid w:val="006C234D"/>
    <w:rsid w:val="006E325C"/>
    <w:rsid w:val="006E5F74"/>
    <w:rsid w:val="006E62A9"/>
    <w:rsid w:val="007008FB"/>
    <w:rsid w:val="00734327"/>
    <w:rsid w:val="00743087"/>
    <w:rsid w:val="00753083"/>
    <w:rsid w:val="00767BAF"/>
    <w:rsid w:val="00784566"/>
    <w:rsid w:val="00795EB9"/>
    <w:rsid w:val="007A2E39"/>
    <w:rsid w:val="007A64FE"/>
    <w:rsid w:val="007B66AA"/>
    <w:rsid w:val="007C104F"/>
    <w:rsid w:val="007D56DF"/>
    <w:rsid w:val="007E2EA4"/>
    <w:rsid w:val="007E59B0"/>
    <w:rsid w:val="007F55DF"/>
    <w:rsid w:val="008025A2"/>
    <w:rsid w:val="00802A44"/>
    <w:rsid w:val="00830E01"/>
    <w:rsid w:val="00831A1B"/>
    <w:rsid w:val="00831CEF"/>
    <w:rsid w:val="00832530"/>
    <w:rsid w:val="00863F12"/>
    <w:rsid w:val="008659E3"/>
    <w:rsid w:val="00882CDA"/>
    <w:rsid w:val="00885385"/>
    <w:rsid w:val="00886D59"/>
    <w:rsid w:val="0089000A"/>
    <w:rsid w:val="0089142F"/>
    <w:rsid w:val="008D13D8"/>
    <w:rsid w:val="008F253A"/>
    <w:rsid w:val="00905ED0"/>
    <w:rsid w:val="00925F5E"/>
    <w:rsid w:val="009261DB"/>
    <w:rsid w:val="00946066"/>
    <w:rsid w:val="009543EC"/>
    <w:rsid w:val="00960F3F"/>
    <w:rsid w:val="00962190"/>
    <w:rsid w:val="00964124"/>
    <w:rsid w:val="00965834"/>
    <w:rsid w:val="009725C7"/>
    <w:rsid w:val="00982FCE"/>
    <w:rsid w:val="00990AEE"/>
    <w:rsid w:val="00993587"/>
    <w:rsid w:val="009943D0"/>
    <w:rsid w:val="009943FC"/>
    <w:rsid w:val="00996B50"/>
    <w:rsid w:val="009A763A"/>
    <w:rsid w:val="009B058F"/>
    <w:rsid w:val="009C5ACE"/>
    <w:rsid w:val="009D0B53"/>
    <w:rsid w:val="009D0BCB"/>
    <w:rsid w:val="009D2596"/>
    <w:rsid w:val="009D6964"/>
    <w:rsid w:val="009E33B5"/>
    <w:rsid w:val="009E464F"/>
    <w:rsid w:val="009F1622"/>
    <w:rsid w:val="009F1742"/>
    <w:rsid w:val="009F228D"/>
    <w:rsid w:val="009F7B5A"/>
    <w:rsid w:val="00A0180C"/>
    <w:rsid w:val="00A0311B"/>
    <w:rsid w:val="00A10B1F"/>
    <w:rsid w:val="00A11A53"/>
    <w:rsid w:val="00A14234"/>
    <w:rsid w:val="00A17518"/>
    <w:rsid w:val="00A267B3"/>
    <w:rsid w:val="00A34F95"/>
    <w:rsid w:val="00A37CBB"/>
    <w:rsid w:val="00A41134"/>
    <w:rsid w:val="00A51AB1"/>
    <w:rsid w:val="00A64E01"/>
    <w:rsid w:val="00A67018"/>
    <w:rsid w:val="00A7111B"/>
    <w:rsid w:val="00A80A2F"/>
    <w:rsid w:val="00AB046B"/>
    <w:rsid w:val="00AC6853"/>
    <w:rsid w:val="00AD0547"/>
    <w:rsid w:val="00AD359E"/>
    <w:rsid w:val="00B000C5"/>
    <w:rsid w:val="00B01737"/>
    <w:rsid w:val="00B061F8"/>
    <w:rsid w:val="00B108F6"/>
    <w:rsid w:val="00B128C8"/>
    <w:rsid w:val="00B1506C"/>
    <w:rsid w:val="00B24A1C"/>
    <w:rsid w:val="00B27A3C"/>
    <w:rsid w:val="00B324EC"/>
    <w:rsid w:val="00B34887"/>
    <w:rsid w:val="00B51691"/>
    <w:rsid w:val="00B61C1C"/>
    <w:rsid w:val="00B95CB3"/>
    <w:rsid w:val="00BC6870"/>
    <w:rsid w:val="00BD3641"/>
    <w:rsid w:val="00BD4D8F"/>
    <w:rsid w:val="00C07707"/>
    <w:rsid w:val="00C21E7E"/>
    <w:rsid w:val="00C253A3"/>
    <w:rsid w:val="00C261E1"/>
    <w:rsid w:val="00C42396"/>
    <w:rsid w:val="00C45C46"/>
    <w:rsid w:val="00C550F4"/>
    <w:rsid w:val="00C74814"/>
    <w:rsid w:val="00C974F7"/>
    <w:rsid w:val="00CA3C2A"/>
    <w:rsid w:val="00CA6AE3"/>
    <w:rsid w:val="00CB003A"/>
    <w:rsid w:val="00CB2DC8"/>
    <w:rsid w:val="00CE058F"/>
    <w:rsid w:val="00CE25F3"/>
    <w:rsid w:val="00CE7840"/>
    <w:rsid w:val="00CF13FE"/>
    <w:rsid w:val="00CF2D14"/>
    <w:rsid w:val="00D05EAB"/>
    <w:rsid w:val="00D176D5"/>
    <w:rsid w:val="00D2792E"/>
    <w:rsid w:val="00D40B2A"/>
    <w:rsid w:val="00D51AF6"/>
    <w:rsid w:val="00D66BBC"/>
    <w:rsid w:val="00D7132C"/>
    <w:rsid w:val="00D72740"/>
    <w:rsid w:val="00D72D19"/>
    <w:rsid w:val="00DB5481"/>
    <w:rsid w:val="00DC1D29"/>
    <w:rsid w:val="00DC6F7F"/>
    <w:rsid w:val="00DD4A0A"/>
    <w:rsid w:val="00DF3939"/>
    <w:rsid w:val="00DF3F62"/>
    <w:rsid w:val="00DF7188"/>
    <w:rsid w:val="00E048BD"/>
    <w:rsid w:val="00E205EC"/>
    <w:rsid w:val="00E22A84"/>
    <w:rsid w:val="00E236B2"/>
    <w:rsid w:val="00E2508B"/>
    <w:rsid w:val="00E5096D"/>
    <w:rsid w:val="00E6777A"/>
    <w:rsid w:val="00E74F6B"/>
    <w:rsid w:val="00E7712E"/>
    <w:rsid w:val="00E772AE"/>
    <w:rsid w:val="00E84B42"/>
    <w:rsid w:val="00EA069A"/>
    <w:rsid w:val="00EA0EEA"/>
    <w:rsid w:val="00EA1D3B"/>
    <w:rsid w:val="00EB1DE6"/>
    <w:rsid w:val="00EC0010"/>
    <w:rsid w:val="00EC7D1A"/>
    <w:rsid w:val="00ED0965"/>
    <w:rsid w:val="00EE1C9C"/>
    <w:rsid w:val="00EE3852"/>
    <w:rsid w:val="00EF6F0C"/>
    <w:rsid w:val="00F02F8F"/>
    <w:rsid w:val="00F23EA5"/>
    <w:rsid w:val="00F45D22"/>
    <w:rsid w:val="00F51043"/>
    <w:rsid w:val="00F71401"/>
    <w:rsid w:val="00F73694"/>
    <w:rsid w:val="00F73F8C"/>
    <w:rsid w:val="00F75D27"/>
    <w:rsid w:val="00F77C23"/>
    <w:rsid w:val="00F87972"/>
    <w:rsid w:val="00FA1464"/>
    <w:rsid w:val="00FA410E"/>
    <w:rsid w:val="00FA7C28"/>
    <w:rsid w:val="00FD095C"/>
    <w:rsid w:val="00FD5CC8"/>
    <w:rsid w:val="00FD70FB"/>
    <w:rsid w:val="00FE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1F2A19D-51DC-49B0-B194-9F9CE408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543EC"/>
    <w:pPr>
      <w:spacing w:after="0" w:line="240" w:lineRule="auto"/>
    </w:pPr>
    <w:rPr>
      <w:rFonts w:ascii="Times New Roman" w:hAnsi="Times New Roman" w:cs="Times New Roman"/>
      <w:sz w:val="18"/>
      <w:szCs w:val="18"/>
    </w:rPr>
  </w:style>
  <w:style w:type="character" w:customStyle="1" w:styleId="BalloonTextChar">
    <w:name w:val="Balloon Text Char"/>
    <w:link w:val="BalloonText"/>
    <w:uiPriority w:val="99"/>
    <w:semiHidden/>
    <w:rsid w:val="009543EC"/>
    <w:rPr>
      <w:rFonts w:ascii="Times New Roman" w:hAnsi="Times New Roman" w:cs="Times New Roman"/>
      <w:sz w:val="18"/>
      <w:szCs w:val="18"/>
    </w:rPr>
  </w:style>
  <w:style w:type="character" w:styleId="LineNumber">
    <w:name w:val="line number"/>
    <w:basedOn w:val="DefaultParagraphFont"/>
    <w:uiPriority w:val="99"/>
    <w:semiHidden/>
    <w:unhideWhenUsed/>
    <w:rsid w:val="009543EC"/>
  </w:style>
  <w:style w:type="character" w:styleId="Hyperlink">
    <w:name w:val="Hyperlink"/>
    <w:uiPriority w:val="99"/>
    <w:unhideWhenUsed/>
    <w:rsid w:val="007A64FE"/>
    <w:rPr>
      <w:color w:val="0000FF"/>
      <w:u w:val="single"/>
    </w:rPr>
  </w:style>
  <w:style w:type="character" w:styleId="EndnoteReference">
    <w:name w:val="endnote reference"/>
    <w:uiPriority w:val="99"/>
    <w:semiHidden/>
    <w:unhideWhenUsed/>
    <w:rsid w:val="00EE3852"/>
    <w:rPr>
      <w:vertAlign w:val="superscript"/>
    </w:rPr>
  </w:style>
  <w:style w:type="character" w:styleId="FootnoteReference">
    <w:name w:val="footnote reference"/>
    <w:uiPriority w:val="99"/>
    <w:semiHidden/>
    <w:unhideWhenUsed/>
    <w:rsid w:val="00EE3852"/>
    <w:rPr>
      <w:vertAlign w:val="superscript"/>
    </w:rPr>
  </w:style>
  <w:style w:type="character" w:styleId="PlaceholderText">
    <w:name w:val="Placeholder Text"/>
    <w:uiPriority w:val="99"/>
    <w:semiHidden/>
    <w:rsid w:val="00C550F4"/>
    <w:rPr>
      <w:color w:val="808080"/>
    </w:rPr>
  </w:style>
  <w:style w:type="paragraph" w:styleId="CommentSubject">
    <w:name w:val="annotation subject"/>
    <w:basedOn w:val="CommentText"/>
    <w:next w:val="CommentText"/>
    <w:link w:val="CommentSubjectChar"/>
    <w:uiPriority w:val="99"/>
    <w:semiHidden/>
    <w:unhideWhenUsed/>
    <w:rsid w:val="00D7132C"/>
    <w:rPr>
      <w:b/>
      <w:bCs/>
    </w:rPr>
  </w:style>
  <w:style w:type="character" w:customStyle="1" w:styleId="CommentSubjectChar">
    <w:name w:val="Comment Subject Char"/>
    <w:link w:val="CommentSubject"/>
    <w:uiPriority w:val="99"/>
    <w:semiHidden/>
    <w:rsid w:val="00D7132C"/>
    <w:rPr>
      <w:b/>
      <w:bCs/>
      <w:sz w:val="20"/>
      <w:szCs w:val="20"/>
      <w:lang w:eastAsia="en-US"/>
    </w:rPr>
  </w:style>
  <w:style w:type="table" w:styleId="TableGrid">
    <w:name w:val="Table Grid"/>
    <w:basedOn w:val="TableNormal"/>
    <w:uiPriority w:val="39"/>
    <w:rsid w:val="0005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3D129A"/>
    <w:rPr>
      <w:color w:val="800080"/>
      <w:u w:val="single"/>
    </w:rPr>
  </w:style>
  <w:style w:type="character" w:customStyle="1" w:styleId="Heading1Char">
    <w:name w:val="Heading 1 Char"/>
    <w:link w:val="Heading1"/>
    <w:uiPriority w:val="9"/>
    <w:rsid w:val="004B1517"/>
    <w:rPr>
      <w:b/>
      <w:sz w:val="48"/>
      <w:szCs w:val="48"/>
      <w:lang w:eastAsia="en-US"/>
    </w:rPr>
  </w:style>
  <w:style w:type="paragraph" w:styleId="Revision">
    <w:name w:val="Revision"/>
    <w:hidden/>
    <w:uiPriority w:val="99"/>
    <w:semiHidden/>
    <w:rsid w:val="003278DC"/>
    <w:rPr>
      <w:sz w:val="22"/>
      <w:szCs w:val="22"/>
      <w:lang w:val="en-GB"/>
    </w:rPr>
  </w:style>
  <w:style w:type="paragraph" w:styleId="ListParagraph">
    <w:name w:val="List Paragraph"/>
    <w:basedOn w:val="Normal"/>
    <w:uiPriority w:val="34"/>
    <w:qFormat/>
    <w:rsid w:val="00250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71289">
      <w:bodyDiv w:val="1"/>
      <w:marLeft w:val="0"/>
      <w:marRight w:val="0"/>
      <w:marTop w:val="0"/>
      <w:marBottom w:val="0"/>
      <w:divBdr>
        <w:top w:val="none" w:sz="0" w:space="0" w:color="auto"/>
        <w:left w:val="none" w:sz="0" w:space="0" w:color="auto"/>
        <w:bottom w:val="none" w:sz="0" w:space="0" w:color="auto"/>
        <w:right w:val="none" w:sz="0" w:space="0" w:color="auto"/>
      </w:divBdr>
      <w:divsChild>
        <w:div w:id="1290435322">
          <w:marLeft w:val="0"/>
          <w:marRight w:val="0"/>
          <w:marTop w:val="0"/>
          <w:marBottom w:val="0"/>
          <w:divBdr>
            <w:top w:val="none" w:sz="0" w:space="0" w:color="auto"/>
            <w:left w:val="none" w:sz="0" w:space="0" w:color="auto"/>
            <w:bottom w:val="none" w:sz="0" w:space="0" w:color="auto"/>
            <w:right w:val="none" w:sz="0" w:space="0" w:color="auto"/>
          </w:divBdr>
        </w:div>
      </w:divsChild>
    </w:div>
    <w:div w:id="198471502">
      <w:bodyDiv w:val="1"/>
      <w:marLeft w:val="0"/>
      <w:marRight w:val="0"/>
      <w:marTop w:val="0"/>
      <w:marBottom w:val="0"/>
      <w:divBdr>
        <w:top w:val="none" w:sz="0" w:space="0" w:color="auto"/>
        <w:left w:val="none" w:sz="0" w:space="0" w:color="auto"/>
        <w:bottom w:val="none" w:sz="0" w:space="0" w:color="auto"/>
        <w:right w:val="none" w:sz="0" w:space="0" w:color="auto"/>
      </w:divBdr>
    </w:div>
    <w:div w:id="743186681">
      <w:bodyDiv w:val="1"/>
      <w:marLeft w:val="0"/>
      <w:marRight w:val="0"/>
      <w:marTop w:val="0"/>
      <w:marBottom w:val="0"/>
      <w:divBdr>
        <w:top w:val="none" w:sz="0" w:space="0" w:color="auto"/>
        <w:left w:val="none" w:sz="0" w:space="0" w:color="auto"/>
        <w:bottom w:val="none" w:sz="0" w:space="0" w:color="auto"/>
        <w:right w:val="none" w:sz="0" w:space="0" w:color="auto"/>
      </w:divBdr>
    </w:div>
    <w:div w:id="1110856689">
      <w:bodyDiv w:val="1"/>
      <w:marLeft w:val="0"/>
      <w:marRight w:val="0"/>
      <w:marTop w:val="0"/>
      <w:marBottom w:val="0"/>
      <w:divBdr>
        <w:top w:val="none" w:sz="0" w:space="0" w:color="auto"/>
        <w:left w:val="none" w:sz="0" w:space="0" w:color="auto"/>
        <w:bottom w:val="none" w:sz="0" w:space="0" w:color="auto"/>
        <w:right w:val="none" w:sz="0" w:space="0" w:color="auto"/>
      </w:divBdr>
    </w:div>
    <w:div w:id="1260335245">
      <w:bodyDiv w:val="1"/>
      <w:marLeft w:val="0"/>
      <w:marRight w:val="0"/>
      <w:marTop w:val="0"/>
      <w:marBottom w:val="0"/>
      <w:divBdr>
        <w:top w:val="none" w:sz="0" w:space="0" w:color="auto"/>
        <w:left w:val="none" w:sz="0" w:space="0" w:color="auto"/>
        <w:bottom w:val="none" w:sz="0" w:space="0" w:color="auto"/>
        <w:right w:val="none" w:sz="0" w:space="0" w:color="auto"/>
      </w:divBdr>
    </w:div>
    <w:div w:id="1376002687">
      <w:bodyDiv w:val="1"/>
      <w:marLeft w:val="0"/>
      <w:marRight w:val="0"/>
      <w:marTop w:val="0"/>
      <w:marBottom w:val="0"/>
      <w:divBdr>
        <w:top w:val="none" w:sz="0" w:space="0" w:color="auto"/>
        <w:left w:val="none" w:sz="0" w:space="0" w:color="auto"/>
        <w:bottom w:val="none" w:sz="0" w:space="0" w:color="auto"/>
        <w:right w:val="none" w:sz="0" w:space="0" w:color="auto"/>
      </w:divBdr>
    </w:div>
    <w:div w:id="1415974025">
      <w:bodyDiv w:val="1"/>
      <w:marLeft w:val="0"/>
      <w:marRight w:val="0"/>
      <w:marTop w:val="0"/>
      <w:marBottom w:val="0"/>
      <w:divBdr>
        <w:top w:val="none" w:sz="0" w:space="0" w:color="auto"/>
        <w:left w:val="none" w:sz="0" w:space="0" w:color="auto"/>
        <w:bottom w:val="none" w:sz="0" w:space="0" w:color="auto"/>
        <w:right w:val="none" w:sz="0" w:space="0" w:color="auto"/>
      </w:divBdr>
    </w:div>
    <w:div w:id="1522160110">
      <w:bodyDiv w:val="1"/>
      <w:marLeft w:val="0"/>
      <w:marRight w:val="0"/>
      <w:marTop w:val="0"/>
      <w:marBottom w:val="0"/>
      <w:divBdr>
        <w:top w:val="none" w:sz="0" w:space="0" w:color="auto"/>
        <w:left w:val="none" w:sz="0" w:space="0" w:color="auto"/>
        <w:bottom w:val="none" w:sz="0" w:space="0" w:color="auto"/>
        <w:right w:val="none" w:sz="0" w:space="0" w:color="auto"/>
      </w:divBdr>
    </w:div>
    <w:div w:id="1526752350">
      <w:bodyDiv w:val="1"/>
      <w:marLeft w:val="0"/>
      <w:marRight w:val="0"/>
      <w:marTop w:val="0"/>
      <w:marBottom w:val="0"/>
      <w:divBdr>
        <w:top w:val="none" w:sz="0" w:space="0" w:color="auto"/>
        <w:left w:val="none" w:sz="0" w:space="0" w:color="auto"/>
        <w:bottom w:val="none" w:sz="0" w:space="0" w:color="auto"/>
        <w:right w:val="none" w:sz="0" w:space="0" w:color="auto"/>
      </w:divBdr>
    </w:div>
    <w:div w:id="1573467667">
      <w:bodyDiv w:val="1"/>
      <w:marLeft w:val="0"/>
      <w:marRight w:val="0"/>
      <w:marTop w:val="0"/>
      <w:marBottom w:val="0"/>
      <w:divBdr>
        <w:top w:val="none" w:sz="0" w:space="0" w:color="auto"/>
        <w:left w:val="none" w:sz="0" w:space="0" w:color="auto"/>
        <w:bottom w:val="none" w:sz="0" w:space="0" w:color="auto"/>
        <w:right w:val="none" w:sz="0" w:space="0" w:color="auto"/>
      </w:divBdr>
    </w:div>
    <w:div w:id="1654797746">
      <w:bodyDiv w:val="1"/>
      <w:marLeft w:val="0"/>
      <w:marRight w:val="0"/>
      <w:marTop w:val="0"/>
      <w:marBottom w:val="0"/>
      <w:divBdr>
        <w:top w:val="none" w:sz="0" w:space="0" w:color="auto"/>
        <w:left w:val="none" w:sz="0" w:space="0" w:color="auto"/>
        <w:bottom w:val="none" w:sz="0" w:space="0" w:color="auto"/>
        <w:right w:val="none" w:sz="0" w:space="0" w:color="auto"/>
      </w:divBdr>
    </w:div>
    <w:div w:id="1766615300">
      <w:bodyDiv w:val="1"/>
      <w:marLeft w:val="0"/>
      <w:marRight w:val="0"/>
      <w:marTop w:val="0"/>
      <w:marBottom w:val="0"/>
      <w:divBdr>
        <w:top w:val="none" w:sz="0" w:space="0" w:color="auto"/>
        <w:left w:val="none" w:sz="0" w:space="0" w:color="auto"/>
        <w:bottom w:val="none" w:sz="0" w:space="0" w:color="auto"/>
        <w:right w:val="none" w:sz="0" w:space="0" w:color="auto"/>
      </w:divBdr>
    </w:div>
    <w:div w:id="210398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nmfs.noaa.gov/ecosystems/lme/" TargetMode="External"/><Relationship Id="rId13" Type="http://schemas.openxmlformats.org/officeDocument/2006/relationships/footer" Target="footer1.xml"/><Relationship Id="rId18" Type="http://schemas.openxmlformats.org/officeDocument/2006/relationships/hyperlink" Target="http://dof.gob.mx/nota_detalle_popup.php?codigo=5173091" TargetMode="External"/><Relationship Id="rId26" Type="http://schemas.openxmlformats.org/officeDocument/2006/relationships/hyperlink" Target="https://doi.org/10.1890/07-1861.1" TargetMode="External"/><Relationship Id="rId3" Type="http://schemas.openxmlformats.org/officeDocument/2006/relationships/styles" Target="styles.xml"/><Relationship Id="rId21" Type="http://schemas.openxmlformats.org/officeDocument/2006/relationships/hyperlink" Target="https://doi.org/10.1098/rspb.2013.3296" TargetMode="External"/><Relationship Id="rId7" Type="http://schemas.openxmlformats.org/officeDocument/2006/relationships/endnotes" Target="endnotes.xml"/><Relationship Id="rId12" Type="http://schemas.openxmlformats.org/officeDocument/2006/relationships/hyperlink" Target="http://www.github.com/laurajanegraham/sea_cucumber" TargetMode="External"/><Relationship Id="rId17" Type="http://schemas.openxmlformats.org/officeDocument/2006/relationships/hyperlink" Target="https://www.cites.org/" TargetMode="External"/><Relationship Id="rId25" Type="http://schemas.openxmlformats.org/officeDocument/2006/relationships/hyperlink" Target="https://doi.org/10.1111/2041-210X.13138"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dx.doi.org/10.22201/ib.20078706e.2018.2.22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bco.net/" TargetMode="External"/><Relationship Id="rId24" Type="http://schemas.openxmlformats.org/officeDocument/2006/relationships/hyperlink" Target="https://doi.org/10.1002/ece3.3081"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111/j.1467-9868.2008.00700.x"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iucn.org/resources/conservation-tools/iucn-red-list-threatened-species" TargetMode="External"/><Relationship Id="rId4" Type="http://schemas.openxmlformats.org/officeDocument/2006/relationships/settings" Target="settings.xml"/><Relationship Id="rId9" Type="http://schemas.openxmlformats.org/officeDocument/2006/relationships/hyperlink" Target="http://www.beta.inegi.org.mx/proyectos/ccpv/2010/" TargetMode="External"/><Relationship Id="rId14" Type="http://schemas.openxmlformats.org/officeDocument/2006/relationships/footer" Target="footer2.xml"/><Relationship Id="rId22" Type="http://schemas.openxmlformats.org/officeDocument/2006/relationships/hyperlink" Target="https://doi.org/10.1016/j.fishres.2006.11.02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83CEEC6-0778-499A-B60A-72D4EAC1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7066</Words>
  <Characters>40278</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47250</CharactersWithSpaces>
  <SharedDoc>false</SharedDoc>
  <HLinks>
    <vt:vector size="84" baseType="variant">
      <vt:variant>
        <vt:i4>262214</vt:i4>
      </vt:variant>
      <vt:variant>
        <vt:i4>81</vt:i4>
      </vt:variant>
      <vt:variant>
        <vt:i4>0</vt:i4>
      </vt:variant>
      <vt:variant>
        <vt:i4>5</vt:i4>
      </vt:variant>
      <vt:variant>
        <vt:lpwstr>https://doi.org/10.1890/07-1861.1</vt:lpwstr>
      </vt:variant>
      <vt:variant>
        <vt:lpwstr/>
      </vt:variant>
      <vt:variant>
        <vt:i4>4128824</vt:i4>
      </vt:variant>
      <vt:variant>
        <vt:i4>78</vt:i4>
      </vt:variant>
      <vt:variant>
        <vt:i4>0</vt:i4>
      </vt:variant>
      <vt:variant>
        <vt:i4>5</vt:i4>
      </vt:variant>
      <vt:variant>
        <vt:lpwstr>https://doi.org/10.1111/2041-210X.13138</vt:lpwstr>
      </vt:variant>
      <vt:variant>
        <vt:lpwstr/>
      </vt:variant>
      <vt:variant>
        <vt:i4>4718662</vt:i4>
      </vt:variant>
      <vt:variant>
        <vt:i4>75</vt:i4>
      </vt:variant>
      <vt:variant>
        <vt:i4>0</vt:i4>
      </vt:variant>
      <vt:variant>
        <vt:i4>5</vt:i4>
      </vt:variant>
      <vt:variant>
        <vt:lpwstr>https://doi.org/10.1002/ece3.3081</vt:lpwstr>
      </vt:variant>
      <vt:variant>
        <vt:lpwstr/>
      </vt:variant>
      <vt:variant>
        <vt:i4>5832728</vt:i4>
      </vt:variant>
      <vt:variant>
        <vt:i4>72</vt:i4>
      </vt:variant>
      <vt:variant>
        <vt:i4>0</vt:i4>
      </vt:variant>
      <vt:variant>
        <vt:i4>5</vt:i4>
      </vt:variant>
      <vt:variant>
        <vt:lpwstr>https://doi.org/10.1111/j.1467-9868.2008.00700.x</vt:lpwstr>
      </vt:variant>
      <vt:variant>
        <vt:lpwstr/>
      </vt:variant>
      <vt:variant>
        <vt:i4>6094863</vt:i4>
      </vt:variant>
      <vt:variant>
        <vt:i4>69</vt:i4>
      </vt:variant>
      <vt:variant>
        <vt:i4>0</vt:i4>
      </vt:variant>
      <vt:variant>
        <vt:i4>5</vt:i4>
      </vt:variant>
      <vt:variant>
        <vt:lpwstr>https://doi.org/10.1016/j.fishres.2006.11.020</vt:lpwstr>
      </vt:variant>
      <vt:variant>
        <vt:lpwstr/>
      </vt:variant>
      <vt:variant>
        <vt:i4>2228343</vt:i4>
      </vt:variant>
      <vt:variant>
        <vt:i4>66</vt:i4>
      </vt:variant>
      <vt:variant>
        <vt:i4>0</vt:i4>
      </vt:variant>
      <vt:variant>
        <vt:i4>5</vt:i4>
      </vt:variant>
      <vt:variant>
        <vt:lpwstr>https://doi.org/10.1098/rspb.2013.3296</vt:lpwstr>
      </vt:variant>
      <vt:variant>
        <vt:lpwstr/>
      </vt:variant>
      <vt:variant>
        <vt:i4>2228346</vt:i4>
      </vt:variant>
      <vt:variant>
        <vt:i4>63</vt:i4>
      </vt:variant>
      <vt:variant>
        <vt:i4>0</vt:i4>
      </vt:variant>
      <vt:variant>
        <vt:i4>5</vt:i4>
      </vt:variant>
      <vt:variant>
        <vt:lpwstr>http://dx.doi.org/10.22201/ib.20078706e.2018.2.2294</vt:lpwstr>
      </vt:variant>
      <vt:variant>
        <vt:lpwstr/>
      </vt:variant>
      <vt:variant>
        <vt:i4>8060965</vt:i4>
      </vt:variant>
      <vt:variant>
        <vt:i4>60</vt:i4>
      </vt:variant>
      <vt:variant>
        <vt:i4>0</vt:i4>
      </vt:variant>
      <vt:variant>
        <vt:i4>5</vt:i4>
      </vt:variant>
      <vt:variant>
        <vt:lpwstr>https://www.iucn.org/resources/conservation-tools/iucn-red-list-threatened-species</vt:lpwstr>
      </vt:variant>
      <vt:variant>
        <vt:lpwstr/>
      </vt:variant>
      <vt:variant>
        <vt:i4>7274555</vt:i4>
      </vt:variant>
      <vt:variant>
        <vt:i4>57</vt:i4>
      </vt:variant>
      <vt:variant>
        <vt:i4>0</vt:i4>
      </vt:variant>
      <vt:variant>
        <vt:i4>5</vt:i4>
      </vt:variant>
      <vt:variant>
        <vt:lpwstr>http://dof.gob.mx/nota_detalle_popup.php?codigo=5173091</vt:lpwstr>
      </vt:variant>
      <vt:variant>
        <vt:lpwstr/>
      </vt:variant>
      <vt:variant>
        <vt:i4>3604524</vt:i4>
      </vt:variant>
      <vt:variant>
        <vt:i4>54</vt:i4>
      </vt:variant>
      <vt:variant>
        <vt:i4>0</vt:i4>
      </vt:variant>
      <vt:variant>
        <vt:i4>5</vt:i4>
      </vt:variant>
      <vt:variant>
        <vt:lpwstr>https://www.cites.org/</vt:lpwstr>
      </vt:variant>
      <vt:variant>
        <vt:lpwstr/>
      </vt:variant>
      <vt:variant>
        <vt:i4>5636140</vt:i4>
      </vt:variant>
      <vt:variant>
        <vt:i4>45</vt:i4>
      </vt:variant>
      <vt:variant>
        <vt:i4>0</vt:i4>
      </vt:variant>
      <vt:variant>
        <vt:i4>5</vt:i4>
      </vt:variant>
      <vt:variant>
        <vt:lpwstr>http://www.github.com/laurajanegraham/sea_cucumber</vt:lpwstr>
      </vt:variant>
      <vt:variant>
        <vt:lpwstr/>
      </vt:variant>
      <vt:variant>
        <vt:i4>2752560</vt:i4>
      </vt:variant>
      <vt:variant>
        <vt:i4>42</vt:i4>
      </vt:variant>
      <vt:variant>
        <vt:i4>0</vt:i4>
      </vt:variant>
      <vt:variant>
        <vt:i4>5</vt:i4>
      </vt:variant>
      <vt:variant>
        <vt:lpwstr>https://www.gebco.net/</vt:lpwstr>
      </vt:variant>
      <vt:variant>
        <vt:lpwstr/>
      </vt:variant>
      <vt:variant>
        <vt:i4>5308485</vt:i4>
      </vt:variant>
      <vt:variant>
        <vt:i4>3</vt:i4>
      </vt:variant>
      <vt:variant>
        <vt:i4>0</vt:i4>
      </vt:variant>
      <vt:variant>
        <vt:i4>5</vt:i4>
      </vt:variant>
      <vt:variant>
        <vt:lpwstr>http://www.beta.inegi.org.mx/proyectos/ccpv/2010/</vt:lpwstr>
      </vt:variant>
      <vt:variant>
        <vt:lpwstr/>
      </vt:variant>
      <vt:variant>
        <vt:i4>131102</vt:i4>
      </vt:variant>
      <vt:variant>
        <vt:i4>0</vt:i4>
      </vt:variant>
      <vt:variant>
        <vt:i4>0</vt:i4>
      </vt:variant>
      <vt:variant>
        <vt:i4>5</vt:i4>
      </vt:variant>
      <vt:variant>
        <vt:lpwstr>https://www.st.nmfs.noaa.gov/ecosystems/lme/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Calderon-Aguilera L.E.</dc:creator>
  <cp:keywords/>
  <cp:lastModifiedBy>de Montfalcon S.P.</cp:lastModifiedBy>
  <cp:revision>2</cp:revision>
  <cp:lastPrinted>2018-11-09T08:41:00Z</cp:lastPrinted>
  <dcterms:created xsi:type="dcterms:W3CDTF">2019-07-08T11:52:00Z</dcterms:created>
  <dcterms:modified xsi:type="dcterms:W3CDTF">2019-07-08T11:52:00Z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http://www.zotero.org/styles/council-of-science-editors-author-date</vt:lpwstr>
  </property>
  <property fmtid="{D5CDD505-2E9C-101B-9397-08002B2CF9AE}" pid="13" name="Mendeley Recent Style Name 5_1">
    <vt:lpwstr>Council of Science Editors, Name-Year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0303605f-a7d0-38f7-bf30-eb1cd0dfea62</vt:lpwstr>
  </property>
  <property fmtid="{D5CDD505-2E9C-101B-9397-08002B2CF9AE}" pid="24" name="Mendeley Citation Style_1">
    <vt:lpwstr>http://www.zotero.org/styles/apa</vt:lpwstr>
  </property>
</Properties>
</file>