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237" w:rsidRPr="00C57412" w:rsidRDefault="00641635" w:rsidP="00F26C77">
      <w:pPr>
        <w:jc w:val="center"/>
        <w:rPr>
          <w:b/>
          <w:sz w:val="32"/>
          <w:szCs w:val="32"/>
          <w:lang w:val="en-US"/>
        </w:rPr>
      </w:pPr>
      <w:r w:rsidRPr="00C57412">
        <w:rPr>
          <w:b/>
          <w:sz w:val="32"/>
          <w:szCs w:val="32"/>
          <w:lang w:val="en-US"/>
        </w:rPr>
        <w:t>Understanding the formation of</w:t>
      </w:r>
      <w:r w:rsidR="003731AB" w:rsidRPr="00C57412">
        <w:rPr>
          <w:b/>
          <w:sz w:val="32"/>
          <w:szCs w:val="32"/>
          <w:lang w:val="en-US"/>
        </w:rPr>
        <w:t xml:space="preserve"> apremilast c</w:t>
      </w:r>
      <w:r w:rsidR="00540663" w:rsidRPr="00C57412">
        <w:rPr>
          <w:b/>
          <w:sz w:val="32"/>
          <w:szCs w:val="32"/>
          <w:lang w:val="en-US"/>
        </w:rPr>
        <w:t>ocrystals</w:t>
      </w:r>
    </w:p>
    <w:p w:rsidR="0022227F" w:rsidRPr="00C57412" w:rsidRDefault="0022227F">
      <w:pPr>
        <w:rPr>
          <w:lang w:val="en-US"/>
        </w:rPr>
      </w:pPr>
    </w:p>
    <w:p w:rsidR="00F80DCE" w:rsidRPr="00C57412" w:rsidRDefault="00DF069A" w:rsidP="007E2DA7">
      <w:pPr>
        <w:jc w:val="both"/>
      </w:pPr>
      <w:r w:rsidRPr="00C57412">
        <w:t>Marta</w:t>
      </w:r>
      <w:r w:rsidR="006C618D" w:rsidRPr="00C57412">
        <w:t xml:space="preserve"> K. </w:t>
      </w:r>
      <w:r w:rsidR="00F26C77" w:rsidRPr="00C57412">
        <w:t>Dudek,</w:t>
      </w:r>
      <w:r w:rsidR="00116F63" w:rsidRPr="00C57412">
        <w:rPr>
          <w:vertAlign w:val="superscript"/>
        </w:rPr>
        <w:t>1,2</w:t>
      </w:r>
      <w:r w:rsidR="00F26C77" w:rsidRPr="00C57412">
        <w:t xml:space="preserve"> </w:t>
      </w:r>
      <w:r w:rsidR="007E2DA7" w:rsidRPr="00C57412">
        <w:t>Ewelina Wielgus,</w:t>
      </w:r>
      <w:r w:rsidR="007E2DA7" w:rsidRPr="00C57412">
        <w:rPr>
          <w:vertAlign w:val="superscript"/>
        </w:rPr>
        <w:t>1</w:t>
      </w:r>
      <w:r w:rsidR="007E2DA7" w:rsidRPr="00C57412">
        <w:t xml:space="preserve"> </w:t>
      </w:r>
      <w:r w:rsidRPr="00C57412">
        <w:t>Piotr Paluch,</w:t>
      </w:r>
      <w:r w:rsidR="00116F63" w:rsidRPr="00C57412">
        <w:rPr>
          <w:vertAlign w:val="superscript"/>
        </w:rPr>
        <w:t>1</w:t>
      </w:r>
      <w:r w:rsidRPr="00C57412">
        <w:t xml:space="preserve"> Justyna Śniechowska,</w:t>
      </w:r>
      <w:r w:rsidR="00116F63" w:rsidRPr="00C57412">
        <w:rPr>
          <w:vertAlign w:val="superscript"/>
        </w:rPr>
        <w:t>1</w:t>
      </w:r>
      <w:r w:rsidRPr="00C57412">
        <w:t xml:space="preserve"> Maciej Kostrzewa,</w:t>
      </w:r>
      <w:r w:rsidR="00116F63" w:rsidRPr="00C57412">
        <w:rPr>
          <w:vertAlign w:val="superscript"/>
        </w:rPr>
        <w:t>1</w:t>
      </w:r>
      <w:r w:rsidRPr="00C57412">
        <w:t xml:space="preserve"> Graeme M. Day,</w:t>
      </w:r>
      <w:r w:rsidR="00116F63" w:rsidRPr="00C57412">
        <w:rPr>
          <w:vertAlign w:val="superscript"/>
        </w:rPr>
        <w:t>2</w:t>
      </w:r>
      <w:r w:rsidRPr="00C57412">
        <w:t xml:space="preserve"> Grzegorz</w:t>
      </w:r>
      <w:r w:rsidR="00F26C77" w:rsidRPr="00C57412">
        <w:t xml:space="preserve"> D. Bujacz</w:t>
      </w:r>
      <w:r w:rsidRPr="00C57412">
        <w:t>,</w:t>
      </w:r>
      <w:r w:rsidR="00116F63" w:rsidRPr="00C57412">
        <w:rPr>
          <w:vertAlign w:val="superscript"/>
        </w:rPr>
        <w:t>3</w:t>
      </w:r>
      <w:r w:rsidRPr="00C57412">
        <w:t xml:space="preserve"> </w:t>
      </w:r>
      <w:r w:rsidR="00F26C77" w:rsidRPr="00C57412">
        <w:t>and</w:t>
      </w:r>
      <w:r w:rsidRPr="00C57412">
        <w:t xml:space="preserve"> Marek</w:t>
      </w:r>
      <w:r w:rsidR="00F80DCE" w:rsidRPr="00C57412">
        <w:t xml:space="preserve"> J. Potrzebowski</w:t>
      </w:r>
      <w:r w:rsidR="00116F63" w:rsidRPr="00C57412">
        <w:rPr>
          <w:vertAlign w:val="superscript"/>
        </w:rPr>
        <w:t>1</w:t>
      </w:r>
    </w:p>
    <w:p w:rsidR="00116F63" w:rsidRPr="00C57412" w:rsidRDefault="00116F63" w:rsidP="00116F63">
      <w:pPr>
        <w:spacing w:after="0" w:line="240" w:lineRule="auto"/>
        <w:jc w:val="both"/>
        <w:rPr>
          <w:lang w:val="en-GB"/>
        </w:rPr>
      </w:pPr>
      <w:r w:rsidRPr="00C57412">
        <w:rPr>
          <w:vertAlign w:val="superscript"/>
          <w:lang w:val="en-US"/>
        </w:rPr>
        <w:t>1</w:t>
      </w:r>
      <w:r w:rsidRPr="00C57412">
        <w:rPr>
          <w:lang w:val="en-US"/>
        </w:rPr>
        <w:t xml:space="preserve"> </w:t>
      </w:r>
      <w:r w:rsidRPr="00C57412">
        <w:rPr>
          <w:lang w:val="en-GB"/>
        </w:rPr>
        <w:t>Centre of Molecular and Macromolecular Studies PAS, Sienkiewicza 112, 90363 Lodz, Poland</w:t>
      </w:r>
    </w:p>
    <w:p w:rsidR="00116F63" w:rsidRPr="00C57412" w:rsidRDefault="00116F63" w:rsidP="00116F63">
      <w:pPr>
        <w:spacing w:after="0" w:line="240" w:lineRule="auto"/>
        <w:jc w:val="both"/>
        <w:rPr>
          <w:lang w:val="en-US"/>
        </w:rPr>
      </w:pPr>
      <w:r w:rsidRPr="00C57412">
        <w:rPr>
          <w:vertAlign w:val="superscript"/>
          <w:lang w:val="en-US"/>
        </w:rPr>
        <w:t>2</w:t>
      </w:r>
      <w:r w:rsidRPr="00C57412">
        <w:rPr>
          <w:lang w:val="en-US"/>
        </w:rPr>
        <w:t xml:space="preserve"> </w:t>
      </w:r>
      <w:r w:rsidRPr="00C57412">
        <w:rPr>
          <w:lang w:val="en-GB"/>
        </w:rPr>
        <w:t>Computational Systems Chemistry, School of Chemistry, University of Southampton, SO17 1BJ, UK</w:t>
      </w:r>
    </w:p>
    <w:p w:rsidR="00116F63" w:rsidRPr="00C57412" w:rsidRDefault="00116F63" w:rsidP="00116F63">
      <w:pPr>
        <w:spacing w:after="0" w:line="240" w:lineRule="auto"/>
        <w:jc w:val="both"/>
        <w:rPr>
          <w:lang w:val="en-US"/>
        </w:rPr>
      </w:pPr>
      <w:r w:rsidRPr="00C57412">
        <w:rPr>
          <w:vertAlign w:val="superscript"/>
          <w:lang w:val="en-US"/>
        </w:rPr>
        <w:t>3</w:t>
      </w:r>
      <w:r w:rsidRPr="00C57412">
        <w:rPr>
          <w:lang w:val="en-US"/>
        </w:rPr>
        <w:t xml:space="preserve"> Institute of Technical Biochemistry, Technical University of Lodz, Stefanowskiego 4/10, 90-924 Lodz, Poland</w:t>
      </w:r>
    </w:p>
    <w:p w:rsidR="005C2B3F" w:rsidRPr="00C57412" w:rsidRDefault="005C2B3F">
      <w:pPr>
        <w:rPr>
          <w:lang w:val="en-US"/>
        </w:rPr>
      </w:pPr>
    </w:p>
    <w:p w:rsidR="003731AB" w:rsidRPr="00C57412" w:rsidRDefault="003731AB">
      <w:pPr>
        <w:rPr>
          <w:b/>
          <w:lang w:val="en-US"/>
        </w:rPr>
      </w:pPr>
      <w:r w:rsidRPr="00C57412">
        <w:rPr>
          <w:b/>
          <w:lang w:val="en-US"/>
        </w:rPr>
        <w:t>Abstract</w:t>
      </w:r>
    </w:p>
    <w:p w:rsidR="003731AB" w:rsidRPr="00C57412" w:rsidRDefault="003731AB" w:rsidP="00213D82">
      <w:pPr>
        <w:jc w:val="both"/>
        <w:rPr>
          <w:lang w:val="en-US"/>
        </w:rPr>
      </w:pPr>
      <w:r w:rsidRPr="00C57412">
        <w:rPr>
          <w:lang w:val="en-US"/>
        </w:rPr>
        <w:t>Apremilast</w:t>
      </w:r>
      <w:r w:rsidR="00552A2E" w:rsidRPr="00C57412">
        <w:rPr>
          <w:lang w:val="en-US"/>
        </w:rPr>
        <w:t xml:space="preserve"> (APR)</w:t>
      </w:r>
      <w:r w:rsidRPr="00C57412">
        <w:rPr>
          <w:lang w:val="en-US"/>
        </w:rPr>
        <w:t xml:space="preserve">, an anti-psoriatic agent, easily forms isostructural cocrystals and solvates with aromatic entities, </w:t>
      </w:r>
      <w:r w:rsidR="003F0448" w:rsidRPr="00C57412">
        <w:rPr>
          <w:lang w:val="en-US"/>
        </w:rPr>
        <w:t xml:space="preserve">often </w:t>
      </w:r>
      <w:r w:rsidRPr="00C57412">
        <w:rPr>
          <w:lang w:val="en-US"/>
        </w:rPr>
        <w:t xml:space="preserve">disobeying at the same time Kitaigorodsky’s rule as to the saturation of possible hydrogen bonding sites. In this paper the reasons standing behind this </w:t>
      </w:r>
      <w:r w:rsidR="00213D82" w:rsidRPr="00C57412">
        <w:rPr>
          <w:lang w:val="en-US"/>
        </w:rPr>
        <w:t>peculiar behavior are investigated,</w:t>
      </w:r>
      <w:r w:rsidRPr="00C57412">
        <w:rPr>
          <w:lang w:val="en-US"/>
        </w:rPr>
        <w:t xml:space="preserve"> employing</w:t>
      </w:r>
      <w:r w:rsidR="00927811" w:rsidRPr="00C57412">
        <w:rPr>
          <w:lang w:val="en-US"/>
        </w:rPr>
        <w:t xml:space="preserve"> a</w:t>
      </w:r>
      <w:r w:rsidR="00213D82" w:rsidRPr="00C57412">
        <w:rPr>
          <w:lang w:val="en-US"/>
        </w:rPr>
        <w:t xml:space="preserve"> joint experimental and theoretical ap</w:t>
      </w:r>
      <w:r w:rsidR="009043CE" w:rsidRPr="00C57412">
        <w:rPr>
          <w:lang w:val="en-US"/>
        </w:rPr>
        <w:t>proach</w:t>
      </w:r>
      <w:r w:rsidR="00927811" w:rsidRPr="00C57412">
        <w:rPr>
          <w:lang w:val="en-US"/>
        </w:rPr>
        <w:t>.</w:t>
      </w:r>
      <w:r w:rsidR="009043CE" w:rsidRPr="00C57412">
        <w:rPr>
          <w:lang w:val="en-US"/>
        </w:rPr>
        <w:t xml:space="preserve"> </w:t>
      </w:r>
      <w:r w:rsidR="00927811" w:rsidRPr="00C57412">
        <w:rPr>
          <w:lang w:val="en-US"/>
        </w:rPr>
        <w:t>This</w:t>
      </w:r>
      <w:r w:rsidR="009043CE" w:rsidRPr="00C57412">
        <w:rPr>
          <w:lang w:val="en-US"/>
        </w:rPr>
        <w:t xml:space="preserve"> includes the design of cocrystals with coformers having high propensity towards the formation of both aromatic – aromatic and hydrogen bonding interactions, determination of their structure, using solid state NMR spectroscopy and X-Ray crystallography, as well as</w:t>
      </w:r>
      <w:r w:rsidR="00213D82" w:rsidRPr="00C57412">
        <w:rPr>
          <w:lang w:val="en-US"/>
        </w:rPr>
        <w:t xml:space="preserve"> calculations of stabilization energies of formation of </w:t>
      </w:r>
      <w:r w:rsidR="009043CE" w:rsidRPr="00C57412">
        <w:rPr>
          <w:lang w:val="en-US"/>
        </w:rPr>
        <w:t xml:space="preserve">the obtained cocrystals, </w:t>
      </w:r>
      <w:r w:rsidR="003F0448" w:rsidRPr="00C57412">
        <w:rPr>
          <w:lang w:val="en-US"/>
        </w:rPr>
        <w:t>followed  by crystal</w:t>
      </w:r>
      <w:r w:rsidR="00213D82" w:rsidRPr="00C57412">
        <w:rPr>
          <w:lang w:val="en-US"/>
        </w:rPr>
        <w:t xml:space="preserve"> structure prediction calculations</w:t>
      </w:r>
      <w:r w:rsidR="009043CE" w:rsidRPr="00C57412">
        <w:rPr>
          <w:lang w:val="en-US"/>
        </w:rPr>
        <w:t xml:space="preserve"> and solubility measurements</w:t>
      </w:r>
      <w:r w:rsidR="00E74B21" w:rsidRPr="00C57412">
        <w:rPr>
          <w:lang w:val="en-US"/>
        </w:rPr>
        <w:t xml:space="preserve">. </w:t>
      </w:r>
      <w:r w:rsidR="00927811" w:rsidRPr="00C57412">
        <w:rPr>
          <w:lang w:val="en-US"/>
        </w:rPr>
        <w:t>Our findings</w:t>
      </w:r>
      <w:r w:rsidR="003F0448" w:rsidRPr="00C57412">
        <w:rPr>
          <w:lang w:val="en-US"/>
        </w:rPr>
        <w:t xml:space="preserve"> indicate that the stabilization energies of cocrystal formation are positive in all cases, which results from </w:t>
      </w:r>
      <w:r w:rsidR="00927811" w:rsidRPr="00C57412">
        <w:rPr>
          <w:lang w:val="en-US"/>
        </w:rPr>
        <w:t>strain</w:t>
      </w:r>
      <w:r w:rsidR="003F0448" w:rsidRPr="00C57412">
        <w:rPr>
          <w:lang w:val="en-US"/>
        </w:rPr>
        <w:t xml:space="preserve"> in </w:t>
      </w:r>
      <w:r w:rsidR="00927811" w:rsidRPr="00C57412">
        <w:rPr>
          <w:lang w:val="en-US"/>
        </w:rPr>
        <w:t xml:space="preserve">the </w:t>
      </w:r>
      <w:r w:rsidR="003F0448" w:rsidRPr="00C57412">
        <w:rPr>
          <w:lang w:val="en-US"/>
        </w:rPr>
        <w:t xml:space="preserve">APR conformation in these crystal forms. On the other hand, </w:t>
      </w:r>
      <w:r w:rsidR="00927811" w:rsidRPr="00C57412">
        <w:rPr>
          <w:lang w:val="en-US"/>
        </w:rPr>
        <w:t xml:space="preserve">solubility measurements show that the </w:t>
      </w:r>
      <w:r w:rsidR="003F0448" w:rsidRPr="00C57412">
        <w:rPr>
          <w:lang w:val="en-US"/>
        </w:rPr>
        <w:t xml:space="preserve">Gibbs free energy of formation of </w:t>
      </w:r>
      <w:r w:rsidR="00927811" w:rsidRPr="00C57412">
        <w:rPr>
          <w:lang w:val="en-US"/>
        </w:rPr>
        <w:t xml:space="preserve">the </w:t>
      </w:r>
      <w:r w:rsidR="003F0448" w:rsidRPr="00C57412">
        <w:rPr>
          <w:lang w:val="en-US"/>
        </w:rPr>
        <w:t xml:space="preserve">apremilast : picolinamide cocrystal </w:t>
      </w:r>
      <w:r w:rsidR="00927811" w:rsidRPr="00C57412">
        <w:rPr>
          <w:lang w:val="en-US"/>
        </w:rPr>
        <w:t>is</w:t>
      </w:r>
      <w:r w:rsidR="003F0448" w:rsidRPr="00C57412">
        <w:rPr>
          <w:lang w:val="en-US"/>
        </w:rPr>
        <w:t xml:space="preserve"> negative, suggesting that the formation of the studied cocrystals is entropy-driven</w:t>
      </w:r>
      <w:r w:rsidR="00927811" w:rsidRPr="00C57412">
        <w:rPr>
          <w:lang w:val="en-US"/>
        </w:rPr>
        <w:t>. This entropic stabilization</w:t>
      </w:r>
      <w:r w:rsidR="003F0448" w:rsidRPr="00C57412">
        <w:rPr>
          <w:lang w:val="en-US"/>
        </w:rPr>
        <w:t xml:space="preserve"> is associated with the disorder observed in almost all known cocrystals and solvates of APR.   </w:t>
      </w:r>
    </w:p>
    <w:p w:rsidR="003731AB" w:rsidRPr="00C57412" w:rsidRDefault="003731AB">
      <w:pPr>
        <w:rPr>
          <w:lang w:val="en-US"/>
        </w:rPr>
      </w:pPr>
    </w:p>
    <w:p w:rsidR="005C2B3F" w:rsidRPr="00C57412" w:rsidRDefault="00116F63">
      <w:pPr>
        <w:rPr>
          <w:b/>
          <w:lang w:val="en-US"/>
        </w:rPr>
      </w:pPr>
      <w:r w:rsidRPr="00C57412">
        <w:rPr>
          <w:b/>
          <w:lang w:val="en-US"/>
        </w:rPr>
        <w:t>Introduction</w:t>
      </w:r>
    </w:p>
    <w:p w:rsidR="008550FD" w:rsidRPr="00C57412" w:rsidRDefault="00C13B3C" w:rsidP="00CC30D0">
      <w:pPr>
        <w:spacing w:after="0"/>
        <w:ind w:firstLine="567"/>
        <w:jc w:val="both"/>
        <w:rPr>
          <w:szCs w:val="24"/>
          <w:lang w:val="en-US"/>
        </w:rPr>
      </w:pPr>
      <w:r w:rsidRPr="00C57412">
        <w:rPr>
          <w:lang w:val="en-US"/>
        </w:rPr>
        <w:t xml:space="preserve">Pharmaceutical cocrystals are </w:t>
      </w:r>
      <w:r w:rsidR="00672F1B" w:rsidRPr="00C57412">
        <w:rPr>
          <w:lang w:val="en-US"/>
        </w:rPr>
        <w:t>usually de</w:t>
      </w:r>
      <w:r w:rsidR="003D008B" w:rsidRPr="00C57412">
        <w:rPr>
          <w:lang w:val="en-US"/>
        </w:rPr>
        <w:t xml:space="preserve">fined as </w:t>
      </w:r>
      <w:r w:rsidR="008550FD" w:rsidRPr="00C57412">
        <w:rPr>
          <w:lang w:val="en-US"/>
        </w:rPr>
        <w:t>entities</w:t>
      </w:r>
      <w:r w:rsidR="003D008B" w:rsidRPr="00C57412">
        <w:rPr>
          <w:lang w:val="en-US"/>
        </w:rPr>
        <w:t xml:space="preserve"> with at least </w:t>
      </w:r>
      <w:r w:rsidR="00672F1B" w:rsidRPr="00C57412">
        <w:rPr>
          <w:lang w:val="en-US"/>
        </w:rPr>
        <w:t>two different solid components</w:t>
      </w:r>
      <w:r w:rsidR="003D008B" w:rsidRPr="00C57412">
        <w:rPr>
          <w:lang w:val="en-US"/>
        </w:rPr>
        <w:t xml:space="preserve"> confi</w:t>
      </w:r>
      <w:r w:rsidR="008550FD" w:rsidRPr="00C57412">
        <w:rPr>
          <w:lang w:val="en-US"/>
        </w:rPr>
        <w:t>ned in a single crystal lattice, with at least one of these components being an a</w:t>
      </w:r>
      <w:r w:rsidR="00FB2DF2" w:rsidRPr="00C57412">
        <w:rPr>
          <w:lang w:val="en-US"/>
        </w:rPr>
        <w:t>ctive pharmaceutical ingredient</w:t>
      </w:r>
      <w:r w:rsidR="008550FD" w:rsidRPr="00C57412">
        <w:rPr>
          <w:lang w:val="en-US"/>
        </w:rPr>
        <w:t xml:space="preserve"> </w:t>
      </w:r>
      <w:r w:rsidR="00FB2DF2" w:rsidRPr="00C57412">
        <w:rPr>
          <w:lang w:val="en-US"/>
        </w:rPr>
        <w:t>(</w:t>
      </w:r>
      <w:r w:rsidR="008550FD" w:rsidRPr="00C57412">
        <w:rPr>
          <w:lang w:val="en-US"/>
        </w:rPr>
        <w:t>API</w:t>
      </w:r>
      <w:r w:rsidR="00FB2DF2" w:rsidRPr="00C57412">
        <w:rPr>
          <w:lang w:val="en-US"/>
        </w:rPr>
        <w:t>),</w:t>
      </w:r>
      <w:r w:rsidR="008550FD" w:rsidRPr="00C57412">
        <w:rPr>
          <w:lang w:val="en-US"/>
        </w:rPr>
        <w:t xml:space="preserve"> whereas the other one being either another API, or, more frequently, a substance from the generally-regard</w:t>
      </w:r>
      <w:r w:rsidR="00CC3D00" w:rsidRPr="00C57412">
        <w:rPr>
          <w:lang w:val="en-US"/>
        </w:rPr>
        <w:t>ed-as-safe, GRAS, list</w:t>
      </w:r>
      <w:r w:rsidR="00CB56F1" w:rsidRPr="00C57412">
        <w:rPr>
          <w:lang w:val="en-US"/>
        </w:rPr>
        <w:t xml:space="preserve"> (Bolla &amp; </w:t>
      </w:r>
      <w:r w:rsidR="00CB56F1" w:rsidRPr="00C57412">
        <w:rPr>
          <w:lang w:val="en-US"/>
        </w:rPr>
        <w:lastRenderedPageBreak/>
        <w:t xml:space="preserve">Nangia, </w:t>
      </w:r>
      <w:r w:rsidR="00CB56F1" w:rsidRPr="00C57412">
        <w:rPr>
          <w:szCs w:val="24"/>
          <w:lang w:val="en-US"/>
        </w:rPr>
        <w:t>2016)</w:t>
      </w:r>
      <w:r w:rsidR="00CC3D00" w:rsidRPr="00C57412">
        <w:rPr>
          <w:szCs w:val="24"/>
          <w:lang w:val="en-US"/>
        </w:rPr>
        <w:t xml:space="preserve">. </w:t>
      </w:r>
      <w:r w:rsidR="009F627E" w:rsidRPr="00C57412">
        <w:rPr>
          <w:szCs w:val="24"/>
          <w:lang w:val="en-US"/>
        </w:rPr>
        <w:t>The</w:t>
      </w:r>
      <w:r w:rsidR="008550FD" w:rsidRPr="00C57412">
        <w:rPr>
          <w:szCs w:val="24"/>
          <w:lang w:val="en-US"/>
        </w:rPr>
        <w:t xml:space="preserve"> components of a cocrystal are held together by non-covalent interactions, most frequently by hydrogen bonds, but also by halogen bonds or aromatic – aromatic interactions</w:t>
      </w:r>
      <w:r w:rsidR="00CB56F1" w:rsidRPr="00C57412">
        <w:rPr>
          <w:szCs w:val="24"/>
          <w:lang w:val="en-US"/>
        </w:rPr>
        <w:t xml:space="preserve"> (</w:t>
      </w:r>
      <w:r w:rsidR="00CB56F1" w:rsidRPr="00C57412">
        <w:rPr>
          <w:rFonts w:cs="Times New Roman"/>
          <w:szCs w:val="24"/>
          <w:lang w:val="en-US"/>
        </w:rPr>
        <w:t xml:space="preserve">Mukherjee &amp; Desiraju, 2014; Wicker </w:t>
      </w:r>
      <w:r w:rsidR="00CB56F1" w:rsidRPr="00C57412">
        <w:rPr>
          <w:rFonts w:cs="Times New Roman"/>
          <w:i/>
          <w:szCs w:val="24"/>
          <w:lang w:val="en-US"/>
        </w:rPr>
        <w:t>et al.</w:t>
      </w:r>
      <w:r w:rsidR="00CB56F1" w:rsidRPr="00C57412">
        <w:rPr>
          <w:rFonts w:cs="Times New Roman"/>
          <w:szCs w:val="24"/>
          <w:lang w:val="en-US"/>
        </w:rPr>
        <w:t>, 2017</w:t>
      </w:r>
      <w:r w:rsidR="00CB56F1" w:rsidRPr="00C57412">
        <w:rPr>
          <w:szCs w:val="24"/>
          <w:lang w:val="en-US"/>
        </w:rPr>
        <w:t>)</w:t>
      </w:r>
      <w:r w:rsidR="008550FD" w:rsidRPr="00C57412">
        <w:rPr>
          <w:szCs w:val="24"/>
          <w:lang w:val="en-US"/>
        </w:rPr>
        <w:t xml:space="preserve">. </w:t>
      </w:r>
      <w:r w:rsidR="003D008B" w:rsidRPr="00C57412">
        <w:rPr>
          <w:szCs w:val="24"/>
          <w:lang w:val="en-US"/>
        </w:rPr>
        <w:t xml:space="preserve">A significant increase of scientific interest in their formation and stability can be explained by the fact that cocrystals, just like any new solid crystal form, can offer </w:t>
      </w:r>
      <w:r w:rsidR="00535900" w:rsidRPr="00C57412">
        <w:rPr>
          <w:szCs w:val="24"/>
          <w:lang w:val="en-US"/>
        </w:rPr>
        <w:t>different, sometimes improved</w:t>
      </w:r>
      <w:r w:rsidR="003D008B" w:rsidRPr="00C57412">
        <w:rPr>
          <w:szCs w:val="24"/>
          <w:lang w:val="en-US"/>
        </w:rPr>
        <w:t xml:space="preserve"> </w:t>
      </w:r>
      <w:r w:rsidR="008550FD" w:rsidRPr="00C57412">
        <w:rPr>
          <w:szCs w:val="24"/>
          <w:lang w:val="en-US"/>
        </w:rPr>
        <w:t>p</w:t>
      </w:r>
      <w:r w:rsidR="003D008B" w:rsidRPr="00C57412">
        <w:rPr>
          <w:szCs w:val="24"/>
          <w:lang w:val="en-US"/>
        </w:rPr>
        <w:t>hysicochemical properties, including solubility, thermal stability and bioavailability</w:t>
      </w:r>
      <w:r w:rsidR="00CB56F1" w:rsidRPr="00C57412">
        <w:rPr>
          <w:szCs w:val="24"/>
          <w:lang w:val="en-US"/>
        </w:rPr>
        <w:t xml:space="preserve"> (Karki </w:t>
      </w:r>
      <w:r w:rsidR="00CB56F1" w:rsidRPr="00C57412">
        <w:rPr>
          <w:i/>
          <w:szCs w:val="24"/>
          <w:lang w:val="en-US"/>
        </w:rPr>
        <w:t>et al.</w:t>
      </w:r>
      <w:r w:rsidR="00CB56F1" w:rsidRPr="00C57412">
        <w:rPr>
          <w:szCs w:val="24"/>
          <w:lang w:val="en-US"/>
        </w:rPr>
        <w:t xml:space="preserve">, 2009; Douroumis </w:t>
      </w:r>
      <w:r w:rsidR="00CB56F1" w:rsidRPr="00C57412">
        <w:rPr>
          <w:i/>
          <w:szCs w:val="24"/>
          <w:lang w:val="en-US"/>
        </w:rPr>
        <w:t>et al.</w:t>
      </w:r>
      <w:r w:rsidR="00CB56F1" w:rsidRPr="00C57412">
        <w:rPr>
          <w:szCs w:val="24"/>
          <w:lang w:val="en-US"/>
        </w:rPr>
        <w:t xml:space="preserve">, 2017; Grifasi </w:t>
      </w:r>
      <w:r w:rsidR="00CB56F1" w:rsidRPr="00C57412">
        <w:rPr>
          <w:i/>
          <w:szCs w:val="24"/>
          <w:lang w:val="en-US"/>
        </w:rPr>
        <w:t>et al.</w:t>
      </w:r>
      <w:r w:rsidR="00CB56F1" w:rsidRPr="00C57412">
        <w:rPr>
          <w:szCs w:val="24"/>
          <w:lang w:val="en-US"/>
        </w:rPr>
        <w:t xml:space="preserve">, 2015; Kaur </w:t>
      </w:r>
      <w:r w:rsidR="00CB56F1" w:rsidRPr="00C57412">
        <w:rPr>
          <w:i/>
          <w:szCs w:val="24"/>
          <w:lang w:val="en-US"/>
        </w:rPr>
        <w:t>et al.</w:t>
      </w:r>
      <w:r w:rsidR="00CB56F1" w:rsidRPr="00C57412">
        <w:rPr>
          <w:szCs w:val="24"/>
          <w:lang w:val="en-US"/>
        </w:rPr>
        <w:t>, 2017)</w:t>
      </w:r>
      <w:r w:rsidR="003D008B" w:rsidRPr="00C57412">
        <w:rPr>
          <w:szCs w:val="24"/>
          <w:lang w:val="en-US"/>
        </w:rPr>
        <w:t>.</w:t>
      </w:r>
      <w:r w:rsidR="003812ED" w:rsidRPr="00C57412">
        <w:rPr>
          <w:szCs w:val="24"/>
          <w:lang w:val="en-US"/>
        </w:rPr>
        <w:t xml:space="preserve"> </w:t>
      </w:r>
      <w:r w:rsidR="008550FD" w:rsidRPr="00C57412">
        <w:rPr>
          <w:szCs w:val="24"/>
          <w:lang w:val="en-US"/>
        </w:rPr>
        <w:t>For example, the formation of cocrystals of glibenclamide</w:t>
      </w:r>
      <w:r w:rsidR="00CB56F1" w:rsidRPr="00C57412">
        <w:rPr>
          <w:szCs w:val="24"/>
          <w:lang w:val="en-US"/>
        </w:rPr>
        <w:t xml:space="preserve"> (Goyal </w:t>
      </w:r>
      <w:r w:rsidR="00CB56F1" w:rsidRPr="00C57412">
        <w:rPr>
          <w:i/>
          <w:szCs w:val="24"/>
          <w:lang w:val="en-US"/>
        </w:rPr>
        <w:t>et al.</w:t>
      </w:r>
      <w:r w:rsidR="00CB56F1" w:rsidRPr="00C57412">
        <w:rPr>
          <w:szCs w:val="24"/>
          <w:lang w:val="en-US"/>
        </w:rPr>
        <w:t>, 2018)</w:t>
      </w:r>
      <w:r w:rsidR="008550FD" w:rsidRPr="00C57412">
        <w:rPr>
          <w:szCs w:val="24"/>
          <w:lang w:val="en-US"/>
        </w:rPr>
        <w:t>, epalrestat</w:t>
      </w:r>
      <w:r w:rsidR="00CB56F1" w:rsidRPr="00C57412">
        <w:rPr>
          <w:szCs w:val="24"/>
          <w:lang w:val="en-US"/>
        </w:rPr>
        <w:t xml:space="preserve"> (Putra </w:t>
      </w:r>
      <w:r w:rsidR="00CB56F1" w:rsidRPr="00C57412">
        <w:rPr>
          <w:i/>
          <w:szCs w:val="24"/>
          <w:lang w:val="en-US"/>
        </w:rPr>
        <w:t>et al.</w:t>
      </w:r>
      <w:r w:rsidR="00CB56F1" w:rsidRPr="00C57412">
        <w:rPr>
          <w:szCs w:val="24"/>
          <w:lang w:val="en-US"/>
        </w:rPr>
        <w:t>, 2017)</w:t>
      </w:r>
      <w:r w:rsidR="008550FD" w:rsidRPr="00C57412">
        <w:rPr>
          <w:szCs w:val="24"/>
          <w:lang w:val="en-US"/>
        </w:rPr>
        <w:t>, quercetin</w:t>
      </w:r>
      <w:r w:rsidR="00CB56F1" w:rsidRPr="00C57412">
        <w:rPr>
          <w:szCs w:val="24"/>
          <w:lang w:val="en-US"/>
        </w:rPr>
        <w:t xml:space="preserve"> (Vasisht </w:t>
      </w:r>
      <w:r w:rsidR="00CB56F1" w:rsidRPr="00C57412">
        <w:rPr>
          <w:i/>
          <w:szCs w:val="24"/>
          <w:lang w:val="en-US"/>
        </w:rPr>
        <w:t>et al.</w:t>
      </w:r>
      <w:r w:rsidR="00CB56F1" w:rsidRPr="00C57412">
        <w:rPr>
          <w:szCs w:val="24"/>
          <w:lang w:val="en-US"/>
        </w:rPr>
        <w:t>, 2016)</w:t>
      </w:r>
      <w:r w:rsidR="008550FD" w:rsidRPr="00C57412">
        <w:rPr>
          <w:szCs w:val="24"/>
          <w:lang w:val="en-US"/>
        </w:rPr>
        <w:t>, and cilostazol</w:t>
      </w:r>
      <w:r w:rsidR="00CB56F1" w:rsidRPr="00C57412">
        <w:rPr>
          <w:szCs w:val="24"/>
          <w:lang w:val="en-US"/>
        </w:rPr>
        <w:t xml:space="preserve"> (Yoshimura </w:t>
      </w:r>
      <w:r w:rsidR="00CB56F1" w:rsidRPr="00C57412">
        <w:rPr>
          <w:i/>
          <w:szCs w:val="24"/>
          <w:lang w:val="en-US"/>
        </w:rPr>
        <w:t>et al.</w:t>
      </w:r>
      <w:r w:rsidR="00CB56F1" w:rsidRPr="00C57412">
        <w:rPr>
          <w:szCs w:val="24"/>
          <w:lang w:val="en-US"/>
        </w:rPr>
        <w:t>, 2017)</w:t>
      </w:r>
      <w:r w:rsidR="008550FD" w:rsidRPr="00C57412">
        <w:rPr>
          <w:szCs w:val="24"/>
          <w:lang w:val="en-US"/>
        </w:rPr>
        <w:t xml:space="preserve"> has been recently proven to be profitable in enhancing water solubility of an API, when compared with the respective neat solid form. </w:t>
      </w:r>
    </w:p>
    <w:p w:rsidR="003812ED" w:rsidRPr="00C57412" w:rsidRDefault="008550FD" w:rsidP="00CC30D0">
      <w:pPr>
        <w:spacing w:after="0"/>
        <w:ind w:firstLine="567"/>
        <w:jc w:val="both"/>
        <w:rPr>
          <w:lang w:val="en-US"/>
        </w:rPr>
      </w:pPr>
      <w:r w:rsidRPr="00C57412">
        <w:rPr>
          <w:szCs w:val="24"/>
          <w:lang w:val="en-US"/>
        </w:rPr>
        <w:t>One API with poor water solubility and short shelf-life is apremilast (APR), a</w:t>
      </w:r>
      <w:r w:rsidR="000D76DC" w:rsidRPr="00C57412">
        <w:rPr>
          <w:szCs w:val="24"/>
          <w:lang w:val="en-US"/>
        </w:rPr>
        <w:t xml:space="preserve"> </w:t>
      </w:r>
      <w:r w:rsidRPr="00C57412">
        <w:rPr>
          <w:szCs w:val="24"/>
          <w:lang w:val="en-US"/>
        </w:rPr>
        <w:t xml:space="preserve">phosphodiesterase-4 inhibitor </w:t>
      </w:r>
      <w:r w:rsidR="000D76DC" w:rsidRPr="00C57412">
        <w:rPr>
          <w:szCs w:val="24"/>
          <w:lang w:val="en-US"/>
        </w:rPr>
        <w:t>used in psoriasis and psoriatic arthritis</w:t>
      </w:r>
      <w:r w:rsidR="00CB56F1" w:rsidRPr="00C57412">
        <w:rPr>
          <w:szCs w:val="24"/>
          <w:lang w:val="en-US"/>
        </w:rPr>
        <w:t xml:space="preserve"> (Schafer</w:t>
      </w:r>
      <w:r w:rsidR="00CB56F1" w:rsidRPr="00C57412">
        <w:rPr>
          <w:lang w:val="en-US"/>
        </w:rPr>
        <w:t>, 2012)</w:t>
      </w:r>
      <w:r w:rsidR="000D76DC" w:rsidRPr="00C57412">
        <w:rPr>
          <w:lang w:val="en-US"/>
        </w:rPr>
        <w:t>. Its commercially available form B</w:t>
      </w:r>
      <w:r w:rsidR="002D2088" w:rsidRPr="00C57412">
        <w:rPr>
          <w:lang w:val="en-US"/>
        </w:rPr>
        <w:t>, characterized only by</w:t>
      </w:r>
      <w:r w:rsidR="009F627E" w:rsidRPr="00C57412">
        <w:rPr>
          <w:lang w:val="en-US"/>
        </w:rPr>
        <w:t xml:space="preserve"> its</w:t>
      </w:r>
      <w:r w:rsidR="002D2088" w:rsidRPr="00C57412">
        <w:rPr>
          <w:lang w:val="en-US"/>
        </w:rPr>
        <w:t xml:space="preserve"> powder X-Ray diffractogram,</w:t>
      </w:r>
      <w:r w:rsidR="000D76DC" w:rsidRPr="00C57412">
        <w:rPr>
          <w:lang w:val="en-US"/>
        </w:rPr>
        <w:t xml:space="preserve"> is regarded as the most thermodynamicall</w:t>
      </w:r>
      <w:r w:rsidRPr="00C57412">
        <w:rPr>
          <w:lang w:val="en-US"/>
        </w:rPr>
        <w:t>y stable one</w:t>
      </w:r>
      <w:r w:rsidR="00CB56F1" w:rsidRPr="00C57412">
        <w:rPr>
          <w:lang w:val="en-US"/>
        </w:rPr>
        <w:t xml:space="preserve"> (US Patent 9850205B2</w:t>
      </w:r>
      <w:r w:rsidR="00552D53" w:rsidRPr="00C57412">
        <w:rPr>
          <w:lang w:val="en-US"/>
        </w:rPr>
        <w:t>, 2017</w:t>
      </w:r>
      <w:r w:rsidR="00CB56F1" w:rsidRPr="00C57412">
        <w:rPr>
          <w:lang w:val="en-US"/>
        </w:rPr>
        <w:t>)</w:t>
      </w:r>
      <w:r w:rsidRPr="00C57412">
        <w:rPr>
          <w:lang w:val="en-US"/>
        </w:rPr>
        <w:t xml:space="preserve">, but suffers from </w:t>
      </w:r>
      <w:r w:rsidR="001C19E7" w:rsidRPr="00C57412">
        <w:rPr>
          <w:lang w:val="en-US"/>
        </w:rPr>
        <w:t>the above mentioned unfavorable physicochemical properties</w:t>
      </w:r>
      <w:r w:rsidR="00CB56F1" w:rsidRPr="00C57412">
        <w:rPr>
          <w:lang w:val="en-US"/>
        </w:rPr>
        <w:t xml:space="preserve"> (Shakeel </w:t>
      </w:r>
      <w:r w:rsidR="00CB56F1" w:rsidRPr="00C57412">
        <w:rPr>
          <w:i/>
          <w:lang w:val="en-US"/>
        </w:rPr>
        <w:t>et al.</w:t>
      </w:r>
      <w:r w:rsidR="00CB56F1" w:rsidRPr="00C57412">
        <w:rPr>
          <w:lang w:val="en-US"/>
        </w:rPr>
        <w:t>,</w:t>
      </w:r>
      <w:r w:rsidR="00552D53" w:rsidRPr="00C57412">
        <w:rPr>
          <w:lang w:val="en-US"/>
        </w:rPr>
        <w:t xml:space="preserve"> 2017</w:t>
      </w:r>
      <w:r w:rsidR="00CB56F1" w:rsidRPr="00C57412">
        <w:rPr>
          <w:lang w:val="en-US"/>
        </w:rPr>
        <w:t>)</w:t>
      </w:r>
      <w:r w:rsidR="002D2088" w:rsidRPr="00C57412">
        <w:rPr>
          <w:lang w:val="en-US"/>
        </w:rPr>
        <w:t>. It is not surprising</w:t>
      </w:r>
      <w:r w:rsidR="001C19E7" w:rsidRPr="00C57412">
        <w:rPr>
          <w:lang w:val="en-US"/>
        </w:rPr>
        <w:t>,</w:t>
      </w:r>
      <w:r w:rsidR="002D2088" w:rsidRPr="00C57412">
        <w:rPr>
          <w:lang w:val="en-US"/>
        </w:rPr>
        <w:t xml:space="preserve"> therefore</w:t>
      </w:r>
      <w:r w:rsidR="001C19E7" w:rsidRPr="00C57412">
        <w:rPr>
          <w:lang w:val="en-US"/>
        </w:rPr>
        <w:t>,</w:t>
      </w:r>
      <w:r w:rsidR="002D2088" w:rsidRPr="00C57412">
        <w:rPr>
          <w:lang w:val="en-US"/>
        </w:rPr>
        <w:t xml:space="preserve"> that new forms are sought after, and so far a number of better soluble isostructural solvates an</w:t>
      </w:r>
      <w:r w:rsidR="008B04DB" w:rsidRPr="00C57412">
        <w:rPr>
          <w:lang w:val="en-US"/>
        </w:rPr>
        <w:t>d cocrys</w:t>
      </w:r>
      <w:r w:rsidR="002C5001" w:rsidRPr="00C57412">
        <w:rPr>
          <w:lang w:val="en-US"/>
        </w:rPr>
        <w:t xml:space="preserve">tals has been </w:t>
      </w:r>
      <w:r w:rsidR="009F627E" w:rsidRPr="00C57412">
        <w:rPr>
          <w:lang w:val="en-US"/>
        </w:rPr>
        <w:t>reported</w:t>
      </w:r>
      <w:r w:rsidR="00552D53" w:rsidRPr="00C57412">
        <w:rPr>
          <w:lang w:val="en-US"/>
        </w:rPr>
        <w:t xml:space="preserve"> (Wu </w:t>
      </w:r>
      <w:r w:rsidR="00552D53" w:rsidRPr="00C57412">
        <w:rPr>
          <w:i/>
          <w:lang w:val="en-US"/>
        </w:rPr>
        <w:t>et al.</w:t>
      </w:r>
      <w:r w:rsidR="00552D53" w:rsidRPr="00C57412">
        <w:rPr>
          <w:lang w:val="en-US"/>
        </w:rPr>
        <w:t xml:space="preserve">, 2017a; Wu </w:t>
      </w:r>
      <w:r w:rsidR="00552D53" w:rsidRPr="00C57412">
        <w:rPr>
          <w:i/>
          <w:lang w:val="en-US"/>
        </w:rPr>
        <w:t>et al.</w:t>
      </w:r>
      <w:r w:rsidR="00552D53" w:rsidRPr="00C57412">
        <w:rPr>
          <w:lang w:val="en-US"/>
        </w:rPr>
        <w:t xml:space="preserve">, 2017b; Dudek </w:t>
      </w:r>
      <w:r w:rsidR="00552D53" w:rsidRPr="00C57412">
        <w:rPr>
          <w:i/>
          <w:lang w:val="en-US"/>
        </w:rPr>
        <w:t>et al.</w:t>
      </w:r>
      <w:r w:rsidR="00552D53" w:rsidRPr="00C57412">
        <w:rPr>
          <w:lang w:val="en-US"/>
        </w:rPr>
        <w:t xml:space="preserve">, 2018; Wang </w:t>
      </w:r>
      <w:r w:rsidR="00552D53" w:rsidRPr="00C57412">
        <w:rPr>
          <w:i/>
          <w:lang w:val="en-US"/>
        </w:rPr>
        <w:t>et al.</w:t>
      </w:r>
      <w:r w:rsidR="00552D53" w:rsidRPr="00C57412">
        <w:rPr>
          <w:lang w:val="en-US"/>
        </w:rPr>
        <w:t xml:space="preserve">, 2018; European Patent </w:t>
      </w:r>
      <w:r w:rsidR="00552D53" w:rsidRPr="00C57412">
        <w:rPr>
          <w:rFonts w:cs="Times New Roman"/>
          <w:sz w:val="22"/>
          <w:lang w:val="en-US"/>
        </w:rPr>
        <w:t>EP3339292A1, 2018</w:t>
      </w:r>
      <w:r w:rsidR="00552D53" w:rsidRPr="00C57412">
        <w:rPr>
          <w:lang w:val="en-US"/>
        </w:rPr>
        <w:t>)</w:t>
      </w:r>
      <w:r w:rsidR="008B04DB" w:rsidRPr="00C57412">
        <w:rPr>
          <w:lang w:val="en-US"/>
        </w:rPr>
        <w:t>.</w:t>
      </w:r>
      <w:r w:rsidR="002D2088" w:rsidRPr="00C57412">
        <w:rPr>
          <w:lang w:val="en-US"/>
        </w:rPr>
        <w:t xml:space="preserve"> One of the most characteristic and unique features of these forms is the fact, that they are held together almost entirely by aromatic – aromatic interactions, even though </w:t>
      </w:r>
      <w:r w:rsidR="009F627E" w:rsidRPr="00C57412">
        <w:rPr>
          <w:lang w:val="en-US"/>
        </w:rPr>
        <w:t xml:space="preserve">the </w:t>
      </w:r>
      <w:r w:rsidR="002D2088" w:rsidRPr="00C57412">
        <w:rPr>
          <w:lang w:val="en-US"/>
        </w:rPr>
        <w:t xml:space="preserve">solvent and/or coformer molecules used for their formation, as well as </w:t>
      </w:r>
      <w:r w:rsidR="001625C0" w:rsidRPr="00C57412">
        <w:rPr>
          <w:lang w:val="en-US"/>
        </w:rPr>
        <w:t>APR</w:t>
      </w:r>
      <w:r w:rsidR="002D2088" w:rsidRPr="00C57412">
        <w:rPr>
          <w:lang w:val="en-US"/>
        </w:rPr>
        <w:t xml:space="preserve"> itself, are capable of forming strong hydrogen bonds</w:t>
      </w:r>
      <w:r w:rsidR="00552D53" w:rsidRPr="00C57412">
        <w:rPr>
          <w:lang w:val="en-US"/>
        </w:rPr>
        <w:t xml:space="preserve"> (Dudek </w:t>
      </w:r>
      <w:r w:rsidR="00552D53" w:rsidRPr="00C57412">
        <w:rPr>
          <w:i/>
          <w:lang w:val="en-US"/>
        </w:rPr>
        <w:t>et al.</w:t>
      </w:r>
      <w:r w:rsidR="00552D53" w:rsidRPr="00C57412">
        <w:rPr>
          <w:lang w:val="en-US"/>
        </w:rPr>
        <w:t xml:space="preserve">, 2018; Wang </w:t>
      </w:r>
      <w:r w:rsidR="00552D53" w:rsidRPr="00C57412">
        <w:rPr>
          <w:i/>
          <w:lang w:val="en-US"/>
        </w:rPr>
        <w:t>et al.</w:t>
      </w:r>
      <w:r w:rsidR="00552D53" w:rsidRPr="00C57412">
        <w:rPr>
          <w:lang w:val="en-US"/>
        </w:rPr>
        <w:t>, 2018)</w:t>
      </w:r>
      <w:r w:rsidR="002D2088" w:rsidRPr="00C57412">
        <w:rPr>
          <w:lang w:val="en-US"/>
        </w:rPr>
        <w:t xml:space="preserve">. </w:t>
      </w:r>
    </w:p>
    <w:p w:rsidR="00B42F8D" w:rsidRPr="00C57412" w:rsidRDefault="003812ED" w:rsidP="00CC30D0">
      <w:pPr>
        <w:spacing w:after="0"/>
        <w:ind w:firstLine="567"/>
        <w:jc w:val="both"/>
        <w:rPr>
          <w:lang w:val="en-US"/>
        </w:rPr>
      </w:pPr>
      <w:r w:rsidRPr="00C57412">
        <w:rPr>
          <w:lang w:val="en-US"/>
        </w:rPr>
        <w:t xml:space="preserve">A detailed analysis of </w:t>
      </w:r>
      <w:r w:rsidR="00E20CDF" w:rsidRPr="00C57412">
        <w:rPr>
          <w:lang w:val="en-US"/>
        </w:rPr>
        <w:t xml:space="preserve">functional groups present in </w:t>
      </w:r>
      <w:r w:rsidR="00CE0849" w:rsidRPr="00C57412">
        <w:rPr>
          <w:lang w:val="en-US"/>
        </w:rPr>
        <w:t>APR</w:t>
      </w:r>
      <w:r w:rsidR="00E20CDF" w:rsidRPr="00C57412">
        <w:rPr>
          <w:lang w:val="en-US"/>
        </w:rPr>
        <w:t xml:space="preserve"> indicate</w:t>
      </w:r>
      <w:r w:rsidR="00CE0849" w:rsidRPr="00C57412">
        <w:rPr>
          <w:lang w:val="en-US"/>
        </w:rPr>
        <w:t>s</w:t>
      </w:r>
      <w:r w:rsidR="00E20CDF" w:rsidRPr="00C57412">
        <w:rPr>
          <w:lang w:val="en-US"/>
        </w:rPr>
        <w:t xml:space="preserve"> that</w:t>
      </w:r>
      <w:r w:rsidR="009F627E" w:rsidRPr="00C57412">
        <w:rPr>
          <w:lang w:val="en-US"/>
        </w:rPr>
        <w:t>,</w:t>
      </w:r>
      <w:r w:rsidR="00E20CDF" w:rsidRPr="00C57412">
        <w:rPr>
          <w:lang w:val="en-US"/>
        </w:rPr>
        <w:t xml:space="preserve"> apart from the two sites engaged in </w:t>
      </w:r>
      <w:r w:rsidR="009F627E" w:rsidRPr="00C57412">
        <w:rPr>
          <w:lang w:val="en-US"/>
        </w:rPr>
        <w:t>an</w:t>
      </w:r>
      <w:r w:rsidR="00E20CDF" w:rsidRPr="00C57412">
        <w:rPr>
          <w:lang w:val="en-US"/>
        </w:rPr>
        <w:t xml:space="preserve"> intramolecular hydrogen bond, </w:t>
      </w:r>
      <w:r w:rsidR="00E20CDF" w:rsidRPr="00C57412">
        <w:rPr>
          <w:i/>
          <w:lang w:val="en-US"/>
        </w:rPr>
        <w:t>i.e.</w:t>
      </w:r>
      <w:r w:rsidR="00E20CDF" w:rsidRPr="00C57412">
        <w:rPr>
          <w:lang w:val="en-US"/>
        </w:rPr>
        <w:t xml:space="preserve"> CO and NH amide groups, there are at least 6 sites with strong propensity of acting as hydrogen bond acceptors</w:t>
      </w:r>
      <w:r w:rsidR="001625C0" w:rsidRPr="00C57412">
        <w:rPr>
          <w:lang w:val="en-US"/>
        </w:rPr>
        <w:t xml:space="preserve">: two oxygen atoms from </w:t>
      </w:r>
      <w:r w:rsidR="009F627E" w:rsidRPr="00C57412">
        <w:rPr>
          <w:lang w:val="en-US"/>
        </w:rPr>
        <w:t xml:space="preserve">the </w:t>
      </w:r>
      <w:r w:rsidR="001625C0" w:rsidRPr="00C57412">
        <w:rPr>
          <w:lang w:val="en-US"/>
        </w:rPr>
        <w:t>sulfonyl group, two methoxy oxygen atoms, and two carbonyl groups</w:t>
      </w:r>
      <w:r w:rsidR="00E20CDF" w:rsidRPr="00C57412">
        <w:rPr>
          <w:lang w:val="en-US"/>
        </w:rPr>
        <w:t xml:space="preserve"> (Figure 1)</w:t>
      </w:r>
      <w:r w:rsidR="00CE0849" w:rsidRPr="00C57412">
        <w:rPr>
          <w:lang w:val="en-US"/>
        </w:rPr>
        <w:t xml:space="preserve">. A survey of the sulfonyl group propensity towards the formation of hydrogen bonds has shown that in all of 12 analyzed cases </w:t>
      </w:r>
      <w:r w:rsidR="008A6945" w:rsidRPr="00C57412">
        <w:rPr>
          <w:lang w:val="en-US"/>
        </w:rPr>
        <w:t xml:space="preserve">of newly synthesized sulfoxides, as well as those retrieved from the CSD database </w:t>
      </w:r>
      <w:r w:rsidR="00CE0849" w:rsidRPr="00C57412">
        <w:rPr>
          <w:lang w:val="en-US"/>
        </w:rPr>
        <w:t xml:space="preserve">oxygen atoms from sulfonyl group </w:t>
      </w:r>
      <w:r w:rsidR="008A6945" w:rsidRPr="00C57412">
        <w:rPr>
          <w:lang w:val="en-US"/>
        </w:rPr>
        <w:t xml:space="preserve">acted as </w:t>
      </w:r>
      <w:r w:rsidR="00CE0849" w:rsidRPr="00C57412">
        <w:rPr>
          <w:lang w:val="en-US"/>
        </w:rPr>
        <w:t>hydrogen bond acceptors, while in 10 cases methylene protons acted as hydrogen bond donors</w:t>
      </w:r>
      <w:r w:rsidR="00552D53" w:rsidRPr="00C57412">
        <w:rPr>
          <w:lang w:val="en-US"/>
        </w:rPr>
        <w:t xml:space="preserve"> (Brondel </w:t>
      </w:r>
      <w:r w:rsidR="00552D53" w:rsidRPr="00C57412">
        <w:rPr>
          <w:i/>
          <w:lang w:val="en-US"/>
        </w:rPr>
        <w:t>et al.</w:t>
      </w:r>
      <w:r w:rsidR="00552D53" w:rsidRPr="00C57412">
        <w:rPr>
          <w:lang w:val="en-US"/>
        </w:rPr>
        <w:t>, 2010)</w:t>
      </w:r>
      <w:r w:rsidR="00CE0849" w:rsidRPr="00C57412">
        <w:rPr>
          <w:lang w:val="en-US"/>
        </w:rPr>
        <w:t xml:space="preserve">. </w:t>
      </w:r>
      <w:r w:rsidR="008A6945" w:rsidRPr="00C57412">
        <w:rPr>
          <w:lang w:val="en-US"/>
        </w:rPr>
        <w:t xml:space="preserve">In the cited reference the selection of structures was based on obtaining a wide variety of sulfur-containing organic compounds with different substituents, so that it enabled investigating the influence of the functional group on the intermolecular interactions of </w:t>
      </w:r>
      <w:r w:rsidR="008A6945" w:rsidRPr="00C57412">
        <w:rPr>
          <w:lang w:val="en-US"/>
        </w:rPr>
        <w:lastRenderedPageBreak/>
        <w:t xml:space="preserve">sulfoxides found in the crystals. </w:t>
      </w:r>
      <w:r w:rsidR="00CE0849" w:rsidRPr="00C57412">
        <w:rPr>
          <w:lang w:val="en-US"/>
        </w:rPr>
        <w:t>Similarly, it has been demonstrate</w:t>
      </w:r>
      <w:r w:rsidR="009F627E" w:rsidRPr="00C57412">
        <w:rPr>
          <w:lang w:val="en-US"/>
        </w:rPr>
        <w:t>d</w:t>
      </w:r>
      <w:r w:rsidR="00CE0849" w:rsidRPr="00C57412">
        <w:rPr>
          <w:lang w:val="en-US"/>
        </w:rPr>
        <w:t xml:space="preserve"> that oxygen from </w:t>
      </w:r>
      <w:r w:rsidR="009F627E" w:rsidRPr="00C57412">
        <w:rPr>
          <w:lang w:val="en-US"/>
        </w:rPr>
        <w:t xml:space="preserve">the </w:t>
      </w:r>
      <w:r w:rsidR="00CE0849" w:rsidRPr="00C57412">
        <w:rPr>
          <w:lang w:val="en-US"/>
        </w:rPr>
        <w:t>methoxy group in methoxybenzenes is a strong acceptor of hydrogen bond</w:t>
      </w:r>
      <w:r w:rsidR="009F627E" w:rsidRPr="00C57412">
        <w:rPr>
          <w:lang w:val="en-US"/>
        </w:rPr>
        <w:t>s</w:t>
      </w:r>
      <w:r w:rsidR="00CE0849" w:rsidRPr="00C57412">
        <w:rPr>
          <w:lang w:val="en-US"/>
        </w:rPr>
        <w:t xml:space="preserve"> from various donor groups</w:t>
      </w:r>
      <w:r w:rsidR="00552D53" w:rsidRPr="00C57412">
        <w:rPr>
          <w:lang w:val="en-US"/>
        </w:rPr>
        <w:t xml:space="preserve"> (Palusiak &amp; Grabowski, 2002)</w:t>
      </w:r>
      <w:r w:rsidR="00CE0849" w:rsidRPr="00C57412">
        <w:rPr>
          <w:lang w:val="en-US"/>
        </w:rPr>
        <w:t xml:space="preserve">, not to mention </w:t>
      </w:r>
      <w:r w:rsidR="009F627E" w:rsidRPr="00C57412">
        <w:rPr>
          <w:lang w:val="en-US"/>
        </w:rPr>
        <w:t xml:space="preserve">the </w:t>
      </w:r>
      <w:r w:rsidR="00CE0849" w:rsidRPr="00C57412">
        <w:rPr>
          <w:lang w:val="en-US"/>
        </w:rPr>
        <w:t xml:space="preserve">carbonyl oxygen from </w:t>
      </w:r>
      <w:r w:rsidR="00A05CB4" w:rsidRPr="00C57412">
        <w:rPr>
          <w:lang w:val="en-US"/>
        </w:rPr>
        <w:t>isoindoline-1,</w:t>
      </w:r>
      <w:r w:rsidR="00CE0849" w:rsidRPr="00C57412">
        <w:rPr>
          <w:lang w:val="en-US"/>
        </w:rPr>
        <w:t xml:space="preserve">3-dione ring, which often acts as </w:t>
      </w:r>
      <w:r w:rsidR="00A05CB4" w:rsidRPr="00C57412">
        <w:rPr>
          <w:lang w:val="en-US"/>
        </w:rPr>
        <w:t xml:space="preserve">a </w:t>
      </w:r>
      <w:r w:rsidR="00CE0849" w:rsidRPr="00C57412">
        <w:rPr>
          <w:lang w:val="en-US"/>
        </w:rPr>
        <w:t xml:space="preserve">hydrogen bond acceptor for C-H aromatic protons. Meanwhile, in APR cocrystals </w:t>
      </w:r>
      <w:r w:rsidR="001625C0" w:rsidRPr="00C57412">
        <w:rPr>
          <w:lang w:val="en-US"/>
        </w:rPr>
        <w:t xml:space="preserve">and solvates </w:t>
      </w:r>
      <w:r w:rsidR="009F627E" w:rsidRPr="00C57412">
        <w:rPr>
          <w:lang w:val="en-US"/>
        </w:rPr>
        <w:t>none of these hydrogen bond</w:t>
      </w:r>
      <w:r w:rsidR="00CE0849" w:rsidRPr="00C57412">
        <w:rPr>
          <w:lang w:val="en-US"/>
        </w:rPr>
        <w:t xml:space="preserve"> donors and acceptors are involved in the formation of such a bond, </w:t>
      </w:r>
      <w:r w:rsidR="00FB2DF2" w:rsidRPr="00C57412">
        <w:rPr>
          <w:lang w:val="en-US"/>
        </w:rPr>
        <w:t>n</w:t>
      </w:r>
      <w:r w:rsidR="00CE0849" w:rsidRPr="00C57412">
        <w:rPr>
          <w:lang w:val="en-US"/>
        </w:rPr>
        <w:t xml:space="preserve">either with </w:t>
      </w:r>
      <w:r w:rsidR="001625C0" w:rsidRPr="00C57412">
        <w:rPr>
          <w:lang w:val="en-US"/>
        </w:rPr>
        <w:t>an</w:t>
      </w:r>
      <w:r w:rsidR="00CE0849" w:rsidRPr="00C57412">
        <w:rPr>
          <w:lang w:val="en-US"/>
        </w:rPr>
        <w:t xml:space="preserve">other APR molecule </w:t>
      </w:r>
      <w:r w:rsidR="00FB2DF2" w:rsidRPr="00C57412">
        <w:rPr>
          <w:lang w:val="en-US"/>
        </w:rPr>
        <w:t>n</w:t>
      </w:r>
      <w:r w:rsidR="00CE0849" w:rsidRPr="00C57412">
        <w:rPr>
          <w:lang w:val="en-US"/>
        </w:rPr>
        <w:t>or a coformer</w:t>
      </w:r>
      <w:r w:rsidR="00552D53" w:rsidRPr="00C57412">
        <w:rPr>
          <w:lang w:val="en-US"/>
        </w:rPr>
        <w:t xml:space="preserve"> (Wu </w:t>
      </w:r>
      <w:r w:rsidR="00552D53" w:rsidRPr="00C57412">
        <w:rPr>
          <w:i/>
          <w:lang w:val="en-US"/>
        </w:rPr>
        <w:t>et al.</w:t>
      </w:r>
      <w:r w:rsidR="00552D53" w:rsidRPr="00C57412">
        <w:rPr>
          <w:lang w:val="en-US"/>
        </w:rPr>
        <w:t xml:space="preserve">, 2017a; Dudek </w:t>
      </w:r>
      <w:r w:rsidR="00552D53" w:rsidRPr="00C57412">
        <w:rPr>
          <w:i/>
          <w:lang w:val="en-US"/>
        </w:rPr>
        <w:t>et al.</w:t>
      </w:r>
      <w:r w:rsidR="00552D53" w:rsidRPr="00C57412">
        <w:rPr>
          <w:lang w:val="en-US"/>
        </w:rPr>
        <w:t>, 2018)</w:t>
      </w:r>
      <w:r w:rsidR="00CE0849" w:rsidRPr="00C57412">
        <w:rPr>
          <w:lang w:val="en-US"/>
        </w:rPr>
        <w:t xml:space="preserve">. </w:t>
      </w:r>
      <w:r w:rsidR="009F627E" w:rsidRPr="00C57412">
        <w:rPr>
          <w:lang w:val="en-US"/>
        </w:rPr>
        <w:t xml:space="preserve">Clearly, </w:t>
      </w:r>
      <w:r w:rsidR="0001558F" w:rsidRPr="00C57412">
        <w:rPr>
          <w:lang w:val="en-US"/>
        </w:rPr>
        <w:t xml:space="preserve">certain </w:t>
      </w:r>
      <w:r w:rsidR="009F627E" w:rsidRPr="00C57412">
        <w:rPr>
          <w:lang w:val="en-US"/>
        </w:rPr>
        <w:t>factors</w:t>
      </w:r>
      <w:r w:rsidR="0001558F" w:rsidRPr="00C57412">
        <w:rPr>
          <w:lang w:val="en-US"/>
        </w:rPr>
        <w:t xml:space="preserve"> capable of compensating the observed deviation from the maximum saturation of hydrogen bonds trend upon formation of cocrystals </w:t>
      </w:r>
      <w:r w:rsidR="007B7443" w:rsidRPr="00C57412">
        <w:rPr>
          <w:lang w:val="en-US"/>
        </w:rPr>
        <w:t xml:space="preserve">have to exist. This trend was observed </w:t>
      </w:r>
      <w:r w:rsidR="0001558F" w:rsidRPr="00C57412">
        <w:rPr>
          <w:lang w:val="en-US"/>
        </w:rPr>
        <w:t>as early as in 1973 by Kitaigorodsky</w:t>
      </w:r>
      <w:r w:rsidR="007B7443" w:rsidRPr="00C57412">
        <w:rPr>
          <w:lang w:val="en-US"/>
        </w:rPr>
        <w:t xml:space="preserve"> and formulated by him into a rule, claiming that hydrogen bonds achievable for a given structure must be saturated as much as possible (Kitaigorodsky, 1973)</w:t>
      </w:r>
      <w:r w:rsidR="0001558F" w:rsidRPr="00C57412">
        <w:rPr>
          <w:lang w:val="en-US"/>
        </w:rPr>
        <w:t xml:space="preserve">. </w:t>
      </w:r>
      <w:r w:rsidR="00150410" w:rsidRPr="00C57412">
        <w:rPr>
          <w:lang w:val="en-US"/>
        </w:rPr>
        <w:t xml:space="preserve">We have recently shown that </w:t>
      </w:r>
      <w:r w:rsidR="0001558F" w:rsidRPr="00C57412">
        <w:rPr>
          <w:lang w:val="en-US"/>
        </w:rPr>
        <w:t xml:space="preserve">there is a </w:t>
      </w:r>
      <w:r w:rsidR="00150410" w:rsidRPr="00C57412">
        <w:rPr>
          <w:lang w:val="en-US"/>
        </w:rPr>
        <w:t xml:space="preserve">strong preference </w:t>
      </w:r>
      <w:r w:rsidR="001C19E7" w:rsidRPr="00C57412">
        <w:rPr>
          <w:lang w:val="en-US"/>
        </w:rPr>
        <w:t>for</w:t>
      </w:r>
      <w:r w:rsidR="00150410" w:rsidRPr="00C57412">
        <w:rPr>
          <w:lang w:val="en-US"/>
        </w:rPr>
        <w:t xml:space="preserve"> </w:t>
      </w:r>
      <w:r w:rsidR="00150410" w:rsidRPr="00C57412">
        <w:rPr>
          <w:rFonts w:cs="Times New Roman"/>
          <w:lang w:val="en-US"/>
        </w:rPr>
        <w:t>π</w:t>
      </w:r>
      <w:r w:rsidR="00150410" w:rsidRPr="00C57412">
        <w:rPr>
          <w:lang w:val="en-US"/>
        </w:rPr>
        <w:t xml:space="preserve"> – </w:t>
      </w:r>
      <w:r w:rsidR="00150410" w:rsidRPr="00C57412">
        <w:rPr>
          <w:rFonts w:cs="Times New Roman"/>
          <w:lang w:val="en-US"/>
        </w:rPr>
        <w:t>π</w:t>
      </w:r>
      <w:r w:rsidR="00150410" w:rsidRPr="00C57412">
        <w:rPr>
          <w:lang w:val="en-US"/>
        </w:rPr>
        <w:t xml:space="preserve"> </w:t>
      </w:r>
      <w:r w:rsidR="009F627E" w:rsidRPr="00C57412">
        <w:rPr>
          <w:lang w:val="en-US"/>
        </w:rPr>
        <w:t>interactions over hydrogen bond</w:t>
      </w:r>
      <w:r w:rsidR="00150410" w:rsidRPr="00C57412">
        <w:rPr>
          <w:lang w:val="en-US"/>
        </w:rPr>
        <w:t xml:space="preserve"> formation </w:t>
      </w:r>
      <w:r w:rsidR="0001558F" w:rsidRPr="00C57412">
        <w:rPr>
          <w:lang w:val="en-US"/>
        </w:rPr>
        <w:t xml:space="preserve">in the cocrystals and solvates of APR, and that it </w:t>
      </w:r>
      <w:r w:rsidR="00150410" w:rsidRPr="00C57412">
        <w:rPr>
          <w:lang w:val="en-US"/>
        </w:rPr>
        <w:t>can be exploited to form a variety of cocrystals with pharmaceutically acceptable coformers</w:t>
      </w:r>
      <w:r w:rsidR="00552D53" w:rsidRPr="00C57412">
        <w:rPr>
          <w:lang w:val="en-US"/>
        </w:rPr>
        <w:t xml:space="preserve"> (Dudek </w:t>
      </w:r>
      <w:r w:rsidR="00552D53" w:rsidRPr="00C57412">
        <w:rPr>
          <w:i/>
          <w:lang w:val="en-US"/>
        </w:rPr>
        <w:t>et al.</w:t>
      </w:r>
      <w:r w:rsidR="00552D53" w:rsidRPr="00C57412">
        <w:rPr>
          <w:lang w:val="en-US"/>
        </w:rPr>
        <w:t>, 2018)</w:t>
      </w:r>
      <w:r w:rsidR="00150410" w:rsidRPr="00C57412">
        <w:rPr>
          <w:lang w:val="en-US"/>
        </w:rPr>
        <w:t>, but the reason standing behind this p</w:t>
      </w:r>
      <w:r w:rsidR="0001558F" w:rsidRPr="00C57412">
        <w:rPr>
          <w:lang w:val="en-US"/>
        </w:rPr>
        <w:t xml:space="preserve">reference remains unclear. This paper aims at clarifying this preference and explaining the factors that influence such a marked violation of Kitaigorodsky’s rule. </w:t>
      </w:r>
      <w:r w:rsidR="00CF5E8A" w:rsidRPr="00C57412">
        <w:rPr>
          <w:lang w:val="en-US"/>
        </w:rPr>
        <w:t>To that purpose we account for three</w:t>
      </w:r>
      <w:r w:rsidR="004F56C8" w:rsidRPr="00C57412">
        <w:rPr>
          <w:lang w:val="en-US"/>
        </w:rPr>
        <w:t xml:space="preserve"> possibilities: (i) exceptionally favorable</w:t>
      </w:r>
      <w:r w:rsidR="006128C3" w:rsidRPr="00C57412">
        <w:rPr>
          <w:lang w:val="en-US"/>
        </w:rPr>
        <w:t xml:space="preserve"> energy</w:t>
      </w:r>
      <w:r w:rsidR="0001558F" w:rsidRPr="00C57412">
        <w:rPr>
          <w:lang w:val="en-US"/>
        </w:rPr>
        <w:t xml:space="preserve"> of aromatic – aromatic interactions </w:t>
      </w:r>
      <w:r w:rsidR="00CF5E8A" w:rsidRPr="00C57412">
        <w:rPr>
          <w:lang w:val="en-US"/>
        </w:rPr>
        <w:t>in APR cocrystals</w:t>
      </w:r>
      <w:r w:rsidR="00BD6DDC" w:rsidRPr="00C57412">
        <w:rPr>
          <w:lang w:val="en-US"/>
        </w:rPr>
        <w:t xml:space="preserve"> and/or saturation of possible hydrogen bonding sites by CH</w:t>
      </w:r>
      <w:r w:rsidR="00BD6DDC" w:rsidRPr="00C57412">
        <w:rPr>
          <w:rFonts w:eastAsia="Times New Roman" w:cs="Times New Roman"/>
          <w:szCs w:val="24"/>
          <w:lang w:val="en-US" w:eastAsia="pl-PL"/>
        </w:rPr>
        <w:t>∙∙∙</w:t>
      </w:r>
      <w:r w:rsidR="00BD6DDC" w:rsidRPr="00C57412">
        <w:rPr>
          <w:lang w:val="en-US"/>
        </w:rPr>
        <w:t>O short contacts</w:t>
      </w:r>
      <w:r w:rsidR="00CF5E8A" w:rsidRPr="00C57412">
        <w:rPr>
          <w:lang w:val="en-US"/>
        </w:rPr>
        <w:t xml:space="preserve">, </w:t>
      </w:r>
      <w:r w:rsidR="004F56C8" w:rsidRPr="00C57412">
        <w:rPr>
          <w:lang w:val="en-US"/>
        </w:rPr>
        <w:t>(ii) an existence of</w:t>
      </w:r>
      <w:r w:rsidR="0001558F" w:rsidRPr="00C57412">
        <w:rPr>
          <w:lang w:val="en-US"/>
        </w:rPr>
        <w:t xml:space="preserve"> </w:t>
      </w:r>
      <w:r w:rsidR="004F56C8" w:rsidRPr="00C57412">
        <w:rPr>
          <w:lang w:val="en-US"/>
        </w:rPr>
        <w:t xml:space="preserve">a yet unknown </w:t>
      </w:r>
      <w:r w:rsidR="00CF5E8A" w:rsidRPr="00C57412">
        <w:rPr>
          <w:lang w:val="en-US"/>
        </w:rPr>
        <w:t>stable crystal structure</w:t>
      </w:r>
      <w:r w:rsidR="004F56C8" w:rsidRPr="00C57412">
        <w:rPr>
          <w:lang w:val="en-US"/>
        </w:rPr>
        <w:t xml:space="preserve"> of APR cocrystals</w:t>
      </w:r>
      <w:r w:rsidR="00CF5E8A" w:rsidRPr="00C57412">
        <w:rPr>
          <w:lang w:val="en-US"/>
        </w:rPr>
        <w:t xml:space="preserve"> held together by</w:t>
      </w:r>
      <w:r w:rsidR="0001558F" w:rsidRPr="00C57412">
        <w:rPr>
          <w:lang w:val="en-US"/>
        </w:rPr>
        <w:t xml:space="preserve"> hydrogen bonds, </w:t>
      </w:r>
      <w:r w:rsidR="004F56C8" w:rsidRPr="00C57412">
        <w:rPr>
          <w:lang w:val="en-US"/>
        </w:rPr>
        <w:t xml:space="preserve">and (iii) a stabilizing role of disorder </w:t>
      </w:r>
      <w:r w:rsidR="0001558F" w:rsidRPr="00C57412">
        <w:rPr>
          <w:lang w:val="en-US"/>
        </w:rPr>
        <w:t xml:space="preserve">present in almost every known isostructural solvate </w:t>
      </w:r>
      <w:r w:rsidR="00CF5E8A" w:rsidRPr="00C57412">
        <w:rPr>
          <w:lang w:val="en-US"/>
        </w:rPr>
        <w:t>and</w:t>
      </w:r>
      <w:r w:rsidR="0001558F" w:rsidRPr="00C57412">
        <w:rPr>
          <w:lang w:val="en-US"/>
        </w:rPr>
        <w:t xml:space="preserve"> cocrystal of APR</w:t>
      </w:r>
      <w:r w:rsidR="00CF5E8A" w:rsidRPr="00C57412">
        <w:rPr>
          <w:lang w:val="en-US"/>
        </w:rPr>
        <w:t xml:space="preserve">. </w:t>
      </w:r>
      <w:r w:rsidR="008D291E" w:rsidRPr="00C57412">
        <w:rPr>
          <w:lang w:val="en-US"/>
        </w:rPr>
        <w:t>As coformers</w:t>
      </w:r>
      <w:r w:rsidR="009F627E" w:rsidRPr="00C57412">
        <w:rPr>
          <w:lang w:val="en-US"/>
        </w:rPr>
        <w:t>,</w:t>
      </w:r>
      <w:r w:rsidR="008D291E" w:rsidRPr="00C57412">
        <w:rPr>
          <w:lang w:val="en-US"/>
        </w:rPr>
        <w:t xml:space="preserve"> four different aromatic compounds were </w:t>
      </w:r>
      <w:r w:rsidR="00A05CB4" w:rsidRPr="00C57412">
        <w:rPr>
          <w:lang w:val="en-US"/>
        </w:rPr>
        <w:t>selected</w:t>
      </w:r>
      <w:r w:rsidR="008D291E" w:rsidRPr="00C57412">
        <w:rPr>
          <w:lang w:val="en-US"/>
        </w:rPr>
        <w:t>: resorcinol, picolinamide, imidazole, and hydroquinone, all being capable of acting as hydrogen bond donors, and all exhibiting a preference towards hydrogen bonds formation.</w:t>
      </w:r>
    </w:p>
    <w:p w:rsidR="003A6228" w:rsidRPr="00C57412" w:rsidRDefault="003A6228" w:rsidP="003A6228">
      <w:pPr>
        <w:spacing w:line="276" w:lineRule="auto"/>
        <w:jc w:val="center"/>
        <w:rPr>
          <w:b/>
          <w:lang w:val="en-US"/>
        </w:rPr>
      </w:pPr>
      <w:r w:rsidRPr="00C57412">
        <w:rPr>
          <w:b/>
          <w:noProof/>
          <w:lang w:eastAsia="pl-PL"/>
        </w:rPr>
        <w:drawing>
          <wp:inline distT="0" distB="0" distL="0" distR="0">
            <wp:extent cx="4819650" cy="1828800"/>
            <wp:effectExtent l="0" t="0" r="0" b="0"/>
            <wp:docPr id="2" name="Obraz 2" descr="C:\Users\Marta\Desktop\apr_paper2\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apr_paper2\Figure1.tif"/>
                    <pic:cNvPicPr>
                      <a:picLocks noChangeAspect="1" noChangeArrowheads="1"/>
                    </pic:cNvPicPr>
                  </pic:nvPicPr>
                  <pic:blipFill>
                    <a:blip r:embed="rId8"/>
                    <a:srcRect/>
                    <a:stretch>
                      <a:fillRect/>
                    </a:stretch>
                  </pic:blipFill>
                  <pic:spPr bwMode="auto">
                    <a:xfrm>
                      <a:off x="0" y="0"/>
                      <a:ext cx="4819650" cy="1828800"/>
                    </a:xfrm>
                    <a:prstGeom prst="rect">
                      <a:avLst/>
                    </a:prstGeom>
                    <a:noFill/>
                    <a:ln w="9525">
                      <a:noFill/>
                      <a:miter lim="800000"/>
                      <a:headEnd/>
                      <a:tailEnd/>
                    </a:ln>
                  </pic:spPr>
                </pic:pic>
              </a:graphicData>
            </a:graphic>
          </wp:inline>
        </w:drawing>
      </w:r>
    </w:p>
    <w:p w:rsidR="00CC30D0" w:rsidRPr="00C57412" w:rsidRDefault="00CC30D0" w:rsidP="00CC30D0">
      <w:pPr>
        <w:spacing w:line="276" w:lineRule="auto"/>
        <w:jc w:val="both"/>
        <w:rPr>
          <w:lang w:val="en-US"/>
        </w:rPr>
      </w:pPr>
      <w:r w:rsidRPr="00C57412">
        <w:rPr>
          <w:b/>
          <w:lang w:val="en-US"/>
        </w:rPr>
        <w:t>Figure 1</w:t>
      </w:r>
      <w:r w:rsidRPr="00C57412">
        <w:rPr>
          <w:lang w:val="en-US"/>
        </w:rPr>
        <w:t xml:space="preserve">. Structure of APR with </w:t>
      </w:r>
      <w:r w:rsidR="003A6228" w:rsidRPr="00C57412">
        <w:rPr>
          <w:lang w:val="en-US"/>
        </w:rPr>
        <w:t xml:space="preserve">numbering and </w:t>
      </w:r>
      <w:r w:rsidRPr="00C57412">
        <w:rPr>
          <w:lang w:val="en-US"/>
        </w:rPr>
        <w:t>hydrogen bond</w:t>
      </w:r>
      <w:r w:rsidR="003A6228" w:rsidRPr="00C57412">
        <w:rPr>
          <w:lang w:val="en-US"/>
        </w:rPr>
        <w:t xml:space="preserve"> (HB)</w:t>
      </w:r>
      <w:r w:rsidRPr="00C57412">
        <w:rPr>
          <w:lang w:val="en-US"/>
        </w:rPr>
        <w:t xml:space="preserve"> sites marked with blue rectangles</w:t>
      </w:r>
      <w:r w:rsidR="003A6228" w:rsidRPr="00C57412">
        <w:rPr>
          <w:lang w:val="en-US"/>
        </w:rPr>
        <w:t xml:space="preserve"> (HB acceptors)</w:t>
      </w:r>
      <w:r w:rsidRPr="00C57412">
        <w:rPr>
          <w:lang w:val="en-US"/>
        </w:rPr>
        <w:t>, and with a red rectangle</w:t>
      </w:r>
      <w:r w:rsidR="003A6228" w:rsidRPr="00C57412">
        <w:rPr>
          <w:lang w:val="en-US"/>
        </w:rPr>
        <w:t xml:space="preserve"> (HB donor)</w:t>
      </w:r>
      <w:r w:rsidRPr="00C57412">
        <w:rPr>
          <w:lang w:val="en-US"/>
        </w:rPr>
        <w:t>.</w:t>
      </w:r>
    </w:p>
    <w:p w:rsidR="006150AA" w:rsidRPr="00C57412" w:rsidRDefault="006150AA">
      <w:pPr>
        <w:spacing w:after="200" w:line="276" w:lineRule="auto"/>
        <w:rPr>
          <w:b/>
          <w:lang w:val="en-US"/>
        </w:rPr>
      </w:pPr>
      <w:r w:rsidRPr="00C57412">
        <w:rPr>
          <w:b/>
          <w:lang w:val="en-US"/>
        </w:rPr>
        <w:lastRenderedPageBreak/>
        <w:t>Experimental</w:t>
      </w:r>
      <w:r w:rsidR="00D0261B" w:rsidRPr="00C57412">
        <w:rPr>
          <w:b/>
          <w:lang w:val="en-US"/>
        </w:rPr>
        <w:t xml:space="preserve"> Section</w:t>
      </w:r>
    </w:p>
    <w:p w:rsidR="00B807D1" w:rsidRPr="00C57412" w:rsidRDefault="00B807D1" w:rsidP="006150AA">
      <w:pPr>
        <w:jc w:val="both"/>
        <w:rPr>
          <w:b/>
          <w:i/>
          <w:color w:val="7030A0"/>
          <w:lang w:val="en-US"/>
        </w:rPr>
      </w:pPr>
      <w:r w:rsidRPr="00C57412">
        <w:rPr>
          <w:b/>
          <w:i/>
          <w:lang w:val="en-US"/>
        </w:rPr>
        <w:t>Materials</w:t>
      </w:r>
    </w:p>
    <w:p w:rsidR="00B807D1" w:rsidRPr="00C57412" w:rsidRDefault="00B807D1" w:rsidP="006150AA">
      <w:pPr>
        <w:jc w:val="both"/>
        <w:rPr>
          <w:lang w:val="en-US"/>
        </w:rPr>
      </w:pPr>
      <w:r w:rsidRPr="00C57412">
        <w:rPr>
          <w:lang w:val="en-US"/>
        </w:rPr>
        <w:t xml:space="preserve">APR </w:t>
      </w:r>
      <w:r w:rsidR="00DA5B1C" w:rsidRPr="00C57412">
        <w:rPr>
          <w:lang w:val="en-US"/>
        </w:rPr>
        <w:t xml:space="preserve">((S)-N-(2-[1-(3-ethoxy-4-methoxyphenyl)-2-methane sulfonylethyl]-1,3-dioxo-2,3-dihy-dro-1H-isoindol-4-yl) acetamide) was purchased from Accel Pharmtech company </w:t>
      </w:r>
      <w:r w:rsidRPr="00C57412">
        <w:rPr>
          <w:lang w:val="en-US"/>
        </w:rPr>
        <w:t xml:space="preserve">and was recrystallized from </w:t>
      </w:r>
      <w:r w:rsidR="00385354" w:rsidRPr="00C57412">
        <w:rPr>
          <w:lang w:val="en-US"/>
        </w:rPr>
        <w:t xml:space="preserve">acetone (POCh) </w:t>
      </w:r>
      <w:r w:rsidR="00385354" w:rsidRPr="00C57412">
        <w:rPr>
          <w:i/>
          <w:lang w:val="en-US"/>
        </w:rPr>
        <w:t>via</w:t>
      </w:r>
      <w:r w:rsidR="00385354" w:rsidRPr="00C57412">
        <w:rPr>
          <w:lang w:val="en-US"/>
        </w:rPr>
        <w:t xml:space="preserve"> very slow evaporation of solvent</w:t>
      </w:r>
      <w:r w:rsidRPr="00C57412">
        <w:rPr>
          <w:lang w:val="en-US"/>
        </w:rPr>
        <w:t xml:space="preserve"> to obtain suitable crystals of form B, which was identified by the comparison of the PXRD pattern (see Supporting Information</w:t>
      </w:r>
      <w:r w:rsidR="009F36AE" w:rsidRPr="00C57412">
        <w:rPr>
          <w:lang w:val="en-US"/>
        </w:rPr>
        <w:t>, Figure S2</w:t>
      </w:r>
      <w:r w:rsidRPr="00C57412">
        <w:rPr>
          <w:lang w:val="en-US"/>
        </w:rPr>
        <w:t>) with patent literature data. Resorcinol</w:t>
      </w:r>
      <w:r w:rsidR="00385354" w:rsidRPr="00C57412">
        <w:rPr>
          <w:lang w:val="en-US"/>
        </w:rPr>
        <w:t xml:space="preserve"> (</w:t>
      </w:r>
      <w:r w:rsidR="002D1079" w:rsidRPr="00C57412">
        <w:rPr>
          <w:lang w:val="en-US"/>
        </w:rPr>
        <w:t xml:space="preserve">RES, </w:t>
      </w:r>
      <w:r w:rsidR="00385354" w:rsidRPr="00C57412">
        <w:rPr>
          <w:lang w:val="en-US"/>
        </w:rPr>
        <w:t>Sigma Aldrich)</w:t>
      </w:r>
      <w:r w:rsidRPr="00C57412">
        <w:rPr>
          <w:lang w:val="en-US"/>
        </w:rPr>
        <w:t>, hydroquinone</w:t>
      </w:r>
      <w:r w:rsidR="00385354" w:rsidRPr="00C57412">
        <w:rPr>
          <w:lang w:val="en-US"/>
        </w:rPr>
        <w:t xml:space="preserve"> (</w:t>
      </w:r>
      <w:r w:rsidR="002D1079" w:rsidRPr="00C57412">
        <w:rPr>
          <w:lang w:val="en-US"/>
        </w:rPr>
        <w:t xml:space="preserve">HQU, </w:t>
      </w:r>
      <w:r w:rsidR="00896D72" w:rsidRPr="00C57412">
        <w:rPr>
          <w:lang w:val="en-US"/>
        </w:rPr>
        <w:t>Sigma Aldrich</w:t>
      </w:r>
      <w:r w:rsidR="00385354" w:rsidRPr="00C57412">
        <w:rPr>
          <w:lang w:val="en-US"/>
        </w:rPr>
        <w:t>)</w:t>
      </w:r>
      <w:r w:rsidRPr="00C57412">
        <w:rPr>
          <w:lang w:val="en-US"/>
        </w:rPr>
        <w:t>, picolinamide</w:t>
      </w:r>
      <w:r w:rsidR="00385354" w:rsidRPr="00C57412">
        <w:rPr>
          <w:lang w:val="en-US"/>
        </w:rPr>
        <w:t xml:space="preserve"> (</w:t>
      </w:r>
      <w:r w:rsidR="002D1079" w:rsidRPr="00C57412">
        <w:rPr>
          <w:lang w:val="en-US"/>
        </w:rPr>
        <w:t xml:space="preserve">PIC, </w:t>
      </w:r>
      <w:r w:rsidR="00385354" w:rsidRPr="00C57412">
        <w:rPr>
          <w:lang w:val="en-US"/>
        </w:rPr>
        <w:t>TCI Chemicals)</w:t>
      </w:r>
      <w:r w:rsidRPr="00C57412">
        <w:rPr>
          <w:lang w:val="en-US"/>
        </w:rPr>
        <w:t xml:space="preserve"> and imidazole</w:t>
      </w:r>
      <w:r w:rsidR="00385354" w:rsidRPr="00C57412">
        <w:rPr>
          <w:lang w:val="en-US"/>
        </w:rPr>
        <w:t xml:space="preserve"> (</w:t>
      </w:r>
      <w:r w:rsidR="002D1079" w:rsidRPr="00C57412">
        <w:rPr>
          <w:lang w:val="en-US"/>
        </w:rPr>
        <w:t xml:space="preserve">IMI, </w:t>
      </w:r>
      <w:r w:rsidR="00385354" w:rsidRPr="00C57412">
        <w:rPr>
          <w:lang w:val="en-US"/>
        </w:rPr>
        <w:t xml:space="preserve">Merck) were </w:t>
      </w:r>
      <w:r w:rsidRPr="00C57412">
        <w:rPr>
          <w:lang w:val="en-US"/>
        </w:rPr>
        <w:t>used as is.</w:t>
      </w:r>
      <w:r w:rsidR="00385354" w:rsidRPr="00C57412">
        <w:rPr>
          <w:lang w:val="en-US"/>
        </w:rPr>
        <w:t xml:space="preserve"> </w:t>
      </w:r>
    </w:p>
    <w:p w:rsidR="00B807D1" w:rsidRPr="00C57412" w:rsidRDefault="009F627E" w:rsidP="006150AA">
      <w:pPr>
        <w:jc w:val="both"/>
        <w:rPr>
          <w:b/>
          <w:i/>
          <w:lang w:val="en-US"/>
        </w:rPr>
      </w:pPr>
      <w:r w:rsidRPr="00C57412">
        <w:rPr>
          <w:b/>
          <w:i/>
          <w:lang w:val="en-US"/>
        </w:rPr>
        <w:t>Cocrystal</w:t>
      </w:r>
      <w:r w:rsidR="00B807D1" w:rsidRPr="00C57412">
        <w:rPr>
          <w:b/>
          <w:i/>
          <w:lang w:val="en-US"/>
        </w:rPr>
        <w:t xml:space="preserve"> formation</w:t>
      </w:r>
    </w:p>
    <w:p w:rsidR="00D951E1" w:rsidRPr="00C57412" w:rsidRDefault="00B807D1" w:rsidP="006150AA">
      <w:pPr>
        <w:jc w:val="both"/>
        <w:rPr>
          <w:lang w:val="en-US"/>
        </w:rPr>
      </w:pPr>
      <w:r w:rsidRPr="00C57412">
        <w:rPr>
          <w:lang w:val="en-US"/>
        </w:rPr>
        <w:t xml:space="preserve">Cocrystals of APR were synthesized using </w:t>
      </w:r>
      <w:r w:rsidR="009F627E" w:rsidRPr="00C57412">
        <w:rPr>
          <w:lang w:val="en-US"/>
        </w:rPr>
        <w:t xml:space="preserve">a </w:t>
      </w:r>
      <w:r w:rsidRPr="00C57412">
        <w:rPr>
          <w:lang w:val="en-US"/>
        </w:rPr>
        <w:t>mechanochemical approach</w:t>
      </w:r>
      <w:r w:rsidR="00D951E1" w:rsidRPr="00C57412">
        <w:rPr>
          <w:lang w:val="en-US"/>
        </w:rPr>
        <w:t xml:space="preserve">, </w:t>
      </w:r>
      <w:r w:rsidR="00552A2E" w:rsidRPr="00C57412">
        <w:rPr>
          <w:lang w:val="en-US"/>
        </w:rPr>
        <w:t xml:space="preserve">which for the purpose of obtaining suitable crystals for single crystal X-Ray diffraction studies, was followed by </w:t>
      </w:r>
      <w:r w:rsidR="009F627E" w:rsidRPr="00C57412">
        <w:rPr>
          <w:lang w:val="en-US"/>
        </w:rPr>
        <w:t xml:space="preserve">solution </w:t>
      </w:r>
      <w:r w:rsidR="00552A2E" w:rsidRPr="00C57412">
        <w:rPr>
          <w:lang w:val="en-US"/>
        </w:rPr>
        <w:t>recrystallization</w:t>
      </w:r>
      <w:r w:rsidR="00D951E1" w:rsidRPr="00C57412">
        <w:rPr>
          <w:lang w:val="en-US"/>
        </w:rPr>
        <w:t xml:space="preserve">. In both cases the identity of the resulting crystalline forms was evaluated with </w:t>
      </w:r>
      <w:r w:rsidR="00D951E1" w:rsidRPr="00C57412">
        <w:rPr>
          <w:vertAlign w:val="superscript"/>
          <w:lang w:val="en-US"/>
        </w:rPr>
        <w:t>13</w:t>
      </w:r>
      <w:r w:rsidR="00D951E1" w:rsidRPr="00C57412">
        <w:rPr>
          <w:lang w:val="en-US"/>
        </w:rPr>
        <w:t xml:space="preserve">C CPMAS NMR experiments. In </w:t>
      </w:r>
      <w:r w:rsidR="009F627E" w:rsidRPr="00C57412">
        <w:rPr>
          <w:lang w:val="en-US"/>
        </w:rPr>
        <w:t xml:space="preserve">the </w:t>
      </w:r>
      <w:r w:rsidR="00D951E1" w:rsidRPr="00C57412">
        <w:rPr>
          <w:lang w:val="en-US"/>
        </w:rPr>
        <w:t xml:space="preserve">mechanochemical approach 100 mg of APR was </w:t>
      </w:r>
      <w:r w:rsidR="009F627E" w:rsidRPr="00C57412">
        <w:rPr>
          <w:lang w:val="en-US"/>
        </w:rPr>
        <w:t>ground</w:t>
      </w:r>
      <w:r w:rsidR="00D951E1" w:rsidRPr="00C57412">
        <w:rPr>
          <w:lang w:val="en-US"/>
        </w:rPr>
        <w:t xml:space="preserve"> for 1h in a ball mill set to 25 Hz frequency with an appropriate amount of a coformer, so that the resulting molar ratio was equal to 1:0.5. In </w:t>
      </w:r>
      <w:r w:rsidR="00385354" w:rsidRPr="00C57412">
        <w:rPr>
          <w:lang w:val="en-US"/>
        </w:rPr>
        <w:t>all</w:t>
      </w:r>
      <w:r w:rsidR="00D951E1" w:rsidRPr="00C57412">
        <w:rPr>
          <w:lang w:val="en-US"/>
        </w:rPr>
        <w:t xml:space="preserve"> case</w:t>
      </w:r>
      <w:r w:rsidR="00385354" w:rsidRPr="00C57412">
        <w:rPr>
          <w:lang w:val="en-US"/>
        </w:rPr>
        <w:t>s 2</w:t>
      </w:r>
      <w:r w:rsidR="00D951E1" w:rsidRPr="00C57412">
        <w:rPr>
          <w:lang w:val="en-US"/>
        </w:rPr>
        <w:t xml:space="preserve">0 </w:t>
      </w:r>
      <w:r w:rsidR="00D0083B" w:rsidRPr="00C57412">
        <w:rPr>
          <w:rFonts w:cs="Times New Roman"/>
          <w:lang w:val="en-US"/>
        </w:rPr>
        <w:t>μ</w:t>
      </w:r>
      <w:r w:rsidR="00D951E1" w:rsidRPr="00C57412">
        <w:rPr>
          <w:lang w:val="en-US"/>
        </w:rPr>
        <w:t xml:space="preserve">l of </w:t>
      </w:r>
      <w:r w:rsidR="00AC750D" w:rsidRPr="00C57412">
        <w:rPr>
          <w:lang w:val="en-US"/>
        </w:rPr>
        <w:t>water</w:t>
      </w:r>
      <w:r w:rsidR="00D951E1" w:rsidRPr="00C57412">
        <w:rPr>
          <w:lang w:val="en-US"/>
        </w:rPr>
        <w:t xml:space="preserve"> was added to the reaction mixture</w:t>
      </w:r>
      <w:r w:rsidR="00AC750D" w:rsidRPr="00C57412">
        <w:rPr>
          <w:lang w:val="en-US"/>
        </w:rPr>
        <w:t xml:space="preserve"> to give liquid assisted grinding (LAG) conditions</w:t>
      </w:r>
      <w:r w:rsidR="00D951E1" w:rsidRPr="00C57412">
        <w:rPr>
          <w:lang w:val="en-US"/>
        </w:rPr>
        <w:t xml:space="preserve">. </w:t>
      </w:r>
      <w:r w:rsidR="00385354" w:rsidRPr="00C57412">
        <w:rPr>
          <w:lang w:val="en-US"/>
        </w:rPr>
        <w:t xml:space="preserve">All grinding experiments resulted in appropriate cocrystals formation, which was examined </w:t>
      </w:r>
      <w:r w:rsidR="00385354" w:rsidRPr="00C57412">
        <w:rPr>
          <w:i/>
          <w:lang w:val="en-US"/>
        </w:rPr>
        <w:t>via</w:t>
      </w:r>
      <w:r w:rsidR="00385354" w:rsidRPr="00C57412">
        <w:rPr>
          <w:lang w:val="en-US"/>
        </w:rPr>
        <w:t xml:space="preserve"> solid-state NMR measurements. </w:t>
      </w:r>
      <w:r w:rsidR="00D951E1" w:rsidRPr="00C57412">
        <w:rPr>
          <w:lang w:val="en-US"/>
        </w:rPr>
        <w:t xml:space="preserve">In </w:t>
      </w:r>
      <w:r w:rsidR="00385354" w:rsidRPr="00C57412">
        <w:rPr>
          <w:lang w:val="en-US"/>
        </w:rPr>
        <w:t>order to obtain suitable cr</w:t>
      </w:r>
      <w:r w:rsidR="00552A2E" w:rsidRPr="00C57412">
        <w:rPr>
          <w:lang w:val="en-US"/>
        </w:rPr>
        <w:t>ystals for single crystal</w:t>
      </w:r>
      <w:r w:rsidR="00385354" w:rsidRPr="00C57412">
        <w:rPr>
          <w:lang w:val="en-US"/>
        </w:rPr>
        <w:t xml:space="preserve"> X-Ray measurements ethyl acetate (STANLAB) was used to recrystallize cocrystals obtained </w:t>
      </w:r>
      <w:r w:rsidR="00385354" w:rsidRPr="00C57412">
        <w:rPr>
          <w:i/>
          <w:lang w:val="en-US"/>
        </w:rPr>
        <w:t>via</w:t>
      </w:r>
      <w:r w:rsidR="00AC750D" w:rsidRPr="00C57412">
        <w:rPr>
          <w:lang w:val="en-US"/>
        </w:rPr>
        <w:t xml:space="preserve"> mechanochemistry. Note</w:t>
      </w:r>
      <w:r w:rsidR="00385354" w:rsidRPr="00C57412">
        <w:rPr>
          <w:lang w:val="en-US"/>
        </w:rPr>
        <w:t xml:space="preserve"> that direct crystallization of pure APR and appropriate coformers from ethyl acetate end</w:t>
      </w:r>
      <w:r w:rsidR="00FB2DF2" w:rsidRPr="00C57412">
        <w:rPr>
          <w:lang w:val="en-US"/>
        </w:rPr>
        <w:t>s</w:t>
      </w:r>
      <w:r w:rsidR="00385354" w:rsidRPr="00C57412">
        <w:rPr>
          <w:lang w:val="en-US"/>
        </w:rPr>
        <w:t xml:space="preserve"> up in the formation of ethyl acetate APR solvate</w:t>
      </w:r>
      <w:r w:rsidR="00D951E1" w:rsidRPr="00C57412">
        <w:rPr>
          <w:lang w:val="en-US"/>
        </w:rPr>
        <w:t xml:space="preserve">. In the case of APR:IMI </w:t>
      </w:r>
      <w:r w:rsidR="00AC750D" w:rsidRPr="00C57412">
        <w:rPr>
          <w:lang w:val="en-US"/>
        </w:rPr>
        <w:t>cocrystals, we noticed</w:t>
      </w:r>
      <w:r w:rsidR="00D951E1" w:rsidRPr="00C57412">
        <w:rPr>
          <w:lang w:val="en-US"/>
        </w:rPr>
        <w:t xml:space="preserve"> that during grinding and crystallization experiments, a new, unknown polymorphic form appeared in small quantities. The crystal structure determination of this new form is beyond the scope of this manuscript and will </w:t>
      </w:r>
      <w:r w:rsidR="00C10D3C" w:rsidRPr="00C57412">
        <w:rPr>
          <w:lang w:val="en-US"/>
        </w:rPr>
        <w:t>be evaluated in our future work</w:t>
      </w:r>
      <w:r w:rsidR="00D951E1" w:rsidRPr="00C57412">
        <w:rPr>
          <w:lang w:val="en-US"/>
        </w:rPr>
        <w:t xml:space="preserve">. </w:t>
      </w:r>
    </w:p>
    <w:p w:rsidR="00D951E1" w:rsidRPr="00C57412" w:rsidRDefault="00D951E1" w:rsidP="006150AA">
      <w:pPr>
        <w:jc w:val="both"/>
        <w:rPr>
          <w:b/>
          <w:i/>
          <w:lang w:val="en-US"/>
        </w:rPr>
      </w:pPr>
      <w:r w:rsidRPr="00C57412">
        <w:rPr>
          <w:b/>
          <w:i/>
          <w:lang w:val="en-US"/>
        </w:rPr>
        <w:t>Single crystal X-Ray measurements</w:t>
      </w:r>
    </w:p>
    <w:p w:rsidR="00B0399B" w:rsidRPr="00C57412" w:rsidRDefault="00B0399B" w:rsidP="00B0399B">
      <w:pPr>
        <w:jc w:val="both"/>
        <w:rPr>
          <w:lang w:val="en-US"/>
        </w:rPr>
      </w:pPr>
      <w:r w:rsidRPr="00C57412">
        <w:rPr>
          <w:lang w:val="en-US"/>
        </w:rPr>
        <w:t>Single crystal diffraction experiments for form B of apremilast, as well as for the four cocrystals were carried out on Oxford SuperNova single-crystal diffractometer with micro source Cu K</w:t>
      </w:r>
      <w:r w:rsidRPr="00C57412">
        <w:t>α</w:t>
      </w:r>
      <w:r w:rsidRPr="00C57412">
        <w:rPr>
          <w:lang w:val="en-US"/>
        </w:rPr>
        <w:t xml:space="preserve"> radiation (</w:t>
      </w:r>
      <w:r w:rsidRPr="00C57412">
        <w:t>λ</w:t>
      </w:r>
      <w:r w:rsidRPr="00C57412">
        <w:rPr>
          <w:lang w:val="en-US"/>
        </w:rPr>
        <w:t xml:space="preserve"> = 1.5418 Å) with a Titan detector. Diffraction data collection, cell refinement and data reduction were performed using the </w:t>
      </w:r>
      <w:r w:rsidRPr="00C57412">
        <w:rPr>
          <w:i/>
          <w:iCs/>
          <w:lang w:val="en-US"/>
        </w:rPr>
        <w:t>CrysAlis PRO</w:t>
      </w:r>
      <w:r w:rsidRPr="00C57412">
        <w:rPr>
          <w:lang w:val="en-US"/>
        </w:rPr>
        <w:t xml:space="preserve"> program (Oxford Diffraction). The structure was solved by direct methods</w:t>
      </w:r>
      <w:r w:rsidR="00D0083B" w:rsidRPr="00C57412">
        <w:rPr>
          <w:lang w:val="en-US"/>
        </w:rPr>
        <w:t xml:space="preserve"> using</w:t>
      </w:r>
      <w:r w:rsidRPr="00C57412">
        <w:rPr>
          <w:lang w:val="en-US"/>
        </w:rPr>
        <w:t xml:space="preserve"> </w:t>
      </w:r>
      <w:r w:rsidR="00CD5EA8" w:rsidRPr="00C57412">
        <w:rPr>
          <w:lang w:val="en-US"/>
        </w:rPr>
        <w:t xml:space="preserve">SHELXS implemented in </w:t>
      </w:r>
      <w:r w:rsidR="00CD5EA8" w:rsidRPr="00C57412">
        <w:rPr>
          <w:i/>
          <w:iCs/>
          <w:lang w:val="en-US"/>
        </w:rPr>
        <w:lastRenderedPageBreak/>
        <w:t>OLEX2</w:t>
      </w:r>
      <w:r w:rsidR="00552D53" w:rsidRPr="00C57412">
        <w:rPr>
          <w:iCs/>
          <w:lang w:val="en-US"/>
        </w:rPr>
        <w:t xml:space="preserve"> </w:t>
      </w:r>
      <w:r w:rsidR="00CD5EA8" w:rsidRPr="00C57412">
        <w:rPr>
          <w:iCs/>
          <w:lang w:val="en-US"/>
        </w:rPr>
        <w:t>package (</w:t>
      </w:r>
      <w:r w:rsidR="00552D53" w:rsidRPr="00C57412">
        <w:rPr>
          <w:rFonts w:cs="Times New Roman"/>
          <w:lang w:val="en-GB"/>
        </w:rPr>
        <w:t xml:space="preserve">Dolomanov </w:t>
      </w:r>
      <w:r w:rsidR="00552D53" w:rsidRPr="00C57412">
        <w:rPr>
          <w:rFonts w:cs="Times New Roman"/>
          <w:i/>
          <w:iCs/>
          <w:lang w:val="en-GB"/>
        </w:rPr>
        <w:t>et al.</w:t>
      </w:r>
      <w:r w:rsidR="00552D53" w:rsidRPr="00C57412">
        <w:rPr>
          <w:rFonts w:cs="Times New Roman"/>
          <w:lang w:val="en-GB"/>
        </w:rPr>
        <w:t>, 2009</w:t>
      </w:r>
      <w:r w:rsidRPr="00C57412">
        <w:rPr>
          <w:lang w:val="en-US"/>
        </w:rPr>
        <w:t xml:space="preserve">) and refined </w:t>
      </w:r>
      <w:r w:rsidR="00D0083B" w:rsidRPr="00C57412">
        <w:rPr>
          <w:lang w:val="en-US"/>
        </w:rPr>
        <w:t xml:space="preserve">with SHELXL </w:t>
      </w:r>
      <w:r w:rsidRPr="00C57412">
        <w:rPr>
          <w:lang w:val="en-US"/>
        </w:rPr>
        <w:t xml:space="preserve">using full-matrix least-squares methods </w:t>
      </w:r>
      <w:r w:rsidR="00552D53" w:rsidRPr="00C57412">
        <w:rPr>
          <w:iCs/>
          <w:lang w:val="en-US"/>
        </w:rPr>
        <w:t>(</w:t>
      </w:r>
      <w:r w:rsidR="00552D53" w:rsidRPr="00C57412">
        <w:rPr>
          <w:rFonts w:cs="Times New Roman"/>
          <w:lang w:val="en-GB"/>
        </w:rPr>
        <w:t>Sheldrick, 2015</w:t>
      </w:r>
      <w:r w:rsidR="00552D53" w:rsidRPr="00C57412">
        <w:rPr>
          <w:iCs/>
          <w:lang w:val="en-US"/>
        </w:rPr>
        <w:t>)</w:t>
      </w:r>
      <w:r w:rsidRPr="00C57412">
        <w:rPr>
          <w:lang w:val="en-US"/>
        </w:rPr>
        <w:t xml:space="preserve">. </w:t>
      </w:r>
      <w:r w:rsidR="002D1079" w:rsidRPr="00C57412">
        <w:rPr>
          <w:lang w:val="en-US"/>
        </w:rPr>
        <w:t xml:space="preserve">The crystal structures were deposited at the CSD under the deposition numbers </w:t>
      </w:r>
      <w:r w:rsidR="00C4571D" w:rsidRPr="00C57412">
        <w:rPr>
          <w:lang w:val="en-US"/>
        </w:rPr>
        <w:t xml:space="preserve">1916487, </w:t>
      </w:r>
      <w:r w:rsidR="005B6382" w:rsidRPr="00C57412">
        <w:rPr>
          <w:lang w:val="en-US"/>
        </w:rPr>
        <w:t>1916491, 1916488,</w:t>
      </w:r>
      <w:r w:rsidR="00AC750D" w:rsidRPr="00C57412">
        <w:rPr>
          <w:lang w:val="en-US"/>
        </w:rPr>
        <w:t xml:space="preserve"> </w:t>
      </w:r>
      <w:r w:rsidR="005B6382" w:rsidRPr="00C57412">
        <w:rPr>
          <w:lang w:val="en-US"/>
        </w:rPr>
        <w:t>1916489 and 1916490</w:t>
      </w:r>
      <w:r w:rsidR="002D1079" w:rsidRPr="00C57412">
        <w:rPr>
          <w:lang w:val="en-US"/>
        </w:rPr>
        <w:t xml:space="preserve"> for apremilast form B, APR:RES, APR:PIC, APR:IMI and APR:HQU, respectively.</w:t>
      </w:r>
      <w:r w:rsidR="00A957FA" w:rsidRPr="00C57412">
        <w:rPr>
          <w:lang w:val="en-US"/>
        </w:rPr>
        <w:t xml:space="preserve"> The hydrogen atoms attached to carbon and nitrogen atoms were set </w:t>
      </w:r>
      <w:r w:rsidR="009C7891">
        <w:rPr>
          <w:lang w:val="en-US"/>
        </w:rPr>
        <w:t>geometrically and refined as ri</w:t>
      </w:r>
      <w:r w:rsidR="00A957FA" w:rsidRPr="00C57412">
        <w:rPr>
          <w:lang w:val="en-US"/>
        </w:rPr>
        <w:t xml:space="preserve">ding with thermal parameters equal 1.2 or 1.5 of thermal parameter of parent atom, depending on the type of geometrical restrains. Positions of hydrogen atoms connected to oxygen were localized on difference Fourier map and refined as </w:t>
      </w:r>
      <w:r w:rsidR="0033483A">
        <w:rPr>
          <w:lang w:val="en-US"/>
        </w:rPr>
        <w:t>riding</w:t>
      </w:r>
      <w:r w:rsidR="00A957FA" w:rsidRPr="00C57412">
        <w:rPr>
          <w:lang w:val="en-US"/>
        </w:rPr>
        <w:t>.</w:t>
      </w:r>
    </w:p>
    <w:p w:rsidR="00D0322F" w:rsidRPr="00C57412" w:rsidRDefault="00D0322F" w:rsidP="00B0399B">
      <w:pPr>
        <w:jc w:val="both"/>
        <w:rPr>
          <w:b/>
          <w:i/>
          <w:lang w:val="en-US"/>
        </w:rPr>
      </w:pPr>
      <w:r w:rsidRPr="00C57412">
        <w:rPr>
          <w:b/>
          <w:i/>
          <w:lang w:val="en-US"/>
        </w:rPr>
        <w:t>Crystal structure analysis</w:t>
      </w:r>
    </w:p>
    <w:p w:rsidR="00D0322F" w:rsidRPr="00C57412" w:rsidRDefault="00D0322F" w:rsidP="00B0399B">
      <w:pPr>
        <w:jc w:val="both"/>
        <w:rPr>
          <w:lang w:val="en-US"/>
        </w:rPr>
      </w:pPr>
      <w:r w:rsidRPr="00C57412">
        <w:rPr>
          <w:lang w:val="en-US"/>
        </w:rPr>
        <w:t>Whenever hydrogen bonds are mentioned throughout the manuscript, they refer to O/N-H</w:t>
      </w:r>
      <w:r w:rsidRPr="00C57412">
        <w:rPr>
          <w:rFonts w:eastAsia="Times New Roman" w:cs="Times New Roman"/>
          <w:szCs w:val="24"/>
          <w:lang w:val="en-US" w:eastAsia="pl-PL"/>
        </w:rPr>
        <w:t xml:space="preserve">∙∙∙O/N interactions. All N/O∙∙∙N/O distances between </w:t>
      </w:r>
      <w:r w:rsidR="00A400CF" w:rsidRPr="00C57412">
        <w:rPr>
          <w:rFonts w:eastAsia="Times New Roman" w:cs="Times New Roman"/>
          <w:szCs w:val="24"/>
          <w:lang w:val="en-US" w:eastAsia="pl-PL"/>
        </w:rPr>
        <w:t xml:space="preserve">intermolecular </w:t>
      </w:r>
      <w:r w:rsidRPr="00C57412">
        <w:rPr>
          <w:rFonts w:eastAsia="Times New Roman" w:cs="Times New Roman"/>
          <w:szCs w:val="24"/>
          <w:lang w:val="en-US" w:eastAsia="pl-PL"/>
        </w:rPr>
        <w:t>hydrogen bonded sites are given in Table S7. Other CH∙∙∙O/N interactions, in which the distance between interacting nuclei is smaller than the respective sum of their van der Waals radii are referred to as short-contacts.</w:t>
      </w:r>
      <w:r w:rsidR="00A400CF" w:rsidRPr="00C57412">
        <w:rPr>
          <w:rFonts w:eastAsia="Times New Roman" w:cs="Times New Roman"/>
          <w:szCs w:val="24"/>
          <w:lang w:val="en-US" w:eastAsia="pl-PL"/>
        </w:rPr>
        <w:t xml:space="preserve"> The distance</w:t>
      </w:r>
      <w:r w:rsidRPr="00C57412">
        <w:rPr>
          <w:rFonts w:eastAsia="Times New Roman" w:cs="Times New Roman"/>
          <w:szCs w:val="24"/>
          <w:lang w:val="en-US" w:eastAsia="pl-PL"/>
        </w:rPr>
        <w:t xml:space="preserve"> between interacting aromatic rings in each aromatic – aromatic interaction in the studied crystals are presented in Table S7 as R</w:t>
      </w:r>
      <w:r w:rsidRPr="00C57412">
        <w:rPr>
          <w:rFonts w:eastAsia="Times New Roman" w:cs="Times New Roman"/>
          <w:szCs w:val="24"/>
          <w:vertAlign w:val="subscript"/>
          <w:lang w:val="en-US" w:eastAsia="pl-PL"/>
        </w:rPr>
        <w:t>CLOSEST</w:t>
      </w:r>
      <w:r w:rsidRPr="00C57412">
        <w:rPr>
          <w:rFonts w:eastAsia="Times New Roman" w:cs="Times New Roman"/>
          <w:szCs w:val="24"/>
          <w:lang w:val="en-US" w:eastAsia="pl-PL"/>
        </w:rPr>
        <w:t xml:space="preserve"> value</w:t>
      </w:r>
      <w:r w:rsidR="00A400CF" w:rsidRPr="00C57412">
        <w:rPr>
          <w:rFonts w:eastAsia="Times New Roman" w:cs="Times New Roman"/>
          <w:szCs w:val="24"/>
          <w:lang w:val="en-US" w:eastAsia="pl-PL"/>
        </w:rPr>
        <w:t>, which is</w:t>
      </w:r>
      <w:r w:rsidRPr="00C57412">
        <w:rPr>
          <w:rFonts w:eastAsia="Times New Roman" w:cs="Times New Roman"/>
          <w:szCs w:val="24"/>
          <w:lang w:val="en-US" w:eastAsia="pl-PL"/>
        </w:rPr>
        <w:t xml:space="preserve"> the lowest C∙∙∙C distance found between interacting</w:t>
      </w:r>
      <w:r w:rsidR="00A400CF" w:rsidRPr="00C57412">
        <w:rPr>
          <w:rFonts w:eastAsia="Times New Roman" w:cs="Times New Roman"/>
          <w:szCs w:val="24"/>
          <w:lang w:val="en-US" w:eastAsia="pl-PL"/>
        </w:rPr>
        <w:t xml:space="preserve"> aromatic</w:t>
      </w:r>
      <w:r w:rsidRPr="00C57412">
        <w:rPr>
          <w:rFonts w:eastAsia="Times New Roman" w:cs="Times New Roman"/>
          <w:szCs w:val="24"/>
          <w:lang w:val="en-US" w:eastAsia="pl-PL"/>
        </w:rPr>
        <w:t xml:space="preserve"> rings (see Figure S6)</w:t>
      </w:r>
      <w:r w:rsidR="00325805" w:rsidRPr="00C57412">
        <w:rPr>
          <w:rFonts w:eastAsia="Times New Roman" w:cs="Times New Roman"/>
          <w:szCs w:val="24"/>
          <w:lang w:val="en-US" w:eastAsia="pl-PL"/>
        </w:rPr>
        <w:t>. In addition in the case of displaced parallel aromatic – aromatic interactio</w:t>
      </w:r>
      <w:r w:rsidR="00A400CF" w:rsidRPr="00C57412">
        <w:rPr>
          <w:rFonts w:eastAsia="Times New Roman" w:cs="Times New Roman"/>
          <w:szCs w:val="24"/>
          <w:lang w:val="en-US" w:eastAsia="pl-PL"/>
        </w:rPr>
        <w:t>ns, each is characterized by a</w:t>
      </w:r>
      <w:r w:rsidR="00325805" w:rsidRPr="00C57412">
        <w:rPr>
          <w:rFonts w:eastAsia="Times New Roman" w:cs="Times New Roman"/>
          <w:szCs w:val="24"/>
          <w:lang w:val="en-US" w:eastAsia="pl-PL"/>
        </w:rPr>
        <w:t xml:space="preserve"> value of γ</w:t>
      </w:r>
      <w:r w:rsidR="00A400CF" w:rsidRPr="00C57412">
        <w:rPr>
          <w:rFonts w:eastAsia="Times New Roman" w:cs="Times New Roman"/>
          <w:szCs w:val="24"/>
          <w:lang w:val="en-US" w:eastAsia="pl-PL"/>
        </w:rPr>
        <w:t xml:space="preserve"> angle, corresponding to the observed displacement between the interacting rings (see Figure S6 for graphic representation of γ angle).</w:t>
      </w:r>
    </w:p>
    <w:p w:rsidR="00D951E1" w:rsidRPr="00C57412" w:rsidRDefault="00D951E1" w:rsidP="006150AA">
      <w:pPr>
        <w:jc w:val="both"/>
        <w:rPr>
          <w:b/>
          <w:i/>
          <w:lang w:val="en-US"/>
        </w:rPr>
      </w:pPr>
      <w:r w:rsidRPr="00C57412">
        <w:rPr>
          <w:b/>
          <w:i/>
          <w:lang w:val="en-US"/>
        </w:rPr>
        <w:t>Solid-state NMR experiments</w:t>
      </w:r>
    </w:p>
    <w:p w:rsidR="00D951E1" w:rsidRPr="00C57412" w:rsidRDefault="00D951E1" w:rsidP="00EE7564">
      <w:pPr>
        <w:spacing w:after="0"/>
        <w:jc w:val="both"/>
        <w:rPr>
          <w:lang w:val="en-US"/>
        </w:rPr>
      </w:pPr>
      <w:r w:rsidRPr="00C57412">
        <w:rPr>
          <w:vertAlign w:val="superscript"/>
          <w:lang w:val="en-US"/>
        </w:rPr>
        <w:t>13</w:t>
      </w:r>
      <w:r w:rsidRPr="00C57412">
        <w:rPr>
          <w:lang w:val="en-US"/>
        </w:rPr>
        <w:t xml:space="preserve">C and </w:t>
      </w:r>
      <w:r w:rsidRPr="00C57412">
        <w:rPr>
          <w:vertAlign w:val="superscript"/>
          <w:lang w:val="en-US"/>
        </w:rPr>
        <w:t>15</w:t>
      </w:r>
      <w:r w:rsidRPr="00C57412">
        <w:rPr>
          <w:lang w:val="en-US"/>
        </w:rPr>
        <w:t xml:space="preserve">N </w:t>
      </w:r>
      <w:r w:rsidR="000D21A2" w:rsidRPr="00C57412">
        <w:rPr>
          <w:lang w:val="en-US"/>
        </w:rPr>
        <w:t>CPMAS experiments have been performed with a Bruker Avance II 400 spectrometer equipped with a 4</w:t>
      </w:r>
      <w:r w:rsidR="00851A42" w:rsidRPr="00C57412">
        <w:rPr>
          <w:lang w:val="en-US"/>
        </w:rPr>
        <w:t xml:space="preserve"> </w:t>
      </w:r>
      <w:r w:rsidR="000D21A2" w:rsidRPr="00C57412">
        <w:rPr>
          <w:lang w:val="en-US"/>
        </w:rPr>
        <w:t xml:space="preserve">mm probe-head, operating at 400.13, 100.90 and </w:t>
      </w:r>
      <w:r w:rsidR="00291D70" w:rsidRPr="00C57412">
        <w:rPr>
          <w:lang w:val="en-US"/>
        </w:rPr>
        <w:t>40.56</w:t>
      </w:r>
      <w:r w:rsidR="000D21A2" w:rsidRPr="00C57412">
        <w:rPr>
          <w:lang w:val="en-US"/>
        </w:rPr>
        <w:t xml:space="preserve"> MHz frequencies for </w:t>
      </w:r>
      <w:r w:rsidR="000D21A2" w:rsidRPr="00C57412">
        <w:rPr>
          <w:vertAlign w:val="superscript"/>
          <w:lang w:val="en-US"/>
        </w:rPr>
        <w:t>1</w:t>
      </w:r>
      <w:r w:rsidR="000D21A2" w:rsidRPr="00C57412">
        <w:rPr>
          <w:lang w:val="en-US"/>
        </w:rPr>
        <w:t xml:space="preserve">H, </w:t>
      </w:r>
      <w:r w:rsidR="000D21A2" w:rsidRPr="00C57412">
        <w:rPr>
          <w:vertAlign w:val="superscript"/>
          <w:lang w:val="en-US"/>
        </w:rPr>
        <w:t>13</w:t>
      </w:r>
      <w:r w:rsidR="000D21A2" w:rsidRPr="00C57412">
        <w:rPr>
          <w:lang w:val="en-US"/>
        </w:rPr>
        <w:t xml:space="preserve">C and </w:t>
      </w:r>
      <w:r w:rsidR="000D21A2" w:rsidRPr="00C57412">
        <w:rPr>
          <w:vertAlign w:val="superscript"/>
          <w:lang w:val="en-US"/>
        </w:rPr>
        <w:t>15</w:t>
      </w:r>
      <w:r w:rsidR="000D21A2" w:rsidRPr="00C57412">
        <w:rPr>
          <w:lang w:val="en-US"/>
        </w:rPr>
        <w:t xml:space="preserve">N, respectively. Samples were spun at </w:t>
      </w:r>
      <w:r w:rsidRPr="00C57412">
        <w:rPr>
          <w:lang w:val="en-US"/>
        </w:rPr>
        <w:t>8 kHz</w:t>
      </w:r>
      <w:r w:rsidR="000D21A2" w:rsidRPr="00C57412">
        <w:rPr>
          <w:lang w:val="en-US"/>
        </w:rPr>
        <w:t xml:space="preserve"> and a standard Bruker CP pulse programs with 2ms contact time and spinal decoupling during acquisition were used.</w:t>
      </w:r>
    </w:p>
    <w:p w:rsidR="000D21A2" w:rsidRPr="00C57412" w:rsidRDefault="000D21A2" w:rsidP="00EE7564">
      <w:pPr>
        <w:spacing w:after="0"/>
        <w:jc w:val="both"/>
        <w:rPr>
          <w:lang w:val="en-US"/>
        </w:rPr>
      </w:pPr>
      <w:bookmarkStart w:id="0" w:name="OLE_LINK1"/>
      <w:bookmarkStart w:id="1" w:name="OLE_LINK2"/>
      <w:bookmarkStart w:id="2" w:name="OLE_LINK3"/>
      <w:r w:rsidRPr="00C57412">
        <w:rPr>
          <w:vertAlign w:val="superscript"/>
          <w:lang w:val="en-US"/>
        </w:rPr>
        <w:t>1</w:t>
      </w:r>
      <w:r w:rsidRPr="00C57412">
        <w:rPr>
          <w:lang w:val="en-US"/>
        </w:rPr>
        <w:t>H-</w:t>
      </w:r>
      <w:r w:rsidRPr="00C57412">
        <w:rPr>
          <w:vertAlign w:val="superscript"/>
          <w:lang w:val="en-US"/>
        </w:rPr>
        <w:t>13</w:t>
      </w:r>
      <w:r w:rsidRPr="00C57412">
        <w:rPr>
          <w:lang w:val="en-US"/>
        </w:rPr>
        <w:t xml:space="preserve">C inverse detected HETCOR </w:t>
      </w:r>
      <w:bookmarkEnd w:id="0"/>
      <w:bookmarkEnd w:id="1"/>
      <w:bookmarkEnd w:id="2"/>
      <w:r w:rsidRPr="00C57412">
        <w:rPr>
          <w:lang w:val="en-US"/>
        </w:rPr>
        <w:t xml:space="preserve">and </w:t>
      </w:r>
      <w:r w:rsidRPr="00C57412">
        <w:rPr>
          <w:vertAlign w:val="superscript"/>
          <w:lang w:val="en-US"/>
        </w:rPr>
        <w:t>1</w:t>
      </w:r>
      <w:r w:rsidRPr="00C57412">
        <w:rPr>
          <w:lang w:val="en-US"/>
        </w:rPr>
        <w:t>H-</w:t>
      </w:r>
      <w:r w:rsidRPr="00C57412">
        <w:rPr>
          <w:vertAlign w:val="superscript"/>
          <w:lang w:val="en-US"/>
        </w:rPr>
        <w:t>1</w:t>
      </w:r>
      <w:r w:rsidRPr="00C57412">
        <w:rPr>
          <w:lang w:val="en-US"/>
        </w:rPr>
        <w:t xml:space="preserve">H Back-to-Back correlation experiments were carried </w:t>
      </w:r>
      <w:r w:rsidR="00EE7564" w:rsidRPr="00C57412">
        <w:rPr>
          <w:lang w:val="en-US"/>
        </w:rPr>
        <w:t xml:space="preserve">out </w:t>
      </w:r>
      <w:r w:rsidRPr="00C57412">
        <w:rPr>
          <w:lang w:val="en-US"/>
        </w:rPr>
        <w:t xml:space="preserve">on a Bruker Avance III 600 spectrometer equipped with 1.3 mm </w:t>
      </w:r>
      <w:r w:rsidRPr="00C57412">
        <w:rPr>
          <w:vertAlign w:val="superscript"/>
          <w:lang w:val="en-US"/>
        </w:rPr>
        <w:t>1</w:t>
      </w:r>
      <w:r w:rsidRPr="00C57412">
        <w:rPr>
          <w:lang w:val="en-US"/>
        </w:rPr>
        <w:t>H/</w:t>
      </w:r>
      <w:r w:rsidRPr="00C57412">
        <w:rPr>
          <w:vertAlign w:val="superscript"/>
          <w:lang w:val="en-US"/>
        </w:rPr>
        <w:t>13</w:t>
      </w:r>
      <w:r w:rsidRPr="00C57412">
        <w:rPr>
          <w:lang w:val="en-US"/>
        </w:rPr>
        <w:t>C/</w:t>
      </w:r>
      <w:r w:rsidRPr="00C57412">
        <w:rPr>
          <w:vertAlign w:val="superscript"/>
          <w:lang w:val="en-US"/>
        </w:rPr>
        <w:t>15</w:t>
      </w:r>
      <w:r w:rsidR="00EE7564" w:rsidRPr="00C57412">
        <w:rPr>
          <w:lang w:val="en-US"/>
        </w:rPr>
        <w:t>N triple resonance</w:t>
      </w:r>
      <w:r w:rsidRPr="00C57412">
        <w:rPr>
          <w:lang w:val="en-US"/>
        </w:rPr>
        <w:t xml:space="preserve"> CP-MAS probe-heads with the </w:t>
      </w:r>
      <w:r w:rsidRPr="00C57412">
        <w:rPr>
          <w:vertAlign w:val="superscript"/>
          <w:lang w:val="en-US"/>
        </w:rPr>
        <w:t>1</w:t>
      </w:r>
      <w:r w:rsidRPr="00C57412">
        <w:rPr>
          <w:lang w:val="en-US"/>
        </w:rPr>
        <w:t xml:space="preserve">H, </w:t>
      </w:r>
      <w:r w:rsidRPr="00C57412">
        <w:rPr>
          <w:vertAlign w:val="superscript"/>
          <w:lang w:val="en-US"/>
        </w:rPr>
        <w:t>13</w:t>
      </w:r>
      <w:r w:rsidRPr="00C57412">
        <w:rPr>
          <w:lang w:val="en-US"/>
        </w:rPr>
        <w:t>C resonance frequencies of 600.13 and 150.90 MHz respectively. In all proton detected experiments sample</w:t>
      </w:r>
      <w:r w:rsidR="00EE7564" w:rsidRPr="00C57412">
        <w:rPr>
          <w:lang w:val="en-US"/>
        </w:rPr>
        <w:t>s were</w:t>
      </w:r>
      <w:r w:rsidRPr="00C57412">
        <w:rPr>
          <w:lang w:val="en-US"/>
        </w:rPr>
        <w:t xml:space="preserve"> spun at 60 kHz. </w:t>
      </w:r>
    </w:p>
    <w:p w:rsidR="00EE7564" w:rsidRPr="00C57412" w:rsidRDefault="000D21A2" w:rsidP="003F0448">
      <w:pPr>
        <w:jc w:val="both"/>
        <w:rPr>
          <w:lang w:val="en-US"/>
        </w:rPr>
      </w:pPr>
      <w:r w:rsidRPr="00C57412">
        <w:rPr>
          <w:lang w:val="en-US"/>
        </w:rPr>
        <w:t>Inverse detected HETCOR experiment have been carried out employing sequence de</w:t>
      </w:r>
      <w:r w:rsidR="00552D53" w:rsidRPr="00C57412">
        <w:rPr>
          <w:lang w:val="en-US"/>
        </w:rPr>
        <w:t xml:space="preserve">scribed by Mao </w:t>
      </w:r>
      <w:r w:rsidR="00552D53" w:rsidRPr="00C57412">
        <w:rPr>
          <w:i/>
          <w:lang w:val="en-US"/>
        </w:rPr>
        <w:t>et al.</w:t>
      </w:r>
      <w:r w:rsidR="00552D53" w:rsidRPr="00C57412">
        <w:rPr>
          <w:lang w:val="en-US"/>
        </w:rPr>
        <w:t xml:space="preserve"> (2009) and Althaus </w:t>
      </w:r>
      <w:r w:rsidR="00552D53" w:rsidRPr="00C57412">
        <w:rPr>
          <w:i/>
          <w:lang w:val="en-US"/>
        </w:rPr>
        <w:t>et al.</w:t>
      </w:r>
      <w:r w:rsidR="00552D53" w:rsidRPr="00C57412">
        <w:rPr>
          <w:lang w:val="en-US"/>
        </w:rPr>
        <w:t xml:space="preserve"> (2014)</w:t>
      </w:r>
      <w:r w:rsidR="00A05CB4" w:rsidRPr="00C57412">
        <w:rPr>
          <w:lang w:val="en-US"/>
        </w:rPr>
        <w:t>, using</w:t>
      </w:r>
      <w:r w:rsidRPr="00C57412">
        <w:rPr>
          <w:lang w:val="en-US"/>
        </w:rPr>
        <w:t xml:space="preserve"> </w:t>
      </w:r>
      <w:r w:rsidR="00EE7564" w:rsidRPr="00C57412">
        <w:rPr>
          <w:lang w:val="en-US"/>
        </w:rPr>
        <w:t xml:space="preserve">a </w:t>
      </w:r>
      <w:r w:rsidRPr="00C57412">
        <w:rPr>
          <w:lang w:val="en-US"/>
        </w:rPr>
        <w:t>RF equal to 100</w:t>
      </w:r>
      <w:r w:rsidR="00EE7564" w:rsidRPr="00C57412">
        <w:rPr>
          <w:lang w:val="en-US"/>
        </w:rPr>
        <w:t xml:space="preserve"> </w:t>
      </w:r>
      <w:r w:rsidRPr="00C57412">
        <w:rPr>
          <w:lang w:val="en-US"/>
        </w:rPr>
        <w:t xml:space="preserve">kHz on </w:t>
      </w:r>
      <w:r w:rsidRPr="00C57412">
        <w:rPr>
          <w:vertAlign w:val="superscript"/>
          <w:lang w:val="en-US"/>
        </w:rPr>
        <w:t>13</w:t>
      </w:r>
      <w:r w:rsidRPr="00C57412">
        <w:rPr>
          <w:lang w:val="en-US"/>
        </w:rPr>
        <w:t xml:space="preserve">C channel during contact time. For </w:t>
      </w:r>
      <w:r w:rsidRPr="00C57412">
        <w:rPr>
          <w:vertAlign w:val="superscript"/>
          <w:lang w:val="en-US"/>
        </w:rPr>
        <w:t>1</w:t>
      </w:r>
      <w:r w:rsidRPr="00C57412">
        <w:rPr>
          <w:lang w:val="en-US"/>
        </w:rPr>
        <w:t>H linear ramp from 90 to 100% with maximum RF value near to 160</w:t>
      </w:r>
      <w:r w:rsidR="00EE7564" w:rsidRPr="00C57412">
        <w:rPr>
          <w:lang w:val="en-US"/>
        </w:rPr>
        <w:t xml:space="preserve"> </w:t>
      </w:r>
      <w:r w:rsidRPr="00C57412">
        <w:rPr>
          <w:lang w:val="en-US"/>
        </w:rPr>
        <w:t xml:space="preserve">kHz have been used. Actual RF value of </w:t>
      </w:r>
      <w:r w:rsidRPr="00C57412">
        <w:rPr>
          <w:vertAlign w:val="superscript"/>
          <w:lang w:val="en-US"/>
        </w:rPr>
        <w:t>1</w:t>
      </w:r>
      <w:r w:rsidRPr="00C57412">
        <w:rPr>
          <w:lang w:val="en-US"/>
        </w:rPr>
        <w:t xml:space="preserve">H RF during first and second contact have been </w:t>
      </w:r>
      <w:r w:rsidRPr="00C57412">
        <w:rPr>
          <w:lang w:val="en-US"/>
        </w:rPr>
        <w:lastRenderedPageBreak/>
        <w:t xml:space="preserve">precisely optimized on individual samples. Unwanted </w:t>
      </w:r>
      <w:r w:rsidRPr="00C57412">
        <w:rPr>
          <w:vertAlign w:val="superscript"/>
          <w:lang w:val="en-US"/>
        </w:rPr>
        <w:t>1</w:t>
      </w:r>
      <w:r w:rsidRPr="00C57412">
        <w:rPr>
          <w:lang w:val="en-US"/>
        </w:rPr>
        <w:t xml:space="preserve">H magnetization from </w:t>
      </w:r>
      <w:r w:rsidRPr="00C57412">
        <w:rPr>
          <w:vertAlign w:val="superscript"/>
          <w:lang w:val="en-US"/>
        </w:rPr>
        <w:t>12</w:t>
      </w:r>
      <w:r w:rsidR="00AC750D" w:rsidRPr="00C57412">
        <w:rPr>
          <w:lang w:val="en-US"/>
        </w:rPr>
        <w:t xml:space="preserve">C </w:t>
      </w:r>
      <w:r w:rsidR="00220E75" w:rsidRPr="00C57412">
        <w:rPr>
          <w:lang w:val="en-US"/>
        </w:rPr>
        <w:t xml:space="preserve">isotopologues </w:t>
      </w:r>
      <w:r w:rsidRPr="00C57412">
        <w:rPr>
          <w:lang w:val="en-US"/>
        </w:rPr>
        <w:t>have been canceled out by a</w:t>
      </w:r>
      <w:r w:rsidR="00EE7564" w:rsidRPr="00C57412">
        <w:rPr>
          <w:lang w:val="en-US"/>
        </w:rPr>
        <w:t>pplying two long (20</w:t>
      </w:r>
      <w:r w:rsidR="002D1079" w:rsidRPr="00C57412">
        <w:rPr>
          <w:lang w:val="en-US"/>
        </w:rPr>
        <w:t xml:space="preserve"> </w:t>
      </w:r>
      <w:r w:rsidR="00EE7564" w:rsidRPr="00C57412">
        <w:rPr>
          <w:lang w:val="en-US"/>
        </w:rPr>
        <w:t xml:space="preserve">ms) pulses </w:t>
      </w:r>
      <w:r w:rsidRPr="00C57412">
        <w:rPr>
          <w:lang w:val="en-US"/>
        </w:rPr>
        <w:t>with phase X and Y and RF equal to 30kHz (HORROR condition</w:t>
      </w:r>
      <w:r w:rsidR="003C0857" w:rsidRPr="00C57412">
        <w:rPr>
          <w:lang w:val="en-US"/>
        </w:rPr>
        <w:t>)</w:t>
      </w:r>
      <w:r w:rsidR="00552D53" w:rsidRPr="00C57412">
        <w:rPr>
          <w:lang w:val="en-US"/>
        </w:rPr>
        <w:t xml:space="preserve"> </w:t>
      </w:r>
      <w:r w:rsidR="003C0857" w:rsidRPr="00C57412">
        <w:rPr>
          <w:lang w:val="en-US"/>
        </w:rPr>
        <w:t>(</w:t>
      </w:r>
      <w:r w:rsidR="00552D53" w:rsidRPr="00C57412">
        <w:rPr>
          <w:lang w:val="en-US"/>
        </w:rPr>
        <w:t xml:space="preserve">Nieslen </w:t>
      </w:r>
      <w:r w:rsidR="00552D53" w:rsidRPr="00C57412">
        <w:rPr>
          <w:i/>
          <w:lang w:val="en-US"/>
        </w:rPr>
        <w:t>et al.</w:t>
      </w:r>
      <w:r w:rsidR="00552D53" w:rsidRPr="00C57412">
        <w:rPr>
          <w:lang w:val="en-US"/>
        </w:rPr>
        <w:t>, 1994</w:t>
      </w:r>
      <w:r w:rsidRPr="00C57412">
        <w:rPr>
          <w:lang w:val="en-US"/>
        </w:rPr>
        <w:t xml:space="preserve">). Low power </w:t>
      </w:r>
      <w:r w:rsidRPr="00C57412">
        <w:rPr>
          <w:vertAlign w:val="superscript"/>
          <w:lang w:val="en-US"/>
        </w:rPr>
        <w:t>1</w:t>
      </w:r>
      <w:r w:rsidRPr="00C57412">
        <w:rPr>
          <w:lang w:val="en-US"/>
        </w:rPr>
        <w:t xml:space="preserve">H decoupling during t1 evolution and low power </w:t>
      </w:r>
      <w:r w:rsidRPr="00C57412">
        <w:rPr>
          <w:vertAlign w:val="superscript"/>
          <w:lang w:val="en-US"/>
        </w:rPr>
        <w:t>13</w:t>
      </w:r>
      <w:r w:rsidRPr="00C57412">
        <w:rPr>
          <w:lang w:val="en-US"/>
        </w:rPr>
        <w:t xml:space="preserve">C decoupling during acquisition have been applied with </w:t>
      </w:r>
      <w:r w:rsidR="00EE7564" w:rsidRPr="00C57412">
        <w:rPr>
          <w:lang w:val="en-US"/>
        </w:rPr>
        <w:t xml:space="preserve">an </w:t>
      </w:r>
      <w:r w:rsidRPr="00C57412">
        <w:rPr>
          <w:lang w:val="en-US"/>
        </w:rPr>
        <w:t>RF equal in both cases to 10</w:t>
      </w:r>
      <w:r w:rsidR="002D1079" w:rsidRPr="00C57412">
        <w:rPr>
          <w:lang w:val="en-US"/>
        </w:rPr>
        <w:t xml:space="preserve"> </w:t>
      </w:r>
      <w:r w:rsidRPr="00C57412">
        <w:rPr>
          <w:lang w:val="en-US"/>
        </w:rPr>
        <w:t>kHz applying swftpp decoupling sequence. For initial setup U-</w:t>
      </w:r>
      <w:r w:rsidRPr="00C57412">
        <w:rPr>
          <w:vertAlign w:val="superscript"/>
          <w:lang w:val="en-US"/>
        </w:rPr>
        <w:t>13</w:t>
      </w:r>
      <w:r w:rsidRPr="00C57412">
        <w:rPr>
          <w:lang w:val="en-US"/>
        </w:rPr>
        <w:t>C,</w:t>
      </w:r>
      <w:r w:rsidRPr="00C57412">
        <w:rPr>
          <w:vertAlign w:val="superscript"/>
          <w:lang w:val="en-US"/>
        </w:rPr>
        <w:t>15</w:t>
      </w:r>
      <w:r w:rsidRPr="00C57412">
        <w:rPr>
          <w:lang w:val="en-US"/>
        </w:rPr>
        <w:t>N-</w:t>
      </w:r>
      <w:r w:rsidRPr="00C57412">
        <w:rPr>
          <w:i/>
          <w:lang w:val="en-US"/>
        </w:rPr>
        <w:t>l</w:t>
      </w:r>
      <w:r w:rsidRPr="00C57412">
        <w:rPr>
          <w:lang w:val="en-US"/>
        </w:rPr>
        <w:t xml:space="preserve">-histidine hydrochloride monohydrate have been used. First contact time had always duration equal </w:t>
      </w:r>
      <w:r w:rsidR="00A05CB4" w:rsidRPr="00C57412">
        <w:rPr>
          <w:lang w:val="en-US"/>
        </w:rPr>
        <w:t xml:space="preserve">to </w:t>
      </w:r>
      <w:r w:rsidRPr="00C57412">
        <w:rPr>
          <w:lang w:val="en-US"/>
        </w:rPr>
        <w:t>2</w:t>
      </w:r>
      <w:r w:rsidR="002D1079" w:rsidRPr="00C57412">
        <w:rPr>
          <w:lang w:val="en-US"/>
        </w:rPr>
        <w:t xml:space="preserve"> </w:t>
      </w:r>
      <w:r w:rsidRPr="00C57412">
        <w:rPr>
          <w:lang w:val="en-US"/>
        </w:rPr>
        <w:t>ms. Two experiment</w:t>
      </w:r>
      <w:r w:rsidR="00EE7564" w:rsidRPr="00C57412">
        <w:rPr>
          <w:lang w:val="en-US"/>
        </w:rPr>
        <w:t>s</w:t>
      </w:r>
      <w:r w:rsidRPr="00C57412">
        <w:rPr>
          <w:lang w:val="en-US"/>
        </w:rPr>
        <w:t xml:space="preserve"> have been carried for individual samples with second contact time equal to 100</w:t>
      </w:r>
      <w:r w:rsidR="00D0083B" w:rsidRPr="00C57412">
        <w:rPr>
          <w:lang w:val="en-US"/>
        </w:rPr>
        <w:t xml:space="preserve"> </w:t>
      </w:r>
      <w:r w:rsidR="00D0083B" w:rsidRPr="00C57412">
        <w:rPr>
          <w:rFonts w:cs="Times New Roman"/>
          <w:lang w:val="en-US"/>
        </w:rPr>
        <w:t>μ</w:t>
      </w:r>
      <w:r w:rsidRPr="00C57412">
        <w:rPr>
          <w:lang w:val="en-US"/>
        </w:rPr>
        <w:t xml:space="preserve">s and 1ms. In the </w:t>
      </w:r>
      <w:r w:rsidRPr="00C57412">
        <w:rPr>
          <w:vertAlign w:val="superscript"/>
          <w:lang w:val="en-US"/>
        </w:rPr>
        <w:t>1</w:t>
      </w:r>
      <w:r w:rsidRPr="00C57412">
        <w:rPr>
          <w:lang w:val="en-US"/>
        </w:rPr>
        <w:t>H-</w:t>
      </w:r>
      <w:r w:rsidRPr="00C57412">
        <w:rPr>
          <w:vertAlign w:val="superscript"/>
          <w:lang w:val="en-US"/>
        </w:rPr>
        <w:t>1</w:t>
      </w:r>
      <w:r w:rsidRPr="00C57412">
        <w:rPr>
          <w:lang w:val="en-US"/>
        </w:rPr>
        <w:t>H Back-to-Back experiment</w:t>
      </w:r>
      <w:r w:rsidR="00EE7564" w:rsidRPr="00C57412">
        <w:rPr>
          <w:lang w:val="en-US"/>
        </w:rPr>
        <w:t>s</w:t>
      </w:r>
      <w:r w:rsidRPr="00C57412">
        <w:rPr>
          <w:lang w:val="en-US"/>
        </w:rPr>
        <w:t xml:space="preserve"> DQ excitation as well as</w:t>
      </w:r>
      <w:r w:rsidR="00A05CB4" w:rsidRPr="00C57412">
        <w:rPr>
          <w:lang w:val="en-US"/>
        </w:rPr>
        <w:t xml:space="preserve"> reconversion time was 33.3 </w:t>
      </w:r>
      <w:r w:rsidR="00D0083B" w:rsidRPr="00C57412">
        <w:rPr>
          <w:rFonts w:cs="Times New Roman"/>
          <w:lang w:val="en-US"/>
        </w:rPr>
        <w:t>μ</w:t>
      </w:r>
      <w:r w:rsidR="00A05CB4" w:rsidRPr="00C57412">
        <w:rPr>
          <w:lang w:val="en-US"/>
        </w:rPr>
        <w:t xml:space="preserve">s, while </w:t>
      </w:r>
      <w:r w:rsidRPr="00C57412">
        <w:rPr>
          <w:lang w:val="en-US"/>
        </w:rPr>
        <w:t xml:space="preserve">t1 increment </w:t>
      </w:r>
      <w:r w:rsidR="00A05CB4" w:rsidRPr="00C57412">
        <w:rPr>
          <w:lang w:val="en-US"/>
        </w:rPr>
        <w:t xml:space="preserve">was </w:t>
      </w:r>
      <w:r w:rsidRPr="00C57412">
        <w:rPr>
          <w:lang w:val="en-US"/>
        </w:rPr>
        <w:t>equal to 16.67</w:t>
      </w:r>
      <w:r w:rsidR="002D1079" w:rsidRPr="00C57412">
        <w:rPr>
          <w:lang w:val="en-US"/>
        </w:rPr>
        <w:t xml:space="preserve"> </w:t>
      </w:r>
      <w:r w:rsidR="00D0083B" w:rsidRPr="00C57412">
        <w:rPr>
          <w:rFonts w:cs="Times New Roman"/>
          <w:lang w:val="en-US"/>
        </w:rPr>
        <w:t>μ</w:t>
      </w:r>
      <w:r w:rsidRPr="00C57412">
        <w:rPr>
          <w:lang w:val="en-US"/>
        </w:rPr>
        <w:t>s.</w:t>
      </w:r>
      <w:r w:rsidR="00A80A14" w:rsidRPr="00C57412">
        <w:rPr>
          <w:lang w:val="en-US"/>
        </w:rPr>
        <w:t xml:space="preserve"> </w:t>
      </w:r>
      <w:r w:rsidR="00EE7564" w:rsidRPr="00C57412">
        <w:rPr>
          <w:vertAlign w:val="superscript"/>
          <w:lang w:val="en-GB"/>
        </w:rPr>
        <w:t>13</w:t>
      </w:r>
      <w:r w:rsidR="00EE7564" w:rsidRPr="00C57412">
        <w:rPr>
          <w:lang w:val="en-GB"/>
        </w:rPr>
        <w:t xml:space="preserve">C chemical shifts have been referenced according to secondary standard adamantane. </w:t>
      </w:r>
      <w:r w:rsidR="00EE7564" w:rsidRPr="00C57412">
        <w:rPr>
          <w:vertAlign w:val="superscript"/>
          <w:lang w:val="en-US"/>
        </w:rPr>
        <w:t>1</w:t>
      </w:r>
      <w:r w:rsidR="00EE7564" w:rsidRPr="00C57412">
        <w:rPr>
          <w:lang w:val="en-US"/>
        </w:rPr>
        <w:t>H chemical shifts have been referenced according to solid sample of d</w:t>
      </w:r>
      <w:r w:rsidR="00EE7564" w:rsidRPr="00C57412">
        <w:rPr>
          <w:vertAlign w:val="subscript"/>
          <w:lang w:val="en-US"/>
        </w:rPr>
        <w:t>4</w:t>
      </w:r>
      <w:r w:rsidR="00EE7564" w:rsidRPr="00C57412">
        <w:rPr>
          <w:lang w:val="en-US"/>
        </w:rPr>
        <w:t xml:space="preserve">-TSP (methyl signal at 0 ppm). </w:t>
      </w:r>
    </w:p>
    <w:p w:rsidR="00B807D1" w:rsidRPr="00C57412" w:rsidRDefault="00D951E1" w:rsidP="006150AA">
      <w:pPr>
        <w:jc w:val="both"/>
        <w:rPr>
          <w:b/>
          <w:i/>
          <w:lang w:val="en-US"/>
        </w:rPr>
      </w:pPr>
      <w:r w:rsidRPr="00C57412">
        <w:rPr>
          <w:b/>
          <w:i/>
          <w:lang w:val="en-US"/>
        </w:rPr>
        <w:t xml:space="preserve">Powder X-Ray diffraction experiments  </w:t>
      </w:r>
    </w:p>
    <w:p w:rsidR="00B807D1" w:rsidRPr="00C57412" w:rsidRDefault="00DA5B1C" w:rsidP="006150AA">
      <w:pPr>
        <w:jc w:val="both"/>
        <w:rPr>
          <w:lang w:val="en-US"/>
        </w:rPr>
      </w:pPr>
      <w:r w:rsidRPr="00C57412">
        <w:rPr>
          <w:lang w:val="en-US"/>
        </w:rPr>
        <w:t>Powder diffraction experiments were performed using a borosilicate glass capillary (0.5 mm diameter) and a Bruker D8 Discover powder diffractometer equipped with a sealed copper tube (Cu K</w:t>
      </w:r>
      <w:r w:rsidRPr="00C57412">
        <w:t>α</w:t>
      </w:r>
      <w:r w:rsidRPr="00C57412">
        <w:rPr>
          <w:lang w:val="en-US"/>
        </w:rPr>
        <w:t xml:space="preserve"> radiation,</w:t>
      </w:r>
      <w:r w:rsidRPr="00C57412">
        <w:rPr>
          <w:rStyle w:val="Uwydatnienie"/>
          <w:lang w:val="en-US"/>
        </w:rPr>
        <w:t xml:space="preserve"> </w:t>
      </w:r>
      <w:r w:rsidRPr="00C57412">
        <w:rPr>
          <w:rStyle w:val="Uwydatnienie"/>
        </w:rPr>
        <w:t>λ</w:t>
      </w:r>
      <w:r w:rsidRPr="00C57412">
        <w:rPr>
          <w:lang w:val="en-US"/>
        </w:rPr>
        <w:t> = 1.5406 Å, formed by Goebel mirror monochromator). The registered data range was 5–50° 2</w:t>
      </w:r>
      <w:r w:rsidRPr="00C57412">
        <w:rPr>
          <w:iCs/>
        </w:rPr>
        <w:t>θ</w:t>
      </w:r>
      <w:r w:rsidRPr="00C57412">
        <w:rPr>
          <w:iCs/>
          <w:lang w:val="en-US"/>
        </w:rPr>
        <w:t>,</w:t>
      </w:r>
      <w:r w:rsidRPr="00C57412">
        <w:rPr>
          <w:lang w:val="en-US"/>
        </w:rPr>
        <w:t xml:space="preserve"> with a step of 0.05°.</w:t>
      </w:r>
    </w:p>
    <w:p w:rsidR="00DA5B1C" w:rsidRPr="00C57412" w:rsidRDefault="00DA5B1C" w:rsidP="006150AA">
      <w:pPr>
        <w:jc w:val="both"/>
        <w:rPr>
          <w:b/>
          <w:i/>
          <w:lang w:val="en-US"/>
        </w:rPr>
      </w:pPr>
      <w:r w:rsidRPr="00C57412">
        <w:rPr>
          <w:b/>
          <w:i/>
          <w:lang w:val="en-US"/>
        </w:rPr>
        <w:t>Quantum chemical calculations</w:t>
      </w:r>
    </w:p>
    <w:p w:rsidR="00DA5B1C" w:rsidRPr="00C57412" w:rsidRDefault="00DA5B1C" w:rsidP="0055293F">
      <w:pPr>
        <w:spacing w:after="0"/>
        <w:jc w:val="both"/>
        <w:rPr>
          <w:lang w:val="en-US"/>
        </w:rPr>
      </w:pPr>
      <w:r w:rsidRPr="00C57412">
        <w:rPr>
          <w:b/>
          <w:lang w:val="en-US"/>
        </w:rPr>
        <w:t>CASTEP calculations.</w:t>
      </w:r>
      <w:r w:rsidRPr="00C57412">
        <w:rPr>
          <w:lang w:val="en-US"/>
        </w:rPr>
        <w:t xml:space="preserve"> For the assignment of the NMR parameters of form B of APR electronic structure calculations under periodic boundary conditions were performed for the obtained crystal structure with the CASTEP code</w:t>
      </w:r>
      <w:r w:rsidR="00552D53" w:rsidRPr="00C57412">
        <w:rPr>
          <w:lang w:val="en-US"/>
        </w:rPr>
        <w:t xml:space="preserve"> (Clark </w:t>
      </w:r>
      <w:r w:rsidR="00552D53" w:rsidRPr="00C57412">
        <w:rPr>
          <w:i/>
          <w:lang w:val="en-US"/>
        </w:rPr>
        <w:t>et al.</w:t>
      </w:r>
      <w:r w:rsidR="00552D53" w:rsidRPr="00C57412">
        <w:rPr>
          <w:lang w:val="en-US"/>
        </w:rPr>
        <w:t>, 2005)</w:t>
      </w:r>
      <w:r w:rsidRPr="00C57412">
        <w:rPr>
          <w:lang w:val="en-US"/>
        </w:rPr>
        <w:t xml:space="preserve">, using </w:t>
      </w:r>
      <w:r w:rsidR="00AC750D" w:rsidRPr="00C57412">
        <w:rPr>
          <w:lang w:val="en-US"/>
        </w:rPr>
        <w:t xml:space="preserve">the </w:t>
      </w:r>
      <w:r w:rsidRPr="00C57412">
        <w:rPr>
          <w:lang w:val="en-US"/>
        </w:rPr>
        <w:t>PBE functional with D2 dispersion correction scheme</w:t>
      </w:r>
      <w:r w:rsidR="00552D53" w:rsidRPr="00C57412">
        <w:rPr>
          <w:lang w:val="en-US"/>
        </w:rPr>
        <w:t xml:space="preserve"> (Grimme, 2006)</w:t>
      </w:r>
      <w:r w:rsidRPr="00C57412">
        <w:rPr>
          <w:lang w:val="en-US"/>
        </w:rPr>
        <w:t>, ultrasoft pseudopotentials, plane wave energy cut-off of 600eV, and 0.07</w:t>
      </w:r>
      <w:r w:rsidRPr="00C57412">
        <w:rPr>
          <w:rFonts w:cs="Times New Roman"/>
          <w:lang w:val="en-US"/>
        </w:rPr>
        <w:t>Å</w:t>
      </w:r>
      <w:r w:rsidR="00AC750D" w:rsidRPr="00C57412">
        <w:rPr>
          <w:rFonts w:cs="Times New Roman"/>
          <w:vertAlign w:val="superscript"/>
          <w:lang w:val="en-US"/>
        </w:rPr>
        <w:t>-1</w:t>
      </w:r>
      <w:r w:rsidRPr="00C57412">
        <w:rPr>
          <w:lang w:val="en-US"/>
        </w:rPr>
        <w:t xml:space="preserve"> separation to sample k-points in a </w:t>
      </w:r>
      <w:r w:rsidRPr="00C57412">
        <w:rPr>
          <w:rFonts w:eastAsia="NimbusRomNo9L-Regu" w:cs="NimbusRomNo9L-Regu"/>
          <w:lang w:val="en-US"/>
        </w:rPr>
        <w:t>Brillouin zone</w:t>
      </w:r>
      <w:r w:rsidRPr="00C57412">
        <w:rPr>
          <w:lang w:val="en-US"/>
        </w:rPr>
        <w:t xml:space="preserve">. All these parameters were primarily tested for convergence. In geometry optimization all atomic positions were allowed to relax, while keeping cell parameters rigid. After successful optimization NMR parameters were calculated, with a GIPAW approach </w:t>
      </w:r>
      <w:r w:rsidR="00552D53" w:rsidRPr="00C57412">
        <w:rPr>
          <w:lang w:val="en-US"/>
        </w:rPr>
        <w:t xml:space="preserve">(Yates </w:t>
      </w:r>
      <w:r w:rsidR="00552D53" w:rsidRPr="00C57412">
        <w:rPr>
          <w:i/>
          <w:lang w:val="en-US"/>
        </w:rPr>
        <w:t>et al.</w:t>
      </w:r>
      <w:r w:rsidR="00552D53" w:rsidRPr="00C57412">
        <w:rPr>
          <w:lang w:val="en-US"/>
        </w:rPr>
        <w:t xml:space="preserve">, 2007) </w:t>
      </w:r>
      <w:r w:rsidR="00FB2DF2" w:rsidRPr="00C57412">
        <w:rPr>
          <w:lang w:val="en-US"/>
        </w:rPr>
        <w:t>at</w:t>
      </w:r>
      <w:r w:rsidRPr="00C57412">
        <w:rPr>
          <w:lang w:val="en-US"/>
        </w:rPr>
        <w:t xml:space="preserve"> the same level of theory as stated above. The theoretical shieldings were subsequently used together with the experimental NMR data (2D correlations) to assign all </w:t>
      </w:r>
      <w:r w:rsidR="0055293F" w:rsidRPr="00C57412">
        <w:rPr>
          <w:lang w:val="en-US"/>
        </w:rPr>
        <w:t xml:space="preserve">the </w:t>
      </w:r>
      <w:r w:rsidR="0055293F" w:rsidRPr="00C57412">
        <w:rPr>
          <w:vertAlign w:val="superscript"/>
          <w:lang w:val="en-US"/>
        </w:rPr>
        <w:t>1</w:t>
      </w:r>
      <w:r w:rsidR="0055293F" w:rsidRPr="00C57412">
        <w:rPr>
          <w:lang w:val="en-US"/>
        </w:rPr>
        <w:t xml:space="preserve">H, </w:t>
      </w:r>
      <w:r w:rsidR="0055293F" w:rsidRPr="00C57412">
        <w:rPr>
          <w:vertAlign w:val="superscript"/>
          <w:lang w:val="en-US"/>
        </w:rPr>
        <w:t>13</w:t>
      </w:r>
      <w:r w:rsidR="0055293F" w:rsidRPr="00C57412">
        <w:rPr>
          <w:lang w:val="en-US"/>
        </w:rPr>
        <w:t xml:space="preserve">C and </w:t>
      </w:r>
      <w:r w:rsidR="0055293F" w:rsidRPr="00C57412">
        <w:rPr>
          <w:vertAlign w:val="superscript"/>
          <w:lang w:val="en-US"/>
        </w:rPr>
        <w:t>15</w:t>
      </w:r>
      <w:r w:rsidR="0055293F" w:rsidRPr="00C57412">
        <w:rPr>
          <w:lang w:val="en-US"/>
        </w:rPr>
        <w:t>N resonances.</w:t>
      </w:r>
      <w:r w:rsidR="00443788" w:rsidRPr="00C57412">
        <w:rPr>
          <w:lang w:val="en-US"/>
        </w:rPr>
        <w:t xml:space="preserve"> For an assignment of 2D NMR spectra aided by quantum chemical calculations see Dudenko </w:t>
      </w:r>
      <w:r w:rsidR="00443788" w:rsidRPr="00C57412">
        <w:rPr>
          <w:i/>
          <w:lang w:val="en-US"/>
        </w:rPr>
        <w:t>et al.</w:t>
      </w:r>
      <w:r w:rsidR="00443788" w:rsidRPr="00C57412">
        <w:rPr>
          <w:lang w:val="en-US"/>
        </w:rPr>
        <w:t xml:space="preserve">, 2013, Abraham </w:t>
      </w:r>
      <w:r w:rsidR="00443788" w:rsidRPr="00C57412">
        <w:rPr>
          <w:i/>
          <w:lang w:val="en-US"/>
        </w:rPr>
        <w:t>et al.</w:t>
      </w:r>
      <w:r w:rsidR="00443788" w:rsidRPr="00C57412">
        <w:rPr>
          <w:lang w:val="en-US"/>
        </w:rPr>
        <w:t xml:space="preserve">, 2016, Czernek &amp; Brus, 2013, Czernek </w:t>
      </w:r>
      <w:r w:rsidR="00443788" w:rsidRPr="00C57412">
        <w:rPr>
          <w:i/>
          <w:lang w:val="en-US"/>
        </w:rPr>
        <w:t>et al.</w:t>
      </w:r>
      <w:r w:rsidR="00443788" w:rsidRPr="00C57412">
        <w:rPr>
          <w:lang w:val="en-US"/>
        </w:rPr>
        <w:t xml:space="preserve">, 2018 and Webber </w:t>
      </w:r>
      <w:r w:rsidR="00443788" w:rsidRPr="00C57412">
        <w:rPr>
          <w:i/>
          <w:lang w:val="en-US"/>
        </w:rPr>
        <w:t>et al.</w:t>
      </w:r>
      <w:r w:rsidR="00443788" w:rsidRPr="00C57412">
        <w:rPr>
          <w:lang w:val="en-US"/>
        </w:rPr>
        <w:t>, 2010.</w:t>
      </w:r>
    </w:p>
    <w:p w:rsidR="0055293F" w:rsidRPr="00C57412" w:rsidRDefault="002D1079" w:rsidP="0055293F">
      <w:pPr>
        <w:spacing w:after="0"/>
        <w:jc w:val="both"/>
        <w:rPr>
          <w:lang w:val="en-US"/>
        </w:rPr>
      </w:pPr>
      <w:r w:rsidRPr="00C57412">
        <w:rPr>
          <w:lang w:val="en-US"/>
        </w:rPr>
        <w:t>To evaluate the energy of cocrystal</w:t>
      </w:r>
      <w:r w:rsidR="0055293F" w:rsidRPr="00C57412">
        <w:rPr>
          <w:lang w:val="en-US"/>
        </w:rPr>
        <w:t xml:space="preserve"> formation, geometry optimization at the same level of theory was performed for the crystal structures of the studied coformers and for the obtained </w:t>
      </w:r>
      <w:r w:rsidR="0055293F" w:rsidRPr="00C57412">
        <w:rPr>
          <w:lang w:val="en-US"/>
        </w:rPr>
        <w:lastRenderedPageBreak/>
        <w:t xml:space="preserve">cocrystals. In the case of the cocrystals </w:t>
      </w:r>
      <w:r w:rsidR="00CD5F6C" w:rsidRPr="00C57412">
        <w:rPr>
          <w:lang w:val="en-US"/>
        </w:rPr>
        <w:t xml:space="preserve">due to the observed disorder </w:t>
      </w:r>
      <w:r w:rsidR="0055293F" w:rsidRPr="00C57412">
        <w:rPr>
          <w:lang w:val="en-US"/>
        </w:rPr>
        <w:t>there are two equally probable positions of coformers</w:t>
      </w:r>
      <w:r w:rsidR="00CD5F6C" w:rsidRPr="00C57412">
        <w:rPr>
          <w:lang w:val="en-US"/>
        </w:rPr>
        <w:t xml:space="preserve"> (designated as ‘a’ and ‘b’). Therefore</w:t>
      </w:r>
      <w:r w:rsidR="0055293F" w:rsidRPr="00C57412">
        <w:rPr>
          <w:lang w:val="en-US"/>
        </w:rPr>
        <w:t>, for each cocrystal two structures</w:t>
      </w:r>
      <w:r w:rsidR="00CD5F6C" w:rsidRPr="00C57412">
        <w:rPr>
          <w:lang w:val="en-US"/>
        </w:rPr>
        <w:t xml:space="preserve"> (‘a’ and ‘b’) were geometry optimized,</w:t>
      </w:r>
      <w:r w:rsidR="00AC750D" w:rsidRPr="00C57412">
        <w:rPr>
          <w:lang w:val="en-US"/>
        </w:rPr>
        <w:t xml:space="preserve"> each</w:t>
      </w:r>
      <w:r w:rsidR="0055293F" w:rsidRPr="00C57412">
        <w:rPr>
          <w:lang w:val="en-US"/>
        </w:rPr>
        <w:t xml:space="preserve"> with one of the possible position</w:t>
      </w:r>
      <w:r w:rsidR="00011B9E" w:rsidRPr="00C57412">
        <w:rPr>
          <w:lang w:val="en-US"/>
        </w:rPr>
        <w:t>s</w:t>
      </w:r>
      <w:r w:rsidR="0055293F" w:rsidRPr="00C57412">
        <w:rPr>
          <w:lang w:val="en-US"/>
        </w:rPr>
        <w:t xml:space="preserve"> of a coformer</w:t>
      </w:r>
      <w:r w:rsidR="00011B9E" w:rsidRPr="00C57412">
        <w:rPr>
          <w:lang w:val="en-US"/>
        </w:rPr>
        <w:t>, and mean energy was used in all the following calculations</w:t>
      </w:r>
      <w:r w:rsidR="0055293F" w:rsidRPr="00C57412">
        <w:rPr>
          <w:lang w:val="en-US"/>
        </w:rPr>
        <w:t xml:space="preserve">. Subsequently, single point energy calculations were carried out for each symmetry unrelated molecule of APR </w:t>
      </w:r>
      <w:r w:rsidR="00011B9E" w:rsidRPr="00C57412">
        <w:rPr>
          <w:lang w:val="en-US"/>
        </w:rPr>
        <w:t xml:space="preserve">from form B, as well as from cocrystals, </w:t>
      </w:r>
      <w:r w:rsidR="0055293F" w:rsidRPr="00C57412">
        <w:rPr>
          <w:lang w:val="en-US"/>
        </w:rPr>
        <w:t xml:space="preserve">and </w:t>
      </w:r>
      <w:r w:rsidR="00011B9E" w:rsidRPr="00C57412">
        <w:rPr>
          <w:lang w:val="en-US"/>
        </w:rPr>
        <w:t xml:space="preserve">for </w:t>
      </w:r>
      <w:r w:rsidR="0055293F" w:rsidRPr="00C57412">
        <w:rPr>
          <w:lang w:val="en-US"/>
        </w:rPr>
        <w:t>each of the coformers placed in a 20</w:t>
      </w:r>
      <w:r w:rsidR="0055293F" w:rsidRPr="00C57412">
        <w:rPr>
          <w:rFonts w:cs="Times New Roman"/>
          <w:lang w:val="en-US"/>
        </w:rPr>
        <w:t>Å</w:t>
      </w:r>
      <w:r w:rsidR="0055293F" w:rsidRPr="00C57412">
        <w:rPr>
          <w:lang w:val="en-US"/>
        </w:rPr>
        <w:t xml:space="preserve"> box, in order to calculate inter- and intramolecular energy contributions. To calculate the stabilization energies for the studied cocrystals (E</w:t>
      </w:r>
      <w:r w:rsidR="0055293F" w:rsidRPr="00C57412">
        <w:rPr>
          <w:vertAlign w:val="superscript"/>
          <w:lang w:val="en-US"/>
        </w:rPr>
        <w:t>stab</w:t>
      </w:r>
      <w:r w:rsidR="0055293F" w:rsidRPr="00C57412">
        <w:rPr>
          <w:lang w:val="en-US"/>
        </w:rPr>
        <w:t xml:space="preserve">), </w:t>
      </w:r>
      <w:r w:rsidR="00AC750D" w:rsidRPr="00C57412">
        <w:rPr>
          <w:lang w:val="en-US"/>
        </w:rPr>
        <w:t xml:space="preserve">the </w:t>
      </w:r>
      <w:r w:rsidR="0055293F" w:rsidRPr="00C57412">
        <w:rPr>
          <w:lang w:val="en-US"/>
        </w:rPr>
        <w:t xml:space="preserve">following equations were used:  </w:t>
      </w:r>
    </w:p>
    <w:p w:rsidR="006150AA" w:rsidRPr="00C57412" w:rsidRDefault="00A46AD0" w:rsidP="006150AA">
      <w:pPr>
        <w:jc w:val="both"/>
        <w:rPr>
          <w:rFonts w:eastAsiaTheme="minorEastAsia"/>
          <w:lang w:val="en-US"/>
        </w:rPr>
      </w:pPr>
      <m:oMath>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stab</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cocr</m:t>
            </m:r>
          </m:sub>
          <m:sup>
            <m:r>
              <w:rPr>
                <w:rFonts w:ascii="Cambria Math" w:hAnsi="Cambria Math"/>
                <w:lang w:val="en-US"/>
              </w:rPr>
              <m:t>total</m:t>
            </m:r>
          </m:sup>
        </m:sSubSup>
        <m:r>
          <w:rPr>
            <w:rFonts w:ascii="Cambria Math" w:hAnsi="Cambria Math"/>
            <w:lang w:val="en-US"/>
          </w:rPr>
          <m:t>-(n</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APR</m:t>
            </m:r>
          </m:sub>
          <m:sup>
            <m:r>
              <w:rPr>
                <w:rFonts w:ascii="Cambria Math" w:hAnsi="Cambria Math"/>
                <w:lang w:val="en-US"/>
              </w:rPr>
              <m:t>total</m:t>
            </m:r>
          </m:sup>
        </m:sSubSup>
        <m:r>
          <w:rPr>
            <w:rFonts w:ascii="Cambria Math" w:hAnsi="Cambria Math"/>
            <w:lang w:val="en-US"/>
          </w:rPr>
          <m:t>+m</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cofo</m:t>
            </m:r>
            <m:r>
              <w:rPr>
                <w:rFonts w:ascii="Cambria Math" w:hAnsi="Cambria Math"/>
                <w:lang w:val="en-US"/>
              </w:rPr>
              <m:t>rmer</m:t>
            </m:r>
          </m:sub>
          <m:sup>
            <m:r>
              <w:rPr>
                <w:rFonts w:ascii="Cambria Math" w:hAnsi="Cambria Math"/>
                <w:lang w:val="en-US"/>
              </w:rPr>
              <m:t>total</m:t>
            </m:r>
          </m:sup>
        </m:sSubSup>
        <m:r>
          <w:rPr>
            <w:rFonts w:ascii="Cambria Math" w:hAnsi="Cambria Math"/>
            <w:lang w:val="en-US"/>
          </w:rPr>
          <m:t>)</m:t>
        </m:r>
      </m:oMath>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r>
      <w:r w:rsidR="00CD5F6C" w:rsidRPr="00C57412">
        <w:rPr>
          <w:rFonts w:eastAsiaTheme="minorEastAsia"/>
          <w:lang w:val="en-US"/>
        </w:rPr>
        <w:tab/>
      </w:r>
      <w:r w:rsidR="006150AA" w:rsidRPr="00C57412">
        <w:rPr>
          <w:rFonts w:eastAsiaTheme="minorEastAsia"/>
          <w:lang w:val="en-US"/>
        </w:rPr>
        <w:tab/>
        <w:t>(1)</w:t>
      </w:r>
    </w:p>
    <w:p w:rsidR="006150AA" w:rsidRPr="00C57412" w:rsidRDefault="00A46AD0" w:rsidP="006150AA">
      <w:pPr>
        <w:jc w:val="both"/>
        <w:rPr>
          <w:rFonts w:eastAsiaTheme="minorEastAsia"/>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intra</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cocr</m:t>
            </m:r>
          </m:sub>
          <m:sup>
            <m:r>
              <w:rPr>
                <w:rFonts w:ascii="Cambria Math" w:hAnsi="Cambria Math"/>
                <w:lang w:val="en-US"/>
              </w:rPr>
              <m:t>intra</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APR</m:t>
            </m:r>
          </m:sub>
          <m:sup>
            <m:r>
              <w:rPr>
                <w:rFonts w:ascii="Cambria Math" w:hAnsi="Cambria Math"/>
                <w:lang w:val="en-US"/>
              </w:rPr>
              <m:t>intra</m:t>
            </m:r>
          </m:sup>
        </m:sSubSup>
      </m:oMath>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r>
      <w:r w:rsidR="006150AA" w:rsidRPr="00C57412">
        <w:rPr>
          <w:rFonts w:eastAsiaTheme="minorEastAsia"/>
          <w:lang w:val="en-US"/>
        </w:rPr>
        <w:tab/>
        <w:t>(2)</w:t>
      </w:r>
    </w:p>
    <w:p w:rsidR="006150AA" w:rsidRPr="00C57412" w:rsidRDefault="00A46AD0" w:rsidP="006150AA">
      <w:pPr>
        <w:jc w:val="both"/>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inter</m:t>
            </m:r>
          </m:sup>
        </m:sSup>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cocr</m:t>
                </m:r>
              </m:sub>
              <m:sup>
                <m:r>
                  <w:rPr>
                    <w:rFonts w:ascii="Cambria Math" w:hAnsi="Cambria Math"/>
                    <w:lang w:val="en-US"/>
                  </w:rPr>
                  <m:t>total</m:t>
                </m:r>
              </m:sup>
            </m:sSubSup>
            <m:r>
              <w:rPr>
                <w:rFonts w:ascii="Cambria Math" w:hAnsi="Cambria Math"/>
                <w:lang w:val="en-US"/>
              </w:rPr>
              <m:t>-</m:t>
            </m:r>
            <m:nary>
              <m:naryPr>
                <m:chr m:val="∑"/>
                <m:limLoc m:val="undOvr"/>
                <m:supHide m:val="on"/>
                <m:ctrlPr>
                  <w:rPr>
                    <w:rFonts w:ascii="Cambria Math" w:hAnsi="Cambria Math"/>
                    <w:i/>
                    <w:lang w:val="en-US"/>
                  </w:rPr>
                </m:ctrlPr>
              </m:naryPr>
              <m:sub>
                <m:r>
                  <w:rPr>
                    <w:rFonts w:ascii="Cambria Math" w:hAnsi="Cambria Math"/>
                    <w:lang w:val="en-US"/>
                  </w:rPr>
                  <m:t>comp</m:t>
                </m:r>
              </m:sub>
              <m:sup/>
              <m:e>
                <m:r>
                  <w:rPr>
                    <w:rFonts w:ascii="Cambria Math" w:hAnsi="Cambria Math"/>
                    <w:lang w:val="en-US"/>
                  </w:rPr>
                  <m:t>k*</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comp</m:t>
                    </m:r>
                  </m:sub>
                  <m:sup>
                    <m:r>
                      <w:rPr>
                        <w:rFonts w:ascii="Cambria Math" w:hAnsi="Cambria Math"/>
                        <w:lang w:val="en-US"/>
                      </w:rPr>
                      <m:t>intra</m:t>
                    </m:r>
                  </m:sup>
                </m:sSubSup>
              </m:e>
            </m:nary>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pure</m:t>
            </m:r>
          </m:sub>
          <m:sup>
            <m:r>
              <w:rPr>
                <w:rFonts w:ascii="Cambria Math" w:hAnsi="Cambria Math"/>
                <w:lang w:val="en-US"/>
              </w:rPr>
              <m:t>total</m:t>
            </m:r>
          </m:sup>
        </m:sSubSup>
        <m:r>
          <w:rPr>
            <w:rFonts w:ascii="Cambria Math" w:hAnsi="Cambria Math"/>
            <w:lang w:val="en-US"/>
          </w:rPr>
          <m:t>-</m:t>
        </m:r>
        <m:nary>
          <m:naryPr>
            <m:chr m:val="∑"/>
            <m:limLoc m:val="undOvr"/>
            <m:subHide m:val="on"/>
            <m:supHide m:val="on"/>
            <m:ctrlPr>
              <w:rPr>
                <w:rFonts w:ascii="Cambria Math" w:hAnsi="Cambria Math"/>
                <w:i/>
                <w:lang w:val="en-US"/>
              </w:rPr>
            </m:ctrlPr>
          </m:naryPr>
          <m:sub/>
          <m:sup/>
          <m:e>
            <m:r>
              <w:rPr>
                <w:rFonts w:ascii="Cambria Math" w:hAnsi="Cambria Math"/>
                <w:lang w:val="en-US"/>
              </w:rPr>
              <m:t>k*</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pure</m:t>
                </m:r>
              </m:sub>
              <m:sup>
                <m:r>
                  <w:rPr>
                    <w:rFonts w:ascii="Cambria Math" w:hAnsi="Cambria Math"/>
                    <w:lang w:val="en-US"/>
                  </w:rPr>
                  <m:t>intra</m:t>
                </m:r>
              </m:sup>
            </m:sSubSup>
          </m:e>
        </m:nary>
        <m:r>
          <w:rPr>
            <w:rFonts w:ascii="Cambria Math" w:hAnsi="Cambria Math"/>
            <w:lang w:val="en-US"/>
          </w:rPr>
          <m:t>)</m:t>
        </m:r>
      </m:oMath>
      <w:r w:rsidR="006150AA" w:rsidRPr="00C57412">
        <w:rPr>
          <w:rFonts w:eastAsiaTheme="minorEastAsia"/>
          <w:lang w:val="en-US"/>
        </w:rPr>
        <w:tab/>
      </w:r>
      <w:r w:rsidR="006150AA" w:rsidRPr="00C57412">
        <w:rPr>
          <w:rFonts w:eastAsiaTheme="minorEastAsia"/>
          <w:lang w:val="en-US"/>
        </w:rPr>
        <w:tab/>
        <w:t>(3)</w:t>
      </w:r>
    </w:p>
    <w:p w:rsidR="0055293F" w:rsidRPr="00C57412" w:rsidRDefault="0055293F" w:rsidP="00243429">
      <w:pPr>
        <w:spacing w:after="0"/>
        <w:jc w:val="both"/>
        <w:rPr>
          <w:rFonts w:eastAsiaTheme="minorEastAsia"/>
          <w:lang w:val="en-US"/>
        </w:rPr>
      </w:pPr>
      <w:r w:rsidRPr="00C57412">
        <w:rPr>
          <w:lang w:val="en-US"/>
        </w:rPr>
        <w:t xml:space="preserve">where </w:t>
      </w: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cocr</m:t>
            </m:r>
          </m:sub>
          <m:sup>
            <m:r>
              <w:rPr>
                <w:rFonts w:ascii="Cambria Math" w:hAnsi="Cambria Math"/>
                <w:lang w:val="en-US"/>
              </w:rPr>
              <m:t>total</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APR</m:t>
            </m:r>
          </m:sub>
          <m:sup>
            <m:r>
              <w:rPr>
                <w:rFonts w:ascii="Cambria Math" w:hAnsi="Cambria Math"/>
                <w:lang w:val="en-US"/>
              </w:rPr>
              <m:t>total</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coformer</m:t>
            </m:r>
          </m:sub>
          <m:sup>
            <m:r>
              <w:rPr>
                <w:rFonts w:ascii="Cambria Math" w:hAnsi="Cambria Math"/>
                <w:lang w:val="en-US"/>
              </w:rPr>
              <m:t>total</m:t>
            </m:r>
          </m:sup>
        </m:sSubSup>
      </m:oMath>
      <w:r w:rsidR="00011B9E" w:rsidRPr="00C57412">
        <w:rPr>
          <w:rFonts w:eastAsiaTheme="minorEastAsia"/>
          <w:lang w:val="en-US"/>
        </w:rPr>
        <w:t xml:space="preserve"> denote total energies for a cocrystal, </w:t>
      </w:r>
      <w:r w:rsidR="00531059" w:rsidRPr="00C57412">
        <w:rPr>
          <w:rFonts w:eastAsiaTheme="minorEastAsia"/>
          <w:lang w:val="en-US"/>
        </w:rPr>
        <w:t xml:space="preserve">pure </w:t>
      </w:r>
      <w:r w:rsidR="00011B9E" w:rsidRPr="00C57412">
        <w:rPr>
          <w:rFonts w:eastAsiaTheme="minorEastAsia"/>
          <w:lang w:val="en-US"/>
        </w:rPr>
        <w:t xml:space="preserve">form B of APR and pure coformer, respectively, </w:t>
      </w:r>
      <w:r w:rsidR="00A05CB4" w:rsidRPr="00C57412">
        <w:rPr>
          <w:rFonts w:eastAsiaTheme="minorEastAsia"/>
          <w:lang w:val="en-US"/>
        </w:rPr>
        <w:t>while</w:t>
      </w:r>
      <w:r w:rsidR="00011B9E" w:rsidRPr="00C57412">
        <w:rPr>
          <w:rFonts w:eastAsiaTheme="minorEastAsia"/>
          <w:lang w:val="en-US"/>
        </w:rPr>
        <w:t xml:space="preserve"> </w:t>
      </w: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intra</m:t>
            </m:r>
          </m:sup>
        </m:sSup>
        <m:r>
          <w:rPr>
            <w:rFonts w:ascii="Cambria Math" w:hAnsi="Cambria Math"/>
            <w:lang w:val="en-US"/>
          </w:rPr>
          <m:t xml:space="preserve"> </m:t>
        </m:r>
      </m:oMath>
      <w:r w:rsidR="00011B9E" w:rsidRPr="00C57412">
        <w:rPr>
          <w:rFonts w:eastAsiaTheme="minorEastAsia"/>
          <w:lang w:val="en-US"/>
        </w:rPr>
        <w:t xml:space="preserve">and </w:t>
      </w: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inter</m:t>
            </m:r>
          </m:sup>
        </m:sSup>
      </m:oMath>
      <w:r w:rsidR="00011B9E" w:rsidRPr="00C57412">
        <w:rPr>
          <w:rFonts w:eastAsiaTheme="minorEastAsia"/>
          <w:lang w:val="en-US"/>
        </w:rPr>
        <w:t xml:space="preserve"> are the intra- and intermolecular energy contribution terms to the stabilization energy, calculated as differences between these terms obtained for cocrystals and pure forms</w:t>
      </w:r>
      <w:r w:rsidR="00552A2E" w:rsidRPr="00C57412">
        <w:rPr>
          <w:rFonts w:eastAsiaTheme="minorEastAsia"/>
          <w:lang w:val="en-US"/>
        </w:rPr>
        <w:t xml:space="preserve">, and </w:t>
      </w:r>
      <w:r w:rsidR="00552A2E" w:rsidRPr="00C57412">
        <w:rPr>
          <w:rFonts w:eastAsiaTheme="minorEastAsia"/>
          <w:i/>
          <w:lang w:val="en-US"/>
        </w:rPr>
        <w:t>n</w:t>
      </w:r>
      <w:r w:rsidR="00552A2E" w:rsidRPr="00C57412">
        <w:rPr>
          <w:rFonts w:eastAsiaTheme="minorEastAsia"/>
          <w:lang w:val="en-US"/>
        </w:rPr>
        <w:t xml:space="preserve">, </w:t>
      </w:r>
      <w:r w:rsidR="00552A2E" w:rsidRPr="00C57412">
        <w:rPr>
          <w:rFonts w:eastAsiaTheme="minorEastAsia"/>
          <w:i/>
          <w:lang w:val="en-US"/>
        </w:rPr>
        <w:t>m</w:t>
      </w:r>
      <w:r w:rsidR="00552A2E" w:rsidRPr="00C57412">
        <w:rPr>
          <w:rFonts w:eastAsiaTheme="minorEastAsia"/>
          <w:lang w:val="en-US"/>
        </w:rPr>
        <w:t xml:space="preserve"> and </w:t>
      </w:r>
      <w:r w:rsidR="00552A2E" w:rsidRPr="00C57412">
        <w:rPr>
          <w:rFonts w:eastAsiaTheme="minorEastAsia"/>
          <w:i/>
          <w:lang w:val="en-US"/>
        </w:rPr>
        <w:t>k</w:t>
      </w:r>
      <w:r w:rsidR="00552A2E" w:rsidRPr="00C57412">
        <w:rPr>
          <w:rFonts w:eastAsiaTheme="minorEastAsia"/>
          <w:lang w:val="en-US"/>
        </w:rPr>
        <w:t xml:space="preserve"> values denote number of molecules accounted for in a crystal, reflecting the ratio of particular components</w:t>
      </w:r>
      <w:r w:rsidR="00011B9E" w:rsidRPr="00C57412">
        <w:rPr>
          <w:rFonts w:eastAsiaTheme="minorEastAsia"/>
          <w:lang w:val="en-US"/>
        </w:rPr>
        <w:t xml:space="preserve">. </w:t>
      </w:r>
    </w:p>
    <w:p w:rsidR="0055293F" w:rsidRPr="00C57412" w:rsidRDefault="00531059" w:rsidP="00895FD9">
      <w:pPr>
        <w:spacing w:after="0"/>
        <w:jc w:val="both"/>
        <w:rPr>
          <w:lang w:val="en-US"/>
        </w:rPr>
      </w:pPr>
      <w:r w:rsidRPr="00C57412">
        <w:rPr>
          <w:b/>
          <w:lang w:val="en-US"/>
        </w:rPr>
        <w:t>Gaussian calculations.</w:t>
      </w:r>
      <w:r w:rsidRPr="00C57412">
        <w:rPr>
          <w:lang w:val="en-US"/>
        </w:rPr>
        <w:t xml:space="preserve"> Molecular electrostatic potential (MEP) surfaces were evaluated at the B3LYP-GD3BJ/6-311G(d,p) level of theory</w:t>
      </w:r>
      <w:r w:rsidR="00A46BEE" w:rsidRPr="00C57412">
        <w:rPr>
          <w:lang w:val="en-US"/>
        </w:rPr>
        <w:t xml:space="preserve"> with Gaussian09 code</w:t>
      </w:r>
      <w:r w:rsidR="00552D53" w:rsidRPr="00C57412">
        <w:rPr>
          <w:lang w:val="en-US"/>
        </w:rPr>
        <w:t xml:space="preserve"> (Frisch </w:t>
      </w:r>
      <w:r w:rsidR="00552D53" w:rsidRPr="00C57412">
        <w:rPr>
          <w:i/>
          <w:lang w:val="en-US"/>
        </w:rPr>
        <w:t>et al.</w:t>
      </w:r>
      <w:r w:rsidR="00552D53" w:rsidRPr="00C57412">
        <w:rPr>
          <w:lang w:val="en-US"/>
        </w:rPr>
        <w:t xml:space="preserve">, </w:t>
      </w:r>
      <w:r w:rsidR="006110BD" w:rsidRPr="00C57412">
        <w:rPr>
          <w:lang w:val="en-US"/>
        </w:rPr>
        <w:t>2009</w:t>
      </w:r>
      <w:r w:rsidR="00552D53" w:rsidRPr="00C57412">
        <w:rPr>
          <w:lang w:val="en-US"/>
        </w:rPr>
        <w:t>)</w:t>
      </w:r>
      <w:r w:rsidR="00484368" w:rsidRPr="00C57412">
        <w:rPr>
          <w:lang w:val="en-US"/>
        </w:rPr>
        <w:t>, using molecular geometries</w:t>
      </w:r>
      <w:r w:rsidRPr="00C57412">
        <w:rPr>
          <w:lang w:val="en-US"/>
        </w:rPr>
        <w:t xml:space="preserve"> from the optimized crystal structures. To evaluate the energetics of a</w:t>
      </w:r>
      <w:r w:rsidR="0055293F" w:rsidRPr="00C57412">
        <w:rPr>
          <w:lang w:val="en-US"/>
        </w:rPr>
        <w:t xml:space="preserve">romatic – aromatic </w:t>
      </w:r>
      <w:r w:rsidRPr="00C57412">
        <w:rPr>
          <w:lang w:val="en-US"/>
        </w:rPr>
        <w:t>and hydrogen bonds interactions</w:t>
      </w:r>
      <w:r w:rsidR="00AC750D" w:rsidRPr="00C57412">
        <w:rPr>
          <w:lang w:val="en-US"/>
        </w:rPr>
        <w:t>,</w:t>
      </w:r>
      <w:r w:rsidR="0055293F" w:rsidRPr="00C57412">
        <w:rPr>
          <w:lang w:val="en-US"/>
        </w:rPr>
        <w:t xml:space="preserve"> single point energy calculations for </w:t>
      </w:r>
      <w:r w:rsidR="00A46BEE" w:rsidRPr="00C57412">
        <w:rPr>
          <w:lang w:val="en-US"/>
        </w:rPr>
        <w:t xml:space="preserve">the optimized crystal geometries of appropriate molecular clusters, and corresponding isolated components were performed at the B3LYP-GD3BJ/6-311G(d,p) level of theory with </w:t>
      </w:r>
      <w:r w:rsidR="00AC750D" w:rsidRPr="00C57412">
        <w:rPr>
          <w:lang w:val="en-US"/>
        </w:rPr>
        <w:t xml:space="preserve">the </w:t>
      </w:r>
      <w:r w:rsidR="00A46BEE" w:rsidRPr="00C57412">
        <w:rPr>
          <w:lang w:val="en-US"/>
        </w:rPr>
        <w:t xml:space="preserve">Gaussian09 code. The </w:t>
      </w:r>
      <w:r w:rsidR="003D3026" w:rsidRPr="00C57412">
        <w:rPr>
          <w:lang w:val="en-US"/>
        </w:rPr>
        <w:t>clusters</w:t>
      </w:r>
      <w:r w:rsidR="00A46BEE" w:rsidRPr="00C57412">
        <w:rPr>
          <w:lang w:val="en-US"/>
        </w:rPr>
        <w:t xml:space="preserve"> were built in a way so that the molecules were interacting only </w:t>
      </w:r>
      <w:r w:rsidR="00A46BEE" w:rsidRPr="00C57412">
        <w:rPr>
          <w:i/>
          <w:lang w:val="en-US"/>
        </w:rPr>
        <w:t>via</w:t>
      </w:r>
      <w:r w:rsidR="00A46BEE" w:rsidRPr="00C57412">
        <w:rPr>
          <w:lang w:val="en-US"/>
        </w:rPr>
        <w:t xml:space="preserve"> one </w:t>
      </w:r>
      <w:r w:rsidR="00FB2DF2" w:rsidRPr="00C57412">
        <w:rPr>
          <w:lang w:val="en-US"/>
        </w:rPr>
        <w:t xml:space="preserve">of </w:t>
      </w:r>
      <w:r w:rsidR="00A46BEE" w:rsidRPr="00C57412">
        <w:rPr>
          <w:lang w:val="en-US"/>
        </w:rPr>
        <w:t>the regarded interactions. For aromatic</w:t>
      </w:r>
      <w:r w:rsidR="003D3026" w:rsidRPr="00C57412">
        <w:rPr>
          <w:lang w:val="en-US"/>
        </w:rPr>
        <w:t xml:space="preserve"> – </w:t>
      </w:r>
      <w:r w:rsidR="00A46BEE" w:rsidRPr="00C57412">
        <w:rPr>
          <w:lang w:val="en-US"/>
        </w:rPr>
        <w:t xml:space="preserve">aromatic interactions </w:t>
      </w:r>
      <w:r w:rsidR="0055293F" w:rsidRPr="00C57412">
        <w:rPr>
          <w:lang w:val="en-US"/>
        </w:rPr>
        <w:t xml:space="preserve">two molecules of APR, forming a </w:t>
      </w:r>
      <w:r w:rsidR="0055293F" w:rsidRPr="00C57412">
        <w:rPr>
          <w:rFonts w:cs="Times New Roman"/>
          <w:lang w:val="en-US"/>
        </w:rPr>
        <w:t>π</w:t>
      </w:r>
      <w:r w:rsidR="0055293F" w:rsidRPr="00C57412">
        <w:rPr>
          <w:lang w:val="en-US"/>
        </w:rPr>
        <w:t>–philic space</w:t>
      </w:r>
      <w:r w:rsidR="00A46BEE" w:rsidRPr="00C57412">
        <w:rPr>
          <w:lang w:val="en-US"/>
        </w:rPr>
        <w:t xml:space="preserve"> with and without the presence of</w:t>
      </w:r>
      <w:r w:rsidR="0055293F" w:rsidRPr="00C57412">
        <w:rPr>
          <w:lang w:val="en-US"/>
        </w:rPr>
        <w:t xml:space="preserve"> a coformer were </w:t>
      </w:r>
      <w:r w:rsidR="00A46BEE" w:rsidRPr="00C57412">
        <w:rPr>
          <w:lang w:val="en-US"/>
        </w:rPr>
        <w:t>used</w:t>
      </w:r>
      <w:r w:rsidR="0055293F" w:rsidRPr="00C57412">
        <w:rPr>
          <w:lang w:val="en-US"/>
        </w:rPr>
        <w:t xml:space="preserve">. </w:t>
      </w:r>
      <w:r w:rsidR="00A46BEE" w:rsidRPr="00C57412">
        <w:rPr>
          <w:lang w:val="en-US"/>
        </w:rPr>
        <w:t>Similarly, hydrogen-bonding interaction clusters were built. All the clustered arrangements are shown in Supporting Information</w:t>
      </w:r>
      <w:r w:rsidR="00FB2DF2" w:rsidRPr="00C57412">
        <w:rPr>
          <w:lang w:val="en-US"/>
        </w:rPr>
        <w:t xml:space="preserve"> (Figures S4 and S5)</w:t>
      </w:r>
      <w:r w:rsidR="00A46BEE" w:rsidRPr="00C57412">
        <w:rPr>
          <w:lang w:val="en-US"/>
        </w:rPr>
        <w:t xml:space="preserve">. </w:t>
      </w:r>
      <w:r w:rsidR="0055293F" w:rsidRPr="00C57412">
        <w:rPr>
          <w:lang w:val="en-US"/>
        </w:rPr>
        <w:t xml:space="preserve">In that way an energy contribution of aromatic – aromatic </w:t>
      </w:r>
      <w:r w:rsidR="00A46BEE" w:rsidRPr="00C57412">
        <w:rPr>
          <w:lang w:val="en-US"/>
        </w:rPr>
        <w:t xml:space="preserve">and hydrogen bonds </w:t>
      </w:r>
      <w:r w:rsidR="0055293F" w:rsidRPr="00C57412">
        <w:rPr>
          <w:lang w:val="en-US"/>
        </w:rPr>
        <w:t>inte</w:t>
      </w:r>
      <w:r w:rsidR="00A46BEE" w:rsidRPr="00C57412">
        <w:rPr>
          <w:lang w:val="en-US"/>
        </w:rPr>
        <w:t>ractions to the total energy could</w:t>
      </w:r>
      <w:r w:rsidR="0055293F" w:rsidRPr="00C57412">
        <w:rPr>
          <w:lang w:val="en-US"/>
        </w:rPr>
        <w:t xml:space="preserve"> be estimated</w:t>
      </w:r>
      <w:r w:rsidR="00BB5ADA" w:rsidRPr="00C57412">
        <w:rPr>
          <w:lang w:val="en-US"/>
        </w:rPr>
        <w:t xml:space="preserve"> separately</w:t>
      </w:r>
      <w:r w:rsidR="0055293F" w:rsidRPr="00C57412">
        <w:rPr>
          <w:lang w:val="en-US"/>
        </w:rPr>
        <w:t>, as most of the other intermolecular interactions are excluded from the system with such arrangement</w:t>
      </w:r>
      <w:r w:rsidR="00BB5ADA" w:rsidRPr="00C57412">
        <w:rPr>
          <w:lang w:val="en-US"/>
        </w:rPr>
        <w:t>s</w:t>
      </w:r>
      <w:r w:rsidR="0055293F" w:rsidRPr="00C57412">
        <w:rPr>
          <w:lang w:val="en-US"/>
        </w:rPr>
        <w:t xml:space="preserve">. </w:t>
      </w:r>
      <w:r w:rsidR="00BB5ADA" w:rsidRPr="00C57412">
        <w:rPr>
          <w:lang w:val="en-US"/>
        </w:rPr>
        <w:t>Finally, t</w:t>
      </w:r>
      <w:r w:rsidR="0055293F" w:rsidRPr="00C57412">
        <w:rPr>
          <w:lang w:val="en-US"/>
        </w:rPr>
        <w:t>he energy differences between the systems with and with</w:t>
      </w:r>
      <w:r w:rsidR="00BB5ADA" w:rsidRPr="00C57412">
        <w:rPr>
          <w:lang w:val="en-US"/>
        </w:rPr>
        <w:t>out</w:t>
      </w:r>
      <w:r w:rsidR="0055293F" w:rsidRPr="00C57412">
        <w:rPr>
          <w:lang w:val="en-US"/>
        </w:rPr>
        <w:t xml:space="preserve"> the </w:t>
      </w:r>
      <w:r w:rsidR="00BB5ADA" w:rsidRPr="00C57412">
        <w:rPr>
          <w:lang w:val="en-US"/>
        </w:rPr>
        <w:t xml:space="preserve">appropriate interactions were calculated in a way so that </w:t>
      </w:r>
      <w:r w:rsidR="0055293F" w:rsidRPr="00C57412">
        <w:rPr>
          <w:lang w:val="en-US"/>
        </w:rPr>
        <w:t>they would correspond to an asymmetric part of a unit</w:t>
      </w:r>
      <w:r w:rsidR="00BB5ADA" w:rsidRPr="00C57412">
        <w:rPr>
          <w:lang w:val="en-US"/>
        </w:rPr>
        <w:t xml:space="preserve"> cell in the studied cocrystals.</w:t>
      </w:r>
    </w:p>
    <w:p w:rsidR="00BB5ADA" w:rsidRPr="00C57412" w:rsidRDefault="00BB5ADA" w:rsidP="0055293F">
      <w:pPr>
        <w:jc w:val="both"/>
        <w:rPr>
          <w:b/>
          <w:lang w:val="en-US"/>
        </w:rPr>
      </w:pPr>
      <w:r w:rsidRPr="00C57412">
        <w:rPr>
          <w:b/>
          <w:lang w:val="en-US"/>
        </w:rPr>
        <w:lastRenderedPageBreak/>
        <w:t xml:space="preserve">Crystal Structure Prediction (CSP). </w:t>
      </w:r>
      <w:r w:rsidRPr="00C57412">
        <w:rPr>
          <w:lang w:val="en-US"/>
        </w:rPr>
        <w:t>For CSP calculations</w:t>
      </w:r>
      <w:r w:rsidR="00220E75" w:rsidRPr="00C57412">
        <w:rPr>
          <w:lang w:val="en-US"/>
        </w:rPr>
        <w:t>, the</w:t>
      </w:r>
      <w:r w:rsidR="001D138D" w:rsidRPr="00C57412">
        <w:rPr>
          <w:lang w:val="en-US"/>
        </w:rPr>
        <w:t xml:space="preserve"> optimized geometry </w:t>
      </w:r>
      <w:r w:rsidR="00636050" w:rsidRPr="00C57412">
        <w:rPr>
          <w:lang w:val="en-US"/>
        </w:rPr>
        <w:t xml:space="preserve">of APR </w:t>
      </w:r>
      <w:r w:rsidR="001D138D" w:rsidRPr="00C57412">
        <w:rPr>
          <w:lang w:val="en-US"/>
        </w:rPr>
        <w:t xml:space="preserve">from </w:t>
      </w:r>
      <w:r w:rsidR="00220E75" w:rsidRPr="00C57412">
        <w:rPr>
          <w:lang w:val="en-US"/>
        </w:rPr>
        <w:t xml:space="preserve">the </w:t>
      </w:r>
      <w:r w:rsidR="001D138D" w:rsidRPr="00C57412">
        <w:rPr>
          <w:lang w:val="en-US"/>
        </w:rPr>
        <w:t xml:space="preserve">crystal structure </w:t>
      </w:r>
      <w:r w:rsidR="00636050" w:rsidRPr="00C57412">
        <w:rPr>
          <w:lang w:val="en-US"/>
        </w:rPr>
        <w:t xml:space="preserve">of a cocrystal </w:t>
      </w:r>
      <w:r w:rsidR="001D138D" w:rsidRPr="00C57412">
        <w:rPr>
          <w:lang w:val="en-US"/>
        </w:rPr>
        <w:t xml:space="preserve">was used to generate trial crystal structures in three chiral space groups: </w:t>
      </w:r>
      <w:r w:rsidR="001D138D" w:rsidRPr="00C57412">
        <w:rPr>
          <w:i/>
          <w:lang w:val="en-US"/>
        </w:rPr>
        <w:t>P</w:t>
      </w:r>
      <w:r w:rsidR="001D138D" w:rsidRPr="00C57412">
        <w:rPr>
          <w:lang w:val="en-US"/>
        </w:rPr>
        <w:t>2</w:t>
      </w:r>
      <w:r w:rsidR="001D138D" w:rsidRPr="00C57412">
        <w:rPr>
          <w:vertAlign w:val="subscript"/>
          <w:lang w:val="en-US"/>
        </w:rPr>
        <w:t>1</w:t>
      </w:r>
      <w:r w:rsidR="001D138D" w:rsidRPr="00C57412">
        <w:rPr>
          <w:lang w:val="en-US"/>
        </w:rPr>
        <w:t xml:space="preserve">, </w:t>
      </w:r>
      <w:r w:rsidR="001D138D" w:rsidRPr="00C57412">
        <w:rPr>
          <w:i/>
          <w:lang w:val="en-US"/>
        </w:rPr>
        <w:t>P</w:t>
      </w:r>
      <w:r w:rsidR="001D138D" w:rsidRPr="00C57412">
        <w:rPr>
          <w:lang w:val="en-US"/>
        </w:rPr>
        <w:t>2</w:t>
      </w:r>
      <w:r w:rsidR="001D138D" w:rsidRPr="00C57412">
        <w:rPr>
          <w:vertAlign w:val="subscript"/>
          <w:lang w:val="en-US"/>
        </w:rPr>
        <w:t>1</w:t>
      </w:r>
      <w:r w:rsidR="001D138D" w:rsidRPr="00C57412">
        <w:rPr>
          <w:lang w:val="en-US"/>
        </w:rPr>
        <w:t>2</w:t>
      </w:r>
      <w:r w:rsidR="001D138D" w:rsidRPr="00C57412">
        <w:rPr>
          <w:vertAlign w:val="subscript"/>
          <w:lang w:val="en-US"/>
        </w:rPr>
        <w:t>1</w:t>
      </w:r>
      <w:r w:rsidR="001D138D" w:rsidRPr="00C57412">
        <w:rPr>
          <w:lang w:val="en-US"/>
        </w:rPr>
        <w:t>2</w:t>
      </w:r>
      <w:r w:rsidR="001D138D" w:rsidRPr="00C57412">
        <w:rPr>
          <w:vertAlign w:val="subscript"/>
          <w:lang w:val="en-US"/>
        </w:rPr>
        <w:t>1</w:t>
      </w:r>
      <w:r w:rsidR="001D138D" w:rsidRPr="00C57412">
        <w:rPr>
          <w:lang w:val="en-US"/>
        </w:rPr>
        <w:t xml:space="preserve"> and </w:t>
      </w:r>
      <w:r w:rsidR="001D138D" w:rsidRPr="00C57412">
        <w:rPr>
          <w:i/>
          <w:lang w:val="en-US"/>
        </w:rPr>
        <w:t>P</w:t>
      </w:r>
      <w:r w:rsidR="001D138D" w:rsidRPr="00C57412">
        <w:rPr>
          <w:lang w:val="en-US"/>
        </w:rPr>
        <w:t>4</w:t>
      </w:r>
      <w:r w:rsidR="001D138D" w:rsidRPr="00C57412">
        <w:rPr>
          <w:vertAlign w:val="subscript"/>
          <w:lang w:val="en-US"/>
        </w:rPr>
        <w:t>1</w:t>
      </w:r>
      <w:r w:rsidR="001D138D" w:rsidRPr="00C57412">
        <w:rPr>
          <w:lang w:val="en-US"/>
        </w:rPr>
        <w:t xml:space="preserve">, using </w:t>
      </w:r>
      <w:r w:rsidR="001D138D" w:rsidRPr="00C57412">
        <w:rPr>
          <w:lang w:val="en-GB"/>
        </w:rPr>
        <w:t>the Global Lattice Energy Explorer code</w:t>
      </w:r>
      <w:r w:rsidR="0051585C" w:rsidRPr="00C57412">
        <w:rPr>
          <w:lang w:val="en-GB"/>
        </w:rPr>
        <w:t xml:space="preserve"> (Case </w:t>
      </w:r>
      <w:r w:rsidR="0051585C" w:rsidRPr="00C57412">
        <w:rPr>
          <w:i/>
          <w:lang w:val="en-US"/>
        </w:rPr>
        <w:t>et al.</w:t>
      </w:r>
      <w:r w:rsidR="0051585C" w:rsidRPr="00C57412">
        <w:rPr>
          <w:lang w:val="en-US"/>
        </w:rPr>
        <w:t>, 2016</w:t>
      </w:r>
      <w:r w:rsidR="0051585C" w:rsidRPr="00C57412">
        <w:rPr>
          <w:lang w:val="en-GB"/>
        </w:rPr>
        <w:t>)</w:t>
      </w:r>
      <w:r w:rsidR="001D138D" w:rsidRPr="00C57412">
        <w:rPr>
          <w:lang w:val="en-GB"/>
        </w:rPr>
        <w:t>. The intramolecular energy contribution to the to</w:t>
      </w:r>
      <w:r w:rsidR="003C0857" w:rsidRPr="00C57412">
        <w:rPr>
          <w:lang w:val="en-GB"/>
        </w:rPr>
        <w:t>t</w:t>
      </w:r>
      <w:r w:rsidR="001D138D" w:rsidRPr="00C57412">
        <w:rPr>
          <w:lang w:val="en-GB"/>
        </w:rPr>
        <w:t>al energy of the trial structures were optimized using DMACRYS 2.2.1.0</w:t>
      </w:r>
      <w:r w:rsidR="0051585C" w:rsidRPr="00C57412">
        <w:rPr>
          <w:lang w:val="en-GB"/>
        </w:rPr>
        <w:t xml:space="preserve"> (Price </w:t>
      </w:r>
      <w:r w:rsidR="0051585C" w:rsidRPr="00C57412">
        <w:rPr>
          <w:i/>
          <w:lang w:val="en-US"/>
        </w:rPr>
        <w:t>et al.</w:t>
      </w:r>
      <w:r w:rsidR="0051585C" w:rsidRPr="00C57412">
        <w:rPr>
          <w:lang w:val="en-US"/>
        </w:rPr>
        <w:t>, 2010</w:t>
      </w:r>
      <w:r w:rsidR="0051585C" w:rsidRPr="00C57412">
        <w:rPr>
          <w:lang w:val="en-GB"/>
        </w:rPr>
        <w:t>)</w:t>
      </w:r>
      <w:r w:rsidR="001D138D" w:rsidRPr="00C57412">
        <w:rPr>
          <w:lang w:val="en-GB"/>
        </w:rPr>
        <w:t>, keeping molecular geometries rigid</w:t>
      </w:r>
      <w:r w:rsidR="009C155B" w:rsidRPr="00C57412">
        <w:rPr>
          <w:lang w:val="en-GB"/>
        </w:rPr>
        <w:t xml:space="preserve">, and using atom-centred distributed multipoles up to hexadecapoles, calculated from the charge density obtained from Gaussian calculations using GDMA 2.2.11 </w:t>
      </w:r>
      <w:r w:rsidR="0051585C" w:rsidRPr="00C57412">
        <w:rPr>
          <w:lang w:val="en-GB"/>
        </w:rPr>
        <w:t>(Stone, 2005)</w:t>
      </w:r>
      <w:r w:rsidR="009C155B" w:rsidRPr="00C57412">
        <w:rPr>
          <w:lang w:val="en-GB"/>
        </w:rPr>
        <w:t>. For repulsion-dispersion interactions</w:t>
      </w:r>
      <w:r w:rsidR="00220E75" w:rsidRPr="00C57412">
        <w:rPr>
          <w:lang w:val="en-GB"/>
        </w:rPr>
        <w:t>, the</w:t>
      </w:r>
      <w:r w:rsidR="009C155B" w:rsidRPr="00C57412">
        <w:rPr>
          <w:lang w:val="en-GB"/>
        </w:rPr>
        <w:t xml:space="preserve"> FIT potential</w:t>
      </w:r>
      <w:r w:rsidR="0051585C" w:rsidRPr="00C57412">
        <w:rPr>
          <w:lang w:val="en-GB"/>
        </w:rPr>
        <w:t xml:space="preserve"> (Coombes </w:t>
      </w:r>
      <w:r w:rsidR="0051585C" w:rsidRPr="00C57412">
        <w:rPr>
          <w:i/>
          <w:lang w:val="en-US"/>
        </w:rPr>
        <w:t>et al.</w:t>
      </w:r>
      <w:r w:rsidR="0051585C" w:rsidRPr="00C57412">
        <w:rPr>
          <w:lang w:val="en-US"/>
        </w:rPr>
        <w:t>, 1996</w:t>
      </w:r>
      <w:r w:rsidR="0051585C" w:rsidRPr="00C57412">
        <w:rPr>
          <w:lang w:val="en-GB"/>
        </w:rPr>
        <w:t>)</w:t>
      </w:r>
      <w:r w:rsidR="009C155B" w:rsidRPr="00C57412">
        <w:rPr>
          <w:lang w:val="en-GB"/>
        </w:rPr>
        <w:t xml:space="preserve"> with a 25</w:t>
      </w:r>
      <w:r w:rsidR="009C155B" w:rsidRPr="00C57412">
        <w:rPr>
          <w:rFonts w:cs="Times New Roman"/>
          <w:lang w:val="en-GB"/>
        </w:rPr>
        <w:t>Å</w:t>
      </w:r>
      <w:r w:rsidR="009C155B" w:rsidRPr="00C57412">
        <w:rPr>
          <w:lang w:val="en-GB"/>
        </w:rPr>
        <w:t xml:space="preserve"> cut-off was used. </w:t>
      </w:r>
      <w:r w:rsidR="001D138D" w:rsidRPr="00C57412">
        <w:rPr>
          <w:lang w:val="en-US"/>
        </w:rPr>
        <w:t>In each of the space groups the calculations were continued until 50000 successfully geometry optimized structures have been found.</w:t>
      </w:r>
      <w:r w:rsidR="009C155B" w:rsidRPr="00C57412">
        <w:rPr>
          <w:lang w:val="en-US"/>
        </w:rPr>
        <w:t xml:space="preserve"> Subsequently, the structures were clustered on the basis of their PXRD pattern, energy and density similarities to remove duplicates.  </w:t>
      </w:r>
    </w:p>
    <w:p w:rsidR="00C82F82" w:rsidRPr="00C57412" w:rsidRDefault="00C82F82" w:rsidP="00C82F82">
      <w:pPr>
        <w:jc w:val="both"/>
        <w:rPr>
          <w:b/>
          <w:i/>
          <w:lang w:val="en-US"/>
        </w:rPr>
      </w:pPr>
      <w:r w:rsidRPr="00C57412">
        <w:rPr>
          <w:b/>
          <w:i/>
          <w:lang w:val="en-US"/>
        </w:rPr>
        <w:t>Solubility measurements</w:t>
      </w:r>
    </w:p>
    <w:p w:rsidR="00A47C7C" w:rsidRPr="00C57412" w:rsidRDefault="00895FD9" w:rsidP="00A47C7C">
      <w:pPr>
        <w:autoSpaceDE w:val="0"/>
        <w:autoSpaceDN w:val="0"/>
        <w:adjustRightInd w:val="0"/>
        <w:spacing w:after="0"/>
        <w:jc w:val="both"/>
        <w:rPr>
          <w:rFonts w:cs="Times New Roman"/>
          <w:szCs w:val="24"/>
          <w:lang w:val="en-US"/>
        </w:rPr>
      </w:pPr>
      <w:r w:rsidRPr="00C57412">
        <w:rPr>
          <w:lang w:val="en-US"/>
        </w:rPr>
        <w:t xml:space="preserve">The concentration of APR for  </w:t>
      </w:r>
      <w:r w:rsidR="00A47C7C" w:rsidRPr="00C57412">
        <w:rPr>
          <w:rFonts w:cs="Times New Roman"/>
          <w:szCs w:val="24"/>
          <w:lang w:val="en-US"/>
        </w:rPr>
        <w:t xml:space="preserve">solubility measurements </w:t>
      </w:r>
      <w:r w:rsidR="00EA379E" w:rsidRPr="00C57412">
        <w:rPr>
          <w:rFonts w:cs="Times New Roman"/>
          <w:szCs w:val="24"/>
          <w:lang w:val="en-US"/>
        </w:rPr>
        <w:t xml:space="preserve">of APR:PIC cocrystals and physical mixture </w:t>
      </w:r>
      <w:r w:rsidR="00A47C7C" w:rsidRPr="00C57412">
        <w:rPr>
          <w:rFonts w:cs="Times New Roman"/>
          <w:szCs w:val="24"/>
          <w:lang w:val="en-US"/>
        </w:rPr>
        <w:t xml:space="preserve">was determined by ACQUITY UPLC I-Class chromatography system coupled with SYNAPT G2-Si mass spectrometer </w:t>
      </w:r>
      <w:r w:rsidR="00A47C7C" w:rsidRPr="00C57412">
        <w:rPr>
          <w:rFonts w:eastAsia="Times New Roman" w:cs="Times New Roman"/>
          <w:szCs w:val="24"/>
          <w:lang w:val="en-GB" w:eastAsia="pl-PL"/>
        </w:rPr>
        <w:t xml:space="preserve">equipped with </w:t>
      </w:r>
      <w:r w:rsidR="00A47C7C" w:rsidRPr="00C57412">
        <w:rPr>
          <w:rFonts w:cs="Times New Roman"/>
          <w:szCs w:val="24"/>
          <w:lang w:val="en-GB"/>
        </w:rPr>
        <w:t xml:space="preserve">an </w:t>
      </w:r>
      <w:r w:rsidR="00A47C7C" w:rsidRPr="00C57412">
        <w:rPr>
          <w:rFonts w:cs="Times New Roman"/>
          <w:szCs w:val="24"/>
          <w:lang w:val="en-US"/>
        </w:rPr>
        <w:t xml:space="preserve">electrospray </w:t>
      </w:r>
      <w:r w:rsidR="00A47C7C" w:rsidRPr="00C57412">
        <w:rPr>
          <w:rFonts w:cs="Times New Roman"/>
          <w:szCs w:val="24"/>
          <w:lang w:val="en-GB"/>
        </w:rPr>
        <w:t xml:space="preserve">source </w:t>
      </w:r>
      <w:r w:rsidR="00A47C7C" w:rsidRPr="00C57412">
        <w:rPr>
          <w:rFonts w:eastAsia="Times New Roman" w:cs="Times New Roman"/>
          <w:szCs w:val="24"/>
          <w:lang w:val="en-GB" w:eastAsia="pl-PL"/>
        </w:rPr>
        <w:t xml:space="preserve">and quadrupole-Time-of-Flight mass analyser </w:t>
      </w:r>
      <w:r w:rsidR="00A47C7C" w:rsidRPr="00C57412">
        <w:rPr>
          <w:rFonts w:cs="Times New Roman"/>
          <w:szCs w:val="24"/>
          <w:lang w:val="en-US"/>
        </w:rPr>
        <w:t>(Waters Corp., Milford, MA, USA). Acquity BEH</w:t>
      </w:r>
      <w:r w:rsidR="00A47C7C" w:rsidRPr="00C57412">
        <w:rPr>
          <w:rFonts w:cs="Times New Roman"/>
          <w:szCs w:val="24"/>
          <w:vertAlign w:val="subscript"/>
          <w:lang w:val="en-US"/>
        </w:rPr>
        <w:t>TM</w:t>
      </w:r>
      <w:r w:rsidR="00A47C7C" w:rsidRPr="00C57412">
        <w:rPr>
          <w:rFonts w:cs="Times New Roman"/>
          <w:szCs w:val="24"/>
          <w:lang w:val="en-US"/>
        </w:rPr>
        <w:t xml:space="preserve"> C18 column (100 × 2.1 mm, 1.7 </w:t>
      </w:r>
      <w:r w:rsidR="00A47C7C" w:rsidRPr="00C57412">
        <w:rPr>
          <w:rFonts w:eastAsia="SymbolMT" w:cs="Times New Roman"/>
          <w:szCs w:val="24"/>
        </w:rPr>
        <w:t>μ</w:t>
      </w:r>
      <w:r w:rsidR="00A47C7C" w:rsidRPr="00C57412">
        <w:rPr>
          <w:rFonts w:cs="Times New Roman"/>
          <w:szCs w:val="24"/>
          <w:lang w:val="en-US"/>
        </w:rPr>
        <w:t>m) maintained at 40°C temperature was used for the chromatographic separation of analyte. A gradient program was employed with</w:t>
      </w:r>
      <w:r w:rsidRPr="00C57412">
        <w:rPr>
          <w:rFonts w:cs="Times New Roman"/>
          <w:szCs w:val="24"/>
          <w:lang w:val="en-US"/>
        </w:rPr>
        <w:t xml:space="preserve"> </w:t>
      </w:r>
      <w:r w:rsidR="00A47C7C" w:rsidRPr="00C57412">
        <w:rPr>
          <w:rFonts w:cs="Times New Roman"/>
          <w:szCs w:val="24"/>
          <w:lang w:val="en-US"/>
        </w:rPr>
        <w:t>the mobile phase, combining solvent A (0.1% formic acid in water) and solvent B (acetonitrile) as follows: 20% B (0–0.1 min), 20–95% B (0.1–2.3 min), 95–95% B (2.3–3.0 min), 95–20% B (3.0–3.1 min) and 20–20% B (3.1–4. min). The flow rate was 0.40 mL/min, and the injection volume was 1 μL.</w:t>
      </w:r>
    </w:p>
    <w:p w:rsidR="00A47C7C" w:rsidRPr="00C57412" w:rsidRDefault="00A47C7C" w:rsidP="00A47C7C">
      <w:pPr>
        <w:autoSpaceDE w:val="0"/>
        <w:autoSpaceDN w:val="0"/>
        <w:adjustRightInd w:val="0"/>
        <w:spacing w:after="0"/>
        <w:jc w:val="both"/>
        <w:rPr>
          <w:rFonts w:cs="Times New Roman"/>
          <w:szCs w:val="24"/>
          <w:lang w:val="en-US"/>
        </w:rPr>
      </w:pPr>
      <w:r w:rsidRPr="00C57412">
        <w:rPr>
          <w:rFonts w:cs="Times New Roman"/>
          <w:szCs w:val="24"/>
          <w:lang w:val="en-US"/>
        </w:rPr>
        <w:t>For mass spectrometric detection the electrospray source was operated in a nega</w:t>
      </w:r>
      <w:r w:rsidR="00895FD9" w:rsidRPr="00C57412">
        <w:rPr>
          <w:rFonts w:cs="Times New Roman"/>
          <w:szCs w:val="24"/>
          <w:lang w:val="en-US"/>
        </w:rPr>
        <w:t>tive</w:t>
      </w:r>
      <w:r w:rsidRPr="00C57412">
        <w:rPr>
          <w:rFonts w:cs="Times New Roman"/>
          <w:szCs w:val="24"/>
          <w:lang w:val="en-US"/>
        </w:rPr>
        <w:t xml:space="preserve"> resolution mode. </w:t>
      </w:r>
      <w:r w:rsidRPr="00C57412">
        <w:rPr>
          <w:lang w:val="en-US"/>
        </w:rPr>
        <w:t>The optimized source parameters were: capillary voltage 2.5 kV, cone voltage 20 V, desolvation gas flow 600</w:t>
      </w:r>
      <w:r w:rsidR="00895FD9" w:rsidRPr="00C57412">
        <w:rPr>
          <w:lang w:val="en-US"/>
        </w:rPr>
        <w:t xml:space="preserve"> L/h with</w:t>
      </w:r>
      <w:r w:rsidRPr="00C57412">
        <w:rPr>
          <w:lang w:val="en-US"/>
        </w:rPr>
        <w:t xml:space="preserve"> temperature 350 °C, nebulizer gas pressure 6.5 bar, </w:t>
      </w:r>
      <w:r w:rsidR="00895FD9" w:rsidRPr="00C57412">
        <w:rPr>
          <w:lang w:val="en-US"/>
        </w:rPr>
        <w:t xml:space="preserve">and </w:t>
      </w:r>
      <w:r w:rsidRPr="00C57412">
        <w:rPr>
          <w:lang w:val="en-US"/>
        </w:rPr>
        <w:t>source temperature 110 °C.</w:t>
      </w:r>
      <w:r w:rsidR="00895FD9" w:rsidRPr="00C57412">
        <w:rPr>
          <w:lang w:val="en-US"/>
        </w:rPr>
        <w:t xml:space="preserve"> </w:t>
      </w:r>
      <w:r w:rsidR="00895FD9" w:rsidRPr="00C57412">
        <w:rPr>
          <w:rFonts w:cs="Times New Roman"/>
          <w:szCs w:val="24"/>
          <w:lang w:val="en-US"/>
        </w:rPr>
        <w:t>Mass spectra were</w:t>
      </w:r>
      <w:r w:rsidRPr="00C57412">
        <w:rPr>
          <w:rFonts w:cs="Times New Roman"/>
          <w:szCs w:val="24"/>
          <w:lang w:val="en-US"/>
        </w:rPr>
        <w:t xml:space="preserve"> recorded over an </w:t>
      </w:r>
      <w:r w:rsidRPr="00C57412">
        <w:rPr>
          <w:rFonts w:cs="Times New Roman"/>
          <w:i/>
          <w:szCs w:val="24"/>
          <w:lang w:val="en-US"/>
        </w:rPr>
        <w:t>m/z</w:t>
      </w:r>
      <w:r w:rsidRPr="00C57412">
        <w:rPr>
          <w:rFonts w:cs="Times New Roman"/>
          <w:szCs w:val="24"/>
          <w:lang w:val="en-US"/>
        </w:rPr>
        <w:t xml:space="preserve"> range of 100 to 1200. </w:t>
      </w:r>
      <w:r w:rsidR="00895FD9" w:rsidRPr="00C57412">
        <w:rPr>
          <w:rFonts w:cs="Times New Roman"/>
          <w:szCs w:val="24"/>
          <w:lang w:val="en-US"/>
        </w:rPr>
        <w:t xml:space="preserve">The system was controlled </w:t>
      </w:r>
      <w:r w:rsidRPr="00C57412">
        <w:rPr>
          <w:rFonts w:cs="Times New Roman"/>
          <w:szCs w:val="24"/>
          <w:lang w:val="en-US"/>
        </w:rPr>
        <w:t xml:space="preserve">using MassLynx software (Version </w:t>
      </w:r>
      <w:r w:rsidR="00895FD9" w:rsidRPr="00C57412">
        <w:rPr>
          <w:rFonts w:cs="Times New Roman"/>
          <w:szCs w:val="24"/>
          <w:lang w:val="en-US"/>
        </w:rPr>
        <w:t>4.1), while</w:t>
      </w:r>
      <w:r w:rsidRPr="00C57412">
        <w:rPr>
          <w:rFonts w:cs="Times New Roman"/>
          <w:szCs w:val="24"/>
          <w:lang w:val="en-US"/>
        </w:rPr>
        <w:t xml:space="preserve"> data processing (</w:t>
      </w:r>
      <w:r w:rsidRPr="00C57412">
        <w:rPr>
          <w:rFonts w:cs="Times New Roman"/>
          <w:lang w:val="en-US"/>
        </w:rPr>
        <w:t>peak area integration, calibration curve)</w:t>
      </w:r>
      <w:r w:rsidRPr="00C57412">
        <w:rPr>
          <w:rFonts w:cs="Times New Roman"/>
          <w:szCs w:val="24"/>
          <w:lang w:val="en-US"/>
        </w:rPr>
        <w:t xml:space="preserve"> was performed by TargetLynxTM program.</w:t>
      </w:r>
    </w:p>
    <w:p w:rsidR="00A47C7C" w:rsidRPr="00C57412" w:rsidRDefault="00A47C7C" w:rsidP="00A47C7C">
      <w:pPr>
        <w:autoSpaceDE w:val="0"/>
        <w:autoSpaceDN w:val="0"/>
        <w:adjustRightInd w:val="0"/>
        <w:spacing w:after="0"/>
        <w:jc w:val="both"/>
        <w:rPr>
          <w:szCs w:val="24"/>
          <w:lang w:val="en-US"/>
        </w:rPr>
      </w:pPr>
      <w:r w:rsidRPr="00C57412">
        <w:rPr>
          <w:rFonts w:cs="Times New Roman"/>
          <w:szCs w:val="24"/>
          <w:lang w:val="en-US"/>
        </w:rPr>
        <w:t xml:space="preserve">The initial stock calibration solution </w:t>
      </w:r>
      <w:r w:rsidR="00895FD9" w:rsidRPr="00C57412">
        <w:rPr>
          <w:rFonts w:cs="Times New Roman"/>
          <w:szCs w:val="24"/>
          <w:lang w:val="en-US"/>
        </w:rPr>
        <w:t>of APR</w:t>
      </w:r>
      <w:r w:rsidRPr="00C57412">
        <w:rPr>
          <w:rFonts w:cs="Times New Roman"/>
          <w:szCs w:val="24"/>
          <w:lang w:val="en-US"/>
        </w:rPr>
        <w:t xml:space="preserve"> was created with a concentration of approximately 10 mg/mL </w:t>
      </w:r>
      <w:r w:rsidR="00895FD9" w:rsidRPr="00C57412">
        <w:rPr>
          <w:rFonts w:cs="Times New Roman"/>
          <w:szCs w:val="24"/>
          <w:lang w:val="en-US"/>
        </w:rPr>
        <w:t xml:space="preserve">of APR </w:t>
      </w:r>
      <w:r w:rsidRPr="00C57412">
        <w:rPr>
          <w:rFonts w:cs="Times New Roman"/>
          <w:szCs w:val="24"/>
          <w:lang w:val="en-US"/>
        </w:rPr>
        <w:t>in acetonitrile.</w:t>
      </w:r>
      <w:r w:rsidR="00895FD9" w:rsidRPr="00C57412">
        <w:rPr>
          <w:rFonts w:cs="Times New Roman"/>
          <w:szCs w:val="24"/>
          <w:lang w:val="en-US"/>
        </w:rPr>
        <w:t xml:space="preserve"> </w:t>
      </w:r>
      <w:r w:rsidRPr="00C57412">
        <w:rPr>
          <w:rFonts w:cs="Times New Roman"/>
          <w:szCs w:val="24"/>
          <w:lang w:val="en-US"/>
        </w:rPr>
        <w:t>The stock solution was serial diluted (with acetonitrile)</w:t>
      </w:r>
      <w:r w:rsidR="00895FD9" w:rsidRPr="00C57412">
        <w:rPr>
          <w:rFonts w:cs="Times New Roman"/>
          <w:szCs w:val="24"/>
          <w:lang w:val="en-US"/>
        </w:rPr>
        <w:t xml:space="preserve"> </w:t>
      </w:r>
      <w:r w:rsidRPr="00C57412">
        <w:rPr>
          <w:rFonts w:cs="Times New Roman"/>
          <w:szCs w:val="24"/>
          <w:lang w:val="en-US"/>
        </w:rPr>
        <w:t>to obtain working solutions at several concentration levels.</w:t>
      </w:r>
      <w:r w:rsidR="00EA379E" w:rsidRPr="00C57412">
        <w:rPr>
          <w:rFonts w:cs="Times New Roman"/>
          <w:szCs w:val="24"/>
          <w:lang w:val="en-US"/>
        </w:rPr>
        <w:t xml:space="preserve"> </w:t>
      </w:r>
      <w:r w:rsidRPr="00C57412">
        <w:rPr>
          <w:szCs w:val="24"/>
          <w:lang w:val="en-US"/>
        </w:rPr>
        <w:t xml:space="preserve">The calibration </w:t>
      </w:r>
      <w:r w:rsidRPr="00C57412">
        <w:rPr>
          <w:szCs w:val="24"/>
          <w:lang w:val="en-US"/>
        </w:rPr>
        <w:lastRenderedPageBreak/>
        <w:t>curves were prepared at six different concentrations of APR solutions and were linear over a concentration range from 10 ng/mL to 2000 ng/mL with a c</w:t>
      </w:r>
      <w:r w:rsidR="00442C10" w:rsidRPr="00C57412">
        <w:rPr>
          <w:szCs w:val="24"/>
          <w:lang w:val="en-US"/>
        </w:rPr>
        <w:t>orrelation coefficient of &gt;0.987</w:t>
      </w:r>
      <w:r w:rsidRPr="00C57412">
        <w:rPr>
          <w:szCs w:val="24"/>
          <w:lang w:val="en-US"/>
        </w:rPr>
        <w:t>.</w:t>
      </w:r>
    </w:p>
    <w:p w:rsidR="00A47C7C" w:rsidRPr="00C57412" w:rsidRDefault="00A47C7C" w:rsidP="00A47C7C">
      <w:pPr>
        <w:autoSpaceDE w:val="0"/>
        <w:autoSpaceDN w:val="0"/>
        <w:adjustRightInd w:val="0"/>
        <w:spacing w:after="0"/>
        <w:jc w:val="both"/>
        <w:rPr>
          <w:szCs w:val="24"/>
          <w:lang w:val="en-US"/>
        </w:rPr>
      </w:pPr>
      <w:r w:rsidRPr="00C57412">
        <w:rPr>
          <w:color w:val="000000" w:themeColor="text1"/>
          <w:lang w:val="en-US"/>
        </w:rPr>
        <w:t>The samples for solubility measurement</w:t>
      </w:r>
      <w:r w:rsidR="00EA379E" w:rsidRPr="00C57412">
        <w:rPr>
          <w:color w:val="000000" w:themeColor="text1"/>
          <w:lang w:val="en-US"/>
        </w:rPr>
        <w:t xml:space="preserve"> </w:t>
      </w:r>
      <w:r w:rsidRPr="00C57412">
        <w:rPr>
          <w:rFonts w:cs="Times New Roman"/>
          <w:color w:val="000000" w:themeColor="text1"/>
          <w:szCs w:val="24"/>
          <w:lang w:val="en-US"/>
        </w:rPr>
        <w:t>were</w:t>
      </w:r>
      <w:r w:rsidR="00EA379E" w:rsidRPr="00C57412">
        <w:rPr>
          <w:rFonts w:cs="Times New Roman"/>
          <w:color w:val="000000" w:themeColor="text1"/>
          <w:szCs w:val="24"/>
          <w:lang w:val="en-US"/>
        </w:rPr>
        <w:t xml:space="preserve"> prepared by dissolving an</w:t>
      </w:r>
      <w:r w:rsidRPr="00C57412">
        <w:rPr>
          <w:rFonts w:cs="Times New Roman"/>
          <w:color w:val="000000" w:themeColor="text1"/>
          <w:szCs w:val="24"/>
          <w:lang w:val="en-US"/>
        </w:rPr>
        <w:t xml:space="preserve"> </w:t>
      </w:r>
      <w:r w:rsidR="00220E75" w:rsidRPr="00C57412">
        <w:rPr>
          <w:rFonts w:cs="Times New Roman"/>
          <w:color w:val="000000" w:themeColor="text1"/>
          <w:szCs w:val="24"/>
          <w:lang w:val="en-US"/>
        </w:rPr>
        <w:t>excess</w:t>
      </w:r>
      <w:r w:rsidRPr="00C57412">
        <w:rPr>
          <w:rFonts w:cs="Times New Roman"/>
          <w:color w:val="000000" w:themeColor="text1"/>
          <w:szCs w:val="24"/>
          <w:lang w:val="en-US"/>
        </w:rPr>
        <w:t xml:space="preserve"> amount of each solid (APR:PIC cocrystals and a </w:t>
      </w:r>
      <w:r w:rsidRPr="00C57412">
        <w:rPr>
          <w:rFonts w:eastAsiaTheme="minorEastAsia"/>
          <w:color w:val="000000" w:themeColor="text1"/>
          <w:lang w:val="en-GB"/>
        </w:rPr>
        <w:t>physical mixture</w:t>
      </w:r>
      <w:r w:rsidR="00EA379E" w:rsidRPr="00C57412">
        <w:rPr>
          <w:rFonts w:eastAsiaTheme="minorEastAsia"/>
          <w:color w:val="000000" w:themeColor="text1"/>
          <w:lang w:val="en-GB"/>
        </w:rPr>
        <w:t xml:space="preserve"> in</w:t>
      </w:r>
      <w:r w:rsidR="00EA379E" w:rsidRPr="00C57412">
        <w:rPr>
          <w:rFonts w:cs="Times New Roman"/>
          <w:szCs w:val="24"/>
          <w:lang w:val="en-US"/>
        </w:rPr>
        <w:t xml:space="preserve"> 1:0.5</w:t>
      </w:r>
      <w:r w:rsidRPr="00C57412">
        <w:rPr>
          <w:rFonts w:cs="Times New Roman"/>
          <w:szCs w:val="24"/>
          <w:lang w:val="en-US"/>
        </w:rPr>
        <w:t xml:space="preserve"> ratio</w:t>
      </w:r>
      <w:r w:rsidRPr="00C57412">
        <w:rPr>
          <w:rFonts w:eastAsiaTheme="minorEastAsia"/>
          <w:color w:val="000000" w:themeColor="text1"/>
          <w:lang w:val="en-GB"/>
        </w:rPr>
        <w:t xml:space="preserve">) </w:t>
      </w:r>
      <w:r w:rsidRPr="00C57412">
        <w:rPr>
          <w:rFonts w:cs="Times New Roman"/>
          <w:color w:val="000000" w:themeColor="text1"/>
          <w:szCs w:val="24"/>
          <w:lang w:val="en-US"/>
        </w:rPr>
        <w:t>in</w:t>
      </w:r>
      <w:r w:rsidRPr="00C57412">
        <w:rPr>
          <w:color w:val="000000" w:themeColor="text1"/>
          <w:lang w:val="en-GB"/>
        </w:rPr>
        <w:t xml:space="preserve"> </w:t>
      </w:r>
      <w:r w:rsidR="00EA379E" w:rsidRPr="00C57412">
        <w:rPr>
          <w:color w:val="000000" w:themeColor="text1"/>
          <w:lang w:val="en-GB"/>
        </w:rPr>
        <w:t>chloroform</w:t>
      </w:r>
      <w:r w:rsidRPr="00C57412">
        <w:rPr>
          <w:color w:val="000000" w:themeColor="text1"/>
          <w:lang w:val="en-GB"/>
        </w:rPr>
        <w:t xml:space="preserve">. The obtained </w:t>
      </w:r>
      <w:r w:rsidRPr="00C57412">
        <w:rPr>
          <w:rFonts w:cs="Times New Roman"/>
          <w:color w:val="000000" w:themeColor="text1"/>
          <w:szCs w:val="24"/>
          <w:lang w:val="en-US"/>
        </w:rPr>
        <w:t>suspensions were</w:t>
      </w:r>
      <w:r w:rsidR="00EA379E" w:rsidRPr="00C57412">
        <w:rPr>
          <w:rFonts w:cs="Times New Roman"/>
          <w:color w:val="000000" w:themeColor="text1"/>
          <w:szCs w:val="24"/>
          <w:lang w:val="en-US"/>
        </w:rPr>
        <w:t xml:space="preserve"> stirred </w:t>
      </w:r>
      <w:r w:rsidRPr="00C57412">
        <w:rPr>
          <w:rFonts w:cs="Times New Roman"/>
          <w:color w:val="000000" w:themeColor="text1"/>
          <w:szCs w:val="24"/>
          <w:lang w:val="en-US"/>
        </w:rPr>
        <w:t xml:space="preserve">at </w:t>
      </w:r>
      <w:r w:rsidR="00EA379E" w:rsidRPr="00C57412">
        <w:rPr>
          <w:rFonts w:cs="Times New Roman"/>
          <w:color w:val="000000" w:themeColor="text1"/>
          <w:szCs w:val="24"/>
          <w:lang w:val="en-US"/>
        </w:rPr>
        <w:t>2</w:t>
      </w:r>
      <w:r w:rsidRPr="00C57412">
        <w:rPr>
          <w:rFonts w:cs="Times New Roman"/>
          <w:color w:val="000000" w:themeColor="text1"/>
          <w:szCs w:val="24"/>
          <w:lang w:val="en-US"/>
        </w:rPr>
        <w:t>5 °C for 24 hours.</w:t>
      </w:r>
      <w:r w:rsidRPr="00C57412">
        <w:rPr>
          <w:rFonts w:cs="Times New Roman"/>
          <w:szCs w:val="24"/>
          <w:lang w:val="en-US"/>
        </w:rPr>
        <w:t xml:space="preserve"> After filtrations through a 0.22 </w:t>
      </w:r>
      <w:r w:rsidRPr="00C57412">
        <w:rPr>
          <w:rFonts w:cs="Times New Roman"/>
          <w:szCs w:val="24"/>
        </w:rPr>
        <w:t>μ</w:t>
      </w:r>
      <w:r w:rsidRPr="00C57412">
        <w:rPr>
          <w:rFonts w:cs="Times New Roman"/>
          <w:szCs w:val="24"/>
          <w:lang w:val="en-US"/>
        </w:rPr>
        <w:t>m PTFE syringe filter</w:t>
      </w:r>
      <w:r w:rsidR="00EA379E" w:rsidRPr="00C57412">
        <w:rPr>
          <w:rFonts w:cs="Times New Roman"/>
          <w:szCs w:val="24"/>
          <w:lang w:val="en-US"/>
        </w:rPr>
        <w:t xml:space="preserve"> </w:t>
      </w:r>
      <w:r w:rsidRPr="00C57412">
        <w:rPr>
          <w:rFonts w:cs="Times New Roman"/>
          <w:szCs w:val="24"/>
          <w:lang w:val="en-US"/>
        </w:rPr>
        <w:t>the filtrates</w:t>
      </w:r>
      <w:r w:rsidR="00EA379E" w:rsidRPr="00C57412">
        <w:rPr>
          <w:rFonts w:cs="Times New Roman"/>
          <w:szCs w:val="24"/>
          <w:lang w:val="en-US"/>
        </w:rPr>
        <w:t xml:space="preserve"> </w:t>
      </w:r>
      <w:r w:rsidRPr="00C57412">
        <w:rPr>
          <w:rFonts w:cs="Times New Roman"/>
          <w:szCs w:val="24"/>
          <w:lang w:val="en-US"/>
        </w:rPr>
        <w:t>were diluted with acetonitrile to obtain</w:t>
      </w:r>
      <w:r w:rsidR="00EA379E" w:rsidRPr="00C57412">
        <w:rPr>
          <w:rFonts w:cs="Times New Roman"/>
          <w:szCs w:val="24"/>
          <w:lang w:val="en-US"/>
        </w:rPr>
        <w:t xml:space="preserve"> </w:t>
      </w:r>
      <w:r w:rsidRPr="00C57412">
        <w:rPr>
          <w:rFonts w:cs="Times New Roman"/>
          <w:szCs w:val="24"/>
          <w:lang w:val="en-US"/>
        </w:rPr>
        <w:t>appropriate concentration of solution (in the range of UPLC-MS calibration</w:t>
      </w:r>
      <w:r w:rsidRPr="00C57412">
        <w:rPr>
          <w:sz w:val="22"/>
          <w:lang w:val="en-US"/>
        </w:rPr>
        <w:t>).</w:t>
      </w:r>
      <w:r w:rsidR="00EA379E" w:rsidRPr="00C57412">
        <w:rPr>
          <w:sz w:val="22"/>
          <w:lang w:val="en-US"/>
        </w:rPr>
        <w:t xml:space="preserve"> The d</w:t>
      </w:r>
      <w:r w:rsidRPr="00C57412">
        <w:rPr>
          <w:rFonts w:cs="Times New Roman"/>
          <w:szCs w:val="24"/>
          <w:lang w:val="en-US"/>
        </w:rPr>
        <w:t>etermined concentrations of APR were</w:t>
      </w:r>
      <w:r w:rsidR="00EA379E" w:rsidRPr="00C57412">
        <w:rPr>
          <w:rFonts w:cs="Times New Roman"/>
          <w:szCs w:val="24"/>
          <w:lang w:val="en-US"/>
        </w:rPr>
        <w:t xml:space="preserve"> </w:t>
      </w:r>
      <w:r w:rsidRPr="00C57412">
        <w:rPr>
          <w:rFonts w:cs="Times New Roman"/>
          <w:szCs w:val="24"/>
          <w:lang w:val="en-US"/>
        </w:rPr>
        <w:t xml:space="preserve">reported as the average </w:t>
      </w:r>
      <w:r w:rsidR="00EA379E" w:rsidRPr="00C57412">
        <w:rPr>
          <w:rFonts w:cs="Times New Roman"/>
          <w:szCs w:val="24"/>
          <w:lang w:val="en-US"/>
        </w:rPr>
        <w:t xml:space="preserve">of </w:t>
      </w:r>
      <w:r w:rsidRPr="00C57412">
        <w:rPr>
          <w:rFonts w:cs="Times New Roman"/>
          <w:szCs w:val="24"/>
          <w:lang w:val="en-US"/>
        </w:rPr>
        <w:t>two replicated experiments</w:t>
      </w:r>
      <w:r w:rsidR="00EA379E" w:rsidRPr="00C57412">
        <w:rPr>
          <w:rFonts w:cs="Times New Roman"/>
          <w:szCs w:val="24"/>
          <w:lang w:val="en-US"/>
        </w:rPr>
        <w:t xml:space="preserve"> for </w:t>
      </w:r>
      <w:r w:rsidRPr="00C57412">
        <w:rPr>
          <w:rFonts w:cs="Times New Roman"/>
          <w:szCs w:val="24"/>
          <w:lang w:val="en-US"/>
        </w:rPr>
        <w:t>each samp</w:t>
      </w:r>
      <w:r w:rsidR="00EA379E" w:rsidRPr="00C57412">
        <w:rPr>
          <w:rFonts w:cs="Times New Roman"/>
          <w:szCs w:val="24"/>
          <w:lang w:val="en-US"/>
        </w:rPr>
        <w:t>le</w:t>
      </w:r>
      <w:r w:rsidRPr="00C57412">
        <w:rPr>
          <w:rFonts w:cs="Times New Roman"/>
          <w:szCs w:val="24"/>
          <w:lang w:val="en-US"/>
        </w:rPr>
        <w:t xml:space="preserve"> of APR:PIC cocrystals</w:t>
      </w:r>
      <w:r w:rsidR="00EA379E" w:rsidRPr="00C57412">
        <w:rPr>
          <w:rFonts w:cs="Times New Roman"/>
          <w:szCs w:val="24"/>
          <w:lang w:val="en-US"/>
        </w:rPr>
        <w:t xml:space="preserve"> </w:t>
      </w:r>
      <w:r w:rsidRPr="00C57412">
        <w:rPr>
          <w:rFonts w:eastAsiaTheme="minorEastAsia"/>
          <w:lang w:val="en-GB"/>
        </w:rPr>
        <w:t xml:space="preserve">and physical mixture and three </w:t>
      </w:r>
      <w:r w:rsidRPr="00C57412">
        <w:rPr>
          <w:szCs w:val="24"/>
          <w:lang w:val="en-US"/>
        </w:rPr>
        <w:t>calibration curves.</w:t>
      </w:r>
    </w:p>
    <w:p w:rsidR="00243429" w:rsidRPr="00C57412" w:rsidRDefault="00243429" w:rsidP="00A47C7C">
      <w:pPr>
        <w:autoSpaceDE w:val="0"/>
        <w:autoSpaceDN w:val="0"/>
        <w:adjustRightInd w:val="0"/>
        <w:spacing w:after="0"/>
        <w:jc w:val="both"/>
        <w:rPr>
          <w:szCs w:val="24"/>
          <w:lang w:val="en-US"/>
        </w:rPr>
      </w:pPr>
    </w:p>
    <w:p w:rsidR="00F26C77" w:rsidRPr="00C57412" w:rsidRDefault="00F26C77">
      <w:pPr>
        <w:rPr>
          <w:b/>
          <w:lang w:val="en-US"/>
        </w:rPr>
      </w:pPr>
      <w:r w:rsidRPr="00C57412">
        <w:rPr>
          <w:b/>
          <w:lang w:val="en-US"/>
        </w:rPr>
        <w:t>Results and Discussion.</w:t>
      </w:r>
    </w:p>
    <w:p w:rsidR="00F26C77" w:rsidRPr="00C57412" w:rsidRDefault="00B42F8D">
      <w:pPr>
        <w:rPr>
          <w:i/>
          <w:lang w:val="en-US"/>
        </w:rPr>
      </w:pPr>
      <w:r w:rsidRPr="00C57412">
        <w:rPr>
          <w:i/>
          <w:lang w:val="en-US"/>
        </w:rPr>
        <w:t xml:space="preserve">1) </w:t>
      </w:r>
      <w:r w:rsidR="007B74A0" w:rsidRPr="00C57412">
        <w:rPr>
          <w:i/>
          <w:lang w:val="en-US"/>
        </w:rPr>
        <w:t>S</w:t>
      </w:r>
      <w:r w:rsidRPr="00C57412">
        <w:rPr>
          <w:i/>
          <w:lang w:val="en-US"/>
        </w:rPr>
        <w:t xml:space="preserve">tructural characterization of </w:t>
      </w:r>
      <w:r w:rsidR="00641635" w:rsidRPr="00C57412">
        <w:rPr>
          <w:i/>
          <w:lang w:val="en-US"/>
        </w:rPr>
        <w:t xml:space="preserve">pure </w:t>
      </w:r>
      <w:r w:rsidRPr="00C57412">
        <w:rPr>
          <w:i/>
          <w:lang w:val="en-US"/>
        </w:rPr>
        <w:t>APR</w:t>
      </w:r>
      <w:r w:rsidR="00F26C77" w:rsidRPr="00C57412">
        <w:rPr>
          <w:i/>
          <w:lang w:val="en-US"/>
        </w:rPr>
        <w:t xml:space="preserve"> </w:t>
      </w:r>
      <w:r w:rsidR="00641635" w:rsidRPr="00C57412">
        <w:rPr>
          <w:i/>
          <w:lang w:val="en-US"/>
        </w:rPr>
        <w:t>and pure coformers</w:t>
      </w:r>
      <w:r w:rsidRPr="00C57412">
        <w:rPr>
          <w:i/>
          <w:lang w:val="en-US"/>
        </w:rPr>
        <w:t>.</w:t>
      </w:r>
      <w:r w:rsidR="00A43470" w:rsidRPr="00C57412">
        <w:rPr>
          <w:i/>
          <w:lang w:val="en-US"/>
        </w:rPr>
        <w:t xml:space="preserve"> </w:t>
      </w:r>
    </w:p>
    <w:p w:rsidR="007A2BAD" w:rsidRPr="00C57412" w:rsidRDefault="007A2BAD" w:rsidP="007A2BAD">
      <w:pPr>
        <w:spacing w:after="0"/>
        <w:ind w:firstLine="567"/>
        <w:jc w:val="both"/>
        <w:rPr>
          <w:lang w:val="en-US"/>
        </w:rPr>
      </w:pPr>
      <w:r w:rsidRPr="00C57412">
        <w:rPr>
          <w:lang w:val="en-US"/>
        </w:rPr>
        <w:t xml:space="preserve">A first step to the understanding of cocrystals formation is the analysis of pure crystalline forms of both components. However, in the case of APR no pure crystal structure is available in </w:t>
      </w:r>
      <w:r w:rsidR="0023599E" w:rsidRPr="00C57412">
        <w:rPr>
          <w:lang w:val="en-US"/>
        </w:rPr>
        <w:t xml:space="preserve">the CSD </w:t>
      </w:r>
      <w:r w:rsidR="0023599E" w:rsidRPr="00C57412">
        <w:rPr>
          <w:szCs w:val="24"/>
          <w:lang w:val="en-US"/>
        </w:rPr>
        <w:t>database</w:t>
      </w:r>
      <w:r w:rsidRPr="00C57412">
        <w:rPr>
          <w:szCs w:val="24"/>
          <w:lang w:val="en-US"/>
        </w:rPr>
        <w:t xml:space="preserve">, but the patent literature indicates that APR can form at least </w:t>
      </w:r>
      <w:r w:rsidR="00AF56D8" w:rsidRPr="00C57412">
        <w:rPr>
          <w:szCs w:val="24"/>
          <w:lang w:val="en-US"/>
        </w:rPr>
        <w:t>5</w:t>
      </w:r>
      <w:r w:rsidRPr="00C57412">
        <w:rPr>
          <w:szCs w:val="24"/>
          <w:lang w:val="en-US"/>
        </w:rPr>
        <w:t xml:space="preserve"> pure crystal</w:t>
      </w:r>
      <w:r w:rsidR="00625A6D" w:rsidRPr="00C57412">
        <w:rPr>
          <w:szCs w:val="24"/>
          <w:lang w:val="en-US"/>
        </w:rPr>
        <w:t>line</w:t>
      </w:r>
      <w:r w:rsidRPr="00C57412">
        <w:rPr>
          <w:szCs w:val="24"/>
          <w:lang w:val="en-US"/>
        </w:rPr>
        <w:t xml:space="preserve"> structures</w:t>
      </w:r>
      <w:r w:rsidR="0051585C" w:rsidRPr="00C57412">
        <w:rPr>
          <w:szCs w:val="24"/>
          <w:lang w:val="en-US"/>
        </w:rPr>
        <w:t xml:space="preserve"> (p</w:t>
      </w:r>
      <w:r w:rsidR="0051585C" w:rsidRPr="00C57412">
        <w:rPr>
          <w:rFonts w:cs="Times New Roman"/>
          <w:szCs w:val="24"/>
          <w:lang w:val="en-US"/>
        </w:rPr>
        <w:t>atents no. US9850205B2, 2017;</w:t>
      </w:r>
      <w:r w:rsidR="0051585C" w:rsidRPr="00C57412">
        <w:rPr>
          <w:rFonts w:cs="Times New Roman"/>
          <w:b/>
          <w:szCs w:val="24"/>
          <w:lang w:val="en-US"/>
        </w:rPr>
        <w:t xml:space="preserve"> </w:t>
      </w:r>
      <w:r w:rsidR="0051585C" w:rsidRPr="00C57412">
        <w:rPr>
          <w:rFonts w:cs="Times New Roman"/>
          <w:szCs w:val="24"/>
          <w:lang w:val="en-US"/>
        </w:rPr>
        <w:t>EP3339292A1, 2018</w:t>
      </w:r>
      <w:r w:rsidR="0051585C" w:rsidRPr="00C57412">
        <w:rPr>
          <w:szCs w:val="24"/>
          <w:lang w:val="en-US"/>
        </w:rPr>
        <w:t xml:space="preserve">; </w:t>
      </w:r>
      <w:r w:rsidR="0051585C" w:rsidRPr="00C57412">
        <w:rPr>
          <w:rFonts w:cs="Times New Roman"/>
          <w:szCs w:val="24"/>
          <w:lang w:val="en-US"/>
        </w:rPr>
        <w:t>WO2009/120167A1, 2009</w:t>
      </w:r>
      <w:r w:rsidR="0051585C" w:rsidRPr="00C57412">
        <w:rPr>
          <w:szCs w:val="24"/>
          <w:lang w:val="en-US"/>
        </w:rPr>
        <w:t xml:space="preserve">; </w:t>
      </w:r>
      <w:r w:rsidR="0051585C" w:rsidRPr="00C57412">
        <w:rPr>
          <w:rFonts w:cs="Times New Roman"/>
          <w:szCs w:val="24"/>
          <w:lang w:val="en-US"/>
        </w:rPr>
        <w:t>WO2017/196192A1, 2017</w:t>
      </w:r>
      <w:r w:rsidR="0051585C" w:rsidRPr="00C57412">
        <w:rPr>
          <w:szCs w:val="24"/>
          <w:lang w:val="en-US"/>
        </w:rPr>
        <w:t>)</w:t>
      </w:r>
      <w:r w:rsidR="0023599E" w:rsidRPr="00C57412">
        <w:rPr>
          <w:szCs w:val="24"/>
          <w:lang w:val="en-US"/>
        </w:rPr>
        <w:t>. Due to the fact, that in this work commercially available form B of APR has been used</w:t>
      </w:r>
      <w:r w:rsidR="0023599E" w:rsidRPr="00C57412">
        <w:rPr>
          <w:lang w:val="en-US"/>
        </w:rPr>
        <w:t xml:space="preserve"> in the </w:t>
      </w:r>
      <w:r w:rsidRPr="00C57412">
        <w:rPr>
          <w:lang w:val="en-US"/>
        </w:rPr>
        <w:t>co-</w:t>
      </w:r>
      <w:r w:rsidR="0023599E" w:rsidRPr="00C57412">
        <w:rPr>
          <w:lang w:val="en-US"/>
        </w:rPr>
        <w:t>crystallization experiments, and that it is regarded as the most thermodynamically stable form, we decided to put an extra effort to crystallize and solve its crystal structure.</w:t>
      </w:r>
    </w:p>
    <w:p w:rsidR="0023599E" w:rsidRPr="00C57412" w:rsidRDefault="00B0399B" w:rsidP="007A2BAD">
      <w:pPr>
        <w:spacing w:after="0"/>
        <w:ind w:firstLine="567"/>
        <w:jc w:val="both"/>
        <w:rPr>
          <w:lang w:val="en-US"/>
        </w:rPr>
      </w:pPr>
      <w:r w:rsidRPr="00C57412">
        <w:rPr>
          <w:lang w:val="en-US"/>
        </w:rPr>
        <w:t xml:space="preserve">Apremilast was crystallized from acetone by slow solvent evaporation to form </w:t>
      </w:r>
      <w:r w:rsidR="00CD5EA8" w:rsidRPr="00C57412">
        <w:rPr>
          <w:lang w:val="en-US"/>
        </w:rPr>
        <w:t>needle</w:t>
      </w:r>
      <w:r w:rsidRPr="00C57412">
        <w:rPr>
          <w:lang w:val="en-US"/>
        </w:rPr>
        <w:t xml:space="preserve">-like (rod-like) crystals of monoclinic system with space group </w:t>
      </w:r>
      <w:r w:rsidRPr="00C57412">
        <w:rPr>
          <w:i/>
          <w:lang w:val="en-US"/>
        </w:rPr>
        <w:t>P</w:t>
      </w:r>
      <w:r w:rsidRPr="00C57412">
        <w:rPr>
          <w:lang w:val="en-US"/>
        </w:rPr>
        <w:t>2</w:t>
      </w:r>
      <w:r w:rsidRPr="00C57412">
        <w:rPr>
          <w:vertAlign w:val="subscript"/>
          <w:lang w:val="en-US"/>
        </w:rPr>
        <w:t>1</w:t>
      </w:r>
      <w:r w:rsidRPr="00C57412">
        <w:rPr>
          <w:lang w:val="en-US"/>
        </w:rPr>
        <w:t xml:space="preserve">. The </w:t>
      </w:r>
      <w:r w:rsidR="00D0083B" w:rsidRPr="00C57412">
        <w:rPr>
          <w:lang w:val="en-US"/>
        </w:rPr>
        <w:t>asymmetric</w:t>
      </w:r>
      <w:r w:rsidRPr="00C57412">
        <w:rPr>
          <w:lang w:val="en-US"/>
        </w:rPr>
        <w:t xml:space="preserve"> unit of this crystal form contains four apremilast molecules which are assembled in two dimers. The main interactions responsible for this dimer creation are π stacking interactions of the substituted phenyl ring, with both dimers having similar architecture. </w:t>
      </w:r>
      <w:r w:rsidR="00905508" w:rsidRPr="00C57412">
        <w:rPr>
          <w:lang w:val="en-US"/>
        </w:rPr>
        <w:t>Interesti</w:t>
      </w:r>
      <w:r w:rsidR="007A2BAD" w:rsidRPr="00C57412">
        <w:rPr>
          <w:lang w:val="en-US"/>
        </w:rPr>
        <w:t xml:space="preserve">ngly, in the solid-state NMR spectra of this form, </w:t>
      </w:r>
      <w:r w:rsidR="00905508" w:rsidRPr="00C57412">
        <w:rPr>
          <w:lang w:val="en-US"/>
        </w:rPr>
        <w:t xml:space="preserve">only </w:t>
      </w:r>
      <w:r w:rsidR="00B1296B" w:rsidRPr="00C57412">
        <w:rPr>
          <w:lang w:val="en-US"/>
        </w:rPr>
        <w:t xml:space="preserve">two </w:t>
      </w:r>
      <w:r w:rsidR="00625A6D" w:rsidRPr="00C57412">
        <w:rPr>
          <w:lang w:val="en-US"/>
        </w:rPr>
        <w:t>to</w:t>
      </w:r>
      <w:r w:rsidR="00B1296B" w:rsidRPr="00C57412">
        <w:rPr>
          <w:lang w:val="en-US"/>
        </w:rPr>
        <w:t xml:space="preserve"> </w:t>
      </w:r>
      <w:r w:rsidR="00905508" w:rsidRPr="00C57412">
        <w:rPr>
          <w:lang w:val="en-US"/>
        </w:rPr>
        <w:t>three</w:t>
      </w:r>
      <w:r w:rsidR="007A2BAD" w:rsidRPr="00C57412">
        <w:rPr>
          <w:lang w:val="en-US"/>
        </w:rPr>
        <w:t xml:space="preserve"> sets of resonances are clearly distinguishable </w:t>
      </w:r>
      <w:r w:rsidR="00905508" w:rsidRPr="00C57412">
        <w:rPr>
          <w:lang w:val="en-US"/>
        </w:rPr>
        <w:t xml:space="preserve">for most sites, with many </w:t>
      </w:r>
      <w:r w:rsidR="00905508" w:rsidRPr="00C57412">
        <w:rPr>
          <w:vertAlign w:val="superscript"/>
          <w:lang w:val="en-US"/>
        </w:rPr>
        <w:t>1</w:t>
      </w:r>
      <w:r w:rsidR="00905508" w:rsidRPr="00C57412">
        <w:rPr>
          <w:lang w:val="en-US"/>
        </w:rPr>
        <w:t xml:space="preserve">H, </w:t>
      </w:r>
      <w:r w:rsidR="00905508" w:rsidRPr="00C57412">
        <w:rPr>
          <w:vertAlign w:val="superscript"/>
          <w:lang w:val="en-US"/>
        </w:rPr>
        <w:t>13</w:t>
      </w:r>
      <w:r w:rsidR="00905508" w:rsidRPr="00C57412">
        <w:rPr>
          <w:lang w:val="en-US"/>
        </w:rPr>
        <w:t xml:space="preserve">C and </w:t>
      </w:r>
      <w:r w:rsidR="00905508" w:rsidRPr="00C57412">
        <w:rPr>
          <w:vertAlign w:val="superscript"/>
          <w:lang w:val="en-US"/>
        </w:rPr>
        <w:t>15</w:t>
      </w:r>
      <w:r w:rsidR="00905508" w:rsidRPr="00C57412">
        <w:rPr>
          <w:lang w:val="en-US"/>
        </w:rPr>
        <w:t xml:space="preserve">N nuclei from corresponding sites in not symmetry-related molecules resonating at exactly the same frequencies </w:t>
      </w:r>
      <w:r w:rsidR="007A2BAD" w:rsidRPr="00C57412">
        <w:rPr>
          <w:lang w:val="en-US"/>
        </w:rPr>
        <w:t xml:space="preserve">(Figure 2). This is due to the </w:t>
      </w:r>
      <w:r w:rsidRPr="00C57412">
        <w:rPr>
          <w:lang w:val="en-US"/>
        </w:rPr>
        <w:t xml:space="preserve">presence of the </w:t>
      </w:r>
      <w:r w:rsidR="00220E75" w:rsidRPr="00C57412">
        <w:rPr>
          <w:lang w:val="en-US"/>
        </w:rPr>
        <w:t>previously</w:t>
      </w:r>
      <w:r w:rsidRPr="00C57412">
        <w:rPr>
          <w:lang w:val="en-US"/>
        </w:rPr>
        <w:t xml:space="preserve"> mentioned dimers, each having </w:t>
      </w:r>
      <w:r w:rsidR="007A2BAD" w:rsidRPr="00C57412">
        <w:rPr>
          <w:lang w:val="en-US"/>
        </w:rPr>
        <w:t>v</w:t>
      </w:r>
      <w:r w:rsidR="002E6B1B" w:rsidRPr="00C57412">
        <w:rPr>
          <w:lang w:val="en-US"/>
        </w:rPr>
        <w:t>ery similar conformers of APR,</w:t>
      </w:r>
      <w:r w:rsidR="00CA5A95" w:rsidRPr="00C57412">
        <w:rPr>
          <w:lang w:val="en-US"/>
        </w:rPr>
        <w:t xml:space="preserve"> with the molecular overlay RMSD for each pair being equal to 0.353 and 0.315</w:t>
      </w:r>
      <w:r w:rsidR="00220E75" w:rsidRPr="00C57412">
        <w:rPr>
          <w:lang w:val="en-US"/>
        </w:rPr>
        <w:t xml:space="preserve"> </w:t>
      </w:r>
      <w:r w:rsidR="00220E75" w:rsidRPr="00C57412">
        <w:rPr>
          <w:rFonts w:cs="Times New Roman"/>
          <w:lang w:val="en-US"/>
        </w:rPr>
        <w:t>Å</w:t>
      </w:r>
      <w:r w:rsidR="00CA5A95" w:rsidRPr="00C57412">
        <w:rPr>
          <w:lang w:val="en-US"/>
        </w:rPr>
        <w:t>, respectively.</w:t>
      </w:r>
      <w:r w:rsidR="002E6B1B" w:rsidRPr="00C57412">
        <w:rPr>
          <w:lang w:val="en-US"/>
        </w:rPr>
        <w:t xml:space="preserve"> </w:t>
      </w:r>
      <w:r w:rsidR="0042715E" w:rsidRPr="00C57412">
        <w:rPr>
          <w:lang w:val="en-US"/>
        </w:rPr>
        <w:t xml:space="preserve">These two </w:t>
      </w:r>
      <w:r w:rsidRPr="00C57412">
        <w:rPr>
          <w:lang w:val="en-US"/>
        </w:rPr>
        <w:t>dimers</w:t>
      </w:r>
      <w:r w:rsidR="0042715E" w:rsidRPr="00C57412">
        <w:rPr>
          <w:lang w:val="en-US"/>
        </w:rPr>
        <w:t xml:space="preserve"> interact in a crystal mainly within themselves, forming layers held together </w:t>
      </w:r>
      <w:r w:rsidR="0042715E" w:rsidRPr="00C57412">
        <w:rPr>
          <w:i/>
          <w:lang w:val="en-US"/>
        </w:rPr>
        <w:t>via</w:t>
      </w:r>
      <w:r w:rsidR="0042715E" w:rsidRPr="00C57412">
        <w:rPr>
          <w:lang w:val="en-US"/>
        </w:rPr>
        <w:t xml:space="preserve"> aromatic</w:t>
      </w:r>
      <w:r w:rsidR="003D3026" w:rsidRPr="00C57412">
        <w:rPr>
          <w:lang w:val="en-US"/>
        </w:rPr>
        <w:t xml:space="preserve"> – </w:t>
      </w:r>
      <w:r w:rsidR="0042715E" w:rsidRPr="00C57412">
        <w:rPr>
          <w:lang w:val="en-US"/>
        </w:rPr>
        <w:t>aromatic interactions</w:t>
      </w:r>
      <w:r w:rsidR="00CA5A95" w:rsidRPr="00C57412">
        <w:rPr>
          <w:lang w:val="en-US"/>
        </w:rPr>
        <w:t>, while the interlayer interactions are mainly those between CH</w:t>
      </w:r>
      <w:r w:rsidR="00CA5A95" w:rsidRPr="00C57412">
        <w:rPr>
          <w:vertAlign w:val="subscript"/>
          <w:lang w:val="en-US"/>
        </w:rPr>
        <w:t>3</w:t>
      </w:r>
      <w:r w:rsidR="00CA5A95" w:rsidRPr="00C57412">
        <w:rPr>
          <w:lang w:val="en-US"/>
        </w:rPr>
        <w:t>-</w:t>
      </w:r>
      <w:r w:rsidR="0043435D" w:rsidRPr="00C57412">
        <w:rPr>
          <w:lang w:val="en-US"/>
        </w:rPr>
        <w:t>C</w:t>
      </w:r>
      <w:r w:rsidR="00CA5A95" w:rsidRPr="00C57412">
        <w:rPr>
          <w:lang w:val="en-US"/>
        </w:rPr>
        <w:t>=</w:t>
      </w:r>
      <w:r w:rsidR="0043435D" w:rsidRPr="00C57412">
        <w:rPr>
          <w:lang w:val="en-US"/>
        </w:rPr>
        <w:t>O</w:t>
      </w:r>
      <w:r w:rsidR="00CA5A95" w:rsidRPr="00C57412">
        <w:rPr>
          <w:lang w:val="en-US"/>
        </w:rPr>
        <w:t xml:space="preserve"> and CH</w:t>
      </w:r>
      <w:r w:rsidR="00CA5A95" w:rsidRPr="00C57412">
        <w:rPr>
          <w:vertAlign w:val="subscript"/>
          <w:lang w:val="en-US"/>
        </w:rPr>
        <w:t>3</w:t>
      </w:r>
      <w:r w:rsidR="00CA5A95" w:rsidRPr="00C57412">
        <w:rPr>
          <w:lang w:val="en-US"/>
        </w:rPr>
        <w:t>-CH</w:t>
      </w:r>
      <w:r w:rsidR="00CA5A95" w:rsidRPr="00C57412">
        <w:rPr>
          <w:vertAlign w:val="subscript"/>
          <w:lang w:val="en-US"/>
        </w:rPr>
        <w:t>3</w:t>
      </w:r>
      <w:r w:rsidR="00CA5A95" w:rsidRPr="00C57412">
        <w:rPr>
          <w:lang w:val="en-US"/>
        </w:rPr>
        <w:t xml:space="preserve"> groups (Figure 2)</w:t>
      </w:r>
      <w:r w:rsidR="0042715E" w:rsidRPr="00C57412">
        <w:rPr>
          <w:lang w:val="en-US"/>
        </w:rPr>
        <w:t xml:space="preserve">. </w:t>
      </w:r>
      <w:r w:rsidR="00CA5A95" w:rsidRPr="00C57412">
        <w:rPr>
          <w:lang w:val="en-US"/>
        </w:rPr>
        <w:t xml:space="preserve">Such close resemblance of the four </w:t>
      </w:r>
      <w:r w:rsidR="00CA5A95" w:rsidRPr="00C57412">
        <w:rPr>
          <w:lang w:val="en-US"/>
        </w:rPr>
        <w:lastRenderedPageBreak/>
        <w:t>symmetry-unrelated molecules results in</w:t>
      </w:r>
      <w:r w:rsidR="003225FC" w:rsidRPr="00C57412">
        <w:rPr>
          <w:lang w:val="en-US"/>
        </w:rPr>
        <w:t xml:space="preserve"> poor resolution of the </w:t>
      </w:r>
      <w:r w:rsidR="003225FC" w:rsidRPr="00C57412">
        <w:rPr>
          <w:vertAlign w:val="superscript"/>
          <w:lang w:val="en-US"/>
        </w:rPr>
        <w:t>1</w:t>
      </w:r>
      <w:r w:rsidR="003225FC" w:rsidRPr="00C57412">
        <w:rPr>
          <w:lang w:val="en-US"/>
        </w:rPr>
        <w:t>H MAS NMR spectrum with broad signals due to their mutual overlap, as well as in</w:t>
      </w:r>
      <w:r w:rsidR="00CA5A95" w:rsidRPr="00C57412">
        <w:rPr>
          <w:lang w:val="en-US"/>
        </w:rPr>
        <w:t xml:space="preserve"> serious difficulties in the </w:t>
      </w:r>
      <w:r w:rsidR="00CA5A95" w:rsidRPr="00C57412">
        <w:rPr>
          <w:vertAlign w:val="superscript"/>
          <w:lang w:val="en-US"/>
        </w:rPr>
        <w:t>1</w:t>
      </w:r>
      <w:r w:rsidR="00CA5A95" w:rsidRPr="00C57412">
        <w:rPr>
          <w:lang w:val="en-US"/>
        </w:rPr>
        <w:t xml:space="preserve">H and </w:t>
      </w:r>
      <w:r w:rsidR="00CA5A95" w:rsidRPr="00C57412">
        <w:rPr>
          <w:vertAlign w:val="superscript"/>
          <w:lang w:val="en-US"/>
        </w:rPr>
        <w:t>13</w:t>
      </w:r>
      <w:r w:rsidR="00CA5A95" w:rsidRPr="00C57412">
        <w:rPr>
          <w:lang w:val="en-US"/>
        </w:rPr>
        <w:t>C resonances assignments to respective molecules, despite registering the spectra under very fast MAS cond</w:t>
      </w:r>
      <w:r w:rsidR="003225FC" w:rsidRPr="00C57412">
        <w:rPr>
          <w:lang w:val="en-US"/>
        </w:rPr>
        <w:t>i</w:t>
      </w:r>
      <w:r w:rsidR="00CA5A95" w:rsidRPr="00C57412">
        <w:rPr>
          <w:lang w:val="en-US"/>
        </w:rPr>
        <w:t>tions (that is with the spinning speed of 60 kHz)</w:t>
      </w:r>
      <w:r w:rsidR="003225FC" w:rsidRPr="00C57412">
        <w:rPr>
          <w:lang w:val="en-US"/>
        </w:rPr>
        <w:t xml:space="preserve">. Here, to do the exact assignment, NMR calculations under periodic boundary conditions were necessary. The assigned resonances, together with </w:t>
      </w:r>
      <w:r w:rsidR="003225FC" w:rsidRPr="00C57412">
        <w:rPr>
          <w:vertAlign w:val="superscript"/>
          <w:lang w:val="en-US"/>
        </w:rPr>
        <w:t>1</w:t>
      </w:r>
      <w:r w:rsidR="003225FC" w:rsidRPr="00C57412">
        <w:rPr>
          <w:lang w:val="en-US"/>
        </w:rPr>
        <w:t>H and 2D spectra are given in Supporting Information, while all crystallographic data are shown in Table</w:t>
      </w:r>
      <w:r w:rsidR="003C0857" w:rsidRPr="00C57412">
        <w:rPr>
          <w:lang w:val="en-US"/>
        </w:rPr>
        <w:t>s</w:t>
      </w:r>
      <w:r w:rsidR="003225FC" w:rsidRPr="00C57412">
        <w:rPr>
          <w:lang w:val="en-US"/>
        </w:rPr>
        <w:t xml:space="preserve"> 1</w:t>
      </w:r>
      <w:r w:rsidR="003C0857" w:rsidRPr="00C57412">
        <w:rPr>
          <w:lang w:val="en-US"/>
        </w:rPr>
        <w:t xml:space="preserve"> and S1</w:t>
      </w:r>
      <w:r w:rsidR="003225FC" w:rsidRPr="00C57412">
        <w:rPr>
          <w:lang w:val="en-US"/>
        </w:rPr>
        <w:t xml:space="preserve">. </w:t>
      </w:r>
      <w:r w:rsidR="007A2BAD" w:rsidRPr="00C57412">
        <w:rPr>
          <w:lang w:val="en-US"/>
        </w:rPr>
        <w:t xml:space="preserve"> </w:t>
      </w:r>
    </w:p>
    <w:p w:rsidR="00213D82" w:rsidRPr="00C57412" w:rsidRDefault="00213D82" w:rsidP="003225FC">
      <w:pPr>
        <w:spacing w:after="0"/>
        <w:ind w:firstLine="567"/>
        <w:jc w:val="both"/>
        <w:rPr>
          <w:lang w:val="en-US"/>
        </w:rPr>
      </w:pPr>
    </w:p>
    <w:p w:rsidR="00243429" w:rsidRPr="00C57412" w:rsidRDefault="00243429" w:rsidP="00243429">
      <w:pPr>
        <w:jc w:val="center"/>
        <w:rPr>
          <w:lang w:val="en-US"/>
        </w:rPr>
      </w:pPr>
      <w:r w:rsidRPr="00C57412">
        <w:rPr>
          <w:noProof/>
          <w:lang w:eastAsia="pl-PL"/>
        </w:rPr>
        <w:drawing>
          <wp:inline distT="0" distB="0" distL="0" distR="0">
            <wp:extent cx="4157134" cy="5624764"/>
            <wp:effectExtent l="19050" t="0" r="0" b="0"/>
            <wp:docPr id="4" name="Picture 23" descr="\\soton.ac.uk\ude\personalfiles\users\md1r18\mydesktop\apr\paper2_apr\Figure2_form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md1r18\mydesktop\apr\paper2_apr\Figure2_formB.t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7163" cy="5638334"/>
                    </a:xfrm>
                    <a:prstGeom prst="rect">
                      <a:avLst/>
                    </a:prstGeom>
                    <a:noFill/>
                    <a:ln>
                      <a:noFill/>
                    </a:ln>
                  </pic:spPr>
                </pic:pic>
              </a:graphicData>
            </a:graphic>
          </wp:inline>
        </w:drawing>
      </w:r>
    </w:p>
    <w:p w:rsidR="00243429" w:rsidRPr="00C57412" w:rsidRDefault="00243429" w:rsidP="00243429">
      <w:pPr>
        <w:spacing w:line="240" w:lineRule="auto"/>
        <w:jc w:val="both"/>
        <w:rPr>
          <w:lang w:val="en-US"/>
        </w:rPr>
      </w:pPr>
      <w:r w:rsidRPr="00C57412">
        <w:rPr>
          <w:b/>
          <w:lang w:val="en-US"/>
        </w:rPr>
        <w:t>Figure 2.</w:t>
      </w:r>
      <w:r w:rsidRPr="00C57412">
        <w:rPr>
          <w:lang w:val="en-US"/>
        </w:rPr>
        <w:t xml:space="preserve"> Structural data obtained for form B of APR: crystal packing (a) and molecular overlays of two pairs of symmetry unrelated molecules (b) observed in the crystal, </w:t>
      </w:r>
      <w:r w:rsidRPr="00C57412">
        <w:rPr>
          <w:vertAlign w:val="superscript"/>
          <w:lang w:val="en-US"/>
        </w:rPr>
        <w:t>13</w:t>
      </w:r>
      <w:r w:rsidRPr="00C57412">
        <w:rPr>
          <w:lang w:val="en-US"/>
        </w:rPr>
        <w:t xml:space="preserve">C and </w:t>
      </w:r>
      <w:r w:rsidRPr="00C57412">
        <w:rPr>
          <w:vertAlign w:val="superscript"/>
          <w:lang w:val="en-US"/>
        </w:rPr>
        <w:t>15</w:t>
      </w:r>
      <w:r w:rsidRPr="00C57412">
        <w:rPr>
          <w:lang w:val="en-US"/>
        </w:rPr>
        <w:t>N solid-state NMR spectra (c and d, respectively). Colors of APR molecules denote symmetry-unrelated molecules.</w:t>
      </w:r>
    </w:p>
    <w:p w:rsidR="00A80AC9" w:rsidRPr="00C57412" w:rsidRDefault="00A80AC9" w:rsidP="003225FC">
      <w:pPr>
        <w:spacing w:after="0"/>
        <w:ind w:firstLine="567"/>
        <w:jc w:val="both"/>
        <w:rPr>
          <w:lang w:val="en-US"/>
        </w:rPr>
      </w:pPr>
    </w:p>
    <w:p w:rsidR="00213D82" w:rsidRPr="00C57412" w:rsidRDefault="00213D82" w:rsidP="00243429">
      <w:pPr>
        <w:spacing w:line="240" w:lineRule="auto"/>
        <w:jc w:val="both"/>
        <w:rPr>
          <w:lang w:val="en-US"/>
        </w:rPr>
      </w:pPr>
      <w:r w:rsidRPr="00C57412">
        <w:rPr>
          <w:b/>
          <w:lang w:val="en-US"/>
        </w:rPr>
        <w:lastRenderedPageBreak/>
        <w:t>Table 1.</w:t>
      </w:r>
      <w:r w:rsidRPr="00C57412">
        <w:rPr>
          <w:lang w:val="en-US"/>
        </w:rPr>
        <w:t xml:space="preserve"> Crystallographic data for form B of APR, as well as for APR:RES, APR:PIC, APR:IMI and APR:HQU cocrystals.</w:t>
      </w:r>
    </w:p>
    <w:tbl>
      <w:tblPr>
        <w:tblStyle w:val="Tabela-Siatka"/>
        <w:tblW w:w="5000" w:type="pct"/>
        <w:jc w:val="center"/>
        <w:tblBorders>
          <w:top w:val="none" w:sz="0" w:space="0" w:color="auto"/>
          <w:left w:val="none" w:sz="0" w:space="0" w:color="auto"/>
          <w:bottom w:val="none" w:sz="0" w:space="0" w:color="auto"/>
          <w:right w:val="none" w:sz="0" w:space="0" w:color="auto"/>
        </w:tblBorders>
        <w:tblLook w:val="04A0"/>
      </w:tblPr>
      <w:tblGrid>
        <w:gridCol w:w="1526"/>
        <w:gridCol w:w="1484"/>
        <w:gridCol w:w="1492"/>
        <w:gridCol w:w="1594"/>
        <w:gridCol w:w="1596"/>
        <w:gridCol w:w="1596"/>
      </w:tblGrid>
      <w:tr w:rsidR="00586A4B" w:rsidRPr="00C57412" w:rsidTr="00586A4B">
        <w:trPr>
          <w:jc w:val="center"/>
        </w:trPr>
        <w:tc>
          <w:tcPr>
            <w:tcW w:w="821" w:type="pct"/>
            <w:tcBorders>
              <w:top w:val="single" w:sz="4" w:space="0" w:color="auto"/>
              <w:left w:val="nil"/>
              <w:bottom w:val="single" w:sz="4" w:space="0" w:color="auto"/>
              <w:right w:val="nil"/>
            </w:tcBorders>
            <w:vAlign w:val="center"/>
            <w:hideMark/>
          </w:tcPr>
          <w:p w:rsidR="00586A4B" w:rsidRPr="00C57412" w:rsidRDefault="00586A4B" w:rsidP="00586A4B">
            <w:pPr>
              <w:spacing w:before="60" w:after="60"/>
              <w:ind w:left="-142"/>
              <w:jc w:val="center"/>
              <w:rPr>
                <w:lang w:val="es-MX"/>
              </w:rPr>
            </w:pPr>
            <w:r w:rsidRPr="00C57412">
              <w:rPr>
                <w:lang w:val="es-MX"/>
              </w:rPr>
              <w:t>Compound</w:t>
            </w:r>
          </w:p>
        </w:tc>
        <w:tc>
          <w:tcPr>
            <w:tcW w:w="799" w:type="pct"/>
            <w:tcBorders>
              <w:top w:val="single" w:sz="4" w:space="0" w:color="auto"/>
              <w:left w:val="nil"/>
              <w:bottom w:val="single" w:sz="4" w:space="0" w:color="auto"/>
              <w:right w:val="nil"/>
            </w:tcBorders>
            <w:vAlign w:val="center"/>
          </w:tcPr>
          <w:p w:rsidR="00586A4B" w:rsidRPr="00C57412" w:rsidRDefault="00586A4B" w:rsidP="00586A4B">
            <w:pPr>
              <w:spacing w:before="60" w:after="60"/>
              <w:jc w:val="center"/>
              <w:rPr>
                <w:b/>
                <w:lang w:val="es-MX"/>
              </w:rPr>
            </w:pPr>
            <w:r w:rsidRPr="00C57412">
              <w:rPr>
                <w:b/>
                <w:lang w:val="es-MX"/>
              </w:rPr>
              <w:t>APR:RES</w:t>
            </w:r>
          </w:p>
        </w:tc>
        <w:tc>
          <w:tcPr>
            <w:tcW w:w="803" w:type="pct"/>
            <w:tcBorders>
              <w:top w:val="single" w:sz="4" w:space="0" w:color="auto"/>
              <w:left w:val="nil"/>
              <w:bottom w:val="single" w:sz="4" w:space="0" w:color="auto"/>
              <w:right w:val="nil"/>
            </w:tcBorders>
          </w:tcPr>
          <w:p w:rsidR="00586A4B" w:rsidRPr="00C57412" w:rsidRDefault="00586A4B" w:rsidP="00586A4B">
            <w:pPr>
              <w:spacing w:before="60" w:after="60"/>
              <w:jc w:val="center"/>
              <w:rPr>
                <w:b/>
                <w:lang w:val="es-MX"/>
              </w:rPr>
            </w:pPr>
            <w:r w:rsidRPr="00C57412">
              <w:rPr>
                <w:b/>
                <w:lang w:val="es-MX"/>
              </w:rPr>
              <w:t>APR:PIC</w:t>
            </w:r>
          </w:p>
        </w:tc>
        <w:tc>
          <w:tcPr>
            <w:tcW w:w="858" w:type="pct"/>
            <w:tcBorders>
              <w:top w:val="single" w:sz="4" w:space="0" w:color="auto"/>
              <w:left w:val="nil"/>
              <w:bottom w:val="single" w:sz="4" w:space="0" w:color="auto"/>
              <w:right w:val="nil"/>
            </w:tcBorders>
          </w:tcPr>
          <w:p w:rsidR="00586A4B" w:rsidRPr="00C57412" w:rsidRDefault="00586A4B" w:rsidP="00586A4B">
            <w:pPr>
              <w:spacing w:before="60" w:after="60"/>
              <w:jc w:val="center"/>
              <w:rPr>
                <w:b/>
                <w:lang w:val="es-MX"/>
              </w:rPr>
            </w:pPr>
            <w:r w:rsidRPr="00C57412">
              <w:rPr>
                <w:b/>
                <w:lang w:val="es-MX"/>
              </w:rPr>
              <w:t>APR:IMI</w:t>
            </w:r>
          </w:p>
        </w:tc>
        <w:tc>
          <w:tcPr>
            <w:tcW w:w="859" w:type="pct"/>
            <w:tcBorders>
              <w:top w:val="single" w:sz="4" w:space="0" w:color="auto"/>
              <w:left w:val="nil"/>
              <w:bottom w:val="single" w:sz="4" w:space="0" w:color="auto"/>
              <w:right w:val="nil"/>
            </w:tcBorders>
          </w:tcPr>
          <w:p w:rsidR="00586A4B" w:rsidRPr="00C57412" w:rsidRDefault="00586A4B" w:rsidP="00586A4B">
            <w:pPr>
              <w:spacing w:before="60" w:after="60"/>
              <w:jc w:val="center"/>
              <w:rPr>
                <w:b/>
                <w:lang w:val="es-MX"/>
              </w:rPr>
            </w:pPr>
            <w:r w:rsidRPr="00C57412">
              <w:rPr>
                <w:b/>
                <w:lang w:val="es-MX"/>
              </w:rPr>
              <w:t>APR:HQU</w:t>
            </w:r>
          </w:p>
        </w:tc>
        <w:tc>
          <w:tcPr>
            <w:tcW w:w="859" w:type="pct"/>
            <w:tcBorders>
              <w:top w:val="single" w:sz="4" w:space="0" w:color="auto"/>
              <w:left w:val="nil"/>
              <w:bottom w:val="single" w:sz="4" w:space="0" w:color="auto"/>
              <w:right w:val="nil"/>
            </w:tcBorders>
          </w:tcPr>
          <w:p w:rsidR="00586A4B" w:rsidRPr="00C57412" w:rsidRDefault="00586A4B" w:rsidP="00586A4B">
            <w:pPr>
              <w:spacing w:before="60" w:after="60"/>
              <w:jc w:val="center"/>
              <w:rPr>
                <w:b/>
                <w:lang w:val="es-MX"/>
              </w:rPr>
            </w:pPr>
            <w:r w:rsidRPr="00C57412">
              <w:rPr>
                <w:b/>
                <w:lang w:val="es-MX"/>
              </w:rPr>
              <w:t>APR form B</w:t>
            </w:r>
          </w:p>
        </w:tc>
      </w:tr>
      <w:tr w:rsidR="00586A4B" w:rsidRPr="00C57412" w:rsidTr="00586A4B">
        <w:trPr>
          <w:jc w:val="center"/>
        </w:trPr>
        <w:tc>
          <w:tcPr>
            <w:tcW w:w="821" w:type="pct"/>
            <w:tcBorders>
              <w:top w:val="single" w:sz="4" w:space="0" w:color="auto"/>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Empirical formula</w:t>
            </w:r>
          </w:p>
        </w:tc>
        <w:tc>
          <w:tcPr>
            <w:tcW w:w="799" w:type="pct"/>
            <w:tcBorders>
              <w:top w:val="single" w:sz="4" w:space="0" w:color="auto"/>
              <w:left w:val="nil"/>
              <w:bottom w:val="nil"/>
              <w:right w:val="nil"/>
            </w:tcBorders>
            <w:vAlign w:val="center"/>
          </w:tcPr>
          <w:p w:rsidR="00586A4B" w:rsidRPr="00C57412" w:rsidRDefault="00586A4B" w:rsidP="00586A4B">
            <w:pPr>
              <w:spacing w:before="60" w:after="60"/>
              <w:jc w:val="center"/>
            </w:pPr>
            <w:r w:rsidRPr="00C57412">
              <w:t>C</w:t>
            </w:r>
            <w:r w:rsidRPr="00C57412">
              <w:rPr>
                <w:vertAlign w:val="subscript"/>
              </w:rPr>
              <w:t>22</w:t>
            </w:r>
            <w:r w:rsidRPr="00C57412">
              <w:t>H</w:t>
            </w:r>
            <w:r w:rsidRPr="00C57412">
              <w:rPr>
                <w:vertAlign w:val="subscript"/>
              </w:rPr>
              <w:t>24</w:t>
            </w:r>
            <w:r w:rsidRPr="00C57412">
              <w:t>N</w:t>
            </w:r>
            <w:r w:rsidRPr="00C57412">
              <w:rPr>
                <w:vertAlign w:val="subscript"/>
              </w:rPr>
              <w:t>2</w:t>
            </w:r>
            <w:r w:rsidRPr="00C57412">
              <w:t>O</w:t>
            </w:r>
            <w:r w:rsidRPr="00C57412">
              <w:rPr>
                <w:vertAlign w:val="subscript"/>
              </w:rPr>
              <w:t>7</w:t>
            </w:r>
            <w:r w:rsidRPr="00C57412">
              <w:t>S, 0.5(C</w:t>
            </w:r>
            <w:r w:rsidRPr="00C57412">
              <w:rPr>
                <w:vertAlign w:val="subscript"/>
              </w:rPr>
              <w:t>6</w:t>
            </w:r>
            <w:r w:rsidRPr="00C57412">
              <w:t>H</w:t>
            </w:r>
            <w:r w:rsidRPr="00C57412">
              <w:rPr>
                <w:vertAlign w:val="subscript"/>
              </w:rPr>
              <w:t>6</w:t>
            </w:r>
            <w:r w:rsidRPr="00C57412">
              <w:t>O</w:t>
            </w:r>
            <w:r w:rsidRPr="00C57412">
              <w:rPr>
                <w:vertAlign w:val="subscript"/>
              </w:rPr>
              <w:t>2</w:t>
            </w:r>
            <w:r w:rsidRPr="00C57412">
              <w:t>), 0.5(H</w:t>
            </w:r>
            <w:r w:rsidRPr="00C57412">
              <w:rPr>
                <w:vertAlign w:val="subscript"/>
              </w:rPr>
              <w:t>2</w:t>
            </w:r>
            <w:r w:rsidRPr="00C57412">
              <w:t>O)</w:t>
            </w:r>
          </w:p>
        </w:tc>
        <w:tc>
          <w:tcPr>
            <w:tcW w:w="803" w:type="pct"/>
            <w:tcBorders>
              <w:top w:val="single" w:sz="4" w:space="0" w:color="auto"/>
              <w:left w:val="nil"/>
              <w:bottom w:val="nil"/>
              <w:right w:val="nil"/>
            </w:tcBorders>
          </w:tcPr>
          <w:p w:rsidR="00586A4B" w:rsidRPr="00C57412" w:rsidRDefault="00586A4B" w:rsidP="00586A4B">
            <w:pPr>
              <w:spacing w:before="60" w:after="60"/>
              <w:jc w:val="center"/>
              <w:rPr>
                <w:lang w:val="es-MX"/>
              </w:rPr>
            </w:pPr>
            <w:r w:rsidRPr="00C57412">
              <w:t>C</w:t>
            </w:r>
            <w:r w:rsidRPr="00C57412">
              <w:rPr>
                <w:vertAlign w:val="subscript"/>
              </w:rPr>
              <w:t>22</w:t>
            </w:r>
            <w:r w:rsidRPr="00C57412">
              <w:t>H</w:t>
            </w:r>
            <w:r w:rsidRPr="00C57412">
              <w:rPr>
                <w:vertAlign w:val="subscript"/>
              </w:rPr>
              <w:t>24</w:t>
            </w:r>
            <w:r w:rsidRPr="00C57412">
              <w:t>N</w:t>
            </w:r>
            <w:r w:rsidRPr="00C57412">
              <w:rPr>
                <w:vertAlign w:val="subscript"/>
              </w:rPr>
              <w:t>2</w:t>
            </w:r>
            <w:r w:rsidRPr="00C57412">
              <w:t>O</w:t>
            </w:r>
            <w:r w:rsidRPr="00C57412">
              <w:rPr>
                <w:vertAlign w:val="subscript"/>
              </w:rPr>
              <w:t>7</w:t>
            </w:r>
            <w:r w:rsidRPr="00C57412">
              <w:t>S, 0.5(C</w:t>
            </w:r>
            <w:r w:rsidRPr="00C57412">
              <w:rPr>
                <w:vertAlign w:val="subscript"/>
              </w:rPr>
              <w:t>6</w:t>
            </w:r>
            <w:r w:rsidRPr="00C57412">
              <w:t>H</w:t>
            </w:r>
            <w:r w:rsidRPr="00C57412">
              <w:rPr>
                <w:vertAlign w:val="subscript"/>
              </w:rPr>
              <w:t>6</w:t>
            </w:r>
            <w:r w:rsidRPr="00C57412">
              <w:t>N</w:t>
            </w:r>
            <w:r w:rsidRPr="00C57412">
              <w:rPr>
                <w:vertAlign w:val="subscript"/>
              </w:rPr>
              <w:t>2</w:t>
            </w:r>
            <w:r w:rsidRPr="00C57412">
              <w:t>O)</w:t>
            </w:r>
          </w:p>
        </w:tc>
        <w:tc>
          <w:tcPr>
            <w:tcW w:w="858" w:type="pct"/>
            <w:tcBorders>
              <w:top w:val="single" w:sz="4" w:space="0" w:color="auto"/>
              <w:left w:val="nil"/>
              <w:bottom w:val="nil"/>
              <w:right w:val="nil"/>
            </w:tcBorders>
          </w:tcPr>
          <w:p w:rsidR="00586A4B" w:rsidRPr="00C57412" w:rsidRDefault="00586A4B" w:rsidP="00586A4B">
            <w:pPr>
              <w:spacing w:before="60" w:after="60"/>
              <w:jc w:val="center"/>
              <w:rPr>
                <w:lang w:val="es-MX"/>
              </w:rPr>
            </w:pPr>
            <w:r w:rsidRPr="00C57412">
              <w:t>C</w:t>
            </w:r>
            <w:r w:rsidRPr="00C57412">
              <w:rPr>
                <w:vertAlign w:val="subscript"/>
              </w:rPr>
              <w:t>22</w:t>
            </w:r>
            <w:r w:rsidRPr="00C57412">
              <w:t>H</w:t>
            </w:r>
            <w:r w:rsidRPr="00C57412">
              <w:rPr>
                <w:vertAlign w:val="subscript"/>
              </w:rPr>
              <w:t>24</w:t>
            </w:r>
            <w:r w:rsidRPr="00C57412">
              <w:t>N</w:t>
            </w:r>
            <w:r w:rsidRPr="00C57412">
              <w:rPr>
                <w:vertAlign w:val="subscript"/>
              </w:rPr>
              <w:t>2</w:t>
            </w:r>
            <w:r w:rsidRPr="00C57412">
              <w:t>O</w:t>
            </w:r>
            <w:r w:rsidRPr="00C57412">
              <w:rPr>
                <w:vertAlign w:val="subscript"/>
              </w:rPr>
              <w:t>7</w:t>
            </w:r>
            <w:r w:rsidRPr="00C57412">
              <w:t>S, 0.5(C</w:t>
            </w:r>
            <w:r w:rsidRPr="00C57412">
              <w:rPr>
                <w:vertAlign w:val="subscript"/>
              </w:rPr>
              <w:t>3</w:t>
            </w:r>
            <w:r w:rsidRPr="00C57412">
              <w:t>H</w:t>
            </w:r>
            <w:r w:rsidRPr="00C57412">
              <w:rPr>
                <w:vertAlign w:val="subscript"/>
              </w:rPr>
              <w:t>4</w:t>
            </w:r>
            <w:r w:rsidRPr="00C57412">
              <w:t>N</w:t>
            </w:r>
            <w:r w:rsidRPr="00C57412">
              <w:rPr>
                <w:vertAlign w:val="subscript"/>
              </w:rPr>
              <w:t>2</w:t>
            </w:r>
            <w:r w:rsidRPr="00C57412">
              <w:t>), 0.5(H</w:t>
            </w:r>
            <w:r w:rsidRPr="00C57412">
              <w:rPr>
                <w:vertAlign w:val="subscript"/>
              </w:rPr>
              <w:t>2</w:t>
            </w:r>
            <w:r w:rsidRPr="00C57412">
              <w:t>O)</w:t>
            </w:r>
          </w:p>
        </w:tc>
        <w:tc>
          <w:tcPr>
            <w:tcW w:w="859" w:type="pct"/>
            <w:tcBorders>
              <w:top w:val="single" w:sz="4" w:space="0" w:color="auto"/>
              <w:left w:val="nil"/>
              <w:bottom w:val="nil"/>
              <w:right w:val="nil"/>
            </w:tcBorders>
          </w:tcPr>
          <w:p w:rsidR="00586A4B" w:rsidRPr="00C57412" w:rsidRDefault="00586A4B" w:rsidP="00586A4B">
            <w:pPr>
              <w:spacing w:before="60" w:after="60"/>
              <w:jc w:val="center"/>
              <w:rPr>
                <w:lang w:val="es-MX"/>
              </w:rPr>
            </w:pPr>
            <w:r w:rsidRPr="00C57412">
              <w:t>C</w:t>
            </w:r>
            <w:r w:rsidRPr="00C57412">
              <w:rPr>
                <w:vertAlign w:val="subscript"/>
              </w:rPr>
              <w:t>22</w:t>
            </w:r>
            <w:r w:rsidRPr="00C57412">
              <w:t>H</w:t>
            </w:r>
            <w:r w:rsidRPr="00C57412">
              <w:rPr>
                <w:vertAlign w:val="subscript"/>
              </w:rPr>
              <w:t>24</w:t>
            </w:r>
            <w:r w:rsidRPr="00C57412">
              <w:t>N</w:t>
            </w:r>
            <w:r w:rsidRPr="00C57412">
              <w:rPr>
                <w:vertAlign w:val="subscript"/>
              </w:rPr>
              <w:t>2</w:t>
            </w:r>
            <w:r w:rsidRPr="00C57412">
              <w:t>O</w:t>
            </w:r>
            <w:r w:rsidRPr="00C57412">
              <w:rPr>
                <w:vertAlign w:val="subscript"/>
              </w:rPr>
              <w:t>7</w:t>
            </w:r>
            <w:r w:rsidRPr="00C57412">
              <w:t>S, 0.5(C</w:t>
            </w:r>
            <w:r w:rsidRPr="00C57412">
              <w:rPr>
                <w:vertAlign w:val="subscript"/>
              </w:rPr>
              <w:t>6</w:t>
            </w:r>
            <w:r w:rsidRPr="00C57412">
              <w:t>H</w:t>
            </w:r>
            <w:r w:rsidRPr="00C57412">
              <w:rPr>
                <w:vertAlign w:val="subscript"/>
              </w:rPr>
              <w:t>6</w:t>
            </w:r>
            <w:r w:rsidRPr="00C57412">
              <w:t>O</w:t>
            </w:r>
            <w:r w:rsidRPr="00C57412">
              <w:rPr>
                <w:vertAlign w:val="subscript"/>
              </w:rPr>
              <w:t>2</w:t>
            </w:r>
            <w:r w:rsidRPr="00C57412">
              <w:t>), 0.5(H</w:t>
            </w:r>
            <w:r w:rsidRPr="00C57412">
              <w:rPr>
                <w:vertAlign w:val="subscript"/>
              </w:rPr>
              <w:t>2</w:t>
            </w:r>
            <w:r w:rsidRPr="00C57412">
              <w:t>O)</w:t>
            </w:r>
          </w:p>
        </w:tc>
        <w:tc>
          <w:tcPr>
            <w:tcW w:w="859" w:type="pct"/>
            <w:tcBorders>
              <w:top w:val="single" w:sz="4" w:space="0" w:color="auto"/>
              <w:left w:val="nil"/>
              <w:bottom w:val="nil"/>
              <w:right w:val="nil"/>
            </w:tcBorders>
          </w:tcPr>
          <w:p w:rsidR="00586A4B" w:rsidRPr="00C57412" w:rsidRDefault="00586A4B" w:rsidP="00586A4B">
            <w:pPr>
              <w:spacing w:before="60" w:after="60"/>
              <w:jc w:val="center"/>
              <w:rPr>
                <w:lang w:val="es-MX"/>
              </w:rPr>
            </w:pPr>
            <w:r w:rsidRPr="00C57412">
              <w:t>C</w:t>
            </w:r>
            <w:r w:rsidRPr="00C57412">
              <w:rPr>
                <w:vertAlign w:val="subscript"/>
              </w:rPr>
              <w:t>22</w:t>
            </w:r>
            <w:r w:rsidRPr="00C57412">
              <w:t>H</w:t>
            </w:r>
            <w:r w:rsidRPr="00C57412">
              <w:rPr>
                <w:vertAlign w:val="subscript"/>
              </w:rPr>
              <w:t>24</w:t>
            </w:r>
            <w:r w:rsidRPr="00C57412">
              <w:t>N</w:t>
            </w:r>
            <w:r w:rsidRPr="00C57412">
              <w:rPr>
                <w:vertAlign w:val="subscript"/>
              </w:rPr>
              <w:t>2</w:t>
            </w:r>
            <w:r w:rsidRPr="00C57412">
              <w:t>O</w:t>
            </w:r>
            <w:r w:rsidRPr="00C57412">
              <w:rPr>
                <w:vertAlign w:val="subscript"/>
              </w:rPr>
              <w:t>7</w:t>
            </w:r>
            <w:r w:rsidRPr="00C57412">
              <w:t>S</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Formula weight</w:t>
            </w:r>
          </w:p>
        </w:tc>
        <w:tc>
          <w:tcPr>
            <w:tcW w:w="799" w:type="pct"/>
            <w:tcBorders>
              <w:top w:val="nil"/>
              <w:left w:val="nil"/>
              <w:bottom w:val="nil"/>
              <w:right w:val="nil"/>
            </w:tcBorders>
            <w:vAlign w:val="center"/>
          </w:tcPr>
          <w:p w:rsidR="00586A4B" w:rsidRPr="00C57412" w:rsidRDefault="00586A4B" w:rsidP="00A13739">
            <w:pPr>
              <w:spacing w:before="60" w:after="60"/>
              <w:jc w:val="center"/>
              <w:rPr>
                <w:lang w:val="es-MX"/>
              </w:rPr>
            </w:pPr>
            <w:r w:rsidRPr="00C57412">
              <w:rPr>
                <w:lang w:val="es-MX"/>
              </w:rPr>
              <w:t>524.5</w:t>
            </w:r>
            <w:r w:rsidR="00A13739" w:rsidRPr="00C57412">
              <w:rPr>
                <w:lang w:val="es-MX"/>
              </w:rPr>
              <w:t>5</w:t>
            </w:r>
          </w:p>
        </w:tc>
        <w:tc>
          <w:tcPr>
            <w:tcW w:w="803"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521.5</w:t>
            </w:r>
            <w:r w:rsidR="00A13739" w:rsidRPr="00C57412">
              <w:rPr>
                <w:lang w:val="es-MX"/>
              </w:rPr>
              <w:t>5</w:t>
            </w:r>
          </w:p>
        </w:tc>
        <w:tc>
          <w:tcPr>
            <w:tcW w:w="858"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50</w:t>
            </w:r>
            <w:r w:rsidR="00A13739" w:rsidRPr="00C57412">
              <w:rPr>
                <w:lang w:val="es-MX"/>
              </w:rPr>
              <w:t>1</w:t>
            </w:r>
            <w:r w:rsidRPr="00C57412">
              <w:rPr>
                <w:lang w:val="es-MX"/>
              </w:rPr>
              <w:t>.5</w:t>
            </w:r>
            <w:r w:rsidR="00A13739" w:rsidRPr="00C57412">
              <w:rPr>
                <w:lang w:val="es-MX"/>
              </w:rPr>
              <w:t>2</w:t>
            </w:r>
          </w:p>
        </w:tc>
        <w:tc>
          <w:tcPr>
            <w:tcW w:w="859"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524.5</w:t>
            </w:r>
            <w:r w:rsidR="00A13739" w:rsidRPr="00C57412">
              <w:rPr>
                <w:lang w:val="es-MX"/>
              </w:rPr>
              <w:t>5</w:t>
            </w:r>
          </w:p>
        </w:tc>
        <w:tc>
          <w:tcPr>
            <w:tcW w:w="859" w:type="pct"/>
            <w:tcBorders>
              <w:top w:val="nil"/>
              <w:left w:val="nil"/>
              <w:bottom w:val="nil"/>
              <w:right w:val="nil"/>
            </w:tcBorders>
          </w:tcPr>
          <w:p w:rsidR="00586A4B" w:rsidRPr="00C57412" w:rsidRDefault="00586A4B" w:rsidP="00586A4B">
            <w:pPr>
              <w:spacing w:before="60" w:after="60"/>
              <w:jc w:val="center"/>
              <w:rPr>
                <w:lang w:val="es-MX"/>
              </w:rPr>
            </w:pPr>
            <w:r w:rsidRPr="00C57412">
              <w:rPr>
                <w:lang w:val="es-MX"/>
              </w:rPr>
              <w:t>460.49</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Temperature</w:t>
            </w:r>
          </w:p>
        </w:tc>
        <w:tc>
          <w:tcPr>
            <w:tcW w:w="799" w:type="pct"/>
            <w:tcBorders>
              <w:top w:val="nil"/>
              <w:left w:val="nil"/>
              <w:bottom w:val="nil"/>
              <w:right w:val="nil"/>
            </w:tcBorders>
            <w:vAlign w:val="center"/>
          </w:tcPr>
          <w:p w:rsidR="00586A4B" w:rsidRPr="00C57412" w:rsidRDefault="00A13739" w:rsidP="00586A4B">
            <w:pPr>
              <w:spacing w:before="60" w:after="60"/>
              <w:jc w:val="center"/>
              <w:rPr>
                <w:lang w:val="es-MX"/>
              </w:rPr>
            </w:pPr>
            <w:r w:rsidRPr="00C57412">
              <w:rPr>
                <w:lang w:val="es-MX"/>
              </w:rPr>
              <w:t xml:space="preserve">100 </w:t>
            </w:r>
            <w:r w:rsidR="00586A4B" w:rsidRPr="00C57412">
              <w:rPr>
                <w:lang w:val="es-MX"/>
              </w:rPr>
              <w:t>K</w:t>
            </w:r>
          </w:p>
        </w:tc>
        <w:tc>
          <w:tcPr>
            <w:tcW w:w="803" w:type="pct"/>
            <w:tcBorders>
              <w:top w:val="nil"/>
              <w:left w:val="nil"/>
              <w:bottom w:val="nil"/>
              <w:right w:val="nil"/>
            </w:tcBorders>
            <w:vAlign w:val="center"/>
          </w:tcPr>
          <w:p w:rsidR="00586A4B" w:rsidRPr="00C57412" w:rsidRDefault="00A13739" w:rsidP="00586A4B">
            <w:pPr>
              <w:spacing w:before="60" w:after="60"/>
              <w:jc w:val="center"/>
              <w:rPr>
                <w:lang w:val="es-MX"/>
              </w:rPr>
            </w:pPr>
            <w:r w:rsidRPr="00C57412">
              <w:rPr>
                <w:lang w:val="es-MX"/>
              </w:rPr>
              <w:t xml:space="preserve">100 </w:t>
            </w:r>
            <w:r w:rsidR="00586A4B" w:rsidRPr="00C57412">
              <w:rPr>
                <w:lang w:val="es-MX"/>
              </w:rPr>
              <w:t>K</w:t>
            </w:r>
          </w:p>
        </w:tc>
        <w:tc>
          <w:tcPr>
            <w:tcW w:w="858" w:type="pct"/>
            <w:tcBorders>
              <w:top w:val="nil"/>
              <w:left w:val="nil"/>
              <w:bottom w:val="nil"/>
              <w:right w:val="nil"/>
            </w:tcBorders>
            <w:vAlign w:val="center"/>
          </w:tcPr>
          <w:p w:rsidR="00586A4B" w:rsidRPr="00C57412" w:rsidRDefault="00A13739" w:rsidP="00586A4B">
            <w:pPr>
              <w:spacing w:before="60" w:after="60"/>
              <w:jc w:val="center"/>
              <w:rPr>
                <w:lang w:val="es-MX"/>
              </w:rPr>
            </w:pPr>
            <w:r w:rsidRPr="00C57412">
              <w:rPr>
                <w:lang w:val="es-MX"/>
              </w:rPr>
              <w:t xml:space="preserve">100 </w:t>
            </w:r>
            <w:r w:rsidR="00586A4B" w:rsidRPr="00C57412">
              <w:rPr>
                <w:lang w:val="es-MX"/>
              </w:rPr>
              <w:t>K</w:t>
            </w:r>
          </w:p>
        </w:tc>
        <w:tc>
          <w:tcPr>
            <w:tcW w:w="859" w:type="pct"/>
            <w:tcBorders>
              <w:top w:val="nil"/>
              <w:left w:val="nil"/>
              <w:bottom w:val="nil"/>
              <w:right w:val="nil"/>
            </w:tcBorders>
            <w:vAlign w:val="center"/>
          </w:tcPr>
          <w:p w:rsidR="00586A4B" w:rsidRPr="00C57412" w:rsidRDefault="00A13739" w:rsidP="00586A4B">
            <w:pPr>
              <w:spacing w:before="60" w:after="60"/>
              <w:jc w:val="center"/>
              <w:rPr>
                <w:lang w:val="es-MX"/>
              </w:rPr>
            </w:pPr>
            <w:r w:rsidRPr="00C57412">
              <w:rPr>
                <w:lang w:val="es-MX"/>
              </w:rPr>
              <w:t>100</w:t>
            </w:r>
            <w:r w:rsidR="00586A4B" w:rsidRPr="00C57412">
              <w:rPr>
                <w:lang w:val="es-MX"/>
              </w:rPr>
              <w:t xml:space="preserve"> K</w:t>
            </w:r>
          </w:p>
        </w:tc>
        <w:tc>
          <w:tcPr>
            <w:tcW w:w="859"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29</w:t>
            </w:r>
            <w:r w:rsidR="00A13739" w:rsidRPr="00C57412">
              <w:rPr>
                <w:lang w:val="es-MX"/>
              </w:rPr>
              <w:t>3</w:t>
            </w:r>
            <w:r w:rsidRPr="00C57412">
              <w:rPr>
                <w:lang w:val="es-MX"/>
              </w:rPr>
              <w:t xml:space="preserve"> K</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Crystal system</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tetragonal</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tetragonal</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tetragonal</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tetragonal</w:t>
            </w:r>
          </w:p>
        </w:tc>
        <w:tc>
          <w:tcPr>
            <w:tcW w:w="859" w:type="pct"/>
            <w:tcBorders>
              <w:top w:val="nil"/>
              <w:left w:val="nil"/>
              <w:bottom w:val="nil"/>
              <w:right w:val="nil"/>
            </w:tcBorders>
          </w:tcPr>
          <w:p w:rsidR="00586A4B" w:rsidRPr="00C57412" w:rsidRDefault="00586A4B" w:rsidP="00586A4B">
            <w:pPr>
              <w:spacing w:before="60" w:after="60"/>
              <w:jc w:val="center"/>
              <w:rPr>
                <w:lang w:val="es-MX"/>
              </w:rPr>
            </w:pPr>
            <w:r w:rsidRPr="00C57412">
              <w:rPr>
                <w:lang w:val="es-MX"/>
              </w:rPr>
              <w:t>monoclinic</w:t>
            </w:r>
          </w:p>
        </w:tc>
      </w:tr>
      <w:tr w:rsidR="00586A4B" w:rsidRPr="00C57412" w:rsidTr="00586A4B">
        <w:trPr>
          <w:jc w:val="center"/>
        </w:trPr>
        <w:tc>
          <w:tcPr>
            <w:tcW w:w="821" w:type="pct"/>
            <w:tcBorders>
              <w:top w:val="nil"/>
              <w:left w:val="nil"/>
              <w:bottom w:val="nil"/>
              <w:right w:val="nil"/>
            </w:tcBorders>
            <w:vAlign w:val="center"/>
          </w:tcPr>
          <w:p w:rsidR="00586A4B" w:rsidRPr="00C57412" w:rsidRDefault="00586A4B" w:rsidP="00586A4B">
            <w:pPr>
              <w:spacing w:before="60" w:after="60"/>
              <w:ind w:left="-142"/>
              <w:jc w:val="center"/>
              <w:rPr>
                <w:lang w:val="es-MX"/>
              </w:rPr>
            </w:pPr>
            <w:r w:rsidRPr="00C57412">
              <w:rPr>
                <w:lang w:val="es-MX"/>
              </w:rPr>
              <w:t>Space group</w:t>
            </w:r>
          </w:p>
        </w:tc>
        <w:tc>
          <w:tcPr>
            <w:tcW w:w="799" w:type="pct"/>
            <w:tcBorders>
              <w:top w:val="nil"/>
              <w:left w:val="nil"/>
              <w:bottom w:val="nil"/>
              <w:right w:val="nil"/>
            </w:tcBorders>
            <w:vAlign w:val="center"/>
          </w:tcPr>
          <w:p w:rsidR="00586A4B" w:rsidRPr="00C57412" w:rsidRDefault="00586A4B" w:rsidP="00586A4B">
            <w:pPr>
              <w:spacing w:before="60" w:after="60"/>
              <w:jc w:val="center"/>
              <w:rPr>
                <w:i/>
                <w:lang w:val="es-MX"/>
              </w:rPr>
            </w:pPr>
            <w:r w:rsidRPr="00C57412">
              <w:rPr>
                <w:i/>
                <w:lang w:val="es-MX"/>
              </w:rPr>
              <w:t>P</w:t>
            </w:r>
            <w:r w:rsidRPr="00C57412">
              <w:rPr>
                <w:lang w:val="es-MX"/>
              </w:rPr>
              <w:t>4</w:t>
            </w:r>
            <w:r w:rsidRPr="00C57412">
              <w:rPr>
                <w:vertAlign w:val="subscript"/>
                <w:lang w:val="es-MX"/>
              </w:rPr>
              <w:t>1</w:t>
            </w:r>
            <w:r w:rsidRPr="00C57412">
              <w:rPr>
                <w:lang w:val="es-MX"/>
              </w:rPr>
              <w:t>2</w:t>
            </w:r>
            <w:r w:rsidRPr="00C57412">
              <w:rPr>
                <w:vertAlign w:val="subscript"/>
                <w:lang w:val="es-MX"/>
              </w:rPr>
              <w:t>1</w:t>
            </w:r>
            <w:r w:rsidRPr="00C57412">
              <w:rPr>
                <w:lang w:val="es-MX"/>
              </w:rPr>
              <w:t>2</w:t>
            </w:r>
          </w:p>
        </w:tc>
        <w:tc>
          <w:tcPr>
            <w:tcW w:w="803" w:type="pct"/>
            <w:tcBorders>
              <w:top w:val="nil"/>
              <w:left w:val="nil"/>
              <w:bottom w:val="nil"/>
              <w:right w:val="nil"/>
            </w:tcBorders>
            <w:vAlign w:val="center"/>
          </w:tcPr>
          <w:p w:rsidR="00586A4B" w:rsidRPr="00C57412" w:rsidRDefault="00586A4B" w:rsidP="00586A4B">
            <w:pPr>
              <w:spacing w:before="60" w:after="60"/>
              <w:jc w:val="center"/>
              <w:rPr>
                <w:i/>
                <w:lang w:val="es-MX"/>
              </w:rPr>
            </w:pPr>
            <w:r w:rsidRPr="00C57412">
              <w:rPr>
                <w:i/>
                <w:lang w:val="es-MX"/>
              </w:rPr>
              <w:t>P</w:t>
            </w:r>
            <w:r w:rsidRPr="00C57412">
              <w:rPr>
                <w:lang w:val="es-MX"/>
              </w:rPr>
              <w:t>4</w:t>
            </w:r>
            <w:r w:rsidRPr="00C57412">
              <w:rPr>
                <w:vertAlign w:val="subscript"/>
                <w:lang w:val="es-MX"/>
              </w:rPr>
              <w:t>1</w:t>
            </w:r>
            <w:r w:rsidRPr="00C57412">
              <w:rPr>
                <w:lang w:val="es-MX"/>
              </w:rPr>
              <w:t>2</w:t>
            </w:r>
            <w:r w:rsidRPr="00C57412">
              <w:rPr>
                <w:vertAlign w:val="subscript"/>
                <w:lang w:val="es-MX"/>
              </w:rPr>
              <w:t>1</w:t>
            </w:r>
            <w:r w:rsidRPr="00C57412">
              <w:rPr>
                <w:lang w:val="es-MX"/>
              </w:rPr>
              <w:t>2</w:t>
            </w:r>
          </w:p>
        </w:tc>
        <w:tc>
          <w:tcPr>
            <w:tcW w:w="858" w:type="pct"/>
            <w:tcBorders>
              <w:top w:val="nil"/>
              <w:left w:val="nil"/>
              <w:bottom w:val="nil"/>
              <w:right w:val="nil"/>
            </w:tcBorders>
            <w:vAlign w:val="center"/>
          </w:tcPr>
          <w:p w:rsidR="00586A4B" w:rsidRPr="00C57412" w:rsidRDefault="00586A4B" w:rsidP="00586A4B">
            <w:pPr>
              <w:spacing w:before="60" w:after="60"/>
              <w:jc w:val="center"/>
              <w:rPr>
                <w:i/>
                <w:lang w:val="es-MX"/>
              </w:rPr>
            </w:pPr>
            <w:r w:rsidRPr="00C57412">
              <w:rPr>
                <w:i/>
                <w:lang w:val="es-MX"/>
              </w:rPr>
              <w:t>P</w:t>
            </w:r>
            <w:r w:rsidRPr="00C57412">
              <w:rPr>
                <w:lang w:val="es-MX"/>
              </w:rPr>
              <w:t>4</w:t>
            </w:r>
            <w:r w:rsidRPr="00C57412">
              <w:rPr>
                <w:vertAlign w:val="subscript"/>
                <w:lang w:val="es-MX"/>
              </w:rPr>
              <w:t>1</w:t>
            </w:r>
            <w:r w:rsidRPr="00C57412">
              <w:rPr>
                <w:lang w:val="es-MX"/>
              </w:rPr>
              <w:t>2</w:t>
            </w:r>
            <w:r w:rsidRPr="00C57412">
              <w:rPr>
                <w:vertAlign w:val="subscript"/>
                <w:lang w:val="es-MX"/>
              </w:rPr>
              <w:t>1</w:t>
            </w:r>
            <w:r w:rsidRPr="00C57412">
              <w:rPr>
                <w:lang w:val="es-MX"/>
              </w:rPr>
              <w:t>2</w:t>
            </w:r>
          </w:p>
        </w:tc>
        <w:tc>
          <w:tcPr>
            <w:tcW w:w="859" w:type="pct"/>
            <w:tcBorders>
              <w:top w:val="nil"/>
              <w:left w:val="nil"/>
              <w:bottom w:val="nil"/>
              <w:right w:val="nil"/>
            </w:tcBorders>
            <w:vAlign w:val="center"/>
          </w:tcPr>
          <w:p w:rsidR="00586A4B" w:rsidRPr="00C57412" w:rsidRDefault="00586A4B" w:rsidP="00586A4B">
            <w:pPr>
              <w:spacing w:before="60" w:after="60"/>
              <w:jc w:val="center"/>
              <w:rPr>
                <w:i/>
                <w:lang w:val="es-MX"/>
              </w:rPr>
            </w:pPr>
            <w:r w:rsidRPr="00C57412">
              <w:rPr>
                <w:i/>
                <w:lang w:val="es-MX"/>
              </w:rPr>
              <w:t>P</w:t>
            </w:r>
            <w:r w:rsidRPr="00C57412">
              <w:rPr>
                <w:lang w:val="es-MX"/>
              </w:rPr>
              <w:t>4</w:t>
            </w:r>
            <w:r w:rsidRPr="00C57412">
              <w:rPr>
                <w:vertAlign w:val="subscript"/>
                <w:lang w:val="es-MX"/>
              </w:rPr>
              <w:t>1</w:t>
            </w:r>
            <w:r w:rsidRPr="00C57412">
              <w:rPr>
                <w:lang w:val="es-MX"/>
              </w:rPr>
              <w:t>2</w:t>
            </w:r>
            <w:r w:rsidRPr="00C57412">
              <w:rPr>
                <w:vertAlign w:val="subscript"/>
                <w:lang w:val="es-MX"/>
              </w:rPr>
              <w:t>1</w:t>
            </w:r>
            <w:r w:rsidRPr="00C57412">
              <w:rPr>
                <w:lang w:val="es-MX"/>
              </w:rPr>
              <w:t>2</w:t>
            </w:r>
          </w:p>
        </w:tc>
        <w:tc>
          <w:tcPr>
            <w:tcW w:w="859" w:type="pct"/>
            <w:tcBorders>
              <w:top w:val="nil"/>
              <w:left w:val="nil"/>
              <w:bottom w:val="nil"/>
              <w:right w:val="nil"/>
            </w:tcBorders>
          </w:tcPr>
          <w:p w:rsidR="00586A4B" w:rsidRPr="00C57412" w:rsidRDefault="00586A4B" w:rsidP="00586A4B">
            <w:pPr>
              <w:spacing w:before="60" w:after="60"/>
              <w:jc w:val="center"/>
              <w:rPr>
                <w:i/>
                <w:lang w:val="es-MX"/>
              </w:rPr>
            </w:pPr>
            <w:r w:rsidRPr="00C57412">
              <w:rPr>
                <w:i/>
                <w:lang w:val="es-MX"/>
              </w:rPr>
              <w:t>P</w:t>
            </w:r>
            <w:r w:rsidRPr="00C57412">
              <w:rPr>
                <w:lang w:val="es-MX"/>
              </w:rPr>
              <w:t>2</w:t>
            </w:r>
            <w:r w:rsidRPr="00C57412">
              <w:rPr>
                <w:vertAlign w:val="subscript"/>
                <w:lang w:val="es-MX"/>
              </w:rPr>
              <w:t>1</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a (Å)</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12.89179(7)</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12.81222(8)</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12.85808(14)</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12.88747(7)</w:t>
            </w:r>
          </w:p>
        </w:tc>
        <w:tc>
          <w:tcPr>
            <w:tcW w:w="859"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8.71</w:t>
            </w:r>
            <w:r w:rsidR="00A13739" w:rsidRPr="00C57412">
              <w:rPr>
                <w:lang w:val="es-MX"/>
              </w:rPr>
              <w:t>383</w:t>
            </w:r>
            <w:r w:rsidRPr="00C57412">
              <w:rPr>
                <w:lang w:val="es-MX"/>
              </w:rPr>
              <w:t>(1</w:t>
            </w:r>
            <w:r w:rsidR="00A13739" w:rsidRPr="00C57412">
              <w:rPr>
                <w:lang w:val="es-MX"/>
              </w:rPr>
              <w:t>3</w:t>
            </w:r>
            <w:r w:rsidRPr="00C57412">
              <w:rPr>
                <w:lang w:val="es-MX"/>
              </w:rPr>
              <w:t>)</w:t>
            </w:r>
          </w:p>
        </w:tc>
      </w:tr>
      <w:tr w:rsidR="00586A4B" w:rsidRPr="00C57412" w:rsidTr="00586A4B">
        <w:trPr>
          <w:jc w:val="center"/>
        </w:trPr>
        <w:tc>
          <w:tcPr>
            <w:tcW w:w="821" w:type="pct"/>
            <w:tcBorders>
              <w:top w:val="nil"/>
              <w:left w:val="nil"/>
              <w:bottom w:val="nil"/>
              <w:right w:val="nil"/>
            </w:tcBorders>
            <w:shd w:val="clear" w:color="auto" w:fill="auto"/>
            <w:vAlign w:val="center"/>
            <w:hideMark/>
          </w:tcPr>
          <w:p w:rsidR="00586A4B" w:rsidRPr="00C57412" w:rsidRDefault="00586A4B" w:rsidP="00586A4B">
            <w:pPr>
              <w:spacing w:before="60" w:after="60"/>
              <w:ind w:left="-142"/>
              <w:jc w:val="center"/>
              <w:rPr>
                <w:lang w:val="es-MX"/>
              </w:rPr>
            </w:pPr>
            <w:r w:rsidRPr="00C57412">
              <w:rPr>
                <w:lang w:val="es-MX"/>
              </w:rPr>
              <w:t>b (Å)</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12.89179(7)</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12.81222(8)</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12.85808(14)</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12.88747(7)</w:t>
            </w:r>
          </w:p>
        </w:tc>
        <w:tc>
          <w:tcPr>
            <w:tcW w:w="859" w:type="pct"/>
            <w:tcBorders>
              <w:top w:val="nil"/>
              <w:left w:val="nil"/>
              <w:bottom w:val="nil"/>
              <w:right w:val="nil"/>
            </w:tcBorders>
          </w:tcPr>
          <w:p w:rsidR="00586A4B" w:rsidRPr="00C57412" w:rsidRDefault="00A13739" w:rsidP="00586A4B">
            <w:pPr>
              <w:spacing w:before="60" w:after="60"/>
              <w:jc w:val="center"/>
              <w:rPr>
                <w:lang w:val="es-MX"/>
              </w:rPr>
            </w:pPr>
            <w:r w:rsidRPr="00C57412">
              <w:rPr>
                <w:lang w:val="es-MX"/>
              </w:rPr>
              <w:t>29.4960(6</w:t>
            </w:r>
            <w:r w:rsidR="00586A4B" w:rsidRPr="00C57412">
              <w:rPr>
                <w:lang w:val="es-MX"/>
              </w:rPr>
              <w:t>)</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c (Å)</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29.5087(3)</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29.7274(3)</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29.5715(4)</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29.5246(3)</w:t>
            </w:r>
          </w:p>
        </w:tc>
        <w:tc>
          <w:tcPr>
            <w:tcW w:w="859" w:type="pct"/>
            <w:tcBorders>
              <w:top w:val="nil"/>
              <w:left w:val="nil"/>
              <w:bottom w:val="nil"/>
              <w:right w:val="nil"/>
            </w:tcBorders>
          </w:tcPr>
          <w:p w:rsidR="00586A4B" w:rsidRPr="00C57412" w:rsidRDefault="00A13739" w:rsidP="00586A4B">
            <w:pPr>
              <w:spacing w:before="60" w:after="60"/>
              <w:jc w:val="center"/>
              <w:rPr>
                <w:lang w:val="es-MX"/>
              </w:rPr>
            </w:pPr>
            <w:r w:rsidRPr="00C57412">
              <w:rPr>
                <w:lang w:val="es-MX"/>
              </w:rPr>
              <w:t>17.6717(2</w:t>
            </w:r>
            <w:r w:rsidR="00586A4B" w:rsidRPr="00C57412">
              <w:rPr>
                <w:lang w:val="es-MX"/>
              </w:rPr>
              <w:t>)</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rFonts w:ascii="Symbol" w:hAnsi="Symbol"/>
                <w:lang w:val="es-MX"/>
              </w:rPr>
              <w:t></w:t>
            </w:r>
            <w:r w:rsidRPr="00C57412">
              <w:rPr>
                <w:lang w:val="es-MX"/>
              </w:rPr>
              <w:t xml:space="preserve"> (°)</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tcPr>
          <w:p w:rsidR="00586A4B" w:rsidRPr="00C57412" w:rsidRDefault="00586A4B" w:rsidP="00586A4B">
            <w:pPr>
              <w:spacing w:before="60" w:after="60"/>
              <w:jc w:val="center"/>
              <w:rPr>
                <w:lang w:val="es-MX"/>
              </w:rPr>
            </w:pPr>
            <w:r w:rsidRPr="00C57412">
              <w:rPr>
                <w:lang w:val="es-MX"/>
              </w:rPr>
              <w:t>90</w:t>
            </w:r>
          </w:p>
        </w:tc>
      </w:tr>
      <w:tr w:rsidR="00586A4B" w:rsidRPr="00C57412" w:rsidTr="00586A4B">
        <w:trPr>
          <w:trHeight w:val="188"/>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rFonts w:ascii="Symbol" w:hAnsi="Symbol"/>
                <w:lang w:val="es-MX"/>
              </w:rPr>
              <w:t></w:t>
            </w:r>
            <w:r w:rsidRPr="00C57412">
              <w:rPr>
                <w:lang w:val="es-MX"/>
              </w:rPr>
              <w:t xml:space="preserve"> (°)</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tcPr>
          <w:p w:rsidR="00586A4B" w:rsidRPr="00C57412" w:rsidRDefault="00A13739" w:rsidP="00586A4B">
            <w:pPr>
              <w:spacing w:before="60" w:after="60"/>
              <w:jc w:val="center"/>
              <w:rPr>
                <w:lang w:val="es-MX"/>
              </w:rPr>
            </w:pPr>
            <w:r w:rsidRPr="00C57412">
              <w:rPr>
                <w:lang w:val="es-MX"/>
              </w:rPr>
              <w:t>97.9370(14</w:t>
            </w:r>
            <w:r w:rsidR="00586A4B" w:rsidRPr="00C57412">
              <w:rPr>
                <w:lang w:val="es-MX"/>
              </w:rPr>
              <w:t>)</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rFonts w:ascii="Symbol" w:hAnsi="Symbol"/>
                <w:lang w:val="es-MX"/>
              </w:rPr>
              <w:t></w:t>
            </w:r>
            <w:r w:rsidRPr="00C57412">
              <w:rPr>
                <w:rFonts w:ascii="Symbol" w:hAnsi="Symbol"/>
                <w:lang w:val="es-MX"/>
              </w:rPr>
              <w:t></w:t>
            </w:r>
            <w:r w:rsidRPr="00C57412">
              <w:rPr>
                <w:lang w:val="es-MX"/>
              </w:rPr>
              <w:t>(°)</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90</w:t>
            </w:r>
          </w:p>
        </w:tc>
        <w:tc>
          <w:tcPr>
            <w:tcW w:w="859" w:type="pct"/>
            <w:tcBorders>
              <w:top w:val="nil"/>
              <w:left w:val="nil"/>
              <w:bottom w:val="nil"/>
              <w:right w:val="nil"/>
            </w:tcBorders>
          </w:tcPr>
          <w:p w:rsidR="00586A4B" w:rsidRPr="00C57412" w:rsidRDefault="00586A4B" w:rsidP="00586A4B">
            <w:pPr>
              <w:spacing w:before="60" w:after="60"/>
              <w:jc w:val="center"/>
              <w:rPr>
                <w:lang w:val="es-MX"/>
              </w:rPr>
            </w:pPr>
            <w:r w:rsidRPr="00C57412">
              <w:rPr>
                <w:lang w:val="es-MX"/>
              </w:rPr>
              <w:t>90</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Volume (Å)</w:t>
            </w:r>
            <w:r w:rsidRPr="00C57412">
              <w:rPr>
                <w:vertAlign w:val="superscript"/>
                <w:lang w:val="es-MX"/>
              </w:rPr>
              <w:t>3</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4904.29</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4879.84</w:t>
            </w:r>
          </w:p>
        </w:tc>
        <w:tc>
          <w:tcPr>
            <w:tcW w:w="858" w:type="pct"/>
            <w:tcBorders>
              <w:top w:val="nil"/>
              <w:left w:val="nil"/>
              <w:bottom w:val="nil"/>
              <w:right w:val="nil"/>
            </w:tcBorders>
            <w:vAlign w:val="center"/>
          </w:tcPr>
          <w:p w:rsidR="00586A4B" w:rsidRPr="00C57412" w:rsidRDefault="00586A4B" w:rsidP="00A13739">
            <w:pPr>
              <w:spacing w:before="60" w:after="60"/>
              <w:jc w:val="center"/>
              <w:rPr>
                <w:lang w:val="es-MX"/>
              </w:rPr>
            </w:pPr>
            <w:r w:rsidRPr="00C57412">
              <w:rPr>
                <w:lang w:val="es-MX"/>
              </w:rPr>
              <w:t>4889.0</w:t>
            </w:r>
            <w:r w:rsidR="00A13739" w:rsidRPr="00C57412">
              <w:rPr>
                <w:lang w:val="es-MX"/>
              </w:rPr>
              <w:t>7</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4903.65</w:t>
            </w:r>
          </w:p>
        </w:tc>
        <w:tc>
          <w:tcPr>
            <w:tcW w:w="859" w:type="pct"/>
            <w:tcBorders>
              <w:top w:val="nil"/>
              <w:left w:val="nil"/>
              <w:bottom w:val="nil"/>
              <w:right w:val="nil"/>
            </w:tcBorders>
          </w:tcPr>
          <w:p w:rsidR="00586A4B" w:rsidRPr="00C57412" w:rsidRDefault="00586A4B" w:rsidP="00A13739">
            <w:pPr>
              <w:spacing w:before="60" w:after="60"/>
              <w:jc w:val="center"/>
              <w:rPr>
                <w:lang w:val="es-MX"/>
              </w:rPr>
            </w:pPr>
            <w:r w:rsidRPr="00C57412">
              <w:rPr>
                <w:lang w:val="es-MX"/>
              </w:rPr>
              <w:t>449</w:t>
            </w:r>
            <w:r w:rsidR="00A13739" w:rsidRPr="00C57412">
              <w:rPr>
                <w:lang w:val="es-MX"/>
              </w:rPr>
              <w:t>8.36</w:t>
            </w:r>
          </w:p>
        </w:tc>
      </w:tr>
      <w:tr w:rsidR="00552A2E" w:rsidRPr="00C57412" w:rsidTr="00586A4B">
        <w:trPr>
          <w:jc w:val="center"/>
        </w:trPr>
        <w:tc>
          <w:tcPr>
            <w:tcW w:w="821" w:type="pct"/>
            <w:tcBorders>
              <w:top w:val="nil"/>
              <w:left w:val="nil"/>
              <w:bottom w:val="nil"/>
              <w:right w:val="nil"/>
            </w:tcBorders>
            <w:vAlign w:val="center"/>
            <w:hideMark/>
          </w:tcPr>
          <w:p w:rsidR="00552A2E" w:rsidRPr="00C57412" w:rsidRDefault="00552A2E" w:rsidP="00586A4B">
            <w:pPr>
              <w:spacing w:before="60" w:after="60"/>
              <w:ind w:left="-142"/>
              <w:jc w:val="center"/>
              <w:rPr>
                <w:lang w:val="es-MX"/>
              </w:rPr>
            </w:pPr>
            <w:r w:rsidRPr="00C57412">
              <w:rPr>
                <w:lang w:val="es-MX"/>
              </w:rPr>
              <w:t>Density (g/cm</w:t>
            </w:r>
            <w:r w:rsidRPr="00C57412">
              <w:rPr>
                <w:vertAlign w:val="superscript"/>
                <w:lang w:val="es-MX"/>
              </w:rPr>
              <w:t>3</w:t>
            </w:r>
            <w:r w:rsidRPr="00C57412">
              <w:rPr>
                <w:lang w:val="es-MX"/>
              </w:rPr>
              <w:t>)</w:t>
            </w:r>
          </w:p>
        </w:tc>
        <w:tc>
          <w:tcPr>
            <w:tcW w:w="799" w:type="pct"/>
            <w:tcBorders>
              <w:top w:val="nil"/>
              <w:left w:val="nil"/>
              <w:bottom w:val="nil"/>
              <w:right w:val="nil"/>
            </w:tcBorders>
            <w:vAlign w:val="center"/>
          </w:tcPr>
          <w:p w:rsidR="00552A2E" w:rsidRPr="00C57412" w:rsidRDefault="00552A2E" w:rsidP="00586A4B">
            <w:pPr>
              <w:spacing w:before="60" w:after="60"/>
              <w:jc w:val="center"/>
              <w:rPr>
                <w:lang w:val="es-MX"/>
              </w:rPr>
            </w:pPr>
            <w:r w:rsidRPr="00C57412">
              <w:rPr>
                <w:lang w:val="es-MX"/>
              </w:rPr>
              <w:t>1.421</w:t>
            </w:r>
          </w:p>
        </w:tc>
        <w:tc>
          <w:tcPr>
            <w:tcW w:w="803" w:type="pct"/>
            <w:tcBorders>
              <w:top w:val="nil"/>
              <w:left w:val="nil"/>
              <w:bottom w:val="nil"/>
              <w:right w:val="nil"/>
            </w:tcBorders>
            <w:vAlign w:val="center"/>
          </w:tcPr>
          <w:p w:rsidR="00552A2E" w:rsidRPr="00C57412" w:rsidRDefault="00552A2E" w:rsidP="00586A4B">
            <w:pPr>
              <w:spacing w:before="60" w:after="60"/>
              <w:jc w:val="center"/>
              <w:rPr>
                <w:lang w:val="es-MX"/>
              </w:rPr>
            </w:pPr>
            <w:r w:rsidRPr="00C57412">
              <w:rPr>
                <w:lang w:val="es-MX"/>
              </w:rPr>
              <w:t>1.420</w:t>
            </w:r>
          </w:p>
        </w:tc>
        <w:tc>
          <w:tcPr>
            <w:tcW w:w="858" w:type="pct"/>
            <w:tcBorders>
              <w:top w:val="nil"/>
              <w:left w:val="nil"/>
              <w:bottom w:val="nil"/>
              <w:right w:val="nil"/>
            </w:tcBorders>
            <w:vAlign w:val="center"/>
          </w:tcPr>
          <w:p w:rsidR="00552A2E" w:rsidRPr="00C57412" w:rsidRDefault="00552A2E" w:rsidP="00A13739">
            <w:pPr>
              <w:spacing w:before="60" w:after="60"/>
              <w:jc w:val="center"/>
              <w:rPr>
                <w:lang w:val="es-MX"/>
              </w:rPr>
            </w:pPr>
            <w:r w:rsidRPr="00C57412">
              <w:rPr>
                <w:lang w:val="es-MX"/>
              </w:rPr>
              <w:t>1.363</w:t>
            </w:r>
          </w:p>
        </w:tc>
        <w:tc>
          <w:tcPr>
            <w:tcW w:w="859" w:type="pct"/>
            <w:tcBorders>
              <w:top w:val="nil"/>
              <w:left w:val="nil"/>
              <w:bottom w:val="nil"/>
              <w:right w:val="nil"/>
            </w:tcBorders>
            <w:vAlign w:val="center"/>
          </w:tcPr>
          <w:p w:rsidR="00552A2E" w:rsidRPr="00C57412" w:rsidRDefault="00552A2E" w:rsidP="00586A4B">
            <w:pPr>
              <w:spacing w:before="60" w:after="60"/>
              <w:jc w:val="center"/>
              <w:rPr>
                <w:lang w:val="es-MX"/>
              </w:rPr>
            </w:pPr>
            <w:r w:rsidRPr="00C57412">
              <w:rPr>
                <w:lang w:val="es-MX"/>
              </w:rPr>
              <w:t>1.421</w:t>
            </w:r>
          </w:p>
        </w:tc>
        <w:tc>
          <w:tcPr>
            <w:tcW w:w="859" w:type="pct"/>
            <w:tcBorders>
              <w:top w:val="nil"/>
              <w:left w:val="nil"/>
              <w:bottom w:val="nil"/>
              <w:right w:val="nil"/>
            </w:tcBorders>
          </w:tcPr>
          <w:p w:rsidR="00552A2E" w:rsidRPr="00C57412" w:rsidRDefault="00552A2E" w:rsidP="00A13739">
            <w:pPr>
              <w:spacing w:before="60" w:after="60"/>
              <w:jc w:val="center"/>
              <w:rPr>
                <w:lang w:val="es-MX"/>
              </w:rPr>
            </w:pPr>
            <w:r w:rsidRPr="00C57412">
              <w:rPr>
                <w:lang w:val="es-MX"/>
              </w:rPr>
              <w:t>1.360</w:t>
            </w:r>
          </w:p>
        </w:tc>
      </w:tr>
      <w:tr w:rsidR="00586A4B" w:rsidRPr="00C57412" w:rsidTr="00586A4B">
        <w:trPr>
          <w:jc w:val="center"/>
        </w:trPr>
        <w:tc>
          <w:tcPr>
            <w:tcW w:w="821" w:type="pct"/>
            <w:tcBorders>
              <w:top w:val="nil"/>
              <w:left w:val="nil"/>
              <w:bottom w:val="nil"/>
              <w:right w:val="nil"/>
            </w:tcBorders>
            <w:vAlign w:val="center"/>
            <w:hideMark/>
          </w:tcPr>
          <w:p w:rsidR="00586A4B" w:rsidRPr="00C57412" w:rsidRDefault="00586A4B" w:rsidP="00586A4B">
            <w:pPr>
              <w:spacing w:before="60" w:after="60"/>
              <w:ind w:left="-142"/>
              <w:jc w:val="center"/>
              <w:rPr>
                <w:lang w:val="es-MX"/>
              </w:rPr>
            </w:pPr>
            <w:r w:rsidRPr="00C57412">
              <w:rPr>
                <w:lang w:val="es-MX"/>
              </w:rPr>
              <w:t>Z</w:t>
            </w:r>
          </w:p>
        </w:tc>
        <w:tc>
          <w:tcPr>
            <w:tcW w:w="79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8</w:t>
            </w:r>
          </w:p>
        </w:tc>
        <w:tc>
          <w:tcPr>
            <w:tcW w:w="803"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8</w:t>
            </w:r>
          </w:p>
        </w:tc>
        <w:tc>
          <w:tcPr>
            <w:tcW w:w="858"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8</w:t>
            </w:r>
          </w:p>
        </w:tc>
        <w:tc>
          <w:tcPr>
            <w:tcW w:w="859" w:type="pct"/>
            <w:tcBorders>
              <w:top w:val="nil"/>
              <w:left w:val="nil"/>
              <w:bottom w:val="nil"/>
              <w:right w:val="nil"/>
            </w:tcBorders>
            <w:vAlign w:val="center"/>
          </w:tcPr>
          <w:p w:rsidR="00586A4B" w:rsidRPr="00C57412" w:rsidRDefault="00586A4B" w:rsidP="00586A4B">
            <w:pPr>
              <w:spacing w:before="60" w:after="60"/>
              <w:jc w:val="center"/>
              <w:rPr>
                <w:lang w:val="es-MX"/>
              </w:rPr>
            </w:pPr>
            <w:r w:rsidRPr="00C57412">
              <w:rPr>
                <w:lang w:val="es-MX"/>
              </w:rPr>
              <w:t>8</w:t>
            </w:r>
          </w:p>
        </w:tc>
        <w:tc>
          <w:tcPr>
            <w:tcW w:w="859" w:type="pct"/>
            <w:tcBorders>
              <w:top w:val="nil"/>
              <w:left w:val="nil"/>
              <w:bottom w:val="nil"/>
              <w:right w:val="nil"/>
            </w:tcBorders>
          </w:tcPr>
          <w:p w:rsidR="00586A4B" w:rsidRPr="00C57412" w:rsidRDefault="00586A4B" w:rsidP="00586A4B">
            <w:pPr>
              <w:spacing w:before="60" w:after="60"/>
              <w:jc w:val="center"/>
              <w:rPr>
                <w:lang w:val="es-MX"/>
              </w:rPr>
            </w:pPr>
            <w:r w:rsidRPr="00C57412">
              <w:rPr>
                <w:lang w:val="es-MX"/>
              </w:rPr>
              <w:t>8</w:t>
            </w:r>
          </w:p>
        </w:tc>
      </w:tr>
      <w:tr w:rsidR="00586A4B" w:rsidRPr="00C57412" w:rsidTr="00586A4B">
        <w:trPr>
          <w:jc w:val="center"/>
        </w:trPr>
        <w:tc>
          <w:tcPr>
            <w:tcW w:w="821" w:type="pct"/>
            <w:tcBorders>
              <w:top w:val="nil"/>
              <w:left w:val="nil"/>
              <w:bottom w:val="single" w:sz="4" w:space="0" w:color="auto"/>
              <w:right w:val="nil"/>
            </w:tcBorders>
            <w:vAlign w:val="center"/>
            <w:hideMark/>
          </w:tcPr>
          <w:p w:rsidR="00586A4B" w:rsidRPr="00C57412" w:rsidRDefault="00586A4B" w:rsidP="00586A4B">
            <w:pPr>
              <w:spacing w:before="60" w:after="60"/>
              <w:ind w:left="-142"/>
              <w:jc w:val="center"/>
              <w:rPr>
                <w:lang w:val="es-MX"/>
              </w:rPr>
            </w:pPr>
            <w:r w:rsidRPr="00C57412">
              <w:rPr>
                <w:lang w:val="es-MX"/>
              </w:rPr>
              <w:t>R value</w:t>
            </w:r>
            <w:r w:rsidR="00A80AC9" w:rsidRPr="00C57412">
              <w:rPr>
                <w:lang w:val="es-MX"/>
              </w:rPr>
              <w:t>*</w:t>
            </w:r>
          </w:p>
        </w:tc>
        <w:tc>
          <w:tcPr>
            <w:tcW w:w="799" w:type="pct"/>
            <w:tcBorders>
              <w:top w:val="nil"/>
              <w:left w:val="nil"/>
              <w:bottom w:val="single" w:sz="4" w:space="0" w:color="auto"/>
              <w:right w:val="nil"/>
            </w:tcBorders>
            <w:vAlign w:val="center"/>
          </w:tcPr>
          <w:p w:rsidR="00586A4B" w:rsidRPr="00C57412" w:rsidRDefault="00586A4B" w:rsidP="00A13739">
            <w:pPr>
              <w:spacing w:before="60" w:after="60"/>
              <w:jc w:val="center"/>
              <w:rPr>
                <w:lang w:val="es-MX"/>
              </w:rPr>
            </w:pPr>
            <w:r w:rsidRPr="00C57412">
              <w:rPr>
                <w:lang w:val="es-MX"/>
              </w:rPr>
              <w:t>0.047</w:t>
            </w:r>
          </w:p>
        </w:tc>
        <w:tc>
          <w:tcPr>
            <w:tcW w:w="803" w:type="pct"/>
            <w:tcBorders>
              <w:top w:val="nil"/>
              <w:left w:val="nil"/>
              <w:bottom w:val="single" w:sz="4" w:space="0" w:color="auto"/>
              <w:right w:val="nil"/>
            </w:tcBorders>
            <w:vAlign w:val="center"/>
          </w:tcPr>
          <w:p w:rsidR="00586A4B" w:rsidRPr="00C57412" w:rsidRDefault="00586A4B" w:rsidP="00A13739">
            <w:pPr>
              <w:spacing w:before="60" w:after="60"/>
              <w:jc w:val="center"/>
              <w:rPr>
                <w:lang w:val="es-MX"/>
              </w:rPr>
            </w:pPr>
            <w:r w:rsidRPr="00C57412">
              <w:rPr>
                <w:lang w:val="es-MX"/>
              </w:rPr>
              <w:t>0.05</w:t>
            </w:r>
            <w:r w:rsidR="00A13739" w:rsidRPr="00C57412">
              <w:rPr>
                <w:lang w:val="es-MX"/>
              </w:rPr>
              <w:t>8</w:t>
            </w:r>
          </w:p>
        </w:tc>
        <w:tc>
          <w:tcPr>
            <w:tcW w:w="858" w:type="pct"/>
            <w:tcBorders>
              <w:top w:val="nil"/>
              <w:left w:val="nil"/>
              <w:bottom w:val="single" w:sz="4" w:space="0" w:color="auto"/>
              <w:right w:val="nil"/>
            </w:tcBorders>
            <w:vAlign w:val="center"/>
          </w:tcPr>
          <w:p w:rsidR="00586A4B" w:rsidRPr="00C57412" w:rsidRDefault="00586A4B" w:rsidP="00A13739">
            <w:pPr>
              <w:spacing w:before="60" w:after="60"/>
              <w:jc w:val="center"/>
              <w:rPr>
                <w:lang w:val="es-MX"/>
              </w:rPr>
            </w:pPr>
            <w:r w:rsidRPr="00C57412">
              <w:rPr>
                <w:lang w:val="es-MX"/>
              </w:rPr>
              <w:t>0.06</w:t>
            </w:r>
            <w:r w:rsidR="00A13739" w:rsidRPr="00C57412">
              <w:rPr>
                <w:lang w:val="es-MX"/>
              </w:rPr>
              <w:t>3</w:t>
            </w:r>
          </w:p>
        </w:tc>
        <w:tc>
          <w:tcPr>
            <w:tcW w:w="859" w:type="pct"/>
            <w:tcBorders>
              <w:top w:val="nil"/>
              <w:left w:val="nil"/>
              <w:bottom w:val="single" w:sz="4" w:space="0" w:color="auto"/>
              <w:right w:val="nil"/>
            </w:tcBorders>
            <w:vAlign w:val="center"/>
          </w:tcPr>
          <w:p w:rsidR="00586A4B" w:rsidRPr="00C57412" w:rsidRDefault="00586A4B" w:rsidP="00A13739">
            <w:pPr>
              <w:spacing w:before="60" w:after="60"/>
              <w:jc w:val="center"/>
              <w:rPr>
                <w:lang w:val="es-MX"/>
              </w:rPr>
            </w:pPr>
            <w:r w:rsidRPr="00C57412">
              <w:rPr>
                <w:lang w:val="es-MX"/>
              </w:rPr>
              <w:t>0.0</w:t>
            </w:r>
            <w:r w:rsidR="00A13739" w:rsidRPr="00C57412">
              <w:rPr>
                <w:lang w:val="es-MX"/>
              </w:rPr>
              <w:t>60</w:t>
            </w:r>
          </w:p>
        </w:tc>
        <w:tc>
          <w:tcPr>
            <w:tcW w:w="859" w:type="pct"/>
            <w:tcBorders>
              <w:top w:val="nil"/>
              <w:left w:val="nil"/>
              <w:bottom w:val="single" w:sz="4" w:space="0" w:color="auto"/>
              <w:right w:val="nil"/>
            </w:tcBorders>
          </w:tcPr>
          <w:p w:rsidR="00586A4B" w:rsidRPr="00C57412" w:rsidRDefault="00586A4B" w:rsidP="00A13739">
            <w:pPr>
              <w:spacing w:before="60" w:after="60"/>
              <w:jc w:val="center"/>
              <w:rPr>
                <w:lang w:val="es-MX"/>
              </w:rPr>
            </w:pPr>
            <w:r w:rsidRPr="00C57412">
              <w:rPr>
                <w:lang w:val="es-MX"/>
              </w:rPr>
              <w:t>0.04</w:t>
            </w:r>
            <w:r w:rsidR="00A13739" w:rsidRPr="00C57412">
              <w:rPr>
                <w:lang w:val="es-MX"/>
              </w:rPr>
              <w:t>5</w:t>
            </w:r>
          </w:p>
        </w:tc>
      </w:tr>
    </w:tbl>
    <w:p w:rsidR="00A80AC9" w:rsidRPr="00C57412" w:rsidRDefault="00A80AC9" w:rsidP="00A80AC9">
      <w:pPr>
        <w:rPr>
          <w:sz w:val="22"/>
          <w:lang w:val="en-US"/>
        </w:rPr>
      </w:pPr>
      <w:r w:rsidRPr="00C57412">
        <w:rPr>
          <w:sz w:val="22"/>
          <w:lang w:val="en-US"/>
        </w:rPr>
        <w:t>*listed R-factors are for data with F2 &gt;2</w:t>
      </w:r>
      <w:r w:rsidRPr="00C57412">
        <w:rPr>
          <w:sz w:val="22"/>
        </w:rPr>
        <w:t>σ</w:t>
      </w:r>
      <w:r w:rsidRPr="00C57412">
        <w:rPr>
          <w:sz w:val="22"/>
          <w:lang w:val="en-US"/>
        </w:rPr>
        <w:t>(F2)</w:t>
      </w:r>
    </w:p>
    <w:p w:rsidR="008F082C" w:rsidRPr="00C57412" w:rsidRDefault="008F082C" w:rsidP="008F082C">
      <w:pPr>
        <w:spacing w:after="0"/>
        <w:ind w:firstLine="567"/>
        <w:jc w:val="both"/>
        <w:rPr>
          <w:lang w:val="en-US"/>
        </w:rPr>
      </w:pPr>
      <w:r w:rsidRPr="00C57412">
        <w:rPr>
          <w:lang w:val="en-US"/>
        </w:rPr>
        <w:t xml:space="preserve">In the case of coformers used in this study, all of them already have known crystal structures. Resorcinol and hydroquinone are closely related positional isomers, but they exhibit somewhat different crystallization preferences. For resorcinol there </w:t>
      </w:r>
      <w:r w:rsidR="000C578B" w:rsidRPr="00C57412">
        <w:rPr>
          <w:lang w:val="en-US"/>
        </w:rPr>
        <w:t>are three</w:t>
      </w:r>
      <w:r w:rsidRPr="00C57412">
        <w:rPr>
          <w:lang w:val="en-US"/>
        </w:rPr>
        <w:t xml:space="preserve"> known crystal form</w:t>
      </w:r>
      <w:r w:rsidR="000C578B" w:rsidRPr="00C57412">
        <w:rPr>
          <w:lang w:val="en-US"/>
        </w:rPr>
        <w:t xml:space="preserve">s, </w:t>
      </w:r>
      <w:r w:rsidR="000C578B" w:rsidRPr="00C57412">
        <w:rPr>
          <w:rFonts w:cs="Times New Roman"/>
          <w:i/>
          <w:lang w:val="en-US"/>
        </w:rPr>
        <w:t>α</w:t>
      </w:r>
      <w:r w:rsidR="000C578B" w:rsidRPr="00C57412">
        <w:rPr>
          <w:lang w:val="en-US"/>
        </w:rPr>
        <w:t xml:space="preserve">, </w:t>
      </w:r>
      <w:r w:rsidR="000C578B" w:rsidRPr="00C57412">
        <w:rPr>
          <w:rFonts w:cs="Times New Roman"/>
          <w:i/>
          <w:lang w:val="en-US"/>
        </w:rPr>
        <w:t>β</w:t>
      </w:r>
      <w:r w:rsidR="000C578B" w:rsidRPr="00C57412">
        <w:rPr>
          <w:lang w:val="en-US"/>
        </w:rPr>
        <w:t xml:space="preserve">, and </w:t>
      </w:r>
      <w:r w:rsidR="000C578B" w:rsidRPr="00C57412">
        <w:rPr>
          <w:rFonts w:cs="Times New Roman"/>
          <w:i/>
          <w:lang w:val="en-US"/>
        </w:rPr>
        <w:t>ε</w:t>
      </w:r>
      <w:r w:rsidRPr="00C57412">
        <w:rPr>
          <w:lang w:val="en-US"/>
        </w:rPr>
        <w:t xml:space="preserve"> (with RESORA CSD refcode</w:t>
      </w:r>
      <w:r w:rsidR="0051585C" w:rsidRPr="00C57412">
        <w:rPr>
          <w:lang w:val="en-US"/>
        </w:rPr>
        <w:t>) (Bacon &amp; Jude, 1973</w:t>
      </w:r>
      <w:r w:rsidR="00D255E9" w:rsidRPr="00C57412">
        <w:rPr>
          <w:lang w:val="en-US"/>
        </w:rPr>
        <w:t xml:space="preserve">; Bacon &amp; Lisher, 1980; Zhu </w:t>
      </w:r>
      <w:r w:rsidR="00D255E9" w:rsidRPr="00C57412">
        <w:rPr>
          <w:i/>
          <w:lang w:val="en-US"/>
        </w:rPr>
        <w:t>et al.</w:t>
      </w:r>
      <w:r w:rsidR="00D255E9" w:rsidRPr="00C57412">
        <w:rPr>
          <w:lang w:val="en-US"/>
        </w:rPr>
        <w:t xml:space="preserve">, </w:t>
      </w:r>
      <w:r w:rsidR="007B7443" w:rsidRPr="00C57412">
        <w:rPr>
          <w:lang w:val="en-US"/>
        </w:rPr>
        <w:t>2016</w:t>
      </w:r>
      <w:r w:rsidRPr="00C57412">
        <w:rPr>
          <w:lang w:val="en-US"/>
        </w:rPr>
        <w:t xml:space="preserve">), </w:t>
      </w:r>
      <w:r w:rsidR="000C578B" w:rsidRPr="00C57412">
        <w:rPr>
          <w:lang w:val="en-US"/>
        </w:rPr>
        <w:t xml:space="preserve">two </w:t>
      </w:r>
      <w:r w:rsidRPr="00C57412">
        <w:rPr>
          <w:lang w:val="en-US"/>
        </w:rPr>
        <w:t xml:space="preserve">having </w:t>
      </w:r>
      <w:r w:rsidRPr="00C57412">
        <w:rPr>
          <w:i/>
          <w:lang w:val="en-US"/>
        </w:rPr>
        <w:t>P</w:t>
      </w:r>
      <w:r w:rsidRPr="00C57412">
        <w:rPr>
          <w:lang w:val="en-US"/>
        </w:rPr>
        <w:t>na2</w:t>
      </w:r>
      <w:r w:rsidRPr="00C57412">
        <w:rPr>
          <w:vertAlign w:val="subscript"/>
          <w:lang w:val="en-US"/>
        </w:rPr>
        <w:t>1</w:t>
      </w:r>
      <w:r w:rsidRPr="00C57412">
        <w:rPr>
          <w:lang w:val="en-US"/>
        </w:rPr>
        <w:t xml:space="preserve"> </w:t>
      </w:r>
      <w:r w:rsidR="000C578B" w:rsidRPr="00C57412">
        <w:rPr>
          <w:lang w:val="en-US"/>
        </w:rPr>
        <w:t xml:space="preserve">and one </w:t>
      </w:r>
      <w:r w:rsidR="000C578B" w:rsidRPr="00C57412">
        <w:rPr>
          <w:i/>
          <w:lang w:val="en-US"/>
        </w:rPr>
        <w:t>P</w:t>
      </w:r>
      <w:r w:rsidR="000C578B" w:rsidRPr="00C57412">
        <w:rPr>
          <w:lang w:val="en-US"/>
        </w:rPr>
        <w:t>2</w:t>
      </w:r>
      <w:r w:rsidR="000C578B" w:rsidRPr="00C57412">
        <w:rPr>
          <w:vertAlign w:val="subscript"/>
          <w:lang w:val="en-US"/>
        </w:rPr>
        <w:t>1</w:t>
      </w:r>
      <w:r w:rsidR="000C578B" w:rsidRPr="00C57412">
        <w:rPr>
          <w:lang w:val="en-US"/>
        </w:rPr>
        <w:t>2</w:t>
      </w:r>
      <w:r w:rsidR="000C578B" w:rsidRPr="00C57412">
        <w:rPr>
          <w:vertAlign w:val="subscript"/>
          <w:lang w:val="en-US"/>
        </w:rPr>
        <w:t>1</w:t>
      </w:r>
      <w:r w:rsidR="000C578B" w:rsidRPr="00C57412">
        <w:rPr>
          <w:lang w:val="en-US"/>
        </w:rPr>
        <w:t>2</w:t>
      </w:r>
      <w:r w:rsidR="000C578B" w:rsidRPr="00C57412">
        <w:rPr>
          <w:vertAlign w:val="subscript"/>
          <w:lang w:val="en-US"/>
        </w:rPr>
        <w:t>1</w:t>
      </w:r>
      <w:r w:rsidR="000C578B" w:rsidRPr="00C57412">
        <w:rPr>
          <w:lang w:val="en-US"/>
        </w:rPr>
        <w:t xml:space="preserve"> </w:t>
      </w:r>
      <w:r w:rsidRPr="00C57412">
        <w:rPr>
          <w:lang w:val="en-US"/>
        </w:rPr>
        <w:t>space group symmetry</w:t>
      </w:r>
      <w:r w:rsidR="000C578B" w:rsidRPr="00C57412">
        <w:rPr>
          <w:lang w:val="en-US"/>
        </w:rPr>
        <w:t>.</w:t>
      </w:r>
      <w:r w:rsidRPr="00C57412">
        <w:rPr>
          <w:lang w:val="en-US"/>
        </w:rPr>
        <w:t xml:space="preserve"> </w:t>
      </w:r>
      <w:r w:rsidR="000C578B" w:rsidRPr="00C57412">
        <w:rPr>
          <w:lang w:val="en-US"/>
        </w:rPr>
        <w:t>Similarly,</w:t>
      </w:r>
      <w:r w:rsidRPr="00C57412">
        <w:rPr>
          <w:lang w:val="en-US"/>
        </w:rPr>
        <w:t xml:space="preserve"> hydroquinone crystallizes in one of the three known crystal forms: </w:t>
      </w:r>
      <w:r w:rsidRPr="00C57412">
        <w:rPr>
          <w:rFonts w:cs="Times New Roman"/>
          <w:i/>
          <w:lang w:val="en-US"/>
        </w:rPr>
        <w:t>α</w:t>
      </w:r>
      <w:r w:rsidRPr="00C57412">
        <w:rPr>
          <w:lang w:val="en-US"/>
        </w:rPr>
        <w:t xml:space="preserve">, </w:t>
      </w:r>
      <w:r w:rsidRPr="00C57412">
        <w:rPr>
          <w:rFonts w:cs="Times New Roman"/>
          <w:i/>
          <w:lang w:val="en-US"/>
        </w:rPr>
        <w:t>β</w:t>
      </w:r>
      <w:r w:rsidRPr="00C57412">
        <w:rPr>
          <w:lang w:val="en-US"/>
        </w:rPr>
        <w:t xml:space="preserve">, and </w:t>
      </w:r>
      <w:r w:rsidRPr="00C57412">
        <w:rPr>
          <w:rFonts w:cs="Times New Roman"/>
          <w:i/>
          <w:lang w:val="en-US"/>
        </w:rPr>
        <w:t>γ</w:t>
      </w:r>
      <w:r w:rsidRPr="00C57412">
        <w:rPr>
          <w:rFonts w:cs="Times New Roman"/>
          <w:lang w:val="en-US"/>
        </w:rPr>
        <w:t xml:space="preserve"> (all having refcodes starting with HYQUIN</w:t>
      </w:r>
      <w:r w:rsidR="0051585C" w:rsidRPr="00C57412">
        <w:rPr>
          <w:rFonts w:cs="Times New Roman"/>
          <w:lang w:val="en-US"/>
        </w:rPr>
        <w:t xml:space="preserve">) (Maartmann-Moe, 1966; Lindeman </w:t>
      </w:r>
      <w:r w:rsidR="0051585C" w:rsidRPr="00C57412">
        <w:rPr>
          <w:rFonts w:cs="Times New Roman"/>
          <w:i/>
          <w:lang w:val="en-US"/>
        </w:rPr>
        <w:t>et al</w:t>
      </w:r>
      <w:r w:rsidR="0051585C" w:rsidRPr="00C57412">
        <w:rPr>
          <w:rFonts w:cs="Times New Roman"/>
          <w:lang w:val="en-US"/>
        </w:rPr>
        <w:t>., 1981</w:t>
      </w:r>
      <w:r w:rsidRPr="00C57412">
        <w:rPr>
          <w:rFonts w:cs="Times New Roman"/>
          <w:lang w:val="en-US"/>
        </w:rPr>
        <w:t>)</w:t>
      </w:r>
      <w:r w:rsidRPr="00C57412">
        <w:rPr>
          <w:lang w:val="en-US"/>
        </w:rPr>
        <w:t xml:space="preserve">, with </w:t>
      </w:r>
      <w:r w:rsidRPr="00C57412">
        <w:rPr>
          <w:i/>
          <w:lang w:val="en-US"/>
        </w:rPr>
        <w:t>P</w:t>
      </w:r>
      <w:r w:rsidRPr="00C57412">
        <w:rPr>
          <w:lang w:val="en-US"/>
        </w:rPr>
        <w:t>2</w:t>
      </w:r>
      <w:r w:rsidRPr="00C57412">
        <w:rPr>
          <w:vertAlign w:val="subscript"/>
          <w:lang w:val="en-US"/>
        </w:rPr>
        <w:t>1</w:t>
      </w:r>
      <w:r w:rsidRPr="00C57412">
        <w:rPr>
          <w:lang w:val="en-US"/>
        </w:rPr>
        <w:t xml:space="preserve">/c, </w:t>
      </w:r>
      <w:r w:rsidRPr="00C57412">
        <w:rPr>
          <w:i/>
          <w:lang w:val="en-US"/>
        </w:rPr>
        <w:t>P</w:t>
      </w:r>
      <w:r w:rsidRPr="00C57412">
        <w:rPr>
          <w:lang w:val="en-US"/>
        </w:rPr>
        <w:t xml:space="preserve">3 and </w:t>
      </w:r>
      <w:r w:rsidRPr="00C57412">
        <w:rPr>
          <w:i/>
          <w:lang w:val="en-US"/>
        </w:rPr>
        <w:t>R</w:t>
      </w:r>
      <w:r w:rsidRPr="00C57412">
        <w:rPr>
          <w:lang w:val="en-US"/>
        </w:rPr>
        <w:t>-3 space group symmetry, respectively.</w:t>
      </w:r>
      <w:r w:rsidR="000C578B" w:rsidRPr="00C57412">
        <w:rPr>
          <w:lang w:val="en-US"/>
        </w:rPr>
        <w:t xml:space="preserve"> In each of these crystal forms</w:t>
      </w:r>
      <w:r w:rsidRPr="00C57412">
        <w:rPr>
          <w:lang w:val="en-US"/>
        </w:rPr>
        <w:t xml:space="preserve"> both hydroxyl groups are engaged each in two hydrogen bonds: one as a donor and one as an </w:t>
      </w:r>
      <w:r w:rsidRPr="00C57412">
        <w:rPr>
          <w:lang w:val="en-US"/>
        </w:rPr>
        <w:lastRenderedPageBreak/>
        <w:t xml:space="preserve">acceptor of the bond. </w:t>
      </w:r>
      <w:r w:rsidR="000C578B" w:rsidRPr="00C57412">
        <w:rPr>
          <w:lang w:val="en-US"/>
        </w:rPr>
        <w:t>Also</w:t>
      </w:r>
      <w:r w:rsidRPr="00C57412">
        <w:rPr>
          <w:lang w:val="en-US"/>
        </w:rPr>
        <w:t xml:space="preserve"> in picolinamide (refcode PICAMD)</w:t>
      </w:r>
      <w:r w:rsidR="0051585C" w:rsidRPr="00C57412">
        <w:rPr>
          <w:lang w:val="en-US"/>
        </w:rPr>
        <w:t xml:space="preserve"> (Evora </w:t>
      </w:r>
      <w:r w:rsidR="0051585C" w:rsidRPr="00C57412">
        <w:rPr>
          <w:rFonts w:cs="Times New Roman"/>
          <w:i/>
          <w:lang w:val="en-US"/>
        </w:rPr>
        <w:t>et al</w:t>
      </w:r>
      <w:r w:rsidR="0051585C" w:rsidRPr="00C57412">
        <w:rPr>
          <w:rFonts w:cs="Times New Roman"/>
          <w:lang w:val="en-US"/>
        </w:rPr>
        <w:t>., 2012</w:t>
      </w:r>
      <w:r w:rsidR="0051585C" w:rsidRPr="00C57412">
        <w:rPr>
          <w:lang w:val="en-US"/>
        </w:rPr>
        <w:t>)</w:t>
      </w:r>
      <w:r w:rsidRPr="00C57412">
        <w:rPr>
          <w:lang w:val="en-US"/>
        </w:rPr>
        <w:t>, as well as in imidazole crystals (refcode IMAZOL)</w:t>
      </w:r>
      <w:r w:rsidR="0051585C" w:rsidRPr="00C57412">
        <w:rPr>
          <w:lang w:val="en-US"/>
        </w:rPr>
        <w:t xml:space="preserve"> (Craven </w:t>
      </w:r>
      <w:r w:rsidR="0051585C" w:rsidRPr="00C57412">
        <w:rPr>
          <w:rFonts w:cs="Times New Roman"/>
          <w:i/>
          <w:lang w:val="en-US"/>
        </w:rPr>
        <w:t>et al</w:t>
      </w:r>
      <w:r w:rsidR="0051585C" w:rsidRPr="00C57412">
        <w:rPr>
          <w:rFonts w:cs="Times New Roman"/>
          <w:lang w:val="en-US"/>
        </w:rPr>
        <w:t>., 1977</w:t>
      </w:r>
      <w:r w:rsidR="0051585C" w:rsidRPr="00C57412">
        <w:rPr>
          <w:lang w:val="en-US"/>
        </w:rPr>
        <w:t>)</w:t>
      </w:r>
      <w:r w:rsidRPr="00C57412">
        <w:rPr>
          <w:lang w:val="en-US"/>
        </w:rPr>
        <w:t>, hydrogen bonds govern the crystal packing of these molecules (Figure 3). Our choice of coformers for the preparation of APR cocrystals was based on their tendency to form both hydrogen bonds and aromatic – aromatic interactions. However, as can be seen from the data presented above and in Figure 3, in all crystals of the selected coformers aromatic – aromatic interactions are either not observed, or arranged in such a way as to not distort the hydrogen bonding pattern. Contrarily, in APR molecules mainly aromatic – aromatic interactions govern the observed packing.</w:t>
      </w:r>
    </w:p>
    <w:p w:rsidR="007B74A0" w:rsidRPr="00C57412" w:rsidRDefault="002223A2" w:rsidP="008A2742">
      <w:pPr>
        <w:jc w:val="both"/>
        <w:rPr>
          <w:lang w:val="en-US"/>
        </w:rPr>
      </w:pPr>
      <w:r w:rsidRPr="00C57412">
        <w:rPr>
          <w:noProof/>
          <w:lang w:eastAsia="pl-PL"/>
        </w:rPr>
        <w:drawing>
          <wp:inline distT="0" distB="0" distL="0" distR="0">
            <wp:extent cx="5760720" cy="3213848"/>
            <wp:effectExtent l="0" t="0" r="0" b="0"/>
            <wp:docPr id="1" name="Obraz 1" descr="C:\Users\Marta\Desktop\publikacje_2019\apr_paper2\Figure3_HB_in_coformers_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publikacje_2019\apr_paper2\Figure3_HB_in_coformers_rev.tif"/>
                    <pic:cNvPicPr>
                      <a:picLocks noChangeAspect="1" noChangeArrowheads="1"/>
                    </pic:cNvPicPr>
                  </pic:nvPicPr>
                  <pic:blipFill>
                    <a:blip r:embed="rId10" cstate="print"/>
                    <a:srcRect/>
                    <a:stretch>
                      <a:fillRect/>
                    </a:stretch>
                  </pic:blipFill>
                  <pic:spPr bwMode="auto">
                    <a:xfrm>
                      <a:off x="0" y="0"/>
                      <a:ext cx="5760720" cy="3213848"/>
                    </a:xfrm>
                    <a:prstGeom prst="rect">
                      <a:avLst/>
                    </a:prstGeom>
                    <a:noFill/>
                    <a:ln w="9525">
                      <a:noFill/>
                      <a:miter lim="800000"/>
                      <a:headEnd/>
                      <a:tailEnd/>
                    </a:ln>
                  </pic:spPr>
                </pic:pic>
              </a:graphicData>
            </a:graphic>
          </wp:inline>
        </w:drawing>
      </w:r>
    </w:p>
    <w:p w:rsidR="005E4D9F" w:rsidRPr="00C57412" w:rsidRDefault="005E4D9F" w:rsidP="005E4D9F">
      <w:pPr>
        <w:spacing w:line="276" w:lineRule="auto"/>
        <w:jc w:val="both"/>
        <w:rPr>
          <w:lang w:val="en-US"/>
        </w:rPr>
      </w:pPr>
      <w:r w:rsidRPr="00C57412">
        <w:rPr>
          <w:b/>
          <w:lang w:val="en-US"/>
        </w:rPr>
        <w:t xml:space="preserve">Figure </w:t>
      </w:r>
      <w:r w:rsidR="00E83465" w:rsidRPr="00C57412">
        <w:rPr>
          <w:b/>
          <w:lang w:val="en-US"/>
        </w:rPr>
        <w:t>3</w:t>
      </w:r>
      <w:r w:rsidRPr="00C57412">
        <w:rPr>
          <w:b/>
          <w:lang w:val="en-US"/>
        </w:rPr>
        <w:t>.</w:t>
      </w:r>
      <w:r w:rsidRPr="00C57412">
        <w:rPr>
          <w:lang w:val="en-US"/>
        </w:rPr>
        <w:t xml:space="preserve"> Hydrogen bonding motifs in neat crystals of coformers used in this study: </w:t>
      </w:r>
      <w:r w:rsidR="000C578B" w:rsidRPr="00C57412">
        <w:rPr>
          <w:rFonts w:cs="Times New Roman"/>
          <w:lang w:val="en-US"/>
        </w:rPr>
        <w:t>α</w:t>
      </w:r>
      <w:r w:rsidR="000C578B" w:rsidRPr="00C57412">
        <w:rPr>
          <w:lang w:val="en-US"/>
        </w:rPr>
        <w:t>-</w:t>
      </w:r>
      <w:r w:rsidRPr="00C57412">
        <w:rPr>
          <w:lang w:val="en-US"/>
        </w:rPr>
        <w:t xml:space="preserve">resorcinol (a), picolinamide (b), </w:t>
      </w:r>
      <w:r w:rsidR="000C578B" w:rsidRPr="00C57412">
        <w:rPr>
          <w:rFonts w:cs="Times New Roman"/>
          <w:lang w:val="en-US"/>
        </w:rPr>
        <w:t>α</w:t>
      </w:r>
      <w:r w:rsidR="000C578B" w:rsidRPr="00C57412">
        <w:rPr>
          <w:lang w:val="en-US"/>
        </w:rPr>
        <w:t>-</w:t>
      </w:r>
      <w:r w:rsidRPr="00C57412">
        <w:rPr>
          <w:lang w:val="en-US"/>
        </w:rPr>
        <w:t>hydroquinone (c), and imidazole (d)</w:t>
      </w:r>
      <w:r w:rsidR="00D92AE0" w:rsidRPr="00C57412">
        <w:rPr>
          <w:lang w:val="en-US"/>
        </w:rPr>
        <w:t>.</w:t>
      </w:r>
    </w:p>
    <w:p w:rsidR="001A1FB0" w:rsidRPr="00C57412" w:rsidRDefault="001A1FB0" w:rsidP="00641635">
      <w:pPr>
        <w:jc w:val="both"/>
        <w:rPr>
          <w:i/>
          <w:lang w:val="en-US"/>
        </w:rPr>
      </w:pPr>
    </w:p>
    <w:p w:rsidR="00641635" w:rsidRPr="00C57412" w:rsidRDefault="00641635" w:rsidP="00641635">
      <w:pPr>
        <w:jc w:val="both"/>
        <w:rPr>
          <w:lang w:val="en-US"/>
        </w:rPr>
      </w:pPr>
      <w:r w:rsidRPr="00C57412">
        <w:rPr>
          <w:i/>
          <w:lang w:val="en-US"/>
        </w:rPr>
        <w:t>2) Structural characterization of APR cocrystals.</w:t>
      </w:r>
    </w:p>
    <w:p w:rsidR="003210E9" w:rsidRPr="00C57412" w:rsidRDefault="00FE70BA" w:rsidP="001C19E7">
      <w:pPr>
        <w:ind w:firstLine="567"/>
        <w:jc w:val="both"/>
        <w:rPr>
          <w:lang w:val="en-US"/>
        </w:rPr>
      </w:pPr>
      <w:r w:rsidRPr="00C57412">
        <w:rPr>
          <w:lang w:val="en-US"/>
        </w:rPr>
        <w:t xml:space="preserve">Despite strong propensity of coformers to form hydrogen bonds, </w:t>
      </w:r>
      <w:r w:rsidR="002F38F5" w:rsidRPr="00C57412">
        <w:rPr>
          <w:lang w:val="en-US"/>
        </w:rPr>
        <w:t xml:space="preserve">definitely outweighing their tendency to interact </w:t>
      </w:r>
      <w:r w:rsidR="002F38F5" w:rsidRPr="00C57412">
        <w:rPr>
          <w:i/>
          <w:lang w:val="en-US"/>
        </w:rPr>
        <w:t>via</w:t>
      </w:r>
      <w:r w:rsidR="002F38F5" w:rsidRPr="00C57412">
        <w:rPr>
          <w:lang w:val="en-US"/>
        </w:rPr>
        <w:t xml:space="preserve"> aromatic – aromatic interactions, </w:t>
      </w:r>
      <w:r w:rsidRPr="00C57412">
        <w:rPr>
          <w:lang w:val="en-US"/>
        </w:rPr>
        <w:t>as indicated by the analysis of their pure crystal structures, a</w:t>
      </w:r>
      <w:r w:rsidR="007B74A0" w:rsidRPr="00C57412">
        <w:rPr>
          <w:lang w:val="en-US"/>
        </w:rPr>
        <w:t>ll four cocrysta</w:t>
      </w:r>
      <w:r w:rsidR="004C4A15" w:rsidRPr="00C57412">
        <w:rPr>
          <w:lang w:val="en-US"/>
        </w:rPr>
        <w:t xml:space="preserve">ls </w:t>
      </w:r>
      <w:r w:rsidRPr="00C57412">
        <w:rPr>
          <w:lang w:val="en-US"/>
        </w:rPr>
        <w:t xml:space="preserve">formed by them with APR are isostructural and held together mostly by the aromatic – aromatic interactions. </w:t>
      </w:r>
      <w:r w:rsidR="006C0CA8" w:rsidRPr="00C57412">
        <w:rPr>
          <w:lang w:val="en-US"/>
        </w:rPr>
        <w:t>T</w:t>
      </w:r>
      <w:r w:rsidRPr="00C57412">
        <w:rPr>
          <w:lang w:val="en-US"/>
        </w:rPr>
        <w:t>h</w:t>
      </w:r>
      <w:r w:rsidR="006C0CA8" w:rsidRPr="00C57412">
        <w:rPr>
          <w:lang w:val="en-US"/>
        </w:rPr>
        <w:t xml:space="preserve">is can be concluded from </w:t>
      </w:r>
      <w:r w:rsidR="00D92AE0" w:rsidRPr="00C57412">
        <w:rPr>
          <w:lang w:val="en-US"/>
        </w:rPr>
        <w:t>a very similar</w:t>
      </w:r>
      <w:r w:rsidR="006C0CA8" w:rsidRPr="00C57412">
        <w:rPr>
          <w:lang w:val="en-US"/>
        </w:rPr>
        <w:t xml:space="preserve"> outlook</w:t>
      </w:r>
      <w:r w:rsidRPr="00C57412">
        <w:rPr>
          <w:lang w:val="en-US"/>
        </w:rPr>
        <w:t xml:space="preserve"> of their</w:t>
      </w:r>
      <w:r w:rsidR="007B74A0" w:rsidRPr="00C57412">
        <w:rPr>
          <w:lang w:val="en-US"/>
        </w:rPr>
        <w:t xml:space="preserve"> </w:t>
      </w:r>
      <w:r w:rsidR="007B74A0" w:rsidRPr="00C57412">
        <w:rPr>
          <w:vertAlign w:val="superscript"/>
          <w:lang w:val="en-US"/>
        </w:rPr>
        <w:t>13</w:t>
      </w:r>
      <w:r w:rsidR="007B74A0" w:rsidRPr="00C57412">
        <w:rPr>
          <w:lang w:val="en-US"/>
        </w:rPr>
        <w:t xml:space="preserve">C CPMAS NMR spectra, </w:t>
      </w:r>
      <w:r w:rsidR="006C0CA8" w:rsidRPr="00C57412">
        <w:rPr>
          <w:lang w:val="en-US"/>
        </w:rPr>
        <w:t>very characteristic for systems with</w:t>
      </w:r>
      <w:r w:rsidR="007B74A0" w:rsidRPr="00C57412">
        <w:rPr>
          <w:lang w:val="en-US"/>
        </w:rPr>
        <w:t xml:space="preserve"> specific </w:t>
      </w:r>
      <w:r w:rsidR="003210E9" w:rsidRPr="00C57412">
        <w:rPr>
          <w:rFonts w:cs="Times New Roman"/>
          <w:lang w:val="en-US"/>
        </w:rPr>
        <w:t>sandwich-like</w:t>
      </w:r>
      <w:r w:rsidR="003210E9" w:rsidRPr="00C57412">
        <w:rPr>
          <w:lang w:val="en-US"/>
        </w:rPr>
        <w:t xml:space="preserve"> </w:t>
      </w:r>
      <w:r w:rsidR="007B74A0" w:rsidRPr="00C57412">
        <w:rPr>
          <w:lang w:val="en-US"/>
        </w:rPr>
        <w:t xml:space="preserve">arrangement of </w:t>
      </w:r>
      <w:r w:rsidR="006C0CA8" w:rsidRPr="00C57412">
        <w:rPr>
          <w:lang w:val="en-US"/>
        </w:rPr>
        <w:t xml:space="preserve">molecules of </w:t>
      </w:r>
      <w:r w:rsidR="007B74A0" w:rsidRPr="00C57412">
        <w:rPr>
          <w:lang w:val="en-US"/>
        </w:rPr>
        <w:t xml:space="preserve">APR </w:t>
      </w:r>
      <w:r w:rsidR="003210E9" w:rsidRPr="00C57412">
        <w:rPr>
          <w:lang w:val="en-US"/>
        </w:rPr>
        <w:t xml:space="preserve">and coformers </w:t>
      </w:r>
      <w:r w:rsidRPr="00C57412">
        <w:rPr>
          <w:lang w:val="en-US"/>
        </w:rPr>
        <w:t>(</w:t>
      </w:r>
      <w:r w:rsidR="00D92AE0" w:rsidRPr="00C57412">
        <w:rPr>
          <w:lang w:val="en-US"/>
        </w:rPr>
        <w:t>Figure</w:t>
      </w:r>
      <w:r w:rsidR="009F36AE" w:rsidRPr="00C57412">
        <w:rPr>
          <w:lang w:val="en-US"/>
        </w:rPr>
        <w:t>s</w:t>
      </w:r>
      <w:r w:rsidR="00D92AE0" w:rsidRPr="00C57412">
        <w:rPr>
          <w:lang w:val="en-US"/>
        </w:rPr>
        <w:t xml:space="preserve"> </w:t>
      </w:r>
      <w:r w:rsidR="009F36AE" w:rsidRPr="00C57412">
        <w:rPr>
          <w:lang w:val="en-US"/>
        </w:rPr>
        <w:t xml:space="preserve">S3 and </w:t>
      </w:r>
      <w:r w:rsidR="00D92AE0" w:rsidRPr="00C57412">
        <w:rPr>
          <w:lang w:val="en-US"/>
        </w:rPr>
        <w:t>S</w:t>
      </w:r>
      <w:r w:rsidR="009F36AE" w:rsidRPr="00C57412">
        <w:rPr>
          <w:lang w:val="en-US"/>
        </w:rPr>
        <w:t>5</w:t>
      </w:r>
      <w:r w:rsidR="00D92AE0" w:rsidRPr="00C57412">
        <w:rPr>
          <w:lang w:val="en-US"/>
        </w:rPr>
        <w:t>, Supporting Information</w:t>
      </w:r>
      <w:r w:rsidRPr="00C57412">
        <w:rPr>
          <w:lang w:val="en-US"/>
        </w:rPr>
        <w:t>)</w:t>
      </w:r>
      <w:r w:rsidR="006C0CA8" w:rsidRPr="00C57412">
        <w:rPr>
          <w:lang w:val="en-US"/>
        </w:rPr>
        <w:t>. In all the spectra</w:t>
      </w:r>
      <w:r w:rsidR="00D92AE0" w:rsidRPr="00C57412">
        <w:rPr>
          <w:lang w:val="en-US"/>
        </w:rPr>
        <w:t xml:space="preserve"> the</w:t>
      </w:r>
      <w:r w:rsidR="006C0CA8" w:rsidRPr="00C57412">
        <w:rPr>
          <w:lang w:val="en-US"/>
        </w:rPr>
        <w:t xml:space="preserve"> </w:t>
      </w:r>
      <w:r w:rsidR="006C0CA8" w:rsidRPr="00C57412">
        <w:rPr>
          <w:vertAlign w:val="superscript"/>
          <w:lang w:val="en-US"/>
        </w:rPr>
        <w:t>13</w:t>
      </w:r>
      <w:r w:rsidR="006C0CA8" w:rsidRPr="00C57412">
        <w:rPr>
          <w:lang w:val="en-US"/>
        </w:rPr>
        <w:t xml:space="preserve">C signals assignable to coformers carbon atoms can be distinguished, with ca. 50% smaller signals intensities, as compared to those </w:t>
      </w:r>
      <w:r w:rsidR="006C0CA8" w:rsidRPr="00C57412">
        <w:rPr>
          <w:lang w:val="en-US"/>
        </w:rPr>
        <w:lastRenderedPageBreak/>
        <w:t>originating from APR, which reflects 2:1 APR:coformer ratio found in all APR solvates and cocrystals published so far. On the other hand</w:t>
      </w:r>
      <w:r w:rsidR="003210E9" w:rsidRPr="00C57412">
        <w:rPr>
          <w:lang w:val="en-US"/>
        </w:rPr>
        <w:t>, the</w:t>
      </w:r>
      <w:r w:rsidR="00C7167D" w:rsidRPr="00C57412">
        <w:rPr>
          <w:lang w:val="en-US"/>
        </w:rPr>
        <w:t>ir</w:t>
      </w:r>
      <w:r w:rsidR="003210E9" w:rsidRPr="00C57412">
        <w:rPr>
          <w:lang w:val="en-US"/>
        </w:rPr>
        <w:t xml:space="preserve"> </w:t>
      </w:r>
      <w:r w:rsidR="003210E9" w:rsidRPr="00C57412">
        <w:rPr>
          <w:vertAlign w:val="superscript"/>
          <w:lang w:val="en-US"/>
        </w:rPr>
        <w:t>1</w:t>
      </w:r>
      <w:r w:rsidR="003210E9" w:rsidRPr="00C57412">
        <w:rPr>
          <w:lang w:val="en-US"/>
        </w:rPr>
        <w:t>H MAS</w:t>
      </w:r>
      <w:r w:rsidR="007B74A0" w:rsidRPr="00C57412">
        <w:rPr>
          <w:lang w:val="en-US"/>
        </w:rPr>
        <w:t xml:space="preserve"> </w:t>
      </w:r>
      <w:r w:rsidR="003210E9" w:rsidRPr="00C57412">
        <w:rPr>
          <w:lang w:val="en-US"/>
        </w:rPr>
        <w:t>spectra</w:t>
      </w:r>
      <w:r w:rsidR="004C4A15" w:rsidRPr="00C57412">
        <w:rPr>
          <w:lang w:val="en-US"/>
        </w:rPr>
        <w:t xml:space="preserve">, as well as </w:t>
      </w:r>
      <w:r w:rsidR="004C4A15" w:rsidRPr="00C57412">
        <w:rPr>
          <w:vertAlign w:val="superscript"/>
          <w:lang w:val="en-US"/>
        </w:rPr>
        <w:t>1</w:t>
      </w:r>
      <w:r w:rsidR="004C4A15" w:rsidRPr="00C57412">
        <w:rPr>
          <w:lang w:val="en-US"/>
        </w:rPr>
        <w:t>H-</w:t>
      </w:r>
      <w:r w:rsidR="004C4A15" w:rsidRPr="00C57412">
        <w:rPr>
          <w:vertAlign w:val="superscript"/>
          <w:lang w:val="en-US"/>
        </w:rPr>
        <w:t>1</w:t>
      </w:r>
      <w:r w:rsidR="004C4A15" w:rsidRPr="00C57412">
        <w:rPr>
          <w:lang w:val="en-US"/>
        </w:rPr>
        <w:t>H Back-to-Back (BaBa) correlation spectra</w:t>
      </w:r>
      <w:r w:rsidR="003210E9" w:rsidRPr="00C57412">
        <w:rPr>
          <w:lang w:val="en-US"/>
        </w:rPr>
        <w:t xml:space="preserve"> are different </w:t>
      </w:r>
      <w:r w:rsidR="00C7167D" w:rsidRPr="00C57412">
        <w:rPr>
          <w:lang w:val="en-US"/>
        </w:rPr>
        <w:t xml:space="preserve">to </w:t>
      </w:r>
      <w:r w:rsidR="00526304" w:rsidRPr="00C57412">
        <w:rPr>
          <w:lang w:val="en-US"/>
        </w:rPr>
        <w:t xml:space="preserve">a </w:t>
      </w:r>
      <w:r w:rsidR="00C7167D" w:rsidRPr="00C57412">
        <w:rPr>
          <w:lang w:val="en-US"/>
        </w:rPr>
        <w:t xml:space="preserve">certain extent </w:t>
      </w:r>
      <w:r w:rsidR="003210E9" w:rsidRPr="00C57412">
        <w:rPr>
          <w:lang w:val="en-US"/>
        </w:rPr>
        <w:t xml:space="preserve">(Figure </w:t>
      </w:r>
      <w:r w:rsidR="00E83465" w:rsidRPr="00C57412">
        <w:rPr>
          <w:lang w:val="en-US"/>
        </w:rPr>
        <w:t>4</w:t>
      </w:r>
      <w:r w:rsidR="003210E9" w:rsidRPr="00C57412">
        <w:rPr>
          <w:lang w:val="en-US"/>
        </w:rPr>
        <w:t>), reflecting possible differences</w:t>
      </w:r>
      <w:r w:rsidR="004C4A15" w:rsidRPr="00C57412">
        <w:rPr>
          <w:lang w:val="en-US"/>
        </w:rPr>
        <w:t xml:space="preserve"> in the intermolecular interactions and close contacts of the </w:t>
      </w:r>
      <w:r w:rsidR="004C4A15" w:rsidRPr="00C57412">
        <w:rPr>
          <w:vertAlign w:val="superscript"/>
          <w:lang w:val="en-US"/>
        </w:rPr>
        <w:t>1</w:t>
      </w:r>
      <w:r w:rsidR="004C4A15" w:rsidRPr="00C57412">
        <w:rPr>
          <w:lang w:val="en-US"/>
        </w:rPr>
        <w:t>H atoms.</w:t>
      </w:r>
      <w:r w:rsidRPr="00C57412">
        <w:rPr>
          <w:lang w:val="en-US"/>
        </w:rPr>
        <w:t xml:space="preserve"> </w:t>
      </w:r>
      <w:r w:rsidR="004C4A15" w:rsidRPr="00C57412">
        <w:rPr>
          <w:lang w:val="en-US"/>
        </w:rPr>
        <w:t xml:space="preserve"> </w:t>
      </w:r>
      <w:r w:rsidR="003210E9" w:rsidRPr="00C57412">
        <w:rPr>
          <w:lang w:val="en-US"/>
        </w:rPr>
        <w:t xml:space="preserve"> </w:t>
      </w:r>
    </w:p>
    <w:p w:rsidR="0068652C" w:rsidRPr="00C57412" w:rsidRDefault="00BF1BC1" w:rsidP="00783D8C">
      <w:pPr>
        <w:spacing w:after="0"/>
        <w:jc w:val="center"/>
        <w:rPr>
          <w:lang w:val="en-US"/>
        </w:rPr>
      </w:pPr>
      <w:r w:rsidRPr="00C57412">
        <w:rPr>
          <w:noProof/>
          <w:lang w:eastAsia="pl-PL"/>
        </w:rPr>
        <w:drawing>
          <wp:inline distT="0" distB="0" distL="0" distR="0">
            <wp:extent cx="5760720" cy="3526656"/>
            <wp:effectExtent l="19050" t="0" r="0" b="0"/>
            <wp:docPr id="12" name="Obraz 12" descr="C:\Users\Marta\Desktop\apr_paper2\Figure_4_1H_BaBa_cocrys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esktop\apr_paper2\Figure_4_1H_BaBa_cocrystals.tif"/>
                    <pic:cNvPicPr>
                      <a:picLocks noChangeAspect="1" noChangeArrowheads="1"/>
                    </pic:cNvPicPr>
                  </pic:nvPicPr>
                  <pic:blipFill>
                    <a:blip r:embed="rId11" cstate="print"/>
                    <a:srcRect/>
                    <a:stretch>
                      <a:fillRect/>
                    </a:stretch>
                  </pic:blipFill>
                  <pic:spPr bwMode="auto">
                    <a:xfrm>
                      <a:off x="0" y="0"/>
                      <a:ext cx="5760720" cy="3526656"/>
                    </a:xfrm>
                    <a:prstGeom prst="rect">
                      <a:avLst/>
                    </a:prstGeom>
                    <a:noFill/>
                    <a:ln w="9525">
                      <a:noFill/>
                      <a:miter lim="800000"/>
                      <a:headEnd/>
                      <a:tailEnd/>
                    </a:ln>
                  </pic:spPr>
                </pic:pic>
              </a:graphicData>
            </a:graphic>
          </wp:inline>
        </w:drawing>
      </w:r>
    </w:p>
    <w:p w:rsidR="006C0CA8" w:rsidRPr="00C57412" w:rsidRDefault="00FE70BA" w:rsidP="00D92AE0">
      <w:pPr>
        <w:spacing w:line="276" w:lineRule="auto"/>
        <w:jc w:val="both"/>
        <w:rPr>
          <w:lang w:val="en-US"/>
        </w:rPr>
      </w:pPr>
      <w:r w:rsidRPr="00C57412">
        <w:rPr>
          <w:b/>
          <w:lang w:val="en-US"/>
        </w:rPr>
        <w:t xml:space="preserve">Figure </w:t>
      </w:r>
      <w:r w:rsidR="00E83465" w:rsidRPr="00C57412">
        <w:rPr>
          <w:b/>
          <w:lang w:val="en-US"/>
        </w:rPr>
        <w:t>4</w:t>
      </w:r>
      <w:r w:rsidRPr="00C57412">
        <w:rPr>
          <w:b/>
          <w:lang w:val="en-US"/>
        </w:rPr>
        <w:t>.</w:t>
      </w:r>
      <w:r w:rsidR="00D92AE0" w:rsidRPr="00C57412">
        <w:rPr>
          <w:lang w:val="en-US"/>
        </w:rPr>
        <w:t xml:space="preserve"> </w:t>
      </w:r>
      <w:r w:rsidRPr="00C57412">
        <w:rPr>
          <w:vertAlign w:val="superscript"/>
          <w:lang w:val="en-US"/>
        </w:rPr>
        <w:t>1</w:t>
      </w:r>
      <w:r w:rsidRPr="00C57412">
        <w:rPr>
          <w:lang w:val="en-US"/>
        </w:rPr>
        <w:t xml:space="preserve">H VF MAS NMR spectra recorded with spinning rate 60 kHz for the cocrystals of APR with different coformers: </w:t>
      </w:r>
      <w:r w:rsidRPr="00C57412">
        <w:rPr>
          <w:vertAlign w:val="superscript"/>
          <w:lang w:val="en-US"/>
        </w:rPr>
        <w:t>1</w:t>
      </w:r>
      <w:r w:rsidRPr="00C57412">
        <w:rPr>
          <w:lang w:val="en-US"/>
        </w:rPr>
        <w:t>H MAS NMR spectra (</w:t>
      </w:r>
      <w:r w:rsidR="00493C76" w:rsidRPr="00C57412">
        <w:rPr>
          <w:lang w:val="en-US"/>
        </w:rPr>
        <w:t>a),</w:t>
      </w:r>
      <w:r w:rsidRPr="00C57412">
        <w:rPr>
          <w:lang w:val="en-US"/>
        </w:rPr>
        <w:t xml:space="preserve"> </w:t>
      </w:r>
      <w:r w:rsidR="0008544B" w:rsidRPr="00C57412">
        <w:rPr>
          <w:lang w:val="en-US"/>
        </w:rPr>
        <w:t xml:space="preserve">and </w:t>
      </w:r>
      <w:r w:rsidRPr="00C57412">
        <w:rPr>
          <w:lang w:val="en-US"/>
        </w:rPr>
        <w:t xml:space="preserve">SQ-DQ BaBa 2D NMR spectra </w:t>
      </w:r>
      <w:r w:rsidR="00493C76" w:rsidRPr="00C57412">
        <w:rPr>
          <w:lang w:val="en-US"/>
        </w:rPr>
        <w:t>(b</w:t>
      </w:r>
      <w:r w:rsidRPr="00C57412">
        <w:rPr>
          <w:lang w:val="en-US"/>
        </w:rPr>
        <w:t>)</w:t>
      </w:r>
      <w:r w:rsidR="0008544B" w:rsidRPr="00C57412">
        <w:rPr>
          <w:lang w:val="en-US"/>
        </w:rPr>
        <w:t xml:space="preserve"> </w:t>
      </w:r>
      <w:r w:rsidR="00493C76" w:rsidRPr="00C57412">
        <w:rPr>
          <w:lang w:val="en-US"/>
        </w:rPr>
        <w:t>registered at 60 kHz spinning speed</w:t>
      </w:r>
      <w:r w:rsidRPr="00C57412">
        <w:rPr>
          <w:lang w:val="en-US"/>
        </w:rPr>
        <w:t>. Colors used for spectra plotting denote particular coformers.</w:t>
      </w:r>
    </w:p>
    <w:p w:rsidR="001D2138" w:rsidRPr="00C57412" w:rsidRDefault="001D2138" w:rsidP="00B42F8D">
      <w:pPr>
        <w:rPr>
          <w:lang w:val="en-US"/>
        </w:rPr>
      </w:pPr>
    </w:p>
    <w:p w:rsidR="00526304" w:rsidRPr="00C57412" w:rsidRDefault="00526304" w:rsidP="00616CFF">
      <w:pPr>
        <w:spacing w:after="0"/>
        <w:ind w:firstLine="567"/>
        <w:jc w:val="both"/>
        <w:rPr>
          <w:lang w:val="en-US"/>
        </w:rPr>
      </w:pPr>
      <w:r w:rsidRPr="00C57412">
        <w:rPr>
          <w:lang w:val="en-US"/>
        </w:rPr>
        <w:t xml:space="preserve">A closer look at </w:t>
      </w:r>
      <w:r w:rsidR="00493C76" w:rsidRPr="00C57412">
        <w:rPr>
          <w:lang w:val="en-US"/>
        </w:rPr>
        <w:t xml:space="preserve">the </w:t>
      </w:r>
      <w:r w:rsidRPr="00C57412">
        <w:rPr>
          <w:lang w:val="en-US"/>
        </w:rPr>
        <w:t xml:space="preserve">differences in </w:t>
      </w:r>
      <w:r w:rsidRPr="00C57412">
        <w:rPr>
          <w:vertAlign w:val="superscript"/>
          <w:lang w:val="en-US"/>
        </w:rPr>
        <w:t>1</w:t>
      </w:r>
      <w:r w:rsidRPr="00C57412">
        <w:rPr>
          <w:lang w:val="en-US"/>
        </w:rPr>
        <w:t xml:space="preserve">H chemical shifts between the studied cocrystals (Table </w:t>
      </w:r>
      <w:r w:rsidR="00E83465" w:rsidRPr="00C57412">
        <w:rPr>
          <w:lang w:val="en-US"/>
        </w:rPr>
        <w:t>2</w:t>
      </w:r>
      <w:r w:rsidRPr="00C57412">
        <w:rPr>
          <w:lang w:val="en-US"/>
        </w:rPr>
        <w:t>) reveals that the</w:t>
      </w:r>
      <w:r w:rsidR="009A2A1C" w:rsidRPr="00C57412">
        <w:rPr>
          <w:lang w:val="en-US"/>
        </w:rPr>
        <w:t xml:space="preserve"> most prominent changes concern</w:t>
      </w:r>
      <w:r w:rsidRPr="00C57412">
        <w:rPr>
          <w:lang w:val="en-US"/>
        </w:rPr>
        <w:t xml:space="preserve"> H2 and H3 atoms</w:t>
      </w:r>
      <w:r w:rsidR="00FB2DF2" w:rsidRPr="00C57412">
        <w:rPr>
          <w:lang w:val="en-US"/>
        </w:rPr>
        <w:t xml:space="preserve"> (adjacent to C2 and C3 atoms, respectively, see Figure 1 for atom labeling</w:t>
      </w:r>
      <w:r w:rsidR="00052666" w:rsidRPr="00C57412">
        <w:rPr>
          <w:lang w:val="en-US"/>
        </w:rPr>
        <w:t xml:space="preserve"> scheme</w:t>
      </w:r>
      <w:r w:rsidR="00FB2DF2" w:rsidRPr="00C57412">
        <w:rPr>
          <w:lang w:val="en-US"/>
        </w:rPr>
        <w:t>)</w:t>
      </w:r>
      <w:r w:rsidRPr="00C57412">
        <w:rPr>
          <w:lang w:val="en-US"/>
        </w:rPr>
        <w:t xml:space="preserve">, with noticeably lower values found for a cocrystal with </w:t>
      </w:r>
      <w:r w:rsidR="007B1E06" w:rsidRPr="00C57412">
        <w:rPr>
          <w:lang w:val="en-US"/>
        </w:rPr>
        <w:t>PIC</w:t>
      </w:r>
      <w:r w:rsidRPr="00C57412">
        <w:rPr>
          <w:lang w:val="en-US"/>
        </w:rPr>
        <w:t xml:space="preserve">, </w:t>
      </w:r>
      <w:r w:rsidR="000E5BB8" w:rsidRPr="00C57412">
        <w:rPr>
          <w:lang w:val="en-US"/>
        </w:rPr>
        <w:t>as well as</w:t>
      </w:r>
      <w:r w:rsidRPr="00C57412">
        <w:rPr>
          <w:lang w:val="en-US"/>
        </w:rPr>
        <w:t xml:space="preserve"> NH hydrogen atoms from amide group of APR</w:t>
      </w:r>
      <w:r w:rsidR="007B1E06" w:rsidRPr="00C57412">
        <w:rPr>
          <w:lang w:val="en-US"/>
        </w:rPr>
        <w:t xml:space="preserve">, which </w:t>
      </w:r>
      <w:r w:rsidR="000E5BB8" w:rsidRPr="00C57412">
        <w:rPr>
          <w:lang w:val="en-US"/>
        </w:rPr>
        <w:t>are</w:t>
      </w:r>
      <w:r w:rsidR="007B1E06" w:rsidRPr="00C57412">
        <w:rPr>
          <w:lang w:val="en-US"/>
        </w:rPr>
        <w:t xml:space="preserve"> similar for cocrystals with RES and HQU, but not so for the other cocrystals</w:t>
      </w:r>
      <w:r w:rsidRPr="00C57412">
        <w:rPr>
          <w:lang w:val="en-US"/>
        </w:rPr>
        <w:t xml:space="preserve">. As it is </w:t>
      </w:r>
      <w:r w:rsidR="007B1E06" w:rsidRPr="00C57412">
        <w:rPr>
          <w:lang w:val="en-US"/>
        </w:rPr>
        <w:t>not likely for the intramolecular hydrogen bond of this NH proton with CO group to be broken, these latter</w:t>
      </w:r>
      <w:r w:rsidRPr="00C57412">
        <w:rPr>
          <w:lang w:val="en-US"/>
        </w:rPr>
        <w:t xml:space="preserve"> </w:t>
      </w:r>
      <w:r w:rsidR="007B1E06" w:rsidRPr="00C57412">
        <w:rPr>
          <w:lang w:val="en-US"/>
        </w:rPr>
        <w:t xml:space="preserve">differences </w:t>
      </w:r>
      <w:r w:rsidRPr="00C57412">
        <w:rPr>
          <w:lang w:val="en-US"/>
        </w:rPr>
        <w:t xml:space="preserve">may reflect </w:t>
      </w:r>
      <w:r w:rsidR="007B1E06" w:rsidRPr="00C57412">
        <w:rPr>
          <w:lang w:val="en-US"/>
        </w:rPr>
        <w:t xml:space="preserve">a proximity of different functional groups originating from different coformers. </w:t>
      </w:r>
      <w:r w:rsidR="000E5BB8" w:rsidRPr="00C57412">
        <w:rPr>
          <w:lang w:val="en-US"/>
        </w:rPr>
        <w:t>On the other hand, the observed differences for H2 and H3 chemical shifts</w:t>
      </w:r>
      <w:r w:rsidR="007B1E06" w:rsidRPr="00C57412">
        <w:rPr>
          <w:lang w:val="en-US"/>
        </w:rPr>
        <w:t xml:space="preserve"> indicate somewhat similar interactions </w:t>
      </w:r>
      <w:r w:rsidR="000E5BB8" w:rsidRPr="00C57412">
        <w:rPr>
          <w:lang w:val="en-US"/>
        </w:rPr>
        <w:t xml:space="preserve">(or proximities) </w:t>
      </w:r>
      <w:r w:rsidR="007B1E06" w:rsidRPr="00C57412">
        <w:rPr>
          <w:lang w:val="en-US"/>
        </w:rPr>
        <w:t xml:space="preserve">of APR </w:t>
      </w:r>
      <w:r w:rsidR="000E5BB8" w:rsidRPr="00C57412">
        <w:rPr>
          <w:lang w:val="en-US"/>
        </w:rPr>
        <w:t>molecule with particular coformers in</w:t>
      </w:r>
      <w:r w:rsidR="007B1E06" w:rsidRPr="00C57412">
        <w:rPr>
          <w:lang w:val="en-US"/>
        </w:rPr>
        <w:t xml:space="preserve"> </w:t>
      </w:r>
      <w:r w:rsidR="000E5BB8" w:rsidRPr="00C57412">
        <w:rPr>
          <w:lang w:val="en-US"/>
        </w:rPr>
        <w:t xml:space="preserve">IMI, RES and HQU </w:t>
      </w:r>
      <w:r w:rsidR="007B1E06" w:rsidRPr="00C57412">
        <w:rPr>
          <w:lang w:val="en-US"/>
        </w:rPr>
        <w:t xml:space="preserve">cocrystals, distinct from those present in APR:PIC cocrystal. Not so prominent, but possibly important difference </w:t>
      </w:r>
      <w:r w:rsidR="004F5F04" w:rsidRPr="00C57412">
        <w:rPr>
          <w:lang w:val="en-US"/>
        </w:rPr>
        <w:t xml:space="preserve">in </w:t>
      </w:r>
      <w:r w:rsidR="00092642" w:rsidRPr="00C57412">
        <w:rPr>
          <w:lang w:val="en-US"/>
        </w:rPr>
        <w:t xml:space="preserve">the </w:t>
      </w:r>
      <w:r w:rsidR="00092642" w:rsidRPr="00C57412">
        <w:rPr>
          <w:vertAlign w:val="superscript"/>
          <w:lang w:val="en-US"/>
        </w:rPr>
        <w:t>1</w:t>
      </w:r>
      <w:r w:rsidR="00092642" w:rsidRPr="00C57412">
        <w:rPr>
          <w:lang w:val="en-US"/>
        </w:rPr>
        <w:t xml:space="preserve">H </w:t>
      </w:r>
      <w:r w:rsidR="004F5F04" w:rsidRPr="00C57412">
        <w:rPr>
          <w:lang w:val="en-US"/>
        </w:rPr>
        <w:t xml:space="preserve">chemical </w:t>
      </w:r>
      <w:r w:rsidR="004F5F04" w:rsidRPr="00C57412">
        <w:rPr>
          <w:lang w:val="en-US"/>
        </w:rPr>
        <w:lastRenderedPageBreak/>
        <w:t xml:space="preserve">shifts </w:t>
      </w:r>
      <w:r w:rsidR="007B1E06" w:rsidRPr="00C57412">
        <w:rPr>
          <w:lang w:val="en-US"/>
        </w:rPr>
        <w:t>concern</w:t>
      </w:r>
      <w:r w:rsidR="00092642" w:rsidRPr="00C57412">
        <w:rPr>
          <w:lang w:val="en-US"/>
        </w:rPr>
        <w:t>s</w:t>
      </w:r>
      <w:r w:rsidR="004F5F04" w:rsidRPr="00C57412">
        <w:rPr>
          <w:lang w:val="en-US"/>
        </w:rPr>
        <w:t xml:space="preserve"> hydrogen atom</w:t>
      </w:r>
      <w:r w:rsidR="00092642" w:rsidRPr="00C57412">
        <w:rPr>
          <w:lang w:val="en-US"/>
        </w:rPr>
        <w:t>s</w:t>
      </w:r>
      <w:r w:rsidR="007B1E06" w:rsidRPr="00C57412">
        <w:rPr>
          <w:lang w:val="en-US"/>
        </w:rPr>
        <w:t xml:space="preserve"> </w:t>
      </w:r>
      <w:r w:rsidR="004F5F04" w:rsidRPr="00C57412">
        <w:rPr>
          <w:lang w:val="en-US"/>
        </w:rPr>
        <w:t xml:space="preserve">from </w:t>
      </w:r>
      <w:r w:rsidR="00092642" w:rsidRPr="00C57412">
        <w:rPr>
          <w:lang w:val="en-US"/>
        </w:rPr>
        <w:t>methyl</w:t>
      </w:r>
      <w:r w:rsidR="004F5F04" w:rsidRPr="00C57412">
        <w:rPr>
          <w:lang w:val="en-US"/>
        </w:rPr>
        <w:t xml:space="preserve">sulfonyl </w:t>
      </w:r>
      <w:r w:rsidR="00092642" w:rsidRPr="00C57412">
        <w:rPr>
          <w:lang w:val="en-US"/>
        </w:rPr>
        <w:t xml:space="preserve">group, namely methyl </w:t>
      </w:r>
      <w:r w:rsidR="007B1E06" w:rsidRPr="00C57412">
        <w:rPr>
          <w:lang w:val="en-US"/>
        </w:rPr>
        <w:t>H13. For APR:HQU cocrystal</w:t>
      </w:r>
      <w:r w:rsidR="00092642" w:rsidRPr="00C57412">
        <w:rPr>
          <w:lang w:val="en-US"/>
        </w:rPr>
        <w:t xml:space="preserve"> its chemical shift</w:t>
      </w:r>
      <w:r w:rsidR="007B1E06" w:rsidRPr="00C57412">
        <w:rPr>
          <w:lang w:val="en-US"/>
        </w:rPr>
        <w:t xml:space="preserve"> is lower than for all the other cocrystals. The difference is small, but in all isostructural solvates and cocrystals studied so far th</w:t>
      </w:r>
      <w:r w:rsidR="00092642" w:rsidRPr="00C57412">
        <w:rPr>
          <w:lang w:val="en-US"/>
        </w:rPr>
        <w:t xml:space="preserve">is particular chemical shift </w:t>
      </w:r>
      <w:r w:rsidR="000E5BB8" w:rsidRPr="00C57412">
        <w:rPr>
          <w:lang w:val="en-US"/>
        </w:rPr>
        <w:t xml:space="preserve">value </w:t>
      </w:r>
      <w:r w:rsidR="007B1E06" w:rsidRPr="00C57412">
        <w:rPr>
          <w:lang w:val="en-US"/>
        </w:rPr>
        <w:t xml:space="preserve">is well preserved and </w:t>
      </w:r>
      <w:r w:rsidR="00092642" w:rsidRPr="00C57412">
        <w:rPr>
          <w:lang w:val="en-US"/>
        </w:rPr>
        <w:t xml:space="preserve">almost always </w:t>
      </w:r>
      <w:r w:rsidR="007B1E06" w:rsidRPr="00C57412">
        <w:rPr>
          <w:lang w:val="en-US"/>
        </w:rPr>
        <w:t xml:space="preserve">equal to ca. 3.20 </w:t>
      </w:r>
      <w:r w:rsidR="00092642" w:rsidRPr="00C57412">
        <w:rPr>
          <w:lang w:val="en-US"/>
        </w:rPr>
        <w:t>ppm. It</w:t>
      </w:r>
      <w:r w:rsidR="007B1E06" w:rsidRPr="00C57412">
        <w:rPr>
          <w:lang w:val="en-US"/>
        </w:rPr>
        <w:t>s lower</w:t>
      </w:r>
      <w:r w:rsidR="00092642" w:rsidRPr="00C57412">
        <w:rPr>
          <w:lang w:val="en-US"/>
        </w:rPr>
        <w:t xml:space="preserve"> value in APR:HQU cocrystal</w:t>
      </w:r>
      <w:r w:rsidR="007B1E06" w:rsidRPr="00C57412">
        <w:rPr>
          <w:lang w:val="en-US"/>
        </w:rPr>
        <w:t xml:space="preserve"> may suggest that </w:t>
      </w:r>
      <w:r w:rsidR="00035424" w:rsidRPr="00C57412">
        <w:rPr>
          <w:lang w:val="en-US"/>
        </w:rPr>
        <w:t xml:space="preserve">one of the sulfonyl group </w:t>
      </w:r>
      <w:r w:rsidR="004F5F04" w:rsidRPr="00C57412">
        <w:rPr>
          <w:lang w:val="en-US"/>
        </w:rPr>
        <w:t>ox</w:t>
      </w:r>
      <w:r w:rsidR="00052666" w:rsidRPr="00C57412">
        <w:rPr>
          <w:lang w:val="en-US"/>
        </w:rPr>
        <w:t>ygen atoms is engaged in a</w:t>
      </w:r>
      <w:r w:rsidR="00035424" w:rsidRPr="00C57412">
        <w:rPr>
          <w:lang w:val="en-US"/>
        </w:rPr>
        <w:t xml:space="preserve"> hydrogen bond with a coformer.</w:t>
      </w:r>
      <w:r w:rsidR="00F9405B" w:rsidRPr="00C57412">
        <w:rPr>
          <w:lang w:val="en-US"/>
        </w:rPr>
        <w:t xml:space="preserve"> </w:t>
      </w:r>
    </w:p>
    <w:p w:rsidR="0039179D" w:rsidRPr="00C57412" w:rsidRDefault="0039179D" w:rsidP="00616CFF">
      <w:pPr>
        <w:spacing w:after="0"/>
        <w:ind w:firstLine="567"/>
        <w:jc w:val="both"/>
        <w:rPr>
          <w:lang w:val="en-US"/>
        </w:rPr>
      </w:pPr>
    </w:p>
    <w:p w:rsidR="00526304" w:rsidRPr="00C57412" w:rsidRDefault="00A61406" w:rsidP="00B42F8D">
      <w:pPr>
        <w:rPr>
          <w:lang w:val="en-US"/>
        </w:rPr>
      </w:pPr>
      <w:r w:rsidRPr="00C57412">
        <w:rPr>
          <w:b/>
          <w:lang w:val="en-US"/>
        </w:rPr>
        <w:t xml:space="preserve">Table </w:t>
      </w:r>
      <w:r w:rsidR="00E83465" w:rsidRPr="00C57412">
        <w:rPr>
          <w:b/>
          <w:lang w:val="en-US"/>
        </w:rPr>
        <w:t>2</w:t>
      </w:r>
      <w:r w:rsidRPr="00C57412">
        <w:rPr>
          <w:b/>
          <w:lang w:val="en-US"/>
        </w:rPr>
        <w:t>.</w:t>
      </w:r>
      <w:r w:rsidR="00E96A32" w:rsidRPr="00C57412">
        <w:rPr>
          <w:lang w:val="en-US"/>
        </w:rPr>
        <w:t xml:space="preserve"> </w:t>
      </w:r>
      <w:r w:rsidR="00E96A32" w:rsidRPr="00C57412">
        <w:rPr>
          <w:vertAlign w:val="superscript"/>
          <w:lang w:val="en-US"/>
        </w:rPr>
        <w:t>1</w:t>
      </w:r>
      <w:r w:rsidR="00E96A32" w:rsidRPr="00C57412">
        <w:rPr>
          <w:lang w:val="en-US"/>
        </w:rPr>
        <w:t>H chemical shifts of four isostructural cocrystals of APR and the studied coformers.</w:t>
      </w:r>
    </w:p>
    <w:tbl>
      <w:tblPr>
        <w:tblStyle w:val="Tabela-Siatka"/>
        <w:tblW w:w="0" w:type="auto"/>
        <w:jc w:val="center"/>
        <w:tblBorders>
          <w:left w:val="none" w:sz="0" w:space="0" w:color="auto"/>
          <w:right w:val="none" w:sz="0" w:space="0" w:color="auto"/>
          <w:insideV w:val="none" w:sz="0" w:space="0" w:color="auto"/>
        </w:tblBorders>
        <w:tblLook w:val="04A0"/>
      </w:tblPr>
      <w:tblGrid>
        <w:gridCol w:w="817"/>
        <w:gridCol w:w="1276"/>
        <w:gridCol w:w="1417"/>
        <w:gridCol w:w="1276"/>
        <w:gridCol w:w="1418"/>
      </w:tblGrid>
      <w:tr w:rsidR="0056388D" w:rsidRPr="00C57412" w:rsidTr="00E96A32">
        <w:trPr>
          <w:jc w:val="center"/>
        </w:trPr>
        <w:tc>
          <w:tcPr>
            <w:tcW w:w="817" w:type="dxa"/>
          </w:tcPr>
          <w:p w:rsidR="00A61406" w:rsidRPr="00C57412" w:rsidRDefault="00A61406" w:rsidP="00A61406">
            <w:pPr>
              <w:spacing w:before="60" w:after="60" w:line="240" w:lineRule="auto"/>
              <w:rPr>
                <w:lang w:val="en-US"/>
              </w:rPr>
            </w:pPr>
            <w:r w:rsidRPr="00C57412">
              <w:rPr>
                <w:lang w:val="en-US"/>
              </w:rPr>
              <w:t>atom</w:t>
            </w:r>
          </w:p>
        </w:tc>
        <w:tc>
          <w:tcPr>
            <w:tcW w:w="1276" w:type="dxa"/>
          </w:tcPr>
          <w:p w:rsidR="00A61406" w:rsidRPr="00C57412" w:rsidRDefault="00A61406" w:rsidP="00A61406">
            <w:pPr>
              <w:spacing w:before="60" w:after="60" w:line="240" w:lineRule="auto"/>
              <w:rPr>
                <w:lang w:val="en-US"/>
              </w:rPr>
            </w:pPr>
            <w:r w:rsidRPr="00C57412">
              <w:rPr>
                <w:lang w:val="en-US"/>
              </w:rPr>
              <w:t>APR:RES</w:t>
            </w:r>
          </w:p>
        </w:tc>
        <w:tc>
          <w:tcPr>
            <w:tcW w:w="1417" w:type="dxa"/>
          </w:tcPr>
          <w:p w:rsidR="00A61406" w:rsidRPr="00C57412" w:rsidRDefault="00A61406" w:rsidP="00A61406">
            <w:pPr>
              <w:spacing w:before="60" w:after="60" w:line="240" w:lineRule="auto"/>
              <w:rPr>
                <w:lang w:val="en-US"/>
              </w:rPr>
            </w:pPr>
            <w:r w:rsidRPr="00C57412">
              <w:rPr>
                <w:lang w:val="en-US"/>
              </w:rPr>
              <w:t>APR:HQU</w:t>
            </w:r>
          </w:p>
        </w:tc>
        <w:tc>
          <w:tcPr>
            <w:tcW w:w="1276" w:type="dxa"/>
          </w:tcPr>
          <w:p w:rsidR="00A61406" w:rsidRPr="00C57412" w:rsidRDefault="00A61406" w:rsidP="00A61406">
            <w:pPr>
              <w:spacing w:before="60" w:after="60" w:line="240" w:lineRule="auto"/>
              <w:rPr>
                <w:lang w:val="en-US"/>
              </w:rPr>
            </w:pPr>
            <w:r w:rsidRPr="00C57412">
              <w:rPr>
                <w:lang w:val="en-US"/>
              </w:rPr>
              <w:t>APR:IMI</w:t>
            </w:r>
          </w:p>
        </w:tc>
        <w:tc>
          <w:tcPr>
            <w:tcW w:w="1418" w:type="dxa"/>
          </w:tcPr>
          <w:p w:rsidR="00A61406" w:rsidRPr="00C57412" w:rsidRDefault="00A61406" w:rsidP="00A61406">
            <w:pPr>
              <w:spacing w:before="60" w:after="60" w:line="240" w:lineRule="auto"/>
              <w:rPr>
                <w:lang w:val="en-US"/>
              </w:rPr>
            </w:pPr>
            <w:r w:rsidRPr="00C57412">
              <w:rPr>
                <w:lang w:val="en-US"/>
              </w:rPr>
              <w:t>APR:PIC</w:t>
            </w:r>
          </w:p>
        </w:tc>
      </w:tr>
      <w:tr w:rsidR="0056388D" w:rsidRPr="00C57412" w:rsidTr="00E96A32">
        <w:trPr>
          <w:jc w:val="center"/>
        </w:trPr>
        <w:tc>
          <w:tcPr>
            <w:tcW w:w="817" w:type="dxa"/>
          </w:tcPr>
          <w:p w:rsidR="00A61406" w:rsidRPr="00C57412" w:rsidRDefault="00A61406" w:rsidP="00A61406">
            <w:pPr>
              <w:spacing w:after="40" w:line="240" w:lineRule="auto"/>
              <w:rPr>
                <w:lang w:val="en-US"/>
              </w:rPr>
            </w:pPr>
            <w:r w:rsidRPr="00C57412">
              <w:rPr>
                <w:lang w:val="en-US"/>
              </w:rPr>
              <w:t>2</w:t>
            </w:r>
          </w:p>
          <w:p w:rsidR="00A61406" w:rsidRPr="00C57412" w:rsidRDefault="00A61406" w:rsidP="00A61406">
            <w:pPr>
              <w:spacing w:after="40" w:line="240" w:lineRule="auto"/>
              <w:rPr>
                <w:lang w:val="en-US"/>
              </w:rPr>
            </w:pPr>
            <w:r w:rsidRPr="00C57412">
              <w:rPr>
                <w:lang w:val="en-US"/>
              </w:rPr>
              <w:t>3</w:t>
            </w:r>
          </w:p>
          <w:p w:rsidR="00A61406" w:rsidRPr="00C57412" w:rsidRDefault="00A61406" w:rsidP="00A61406">
            <w:pPr>
              <w:spacing w:after="40" w:line="240" w:lineRule="auto"/>
              <w:rPr>
                <w:lang w:val="en-US"/>
              </w:rPr>
            </w:pPr>
            <w:r w:rsidRPr="00C57412">
              <w:rPr>
                <w:lang w:val="en-US"/>
              </w:rPr>
              <w:t>4</w:t>
            </w:r>
          </w:p>
          <w:p w:rsidR="00A61406" w:rsidRPr="00C57412" w:rsidRDefault="00A61406" w:rsidP="00A61406">
            <w:pPr>
              <w:spacing w:after="40" w:line="240" w:lineRule="auto"/>
              <w:rPr>
                <w:lang w:val="en-US"/>
              </w:rPr>
            </w:pPr>
            <w:r w:rsidRPr="00C57412">
              <w:rPr>
                <w:lang w:val="en-US"/>
              </w:rPr>
              <w:t>10</w:t>
            </w:r>
          </w:p>
          <w:p w:rsidR="00A61406" w:rsidRPr="00C57412" w:rsidRDefault="00A61406" w:rsidP="00A61406">
            <w:pPr>
              <w:spacing w:after="40" w:line="240" w:lineRule="auto"/>
              <w:rPr>
                <w:lang w:val="en-US"/>
              </w:rPr>
            </w:pPr>
            <w:r w:rsidRPr="00C57412">
              <w:rPr>
                <w:lang w:val="en-US"/>
              </w:rPr>
              <w:t>11</w:t>
            </w:r>
          </w:p>
          <w:p w:rsidR="00A61406" w:rsidRPr="00C57412" w:rsidRDefault="00A61406" w:rsidP="00A61406">
            <w:pPr>
              <w:spacing w:after="40" w:line="240" w:lineRule="auto"/>
              <w:rPr>
                <w:lang w:val="en-US"/>
              </w:rPr>
            </w:pPr>
            <w:r w:rsidRPr="00C57412">
              <w:rPr>
                <w:lang w:val="en-US"/>
              </w:rPr>
              <w:t>12</w:t>
            </w:r>
          </w:p>
          <w:p w:rsidR="00A61406" w:rsidRPr="00C57412" w:rsidRDefault="00A61406" w:rsidP="00A61406">
            <w:pPr>
              <w:spacing w:after="40" w:line="240" w:lineRule="auto"/>
              <w:rPr>
                <w:lang w:val="en-US"/>
              </w:rPr>
            </w:pPr>
            <w:r w:rsidRPr="00C57412">
              <w:rPr>
                <w:lang w:val="en-US"/>
              </w:rPr>
              <w:t>13</w:t>
            </w:r>
          </w:p>
          <w:p w:rsidR="00A61406" w:rsidRPr="00C57412" w:rsidRDefault="00A61406" w:rsidP="00A61406">
            <w:pPr>
              <w:spacing w:after="40" w:line="240" w:lineRule="auto"/>
              <w:rPr>
                <w:lang w:val="en-US"/>
              </w:rPr>
            </w:pPr>
            <w:r w:rsidRPr="00C57412">
              <w:rPr>
                <w:lang w:val="en-US"/>
              </w:rPr>
              <w:t>15</w:t>
            </w:r>
          </w:p>
          <w:p w:rsidR="00A61406" w:rsidRPr="00C57412" w:rsidRDefault="00A61406" w:rsidP="00A61406">
            <w:pPr>
              <w:spacing w:after="40" w:line="240" w:lineRule="auto"/>
              <w:rPr>
                <w:lang w:val="en-US"/>
              </w:rPr>
            </w:pPr>
            <w:r w:rsidRPr="00C57412">
              <w:rPr>
                <w:lang w:val="en-US"/>
              </w:rPr>
              <w:t>18</w:t>
            </w:r>
          </w:p>
          <w:p w:rsidR="00A61406" w:rsidRPr="00C57412" w:rsidRDefault="00A61406" w:rsidP="00A61406">
            <w:pPr>
              <w:spacing w:after="40" w:line="240" w:lineRule="auto"/>
              <w:rPr>
                <w:lang w:val="en-US"/>
              </w:rPr>
            </w:pPr>
            <w:r w:rsidRPr="00C57412">
              <w:rPr>
                <w:lang w:val="en-US"/>
              </w:rPr>
              <w:t>19</w:t>
            </w:r>
          </w:p>
          <w:p w:rsidR="00A61406" w:rsidRPr="00C57412" w:rsidRDefault="00A61406" w:rsidP="00A61406">
            <w:pPr>
              <w:spacing w:after="40" w:line="240" w:lineRule="auto"/>
              <w:rPr>
                <w:lang w:val="en-US"/>
              </w:rPr>
            </w:pPr>
            <w:r w:rsidRPr="00C57412">
              <w:rPr>
                <w:lang w:val="en-US"/>
              </w:rPr>
              <w:t>20</w:t>
            </w:r>
          </w:p>
          <w:p w:rsidR="00A61406" w:rsidRPr="00C57412" w:rsidRDefault="00A61406" w:rsidP="00A61406">
            <w:pPr>
              <w:spacing w:after="40" w:line="240" w:lineRule="auto"/>
              <w:rPr>
                <w:lang w:val="en-US"/>
              </w:rPr>
            </w:pPr>
            <w:r w:rsidRPr="00C57412">
              <w:rPr>
                <w:lang w:val="en-US"/>
              </w:rPr>
              <w:t>21</w:t>
            </w:r>
          </w:p>
          <w:p w:rsidR="00A61406" w:rsidRPr="00C57412" w:rsidRDefault="00A61406" w:rsidP="00A61406">
            <w:pPr>
              <w:spacing w:after="40" w:line="240" w:lineRule="auto"/>
              <w:rPr>
                <w:lang w:val="en-US"/>
              </w:rPr>
            </w:pPr>
            <w:r w:rsidRPr="00C57412">
              <w:rPr>
                <w:lang w:val="en-US"/>
              </w:rPr>
              <w:t>22</w:t>
            </w:r>
          </w:p>
          <w:p w:rsidR="00A61406" w:rsidRPr="00C57412" w:rsidRDefault="00A61406" w:rsidP="00A61406">
            <w:pPr>
              <w:spacing w:after="40" w:line="240" w:lineRule="auto"/>
              <w:rPr>
                <w:lang w:val="en-US"/>
              </w:rPr>
            </w:pPr>
            <w:r w:rsidRPr="00C57412">
              <w:rPr>
                <w:lang w:val="en-US"/>
              </w:rPr>
              <w:t>NH</w:t>
            </w:r>
          </w:p>
        </w:tc>
        <w:tc>
          <w:tcPr>
            <w:tcW w:w="1276" w:type="dxa"/>
          </w:tcPr>
          <w:p w:rsidR="00A61406" w:rsidRPr="00C57412" w:rsidRDefault="00A61406" w:rsidP="00A61406">
            <w:pPr>
              <w:spacing w:after="40" w:line="240" w:lineRule="auto"/>
              <w:rPr>
                <w:lang w:val="en-US"/>
              </w:rPr>
            </w:pPr>
            <w:r w:rsidRPr="00C57412">
              <w:rPr>
                <w:lang w:val="en-US"/>
              </w:rPr>
              <w:t>8.51</w:t>
            </w:r>
          </w:p>
          <w:p w:rsidR="00A61406" w:rsidRPr="00C57412" w:rsidRDefault="00A61406" w:rsidP="00A61406">
            <w:pPr>
              <w:spacing w:after="40" w:line="240" w:lineRule="auto"/>
              <w:rPr>
                <w:lang w:val="en-US"/>
              </w:rPr>
            </w:pPr>
            <w:r w:rsidRPr="00C57412">
              <w:rPr>
                <w:lang w:val="en-US"/>
              </w:rPr>
              <w:t>7.83</w:t>
            </w:r>
          </w:p>
          <w:p w:rsidR="00A61406" w:rsidRPr="00C57412" w:rsidRDefault="00A61406" w:rsidP="00A61406">
            <w:pPr>
              <w:spacing w:after="40" w:line="240" w:lineRule="auto"/>
              <w:rPr>
                <w:lang w:val="en-US"/>
              </w:rPr>
            </w:pPr>
            <w:r w:rsidRPr="00C57412">
              <w:rPr>
                <w:lang w:val="en-US"/>
              </w:rPr>
              <w:t>7.76</w:t>
            </w:r>
          </w:p>
          <w:p w:rsidR="00A61406" w:rsidRPr="00C57412" w:rsidRDefault="00A61406" w:rsidP="00A61406">
            <w:pPr>
              <w:spacing w:after="40" w:line="240" w:lineRule="auto"/>
              <w:rPr>
                <w:lang w:val="en-US"/>
              </w:rPr>
            </w:pPr>
            <w:r w:rsidRPr="00C57412">
              <w:rPr>
                <w:lang w:val="en-US"/>
              </w:rPr>
              <w:t>1.62</w:t>
            </w:r>
          </w:p>
          <w:p w:rsidR="00A61406" w:rsidRPr="00C57412" w:rsidRDefault="00A61406" w:rsidP="00A61406">
            <w:pPr>
              <w:spacing w:after="40" w:line="240" w:lineRule="auto"/>
              <w:rPr>
                <w:lang w:val="en-US"/>
              </w:rPr>
            </w:pPr>
            <w:r w:rsidRPr="00C57412">
              <w:rPr>
                <w:lang w:val="en-US"/>
              </w:rPr>
              <w:t>4.92</w:t>
            </w:r>
          </w:p>
          <w:p w:rsidR="00A61406" w:rsidRPr="00C57412" w:rsidRDefault="00A61406" w:rsidP="00A61406">
            <w:pPr>
              <w:spacing w:after="40" w:line="240" w:lineRule="auto"/>
              <w:rPr>
                <w:lang w:val="en-US"/>
              </w:rPr>
            </w:pPr>
            <w:r w:rsidRPr="00C57412">
              <w:rPr>
                <w:lang w:val="en-US"/>
              </w:rPr>
              <w:t>3.76 + 6.00</w:t>
            </w:r>
          </w:p>
          <w:p w:rsidR="00A61406" w:rsidRPr="00C57412" w:rsidRDefault="00A61406" w:rsidP="00A61406">
            <w:pPr>
              <w:spacing w:after="40" w:line="240" w:lineRule="auto"/>
              <w:rPr>
                <w:lang w:val="en-US"/>
              </w:rPr>
            </w:pPr>
            <w:r w:rsidRPr="00C57412">
              <w:rPr>
                <w:lang w:val="en-US"/>
              </w:rPr>
              <w:t>3.21</w:t>
            </w:r>
          </w:p>
          <w:p w:rsidR="00A61406" w:rsidRPr="00C57412" w:rsidRDefault="00A61406" w:rsidP="00A61406">
            <w:pPr>
              <w:spacing w:after="40" w:line="240" w:lineRule="auto"/>
              <w:rPr>
                <w:lang w:val="en-US"/>
              </w:rPr>
            </w:pPr>
            <w:r w:rsidRPr="00C57412">
              <w:rPr>
                <w:lang w:val="en-US"/>
              </w:rPr>
              <w:t>8.14</w:t>
            </w:r>
          </w:p>
          <w:p w:rsidR="00A61406" w:rsidRPr="00C57412" w:rsidRDefault="00A61406" w:rsidP="00A61406">
            <w:pPr>
              <w:spacing w:after="40" w:line="240" w:lineRule="auto"/>
              <w:rPr>
                <w:lang w:val="en-US"/>
              </w:rPr>
            </w:pPr>
            <w:r w:rsidRPr="00C57412">
              <w:rPr>
                <w:lang w:val="en-US"/>
              </w:rPr>
              <w:t>7.32</w:t>
            </w:r>
          </w:p>
          <w:p w:rsidR="00A61406" w:rsidRPr="00C57412" w:rsidRDefault="00A61406" w:rsidP="00A61406">
            <w:pPr>
              <w:spacing w:after="40" w:line="240" w:lineRule="auto"/>
              <w:rPr>
                <w:lang w:val="en-US"/>
              </w:rPr>
            </w:pPr>
            <w:r w:rsidRPr="00C57412">
              <w:rPr>
                <w:lang w:val="en-US"/>
              </w:rPr>
              <w:t>6.63</w:t>
            </w:r>
          </w:p>
          <w:p w:rsidR="00A61406" w:rsidRPr="00C57412" w:rsidRDefault="0056388D" w:rsidP="00A61406">
            <w:pPr>
              <w:spacing w:after="40" w:line="240" w:lineRule="auto"/>
              <w:rPr>
                <w:lang w:val="en-US"/>
              </w:rPr>
            </w:pPr>
            <w:r w:rsidRPr="00C57412">
              <w:rPr>
                <w:lang w:val="en-US"/>
              </w:rPr>
              <w:t>3.45 (2H)</w:t>
            </w:r>
          </w:p>
          <w:p w:rsidR="0056388D" w:rsidRPr="00C57412" w:rsidRDefault="0056388D" w:rsidP="00A61406">
            <w:pPr>
              <w:spacing w:after="40" w:line="240" w:lineRule="auto"/>
              <w:rPr>
                <w:lang w:val="en-US"/>
              </w:rPr>
            </w:pPr>
            <w:r w:rsidRPr="00C57412">
              <w:rPr>
                <w:lang w:val="en-US"/>
              </w:rPr>
              <w:t>0.91</w:t>
            </w:r>
          </w:p>
          <w:p w:rsidR="0056388D" w:rsidRPr="00C57412" w:rsidRDefault="0056388D" w:rsidP="00A61406">
            <w:pPr>
              <w:spacing w:after="40" w:line="240" w:lineRule="auto"/>
              <w:rPr>
                <w:lang w:val="en-US"/>
              </w:rPr>
            </w:pPr>
            <w:r w:rsidRPr="00C57412">
              <w:rPr>
                <w:lang w:val="en-US"/>
              </w:rPr>
              <w:t>4.03</w:t>
            </w:r>
          </w:p>
          <w:p w:rsidR="0056388D" w:rsidRPr="00C57412" w:rsidRDefault="0056388D" w:rsidP="00A61406">
            <w:pPr>
              <w:spacing w:after="40" w:line="240" w:lineRule="auto"/>
              <w:rPr>
                <w:lang w:val="en-US"/>
              </w:rPr>
            </w:pPr>
            <w:r w:rsidRPr="00C57412">
              <w:rPr>
                <w:lang w:val="en-US"/>
              </w:rPr>
              <w:t>7.43</w:t>
            </w:r>
          </w:p>
        </w:tc>
        <w:tc>
          <w:tcPr>
            <w:tcW w:w="1417" w:type="dxa"/>
          </w:tcPr>
          <w:p w:rsidR="00A61406" w:rsidRPr="00C57412" w:rsidRDefault="0056388D" w:rsidP="00A61406">
            <w:pPr>
              <w:spacing w:after="40" w:line="240" w:lineRule="auto"/>
              <w:rPr>
                <w:lang w:val="en-US"/>
              </w:rPr>
            </w:pPr>
            <w:r w:rsidRPr="00C57412">
              <w:rPr>
                <w:lang w:val="en-US"/>
              </w:rPr>
              <w:t>8.43</w:t>
            </w:r>
          </w:p>
          <w:p w:rsidR="0056388D" w:rsidRPr="00C57412" w:rsidRDefault="0056388D" w:rsidP="00A61406">
            <w:pPr>
              <w:spacing w:after="40" w:line="240" w:lineRule="auto"/>
              <w:rPr>
                <w:lang w:val="en-US"/>
              </w:rPr>
            </w:pPr>
            <w:r w:rsidRPr="00C57412">
              <w:rPr>
                <w:lang w:val="en-US"/>
              </w:rPr>
              <w:t>7.63</w:t>
            </w:r>
          </w:p>
          <w:p w:rsidR="0056388D" w:rsidRPr="00C57412" w:rsidRDefault="0056388D" w:rsidP="00A61406">
            <w:pPr>
              <w:spacing w:after="40" w:line="240" w:lineRule="auto"/>
              <w:rPr>
                <w:lang w:val="en-US"/>
              </w:rPr>
            </w:pPr>
            <w:r w:rsidRPr="00C57412">
              <w:rPr>
                <w:lang w:val="en-US"/>
              </w:rPr>
              <w:t>7.73</w:t>
            </w:r>
          </w:p>
          <w:p w:rsidR="0056388D" w:rsidRPr="00C57412" w:rsidRDefault="0056388D" w:rsidP="00A61406">
            <w:pPr>
              <w:spacing w:after="40" w:line="240" w:lineRule="auto"/>
              <w:rPr>
                <w:lang w:val="en-US"/>
              </w:rPr>
            </w:pPr>
            <w:r w:rsidRPr="00C57412">
              <w:rPr>
                <w:lang w:val="en-US"/>
              </w:rPr>
              <w:t>1.62</w:t>
            </w:r>
          </w:p>
          <w:p w:rsidR="0056388D" w:rsidRPr="00C57412" w:rsidRDefault="0056388D" w:rsidP="00A61406">
            <w:pPr>
              <w:spacing w:after="40" w:line="240" w:lineRule="auto"/>
              <w:rPr>
                <w:lang w:val="en-US"/>
              </w:rPr>
            </w:pPr>
            <w:r w:rsidRPr="00C57412">
              <w:rPr>
                <w:lang w:val="en-US"/>
              </w:rPr>
              <w:t>4.78</w:t>
            </w:r>
          </w:p>
          <w:p w:rsidR="0056388D" w:rsidRPr="00C57412" w:rsidRDefault="0056388D" w:rsidP="00A61406">
            <w:pPr>
              <w:spacing w:after="40" w:line="240" w:lineRule="auto"/>
              <w:rPr>
                <w:lang w:val="en-US"/>
              </w:rPr>
            </w:pPr>
            <w:r w:rsidRPr="00C57412">
              <w:rPr>
                <w:lang w:val="en-US"/>
              </w:rPr>
              <w:t>3.73 + 5.83</w:t>
            </w:r>
          </w:p>
          <w:p w:rsidR="0056388D" w:rsidRPr="00C57412" w:rsidRDefault="0056388D" w:rsidP="00A61406">
            <w:pPr>
              <w:spacing w:after="40" w:line="240" w:lineRule="auto"/>
              <w:rPr>
                <w:lang w:val="en-US"/>
              </w:rPr>
            </w:pPr>
            <w:r w:rsidRPr="00C57412">
              <w:rPr>
                <w:lang w:val="en-US"/>
              </w:rPr>
              <w:t>3.13</w:t>
            </w:r>
          </w:p>
          <w:p w:rsidR="0056388D" w:rsidRPr="00C57412" w:rsidRDefault="0056388D" w:rsidP="00A61406">
            <w:pPr>
              <w:spacing w:after="40" w:line="240" w:lineRule="auto"/>
              <w:rPr>
                <w:lang w:val="en-US"/>
              </w:rPr>
            </w:pPr>
            <w:r w:rsidRPr="00C57412">
              <w:rPr>
                <w:lang w:val="en-US"/>
              </w:rPr>
              <w:t>8.15</w:t>
            </w:r>
          </w:p>
          <w:p w:rsidR="0056388D" w:rsidRPr="00C57412" w:rsidRDefault="0056388D" w:rsidP="00A61406">
            <w:pPr>
              <w:spacing w:after="40" w:line="240" w:lineRule="auto"/>
              <w:rPr>
                <w:lang w:val="en-US"/>
              </w:rPr>
            </w:pPr>
            <w:r w:rsidRPr="00C57412">
              <w:rPr>
                <w:lang w:val="en-US"/>
              </w:rPr>
              <w:t>7.18</w:t>
            </w:r>
          </w:p>
          <w:p w:rsidR="0056388D" w:rsidRPr="00C57412" w:rsidRDefault="0056388D" w:rsidP="00A61406">
            <w:pPr>
              <w:spacing w:after="40" w:line="240" w:lineRule="auto"/>
              <w:rPr>
                <w:lang w:val="en-US"/>
              </w:rPr>
            </w:pPr>
            <w:r w:rsidRPr="00C57412">
              <w:rPr>
                <w:lang w:val="en-US"/>
              </w:rPr>
              <w:t>6.49</w:t>
            </w:r>
          </w:p>
          <w:p w:rsidR="0056388D" w:rsidRPr="00C57412" w:rsidRDefault="0056388D" w:rsidP="00A61406">
            <w:pPr>
              <w:spacing w:after="40" w:line="240" w:lineRule="auto"/>
              <w:rPr>
                <w:lang w:val="en-US"/>
              </w:rPr>
            </w:pPr>
            <w:r w:rsidRPr="00C57412">
              <w:rPr>
                <w:lang w:val="en-US"/>
              </w:rPr>
              <w:t>3.43 (2H)</w:t>
            </w:r>
          </w:p>
          <w:p w:rsidR="0056388D" w:rsidRPr="00C57412" w:rsidRDefault="0056388D" w:rsidP="00A61406">
            <w:pPr>
              <w:spacing w:after="40" w:line="240" w:lineRule="auto"/>
              <w:rPr>
                <w:lang w:val="en-US"/>
              </w:rPr>
            </w:pPr>
            <w:r w:rsidRPr="00C57412">
              <w:rPr>
                <w:lang w:val="en-US"/>
              </w:rPr>
              <w:t>0.79</w:t>
            </w:r>
          </w:p>
          <w:p w:rsidR="0056388D" w:rsidRPr="00C57412" w:rsidRDefault="0056388D" w:rsidP="00A61406">
            <w:pPr>
              <w:spacing w:after="40" w:line="240" w:lineRule="auto"/>
              <w:rPr>
                <w:lang w:val="en-US"/>
              </w:rPr>
            </w:pPr>
            <w:r w:rsidRPr="00C57412">
              <w:rPr>
                <w:lang w:val="en-US"/>
              </w:rPr>
              <w:t>3.91</w:t>
            </w:r>
          </w:p>
          <w:p w:rsidR="0056388D" w:rsidRPr="00C57412" w:rsidRDefault="0056388D" w:rsidP="00A61406">
            <w:pPr>
              <w:spacing w:after="40" w:line="240" w:lineRule="auto"/>
              <w:rPr>
                <w:lang w:val="en-US"/>
              </w:rPr>
            </w:pPr>
            <w:r w:rsidRPr="00C57412">
              <w:rPr>
                <w:lang w:val="en-US"/>
              </w:rPr>
              <w:t>7.54</w:t>
            </w:r>
          </w:p>
        </w:tc>
        <w:tc>
          <w:tcPr>
            <w:tcW w:w="1276" w:type="dxa"/>
          </w:tcPr>
          <w:p w:rsidR="00A61406" w:rsidRPr="00C57412" w:rsidRDefault="0056388D" w:rsidP="00A61406">
            <w:pPr>
              <w:spacing w:after="40" w:line="240" w:lineRule="auto"/>
              <w:rPr>
                <w:lang w:val="en-US"/>
              </w:rPr>
            </w:pPr>
            <w:r w:rsidRPr="00C57412">
              <w:rPr>
                <w:lang w:val="en-US"/>
              </w:rPr>
              <w:t>8.79</w:t>
            </w:r>
          </w:p>
          <w:p w:rsidR="0056388D" w:rsidRPr="00C57412" w:rsidRDefault="0056388D" w:rsidP="00A61406">
            <w:pPr>
              <w:spacing w:after="40" w:line="240" w:lineRule="auto"/>
              <w:rPr>
                <w:lang w:val="en-US"/>
              </w:rPr>
            </w:pPr>
            <w:r w:rsidRPr="00C57412">
              <w:rPr>
                <w:lang w:val="en-US"/>
              </w:rPr>
              <w:t>7.84</w:t>
            </w:r>
          </w:p>
          <w:p w:rsidR="0056388D" w:rsidRPr="00C57412" w:rsidRDefault="0056388D" w:rsidP="00A61406">
            <w:pPr>
              <w:spacing w:after="40" w:line="240" w:lineRule="auto"/>
              <w:rPr>
                <w:lang w:val="en-US"/>
              </w:rPr>
            </w:pPr>
            <w:r w:rsidRPr="00C57412">
              <w:rPr>
                <w:lang w:val="en-US"/>
              </w:rPr>
              <w:t>7.90</w:t>
            </w:r>
          </w:p>
          <w:p w:rsidR="0056388D" w:rsidRPr="00C57412" w:rsidRDefault="0056388D" w:rsidP="00A61406">
            <w:pPr>
              <w:spacing w:after="40" w:line="240" w:lineRule="auto"/>
              <w:rPr>
                <w:lang w:val="en-US"/>
              </w:rPr>
            </w:pPr>
            <w:r w:rsidRPr="00C57412">
              <w:rPr>
                <w:lang w:val="en-US"/>
              </w:rPr>
              <w:t>1.72</w:t>
            </w:r>
          </w:p>
          <w:p w:rsidR="0056388D" w:rsidRPr="00C57412" w:rsidRDefault="0056388D" w:rsidP="00A61406">
            <w:pPr>
              <w:spacing w:after="40" w:line="240" w:lineRule="auto"/>
              <w:rPr>
                <w:lang w:val="en-US"/>
              </w:rPr>
            </w:pPr>
            <w:r w:rsidRPr="00C57412">
              <w:rPr>
                <w:lang w:val="en-US"/>
              </w:rPr>
              <w:t>4.90</w:t>
            </w:r>
          </w:p>
          <w:p w:rsidR="0056388D" w:rsidRPr="00C57412" w:rsidRDefault="0056388D" w:rsidP="00A61406">
            <w:pPr>
              <w:spacing w:after="40" w:line="240" w:lineRule="auto"/>
              <w:rPr>
                <w:lang w:val="en-US"/>
              </w:rPr>
            </w:pPr>
            <w:r w:rsidRPr="00C57412">
              <w:rPr>
                <w:lang w:val="en-US"/>
              </w:rPr>
              <w:t>3.92 + 5.86</w:t>
            </w:r>
          </w:p>
          <w:p w:rsidR="0056388D" w:rsidRPr="00C57412" w:rsidRDefault="0056388D" w:rsidP="00A61406">
            <w:pPr>
              <w:spacing w:after="40" w:line="240" w:lineRule="auto"/>
              <w:rPr>
                <w:lang w:val="en-US"/>
              </w:rPr>
            </w:pPr>
            <w:r w:rsidRPr="00C57412">
              <w:rPr>
                <w:lang w:val="en-US"/>
              </w:rPr>
              <w:t>3.20</w:t>
            </w:r>
          </w:p>
          <w:p w:rsidR="0056388D" w:rsidRPr="00C57412" w:rsidRDefault="0056388D" w:rsidP="00A61406">
            <w:pPr>
              <w:spacing w:after="40" w:line="240" w:lineRule="auto"/>
              <w:rPr>
                <w:lang w:val="en-US"/>
              </w:rPr>
            </w:pPr>
            <w:r w:rsidRPr="00C57412">
              <w:rPr>
                <w:lang w:val="en-US"/>
              </w:rPr>
              <w:t>8.05</w:t>
            </w:r>
          </w:p>
          <w:p w:rsidR="0056388D" w:rsidRPr="00C57412" w:rsidRDefault="0056388D" w:rsidP="00A61406">
            <w:pPr>
              <w:spacing w:after="40" w:line="240" w:lineRule="auto"/>
              <w:rPr>
                <w:lang w:val="en-US"/>
              </w:rPr>
            </w:pPr>
            <w:r w:rsidRPr="00C57412">
              <w:rPr>
                <w:lang w:val="en-US"/>
              </w:rPr>
              <w:t>7.22</w:t>
            </w:r>
          </w:p>
          <w:p w:rsidR="0056388D" w:rsidRPr="00C57412" w:rsidRDefault="0056388D" w:rsidP="00A61406">
            <w:pPr>
              <w:spacing w:after="40" w:line="240" w:lineRule="auto"/>
              <w:rPr>
                <w:lang w:val="en-US"/>
              </w:rPr>
            </w:pPr>
            <w:r w:rsidRPr="00C57412">
              <w:rPr>
                <w:lang w:val="en-US"/>
              </w:rPr>
              <w:t>6.46</w:t>
            </w:r>
          </w:p>
          <w:p w:rsidR="0056388D" w:rsidRPr="00C57412" w:rsidRDefault="0056388D" w:rsidP="00A61406">
            <w:pPr>
              <w:spacing w:after="40" w:line="240" w:lineRule="auto"/>
              <w:rPr>
                <w:lang w:val="en-US"/>
              </w:rPr>
            </w:pPr>
            <w:r w:rsidRPr="00C57412">
              <w:rPr>
                <w:lang w:val="en-US"/>
              </w:rPr>
              <w:t>3.34 (2H)</w:t>
            </w:r>
          </w:p>
          <w:p w:rsidR="0056388D" w:rsidRPr="00C57412" w:rsidRDefault="0056388D" w:rsidP="00A61406">
            <w:pPr>
              <w:spacing w:after="40" w:line="240" w:lineRule="auto"/>
              <w:rPr>
                <w:lang w:val="en-US"/>
              </w:rPr>
            </w:pPr>
            <w:r w:rsidRPr="00C57412">
              <w:rPr>
                <w:lang w:val="en-US"/>
              </w:rPr>
              <w:t>0.56</w:t>
            </w:r>
          </w:p>
          <w:p w:rsidR="0056388D" w:rsidRPr="00C57412" w:rsidRDefault="0056388D" w:rsidP="00A61406">
            <w:pPr>
              <w:spacing w:after="40" w:line="240" w:lineRule="auto"/>
              <w:rPr>
                <w:lang w:val="en-US"/>
              </w:rPr>
            </w:pPr>
            <w:r w:rsidRPr="00C57412">
              <w:rPr>
                <w:lang w:val="en-US"/>
              </w:rPr>
              <w:t>3.97</w:t>
            </w:r>
          </w:p>
          <w:p w:rsidR="0056388D" w:rsidRPr="00C57412" w:rsidRDefault="0056388D" w:rsidP="00A61406">
            <w:pPr>
              <w:spacing w:after="40" w:line="240" w:lineRule="auto"/>
              <w:rPr>
                <w:lang w:val="en-US"/>
              </w:rPr>
            </w:pPr>
            <w:r w:rsidRPr="00C57412">
              <w:rPr>
                <w:lang w:val="en-US"/>
              </w:rPr>
              <w:t>8.15</w:t>
            </w:r>
          </w:p>
        </w:tc>
        <w:tc>
          <w:tcPr>
            <w:tcW w:w="1418" w:type="dxa"/>
          </w:tcPr>
          <w:p w:rsidR="00A61406" w:rsidRPr="00C57412" w:rsidRDefault="0056388D" w:rsidP="00A61406">
            <w:pPr>
              <w:spacing w:after="40" w:line="240" w:lineRule="auto"/>
              <w:rPr>
                <w:lang w:val="en-US"/>
              </w:rPr>
            </w:pPr>
            <w:r w:rsidRPr="00C57412">
              <w:rPr>
                <w:lang w:val="en-US"/>
              </w:rPr>
              <w:t>8.08</w:t>
            </w:r>
          </w:p>
          <w:p w:rsidR="0056388D" w:rsidRPr="00C57412" w:rsidRDefault="0056388D" w:rsidP="00A61406">
            <w:pPr>
              <w:spacing w:after="40" w:line="240" w:lineRule="auto"/>
              <w:rPr>
                <w:lang w:val="en-US"/>
              </w:rPr>
            </w:pPr>
            <w:r w:rsidRPr="00C57412">
              <w:rPr>
                <w:lang w:val="en-US"/>
              </w:rPr>
              <w:t>7.32</w:t>
            </w:r>
          </w:p>
          <w:p w:rsidR="0056388D" w:rsidRPr="00C57412" w:rsidRDefault="0056388D" w:rsidP="00A61406">
            <w:pPr>
              <w:spacing w:after="40" w:line="240" w:lineRule="auto"/>
              <w:rPr>
                <w:lang w:val="en-US"/>
              </w:rPr>
            </w:pPr>
            <w:r w:rsidRPr="00C57412">
              <w:rPr>
                <w:lang w:val="en-US"/>
              </w:rPr>
              <w:t>7.73</w:t>
            </w:r>
          </w:p>
          <w:p w:rsidR="0056388D" w:rsidRPr="00C57412" w:rsidRDefault="0056388D" w:rsidP="00A61406">
            <w:pPr>
              <w:spacing w:after="40" w:line="240" w:lineRule="auto"/>
              <w:rPr>
                <w:lang w:val="en-US"/>
              </w:rPr>
            </w:pPr>
            <w:r w:rsidRPr="00C57412">
              <w:rPr>
                <w:lang w:val="en-US"/>
              </w:rPr>
              <w:t>1.82</w:t>
            </w:r>
          </w:p>
          <w:p w:rsidR="0056388D" w:rsidRPr="00C57412" w:rsidRDefault="0056388D" w:rsidP="00A61406">
            <w:pPr>
              <w:spacing w:after="40" w:line="240" w:lineRule="auto"/>
              <w:rPr>
                <w:lang w:val="en-US"/>
              </w:rPr>
            </w:pPr>
            <w:r w:rsidRPr="00C57412">
              <w:rPr>
                <w:lang w:val="en-US"/>
              </w:rPr>
              <w:t>4.82</w:t>
            </w:r>
          </w:p>
          <w:p w:rsidR="0056388D" w:rsidRPr="00C57412" w:rsidRDefault="0056388D" w:rsidP="00A61406">
            <w:pPr>
              <w:spacing w:after="40" w:line="240" w:lineRule="auto"/>
              <w:rPr>
                <w:lang w:val="en-US"/>
              </w:rPr>
            </w:pPr>
            <w:r w:rsidRPr="00C57412">
              <w:rPr>
                <w:lang w:val="en-US"/>
              </w:rPr>
              <w:t>3.85 + 5.88</w:t>
            </w:r>
          </w:p>
          <w:p w:rsidR="0056388D" w:rsidRPr="00C57412" w:rsidRDefault="0056388D" w:rsidP="00A61406">
            <w:pPr>
              <w:spacing w:after="40" w:line="240" w:lineRule="auto"/>
              <w:rPr>
                <w:lang w:val="en-US"/>
              </w:rPr>
            </w:pPr>
            <w:r w:rsidRPr="00C57412">
              <w:rPr>
                <w:lang w:val="en-US"/>
              </w:rPr>
              <w:t>3.22</w:t>
            </w:r>
          </w:p>
          <w:p w:rsidR="0056388D" w:rsidRPr="00C57412" w:rsidRDefault="0056388D" w:rsidP="00A61406">
            <w:pPr>
              <w:spacing w:after="40" w:line="240" w:lineRule="auto"/>
              <w:rPr>
                <w:lang w:val="en-US"/>
              </w:rPr>
            </w:pPr>
            <w:r w:rsidRPr="00C57412">
              <w:rPr>
                <w:lang w:val="en-US"/>
              </w:rPr>
              <w:t>8.11</w:t>
            </w:r>
          </w:p>
          <w:p w:rsidR="0056388D" w:rsidRPr="00C57412" w:rsidRDefault="0056388D" w:rsidP="00A61406">
            <w:pPr>
              <w:spacing w:after="40" w:line="240" w:lineRule="auto"/>
              <w:rPr>
                <w:lang w:val="en-US"/>
              </w:rPr>
            </w:pPr>
            <w:r w:rsidRPr="00C57412">
              <w:rPr>
                <w:lang w:val="en-US"/>
              </w:rPr>
              <w:t>7.31</w:t>
            </w:r>
          </w:p>
          <w:p w:rsidR="0056388D" w:rsidRPr="00C57412" w:rsidRDefault="0056388D" w:rsidP="00A61406">
            <w:pPr>
              <w:spacing w:after="40" w:line="240" w:lineRule="auto"/>
              <w:rPr>
                <w:lang w:val="en-US"/>
              </w:rPr>
            </w:pPr>
            <w:r w:rsidRPr="00C57412">
              <w:rPr>
                <w:lang w:val="en-US"/>
              </w:rPr>
              <w:t>6.63</w:t>
            </w:r>
          </w:p>
          <w:p w:rsidR="0056388D" w:rsidRPr="00C57412" w:rsidRDefault="0056388D" w:rsidP="00A61406">
            <w:pPr>
              <w:spacing w:after="40" w:line="240" w:lineRule="auto"/>
              <w:rPr>
                <w:lang w:val="en-US"/>
              </w:rPr>
            </w:pPr>
            <w:r w:rsidRPr="00C57412">
              <w:rPr>
                <w:lang w:val="en-US"/>
              </w:rPr>
              <w:t>3.47 (2H)</w:t>
            </w:r>
          </w:p>
          <w:p w:rsidR="0056388D" w:rsidRPr="00C57412" w:rsidRDefault="0056388D" w:rsidP="00A61406">
            <w:pPr>
              <w:spacing w:after="40" w:line="240" w:lineRule="auto"/>
              <w:rPr>
                <w:lang w:val="en-US"/>
              </w:rPr>
            </w:pPr>
            <w:r w:rsidRPr="00C57412">
              <w:rPr>
                <w:lang w:val="en-US"/>
              </w:rPr>
              <w:t>0.84</w:t>
            </w:r>
          </w:p>
          <w:p w:rsidR="0056388D" w:rsidRPr="00C57412" w:rsidRDefault="0056388D" w:rsidP="00A61406">
            <w:pPr>
              <w:spacing w:after="40" w:line="240" w:lineRule="auto"/>
              <w:rPr>
                <w:lang w:val="en-US"/>
              </w:rPr>
            </w:pPr>
            <w:r w:rsidRPr="00C57412">
              <w:rPr>
                <w:lang w:val="en-US"/>
              </w:rPr>
              <w:t>4.05</w:t>
            </w:r>
          </w:p>
          <w:p w:rsidR="0056388D" w:rsidRPr="00C57412" w:rsidRDefault="0056388D" w:rsidP="00A61406">
            <w:pPr>
              <w:spacing w:after="40" w:line="240" w:lineRule="auto"/>
              <w:rPr>
                <w:lang w:val="en-US"/>
              </w:rPr>
            </w:pPr>
            <w:r w:rsidRPr="00C57412">
              <w:rPr>
                <w:lang w:val="en-US"/>
              </w:rPr>
              <w:t>7.79</w:t>
            </w:r>
          </w:p>
        </w:tc>
      </w:tr>
    </w:tbl>
    <w:p w:rsidR="00A61406" w:rsidRPr="00C57412" w:rsidRDefault="00A61406" w:rsidP="00B42F8D">
      <w:pPr>
        <w:rPr>
          <w:lang w:val="en-US"/>
        </w:rPr>
      </w:pPr>
    </w:p>
    <w:p w:rsidR="00A00525" w:rsidRPr="00C57412" w:rsidRDefault="00BE7E2C" w:rsidP="000B000C">
      <w:pPr>
        <w:spacing w:after="0"/>
        <w:ind w:firstLine="567"/>
        <w:jc w:val="both"/>
        <w:rPr>
          <w:lang w:val="en-US"/>
        </w:rPr>
      </w:pPr>
      <w:r w:rsidRPr="00C57412">
        <w:rPr>
          <w:lang w:val="en-US"/>
        </w:rPr>
        <w:t>To follow up the conclusions drawn from solid-state NMR measurements, s</w:t>
      </w:r>
      <w:r w:rsidR="00FE70BA" w:rsidRPr="00C57412">
        <w:rPr>
          <w:lang w:val="en-US"/>
        </w:rPr>
        <w:t xml:space="preserve">ingle crystal X-Ray </w:t>
      </w:r>
      <w:r w:rsidRPr="00C57412">
        <w:rPr>
          <w:lang w:val="en-US"/>
        </w:rPr>
        <w:t xml:space="preserve">diffraction </w:t>
      </w:r>
      <w:r w:rsidR="006B49C7" w:rsidRPr="00C57412">
        <w:rPr>
          <w:lang w:val="en-US"/>
        </w:rPr>
        <w:t>experiments</w:t>
      </w:r>
      <w:r w:rsidR="00FE70BA" w:rsidRPr="00C57412">
        <w:rPr>
          <w:lang w:val="en-US"/>
        </w:rPr>
        <w:t xml:space="preserve"> </w:t>
      </w:r>
      <w:r w:rsidR="0056388D" w:rsidRPr="00C57412">
        <w:rPr>
          <w:lang w:val="en-US"/>
        </w:rPr>
        <w:t xml:space="preserve">for the four cocrystals </w:t>
      </w:r>
      <w:r w:rsidR="006B49C7" w:rsidRPr="00C57412">
        <w:rPr>
          <w:lang w:val="en-US"/>
        </w:rPr>
        <w:t>were performed</w:t>
      </w:r>
      <w:r w:rsidR="0039179D" w:rsidRPr="00C57412">
        <w:rPr>
          <w:lang w:val="en-US"/>
        </w:rPr>
        <w:t xml:space="preserve"> (for crystallographic data see Table 1)</w:t>
      </w:r>
      <w:r w:rsidR="006B49C7" w:rsidRPr="00C57412">
        <w:rPr>
          <w:lang w:val="en-US"/>
        </w:rPr>
        <w:t>. Indeed,</w:t>
      </w:r>
      <w:r w:rsidR="0056388D" w:rsidRPr="00C57412">
        <w:rPr>
          <w:lang w:val="en-US"/>
        </w:rPr>
        <w:t xml:space="preserve"> </w:t>
      </w:r>
      <w:r w:rsidR="00ED12B0" w:rsidRPr="00C57412">
        <w:rPr>
          <w:lang w:val="en-US"/>
        </w:rPr>
        <w:t xml:space="preserve">all </w:t>
      </w:r>
      <w:r w:rsidR="006B49C7" w:rsidRPr="00C57412">
        <w:rPr>
          <w:lang w:val="en-US"/>
        </w:rPr>
        <w:t xml:space="preserve">the obtained crystals were found to </w:t>
      </w:r>
      <w:r w:rsidR="00DB4FB3" w:rsidRPr="00C57412">
        <w:rPr>
          <w:lang w:val="en-US"/>
        </w:rPr>
        <w:t xml:space="preserve">be in the shape of </w:t>
      </w:r>
      <w:r w:rsidR="00DB4FB3" w:rsidRPr="00C57412">
        <w:rPr>
          <w:rFonts w:eastAsia="Calibri" w:cs="Times New Roman"/>
          <w:lang w:val="en-US"/>
        </w:rPr>
        <w:t>tetragonal bipyramids</w:t>
      </w:r>
      <w:r w:rsidR="00DB4FB3" w:rsidRPr="00C57412">
        <w:rPr>
          <w:lang w:val="en-US"/>
        </w:rPr>
        <w:t xml:space="preserve">, crystallizing isostructurally in the </w:t>
      </w:r>
      <w:r w:rsidR="00DB4FB3" w:rsidRPr="00C57412">
        <w:rPr>
          <w:i/>
          <w:lang w:val="en-US"/>
        </w:rPr>
        <w:t>P</w:t>
      </w:r>
      <w:r w:rsidR="00DB4FB3" w:rsidRPr="00C57412">
        <w:rPr>
          <w:lang w:val="en-US"/>
        </w:rPr>
        <w:t>4</w:t>
      </w:r>
      <w:r w:rsidR="00DB4FB3" w:rsidRPr="00C57412">
        <w:rPr>
          <w:vertAlign w:val="subscript"/>
          <w:lang w:val="en-US"/>
        </w:rPr>
        <w:t>1</w:t>
      </w:r>
      <w:r w:rsidR="00DB4FB3" w:rsidRPr="00C57412">
        <w:rPr>
          <w:lang w:val="en-US"/>
        </w:rPr>
        <w:t>2</w:t>
      </w:r>
      <w:r w:rsidR="00DB4FB3" w:rsidRPr="00C57412">
        <w:rPr>
          <w:vertAlign w:val="subscript"/>
          <w:lang w:val="en-US"/>
        </w:rPr>
        <w:t>1</w:t>
      </w:r>
      <w:r w:rsidR="00DB4FB3" w:rsidRPr="00C57412">
        <w:rPr>
          <w:lang w:val="en-US"/>
        </w:rPr>
        <w:t>2 tetragonal space group</w:t>
      </w:r>
      <w:r w:rsidR="00ED12B0" w:rsidRPr="00C57412">
        <w:rPr>
          <w:lang w:val="en-US"/>
        </w:rPr>
        <w:t xml:space="preserve">, </w:t>
      </w:r>
      <w:r w:rsidR="006B49C7" w:rsidRPr="00C57412">
        <w:rPr>
          <w:lang w:val="en-US"/>
        </w:rPr>
        <w:t xml:space="preserve">with aromatic – aromatic interactions playing the main role in holding together components in the crystal lattice. However, </w:t>
      </w:r>
      <w:r w:rsidR="00BA4BFE" w:rsidRPr="00C57412">
        <w:rPr>
          <w:lang w:val="en-US"/>
        </w:rPr>
        <w:t>as was suggest</w:t>
      </w:r>
      <w:r w:rsidR="006B49C7" w:rsidRPr="00C57412">
        <w:rPr>
          <w:lang w:val="en-US"/>
        </w:rPr>
        <w:t>ed</w:t>
      </w:r>
      <w:r w:rsidR="00BA4BFE" w:rsidRPr="00C57412">
        <w:rPr>
          <w:lang w:val="en-US"/>
        </w:rPr>
        <w:t xml:space="preserve"> by solid-state NMR results</w:t>
      </w:r>
      <w:r w:rsidR="006B49C7" w:rsidRPr="00C57412">
        <w:rPr>
          <w:lang w:val="en-US"/>
        </w:rPr>
        <w:t>,</w:t>
      </w:r>
      <w:r w:rsidR="00FE70BA" w:rsidRPr="00C57412">
        <w:rPr>
          <w:lang w:val="en-US"/>
        </w:rPr>
        <w:t xml:space="preserve"> </w:t>
      </w:r>
      <w:r w:rsidR="00BA4BFE" w:rsidRPr="00C57412">
        <w:rPr>
          <w:lang w:val="en-US"/>
        </w:rPr>
        <w:t>some differences between these cocrystals in terms of</w:t>
      </w:r>
      <w:r w:rsidR="009A2A1C" w:rsidRPr="00C57412">
        <w:rPr>
          <w:lang w:val="en-US"/>
        </w:rPr>
        <w:t xml:space="preserve"> intermolecular interactions have</w:t>
      </w:r>
      <w:r w:rsidR="00BA4BFE" w:rsidRPr="00C57412">
        <w:rPr>
          <w:lang w:val="en-US"/>
        </w:rPr>
        <w:t xml:space="preserve"> been found</w:t>
      </w:r>
      <w:r w:rsidR="00FE70BA" w:rsidRPr="00C57412">
        <w:rPr>
          <w:lang w:val="en-US"/>
        </w:rPr>
        <w:t xml:space="preserve">. </w:t>
      </w:r>
    </w:p>
    <w:p w:rsidR="000B000C" w:rsidRPr="00C57412" w:rsidRDefault="000C578B" w:rsidP="000B000C">
      <w:pPr>
        <w:spacing w:after="0"/>
        <w:ind w:firstLine="567"/>
        <w:jc w:val="both"/>
        <w:rPr>
          <w:lang w:val="en-US"/>
        </w:rPr>
      </w:pPr>
      <w:r w:rsidRPr="00C57412">
        <w:rPr>
          <w:lang w:val="en-US"/>
        </w:rPr>
        <w:t>A f</w:t>
      </w:r>
      <w:r w:rsidR="00ED12B0" w:rsidRPr="00C57412">
        <w:rPr>
          <w:lang w:val="en-US"/>
        </w:rPr>
        <w:t xml:space="preserve">irst characteristic </w:t>
      </w:r>
      <w:r w:rsidR="0056388D" w:rsidRPr="00C57412">
        <w:rPr>
          <w:lang w:val="en-US"/>
        </w:rPr>
        <w:t xml:space="preserve">and distinctive </w:t>
      </w:r>
      <w:r w:rsidR="00ED12B0" w:rsidRPr="00C57412">
        <w:rPr>
          <w:lang w:val="en-US"/>
        </w:rPr>
        <w:t>feature is the presence of water molecule in three</w:t>
      </w:r>
      <w:r w:rsidR="00BA4BFE" w:rsidRPr="00C57412">
        <w:rPr>
          <w:lang w:val="en-US"/>
        </w:rPr>
        <w:t xml:space="preserve"> out of four cocrystals:</w:t>
      </w:r>
      <w:r w:rsidR="00ED12B0" w:rsidRPr="00C57412">
        <w:rPr>
          <w:lang w:val="en-US"/>
        </w:rPr>
        <w:t xml:space="preserve"> </w:t>
      </w:r>
      <w:r w:rsidR="00636D73" w:rsidRPr="00C57412">
        <w:rPr>
          <w:lang w:val="en-US"/>
        </w:rPr>
        <w:t>APR:IMI</w:t>
      </w:r>
      <w:r w:rsidR="00ED12B0" w:rsidRPr="00C57412">
        <w:rPr>
          <w:lang w:val="en-US"/>
        </w:rPr>
        <w:t xml:space="preserve">, </w:t>
      </w:r>
      <w:r w:rsidR="00636D73" w:rsidRPr="00C57412">
        <w:rPr>
          <w:lang w:val="en-US"/>
        </w:rPr>
        <w:t>APR:RES</w:t>
      </w:r>
      <w:r w:rsidR="00ED12B0" w:rsidRPr="00C57412">
        <w:rPr>
          <w:lang w:val="en-US"/>
        </w:rPr>
        <w:t xml:space="preserve"> and </w:t>
      </w:r>
      <w:r w:rsidR="00636D73" w:rsidRPr="00C57412">
        <w:rPr>
          <w:lang w:val="en-US"/>
        </w:rPr>
        <w:t>APR:HQU</w:t>
      </w:r>
      <w:r w:rsidR="00ED12B0" w:rsidRPr="00C57412">
        <w:rPr>
          <w:lang w:val="en-US"/>
        </w:rPr>
        <w:t xml:space="preserve">. In all cases water is </w:t>
      </w:r>
      <w:r w:rsidR="00DB4FB3" w:rsidRPr="00C57412">
        <w:rPr>
          <w:lang w:val="en-US"/>
        </w:rPr>
        <w:t xml:space="preserve">located at the two fold axis and is </w:t>
      </w:r>
      <w:r w:rsidR="00ED12B0" w:rsidRPr="00C57412">
        <w:rPr>
          <w:lang w:val="en-US"/>
        </w:rPr>
        <w:t xml:space="preserve">strongly bonded </w:t>
      </w:r>
      <w:r w:rsidR="00636D73" w:rsidRPr="00C57412">
        <w:rPr>
          <w:lang w:val="en-US"/>
        </w:rPr>
        <w:t>with a coformer</w:t>
      </w:r>
      <w:r w:rsidR="00636D73" w:rsidRPr="00C57412">
        <w:rPr>
          <w:i/>
          <w:lang w:val="en-US"/>
        </w:rPr>
        <w:t xml:space="preserve"> </w:t>
      </w:r>
      <w:r w:rsidR="00E30061" w:rsidRPr="00C57412">
        <w:rPr>
          <w:i/>
          <w:lang w:val="en-US"/>
        </w:rPr>
        <w:t>via</w:t>
      </w:r>
      <w:r w:rsidR="00E30061" w:rsidRPr="00C57412">
        <w:rPr>
          <w:lang w:val="en-US"/>
        </w:rPr>
        <w:t xml:space="preserve"> </w:t>
      </w:r>
      <w:r w:rsidR="00636D73" w:rsidRPr="00C57412">
        <w:rPr>
          <w:lang w:val="en-US"/>
        </w:rPr>
        <w:t xml:space="preserve">a </w:t>
      </w:r>
      <w:r w:rsidR="00E30061" w:rsidRPr="00C57412">
        <w:rPr>
          <w:lang w:val="en-US"/>
        </w:rPr>
        <w:t>hydrogen bond</w:t>
      </w:r>
      <w:r w:rsidR="00636D73" w:rsidRPr="00C57412">
        <w:rPr>
          <w:lang w:val="en-US"/>
        </w:rPr>
        <w:t xml:space="preserve">, and as a consequence is located in the </w:t>
      </w:r>
      <w:r w:rsidR="00636D73" w:rsidRPr="00C57412">
        <w:rPr>
          <w:rFonts w:cs="Times New Roman"/>
          <w:lang w:val="en-US"/>
        </w:rPr>
        <w:t>π</w:t>
      </w:r>
      <w:r w:rsidR="00636D73" w:rsidRPr="00C57412">
        <w:rPr>
          <w:lang w:val="en-US"/>
        </w:rPr>
        <w:t>-philic space formed by APR molec</w:t>
      </w:r>
      <w:r w:rsidR="0017663A" w:rsidRPr="00C57412">
        <w:rPr>
          <w:lang w:val="en-US"/>
        </w:rPr>
        <w:t>ules, in a close proximity to H2 and H</w:t>
      </w:r>
      <w:r w:rsidR="00636D73" w:rsidRPr="00C57412">
        <w:rPr>
          <w:lang w:val="en-US"/>
        </w:rPr>
        <w:t>3 atoms of APR</w:t>
      </w:r>
      <w:r w:rsidR="00ED12B0" w:rsidRPr="00C57412">
        <w:rPr>
          <w:lang w:val="en-US"/>
        </w:rPr>
        <w:t>.</w:t>
      </w:r>
      <w:r w:rsidR="00636D73" w:rsidRPr="00C57412">
        <w:rPr>
          <w:lang w:val="en-US"/>
        </w:rPr>
        <w:t xml:space="preserve"> Its presence can readily explain the higher values of </w:t>
      </w:r>
      <w:r w:rsidR="00636D73" w:rsidRPr="00C57412">
        <w:rPr>
          <w:vertAlign w:val="superscript"/>
          <w:lang w:val="en-US"/>
        </w:rPr>
        <w:t>1</w:t>
      </w:r>
      <w:r w:rsidR="00636D73" w:rsidRPr="00C57412">
        <w:rPr>
          <w:lang w:val="en-US"/>
        </w:rPr>
        <w:t xml:space="preserve">H chemical </w:t>
      </w:r>
      <w:r w:rsidR="00636D73" w:rsidRPr="00C57412">
        <w:rPr>
          <w:lang w:val="en-US"/>
        </w:rPr>
        <w:lastRenderedPageBreak/>
        <w:t>shifts observed for H</w:t>
      </w:r>
      <w:r w:rsidR="0017663A" w:rsidRPr="00C57412">
        <w:rPr>
          <w:lang w:val="en-US"/>
        </w:rPr>
        <w:t>2 and H</w:t>
      </w:r>
      <w:r w:rsidR="00636D73" w:rsidRPr="00C57412">
        <w:rPr>
          <w:lang w:val="en-US"/>
        </w:rPr>
        <w:t>3 atoms of these cocrystals in compar</w:t>
      </w:r>
      <w:r w:rsidR="00BA4BFE" w:rsidRPr="00C57412">
        <w:rPr>
          <w:lang w:val="en-US"/>
        </w:rPr>
        <w:t>ison to that of APR:PIC, with no water molecule in its structure</w:t>
      </w:r>
      <w:r w:rsidR="00636D73" w:rsidRPr="00C57412">
        <w:rPr>
          <w:lang w:val="en-US"/>
        </w:rPr>
        <w:t xml:space="preserve">. </w:t>
      </w:r>
    </w:p>
    <w:p w:rsidR="00D44D04" w:rsidRPr="00C57412" w:rsidRDefault="000B000C" w:rsidP="008152A4">
      <w:pPr>
        <w:spacing w:after="0"/>
        <w:ind w:firstLine="567"/>
        <w:jc w:val="both"/>
        <w:rPr>
          <w:rFonts w:eastAsia="Times New Roman" w:cs="Times New Roman"/>
          <w:szCs w:val="24"/>
          <w:lang w:val="en-US" w:eastAsia="pl-PL"/>
        </w:rPr>
      </w:pPr>
      <w:r w:rsidRPr="00C57412">
        <w:rPr>
          <w:lang w:val="en-US"/>
        </w:rPr>
        <w:t>As to the formation of the hydrogen bonds engagin</w:t>
      </w:r>
      <w:r w:rsidR="00BD207B" w:rsidRPr="00C57412">
        <w:rPr>
          <w:lang w:val="en-US"/>
        </w:rPr>
        <w:t>g</w:t>
      </w:r>
      <w:r w:rsidRPr="00C57412">
        <w:rPr>
          <w:lang w:val="en-US"/>
        </w:rPr>
        <w:t xml:space="preserve"> APR molecule itself, there are only </w:t>
      </w:r>
      <w:r w:rsidR="00BD207B" w:rsidRPr="00C57412">
        <w:rPr>
          <w:lang w:val="en-US"/>
        </w:rPr>
        <w:t xml:space="preserve">two types </w:t>
      </w:r>
      <w:r w:rsidRPr="00C57412">
        <w:rPr>
          <w:lang w:val="en-US"/>
        </w:rPr>
        <w:t>of them observed in the obtai</w:t>
      </w:r>
      <w:r w:rsidR="00101C7D" w:rsidRPr="00C57412">
        <w:rPr>
          <w:lang w:val="en-US"/>
        </w:rPr>
        <w:t>ned structures. T</w:t>
      </w:r>
      <w:r w:rsidRPr="00C57412">
        <w:rPr>
          <w:lang w:val="en-US"/>
        </w:rPr>
        <w:t xml:space="preserve">he first one has been found in </w:t>
      </w:r>
      <w:r w:rsidR="00BD207B" w:rsidRPr="00C57412">
        <w:rPr>
          <w:lang w:val="en-US"/>
        </w:rPr>
        <w:t>the APR:</w:t>
      </w:r>
      <w:r w:rsidRPr="00C57412">
        <w:rPr>
          <w:lang w:val="en-US"/>
        </w:rPr>
        <w:t xml:space="preserve">HQU </w:t>
      </w:r>
      <w:r w:rsidR="00BD207B" w:rsidRPr="00C57412">
        <w:rPr>
          <w:lang w:val="en-US"/>
        </w:rPr>
        <w:t>structure</w:t>
      </w:r>
      <w:r w:rsidRPr="00C57412">
        <w:rPr>
          <w:lang w:val="en-US"/>
        </w:rPr>
        <w:t xml:space="preserve">, and is located between one of the oxygen atoms from APR methylsulfonyl moiety and a HQU hydroxyl proton, not engaged in the hydrogen bond with water (Figure </w:t>
      </w:r>
      <w:r w:rsidR="00E83465" w:rsidRPr="00C57412">
        <w:rPr>
          <w:lang w:val="en-US"/>
        </w:rPr>
        <w:t>5</w:t>
      </w:r>
      <w:r w:rsidRPr="00C57412">
        <w:rPr>
          <w:lang w:val="en-US"/>
        </w:rPr>
        <w:t xml:space="preserve">a). Again, this is in agreement with the suggestion from the solid-state NMR results, </w:t>
      </w:r>
      <w:r w:rsidR="00101C7D" w:rsidRPr="00C57412">
        <w:rPr>
          <w:lang w:val="en-US"/>
        </w:rPr>
        <w:t>according to</w:t>
      </w:r>
      <w:r w:rsidRPr="00C57412">
        <w:rPr>
          <w:lang w:val="en-US"/>
        </w:rPr>
        <w:t xml:space="preserve"> which a</w:t>
      </w:r>
      <w:r w:rsidR="00101C7D" w:rsidRPr="00C57412">
        <w:rPr>
          <w:lang w:val="en-US"/>
        </w:rPr>
        <w:t xml:space="preserve"> small, but</w:t>
      </w:r>
      <w:r w:rsidRPr="00C57412">
        <w:rPr>
          <w:lang w:val="en-US"/>
        </w:rPr>
        <w:t xml:space="preserve"> unusual change in the </w:t>
      </w:r>
      <w:r w:rsidR="00101C7D" w:rsidRPr="00C57412">
        <w:rPr>
          <w:vertAlign w:val="superscript"/>
          <w:lang w:val="en-US"/>
        </w:rPr>
        <w:t>1</w:t>
      </w:r>
      <w:r w:rsidR="00101C7D" w:rsidRPr="00C57412">
        <w:rPr>
          <w:lang w:val="en-US"/>
        </w:rPr>
        <w:t>H chemical shift of the CH</w:t>
      </w:r>
      <w:r w:rsidR="00101C7D" w:rsidRPr="00C57412">
        <w:rPr>
          <w:vertAlign w:val="subscript"/>
          <w:lang w:val="en-US"/>
        </w:rPr>
        <w:t>3</w:t>
      </w:r>
      <w:r w:rsidRPr="00C57412">
        <w:rPr>
          <w:lang w:val="en-US"/>
        </w:rPr>
        <w:t xml:space="preserve"> group from methylsulfonyl moiety</w:t>
      </w:r>
      <w:r w:rsidR="00101C7D" w:rsidRPr="00C57412">
        <w:rPr>
          <w:lang w:val="en-US"/>
        </w:rPr>
        <w:t xml:space="preserve"> indicated some differences in </w:t>
      </w:r>
      <w:r w:rsidR="00BD207B" w:rsidRPr="00C57412">
        <w:rPr>
          <w:lang w:val="en-US"/>
        </w:rPr>
        <w:t>the</w:t>
      </w:r>
      <w:r w:rsidR="00101C7D" w:rsidRPr="00C57412">
        <w:rPr>
          <w:lang w:val="en-US"/>
        </w:rPr>
        <w:t xml:space="preserve"> local environment</w:t>
      </w:r>
      <w:r w:rsidR="00BD207B" w:rsidRPr="00C57412">
        <w:rPr>
          <w:lang w:val="en-US"/>
        </w:rPr>
        <w:t xml:space="preserve"> of this group</w:t>
      </w:r>
      <w:r w:rsidR="00101C7D" w:rsidRPr="00C57412">
        <w:rPr>
          <w:lang w:val="en-US"/>
        </w:rPr>
        <w:t xml:space="preserve">. The second hydrogen bond </w:t>
      </w:r>
      <w:r w:rsidR="00BD207B" w:rsidRPr="00C57412">
        <w:rPr>
          <w:lang w:val="en-US"/>
        </w:rPr>
        <w:t xml:space="preserve">motif </w:t>
      </w:r>
      <w:r w:rsidR="00101C7D" w:rsidRPr="00C57412">
        <w:rPr>
          <w:lang w:val="en-US"/>
        </w:rPr>
        <w:t xml:space="preserve">is present </w:t>
      </w:r>
      <w:r w:rsidRPr="00C57412">
        <w:rPr>
          <w:lang w:val="en-US"/>
        </w:rPr>
        <w:t xml:space="preserve">in </w:t>
      </w:r>
      <w:r w:rsidR="00101C7D" w:rsidRPr="00C57412">
        <w:rPr>
          <w:lang w:val="en-US"/>
        </w:rPr>
        <w:t>the</w:t>
      </w:r>
      <w:r w:rsidR="00BD207B" w:rsidRPr="00C57412">
        <w:rPr>
          <w:lang w:val="en-US"/>
        </w:rPr>
        <w:t xml:space="preserve"> three cocrystals containing water molecule, </w:t>
      </w:r>
      <w:r w:rsidR="00BD207B" w:rsidRPr="00C57412">
        <w:rPr>
          <w:i/>
          <w:lang w:val="en-US"/>
        </w:rPr>
        <w:t>i.e.</w:t>
      </w:r>
      <w:r w:rsidR="00101C7D" w:rsidRPr="00C57412">
        <w:rPr>
          <w:lang w:val="en-US"/>
        </w:rPr>
        <w:t xml:space="preserve"> </w:t>
      </w:r>
      <w:r w:rsidRPr="00C57412">
        <w:rPr>
          <w:lang w:val="en-US"/>
        </w:rPr>
        <w:t>APR:RES</w:t>
      </w:r>
      <w:r w:rsidR="00BD207B" w:rsidRPr="00C57412">
        <w:rPr>
          <w:lang w:val="en-US"/>
        </w:rPr>
        <w:t>, APR:HQU and APR:IMI. It is a bifurcate</w:t>
      </w:r>
      <w:r w:rsidR="003A5B8E" w:rsidRPr="00C57412">
        <w:rPr>
          <w:lang w:val="en-US"/>
        </w:rPr>
        <w:t>d</w:t>
      </w:r>
      <w:r w:rsidR="00BD207B" w:rsidRPr="00C57412">
        <w:rPr>
          <w:lang w:val="en-US"/>
        </w:rPr>
        <w:t xml:space="preserve"> bond between water and an oxygen atom from either ethoxy or methoxy group </w:t>
      </w:r>
      <w:r w:rsidR="00101C7D" w:rsidRPr="00C57412">
        <w:rPr>
          <w:lang w:val="en-US"/>
        </w:rPr>
        <w:t xml:space="preserve">(Figure </w:t>
      </w:r>
      <w:r w:rsidR="00E83465" w:rsidRPr="00C57412">
        <w:rPr>
          <w:lang w:val="en-US"/>
        </w:rPr>
        <w:t>5</w:t>
      </w:r>
      <w:r w:rsidR="00101C7D" w:rsidRPr="00C57412">
        <w:rPr>
          <w:lang w:val="en-US"/>
        </w:rPr>
        <w:t>b)</w:t>
      </w:r>
      <w:r w:rsidR="00BB6915" w:rsidRPr="00C57412">
        <w:rPr>
          <w:lang w:val="en-US"/>
        </w:rPr>
        <w:t>, although in APR:IMI cocrystal the O</w:t>
      </w:r>
      <w:r w:rsidR="00BB6915" w:rsidRPr="00C57412">
        <w:rPr>
          <w:rFonts w:eastAsia="Times New Roman" w:cs="Times New Roman"/>
          <w:szCs w:val="24"/>
          <w:lang w:val="en-US" w:eastAsia="pl-PL"/>
        </w:rPr>
        <w:t>∙∙∙O distance between the interacting nuclei is rather long and equal to 3.96 Å, suggesting this interaction is a weak one (for all hydrogen bonds lengths see Table S7, Supporting Information)</w:t>
      </w:r>
      <w:r w:rsidRPr="00C57412">
        <w:rPr>
          <w:lang w:val="en-US"/>
        </w:rPr>
        <w:t xml:space="preserve">. </w:t>
      </w:r>
      <w:r w:rsidR="00BD207B" w:rsidRPr="00C57412">
        <w:rPr>
          <w:lang w:val="en-US"/>
        </w:rPr>
        <w:t>There are</w:t>
      </w:r>
      <w:r w:rsidRPr="00C57412">
        <w:rPr>
          <w:lang w:val="en-US"/>
        </w:rPr>
        <w:t xml:space="preserve"> no intermolecular hydrogen bonds observed in </w:t>
      </w:r>
      <w:r w:rsidR="00BD207B" w:rsidRPr="00C57412">
        <w:rPr>
          <w:lang w:val="en-US"/>
        </w:rPr>
        <w:t xml:space="preserve">the </w:t>
      </w:r>
      <w:r w:rsidRPr="00C57412">
        <w:rPr>
          <w:lang w:val="en-US"/>
        </w:rPr>
        <w:t>APR:PIC</w:t>
      </w:r>
      <w:r w:rsidR="00BD207B" w:rsidRPr="00C57412">
        <w:rPr>
          <w:lang w:val="en-US"/>
        </w:rPr>
        <w:t xml:space="preserve"> structure</w:t>
      </w:r>
      <w:r w:rsidRPr="00C57412">
        <w:rPr>
          <w:lang w:val="en-US"/>
        </w:rPr>
        <w:t>.</w:t>
      </w:r>
      <w:r w:rsidR="00BD207B" w:rsidRPr="00C57412">
        <w:rPr>
          <w:lang w:val="en-US"/>
        </w:rPr>
        <w:t xml:space="preserve"> </w:t>
      </w:r>
      <w:r w:rsidR="008152A4" w:rsidRPr="00C57412">
        <w:rPr>
          <w:lang w:val="en-US"/>
        </w:rPr>
        <w:t>It is clear, that even coformers with significant hydrogen bond formation propensity did not break the tendenc</w:t>
      </w:r>
      <w:r w:rsidR="003A5B8E" w:rsidRPr="00C57412">
        <w:rPr>
          <w:lang w:val="en-US"/>
        </w:rPr>
        <w:t>y of APR to form an arrangement</w:t>
      </w:r>
      <w:r w:rsidR="008152A4" w:rsidRPr="00C57412">
        <w:rPr>
          <w:lang w:val="en-US"/>
        </w:rPr>
        <w:t xml:space="preserve"> in which aromatic – aromatic interactions are promoted, even thou</w:t>
      </w:r>
      <w:r w:rsidR="003A5B8E" w:rsidRPr="00C57412">
        <w:rPr>
          <w:lang w:val="en-US"/>
        </w:rPr>
        <w:t>gh it left some of the coformer</w:t>
      </w:r>
      <w:r w:rsidR="008152A4" w:rsidRPr="00C57412">
        <w:rPr>
          <w:lang w:val="en-US"/>
        </w:rPr>
        <w:t xml:space="preserve"> sites capable of acting as hydrogen bond donors unbounded.</w:t>
      </w:r>
      <w:r w:rsidR="00F615B9" w:rsidRPr="00C57412">
        <w:rPr>
          <w:lang w:val="en-US"/>
        </w:rPr>
        <w:t xml:space="preserve"> On the other hand, it should be noted that many possible hydrogen bonding sites </w:t>
      </w:r>
      <w:r w:rsidR="00D44D04" w:rsidRPr="00C57412">
        <w:rPr>
          <w:lang w:val="en-US"/>
        </w:rPr>
        <w:t>are engaged in CH</w:t>
      </w:r>
      <w:r w:rsidR="00D44D04" w:rsidRPr="00C57412">
        <w:rPr>
          <w:rFonts w:eastAsia="Times New Roman" w:cs="Times New Roman"/>
          <w:szCs w:val="24"/>
          <w:lang w:val="en-US" w:eastAsia="pl-PL"/>
        </w:rPr>
        <w:t xml:space="preserve">∙∙∙O short contacts, which additionally stabilize the studied structures. As a result only OMe and OEt groups of APR as well as NH group of PIC in APR:PIC cocrystal remain unbounded and without any significant short contacts. </w:t>
      </w:r>
    </w:p>
    <w:p w:rsidR="000B000C" w:rsidRPr="00C57412" w:rsidRDefault="00D44D04" w:rsidP="008152A4">
      <w:pPr>
        <w:spacing w:after="0"/>
        <w:ind w:firstLine="567"/>
        <w:jc w:val="both"/>
        <w:rPr>
          <w:lang w:val="en-US"/>
        </w:rPr>
      </w:pPr>
      <w:r w:rsidRPr="00C57412">
        <w:rPr>
          <w:lang w:val="en-US"/>
        </w:rPr>
        <w:t xml:space="preserve">Apart from saturating one of the hydrogen bonding sites in the three coformers, interaction with water also changes the molecular electrostatic potential (MEP) surfaces of the coformers, thus creating a possibility of stronger aromatic – aromatic interaction. Figure 6 and 7 show such surfaces mapped onto electron density isosurfaces for the APR (Figure 6), and coformers with and without the presence of water molecule (if it is present in the respective crystal structures) (Figure 7). From the analysis of the APR MEP surface, it can be said that the isoindoline-1,3-dione ring of APR, which is engaged in the aromatic – aromatic interactions in APR cocrystals with aromatic species, can be regarded as an electron deficient aromatic ring. Indeed, it has only one site with a small negative electrostatic potential value (meaning a slightly repulsive reaction towards the negatively charged species), while all the </w:t>
      </w:r>
      <w:r w:rsidRPr="00C57412">
        <w:rPr>
          <w:lang w:val="en-US"/>
        </w:rPr>
        <w:lastRenderedPageBreak/>
        <w:t>other sites of this ring exhibit positive electrostatic potential of up to +126 kJ/mol, indicating a strong attraction propensity towards the negative charge.</w:t>
      </w:r>
    </w:p>
    <w:p w:rsidR="00D44D04" w:rsidRPr="00C57412" w:rsidRDefault="00D44D04" w:rsidP="008152A4">
      <w:pPr>
        <w:spacing w:after="0"/>
        <w:ind w:firstLine="567"/>
        <w:jc w:val="both"/>
        <w:rPr>
          <w:lang w:val="en-US"/>
        </w:rPr>
      </w:pPr>
    </w:p>
    <w:p w:rsidR="00BD207B" w:rsidRPr="00C57412" w:rsidRDefault="00383C52" w:rsidP="008152A4">
      <w:pPr>
        <w:spacing w:after="0" w:line="240" w:lineRule="auto"/>
        <w:jc w:val="center"/>
        <w:rPr>
          <w:lang w:val="en-US"/>
        </w:rPr>
      </w:pPr>
      <w:r w:rsidRPr="00C57412">
        <w:rPr>
          <w:noProof/>
          <w:lang w:eastAsia="pl-PL"/>
        </w:rPr>
        <w:drawing>
          <wp:inline distT="0" distB="0" distL="0" distR="0">
            <wp:extent cx="5760720" cy="3140065"/>
            <wp:effectExtent l="19050" t="0" r="0" b="0"/>
            <wp:docPr id="5" name="Obraz 19" descr="C:\Users\Marta\Desktop\apr_paper2\Figure5_HB_in_cocrys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Desktop\apr_paper2\Figure5_HB_in_cocrystals.tif"/>
                    <pic:cNvPicPr>
                      <a:picLocks noChangeAspect="1" noChangeArrowheads="1"/>
                    </pic:cNvPicPr>
                  </pic:nvPicPr>
                  <pic:blipFill>
                    <a:blip r:embed="rId12" cstate="print"/>
                    <a:srcRect/>
                    <a:stretch>
                      <a:fillRect/>
                    </a:stretch>
                  </pic:blipFill>
                  <pic:spPr bwMode="auto">
                    <a:xfrm>
                      <a:off x="0" y="0"/>
                      <a:ext cx="5760720" cy="3140065"/>
                    </a:xfrm>
                    <a:prstGeom prst="rect">
                      <a:avLst/>
                    </a:prstGeom>
                    <a:noFill/>
                    <a:ln w="9525">
                      <a:noFill/>
                      <a:miter lim="800000"/>
                      <a:headEnd/>
                      <a:tailEnd/>
                    </a:ln>
                  </pic:spPr>
                </pic:pic>
              </a:graphicData>
            </a:graphic>
          </wp:inline>
        </w:drawing>
      </w:r>
    </w:p>
    <w:p w:rsidR="0069531C" w:rsidRPr="00C57412" w:rsidRDefault="0069531C" w:rsidP="008152A4">
      <w:pPr>
        <w:spacing w:after="0" w:line="240" w:lineRule="auto"/>
        <w:jc w:val="both"/>
        <w:rPr>
          <w:lang w:val="en-US"/>
        </w:rPr>
      </w:pPr>
    </w:p>
    <w:p w:rsidR="0069531C" w:rsidRPr="00C57412" w:rsidRDefault="0069531C" w:rsidP="001A1FB0">
      <w:pPr>
        <w:spacing w:after="240" w:line="276" w:lineRule="auto"/>
        <w:jc w:val="both"/>
        <w:rPr>
          <w:lang w:val="en-US"/>
        </w:rPr>
      </w:pPr>
      <w:r w:rsidRPr="00C57412">
        <w:rPr>
          <w:b/>
          <w:lang w:val="en-US"/>
        </w:rPr>
        <w:t xml:space="preserve">Figure </w:t>
      </w:r>
      <w:r w:rsidR="00E83465" w:rsidRPr="00C57412">
        <w:rPr>
          <w:b/>
          <w:lang w:val="en-US"/>
        </w:rPr>
        <w:t>5</w:t>
      </w:r>
      <w:r w:rsidRPr="00C57412">
        <w:rPr>
          <w:b/>
          <w:lang w:val="en-US"/>
        </w:rPr>
        <w:t>.</w:t>
      </w:r>
      <w:r w:rsidRPr="00C57412">
        <w:rPr>
          <w:lang w:val="en-US"/>
        </w:rPr>
        <w:t xml:space="preserve"> </w:t>
      </w:r>
      <w:r w:rsidR="008152A4" w:rsidRPr="00C57412">
        <w:rPr>
          <w:lang w:val="en-US"/>
        </w:rPr>
        <w:t>Two hydrogen bond motifs observed in the cocrystals of APR and the studied coformers present in: (a) APR:HQU cocrystal (</w:t>
      </w:r>
      <w:r w:rsidR="00D0083B" w:rsidRPr="00C57412">
        <w:rPr>
          <w:lang w:val="en-US"/>
        </w:rPr>
        <w:t>Ar-</w:t>
      </w:r>
      <w:r w:rsidR="00D0083B" w:rsidRPr="00C57412">
        <w:rPr>
          <w:szCs w:val="24"/>
          <w:lang w:val="en-US"/>
        </w:rPr>
        <w:t>OH</w:t>
      </w:r>
      <w:r w:rsidR="00D0083B" w:rsidRPr="00C57412">
        <w:rPr>
          <w:rFonts w:eastAsia="Times New Roman" w:cs="Times New Roman"/>
          <w:szCs w:val="24"/>
          <w:lang w:val="en-US" w:eastAsia="pl-PL"/>
        </w:rPr>
        <w:t>∙∙∙O</w:t>
      </w:r>
      <w:r w:rsidR="00D0083B" w:rsidRPr="00C57412">
        <w:rPr>
          <w:rFonts w:eastAsia="Times New Roman" w:cs="Times New Roman"/>
          <w:szCs w:val="24"/>
          <w:vertAlign w:val="subscript"/>
          <w:lang w:val="en-US" w:eastAsia="pl-PL"/>
        </w:rPr>
        <w:t>2</w:t>
      </w:r>
      <w:r w:rsidR="00D0083B" w:rsidRPr="00C57412">
        <w:rPr>
          <w:rFonts w:eastAsia="Times New Roman" w:cs="Times New Roman"/>
          <w:szCs w:val="24"/>
          <w:lang w:val="en-US" w:eastAsia="pl-PL"/>
        </w:rPr>
        <w:t>S-</w:t>
      </w:r>
      <w:r w:rsidR="008152A4" w:rsidRPr="00C57412">
        <w:rPr>
          <w:szCs w:val="24"/>
          <w:lang w:val="en-US"/>
        </w:rPr>
        <w:t>CH</w:t>
      </w:r>
      <w:r w:rsidR="008152A4" w:rsidRPr="00C57412">
        <w:rPr>
          <w:szCs w:val="24"/>
          <w:vertAlign w:val="subscript"/>
          <w:lang w:val="en-US"/>
        </w:rPr>
        <w:t>3</w:t>
      </w:r>
      <w:r w:rsidR="008152A4" w:rsidRPr="00C57412">
        <w:rPr>
          <w:lang w:val="en-US"/>
        </w:rPr>
        <w:t>); (b) APR:RES, APR:HQU and APR:IMI cocrystals (HO-H</w:t>
      </w:r>
      <w:r w:rsidR="00D0083B" w:rsidRPr="00C57412">
        <w:rPr>
          <w:rFonts w:eastAsia="Times New Roman" w:cs="Times New Roman"/>
          <w:sz w:val="22"/>
          <w:lang w:val="en-US" w:eastAsia="pl-PL"/>
        </w:rPr>
        <w:t>∙∙∙</w:t>
      </w:r>
      <w:r w:rsidR="008152A4" w:rsidRPr="00C57412">
        <w:rPr>
          <w:lang w:val="en-US"/>
        </w:rPr>
        <w:t>OMe/OEt)</w:t>
      </w:r>
    </w:p>
    <w:p w:rsidR="00243429" w:rsidRPr="00C57412" w:rsidRDefault="00243429" w:rsidP="00243429">
      <w:pPr>
        <w:ind w:firstLine="567"/>
        <w:jc w:val="both"/>
        <w:rPr>
          <w:lang w:val="en-US"/>
        </w:rPr>
      </w:pPr>
    </w:p>
    <w:p w:rsidR="00966881" w:rsidRPr="00C57412" w:rsidRDefault="00966881" w:rsidP="00966881">
      <w:pPr>
        <w:jc w:val="center"/>
        <w:rPr>
          <w:lang w:val="en-US"/>
        </w:rPr>
      </w:pPr>
      <w:r w:rsidRPr="00C57412">
        <w:rPr>
          <w:noProof/>
          <w:lang w:eastAsia="pl-PL"/>
        </w:rPr>
        <w:drawing>
          <wp:inline distT="0" distB="0" distL="0" distR="0">
            <wp:extent cx="4546067" cy="1897812"/>
            <wp:effectExtent l="0" t="0" r="6985" b="7620"/>
            <wp:docPr id="14" name="Picture 14" descr="\\soton.ac.uk\ude\personalfiles\users\md1r18\mydesktop\apr\paper2_apr\Figure4_APR_ME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on.ac.uk\ude\personalfiles\users\md1r18\mydesktop\apr\paper2_apr\Figure4_APR_MEPs.t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8945" cy="1903188"/>
                    </a:xfrm>
                    <a:prstGeom prst="rect">
                      <a:avLst/>
                    </a:prstGeom>
                    <a:noFill/>
                    <a:ln>
                      <a:noFill/>
                    </a:ln>
                  </pic:spPr>
                </pic:pic>
              </a:graphicData>
            </a:graphic>
          </wp:inline>
        </w:drawing>
      </w:r>
    </w:p>
    <w:p w:rsidR="00966881" w:rsidRPr="00C57412" w:rsidRDefault="00966881" w:rsidP="00966881">
      <w:pPr>
        <w:spacing w:line="276" w:lineRule="auto"/>
        <w:jc w:val="both"/>
        <w:rPr>
          <w:lang w:val="en-US"/>
        </w:rPr>
      </w:pPr>
      <w:r w:rsidRPr="00C57412">
        <w:rPr>
          <w:b/>
          <w:lang w:val="en-US"/>
        </w:rPr>
        <w:t xml:space="preserve">Figure </w:t>
      </w:r>
      <w:r w:rsidR="00E83465" w:rsidRPr="00C57412">
        <w:rPr>
          <w:b/>
          <w:lang w:val="en-US"/>
        </w:rPr>
        <w:t>6</w:t>
      </w:r>
      <w:r w:rsidRPr="00C57412">
        <w:rPr>
          <w:b/>
          <w:lang w:val="en-US"/>
        </w:rPr>
        <w:t>.</w:t>
      </w:r>
      <w:r w:rsidRPr="00C57412">
        <w:rPr>
          <w:lang w:val="en-US"/>
        </w:rPr>
        <w:t xml:space="preserve"> APR molecule viewed from the site engaged in the aromatic – aromatic interactions in the obtained cocrystals, and its molecular electrostatic potential mapped on </w:t>
      </w:r>
      <w:r w:rsidR="00A00525" w:rsidRPr="00C57412">
        <w:rPr>
          <w:lang w:val="en-US"/>
        </w:rPr>
        <w:t xml:space="preserve">the </w:t>
      </w:r>
      <w:r w:rsidRPr="00C57412">
        <w:rPr>
          <w:lang w:val="en-US"/>
        </w:rPr>
        <w:t xml:space="preserve">total electron density isosurface (0.005 a.u.). All </w:t>
      </w:r>
      <w:r w:rsidR="003A5B8E" w:rsidRPr="00C57412">
        <w:rPr>
          <w:lang w:val="en-US"/>
        </w:rPr>
        <w:t>electrostatic potential</w:t>
      </w:r>
      <w:r w:rsidRPr="00C57412">
        <w:rPr>
          <w:lang w:val="en-US"/>
        </w:rPr>
        <w:t>s are given in k</w:t>
      </w:r>
      <w:r w:rsidR="00031ED7" w:rsidRPr="00C57412">
        <w:rPr>
          <w:lang w:val="en-US"/>
        </w:rPr>
        <w:t xml:space="preserve">J/mol, MEP surfaces were calculated at the B3LYP-GD3BJ/6-311G(d,p) level of theory.  </w:t>
      </w:r>
    </w:p>
    <w:p w:rsidR="00001909" w:rsidRPr="00C57412" w:rsidRDefault="00001909" w:rsidP="00001909">
      <w:pPr>
        <w:jc w:val="both"/>
        <w:rPr>
          <w:lang w:val="en-US"/>
        </w:rPr>
      </w:pPr>
    </w:p>
    <w:p w:rsidR="007C6E6A" w:rsidRPr="00C57412" w:rsidRDefault="00001909" w:rsidP="00001909">
      <w:pPr>
        <w:ind w:firstLine="567"/>
        <w:jc w:val="both"/>
        <w:rPr>
          <w:lang w:val="en-US"/>
        </w:rPr>
      </w:pPr>
      <w:r w:rsidRPr="00C57412">
        <w:rPr>
          <w:lang w:val="en-US"/>
        </w:rPr>
        <w:lastRenderedPageBreak/>
        <w:t xml:space="preserve">In the case of coformer molecules, RES, IMI and HQU are all electron-rich aromatic systems, which, upon </w:t>
      </w:r>
      <w:r w:rsidR="003A5B8E" w:rsidRPr="00C57412">
        <w:rPr>
          <w:lang w:val="en-US"/>
        </w:rPr>
        <w:t xml:space="preserve">hydrogen </w:t>
      </w:r>
      <w:r w:rsidRPr="00C57412">
        <w:rPr>
          <w:lang w:val="en-US"/>
        </w:rPr>
        <w:t xml:space="preserve">bonding </w:t>
      </w:r>
      <w:r w:rsidR="003A5B8E" w:rsidRPr="00C57412">
        <w:rPr>
          <w:lang w:val="en-US"/>
        </w:rPr>
        <w:t xml:space="preserve">to a </w:t>
      </w:r>
      <w:r w:rsidRPr="00C57412">
        <w:rPr>
          <w:lang w:val="en-US"/>
        </w:rPr>
        <w:t xml:space="preserve">water molecule, become even more enriched with a negative charge, leading consequently to a stronger attraction to the electron-deficient sites of isoindoline-1,3-dione ring of APR. </w:t>
      </w:r>
      <w:r w:rsidR="000A627A" w:rsidRPr="00C57412">
        <w:rPr>
          <w:lang w:val="en-US"/>
        </w:rPr>
        <w:t xml:space="preserve">Such cooperativity of hydrogen bonding and aromatic – aromatic interactions has been observed and quantified before (Ebrahimi </w:t>
      </w:r>
      <w:r w:rsidR="000A627A" w:rsidRPr="00C57412">
        <w:rPr>
          <w:i/>
          <w:lang w:val="en-US"/>
        </w:rPr>
        <w:t>et al.</w:t>
      </w:r>
      <w:r w:rsidR="000A627A" w:rsidRPr="00C57412">
        <w:rPr>
          <w:lang w:val="en-US"/>
        </w:rPr>
        <w:t xml:space="preserve">, 2009). </w:t>
      </w:r>
      <w:r w:rsidRPr="00C57412">
        <w:rPr>
          <w:lang w:val="en-US"/>
        </w:rPr>
        <w:t xml:space="preserve">The only coformer molecule for which there is no water present in the cocrystal of APR is PIC. However, even without the presence of water </w:t>
      </w:r>
      <w:r w:rsidR="003A5B8E" w:rsidRPr="00C57412">
        <w:rPr>
          <w:lang w:val="en-US"/>
        </w:rPr>
        <w:t xml:space="preserve">the electrostatic potential is already </w:t>
      </w:r>
      <w:r w:rsidRPr="00C57412">
        <w:rPr>
          <w:lang w:val="en-US"/>
        </w:rPr>
        <w:t>sufficiently negative to be inclined to interact with the electron-deficient aromatic systems.</w:t>
      </w:r>
    </w:p>
    <w:p w:rsidR="00423DE4" w:rsidRPr="00C57412" w:rsidRDefault="00001909" w:rsidP="00B1401E">
      <w:pPr>
        <w:jc w:val="center"/>
        <w:rPr>
          <w:lang w:val="en-US"/>
        </w:rPr>
      </w:pPr>
      <w:r w:rsidRPr="00C57412">
        <w:rPr>
          <w:noProof/>
          <w:lang w:eastAsia="pl-PL"/>
        </w:rPr>
        <w:drawing>
          <wp:inline distT="0" distB="0" distL="0" distR="0">
            <wp:extent cx="4905259" cy="6021238"/>
            <wp:effectExtent l="0" t="0" r="0" b="0"/>
            <wp:docPr id="17" name="Picture 17" descr="\\soton.ac.uk\ude\personalfiles\users\md1r18\mydesktop\apr\paper2_apr\Figure6_ME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ton.ac.uk\ude\personalfiles\users\md1r18\mydesktop\apr\paper2_apr\Figure6_MEPs.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975" cy="6025800"/>
                    </a:xfrm>
                    <a:prstGeom prst="rect">
                      <a:avLst/>
                    </a:prstGeom>
                    <a:noFill/>
                    <a:ln>
                      <a:noFill/>
                    </a:ln>
                  </pic:spPr>
                </pic:pic>
              </a:graphicData>
            </a:graphic>
          </wp:inline>
        </w:drawing>
      </w:r>
    </w:p>
    <w:p w:rsidR="00BA4BFE" w:rsidRPr="00C57412" w:rsidRDefault="00BA4BFE" w:rsidP="0080138E">
      <w:pPr>
        <w:spacing w:line="276" w:lineRule="auto"/>
        <w:jc w:val="both"/>
        <w:rPr>
          <w:lang w:val="en-US"/>
        </w:rPr>
      </w:pPr>
      <w:r w:rsidRPr="00C57412">
        <w:rPr>
          <w:b/>
          <w:lang w:val="en-US"/>
        </w:rPr>
        <w:t xml:space="preserve">Figure </w:t>
      </w:r>
      <w:r w:rsidR="00E83465" w:rsidRPr="00C57412">
        <w:rPr>
          <w:b/>
          <w:lang w:val="en-US"/>
        </w:rPr>
        <w:t>7</w:t>
      </w:r>
      <w:r w:rsidRPr="00C57412">
        <w:rPr>
          <w:b/>
          <w:lang w:val="en-US"/>
        </w:rPr>
        <w:t>.</w:t>
      </w:r>
      <w:r w:rsidRPr="00C57412">
        <w:rPr>
          <w:lang w:val="en-US"/>
        </w:rPr>
        <w:t xml:space="preserve"> M</w:t>
      </w:r>
      <w:r w:rsidR="0080138E" w:rsidRPr="00C57412">
        <w:rPr>
          <w:lang w:val="en-US"/>
        </w:rPr>
        <w:t>olecular electrostatic potential</w:t>
      </w:r>
      <w:r w:rsidRPr="00C57412">
        <w:rPr>
          <w:lang w:val="en-US"/>
        </w:rPr>
        <w:t xml:space="preserve"> surfaces </w:t>
      </w:r>
      <w:r w:rsidR="00031ED7" w:rsidRPr="00C57412">
        <w:rPr>
          <w:lang w:val="en-US"/>
        </w:rPr>
        <w:t xml:space="preserve">mapped on </w:t>
      </w:r>
      <w:r w:rsidR="00A00525" w:rsidRPr="00C57412">
        <w:rPr>
          <w:lang w:val="en-US"/>
        </w:rPr>
        <w:t xml:space="preserve">the </w:t>
      </w:r>
      <w:r w:rsidR="00031ED7" w:rsidRPr="00C57412">
        <w:rPr>
          <w:lang w:val="en-US"/>
        </w:rPr>
        <w:t xml:space="preserve">total electron density isosurfaces (0.01 a.u.) </w:t>
      </w:r>
      <w:r w:rsidR="00A00525" w:rsidRPr="00C57412">
        <w:rPr>
          <w:lang w:val="en-US"/>
        </w:rPr>
        <w:t>for</w:t>
      </w:r>
      <w:r w:rsidR="0080138E" w:rsidRPr="00C57412">
        <w:rPr>
          <w:lang w:val="en-US"/>
        </w:rPr>
        <w:t xml:space="preserve"> coformers </w:t>
      </w:r>
      <w:r w:rsidR="00031ED7" w:rsidRPr="00C57412">
        <w:rPr>
          <w:lang w:val="en-US"/>
        </w:rPr>
        <w:t xml:space="preserve">used in this study to form cocrystals with APR without </w:t>
      </w:r>
      <w:r w:rsidR="00031ED7" w:rsidRPr="00C57412">
        <w:rPr>
          <w:lang w:val="en-US"/>
        </w:rPr>
        <w:lastRenderedPageBreak/>
        <w:t>(column B) and with the presence of water (column C)</w:t>
      </w:r>
      <w:r w:rsidR="0080138E" w:rsidRPr="00C57412">
        <w:rPr>
          <w:lang w:val="en-US"/>
        </w:rPr>
        <w:t>. Col</w:t>
      </w:r>
      <w:r w:rsidR="00031ED7" w:rsidRPr="00C57412">
        <w:rPr>
          <w:lang w:val="en-US"/>
        </w:rPr>
        <w:t xml:space="preserve">umn A indicates conformations of the coformers, which in all cases are derived from the respective cocrystals. All </w:t>
      </w:r>
      <w:r w:rsidR="003A5B8E" w:rsidRPr="00C57412">
        <w:rPr>
          <w:lang w:val="en-US"/>
        </w:rPr>
        <w:t>electrostatic potential</w:t>
      </w:r>
      <w:r w:rsidR="003D6778" w:rsidRPr="00C57412">
        <w:rPr>
          <w:lang w:val="en-US"/>
        </w:rPr>
        <w:t>s</w:t>
      </w:r>
      <w:r w:rsidR="00031ED7" w:rsidRPr="00C57412">
        <w:rPr>
          <w:lang w:val="en-US"/>
        </w:rPr>
        <w:t xml:space="preserve"> are given in kJ/mol, MEP surfaces were calculated at the B3LYP-GD3BJ/6-311G(d,p) level of theory. </w:t>
      </w:r>
      <w:r w:rsidRPr="00C57412">
        <w:rPr>
          <w:lang w:val="en-US"/>
        </w:rPr>
        <w:t xml:space="preserve"> </w:t>
      </w:r>
    </w:p>
    <w:p w:rsidR="00031ED7" w:rsidRPr="00C57412" w:rsidRDefault="00031ED7" w:rsidP="00A00525">
      <w:pPr>
        <w:spacing w:after="0"/>
        <w:ind w:firstLine="567"/>
        <w:jc w:val="both"/>
        <w:rPr>
          <w:lang w:val="en-US"/>
        </w:rPr>
      </w:pPr>
    </w:p>
    <w:p w:rsidR="00EB55E1" w:rsidRPr="00C57412" w:rsidRDefault="00641635" w:rsidP="00EB55E1">
      <w:pPr>
        <w:jc w:val="both"/>
        <w:rPr>
          <w:i/>
          <w:lang w:val="en-US"/>
        </w:rPr>
      </w:pPr>
      <w:r w:rsidRPr="00C57412">
        <w:rPr>
          <w:i/>
          <w:lang w:val="en-US"/>
        </w:rPr>
        <w:t>3</w:t>
      </w:r>
      <w:r w:rsidR="00EB55E1" w:rsidRPr="00C57412">
        <w:rPr>
          <w:i/>
          <w:lang w:val="en-US"/>
        </w:rPr>
        <w:t xml:space="preserve">) Evaluation of crystal energy landscape in the search for hydrogen bonded cocrystals </w:t>
      </w:r>
      <w:r w:rsidR="00D470DF" w:rsidRPr="00C57412">
        <w:rPr>
          <w:i/>
          <w:lang w:val="en-US"/>
        </w:rPr>
        <w:t xml:space="preserve">of </w:t>
      </w:r>
      <w:r w:rsidR="00EB55E1" w:rsidRPr="00C57412">
        <w:rPr>
          <w:i/>
          <w:lang w:val="en-US"/>
        </w:rPr>
        <w:t>APR</w:t>
      </w:r>
      <w:r w:rsidR="00D470DF" w:rsidRPr="00C57412">
        <w:rPr>
          <w:i/>
          <w:lang w:val="en-US"/>
        </w:rPr>
        <w:t>:PIC</w:t>
      </w:r>
      <w:r w:rsidR="00EB55E1" w:rsidRPr="00C57412">
        <w:rPr>
          <w:i/>
          <w:lang w:val="en-US"/>
        </w:rPr>
        <w:t xml:space="preserve"> </w:t>
      </w:r>
    </w:p>
    <w:p w:rsidR="00EB55E1" w:rsidRPr="00C57412" w:rsidRDefault="00AE4B62" w:rsidP="00885FCE">
      <w:pPr>
        <w:ind w:firstLine="567"/>
        <w:jc w:val="both"/>
        <w:rPr>
          <w:lang w:val="en-US"/>
        </w:rPr>
      </w:pPr>
      <w:r w:rsidRPr="00C57412">
        <w:rPr>
          <w:lang w:val="en-US"/>
        </w:rPr>
        <w:t>Among the studied cocrystals</w:t>
      </w:r>
      <w:r w:rsidR="003A5B8E" w:rsidRPr="00C57412">
        <w:rPr>
          <w:lang w:val="en-US"/>
        </w:rPr>
        <w:t>, APR:PIC is the only system</w:t>
      </w:r>
      <w:r w:rsidRPr="00C57412">
        <w:rPr>
          <w:lang w:val="en-US"/>
        </w:rPr>
        <w:t xml:space="preserve"> for which no intermolecular hydrogen bonds have been found</w:t>
      </w:r>
      <w:r w:rsidR="00CD5EA8" w:rsidRPr="00C57412">
        <w:rPr>
          <w:lang w:val="en-US"/>
        </w:rPr>
        <w:t>, despite the ability of both components to form such bonds</w:t>
      </w:r>
      <w:r w:rsidRPr="00C57412">
        <w:rPr>
          <w:lang w:val="en-US"/>
        </w:rPr>
        <w:t xml:space="preserve">. Therefore, </w:t>
      </w:r>
      <w:r w:rsidR="003A5B8E" w:rsidRPr="00C57412">
        <w:rPr>
          <w:lang w:val="en-US"/>
        </w:rPr>
        <w:t>crystal structure prediction (CSP) calculations were used</w:t>
      </w:r>
      <w:r w:rsidRPr="00C57412">
        <w:rPr>
          <w:lang w:val="en-US"/>
        </w:rPr>
        <w:t xml:space="preserve"> to gain an insight </w:t>
      </w:r>
      <w:r w:rsidR="003A5B8E" w:rsidRPr="00C57412">
        <w:rPr>
          <w:lang w:val="en-US"/>
        </w:rPr>
        <w:t xml:space="preserve">into </w:t>
      </w:r>
      <w:r w:rsidRPr="00C57412">
        <w:rPr>
          <w:lang w:val="en-US"/>
        </w:rPr>
        <w:t xml:space="preserve">whether </w:t>
      </w:r>
      <w:r w:rsidR="003A5B8E" w:rsidRPr="00C57412">
        <w:rPr>
          <w:lang w:val="en-US"/>
        </w:rPr>
        <w:t>alternative</w:t>
      </w:r>
      <w:r w:rsidRPr="00C57412">
        <w:rPr>
          <w:lang w:val="en-US"/>
        </w:rPr>
        <w:t xml:space="preserve"> crystal packing motifs may be energetically plausible, </w:t>
      </w:r>
      <w:r w:rsidR="003A5B8E" w:rsidRPr="00C57412">
        <w:rPr>
          <w:lang w:val="en-US"/>
        </w:rPr>
        <w:t>apart</w:t>
      </w:r>
      <w:r w:rsidRPr="00C57412">
        <w:rPr>
          <w:lang w:val="en-US"/>
        </w:rPr>
        <w:t xml:space="preserve"> f</w:t>
      </w:r>
      <w:r w:rsidR="003A5B8E" w:rsidRPr="00C57412">
        <w:rPr>
          <w:lang w:val="en-US"/>
        </w:rPr>
        <w:t>or the one found experimentally</w:t>
      </w:r>
      <w:r w:rsidRPr="00C57412">
        <w:rPr>
          <w:lang w:val="en-US"/>
        </w:rPr>
        <w:t>. Due to the large size of the system, the</w:t>
      </w:r>
      <w:r w:rsidR="004C629D" w:rsidRPr="00C57412">
        <w:rPr>
          <w:lang w:val="en-US"/>
        </w:rPr>
        <w:t xml:space="preserve"> search was </w:t>
      </w:r>
      <w:r w:rsidR="003A5B8E" w:rsidRPr="00C57412">
        <w:rPr>
          <w:lang w:val="en-US"/>
        </w:rPr>
        <w:t>carried out</w:t>
      </w:r>
      <w:r w:rsidRPr="00C57412">
        <w:rPr>
          <w:lang w:val="en-US"/>
        </w:rPr>
        <w:t xml:space="preserve"> for </w:t>
      </w:r>
      <w:r w:rsidR="003A5B8E" w:rsidRPr="00C57412">
        <w:rPr>
          <w:lang w:val="en-US"/>
        </w:rPr>
        <w:t xml:space="preserve">only </w:t>
      </w:r>
      <w:r w:rsidR="002E76FB" w:rsidRPr="00C57412">
        <w:rPr>
          <w:lang w:val="en-US"/>
        </w:rPr>
        <w:t>three space groups</w:t>
      </w:r>
      <w:r w:rsidRPr="00C57412">
        <w:rPr>
          <w:lang w:val="en-US"/>
        </w:rPr>
        <w:t xml:space="preserve"> </w:t>
      </w:r>
      <w:r w:rsidR="002E76FB" w:rsidRPr="00C57412">
        <w:rPr>
          <w:i/>
          <w:lang w:val="en-US"/>
        </w:rPr>
        <w:t>P</w:t>
      </w:r>
      <w:r w:rsidR="002E76FB" w:rsidRPr="00C57412">
        <w:rPr>
          <w:lang w:val="en-US"/>
        </w:rPr>
        <w:t>2</w:t>
      </w:r>
      <w:r w:rsidR="002E76FB" w:rsidRPr="00C57412">
        <w:rPr>
          <w:vertAlign w:val="subscript"/>
          <w:lang w:val="en-US"/>
        </w:rPr>
        <w:t>1</w:t>
      </w:r>
      <w:r w:rsidR="002E76FB" w:rsidRPr="00C57412">
        <w:rPr>
          <w:lang w:val="en-US"/>
        </w:rPr>
        <w:t xml:space="preserve">, </w:t>
      </w:r>
      <w:bookmarkStart w:id="3" w:name="OLE_LINK6"/>
      <w:bookmarkStart w:id="4" w:name="OLE_LINK7"/>
      <w:bookmarkStart w:id="5" w:name="OLE_LINK8"/>
      <w:r w:rsidR="004C629D" w:rsidRPr="00C57412">
        <w:rPr>
          <w:i/>
          <w:lang w:val="en-US"/>
        </w:rPr>
        <w:t>P</w:t>
      </w:r>
      <w:r w:rsidR="004C629D" w:rsidRPr="00C57412">
        <w:rPr>
          <w:lang w:val="en-US"/>
        </w:rPr>
        <w:t>2</w:t>
      </w:r>
      <w:r w:rsidR="004C629D" w:rsidRPr="00C57412">
        <w:rPr>
          <w:vertAlign w:val="subscript"/>
          <w:lang w:val="en-US"/>
        </w:rPr>
        <w:t>1</w:t>
      </w:r>
      <w:r w:rsidR="004C629D" w:rsidRPr="00C57412">
        <w:rPr>
          <w:lang w:val="en-US"/>
        </w:rPr>
        <w:t>2</w:t>
      </w:r>
      <w:r w:rsidR="004C629D" w:rsidRPr="00C57412">
        <w:rPr>
          <w:vertAlign w:val="subscript"/>
          <w:lang w:val="en-US"/>
        </w:rPr>
        <w:t>1</w:t>
      </w:r>
      <w:r w:rsidR="004C629D" w:rsidRPr="00C57412">
        <w:rPr>
          <w:lang w:val="en-US"/>
        </w:rPr>
        <w:t>2</w:t>
      </w:r>
      <w:r w:rsidR="004C629D" w:rsidRPr="00C57412">
        <w:rPr>
          <w:vertAlign w:val="subscript"/>
          <w:lang w:val="en-US"/>
        </w:rPr>
        <w:t>1</w:t>
      </w:r>
      <w:bookmarkEnd w:id="3"/>
      <w:bookmarkEnd w:id="4"/>
      <w:bookmarkEnd w:id="5"/>
      <w:r w:rsidR="004C629D" w:rsidRPr="00C57412">
        <w:rPr>
          <w:lang w:val="en-US"/>
        </w:rPr>
        <w:t xml:space="preserve"> </w:t>
      </w:r>
      <w:r w:rsidR="002E76FB" w:rsidRPr="00C57412">
        <w:rPr>
          <w:lang w:val="en-US"/>
        </w:rPr>
        <w:t xml:space="preserve">(which are the two most common chiral space groups describing 75% of all enantiomeric organic molecules) </w:t>
      </w:r>
      <w:r w:rsidR="004C629D" w:rsidRPr="00C57412">
        <w:rPr>
          <w:lang w:val="en-US"/>
        </w:rPr>
        <w:t xml:space="preserve">and </w:t>
      </w:r>
      <w:bookmarkStart w:id="6" w:name="OLE_LINK9"/>
      <w:bookmarkStart w:id="7" w:name="OLE_LINK10"/>
      <w:r w:rsidR="004C629D" w:rsidRPr="00C57412">
        <w:rPr>
          <w:i/>
          <w:lang w:val="en-US"/>
        </w:rPr>
        <w:t>P</w:t>
      </w:r>
      <w:r w:rsidR="004C629D" w:rsidRPr="00C57412">
        <w:rPr>
          <w:lang w:val="en-US"/>
        </w:rPr>
        <w:t>4</w:t>
      </w:r>
      <w:r w:rsidR="004C629D" w:rsidRPr="00C57412">
        <w:rPr>
          <w:vertAlign w:val="subscript"/>
          <w:lang w:val="en-US"/>
        </w:rPr>
        <w:t>1</w:t>
      </w:r>
      <w:bookmarkEnd w:id="6"/>
      <w:bookmarkEnd w:id="7"/>
      <w:r w:rsidR="002E76FB" w:rsidRPr="00C57412">
        <w:rPr>
          <w:lang w:val="en-US"/>
        </w:rPr>
        <w:t xml:space="preserve">. The </w:t>
      </w:r>
      <w:r w:rsidR="002E76FB" w:rsidRPr="00C57412">
        <w:rPr>
          <w:i/>
          <w:lang w:val="en-US"/>
        </w:rPr>
        <w:t>P</w:t>
      </w:r>
      <w:r w:rsidR="002E76FB" w:rsidRPr="00C57412">
        <w:rPr>
          <w:lang w:val="en-US"/>
        </w:rPr>
        <w:t>2</w:t>
      </w:r>
      <w:r w:rsidR="002E76FB" w:rsidRPr="00C57412">
        <w:rPr>
          <w:vertAlign w:val="subscript"/>
          <w:lang w:val="en-US"/>
        </w:rPr>
        <w:t>1</w:t>
      </w:r>
      <w:r w:rsidR="002E76FB" w:rsidRPr="00C57412">
        <w:rPr>
          <w:lang w:val="en-US"/>
        </w:rPr>
        <w:t>2</w:t>
      </w:r>
      <w:r w:rsidR="002E76FB" w:rsidRPr="00C57412">
        <w:rPr>
          <w:vertAlign w:val="subscript"/>
          <w:lang w:val="en-US"/>
        </w:rPr>
        <w:t>1</w:t>
      </w:r>
      <w:r w:rsidR="002E76FB" w:rsidRPr="00C57412">
        <w:rPr>
          <w:lang w:val="en-US"/>
        </w:rPr>
        <w:t>2</w:t>
      </w:r>
      <w:r w:rsidR="002E76FB" w:rsidRPr="00C57412">
        <w:rPr>
          <w:vertAlign w:val="subscript"/>
          <w:lang w:val="en-US"/>
        </w:rPr>
        <w:t xml:space="preserve">1 </w:t>
      </w:r>
      <w:r w:rsidR="002E76FB" w:rsidRPr="00C57412">
        <w:rPr>
          <w:lang w:val="en-US"/>
        </w:rPr>
        <w:t xml:space="preserve">and </w:t>
      </w:r>
      <w:r w:rsidR="002E76FB" w:rsidRPr="00C57412">
        <w:rPr>
          <w:i/>
          <w:lang w:val="en-US"/>
        </w:rPr>
        <w:t>P</w:t>
      </w:r>
      <w:r w:rsidR="002E76FB" w:rsidRPr="00C57412">
        <w:rPr>
          <w:lang w:val="en-US"/>
        </w:rPr>
        <w:t>4</w:t>
      </w:r>
      <w:r w:rsidR="002E76FB" w:rsidRPr="00C57412">
        <w:rPr>
          <w:vertAlign w:val="subscript"/>
          <w:lang w:val="en-US"/>
        </w:rPr>
        <w:t>1</w:t>
      </w:r>
      <w:r w:rsidR="002E76FB" w:rsidRPr="00C57412">
        <w:rPr>
          <w:lang w:val="en-US"/>
        </w:rPr>
        <w:t xml:space="preserve"> space groups</w:t>
      </w:r>
      <w:r w:rsidRPr="00C57412">
        <w:rPr>
          <w:lang w:val="en-US"/>
        </w:rPr>
        <w:t xml:space="preserve"> are subgroups of </w:t>
      </w:r>
      <w:r w:rsidRPr="00C57412">
        <w:rPr>
          <w:i/>
          <w:lang w:val="en-US"/>
        </w:rPr>
        <w:t>P</w:t>
      </w:r>
      <w:r w:rsidRPr="00C57412">
        <w:rPr>
          <w:lang w:val="en-US"/>
        </w:rPr>
        <w:t>4</w:t>
      </w:r>
      <w:r w:rsidRPr="00C57412">
        <w:rPr>
          <w:vertAlign w:val="subscript"/>
          <w:lang w:val="en-US"/>
        </w:rPr>
        <w:t>1</w:t>
      </w:r>
      <w:r w:rsidRPr="00C57412">
        <w:rPr>
          <w:lang w:val="en-US"/>
        </w:rPr>
        <w:t>2</w:t>
      </w:r>
      <w:r w:rsidRPr="00C57412">
        <w:rPr>
          <w:vertAlign w:val="subscript"/>
          <w:lang w:val="en-US"/>
        </w:rPr>
        <w:t>1</w:t>
      </w:r>
      <w:r w:rsidRPr="00C57412">
        <w:rPr>
          <w:lang w:val="en-US"/>
        </w:rPr>
        <w:t xml:space="preserve">2 space group, in which </w:t>
      </w:r>
      <w:r w:rsidR="004C629D" w:rsidRPr="00C57412">
        <w:rPr>
          <w:lang w:val="en-US"/>
        </w:rPr>
        <w:t xml:space="preserve">the </w:t>
      </w:r>
      <w:r w:rsidRPr="00C57412">
        <w:rPr>
          <w:lang w:val="en-US"/>
        </w:rPr>
        <w:t xml:space="preserve">experimental crystal structure of APR:PIC was found. </w:t>
      </w:r>
      <w:r w:rsidR="004C629D" w:rsidRPr="00C57412">
        <w:rPr>
          <w:lang w:val="en-US"/>
        </w:rPr>
        <w:t xml:space="preserve">Figure </w:t>
      </w:r>
      <w:r w:rsidR="00E83465" w:rsidRPr="00C57412">
        <w:rPr>
          <w:lang w:val="en-US"/>
        </w:rPr>
        <w:t>8</w:t>
      </w:r>
      <w:r w:rsidR="004C629D" w:rsidRPr="00C57412">
        <w:rPr>
          <w:lang w:val="en-US"/>
        </w:rPr>
        <w:t xml:space="preserve"> shows the resulting CSP landscape, and features one particularly stable crystal structure, which was found </w:t>
      </w:r>
      <w:r w:rsidR="001B7840" w:rsidRPr="00C57412">
        <w:rPr>
          <w:lang w:val="en-US"/>
        </w:rPr>
        <w:t>to be in an excellent agreement with the experimental structure</w:t>
      </w:r>
      <w:r w:rsidR="0044458B" w:rsidRPr="00C57412">
        <w:rPr>
          <w:lang w:val="en-US"/>
        </w:rPr>
        <w:t xml:space="preserve">; an overlay of a 15-molecule cluster from predicted and observed crystal structures leads to a root mean squared deviation in atomic positions of </w:t>
      </w:r>
      <w:r w:rsidR="004C629D" w:rsidRPr="00C57412">
        <w:rPr>
          <w:lang w:val="en-US"/>
        </w:rPr>
        <w:t>only 0.118</w:t>
      </w:r>
      <w:r w:rsidR="0044458B" w:rsidRPr="00C57412">
        <w:rPr>
          <w:lang w:val="en-US"/>
        </w:rPr>
        <w:t xml:space="preserve"> </w:t>
      </w:r>
      <w:r w:rsidR="0044458B" w:rsidRPr="00C57412">
        <w:rPr>
          <w:rFonts w:cs="Times New Roman"/>
          <w:lang w:val="en-US"/>
        </w:rPr>
        <w:t>Å</w:t>
      </w:r>
      <w:r w:rsidR="004C629D" w:rsidRPr="00C57412">
        <w:rPr>
          <w:lang w:val="en-US"/>
        </w:rPr>
        <w:t>.</w:t>
      </w:r>
      <w:r w:rsidR="00C65694" w:rsidRPr="00C57412">
        <w:rPr>
          <w:lang w:val="en-US"/>
        </w:rPr>
        <w:t xml:space="preserve"> </w:t>
      </w:r>
      <w:r w:rsidR="0044458B" w:rsidRPr="00C57412">
        <w:rPr>
          <w:lang w:val="en-US"/>
        </w:rPr>
        <w:t>T</w:t>
      </w:r>
      <w:r w:rsidR="004C69F9" w:rsidRPr="00C57412">
        <w:rPr>
          <w:lang w:val="en-US"/>
        </w:rPr>
        <w:t>he CSP search</w:t>
      </w:r>
      <w:r w:rsidR="0044458B" w:rsidRPr="00C57412">
        <w:rPr>
          <w:lang w:val="en-US"/>
        </w:rPr>
        <w:t xml:space="preserve"> that has been performed</w:t>
      </w:r>
      <w:r w:rsidR="004C69F9" w:rsidRPr="00C57412">
        <w:rPr>
          <w:lang w:val="en-US"/>
        </w:rPr>
        <w:t xml:space="preserve"> cannot be regarded as a </w:t>
      </w:r>
      <w:r w:rsidR="0044458B" w:rsidRPr="00C57412">
        <w:rPr>
          <w:lang w:val="en-US"/>
        </w:rPr>
        <w:t>having sampled all possible co-crystal arrangements, due to limiting the search to one conformation of APR and the most common space groups</w:t>
      </w:r>
      <w:r w:rsidR="004C69F9" w:rsidRPr="00C57412">
        <w:rPr>
          <w:lang w:val="en-US"/>
        </w:rPr>
        <w:t xml:space="preserve">, and therefore the results have to be treated cautiously. </w:t>
      </w:r>
      <w:r w:rsidR="0044458B" w:rsidRPr="00C57412">
        <w:rPr>
          <w:lang w:val="en-US"/>
        </w:rPr>
        <w:t>Nevertheless</w:t>
      </w:r>
      <w:r w:rsidR="004C69F9" w:rsidRPr="00C57412">
        <w:rPr>
          <w:lang w:val="en-US"/>
        </w:rPr>
        <w:t xml:space="preserve">, the </w:t>
      </w:r>
      <w:r w:rsidR="0044458B" w:rsidRPr="00C57412">
        <w:rPr>
          <w:lang w:val="en-US"/>
        </w:rPr>
        <w:t>magnitude</w:t>
      </w:r>
      <w:r w:rsidR="004C69F9" w:rsidRPr="00C57412">
        <w:rPr>
          <w:lang w:val="en-US"/>
        </w:rPr>
        <w:t xml:space="preserve"> of the energy gap between the best and the next-best structure </w:t>
      </w:r>
      <w:r w:rsidR="0044458B" w:rsidRPr="00C57412">
        <w:rPr>
          <w:lang w:val="en-US"/>
        </w:rPr>
        <w:t xml:space="preserve">(76 kJ/mol) </w:t>
      </w:r>
      <w:r w:rsidR="004C69F9" w:rsidRPr="00C57412">
        <w:rPr>
          <w:lang w:val="en-US"/>
        </w:rPr>
        <w:t>suggests that a possibility of the formation of other compet</w:t>
      </w:r>
      <w:r w:rsidR="00885FCE" w:rsidRPr="00C57412">
        <w:rPr>
          <w:lang w:val="en-US"/>
        </w:rPr>
        <w:t>itive structures is rather low.</w:t>
      </w:r>
    </w:p>
    <w:p w:rsidR="00885FCE" w:rsidRPr="00C57412" w:rsidRDefault="00EE7564" w:rsidP="00885FCE">
      <w:pPr>
        <w:jc w:val="center"/>
        <w:rPr>
          <w:lang w:val="en-US"/>
        </w:rPr>
      </w:pPr>
      <w:r w:rsidRPr="00C57412">
        <w:rPr>
          <w:noProof/>
          <w:lang w:eastAsia="pl-PL"/>
        </w:rPr>
        <w:lastRenderedPageBreak/>
        <w:drawing>
          <wp:inline distT="0" distB="0" distL="0" distR="0">
            <wp:extent cx="4149090" cy="3010535"/>
            <wp:effectExtent l="0" t="0" r="0" b="0"/>
            <wp:docPr id="3" name="Picture 3" descr="\\soton.ac.uk\ude\personalfiles\users\md1r18\mydesktop\apr\paper2_apr\Figure__CSP_Pop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md1r18\mydesktop\apr\paper2_apr\Figure__CSP_Popr.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9090" cy="3010535"/>
                    </a:xfrm>
                    <a:prstGeom prst="rect">
                      <a:avLst/>
                    </a:prstGeom>
                    <a:noFill/>
                    <a:ln>
                      <a:noFill/>
                    </a:ln>
                  </pic:spPr>
                </pic:pic>
              </a:graphicData>
            </a:graphic>
          </wp:inline>
        </w:drawing>
      </w:r>
    </w:p>
    <w:p w:rsidR="00AE4B62" w:rsidRPr="00C57412" w:rsidRDefault="00AE4B62" w:rsidP="00E83465">
      <w:pPr>
        <w:spacing w:line="240" w:lineRule="auto"/>
        <w:jc w:val="both"/>
        <w:rPr>
          <w:lang w:val="en-US"/>
        </w:rPr>
      </w:pPr>
      <w:r w:rsidRPr="00C57412">
        <w:rPr>
          <w:b/>
          <w:lang w:val="en-US"/>
        </w:rPr>
        <w:t xml:space="preserve">Figure </w:t>
      </w:r>
      <w:r w:rsidR="00E83465" w:rsidRPr="00C57412">
        <w:rPr>
          <w:b/>
          <w:lang w:val="en-US"/>
        </w:rPr>
        <w:t>8</w:t>
      </w:r>
      <w:r w:rsidRPr="00C57412">
        <w:rPr>
          <w:b/>
          <w:lang w:val="en-US"/>
        </w:rPr>
        <w:t>.</w:t>
      </w:r>
      <w:r w:rsidRPr="00C57412">
        <w:rPr>
          <w:lang w:val="en-US"/>
        </w:rPr>
        <w:t xml:space="preserve"> </w:t>
      </w:r>
      <w:r w:rsidR="003A6A76" w:rsidRPr="00C57412">
        <w:rPr>
          <w:lang w:val="en-US"/>
        </w:rPr>
        <w:t xml:space="preserve">Crystal energy landscape for APR:PIC cocrystal tested in </w:t>
      </w:r>
      <w:r w:rsidR="00080028" w:rsidRPr="00C57412">
        <w:rPr>
          <w:i/>
          <w:lang w:val="en-US"/>
        </w:rPr>
        <w:t>P</w:t>
      </w:r>
      <w:r w:rsidR="00080028" w:rsidRPr="00C57412">
        <w:rPr>
          <w:lang w:val="en-US"/>
        </w:rPr>
        <w:t>2</w:t>
      </w:r>
      <w:r w:rsidR="00080028" w:rsidRPr="00C57412">
        <w:rPr>
          <w:vertAlign w:val="subscript"/>
          <w:lang w:val="en-US"/>
        </w:rPr>
        <w:t>1</w:t>
      </w:r>
      <w:r w:rsidR="00080028" w:rsidRPr="00C57412">
        <w:rPr>
          <w:lang w:val="en-US"/>
        </w:rPr>
        <w:t xml:space="preserve">, </w:t>
      </w:r>
      <w:bookmarkStart w:id="8" w:name="OLE_LINK11"/>
      <w:bookmarkStart w:id="9" w:name="OLE_LINK12"/>
      <w:bookmarkStart w:id="10" w:name="OLE_LINK13"/>
      <w:r w:rsidR="003A6A76" w:rsidRPr="00C57412">
        <w:rPr>
          <w:i/>
          <w:lang w:val="en-US"/>
        </w:rPr>
        <w:t>P</w:t>
      </w:r>
      <w:r w:rsidR="003A6A76" w:rsidRPr="00C57412">
        <w:rPr>
          <w:lang w:val="en-US"/>
        </w:rPr>
        <w:t>2</w:t>
      </w:r>
      <w:r w:rsidR="003A6A76" w:rsidRPr="00C57412">
        <w:rPr>
          <w:vertAlign w:val="subscript"/>
          <w:lang w:val="en-US"/>
        </w:rPr>
        <w:t>1</w:t>
      </w:r>
      <w:r w:rsidR="003A6A76" w:rsidRPr="00C57412">
        <w:rPr>
          <w:lang w:val="en-US"/>
        </w:rPr>
        <w:t>2</w:t>
      </w:r>
      <w:r w:rsidR="003A6A76" w:rsidRPr="00C57412">
        <w:rPr>
          <w:vertAlign w:val="subscript"/>
          <w:lang w:val="en-US"/>
        </w:rPr>
        <w:t>1</w:t>
      </w:r>
      <w:r w:rsidR="003A6A76" w:rsidRPr="00C57412">
        <w:rPr>
          <w:lang w:val="en-US"/>
        </w:rPr>
        <w:t>2</w:t>
      </w:r>
      <w:r w:rsidR="003A6A76" w:rsidRPr="00C57412">
        <w:rPr>
          <w:vertAlign w:val="subscript"/>
          <w:lang w:val="en-US"/>
        </w:rPr>
        <w:t>1</w:t>
      </w:r>
      <w:r w:rsidR="003A6A76" w:rsidRPr="00C57412">
        <w:rPr>
          <w:lang w:val="en-US"/>
        </w:rPr>
        <w:t xml:space="preserve"> and </w:t>
      </w:r>
      <w:r w:rsidR="003A6A76" w:rsidRPr="00C57412">
        <w:rPr>
          <w:i/>
          <w:lang w:val="en-US"/>
        </w:rPr>
        <w:t>P</w:t>
      </w:r>
      <w:r w:rsidR="003A6A76" w:rsidRPr="00C57412">
        <w:rPr>
          <w:lang w:val="en-US"/>
        </w:rPr>
        <w:t>4</w:t>
      </w:r>
      <w:r w:rsidR="003A6A76" w:rsidRPr="00C57412">
        <w:rPr>
          <w:vertAlign w:val="subscript"/>
          <w:lang w:val="en-US"/>
        </w:rPr>
        <w:t>1</w:t>
      </w:r>
      <w:r w:rsidR="003A6A76" w:rsidRPr="00C57412">
        <w:rPr>
          <w:lang w:val="en-US"/>
        </w:rPr>
        <w:t xml:space="preserve"> </w:t>
      </w:r>
      <w:bookmarkEnd w:id="8"/>
      <w:bookmarkEnd w:id="9"/>
      <w:bookmarkEnd w:id="10"/>
      <w:r w:rsidR="003A6A76" w:rsidRPr="00C57412">
        <w:rPr>
          <w:lang w:val="en-US"/>
        </w:rPr>
        <w:t>space groups.</w:t>
      </w:r>
      <w:r w:rsidR="00885FCE" w:rsidRPr="00C57412">
        <w:rPr>
          <w:lang w:val="en-US"/>
        </w:rPr>
        <w:t xml:space="preserve"> An arrow indicates the lowest energy structure with an intermolecular hydrogen bond between APR and PIC.</w:t>
      </w:r>
    </w:p>
    <w:p w:rsidR="00243429" w:rsidRPr="00C57412" w:rsidRDefault="00243429" w:rsidP="00E83465">
      <w:pPr>
        <w:spacing w:line="240" w:lineRule="auto"/>
        <w:jc w:val="both"/>
        <w:rPr>
          <w:lang w:val="en-US"/>
        </w:rPr>
      </w:pPr>
    </w:p>
    <w:p w:rsidR="00335654" w:rsidRPr="00C57412" w:rsidRDefault="00335654" w:rsidP="000B1E54">
      <w:pPr>
        <w:spacing w:after="0"/>
        <w:ind w:firstLine="567"/>
        <w:jc w:val="both"/>
        <w:rPr>
          <w:lang w:val="en-US"/>
        </w:rPr>
      </w:pPr>
      <w:r w:rsidRPr="00C57412">
        <w:rPr>
          <w:lang w:val="en-US"/>
        </w:rPr>
        <w:t xml:space="preserve">An interesting feature of the predicted structures is that in </w:t>
      </w:r>
      <w:r w:rsidR="002E76FB" w:rsidRPr="00C57412">
        <w:rPr>
          <w:i/>
          <w:lang w:val="en-US"/>
        </w:rPr>
        <w:t>P</w:t>
      </w:r>
      <w:r w:rsidR="002E76FB" w:rsidRPr="00C57412">
        <w:rPr>
          <w:lang w:val="en-US"/>
        </w:rPr>
        <w:t>2</w:t>
      </w:r>
      <w:r w:rsidR="002E76FB" w:rsidRPr="00C57412">
        <w:rPr>
          <w:vertAlign w:val="subscript"/>
          <w:lang w:val="en-US"/>
        </w:rPr>
        <w:t>1</w:t>
      </w:r>
      <w:r w:rsidR="002E76FB" w:rsidRPr="00C57412">
        <w:rPr>
          <w:lang w:val="en-US"/>
        </w:rPr>
        <w:t>2</w:t>
      </w:r>
      <w:r w:rsidR="002E76FB" w:rsidRPr="00C57412">
        <w:rPr>
          <w:vertAlign w:val="subscript"/>
          <w:lang w:val="en-US"/>
        </w:rPr>
        <w:t>1</w:t>
      </w:r>
      <w:r w:rsidR="002E76FB" w:rsidRPr="00C57412">
        <w:rPr>
          <w:lang w:val="en-US"/>
        </w:rPr>
        <w:t>2</w:t>
      </w:r>
      <w:r w:rsidR="002E76FB" w:rsidRPr="00C57412">
        <w:rPr>
          <w:vertAlign w:val="subscript"/>
          <w:lang w:val="en-US"/>
        </w:rPr>
        <w:t>1</w:t>
      </w:r>
      <w:r w:rsidR="002E76FB" w:rsidRPr="00C57412">
        <w:rPr>
          <w:lang w:val="en-US"/>
        </w:rPr>
        <w:t xml:space="preserve"> and </w:t>
      </w:r>
      <w:r w:rsidR="002E76FB" w:rsidRPr="00C57412">
        <w:rPr>
          <w:i/>
          <w:lang w:val="en-US"/>
        </w:rPr>
        <w:t>P</w:t>
      </w:r>
      <w:r w:rsidR="002E76FB" w:rsidRPr="00C57412">
        <w:rPr>
          <w:lang w:val="en-US"/>
        </w:rPr>
        <w:t>4</w:t>
      </w:r>
      <w:r w:rsidR="002E76FB" w:rsidRPr="00C57412">
        <w:rPr>
          <w:vertAlign w:val="subscript"/>
          <w:lang w:val="en-US"/>
        </w:rPr>
        <w:t>1</w:t>
      </w:r>
      <w:r w:rsidR="002E76FB" w:rsidRPr="00C57412">
        <w:rPr>
          <w:lang w:val="en-US"/>
        </w:rPr>
        <w:t xml:space="preserve"> </w:t>
      </w:r>
      <w:r w:rsidRPr="00C57412">
        <w:rPr>
          <w:lang w:val="en-US"/>
        </w:rPr>
        <w:t xml:space="preserve">space groups </w:t>
      </w:r>
      <w:r w:rsidR="003E748C" w:rsidRPr="00C57412">
        <w:rPr>
          <w:lang w:val="en-US"/>
        </w:rPr>
        <w:t>aromatic – aromatic interactions are preferred over hydrogen</w:t>
      </w:r>
      <w:bookmarkStart w:id="11" w:name="_GoBack"/>
      <w:bookmarkEnd w:id="11"/>
      <w:r w:rsidR="003E748C" w:rsidRPr="00C57412">
        <w:rPr>
          <w:lang w:val="en-US"/>
        </w:rPr>
        <w:t xml:space="preserve"> bonds</w:t>
      </w:r>
      <w:r w:rsidRPr="00C57412">
        <w:rPr>
          <w:lang w:val="en-US"/>
        </w:rPr>
        <w:t xml:space="preserve">. </w:t>
      </w:r>
      <w:r w:rsidR="003E748C" w:rsidRPr="00C57412">
        <w:rPr>
          <w:lang w:val="en-US"/>
        </w:rPr>
        <w:t xml:space="preserve">The lowest energy </w:t>
      </w:r>
      <w:r w:rsidR="0044458B" w:rsidRPr="00C57412">
        <w:rPr>
          <w:lang w:val="en-US"/>
        </w:rPr>
        <w:t>predicted structure</w:t>
      </w:r>
      <w:r w:rsidR="003E748C" w:rsidRPr="00C57412">
        <w:rPr>
          <w:lang w:val="en-US"/>
        </w:rPr>
        <w:t xml:space="preserve"> in which APR and PIC interact </w:t>
      </w:r>
      <w:r w:rsidR="003E748C" w:rsidRPr="00C57412">
        <w:rPr>
          <w:i/>
          <w:lang w:val="en-US"/>
        </w:rPr>
        <w:t>via</w:t>
      </w:r>
      <w:r w:rsidR="003E748C" w:rsidRPr="00C57412">
        <w:rPr>
          <w:lang w:val="en-US"/>
        </w:rPr>
        <w:t xml:space="preserve"> hydrogen bonds is i</w:t>
      </w:r>
      <w:r w:rsidRPr="00C57412">
        <w:rPr>
          <w:lang w:val="en-US"/>
        </w:rPr>
        <w:t>n</w:t>
      </w:r>
      <w:r w:rsidR="0044458B" w:rsidRPr="00C57412">
        <w:rPr>
          <w:lang w:val="en-US"/>
        </w:rPr>
        <w:t xml:space="preserve"> the</w:t>
      </w:r>
      <w:r w:rsidRPr="00C57412">
        <w:rPr>
          <w:lang w:val="en-US"/>
        </w:rPr>
        <w:t xml:space="preserve"> </w:t>
      </w:r>
      <w:r w:rsidR="00D71C23" w:rsidRPr="00C57412">
        <w:rPr>
          <w:i/>
          <w:lang w:val="en-US"/>
        </w:rPr>
        <w:t>P</w:t>
      </w:r>
      <w:r w:rsidR="00D71C23" w:rsidRPr="00C57412">
        <w:rPr>
          <w:lang w:val="en-US"/>
        </w:rPr>
        <w:t>2</w:t>
      </w:r>
      <w:r w:rsidR="00D71C23" w:rsidRPr="00C57412">
        <w:rPr>
          <w:vertAlign w:val="subscript"/>
          <w:lang w:val="en-US"/>
        </w:rPr>
        <w:t>1</w:t>
      </w:r>
      <w:r w:rsidR="00D71C23" w:rsidRPr="00C57412">
        <w:rPr>
          <w:lang w:val="en-US"/>
        </w:rPr>
        <w:t xml:space="preserve"> space group with an energy of -445 kJ/mol,</w:t>
      </w:r>
      <w:r w:rsidR="0044458B" w:rsidRPr="00C57412">
        <w:rPr>
          <w:lang w:val="en-US"/>
        </w:rPr>
        <w:t xml:space="preserve"> 80 kJ/mol above the lowest energy structure,</w:t>
      </w:r>
      <w:r w:rsidR="00D71C23" w:rsidRPr="00C57412">
        <w:rPr>
          <w:lang w:val="en-US"/>
        </w:rPr>
        <w:t xml:space="preserve"> followed by a structure </w:t>
      </w:r>
      <w:r w:rsidR="0044458B" w:rsidRPr="00C57412">
        <w:rPr>
          <w:lang w:val="en-US"/>
        </w:rPr>
        <w:t>in space group</w:t>
      </w:r>
      <w:r w:rsidR="00D71C23" w:rsidRPr="00C57412">
        <w:rPr>
          <w:lang w:val="en-US"/>
        </w:rPr>
        <w:t xml:space="preserve"> </w:t>
      </w:r>
      <w:r w:rsidRPr="00C57412">
        <w:rPr>
          <w:i/>
          <w:lang w:val="en-US"/>
        </w:rPr>
        <w:t>P</w:t>
      </w:r>
      <w:r w:rsidRPr="00C57412">
        <w:rPr>
          <w:lang w:val="en-US"/>
        </w:rPr>
        <w:t>2</w:t>
      </w:r>
      <w:r w:rsidRPr="00C57412">
        <w:rPr>
          <w:vertAlign w:val="subscript"/>
          <w:lang w:val="en-US"/>
        </w:rPr>
        <w:t>1</w:t>
      </w:r>
      <w:r w:rsidRPr="00C57412">
        <w:rPr>
          <w:lang w:val="en-US"/>
        </w:rPr>
        <w:t>2</w:t>
      </w:r>
      <w:r w:rsidRPr="00C57412">
        <w:rPr>
          <w:vertAlign w:val="subscript"/>
          <w:lang w:val="en-US"/>
        </w:rPr>
        <w:t>1</w:t>
      </w:r>
      <w:r w:rsidRPr="00C57412">
        <w:rPr>
          <w:lang w:val="en-US"/>
        </w:rPr>
        <w:t>2</w:t>
      </w:r>
      <w:r w:rsidRPr="00C57412">
        <w:rPr>
          <w:vertAlign w:val="subscript"/>
          <w:lang w:val="en-US"/>
        </w:rPr>
        <w:t>1</w:t>
      </w:r>
      <w:r w:rsidR="003E748C" w:rsidRPr="00C57412">
        <w:rPr>
          <w:lang w:val="en-US"/>
        </w:rPr>
        <w:t xml:space="preserve">, with an energy of -440 kJ/mol. Here the hydrogen bond is </w:t>
      </w:r>
      <w:r w:rsidR="0044458B" w:rsidRPr="00C57412">
        <w:rPr>
          <w:lang w:val="en-US"/>
        </w:rPr>
        <w:t>formed</w:t>
      </w:r>
      <w:r w:rsidR="003E748C" w:rsidRPr="00C57412">
        <w:rPr>
          <w:lang w:val="en-US"/>
        </w:rPr>
        <w:t xml:space="preserve"> between </w:t>
      </w:r>
      <w:r w:rsidR="0044458B" w:rsidRPr="00C57412">
        <w:rPr>
          <w:lang w:val="en-US"/>
        </w:rPr>
        <w:t xml:space="preserve">the </w:t>
      </w:r>
      <w:r w:rsidR="003E748C" w:rsidRPr="00C57412">
        <w:rPr>
          <w:lang w:val="en-US"/>
        </w:rPr>
        <w:t>NH</w:t>
      </w:r>
      <w:r w:rsidR="003E748C" w:rsidRPr="00C57412">
        <w:rPr>
          <w:vertAlign w:val="subscript"/>
          <w:lang w:val="en-US"/>
        </w:rPr>
        <w:t>2</w:t>
      </w:r>
      <w:r w:rsidR="0044458B" w:rsidRPr="00C57412">
        <w:rPr>
          <w:lang w:val="en-US"/>
        </w:rPr>
        <w:t xml:space="preserve"> group fro</w:t>
      </w:r>
      <w:r w:rsidR="003E748C" w:rsidRPr="00C57412">
        <w:rPr>
          <w:lang w:val="en-US"/>
        </w:rPr>
        <w:t xml:space="preserve">m PIC and </w:t>
      </w:r>
      <w:r w:rsidR="000074BD" w:rsidRPr="00C57412">
        <w:rPr>
          <w:lang w:val="en-US"/>
        </w:rPr>
        <w:t xml:space="preserve">oxygen atom of the OMe and </w:t>
      </w:r>
      <w:r w:rsidR="003E748C" w:rsidRPr="00C57412">
        <w:rPr>
          <w:lang w:val="en-US"/>
        </w:rPr>
        <w:t>OEt groups from APR</w:t>
      </w:r>
      <w:r w:rsidR="00885FCE" w:rsidRPr="00C57412">
        <w:rPr>
          <w:lang w:val="en-US"/>
        </w:rPr>
        <w:t xml:space="preserve"> (Figure </w:t>
      </w:r>
      <w:r w:rsidR="00E83465" w:rsidRPr="00C57412">
        <w:rPr>
          <w:lang w:val="en-US"/>
        </w:rPr>
        <w:t>8</w:t>
      </w:r>
      <w:r w:rsidR="00885FCE" w:rsidRPr="00C57412">
        <w:rPr>
          <w:lang w:val="en-US"/>
        </w:rPr>
        <w:t xml:space="preserve">). Such an interaction however, results in losing the possibility of exploiting </w:t>
      </w:r>
      <w:r w:rsidR="000B1E54" w:rsidRPr="00C57412">
        <w:rPr>
          <w:lang w:val="en-US"/>
        </w:rPr>
        <w:t xml:space="preserve">not only </w:t>
      </w:r>
      <w:r w:rsidR="00885FCE" w:rsidRPr="00C57412">
        <w:rPr>
          <w:lang w:val="en-US"/>
        </w:rPr>
        <w:t xml:space="preserve">aromatic – aromatic interactions, </w:t>
      </w:r>
      <w:r w:rsidR="000B1E54" w:rsidRPr="00C57412">
        <w:rPr>
          <w:lang w:val="en-US"/>
        </w:rPr>
        <w:t>but also many Ar-H…O and CH</w:t>
      </w:r>
      <w:r w:rsidR="000B1E54" w:rsidRPr="00C57412">
        <w:rPr>
          <w:vertAlign w:val="subscript"/>
          <w:lang w:val="en-US"/>
        </w:rPr>
        <w:t>3</w:t>
      </w:r>
      <w:r w:rsidR="000B1E54" w:rsidRPr="00C57412">
        <w:rPr>
          <w:lang w:val="en-US"/>
        </w:rPr>
        <w:t xml:space="preserve">…O close contacts, </w:t>
      </w:r>
      <w:r w:rsidR="00885FCE" w:rsidRPr="00C57412">
        <w:rPr>
          <w:lang w:val="en-US"/>
        </w:rPr>
        <w:t xml:space="preserve">maintaining at the same time favorable packing efficiency. </w:t>
      </w:r>
    </w:p>
    <w:p w:rsidR="000B1E54" w:rsidRPr="00C57412" w:rsidRDefault="000B1E54" w:rsidP="00137EBD">
      <w:pPr>
        <w:spacing w:after="0"/>
        <w:ind w:firstLine="567"/>
        <w:jc w:val="both"/>
        <w:rPr>
          <w:lang w:val="en-US"/>
        </w:rPr>
      </w:pPr>
    </w:p>
    <w:p w:rsidR="000B1E54" w:rsidRPr="00C57412" w:rsidRDefault="000B1E54" w:rsidP="000B1E54">
      <w:pPr>
        <w:spacing w:after="0"/>
        <w:jc w:val="both"/>
        <w:rPr>
          <w:lang w:val="en-US"/>
        </w:rPr>
      </w:pPr>
      <w:r w:rsidRPr="00C57412">
        <w:rPr>
          <w:i/>
          <w:lang w:val="en-US"/>
        </w:rPr>
        <w:t>4)</w:t>
      </w:r>
      <w:r w:rsidRPr="00C57412">
        <w:rPr>
          <w:lang w:val="en-US"/>
        </w:rPr>
        <w:t xml:space="preserve"> </w:t>
      </w:r>
      <w:r w:rsidRPr="00C57412">
        <w:rPr>
          <w:i/>
          <w:lang w:val="en-US"/>
        </w:rPr>
        <w:t>Evaluation of the energetic contributions to the total energy of APR cocrystals</w:t>
      </w:r>
    </w:p>
    <w:p w:rsidR="00137EBD" w:rsidRPr="00C57412" w:rsidRDefault="00641635" w:rsidP="00E301F8">
      <w:pPr>
        <w:spacing w:after="0"/>
        <w:ind w:firstLine="567"/>
        <w:jc w:val="both"/>
        <w:rPr>
          <w:lang w:val="en-US"/>
        </w:rPr>
      </w:pPr>
      <w:r w:rsidRPr="00C57412">
        <w:rPr>
          <w:lang w:val="en-US"/>
        </w:rPr>
        <w:t>The X-Ray, solid-state NMR and CSP res</w:t>
      </w:r>
      <w:r w:rsidR="003D6778" w:rsidRPr="00C57412">
        <w:rPr>
          <w:lang w:val="en-US"/>
        </w:rPr>
        <w:t>ults presented above have shown</w:t>
      </w:r>
      <w:r w:rsidRPr="00C57412">
        <w:rPr>
          <w:lang w:val="en-US"/>
        </w:rPr>
        <w:t xml:space="preserve"> that aromatic – aromatic interactions are indeed a driving force in the formation of APR cocrystals, even in cases in which a coformer displays high propensity towards acting as a hydrogen bond donor. The next step is therefore to evaluate the energetic factors behind these interactions, starting with the calculations of stabilization energies of the cocrystals, </w:t>
      </w:r>
      <w:r w:rsidRPr="00C57412">
        <w:rPr>
          <w:i/>
          <w:lang w:val="en-US"/>
        </w:rPr>
        <w:t>i.e.</w:t>
      </w:r>
      <w:r w:rsidRPr="00C57412">
        <w:rPr>
          <w:lang w:val="en-US"/>
        </w:rPr>
        <w:t xml:space="preserve"> the differences between the total energy of a cocrystal and the sum of total energies of its</w:t>
      </w:r>
      <w:r w:rsidR="007E7BF3" w:rsidRPr="00C57412">
        <w:rPr>
          <w:lang w:val="en-US"/>
        </w:rPr>
        <w:t xml:space="preserve"> components in their pure forms. I</w:t>
      </w:r>
      <w:r w:rsidR="00137EBD" w:rsidRPr="00C57412">
        <w:rPr>
          <w:lang w:val="en-US"/>
        </w:rPr>
        <w:t>n a recent study on the energetics of cocrystals</w:t>
      </w:r>
      <w:r w:rsidR="003D6778" w:rsidRPr="00C57412">
        <w:rPr>
          <w:lang w:val="en-US"/>
        </w:rPr>
        <w:t>,</w:t>
      </w:r>
      <w:r w:rsidR="00137EBD" w:rsidRPr="00C57412">
        <w:rPr>
          <w:lang w:val="en-US"/>
        </w:rPr>
        <w:t xml:space="preserve"> it has been shown that for the vast </w:t>
      </w:r>
      <w:r w:rsidR="00137EBD" w:rsidRPr="00C57412">
        <w:rPr>
          <w:lang w:val="en-US"/>
        </w:rPr>
        <w:lastRenderedPageBreak/>
        <w:t xml:space="preserve">majority </w:t>
      </w:r>
      <w:r w:rsidR="003D6778" w:rsidRPr="00C57412">
        <w:rPr>
          <w:lang w:val="en-US"/>
        </w:rPr>
        <w:t>(95%) of observed cocrystals, the</w:t>
      </w:r>
      <w:r w:rsidR="00137EBD" w:rsidRPr="00C57412">
        <w:rPr>
          <w:lang w:val="en-US"/>
        </w:rPr>
        <w:t xml:space="preserve"> stabilization energies have negative values, which means that </w:t>
      </w:r>
      <w:r w:rsidR="003D6778" w:rsidRPr="00C57412">
        <w:rPr>
          <w:lang w:val="en-US"/>
        </w:rPr>
        <w:t>cocrystal</w:t>
      </w:r>
      <w:r w:rsidR="00137EBD" w:rsidRPr="00C57412">
        <w:rPr>
          <w:lang w:val="en-US"/>
        </w:rPr>
        <w:t xml:space="preserve"> formation </w:t>
      </w:r>
      <w:r w:rsidR="000B1E54" w:rsidRPr="00C57412">
        <w:rPr>
          <w:lang w:val="en-US"/>
        </w:rPr>
        <w:t>i</w:t>
      </w:r>
      <w:r w:rsidR="00137EBD" w:rsidRPr="00C57412">
        <w:rPr>
          <w:lang w:val="en-US"/>
        </w:rPr>
        <w:t>s thermodynamically driven</w:t>
      </w:r>
      <w:r w:rsidR="00B34898" w:rsidRPr="00C57412">
        <w:rPr>
          <w:lang w:val="en-US"/>
        </w:rPr>
        <w:t xml:space="preserve"> (Taylor &amp; Day, 2018)</w:t>
      </w:r>
      <w:r w:rsidR="00137EBD" w:rsidRPr="00C57412">
        <w:rPr>
          <w:lang w:val="en-US"/>
        </w:rPr>
        <w:t xml:space="preserve">. Surprisingly, this seems to be not the case for the cocrystals of APR. Table </w:t>
      </w:r>
      <w:r w:rsidR="007E7BF3" w:rsidRPr="00C57412">
        <w:rPr>
          <w:lang w:val="en-US"/>
        </w:rPr>
        <w:t>3</w:t>
      </w:r>
      <w:r w:rsidR="00137EBD" w:rsidRPr="00C57412">
        <w:rPr>
          <w:lang w:val="en-US"/>
        </w:rPr>
        <w:t xml:space="preserve"> presents the energy difference between the energy of a cocrystal and the sum of the energies of its pure components</w:t>
      </w:r>
      <w:r w:rsidR="000B1E54" w:rsidRPr="00C57412">
        <w:rPr>
          <w:lang w:val="en-US"/>
        </w:rPr>
        <w:t xml:space="preserve"> calculated at the PBE-D2 level</w:t>
      </w:r>
      <w:r w:rsidR="003D6778" w:rsidRPr="00C57412">
        <w:rPr>
          <w:lang w:val="en-US"/>
        </w:rPr>
        <w:t xml:space="preserve"> of theory</w:t>
      </w:r>
      <w:r w:rsidR="00137EBD" w:rsidRPr="00C57412">
        <w:rPr>
          <w:lang w:val="en-US"/>
        </w:rPr>
        <w:t xml:space="preserve">. In all cases the stabilization energies (calculated </w:t>
      </w:r>
      <w:r w:rsidR="000B1E54" w:rsidRPr="00C57412">
        <w:rPr>
          <w:lang w:val="en-US"/>
        </w:rPr>
        <w:t>according to</w:t>
      </w:r>
      <w:r w:rsidR="00137EBD" w:rsidRPr="00C57412">
        <w:rPr>
          <w:lang w:val="en-US"/>
        </w:rPr>
        <w:t xml:space="preserve"> eq. 1) have positive values, and this is</w:t>
      </w:r>
      <w:r w:rsidR="001F65A1" w:rsidRPr="00C57412">
        <w:rPr>
          <w:lang w:val="en-US"/>
        </w:rPr>
        <w:t xml:space="preserve"> primarily the result of </w:t>
      </w:r>
      <w:r w:rsidR="00137EBD" w:rsidRPr="00C57412">
        <w:rPr>
          <w:lang w:val="en-US"/>
        </w:rPr>
        <w:t>noticeably higher int</w:t>
      </w:r>
      <w:r w:rsidR="003D6778" w:rsidRPr="00C57412">
        <w:rPr>
          <w:lang w:val="en-US"/>
        </w:rPr>
        <w:t>ra</w:t>
      </w:r>
      <w:r w:rsidR="00137EBD" w:rsidRPr="00C57412">
        <w:rPr>
          <w:lang w:val="en-US"/>
        </w:rPr>
        <w:t xml:space="preserve">molecular energies </w:t>
      </w:r>
      <w:r w:rsidR="005804A9" w:rsidRPr="00C57412">
        <w:rPr>
          <w:lang w:val="en-US"/>
        </w:rPr>
        <w:t>of APR molecules in the cocrystal</w:t>
      </w:r>
      <w:r w:rsidR="007E7BF3" w:rsidRPr="00C57412">
        <w:rPr>
          <w:lang w:val="en-US"/>
        </w:rPr>
        <w:t>s</w:t>
      </w:r>
      <w:r w:rsidR="001F65A1" w:rsidRPr="00C57412">
        <w:rPr>
          <w:lang w:val="en-US"/>
        </w:rPr>
        <w:t>, as compared to these energies</w:t>
      </w:r>
      <w:r w:rsidR="005804A9" w:rsidRPr="00C57412">
        <w:rPr>
          <w:lang w:val="en-US"/>
        </w:rPr>
        <w:t xml:space="preserve"> in the pure form of APR. </w:t>
      </w:r>
      <w:r w:rsidR="001F65A1" w:rsidRPr="00C57412">
        <w:rPr>
          <w:lang w:val="en-US"/>
        </w:rPr>
        <w:t>On the other hand, the differences in the intermolecular contributions to the total energy</w:t>
      </w:r>
      <w:r w:rsidR="005804A9" w:rsidRPr="00C57412">
        <w:rPr>
          <w:lang w:val="en-US"/>
        </w:rPr>
        <w:t xml:space="preserve"> </w:t>
      </w:r>
      <w:r w:rsidR="00137EBD" w:rsidRPr="00C57412">
        <w:rPr>
          <w:lang w:val="en-US"/>
        </w:rPr>
        <w:t>a</w:t>
      </w:r>
      <w:r w:rsidR="001F65A1" w:rsidRPr="00C57412">
        <w:rPr>
          <w:lang w:val="en-US"/>
        </w:rPr>
        <w:t>re in all cases negative, meaning that it is not the lack of energetically favorable interaction</w:t>
      </w:r>
      <w:r w:rsidR="003D6778" w:rsidRPr="00C57412">
        <w:rPr>
          <w:lang w:val="en-US"/>
        </w:rPr>
        <w:t>s between APR and the coformers</w:t>
      </w:r>
      <w:r w:rsidR="001F65A1" w:rsidRPr="00C57412">
        <w:rPr>
          <w:lang w:val="en-US"/>
        </w:rPr>
        <w:t xml:space="preserve"> </w:t>
      </w:r>
      <w:r w:rsidR="003D6778" w:rsidRPr="00C57412">
        <w:rPr>
          <w:lang w:val="en-US"/>
        </w:rPr>
        <w:t>that</w:t>
      </w:r>
      <w:r w:rsidR="001F65A1" w:rsidRPr="00C57412">
        <w:rPr>
          <w:lang w:val="en-US"/>
        </w:rPr>
        <w:t xml:space="preserve"> makes the stabilization energies positive, but the strains in the conformation of APR </w:t>
      </w:r>
      <w:r w:rsidR="003D6778" w:rsidRPr="00C57412">
        <w:rPr>
          <w:lang w:val="en-US"/>
        </w:rPr>
        <w:t>associated with cocrystal</w:t>
      </w:r>
      <w:r w:rsidR="001F65A1" w:rsidRPr="00C57412">
        <w:rPr>
          <w:lang w:val="en-US"/>
        </w:rPr>
        <w:t xml:space="preserve"> formation.</w:t>
      </w:r>
      <w:r w:rsidR="00137EBD" w:rsidRPr="00C57412">
        <w:rPr>
          <w:lang w:val="en-US"/>
        </w:rPr>
        <w:t xml:space="preserve"> </w:t>
      </w:r>
      <w:r w:rsidR="001F65A1" w:rsidRPr="00C57412">
        <w:rPr>
          <w:lang w:val="en-US"/>
        </w:rPr>
        <w:t>Regardless</w:t>
      </w:r>
      <w:r w:rsidR="006150AA" w:rsidRPr="00C57412">
        <w:rPr>
          <w:lang w:val="en-US"/>
        </w:rPr>
        <w:t xml:space="preserve"> of the cause</w:t>
      </w:r>
      <w:r w:rsidR="001F65A1" w:rsidRPr="00C57412">
        <w:rPr>
          <w:lang w:val="en-US"/>
        </w:rPr>
        <w:t xml:space="preserve">, </w:t>
      </w:r>
      <w:r w:rsidR="00137EBD" w:rsidRPr="00C57412">
        <w:rPr>
          <w:lang w:val="en-US"/>
        </w:rPr>
        <w:t xml:space="preserve">it </w:t>
      </w:r>
      <w:r w:rsidR="006150AA" w:rsidRPr="00C57412">
        <w:rPr>
          <w:lang w:val="en-US"/>
        </w:rPr>
        <w:t xml:space="preserve">seems at this stage, that the formation of cocrystals of APR with the studied coformers is </w:t>
      </w:r>
      <w:r w:rsidR="00137EBD" w:rsidRPr="00C57412">
        <w:rPr>
          <w:lang w:val="en-US"/>
        </w:rPr>
        <w:t>not energetically favorable</w:t>
      </w:r>
      <w:r w:rsidR="001F65A1" w:rsidRPr="00C57412">
        <w:rPr>
          <w:lang w:val="en-US"/>
        </w:rPr>
        <w:t>.</w:t>
      </w:r>
      <w:r w:rsidR="00A8542A" w:rsidRPr="00C57412">
        <w:rPr>
          <w:lang w:val="en-US"/>
        </w:rPr>
        <w:t xml:space="preserve"> It should be noted, that the particular components of the stabilization energy presented in Table 3, </w:t>
      </w:r>
      <w:r w:rsidR="00A8542A" w:rsidRPr="00C57412">
        <w:rPr>
          <w:i/>
          <w:lang w:val="en-US"/>
        </w:rPr>
        <w:t>i.e.</w:t>
      </w:r>
      <w:r w:rsidR="00A8542A" w:rsidRPr="00C57412">
        <w:rPr>
          <w:lang w:val="en-US"/>
        </w:rPr>
        <w:t xml:space="preserve"> </w:t>
      </w: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inter</m:t>
            </m:r>
          </m:sup>
        </m:sSup>
      </m:oMath>
      <w:r w:rsidR="00A8542A" w:rsidRPr="00C57412">
        <w:rPr>
          <w:rFonts w:eastAsiaTheme="minorEastAsia"/>
          <w:lang w:val="en-US"/>
        </w:rPr>
        <w:t xml:space="preserve"> and </w:t>
      </w: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intra</m:t>
            </m:r>
          </m:sup>
        </m:sSup>
      </m:oMath>
      <w:r w:rsidR="00E301F8" w:rsidRPr="00C57412">
        <w:rPr>
          <w:rFonts w:eastAsiaTheme="minorEastAsia"/>
          <w:lang w:val="en-US"/>
        </w:rPr>
        <w:t xml:space="preserve"> were calculated separately from </w:t>
      </w:r>
      <m:oMath>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stab</m:t>
            </m:r>
          </m:sup>
        </m:sSup>
      </m:oMath>
      <w:r w:rsidR="00E301F8" w:rsidRPr="00C57412">
        <w:rPr>
          <w:rFonts w:eastAsiaTheme="minorEastAsia"/>
          <w:lang w:val="en-US"/>
        </w:rPr>
        <w:t>. As a result the sum of the mentioned terms agree with stabilization energy value only within the limits of computational error, which in the worst case is equal to 0.35 kJ/mol. This error may also originate from neglecting the intramolecular contribution from coformes, but still it does not influence the overall conclusions.</w:t>
      </w:r>
    </w:p>
    <w:p w:rsidR="00137EBD" w:rsidRPr="00C57412" w:rsidRDefault="00137EBD" w:rsidP="00DB5453">
      <w:pPr>
        <w:spacing w:after="240" w:line="240" w:lineRule="auto"/>
        <w:jc w:val="both"/>
        <w:rPr>
          <w:lang w:val="en-US"/>
        </w:rPr>
      </w:pPr>
      <w:r w:rsidRPr="00C57412">
        <w:rPr>
          <w:b/>
          <w:lang w:val="en-US"/>
        </w:rPr>
        <w:t xml:space="preserve">Table </w:t>
      </w:r>
      <w:r w:rsidR="007E7BF3" w:rsidRPr="00C57412">
        <w:rPr>
          <w:b/>
          <w:lang w:val="en-US"/>
        </w:rPr>
        <w:t>3</w:t>
      </w:r>
      <w:r w:rsidRPr="00C57412">
        <w:rPr>
          <w:b/>
          <w:lang w:val="en-US"/>
        </w:rPr>
        <w:t>.</w:t>
      </w:r>
      <w:r w:rsidRPr="00C57412">
        <w:rPr>
          <w:lang w:val="en-US"/>
        </w:rPr>
        <w:t xml:space="preserve"> Overall stabilization energies (</w:t>
      </w:r>
      <m:oMath>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stab</m:t>
            </m:r>
          </m:sup>
        </m:sSup>
      </m:oMath>
      <w:r w:rsidRPr="00C57412">
        <w:rPr>
          <w:lang w:val="en-US"/>
        </w:rPr>
        <w:t xml:space="preserve">) of the formation of cocrystals of APR with RES, HQU, IMI and PIC, and the intra- and intermolecular energy contribution to </w:t>
      </w:r>
      <m:oMath>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stab</m:t>
            </m:r>
          </m:sup>
        </m:sSup>
      </m:oMath>
      <w:r w:rsidRPr="00C57412">
        <w:rPr>
          <w:rFonts w:eastAsiaTheme="minorEastAsia"/>
          <w:lang w:val="en-US"/>
        </w:rPr>
        <w:t>.*</w:t>
      </w:r>
    </w:p>
    <w:tbl>
      <w:tblPr>
        <w:tblStyle w:val="Tabela-Siatka"/>
        <w:tblW w:w="0" w:type="auto"/>
        <w:jc w:val="center"/>
        <w:tblBorders>
          <w:left w:val="none" w:sz="0" w:space="0" w:color="auto"/>
          <w:right w:val="none" w:sz="0" w:space="0" w:color="auto"/>
          <w:insideV w:val="none" w:sz="0" w:space="0" w:color="auto"/>
        </w:tblBorders>
        <w:tblLook w:val="04A0"/>
      </w:tblPr>
      <w:tblGrid>
        <w:gridCol w:w="1668"/>
        <w:gridCol w:w="1984"/>
        <w:gridCol w:w="2126"/>
        <w:gridCol w:w="2127"/>
      </w:tblGrid>
      <w:tr w:rsidR="00137EBD" w:rsidRPr="00C57412" w:rsidTr="00243429">
        <w:trPr>
          <w:jc w:val="center"/>
        </w:trPr>
        <w:tc>
          <w:tcPr>
            <w:tcW w:w="1668" w:type="dxa"/>
            <w:vAlign w:val="center"/>
          </w:tcPr>
          <w:p w:rsidR="00137EBD" w:rsidRPr="00C57412" w:rsidRDefault="00137EBD" w:rsidP="004C629D">
            <w:pPr>
              <w:rPr>
                <w:lang w:val="en-US"/>
              </w:rPr>
            </w:pPr>
            <w:r w:rsidRPr="00C57412">
              <w:rPr>
                <w:lang w:val="en-US"/>
              </w:rPr>
              <w:t>cocrystal</w:t>
            </w:r>
          </w:p>
        </w:tc>
        <w:tc>
          <w:tcPr>
            <w:tcW w:w="1984" w:type="dxa"/>
            <w:vAlign w:val="center"/>
          </w:tcPr>
          <w:p w:rsidR="00137EBD" w:rsidRPr="00C57412" w:rsidRDefault="00A46AD0" w:rsidP="004C629D">
            <w:pPr>
              <w:spacing w:after="0"/>
              <w:rPr>
                <w:lang w:val="en-US"/>
              </w:rPr>
            </w:pPr>
            <m:oMath>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stab</m:t>
                  </m:r>
                </m:sup>
              </m:sSup>
            </m:oMath>
            <w:r w:rsidR="00137EBD" w:rsidRPr="00C57412">
              <w:rPr>
                <w:rFonts w:eastAsiaTheme="minorEastAsia"/>
                <w:lang w:val="en-US"/>
              </w:rPr>
              <w:t xml:space="preserve"> [kJ/mol]</w:t>
            </w:r>
          </w:p>
        </w:tc>
        <w:tc>
          <w:tcPr>
            <w:tcW w:w="2126" w:type="dxa"/>
            <w:vAlign w:val="center"/>
          </w:tcPr>
          <w:p w:rsidR="00137EBD" w:rsidRPr="00C57412" w:rsidRDefault="00A46AD0" w:rsidP="004C629D">
            <w:pP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inter</m:t>
                  </m:r>
                </m:sup>
              </m:sSup>
            </m:oMath>
            <w:r w:rsidR="00137EBD" w:rsidRPr="00C57412">
              <w:rPr>
                <w:rFonts w:eastAsiaTheme="minorEastAsia"/>
                <w:lang w:val="en-US"/>
              </w:rPr>
              <w:t xml:space="preserve"> [kJ/mol]</w:t>
            </w:r>
          </w:p>
        </w:tc>
        <w:tc>
          <w:tcPr>
            <w:tcW w:w="2127" w:type="dxa"/>
            <w:vAlign w:val="center"/>
          </w:tcPr>
          <w:p w:rsidR="00137EBD" w:rsidRPr="00C57412" w:rsidRDefault="00A46AD0" w:rsidP="004C629D">
            <w:pP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intra</m:t>
                  </m:r>
                </m:sup>
              </m:sSup>
            </m:oMath>
            <w:r w:rsidR="00137EBD" w:rsidRPr="00C57412">
              <w:rPr>
                <w:rFonts w:eastAsiaTheme="minorEastAsia"/>
                <w:lang w:val="en-US"/>
              </w:rPr>
              <w:t xml:space="preserve"> [kJ/mol]</w:t>
            </w:r>
          </w:p>
        </w:tc>
      </w:tr>
      <w:tr w:rsidR="00137EBD" w:rsidRPr="00C57412" w:rsidTr="00243429">
        <w:trPr>
          <w:jc w:val="center"/>
        </w:trPr>
        <w:tc>
          <w:tcPr>
            <w:tcW w:w="1668" w:type="dxa"/>
            <w:vAlign w:val="center"/>
          </w:tcPr>
          <w:p w:rsidR="00137EBD" w:rsidRPr="00C57412" w:rsidRDefault="00137EBD" w:rsidP="004C629D">
            <w:pPr>
              <w:rPr>
                <w:lang w:val="en-US"/>
              </w:rPr>
            </w:pPr>
            <w:r w:rsidRPr="00C57412">
              <w:rPr>
                <w:lang w:val="en-US"/>
              </w:rPr>
              <w:t>APR:RES</w:t>
            </w:r>
          </w:p>
          <w:p w:rsidR="00137EBD" w:rsidRPr="00C57412" w:rsidRDefault="00137EBD" w:rsidP="004C629D">
            <w:pPr>
              <w:rPr>
                <w:lang w:val="en-US"/>
              </w:rPr>
            </w:pPr>
            <w:r w:rsidRPr="00C57412">
              <w:rPr>
                <w:lang w:val="en-US"/>
              </w:rPr>
              <w:t>APR:HQU</w:t>
            </w:r>
          </w:p>
          <w:p w:rsidR="00137EBD" w:rsidRPr="00C57412" w:rsidRDefault="00137EBD" w:rsidP="004C629D">
            <w:pPr>
              <w:rPr>
                <w:lang w:val="en-US"/>
              </w:rPr>
            </w:pPr>
            <w:r w:rsidRPr="00C57412">
              <w:rPr>
                <w:lang w:val="en-US"/>
              </w:rPr>
              <w:t>APR:IMI</w:t>
            </w:r>
          </w:p>
          <w:p w:rsidR="00137EBD" w:rsidRPr="00C57412" w:rsidRDefault="00137EBD" w:rsidP="004C629D">
            <w:pPr>
              <w:rPr>
                <w:lang w:val="en-US"/>
              </w:rPr>
            </w:pPr>
            <w:r w:rsidRPr="00C57412">
              <w:rPr>
                <w:lang w:val="en-US"/>
              </w:rPr>
              <w:t>APR:PIC</w:t>
            </w:r>
          </w:p>
        </w:tc>
        <w:tc>
          <w:tcPr>
            <w:tcW w:w="1984" w:type="dxa"/>
            <w:vAlign w:val="center"/>
          </w:tcPr>
          <w:p w:rsidR="00137EBD" w:rsidRPr="00C57412" w:rsidRDefault="00137EBD" w:rsidP="004C629D">
            <w:pPr>
              <w:rPr>
                <w:lang w:val="en-US"/>
              </w:rPr>
            </w:pPr>
            <w:r w:rsidRPr="00C57412">
              <w:rPr>
                <w:lang w:val="en-US"/>
              </w:rPr>
              <w:t>+3.14</w:t>
            </w:r>
          </w:p>
          <w:p w:rsidR="00137EBD" w:rsidRPr="00C57412" w:rsidRDefault="00137EBD" w:rsidP="004C629D">
            <w:pPr>
              <w:rPr>
                <w:lang w:val="en-US"/>
              </w:rPr>
            </w:pPr>
            <w:r w:rsidRPr="00C57412">
              <w:rPr>
                <w:lang w:val="en-US"/>
              </w:rPr>
              <w:t>+17.00</w:t>
            </w:r>
          </w:p>
          <w:p w:rsidR="00137EBD" w:rsidRPr="00C57412" w:rsidRDefault="00137EBD" w:rsidP="004C629D">
            <w:pPr>
              <w:rPr>
                <w:lang w:val="en-US"/>
              </w:rPr>
            </w:pPr>
            <w:r w:rsidRPr="00C57412">
              <w:rPr>
                <w:lang w:val="en-US"/>
              </w:rPr>
              <w:t>+16.79</w:t>
            </w:r>
          </w:p>
          <w:p w:rsidR="00137EBD" w:rsidRPr="00C57412" w:rsidRDefault="00137EBD" w:rsidP="004C629D">
            <w:pPr>
              <w:rPr>
                <w:lang w:val="en-US"/>
              </w:rPr>
            </w:pPr>
            <w:r w:rsidRPr="00C57412">
              <w:rPr>
                <w:lang w:val="en-US"/>
              </w:rPr>
              <w:t>+6.15</w:t>
            </w:r>
          </w:p>
        </w:tc>
        <w:tc>
          <w:tcPr>
            <w:tcW w:w="2126" w:type="dxa"/>
            <w:vAlign w:val="center"/>
          </w:tcPr>
          <w:p w:rsidR="00137EBD" w:rsidRPr="00C57412" w:rsidRDefault="00137EBD" w:rsidP="004C629D">
            <w:pPr>
              <w:rPr>
                <w:lang w:val="en-US"/>
              </w:rPr>
            </w:pPr>
            <w:r w:rsidRPr="00C57412">
              <w:rPr>
                <w:lang w:val="en-US"/>
              </w:rPr>
              <w:t>-13.37</w:t>
            </w:r>
          </w:p>
          <w:p w:rsidR="00137EBD" w:rsidRPr="00C57412" w:rsidRDefault="00137EBD" w:rsidP="004C629D">
            <w:pPr>
              <w:rPr>
                <w:lang w:val="en-US"/>
              </w:rPr>
            </w:pPr>
            <w:r w:rsidRPr="00C57412">
              <w:rPr>
                <w:lang w:val="en-US"/>
              </w:rPr>
              <w:t>-1.72</w:t>
            </w:r>
          </w:p>
          <w:p w:rsidR="00137EBD" w:rsidRPr="00C57412" w:rsidRDefault="00137EBD" w:rsidP="004C629D">
            <w:pPr>
              <w:rPr>
                <w:lang w:val="en-US"/>
              </w:rPr>
            </w:pPr>
            <w:r w:rsidRPr="00C57412">
              <w:rPr>
                <w:lang w:val="en-US"/>
              </w:rPr>
              <w:t>-0.66</w:t>
            </w:r>
          </w:p>
          <w:p w:rsidR="00137EBD" w:rsidRPr="00C57412" w:rsidRDefault="00137EBD" w:rsidP="004C629D">
            <w:pPr>
              <w:rPr>
                <w:lang w:val="en-US"/>
              </w:rPr>
            </w:pPr>
            <w:r w:rsidRPr="00C57412">
              <w:rPr>
                <w:lang w:val="en-US"/>
              </w:rPr>
              <w:t>-9.54</w:t>
            </w:r>
          </w:p>
        </w:tc>
        <w:tc>
          <w:tcPr>
            <w:tcW w:w="2127" w:type="dxa"/>
            <w:vAlign w:val="center"/>
          </w:tcPr>
          <w:p w:rsidR="00137EBD" w:rsidRPr="00C57412" w:rsidRDefault="00137EBD" w:rsidP="004C629D">
            <w:pPr>
              <w:rPr>
                <w:lang w:val="en-US"/>
              </w:rPr>
            </w:pPr>
            <w:r w:rsidRPr="00C57412">
              <w:rPr>
                <w:lang w:val="en-US"/>
              </w:rPr>
              <w:t>+16.51</w:t>
            </w:r>
          </w:p>
          <w:p w:rsidR="00137EBD" w:rsidRPr="00C57412" w:rsidRDefault="00137EBD" w:rsidP="004C629D">
            <w:pPr>
              <w:rPr>
                <w:lang w:val="en-US"/>
              </w:rPr>
            </w:pPr>
            <w:r w:rsidRPr="00C57412">
              <w:rPr>
                <w:lang w:val="en-US"/>
              </w:rPr>
              <w:t>+18.37</w:t>
            </w:r>
          </w:p>
          <w:p w:rsidR="00137EBD" w:rsidRPr="00C57412" w:rsidRDefault="00137EBD" w:rsidP="004C629D">
            <w:pPr>
              <w:rPr>
                <w:lang w:val="en-US"/>
              </w:rPr>
            </w:pPr>
            <w:r w:rsidRPr="00C57412">
              <w:rPr>
                <w:lang w:val="en-US"/>
              </w:rPr>
              <w:t>+17.44</w:t>
            </w:r>
          </w:p>
          <w:p w:rsidR="00137EBD" w:rsidRPr="00C57412" w:rsidRDefault="00137EBD" w:rsidP="004C629D">
            <w:pPr>
              <w:rPr>
                <w:lang w:val="en-US"/>
              </w:rPr>
            </w:pPr>
            <w:r w:rsidRPr="00C57412">
              <w:rPr>
                <w:lang w:val="en-US"/>
              </w:rPr>
              <w:t>+15.73</w:t>
            </w:r>
          </w:p>
        </w:tc>
      </w:tr>
    </w:tbl>
    <w:p w:rsidR="00137EBD" w:rsidRPr="00C57412" w:rsidRDefault="00137EBD" w:rsidP="00137EBD">
      <w:pPr>
        <w:spacing w:line="240" w:lineRule="auto"/>
        <w:jc w:val="both"/>
        <w:rPr>
          <w:sz w:val="20"/>
          <w:szCs w:val="20"/>
          <w:lang w:val="en-US"/>
        </w:rPr>
      </w:pPr>
      <w:r w:rsidRPr="00C57412">
        <w:rPr>
          <w:lang w:val="en-US"/>
        </w:rPr>
        <w:t>*</w:t>
      </w:r>
      <w:r w:rsidRPr="00C57412">
        <w:rPr>
          <w:sz w:val="20"/>
          <w:szCs w:val="20"/>
          <w:lang w:val="en-US"/>
        </w:rPr>
        <w:t xml:space="preserve">Note, that </w:t>
      </w:r>
      <m:oMath>
        <m:sSup>
          <m:sSupPr>
            <m:ctrlPr>
              <w:rPr>
                <w:rFonts w:ascii="Cambria Math" w:hAnsi="Cambria Math"/>
                <w:i/>
                <w:sz w:val="20"/>
                <w:szCs w:val="20"/>
                <w:lang w:val="en-US"/>
              </w:rPr>
            </m:ctrlPr>
          </m:sSupPr>
          <m:e>
            <m:r>
              <w:rPr>
                <w:rFonts w:ascii="Cambria Math" w:hAnsi="Cambria Math"/>
                <w:sz w:val="20"/>
                <w:szCs w:val="20"/>
                <w:lang w:val="en-US"/>
              </w:rPr>
              <m:t>E</m:t>
            </m:r>
          </m:e>
          <m:sup>
            <m:r>
              <w:rPr>
                <w:rFonts w:ascii="Cambria Math" w:hAnsi="Cambria Math"/>
                <w:sz w:val="20"/>
                <w:szCs w:val="20"/>
                <w:lang w:val="en-US"/>
              </w:rPr>
              <m:t>stab</m:t>
            </m:r>
          </m:sup>
        </m:sSup>
      </m:oMath>
      <w:r w:rsidRPr="00C57412">
        <w:rPr>
          <w:rFonts w:eastAsiaTheme="minorEastAsia"/>
          <w:sz w:val="20"/>
          <w:szCs w:val="20"/>
          <w:lang w:val="en-US"/>
        </w:rPr>
        <w:t xml:space="preserve"> and </w:t>
      </w:r>
      <m:oMath>
        <m:sSup>
          <m:sSupPr>
            <m:ctrlPr>
              <w:rPr>
                <w:rFonts w:ascii="Cambria Math" w:hAnsi="Cambria Math"/>
                <w:i/>
                <w:sz w:val="20"/>
                <w:szCs w:val="20"/>
                <w:lang w:val="en-US"/>
              </w:rPr>
            </m:ctrlPr>
          </m:sSupPr>
          <m:e>
            <m:r>
              <w:rPr>
                <w:rFonts w:ascii="Cambria Math" w:hAnsi="Cambria Math"/>
                <w:sz w:val="20"/>
                <w:szCs w:val="20"/>
                <w:lang w:val="en-US"/>
              </w:rPr>
              <m:t>∆</m:t>
            </m:r>
          </m:e>
          <m:sup>
            <m:r>
              <w:rPr>
                <w:rFonts w:ascii="Cambria Math" w:hAnsi="Cambria Math"/>
                <w:sz w:val="20"/>
                <w:szCs w:val="20"/>
                <w:lang w:val="en-US"/>
              </w:rPr>
              <m:t>inter</m:t>
            </m:r>
          </m:sup>
        </m:sSup>
        <m:r>
          <w:rPr>
            <w:rFonts w:ascii="Cambria Math" w:hAnsi="Cambria Math"/>
            <w:sz w:val="20"/>
            <w:szCs w:val="20"/>
            <w:lang w:val="en-US"/>
          </w:rPr>
          <m:t xml:space="preserve">,  </m:t>
        </m:r>
        <m:sSup>
          <m:sSupPr>
            <m:ctrlPr>
              <w:rPr>
                <w:rFonts w:ascii="Cambria Math" w:hAnsi="Cambria Math"/>
                <w:i/>
                <w:sz w:val="20"/>
                <w:szCs w:val="20"/>
                <w:lang w:val="en-US"/>
              </w:rPr>
            </m:ctrlPr>
          </m:sSupPr>
          <m:e>
            <m:r>
              <w:rPr>
                <w:rFonts w:ascii="Cambria Math" w:hAnsi="Cambria Math"/>
                <w:sz w:val="20"/>
                <w:szCs w:val="20"/>
                <w:lang w:val="en-US"/>
              </w:rPr>
              <m:t>∆</m:t>
            </m:r>
          </m:e>
          <m:sup>
            <m:r>
              <w:rPr>
                <w:rFonts w:ascii="Cambria Math" w:hAnsi="Cambria Math"/>
                <w:sz w:val="20"/>
                <w:szCs w:val="20"/>
                <w:lang w:val="en-US"/>
              </w:rPr>
              <m:t>intra</m:t>
            </m:r>
          </m:sup>
        </m:sSup>
      </m:oMath>
      <w:r w:rsidRPr="00C57412">
        <w:rPr>
          <w:rFonts w:eastAsiaTheme="minorEastAsia"/>
          <w:sz w:val="20"/>
          <w:szCs w:val="20"/>
          <w:lang w:val="en-US"/>
        </w:rPr>
        <w:t xml:space="preserve"> values were calculated separately, according to equations (1-3), and as a result the two latter values add up to </w:t>
      </w:r>
      <m:oMath>
        <m:sSup>
          <m:sSupPr>
            <m:ctrlPr>
              <w:rPr>
                <w:rFonts w:ascii="Cambria Math" w:hAnsi="Cambria Math"/>
                <w:i/>
                <w:sz w:val="20"/>
                <w:szCs w:val="20"/>
                <w:lang w:val="en-US"/>
              </w:rPr>
            </m:ctrlPr>
          </m:sSupPr>
          <m:e>
            <m:r>
              <w:rPr>
                <w:rFonts w:ascii="Cambria Math" w:hAnsi="Cambria Math"/>
                <w:sz w:val="20"/>
                <w:szCs w:val="20"/>
                <w:lang w:val="en-US"/>
              </w:rPr>
              <m:t>E</m:t>
            </m:r>
          </m:e>
          <m:sup>
            <m:r>
              <w:rPr>
                <w:rFonts w:ascii="Cambria Math" w:hAnsi="Cambria Math"/>
                <w:sz w:val="20"/>
                <w:szCs w:val="20"/>
                <w:lang w:val="en-US"/>
              </w:rPr>
              <m:t>stab</m:t>
            </m:r>
          </m:sup>
        </m:sSup>
      </m:oMath>
      <w:r w:rsidRPr="00C57412">
        <w:rPr>
          <w:rFonts w:eastAsiaTheme="minorEastAsia"/>
          <w:sz w:val="20"/>
          <w:szCs w:val="20"/>
          <w:lang w:val="en-US"/>
        </w:rPr>
        <w:t xml:space="preserve"> only within the limits of computational errors.</w:t>
      </w:r>
      <w:r w:rsidR="001F65A1" w:rsidRPr="00C57412">
        <w:rPr>
          <w:rFonts w:eastAsiaTheme="minorEastAsia"/>
          <w:sz w:val="20"/>
          <w:szCs w:val="20"/>
          <w:lang w:val="en-US"/>
        </w:rPr>
        <w:t xml:space="preserve"> Note also, that int</w:t>
      </w:r>
      <w:r w:rsidR="003D6778" w:rsidRPr="00C57412">
        <w:rPr>
          <w:rFonts w:eastAsiaTheme="minorEastAsia"/>
          <w:sz w:val="20"/>
          <w:szCs w:val="20"/>
          <w:lang w:val="en-US"/>
        </w:rPr>
        <w:t>ra</w:t>
      </w:r>
      <w:r w:rsidR="00CD5F6C" w:rsidRPr="00C57412">
        <w:rPr>
          <w:rFonts w:eastAsiaTheme="minorEastAsia"/>
          <w:sz w:val="20"/>
          <w:szCs w:val="20"/>
          <w:lang w:val="en-US"/>
        </w:rPr>
        <w:t>molecular contributions from co</w:t>
      </w:r>
      <w:r w:rsidR="001F65A1" w:rsidRPr="00C57412">
        <w:rPr>
          <w:rFonts w:eastAsiaTheme="minorEastAsia"/>
          <w:sz w:val="20"/>
          <w:szCs w:val="20"/>
          <w:lang w:val="en-US"/>
        </w:rPr>
        <w:t>formers were neglected.</w:t>
      </w:r>
      <w:r w:rsidRPr="00C57412">
        <w:rPr>
          <w:rFonts w:eastAsiaTheme="minorEastAsia"/>
          <w:sz w:val="20"/>
          <w:szCs w:val="20"/>
          <w:lang w:val="en-US"/>
        </w:rPr>
        <w:t xml:space="preserve">  </w:t>
      </w:r>
    </w:p>
    <w:p w:rsidR="00137EBD" w:rsidRPr="00C57412" w:rsidRDefault="00137EBD" w:rsidP="00137EBD">
      <w:pPr>
        <w:ind w:firstLine="567"/>
        <w:jc w:val="both"/>
        <w:rPr>
          <w:lang w:val="en-US"/>
        </w:rPr>
      </w:pPr>
    </w:p>
    <w:p w:rsidR="00D02C6C" w:rsidRPr="00C57412" w:rsidRDefault="00EE7C14" w:rsidP="00B07B1F">
      <w:pPr>
        <w:spacing w:after="0"/>
        <w:ind w:firstLine="567"/>
        <w:jc w:val="both"/>
        <w:rPr>
          <w:lang w:val="en-US"/>
        </w:rPr>
      </w:pPr>
      <w:r w:rsidRPr="00C57412">
        <w:rPr>
          <w:lang w:val="en-US"/>
        </w:rPr>
        <w:t xml:space="preserve">To gain a deeper understanding of the intermolecular energy contribution of the APR cocrystals, the energetics of aromatic – aromatic and HB interactions were evaluated (Table </w:t>
      </w:r>
      <w:r w:rsidR="00DB5453" w:rsidRPr="00C57412">
        <w:rPr>
          <w:lang w:val="en-US"/>
        </w:rPr>
        <w:t>4</w:t>
      </w:r>
      <w:r w:rsidRPr="00C57412">
        <w:rPr>
          <w:lang w:val="en-US"/>
        </w:rPr>
        <w:t xml:space="preserve">). </w:t>
      </w:r>
      <w:r w:rsidR="0017384C" w:rsidRPr="00C57412">
        <w:rPr>
          <w:lang w:val="en-US"/>
        </w:rPr>
        <w:t>As can be seen</w:t>
      </w:r>
      <w:r w:rsidR="00930443" w:rsidRPr="00C57412">
        <w:rPr>
          <w:lang w:val="en-US"/>
        </w:rPr>
        <w:t xml:space="preserve">, the </w:t>
      </w:r>
      <w:r w:rsidR="003D6778" w:rsidRPr="00C57412">
        <w:rPr>
          <w:lang w:val="en-US"/>
        </w:rPr>
        <w:t>energetic</w:t>
      </w:r>
      <w:r w:rsidR="0017384C" w:rsidRPr="00C57412">
        <w:rPr>
          <w:lang w:val="en-US"/>
        </w:rPr>
        <w:t xml:space="preserve"> contributions </w:t>
      </w:r>
      <w:r w:rsidRPr="00C57412">
        <w:rPr>
          <w:lang w:val="en-US"/>
        </w:rPr>
        <w:t xml:space="preserve">of aromatic – aromatic interactions are equal to </w:t>
      </w:r>
      <w:r w:rsidRPr="00C57412">
        <w:rPr>
          <w:lang w:val="en-US"/>
        </w:rPr>
        <w:lastRenderedPageBreak/>
        <w:t xml:space="preserve">50 – 60 kJ/mol (per crystallographic asymmetric </w:t>
      </w:r>
      <w:r w:rsidR="00535900" w:rsidRPr="00C57412">
        <w:rPr>
          <w:lang w:val="en-US"/>
        </w:rPr>
        <w:t xml:space="preserve">part of the </w:t>
      </w:r>
      <w:r w:rsidRPr="00C57412">
        <w:rPr>
          <w:lang w:val="en-US"/>
        </w:rPr>
        <w:t>unit</w:t>
      </w:r>
      <w:r w:rsidR="00535900" w:rsidRPr="00C57412">
        <w:rPr>
          <w:lang w:val="en-US"/>
        </w:rPr>
        <w:t xml:space="preserve"> cell</w:t>
      </w:r>
      <w:r w:rsidRPr="00C57412">
        <w:rPr>
          <w:lang w:val="en-US"/>
        </w:rPr>
        <w:t xml:space="preserve"> of a cocrystal), which is comparable</w:t>
      </w:r>
      <w:r w:rsidR="0017384C" w:rsidRPr="00C57412">
        <w:rPr>
          <w:lang w:val="en-US"/>
        </w:rPr>
        <w:t xml:space="preserve"> to the </w:t>
      </w:r>
      <w:r w:rsidR="003D6778" w:rsidRPr="00C57412">
        <w:rPr>
          <w:lang w:val="en-US"/>
        </w:rPr>
        <w:t xml:space="preserve">stabilization </w:t>
      </w:r>
      <w:r w:rsidR="0017384C" w:rsidRPr="00C57412">
        <w:rPr>
          <w:lang w:val="en-US"/>
        </w:rPr>
        <w:t>energy</w:t>
      </w:r>
      <w:r w:rsidR="00930443" w:rsidRPr="00C57412">
        <w:rPr>
          <w:lang w:val="en-US"/>
        </w:rPr>
        <w:t xml:space="preserve"> typically found for strong hydrogen bonds</w:t>
      </w:r>
      <w:r w:rsidR="00563623" w:rsidRPr="00C57412">
        <w:rPr>
          <w:lang w:val="en-US"/>
        </w:rPr>
        <w:t xml:space="preserve">. </w:t>
      </w:r>
      <w:r w:rsidR="003D6778" w:rsidRPr="00C57412">
        <w:rPr>
          <w:lang w:val="en-US"/>
        </w:rPr>
        <w:t>It is noteworthy that</w:t>
      </w:r>
      <w:r w:rsidR="00930443" w:rsidRPr="00C57412">
        <w:rPr>
          <w:lang w:val="en-US"/>
        </w:rPr>
        <w:t xml:space="preserve"> t</w:t>
      </w:r>
      <w:r w:rsidRPr="00C57412">
        <w:rPr>
          <w:lang w:val="en-US"/>
        </w:rPr>
        <w:t>hese</w:t>
      </w:r>
      <w:r w:rsidR="006150AA" w:rsidRPr="00C57412">
        <w:rPr>
          <w:lang w:val="en-US"/>
        </w:rPr>
        <w:t xml:space="preserve"> interaction</w:t>
      </w:r>
      <w:r w:rsidR="00563623" w:rsidRPr="00C57412">
        <w:rPr>
          <w:lang w:val="en-US"/>
        </w:rPr>
        <w:t xml:space="preserve"> energies are slightly </w:t>
      </w:r>
      <w:r w:rsidR="00B07B1F" w:rsidRPr="00C57412">
        <w:rPr>
          <w:lang w:val="en-US"/>
        </w:rPr>
        <w:t>stronger</w:t>
      </w:r>
      <w:r w:rsidR="00563623" w:rsidRPr="00C57412">
        <w:rPr>
          <w:lang w:val="en-US"/>
        </w:rPr>
        <w:t xml:space="preserve"> for </w:t>
      </w:r>
      <w:r w:rsidR="003D6778" w:rsidRPr="00C57412">
        <w:rPr>
          <w:lang w:val="en-US"/>
        </w:rPr>
        <w:t xml:space="preserve">the </w:t>
      </w:r>
      <w:r w:rsidR="00563623" w:rsidRPr="00C57412">
        <w:rPr>
          <w:lang w:val="en-US"/>
        </w:rPr>
        <w:t>APR:RES and APR:HQU systems, whi</w:t>
      </w:r>
      <w:r w:rsidRPr="00C57412">
        <w:rPr>
          <w:lang w:val="en-US"/>
        </w:rPr>
        <w:t xml:space="preserve">ch reflects </w:t>
      </w:r>
      <w:r w:rsidR="00B07B1F" w:rsidRPr="00C57412">
        <w:rPr>
          <w:lang w:val="en-US"/>
        </w:rPr>
        <w:t>their lower</w:t>
      </w:r>
      <w:r w:rsidR="006150AA" w:rsidRPr="00C57412">
        <w:rPr>
          <w:lang w:val="en-US"/>
        </w:rPr>
        <w:t xml:space="preserve"> </w:t>
      </w:r>
      <w:r w:rsidR="003D6778" w:rsidRPr="00C57412">
        <w:rPr>
          <w:lang w:val="en-US"/>
        </w:rPr>
        <w:t>electrostatic potentials</w:t>
      </w:r>
      <w:r w:rsidR="00563623" w:rsidRPr="00C57412">
        <w:rPr>
          <w:lang w:val="en-US"/>
        </w:rPr>
        <w:t xml:space="preserve"> found </w:t>
      </w:r>
      <w:r w:rsidR="003D6778" w:rsidRPr="00C57412">
        <w:rPr>
          <w:lang w:val="en-US"/>
        </w:rPr>
        <w:t>on</w:t>
      </w:r>
      <w:r w:rsidR="00563623" w:rsidRPr="00C57412">
        <w:rPr>
          <w:lang w:val="en-US"/>
        </w:rPr>
        <w:t xml:space="preserve"> their MEP surfaces</w:t>
      </w:r>
      <w:r w:rsidR="00B07B1F" w:rsidRPr="00C57412">
        <w:rPr>
          <w:lang w:val="en-US"/>
        </w:rPr>
        <w:t>, in comparison to the values found for APR:IMI and APR:PIC systems</w:t>
      </w:r>
      <w:r w:rsidR="00563623" w:rsidRPr="00C57412">
        <w:rPr>
          <w:lang w:val="en-US"/>
        </w:rPr>
        <w:t>.</w:t>
      </w:r>
      <w:r w:rsidR="00930443" w:rsidRPr="00C57412">
        <w:rPr>
          <w:color w:val="FF0000"/>
          <w:lang w:val="en-US"/>
        </w:rPr>
        <w:t xml:space="preserve"> </w:t>
      </w:r>
      <w:r w:rsidR="00B07B1F" w:rsidRPr="00C57412">
        <w:rPr>
          <w:lang w:val="en-US"/>
        </w:rPr>
        <w:t>T</w:t>
      </w:r>
      <w:r w:rsidR="00930443" w:rsidRPr="00C57412">
        <w:rPr>
          <w:lang w:val="en-US"/>
        </w:rPr>
        <w:t>he energy contribution</w:t>
      </w:r>
      <w:r w:rsidR="0017384C" w:rsidRPr="00C57412">
        <w:rPr>
          <w:lang w:val="en-US"/>
        </w:rPr>
        <w:t>s</w:t>
      </w:r>
      <w:r w:rsidR="00930443" w:rsidRPr="00C57412">
        <w:rPr>
          <w:lang w:val="en-US"/>
        </w:rPr>
        <w:t xml:space="preserve"> </w:t>
      </w:r>
      <w:r w:rsidR="0017384C" w:rsidRPr="00C57412">
        <w:rPr>
          <w:lang w:val="en-US"/>
        </w:rPr>
        <w:t>from</w:t>
      </w:r>
      <w:r w:rsidR="00930443" w:rsidRPr="00C57412">
        <w:rPr>
          <w:lang w:val="en-US"/>
        </w:rPr>
        <w:t xml:space="preserve"> the hydrogen bonds formed between APR and coformers</w:t>
      </w:r>
      <w:r w:rsidR="0017384C" w:rsidRPr="00C57412">
        <w:rPr>
          <w:lang w:val="en-US"/>
        </w:rPr>
        <w:t>, excluding the interactions</w:t>
      </w:r>
      <w:r w:rsidR="00B07B1F" w:rsidRPr="00C57412">
        <w:rPr>
          <w:lang w:val="en-US"/>
        </w:rPr>
        <w:t xml:space="preserve"> ‘inside’ the coformer (</w:t>
      </w:r>
      <w:r w:rsidR="00B07B1F" w:rsidRPr="00C57412">
        <w:rPr>
          <w:i/>
          <w:lang w:val="en-US"/>
        </w:rPr>
        <w:t>i.e.</w:t>
      </w:r>
      <w:r w:rsidR="0017384C" w:rsidRPr="00C57412">
        <w:rPr>
          <w:lang w:val="en-US"/>
        </w:rPr>
        <w:t xml:space="preserve"> between water molecule and an aromatic entity</w:t>
      </w:r>
      <w:r w:rsidR="00B07B1F" w:rsidRPr="00C57412">
        <w:rPr>
          <w:lang w:val="en-US"/>
        </w:rPr>
        <w:t xml:space="preserve"> of a coformer)</w:t>
      </w:r>
      <w:r w:rsidR="0017384C" w:rsidRPr="00C57412">
        <w:rPr>
          <w:lang w:val="en-US"/>
        </w:rPr>
        <w:t>,</w:t>
      </w:r>
      <w:r w:rsidR="00930443" w:rsidRPr="00C57412">
        <w:rPr>
          <w:lang w:val="en-US"/>
        </w:rPr>
        <w:t xml:space="preserve"> </w:t>
      </w:r>
      <w:r w:rsidR="0017384C" w:rsidRPr="00C57412">
        <w:rPr>
          <w:lang w:val="en-US"/>
        </w:rPr>
        <w:t xml:space="preserve">are </w:t>
      </w:r>
      <w:r w:rsidR="003D6778" w:rsidRPr="00C57412">
        <w:rPr>
          <w:lang w:val="en-US"/>
        </w:rPr>
        <w:t>half as large</w:t>
      </w:r>
      <w:r w:rsidR="0017384C" w:rsidRPr="00C57412">
        <w:rPr>
          <w:lang w:val="en-US"/>
        </w:rPr>
        <w:t xml:space="preserve"> (as calculated per crystallographic asymmetric </w:t>
      </w:r>
      <w:r w:rsidR="00535900" w:rsidRPr="00C57412">
        <w:rPr>
          <w:lang w:val="en-US"/>
        </w:rPr>
        <w:t xml:space="preserve">part of the </w:t>
      </w:r>
      <w:r w:rsidR="0017384C" w:rsidRPr="00C57412">
        <w:rPr>
          <w:lang w:val="en-US"/>
        </w:rPr>
        <w:t xml:space="preserve">unit cell), but become comparable to the Ar – Ar </w:t>
      </w:r>
      <w:r w:rsidR="006A30CE" w:rsidRPr="00C57412">
        <w:rPr>
          <w:lang w:val="en-US"/>
        </w:rPr>
        <w:t>contribution</w:t>
      </w:r>
      <w:r w:rsidR="00B07B1F" w:rsidRPr="00C57412">
        <w:rPr>
          <w:lang w:val="en-US"/>
        </w:rPr>
        <w:t>s</w:t>
      </w:r>
      <w:r w:rsidR="006A30CE" w:rsidRPr="00C57412">
        <w:rPr>
          <w:lang w:val="en-US"/>
        </w:rPr>
        <w:t xml:space="preserve"> </w:t>
      </w:r>
      <w:r w:rsidR="0017384C" w:rsidRPr="00C57412">
        <w:rPr>
          <w:lang w:val="en-US"/>
        </w:rPr>
        <w:t xml:space="preserve">after including </w:t>
      </w:r>
      <w:r w:rsidR="006A30CE" w:rsidRPr="00C57412">
        <w:rPr>
          <w:lang w:val="en-US"/>
        </w:rPr>
        <w:t xml:space="preserve">HB </w:t>
      </w:r>
      <w:r w:rsidR="0017384C" w:rsidRPr="00C57412">
        <w:rPr>
          <w:lang w:val="en-US"/>
        </w:rPr>
        <w:t>interactions with</w:t>
      </w:r>
      <w:r w:rsidR="006A30CE" w:rsidRPr="00C57412">
        <w:rPr>
          <w:lang w:val="en-US"/>
        </w:rPr>
        <w:t>in the coformers</w:t>
      </w:r>
      <w:r w:rsidR="00930443" w:rsidRPr="00C57412">
        <w:rPr>
          <w:lang w:val="en-US"/>
        </w:rPr>
        <w:t xml:space="preserve">. </w:t>
      </w:r>
      <w:r w:rsidR="00B07B1F" w:rsidRPr="00C57412">
        <w:rPr>
          <w:lang w:val="en-US"/>
        </w:rPr>
        <w:t>It should be noted, however, that t</w:t>
      </w:r>
      <w:r w:rsidR="006A30CE" w:rsidRPr="00C57412">
        <w:rPr>
          <w:lang w:val="en-US"/>
        </w:rPr>
        <w:t>he</w:t>
      </w:r>
      <w:r w:rsidR="00B07B1F" w:rsidRPr="00C57412">
        <w:rPr>
          <w:lang w:val="en-US"/>
        </w:rPr>
        <w:t>se</w:t>
      </w:r>
      <w:r w:rsidR="006A30CE" w:rsidRPr="00C57412">
        <w:rPr>
          <w:lang w:val="en-US"/>
        </w:rPr>
        <w:t xml:space="preserve"> </w:t>
      </w:r>
      <w:r w:rsidR="00B07B1F" w:rsidRPr="00C57412">
        <w:rPr>
          <w:lang w:val="en-US"/>
        </w:rPr>
        <w:t xml:space="preserve">two </w:t>
      </w:r>
      <w:r w:rsidR="006A30CE" w:rsidRPr="00C57412">
        <w:rPr>
          <w:lang w:val="en-US"/>
        </w:rPr>
        <w:t xml:space="preserve">calculated </w:t>
      </w:r>
      <w:r w:rsidR="00B07B1F" w:rsidRPr="00C57412">
        <w:rPr>
          <w:lang w:val="en-US"/>
        </w:rPr>
        <w:t>contributions to the</w:t>
      </w:r>
      <w:r w:rsidR="006150AA" w:rsidRPr="00C57412">
        <w:rPr>
          <w:lang w:val="en-US"/>
        </w:rPr>
        <w:t xml:space="preserve"> overall intermolecular energy</w:t>
      </w:r>
      <w:r w:rsidR="00B07B1F" w:rsidRPr="00C57412">
        <w:rPr>
          <w:lang w:val="en-US"/>
        </w:rPr>
        <w:t xml:space="preserve"> constitute </w:t>
      </w:r>
      <w:r w:rsidR="006150AA" w:rsidRPr="00C57412">
        <w:rPr>
          <w:lang w:val="en-US"/>
        </w:rPr>
        <w:t xml:space="preserve">in all cases </w:t>
      </w:r>
      <w:r w:rsidR="004C7505" w:rsidRPr="00C57412">
        <w:rPr>
          <w:lang w:val="en-US"/>
        </w:rPr>
        <w:t xml:space="preserve">only </w:t>
      </w:r>
      <w:r w:rsidR="00C65694" w:rsidRPr="00C57412">
        <w:rPr>
          <w:lang w:val="en-US"/>
        </w:rPr>
        <w:t>one</w:t>
      </w:r>
      <w:r w:rsidR="00B07B1F" w:rsidRPr="00C57412">
        <w:rPr>
          <w:lang w:val="en-US"/>
        </w:rPr>
        <w:t xml:space="preserve"> third of </w:t>
      </w:r>
      <w:r w:rsidR="003D6778" w:rsidRPr="00C57412">
        <w:rPr>
          <w:lang w:val="en-US"/>
        </w:rPr>
        <w:t>the total lattice energy</w:t>
      </w:r>
      <w:r w:rsidR="00B07B1F" w:rsidRPr="00C57412">
        <w:rPr>
          <w:lang w:val="en-US"/>
        </w:rPr>
        <w:t>. Therefore,</w:t>
      </w:r>
      <w:r w:rsidR="00930443" w:rsidRPr="00C57412">
        <w:rPr>
          <w:lang w:val="en-US"/>
        </w:rPr>
        <w:t xml:space="preserve"> apart from </w:t>
      </w:r>
      <w:r w:rsidR="00B07B1F" w:rsidRPr="00C57412">
        <w:rPr>
          <w:lang w:val="en-US"/>
        </w:rPr>
        <w:t xml:space="preserve">these </w:t>
      </w:r>
      <w:r w:rsidR="003D6778" w:rsidRPr="00C57412">
        <w:rPr>
          <w:lang w:val="en-US"/>
        </w:rPr>
        <w:t>obvious</w:t>
      </w:r>
      <w:r w:rsidR="00930443" w:rsidRPr="00C57412">
        <w:rPr>
          <w:lang w:val="en-US"/>
        </w:rPr>
        <w:t xml:space="preserve"> intermolecular interactions, </w:t>
      </w:r>
      <w:r w:rsidR="004650BB" w:rsidRPr="00C57412">
        <w:rPr>
          <w:lang w:val="en-US"/>
        </w:rPr>
        <w:t>the</w:t>
      </w:r>
      <w:r w:rsidR="00930443" w:rsidRPr="00C57412">
        <w:rPr>
          <w:lang w:val="en-US"/>
        </w:rPr>
        <w:t xml:space="preserve"> sum of the energy contributions </w:t>
      </w:r>
      <w:r w:rsidR="006150AA" w:rsidRPr="00C57412">
        <w:rPr>
          <w:lang w:val="en-US"/>
        </w:rPr>
        <w:t>from</w:t>
      </w:r>
      <w:r w:rsidR="00930443" w:rsidRPr="00C57412">
        <w:rPr>
          <w:lang w:val="en-US"/>
        </w:rPr>
        <w:t xml:space="preserve"> weaker interactions, such as CH</w:t>
      </w:r>
      <w:r w:rsidR="00930443" w:rsidRPr="00C57412">
        <w:rPr>
          <w:vertAlign w:val="subscript"/>
          <w:lang w:val="en-US"/>
        </w:rPr>
        <w:t>3</w:t>
      </w:r>
      <w:r w:rsidR="00930443" w:rsidRPr="00C57412">
        <w:rPr>
          <w:lang w:val="en-US"/>
        </w:rPr>
        <w:t>- or A</w:t>
      </w:r>
      <w:r w:rsidR="004650BB" w:rsidRPr="00C57412">
        <w:rPr>
          <w:lang w:val="en-US"/>
        </w:rPr>
        <w:t>r</w:t>
      </w:r>
      <w:r w:rsidR="00B07B1F" w:rsidRPr="00C57412">
        <w:rPr>
          <w:lang w:val="en-US"/>
        </w:rPr>
        <w:t>-H</w:t>
      </w:r>
      <w:r w:rsidR="00930443" w:rsidRPr="00C57412">
        <w:rPr>
          <w:lang w:val="en-US"/>
        </w:rPr>
        <w:t xml:space="preserve"> with SO</w:t>
      </w:r>
      <w:r w:rsidR="00930443" w:rsidRPr="00C57412">
        <w:rPr>
          <w:vertAlign w:val="subscript"/>
          <w:lang w:val="en-US"/>
        </w:rPr>
        <w:t>2</w:t>
      </w:r>
      <w:r w:rsidR="006A30CE" w:rsidRPr="00C57412">
        <w:rPr>
          <w:lang w:val="en-US"/>
        </w:rPr>
        <w:t xml:space="preserve">, C=O </w:t>
      </w:r>
      <w:r w:rsidR="00930443" w:rsidRPr="00C57412">
        <w:rPr>
          <w:lang w:val="en-US"/>
        </w:rPr>
        <w:t xml:space="preserve">or </w:t>
      </w:r>
      <w:r w:rsidR="004650BB" w:rsidRPr="00C57412">
        <w:rPr>
          <w:lang w:val="en-US"/>
        </w:rPr>
        <w:t>OMe/OEt</w:t>
      </w:r>
      <w:r w:rsidR="00930443" w:rsidRPr="00C57412">
        <w:rPr>
          <w:lang w:val="en-US"/>
        </w:rPr>
        <w:t xml:space="preserve"> oxygen</w:t>
      </w:r>
      <w:r w:rsidR="004C7505" w:rsidRPr="00C57412">
        <w:rPr>
          <w:lang w:val="en-US"/>
        </w:rPr>
        <w:t xml:space="preserve"> atom</w:t>
      </w:r>
      <w:r w:rsidR="00930443" w:rsidRPr="00C57412">
        <w:rPr>
          <w:lang w:val="en-US"/>
        </w:rPr>
        <w:t>s</w:t>
      </w:r>
      <w:r w:rsidR="00B07B1F" w:rsidRPr="00C57412">
        <w:rPr>
          <w:lang w:val="en-US"/>
        </w:rPr>
        <w:t>, ha</w:t>
      </w:r>
      <w:r w:rsidR="00BC0625" w:rsidRPr="00C57412">
        <w:rPr>
          <w:lang w:val="en-US"/>
        </w:rPr>
        <w:t>s</w:t>
      </w:r>
      <w:r w:rsidR="00B07B1F" w:rsidRPr="00C57412">
        <w:rPr>
          <w:lang w:val="en-US"/>
        </w:rPr>
        <w:t xml:space="preserve"> to</w:t>
      </w:r>
      <w:r w:rsidR="004650BB" w:rsidRPr="00C57412">
        <w:rPr>
          <w:lang w:val="en-US"/>
        </w:rPr>
        <w:t xml:space="preserve"> play an important role in the </w:t>
      </w:r>
      <w:r w:rsidR="003D6778" w:rsidRPr="00C57412">
        <w:rPr>
          <w:lang w:val="en-US"/>
        </w:rPr>
        <w:t xml:space="preserve">stabilization of the </w:t>
      </w:r>
      <w:r w:rsidR="004650BB" w:rsidRPr="00C57412">
        <w:rPr>
          <w:lang w:val="en-US"/>
        </w:rPr>
        <w:t xml:space="preserve">cocrystals. Obviously, such a sum would be very difficult to calculate, but it can be estimated by subtracting the sum of the energy contribution of </w:t>
      </w:r>
      <w:r w:rsidR="00B07B1F" w:rsidRPr="00C57412">
        <w:rPr>
          <w:lang w:val="en-US"/>
        </w:rPr>
        <w:t xml:space="preserve">the </w:t>
      </w:r>
      <w:r w:rsidR="004650BB" w:rsidRPr="00C57412">
        <w:rPr>
          <w:lang w:val="en-US"/>
        </w:rPr>
        <w:t>aromatic – aromatic and hydrogen bonds interactions from the overall intermolecular energies of the cocrystals.</w:t>
      </w:r>
      <w:r w:rsidR="00B07B1F" w:rsidRPr="00C57412">
        <w:rPr>
          <w:lang w:val="en-US"/>
        </w:rPr>
        <w:t xml:space="preserve"> The obtained values, denoted as E</w:t>
      </w:r>
      <w:r w:rsidR="00B07B1F" w:rsidRPr="00C57412">
        <w:rPr>
          <w:vertAlign w:val="superscript"/>
          <w:lang w:val="en-US"/>
        </w:rPr>
        <w:t>other</w:t>
      </w:r>
      <w:r w:rsidR="00B07B1F" w:rsidRPr="00C57412">
        <w:rPr>
          <w:lang w:val="en-US"/>
        </w:rPr>
        <w:t xml:space="preserve">, are included in Table </w:t>
      </w:r>
      <w:r w:rsidR="00DB5453" w:rsidRPr="00C57412">
        <w:rPr>
          <w:lang w:val="en-US"/>
        </w:rPr>
        <w:t>4</w:t>
      </w:r>
      <w:r w:rsidR="00E92B00" w:rsidRPr="00C57412">
        <w:rPr>
          <w:lang w:val="en-US"/>
        </w:rPr>
        <w:t>. The obtain values indicate that together CH</w:t>
      </w:r>
      <w:r w:rsidR="00E92B00" w:rsidRPr="00C57412">
        <w:rPr>
          <w:rFonts w:eastAsia="Times New Roman" w:cs="Times New Roman"/>
          <w:szCs w:val="24"/>
          <w:lang w:val="en-US" w:eastAsia="pl-PL"/>
        </w:rPr>
        <w:t>∙∙∙O</w:t>
      </w:r>
      <w:r w:rsidR="004650BB" w:rsidRPr="00C57412">
        <w:rPr>
          <w:lang w:val="en-US"/>
        </w:rPr>
        <w:t xml:space="preserve"> </w:t>
      </w:r>
      <w:r w:rsidR="00E92B00" w:rsidRPr="00C57412">
        <w:rPr>
          <w:lang w:val="en-US"/>
        </w:rPr>
        <w:t xml:space="preserve">short contacts give the highest energy contribution to the lattice energy of the studied cocrystals.  </w:t>
      </w:r>
      <w:r w:rsidR="004650BB" w:rsidRPr="00C57412">
        <w:rPr>
          <w:lang w:val="en-US"/>
        </w:rPr>
        <w:t xml:space="preserve">  </w:t>
      </w:r>
    </w:p>
    <w:p w:rsidR="002F2969" w:rsidRPr="00C57412" w:rsidRDefault="002F2969" w:rsidP="008152A4">
      <w:pPr>
        <w:ind w:firstLine="567"/>
        <w:jc w:val="both"/>
        <w:rPr>
          <w:lang w:val="en-US"/>
        </w:rPr>
      </w:pPr>
    </w:p>
    <w:p w:rsidR="00D02C6C" w:rsidRPr="00C57412" w:rsidRDefault="00835ACC" w:rsidP="00DB5453">
      <w:pPr>
        <w:spacing w:line="240" w:lineRule="auto"/>
        <w:jc w:val="both"/>
        <w:rPr>
          <w:lang w:val="en-US"/>
        </w:rPr>
      </w:pPr>
      <w:r w:rsidRPr="00C57412">
        <w:rPr>
          <w:b/>
          <w:lang w:val="en-US"/>
        </w:rPr>
        <w:t xml:space="preserve">Table </w:t>
      </w:r>
      <w:r w:rsidR="00DB5453" w:rsidRPr="00C57412">
        <w:rPr>
          <w:b/>
          <w:lang w:val="en-US"/>
        </w:rPr>
        <w:t>4</w:t>
      </w:r>
      <w:r w:rsidRPr="00C57412">
        <w:rPr>
          <w:b/>
          <w:lang w:val="en-US"/>
        </w:rPr>
        <w:t>.</w:t>
      </w:r>
      <w:r w:rsidRPr="00C57412">
        <w:rPr>
          <w:lang w:val="en-US"/>
        </w:rPr>
        <w:t xml:space="preserve"> Energy contributions of intermolecular interactions found in APR cocrystals: aromatic – aromatic interactions (Ar-Ar), hydrogen bonds between APR and a coformer (HB_APR)</w:t>
      </w:r>
      <w:r w:rsidR="002F2969" w:rsidRPr="00C57412">
        <w:rPr>
          <w:lang w:val="en-US"/>
        </w:rPr>
        <w:t xml:space="preserve">, hydrogen bonds “inside” a coformer, </w:t>
      </w:r>
      <w:r w:rsidR="002F2969" w:rsidRPr="00C57412">
        <w:rPr>
          <w:i/>
          <w:lang w:val="en-US"/>
        </w:rPr>
        <w:t>i.e.</w:t>
      </w:r>
      <w:r w:rsidR="002F2969" w:rsidRPr="00C57412">
        <w:rPr>
          <w:lang w:val="en-US"/>
        </w:rPr>
        <w:t xml:space="preserve"> between water and an aromatic entity (HB_coformer). E</w:t>
      </w:r>
      <w:r w:rsidR="002F2969" w:rsidRPr="00C57412">
        <w:rPr>
          <w:vertAlign w:val="superscript"/>
          <w:lang w:val="en-US"/>
        </w:rPr>
        <w:t>inter</w:t>
      </w:r>
      <w:r w:rsidRPr="00C57412">
        <w:rPr>
          <w:lang w:val="en-US"/>
        </w:rPr>
        <w:t xml:space="preserve"> </w:t>
      </w:r>
      <w:r w:rsidR="002F2969" w:rsidRPr="00C57412">
        <w:rPr>
          <w:lang w:val="en-US"/>
        </w:rPr>
        <w:t>denotes total intermolecular energy for each of the cocrystals, whereas E</w:t>
      </w:r>
      <w:r w:rsidR="002F2969" w:rsidRPr="00C57412">
        <w:rPr>
          <w:vertAlign w:val="superscript"/>
          <w:lang w:val="en-US"/>
        </w:rPr>
        <w:t>other</w:t>
      </w:r>
      <w:r w:rsidR="002F2969" w:rsidRPr="00C57412">
        <w:rPr>
          <w:lang w:val="en-US"/>
        </w:rPr>
        <w:t xml:space="preserve"> is the difference between E</w:t>
      </w:r>
      <w:r w:rsidR="002F2969" w:rsidRPr="00C57412">
        <w:rPr>
          <w:vertAlign w:val="superscript"/>
          <w:lang w:val="en-US"/>
        </w:rPr>
        <w:t>inter</w:t>
      </w:r>
      <w:r w:rsidR="002F2969" w:rsidRPr="00C57412">
        <w:rPr>
          <w:lang w:val="en-US"/>
        </w:rPr>
        <w:t xml:space="preserve"> and the sum of E</w:t>
      </w:r>
      <w:r w:rsidR="002F2969" w:rsidRPr="00C57412">
        <w:rPr>
          <w:vertAlign w:val="superscript"/>
          <w:lang w:val="en-US"/>
        </w:rPr>
        <w:t>Ar-Ar</w:t>
      </w:r>
      <w:r w:rsidR="002F2969" w:rsidRPr="00C57412">
        <w:rPr>
          <w:lang w:val="en-US"/>
        </w:rPr>
        <w:t>, E</w:t>
      </w:r>
      <w:r w:rsidR="002F2969" w:rsidRPr="00C57412">
        <w:rPr>
          <w:vertAlign w:val="superscript"/>
          <w:lang w:val="en-US"/>
        </w:rPr>
        <w:t>HB_APR</w:t>
      </w:r>
      <w:r w:rsidR="002F2969" w:rsidRPr="00C57412">
        <w:rPr>
          <w:lang w:val="en-US"/>
        </w:rPr>
        <w:t xml:space="preserve"> and E</w:t>
      </w:r>
      <w:r w:rsidR="002F2969" w:rsidRPr="00C57412">
        <w:rPr>
          <w:vertAlign w:val="superscript"/>
          <w:lang w:val="en-US"/>
        </w:rPr>
        <w:t>HB_coformer</w:t>
      </w:r>
      <w:r w:rsidR="002F2969" w:rsidRPr="00C57412">
        <w:rPr>
          <w:lang w:val="en-US"/>
        </w:rPr>
        <w:t xml:space="preserve">. </w:t>
      </w:r>
      <w:r w:rsidR="00DB5453" w:rsidRPr="00C57412">
        <w:rPr>
          <w:lang w:val="en-US"/>
        </w:rPr>
        <w:t>All energy values are given in kJ/mol.</w:t>
      </w:r>
    </w:p>
    <w:tbl>
      <w:tblPr>
        <w:tblStyle w:val="Tabela-Siatka"/>
        <w:tblW w:w="0" w:type="auto"/>
        <w:tblBorders>
          <w:left w:val="none" w:sz="0" w:space="0" w:color="auto"/>
          <w:right w:val="none" w:sz="0" w:space="0" w:color="auto"/>
          <w:insideV w:val="none" w:sz="0" w:space="0" w:color="auto"/>
        </w:tblBorders>
        <w:tblLook w:val="04A0"/>
      </w:tblPr>
      <w:tblGrid>
        <w:gridCol w:w="1242"/>
        <w:gridCol w:w="1276"/>
        <w:gridCol w:w="1701"/>
        <w:gridCol w:w="1559"/>
        <w:gridCol w:w="1560"/>
        <w:gridCol w:w="1842"/>
      </w:tblGrid>
      <w:tr w:rsidR="002F2969" w:rsidRPr="00C57412" w:rsidTr="002F2969">
        <w:tc>
          <w:tcPr>
            <w:tcW w:w="1242" w:type="dxa"/>
            <w:vAlign w:val="center"/>
          </w:tcPr>
          <w:p w:rsidR="00835ACC" w:rsidRPr="00C57412" w:rsidRDefault="00835ACC" w:rsidP="002F2969">
            <w:pPr>
              <w:spacing w:before="60" w:after="0"/>
              <w:rPr>
                <w:lang w:val="en-US"/>
              </w:rPr>
            </w:pPr>
            <w:r w:rsidRPr="00C57412">
              <w:rPr>
                <w:lang w:val="en-US"/>
              </w:rPr>
              <w:t>Cocrystal</w:t>
            </w:r>
          </w:p>
        </w:tc>
        <w:tc>
          <w:tcPr>
            <w:tcW w:w="1276" w:type="dxa"/>
            <w:vAlign w:val="center"/>
          </w:tcPr>
          <w:p w:rsidR="00835ACC" w:rsidRPr="00C57412" w:rsidRDefault="002F2969" w:rsidP="002F2969">
            <w:pPr>
              <w:spacing w:before="60" w:after="0"/>
              <w:rPr>
                <w:lang w:val="en-US"/>
              </w:rPr>
            </w:pPr>
            <w:r w:rsidRPr="00C57412">
              <w:rPr>
                <w:lang w:val="en-US"/>
              </w:rPr>
              <w:t>E</w:t>
            </w:r>
            <w:r w:rsidR="00835ACC" w:rsidRPr="00C57412">
              <w:rPr>
                <w:vertAlign w:val="superscript"/>
                <w:lang w:val="en-US"/>
              </w:rPr>
              <w:t>Ar-Ar</w:t>
            </w:r>
          </w:p>
        </w:tc>
        <w:tc>
          <w:tcPr>
            <w:tcW w:w="1701" w:type="dxa"/>
            <w:vAlign w:val="center"/>
          </w:tcPr>
          <w:p w:rsidR="00835ACC" w:rsidRPr="00C57412" w:rsidRDefault="002F2969" w:rsidP="002F2969">
            <w:pPr>
              <w:spacing w:before="60" w:after="0"/>
              <w:rPr>
                <w:lang w:val="en-US"/>
              </w:rPr>
            </w:pPr>
            <w:r w:rsidRPr="00C57412">
              <w:rPr>
                <w:lang w:val="en-US"/>
              </w:rPr>
              <w:t>E</w:t>
            </w:r>
            <w:r w:rsidR="00835ACC" w:rsidRPr="00C57412">
              <w:rPr>
                <w:vertAlign w:val="superscript"/>
                <w:lang w:val="en-US"/>
              </w:rPr>
              <w:t>HB_APR</w:t>
            </w:r>
          </w:p>
        </w:tc>
        <w:tc>
          <w:tcPr>
            <w:tcW w:w="1559" w:type="dxa"/>
            <w:vAlign w:val="center"/>
          </w:tcPr>
          <w:p w:rsidR="00835ACC" w:rsidRPr="00C57412" w:rsidRDefault="002F2969" w:rsidP="002F2969">
            <w:pPr>
              <w:spacing w:before="60" w:after="0"/>
              <w:rPr>
                <w:lang w:val="en-US"/>
              </w:rPr>
            </w:pPr>
            <w:r w:rsidRPr="00C57412">
              <w:rPr>
                <w:lang w:val="en-US"/>
              </w:rPr>
              <w:t>E</w:t>
            </w:r>
            <w:r w:rsidR="00835ACC" w:rsidRPr="00C57412">
              <w:rPr>
                <w:vertAlign w:val="superscript"/>
                <w:lang w:val="en-US"/>
              </w:rPr>
              <w:t>HB_coformer</w:t>
            </w:r>
            <w:r w:rsidR="00835ACC" w:rsidRPr="00C57412">
              <w:rPr>
                <w:lang w:val="en-US"/>
              </w:rPr>
              <w:t xml:space="preserve"> </w:t>
            </w:r>
          </w:p>
        </w:tc>
        <w:tc>
          <w:tcPr>
            <w:tcW w:w="1560" w:type="dxa"/>
            <w:vAlign w:val="center"/>
          </w:tcPr>
          <w:p w:rsidR="00835ACC" w:rsidRPr="00C57412" w:rsidRDefault="00835ACC" w:rsidP="002F2969">
            <w:pPr>
              <w:spacing w:before="60" w:after="0"/>
              <w:rPr>
                <w:lang w:val="en-US"/>
              </w:rPr>
            </w:pPr>
            <w:r w:rsidRPr="00C57412">
              <w:rPr>
                <w:lang w:val="en-US"/>
              </w:rPr>
              <w:t>E</w:t>
            </w:r>
            <w:r w:rsidRPr="00C57412">
              <w:rPr>
                <w:vertAlign w:val="superscript"/>
                <w:lang w:val="en-US"/>
              </w:rPr>
              <w:t>inter</w:t>
            </w:r>
          </w:p>
        </w:tc>
        <w:tc>
          <w:tcPr>
            <w:tcW w:w="1842" w:type="dxa"/>
            <w:vAlign w:val="center"/>
          </w:tcPr>
          <w:p w:rsidR="00835ACC" w:rsidRPr="00C57412" w:rsidRDefault="00835ACC" w:rsidP="002F2969">
            <w:pPr>
              <w:spacing w:before="60" w:after="0"/>
              <w:rPr>
                <w:lang w:val="en-US"/>
              </w:rPr>
            </w:pPr>
            <w:r w:rsidRPr="00C57412">
              <w:rPr>
                <w:lang w:val="en-US"/>
              </w:rPr>
              <w:t>E</w:t>
            </w:r>
            <w:r w:rsidRPr="00C57412">
              <w:rPr>
                <w:vertAlign w:val="superscript"/>
                <w:lang w:val="en-US"/>
              </w:rPr>
              <w:t>other</w:t>
            </w:r>
          </w:p>
        </w:tc>
      </w:tr>
      <w:tr w:rsidR="002F2969" w:rsidRPr="00C57412" w:rsidTr="00835ACC">
        <w:tc>
          <w:tcPr>
            <w:tcW w:w="1242" w:type="dxa"/>
          </w:tcPr>
          <w:p w:rsidR="00835ACC" w:rsidRPr="00C57412" w:rsidRDefault="00835ACC" w:rsidP="006A30CE">
            <w:pPr>
              <w:spacing w:before="60" w:after="60"/>
              <w:rPr>
                <w:lang w:val="en-US"/>
              </w:rPr>
            </w:pPr>
            <w:r w:rsidRPr="00C57412">
              <w:rPr>
                <w:lang w:val="en-US"/>
              </w:rPr>
              <w:t>APR:RES</w:t>
            </w:r>
          </w:p>
          <w:p w:rsidR="00835ACC" w:rsidRPr="00C57412" w:rsidRDefault="00835ACC" w:rsidP="006A30CE">
            <w:pPr>
              <w:spacing w:before="60" w:after="60"/>
              <w:rPr>
                <w:lang w:val="en-US"/>
              </w:rPr>
            </w:pPr>
            <w:r w:rsidRPr="00C57412">
              <w:rPr>
                <w:lang w:val="en-US"/>
              </w:rPr>
              <w:t>APR:HQU</w:t>
            </w:r>
          </w:p>
          <w:p w:rsidR="00835ACC" w:rsidRPr="00C57412" w:rsidRDefault="00835ACC" w:rsidP="006A30CE">
            <w:pPr>
              <w:spacing w:before="60" w:after="60"/>
              <w:rPr>
                <w:lang w:val="en-US"/>
              </w:rPr>
            </w:pPr>
            <w:r w:rsidRPr="00C57412">
              <w:rPr>
                <w:lang w:val="en-US"/>
              </w:rPr>
              <w:t>APR:IMI</w:t>
            </w:r>
          </w:p>
          <w:p w:rsidR="00835ACC" w:rsidRPr="00C57412" w:rsidRDefault="00835ACC" w:rsidP="006A30CE">
            <w:pPr>
              <w:spacing w:before="60" w:after="60"/>
              <w:jc w:val="both"/>
              <w:rPr>
                <w:lang w:val="en-US"/>
              </w:rPr>
            </w:pPr>
            <w:r w:rsidRPr="00C57412">
              <w:rPr>
                <w:lang w:val="en-US"/>
              </w:rPr>
              <w:t>APR:PIC</w:t>
            </w:r>
          </w:p>
        </w:tc>
        <w:tc>
          <w:tcPr>
            <w:tcW w:w="1276" w:type="dxa"/>
          </w:tcPr>
          <w:p w:rsidR="00835ACC" w:rsidRPr="00C57412" w:rsidRDefault="00835ACC" w:rsidP="006A30CE">
            <w:pPr>
              <w:spacing w:before="60" w:after="60"/>
              <w:jc w:val="both"/>
              <w:rPr>
                <w:lang w:val="en-US"/>
              </w:rPr>
            </w:pPr>
            <w:r w:rsidRPr="00C57412">
              <w:rPr>
                <w:lang w:val="en-US"/>
              </w:rPr>
              <w:t>-62</w:t>
            </w:r>
          </w:p>
          <w:p w:rsidR="00835ACC" w:rsidRPr="00C57412" w:rsidRDefault="00835ACC" w:rsidP="006A30CE">
            <w:pPr>
              <w:spacing w:before="60" w:after="60"/>
              <w:jc w:val="both"/>
              <w:rPr>
                <w:lang w:val="en-US"/>
              </w:rPr>
            </w:pPr>
            <w:r w:rsidRPr="00C57412">
              <w:rPr>
                <w:lang w:val="en-US"/>
              </w:rPr>
              <w:t>-58</w:t>
            </w:r>
          </w:p>
          <w:p w:rsidR="00835ACC" w:rsidRPr="00C57412" w:rsidRDefault="00835ACC" w:rsidP="006A30CE">
            <w:pPr>
              <w:spacing w:before="60" w:after="60"/>
              <w:jc w:val="both"/>
              <w:rPr>
                <w:lang w:val="en-US"/>
              </w:rPr>
            </w:pPr>
            <w:r w:rsidRPr="00C57412">
              <w:rPr>
                <w:lang w:val="en-US"/>
              </w:rPr>
              <w:t>-48</w:t>
            </w:r>
          </w:p>
          <w:p w:rsidR="00835ACC" w:rsidRPr="00C57412" w:rsidRDefault="00835ACC" w:rsidP="006A30CE">
            <w:pPr>
              <w:spacing w:before="60" w:after="60"/>
              <w:jc w:val="both"/>
              <w:rPr>
                <w:lang w:val="en-US"/>
              </w:rPr>
            </w:pPr>
            <w:r w:rsidRPr="00C57412">
              <w:rPr>
                <w:lang w:val="en-US"/>
              </w:rPr>
              <w:t>-49</w:t>
            </w:r>
          </w:p>
        </w:tc>
        <w:tc>
          <w:tcPr>
            <w:tcW w:w="1701" w:type="dxa"/>
          </w:tcPr>
          <w:p w:rsidR="00835ACC" w:rsidRPr="00C57412" w:rsidRDefault="00835ACC" w:rsidP="006A30CE">
            <w:pPr>
              <w:spacing w:before="60" w:after="60"/>
              <w:jc w:val="both"/>
              <w:rPr>
                <w:lang w:val="en-US"/>
              </w:rPr>
            </w:pPr>
            <w:r w:rsidRPr="00C57412">
              <w:rPr>
                <w:lang w:val="en-US"/>
              </w:rPr>
              <w:t>-</w:t>
            </w:r>
            <w:r w:rsidR="0017384C" w:rsidRPr="00C57412">
              <w:rPr>
                <w:lang w:val="en-US"/>
              </w:rPr>
              <w:t>28</w:t>
            </w:r>
          </w:p>
          <w:p w:rsidR="00835ACC" w:rsidRPr="00C57412" w:rsidRDefault="0017384C" w:rsidP="006A30CE">
            <w:pPr>
              <w:spacing w:before="60" w:after="60"/>
              <w:jc w:val="both"/>
              <w:rPr>
                <w:lang w:val="en-US"/>
              </w:rPr>
            </w:pPr>
            <w:r w:rsidRPr="00C57412">
              <w:rPr>
                <w:lang w:val="en-US"/>
              </w:rPr>
              <w:t>-39</w:t>
            </w:r>
          </w:p>
          <w:p w:rsidR="00835ACC" w:rsidRPr="00C57412" w:rsidRDefault="0017384C" w:rsidP="006A30CE">
            <w:pPr>
              <w:spacing w:before="60" w:after="60"/>
              <w:jc w:val="both"/>
              <w:rPr>
                <w:lang w:val="en-US"/>
              </w:rPr>
            </w:pPr>
            <w:r w:rsidRPr="00C57412">
              <w:rPr>
                <w:lang w:val="en-US"/>
              </w:rPr>
              <w:t>-27</w:t>
            </w:r>
          </w:p>
          <w:p w:rsidR="00835ACC" w:rsidRPr="00C57412" w:rsidRDefault="00835ACC" w:rsidP="006A30CE">
            <w:pPr>
              <w:spacing w:before="60" w:after="60"/>
              <w:jc w:val="both"/>
              <w:rPr>
                <w:lang w:val="en-US"/>
              </w:rPr>
            </w:pPr>
            <w:r w:rsidRPr="00C57412">
              <w:rPr>
                <w:lang w:val="en-US"/>
              </w:rPr>
              <w:t>-</w:t>
            </w:r>
          </w:p>
        </w:tc>
        <w:tc>
          <w:tcPr>
            <w:tcW w:w="1559" w:type="dxa"/>
          </w:tcPr>
          <w:p w:rsidR="00835ACC" w:rsidRPr="00C57412" w:rsidRDefault="00835ACC" w:rsidP="006A30CE">
            <w:pPr>
              <w:spacing w:before="60" w:after="60"/>
              <w:jc w:val="both"/>
              <w:rPr>
                <w:lang w:val="en-US"/>
              </w:rPr>
            </w:pPr>
            <w:r w:rsidRPr="00C57412">
              <w:rPr>
                <w:lang w:val="en-US"/>
              </w:rPr>
              <w:t>-</w:t>
            </w:r>
            <w:r w:rsidR="0017384C" w:rsidRPr="00C57412">
              <w:rPr>
                <w:lang w:val="en-US"/>
              </w:rPr>
              <w:t>23</w:t>
            </w:r>
          </w:p>
          <w:p w:rsidR="00835ACC" w:rsidRPr="00C57412" w:rsidRDefault="00835ACC" w:rsidP="006A30CE">
            <w:pPr>
              <w:spacing w:before="60" w:after="60"/>
              <w:jc w:val="both"/>
              <w:rPr>
                <w:lang w:val="en-US"/>
              </w:rPr>
            </w:pPr>
            <w:r w:rsidRPr="00C57412">
              <w:rPr>
                <w:lang w:val="en-US"/>
              </w:rPr>
              <w:t>-</w:t>
            </w:r>
            <w:r w:rsidR="0017384C" w:rsidRPr="00C57412">
              <w:rPr>
                <w:lang w:val="en-US"/>
              </w:rPr>
              <w:t>21</w:t>
            </w:r>
          </w:p>
          <w:p w:rsidR="00835ACC" w:rsidRPr="00C57412" w:rsidRDefault="0017384C" w:rsidP="006A30CE">
            <w:pPr>
              <w:spacing w:before="60" w:after="60"/>
              <w:jc w:val="both"/>
              <w:rPr>
                <w:lang w:val="en-US"/>
              </w:rPr>
            </w:pPr>
            <w:r w:rsidRPr="00C57412">
              <w:rPr>
                <w:lang w:val="en-US"/>
              </w:rPr>
              <w:t>-19</w:t>
            </w:r>
          </w:p>
          <w:p w:rsidR="00835ACC" w:rsidRPr="00C57412" w:rsidRDefault="00835ACC" w:rsidP="006A30CE">
            <w:pPr>
              <w:spacing w:before="60" w:after="60"/>
              <w:jc w:val="both"/>
              <w:rPr>
                <w:lang w:val="en-US"/>
              </w:rPr>
            </w:pPr>
            <w:r w:rsidRPr="00C57412">
              <w:rPr>
                <w:lang w:val="en-US"/>
              </w:rPr>
              <w:t>-</w:t>
            </w:r>
          </w:p>
        </w:tc>
        <w:tc>
          <w:tcPr>
            <w:tcW w:w="1560" w:type="dxa"/>
          </w:tcPr>
          <w:p w:rsidR="00835ACC" w:rsidRPr="00C57412" w:rsidRDefault="00835ACC" w:rsidP="006A30CE">
            <w:pPr>
              <w:spacing w:before="60" w:after="60"/>
              <w:jc w:val="both"/>
              <w:rPr>
                <w:lang w:val="en-US"/>
              </w:rPr>
            </w:pPr>
            <w:r w:rsidRPr="00C57412">
              <w:rPr>
                <w:lang w:val="en-US"/>
              </w:rPr>
              <w:t>-324</w:t>
            </w:r>
          </w:p>
          <w:p w:rsidR="00835ACC" w:rsidRPr="00C57412" w:rsidRDefault="00835ACC" w:rsidP="006A30CE">
            <w:pPr>
              <w:spacing w:before="60" w:after="60"/>
              <w:jc w:val="both"/>
              <w:rPr>
                <w:lang w:val="en-US"/>
              </w:rPr>
            </w:pPr>
            <w:r w:rsidRPr="00C57412">
              <w:rPr>
                <w:lang w:val="en-US"/>
              </w:rPr>
              <w:t>-314</w:t>
            </w:r>
          </w:p>
          <w:p w:rsidR="00835ACC" w:rsidRPr="00C57412" w:rsidRDefault="00835ACC" w:rsidP="006A30CE">
            <w:pPr>
              <w:spacing w:before="60" w:after="60"/>
              <w:jc w:val="both"/>
              <w:rPr>
                <w:lang w:val="en-US"/>
              </w:rPr>
            </w:pPr>
            <w:r w:rsidRPr="00C57412">
              <w:rPr>
                <w:lang w:val="en-US"/>
              </w:rPr>
              <w:t>-300</w:t>
            </w:r>
          </w:p>
          <w:p w:rsidR="00835ACC" w:rsidRPr="00C57412" w:rsidRDefault="00835ACC" w:rsidP="006A30CE">
            <w:pPr>
              <w:spacing w:before="60" w:after="60"/>
              <w:jc w:val="both"/>
              <w:rPr>
                <w:lang w:val="en-US"/>
              </w:rPr>
            </w:pPr>
            <w:r w:rsidRPr="00C57412">
              <w:rPr>
                <w:lang w:val="en-US"/>
              </w:rPr>
              <w:t>-278</w:t>
            </w:r>
          </w:p>
        </w:tc>
        <w:tc>
          <w:tcPr>
            <w:tcW w:w="1842" w:type="dxa"/>
          </w:tcPr>
          <w:p w:rsidR="00835ACC" w:rsidRPr="00C57412" w:rsidRDefault="00835ACC" w:rsidP="006A30CE">
            <w:pPr>
              <w:spacing w:before="60" w:after="60"/>
              <w:jc w:val="both"/>
              <w:rPr>
                <w:lang w:val="en-US"/>
              </w:rPr>
            </w:pPr>
            <w:r w:rsidRPr="00C57412">
              <w:rPr>
                <w:lang w:val="en-US"/>
              </w:rPr>
              <w:t>-2</w:t>
            </w:r>
            <w:r w:rsidR="006A30CE" w:rsidRPr="00C57412">
              <w:rPr>
                <w:lang w:val="en-US"/>
              </w:rPr>
              <w:t>10</w:t>
            </w:r>
          </w:p>
          <w:p w:rsidR="00835ACC" w:rsidRPr="00C57412" w:rsidRDefault="006A30CE" w:rsidP="006A30CE">
            <w:pPr>
              <w:spacing w:before="60" w:after="60"/>
              <w:jc w:val="both"/>
              <w:rPr>
                <w:lang w:val="en-US"/>
              </w:rPr>
            </w:pPr>
            <w:r w:rsidRPr="00C57412">
              <w:rPr>
                <w:lang w:val="en-US"/>
              </w:rPr>
              <w:t>-197</w:t>
            </w:r>
          </w:p>
          <w:p w:rsidR="00835ACC" w:rsidRPr="00C57412" w:rsidRDefault="006A30CE" w:rsidP="006A30CE">
            <w:pPr>
              <w:spacing w:before="60" w:after="60"/>
              <w:jc w:val="both"/>
              <w:rPr>
                <w:lang w:val="en-US"/>
              </w:rPr>
            </w:pPr>
            <w:r w:rsidRPr="00C57412">
              <w:rPr>
                <w:lang w:val="en-US"/>
              </w:rPr>
              <w:t>-206</w:t>
            </w:r>
          </w:p>
          <w:p w:rsidR="00835ACC" w:rsidRPr="00C57412" w:rsidRDefault="00835ACC" w:rsidP="006A30CE">
            <w:pPr>
              <w:spacing w:before="60" w:after="60"/>
              <w:jc w:val="both"/>
              <w:rPr>
                <w:lang w:val="en-US"/>
              </w:rPr>
            </w:pPr>
            <w:r w:rsidRPr="00C57412">
              <w:rPr>
                <w:lang w:val="en-US"/>
              </w:rPr>
              <w:t>-229</w:t>
            </w:r>
          </w:p>
        </w:tc>
      </w:tr>
    </w:tbl>
    <w:p w:rsidR="00835ACC" w:rsidRPr="00C57412" w:rsidRDefault="00835ACC" w:rsidP="00835ACC">
      <w:pPr>
        <w:jc w:val="both"/>
        <w:rPr>
          <w:lang w:val="en-US"/>
        </w:rPr>
      </w:pPr>
    </w:p>
    <w:p w:rsidR="00564DA6" w:rsidRPr="00C57412" w:rsidRDefault="00564DA6" w:rsidP="00835ACC">
      <w:pPr>
        <w:jc w:val="both"/>
        <w:rPr>
          <w:lang w:val="en-US"/>
        </w:rPr>
      </w:pPr>
    </w:p>
    <w:p w:rsidR="00564DA6" w:rsidRPr="00C57412" w:rsidRDefault="00564DA6" w:rsidP="00835ACC">
      <w:pPr>
        <w:jc w:val="both"/>
        <w:rPr>
          <w:lang w:val="en-US"/>
        </w:rPr>
      </w:pPr>
    </w:p>
    <w:p w:rsidR="00B42F8D" w:rsidRPr="00C57412" w:rsidRDefault="006150AA" w:rsidP="00B42F8D">
      <w:pPr>
        <w:rPr>
          <w:i/>
          <w:lang w:val="en-GB"/>
        </w:rPr>
      </w:pPr>
      <w:r w:rsidRPr="00C57412">
        <w:rPr>
          <w:i/>
          <w:lang w:val="en-GB"/>
        </w:rPr>
        <w:lastRenderedPageBreak/>
        <w:t>5</w:t>
      </w:r>
      <w:r w:rsidR="00B42F8D" w:rsidRPr="00C57412">
        <w:rPr>
          <w:i/>
          <w:lang w:val="en-GB"/>
        </w:rPr>
        <w:t>) Stabilizing role of disorder?</w:t>
      </w:r>
    </w:p>
    <w:p w:rsidR="00FC0B0E" w:rsidRPr="00C57412" w:rsidRDefault="00FC0B0E" w:rsidP="00B457DB">
      <w:pPr>
        <w:spacing w:after="0"/>
        <w:ind w:firstLine="567"/>
        <w:jc w:val="both"/>
        <w:rPr>
          <w:lang w:val="en-GB"/>
        </w:rPr>
      </w:pPr>
      <w:r w:rsidRPr="00C57412">
        <w:rPr>
          <w:lang w:val="en-GB"/>
        </w:rPr>
        <w:t xml:space="preserve">Though the analysis of structure and </w:t>
      </w:r>
      <w:r w:rsidR="003D6778" w:rsidRPr="00C57412">
        <w:rPr>
          <w:lang w:val="en-GB"/>
        </w:rPr>
        <w:t>energies</w:t>
      </w:r>
      <w:r w:rsidRPr="00C57412">
        <w:rPr>
          <w:lang w:val="en-GB"/>
        </w:rPr>
        <w:t xml:space="preserve"> of the studied cocrystals performed so far indicates preference </w:t>
      </w:r>
      <w:r w:rsidR="00BC0625" w:rsidRPr="00C57412">
        <w:rPr>
          <w:lang w:val="en-GB"/>
        </w:rPr>
        <w:t>for</w:t>
      </w:r>
      <w:r w:rsidRPr="00C57412">
        <w:rPr>
          <w:lang w:val="en-GB"/>
        </w:rPr>
        <w:t xml:space="preserve"> aromatic – aromatic interactions over hydrogen bonds, it does not answer the most important question: why the</w:t>
      </w:r>
      <w:r w:rsidR="00BC0625" w:rsidRPr="00C57412">
        <w:rPr>
          <w:lang w:val="en-GB"/>
        </w:rPr>
        <w:t xml:space="preserve"> cocrystals</w:t>
      </w:r>
      <w:r w:rsidRPr="00C57412">
        <w:rPr>
          <w:lang w:val="en-GB"/>
        </w:rPr>
        <w:t xml:space="preserve"> are formed at all, despite positive stabilizat</w:t>
      </w:r>
      <w:r w:rsidR="006160C0" w:rsidRPr="00C57412">
        <w:rPr>
          <w:lang w:val="en-GB"/>
        </w:rPr>
        <w:t>ion energies? An answer to this may be provided by an evaluation of the entropy contribution to the Gibbs free energy of the cocrystals. Usually</w:t>
      </w:r>
      <w:r w:rsidR="00AD715D" w:rsidRPr="00C57412">
        <w:rPr>
          <w:lang w:val="en-GB"/>
        </w:rPr>
        <w:t>, when comparing energetic stability of crystals, their free energies are</w:t>
      </w:r>
      <w:r w:rsidR="006160C0" w:rsidRPr="00C57412">
        <w:rPr>
          <w:lang w:val="en-GB"/>
        </w:rPr>
        <w:t xml:space="preserve"> approximated by </w:t>
      </w:r>
      <w:r w:rsidR="00AD715D" w:rsidRPr="00C57412">
        <w:rPr>
          <w:lang w:val="en-GB"/>
        </w:rPr>
        <w:t>their</w:t>
      </w:r>
      <w:r w:rsidR="006160C0" w:rsidRPr="00C57412">
        <w:rPr>
          <w:lang w:val="en-GB"/>
        </w:rPr>
        <w:t xml:space="preserve"> enthalp</w:t>
      </w:r>
      <w:r w:rsidR="00AD715D" w:rsidRPr="00C57412">
        <w:rPr>
          <w:lang w:val="en-GB"/>
        </w:rPr>
        <w:t>ies</w:t>
      </w:r>
      <w:r w:rsidR="006160C0" w:rs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5694" w:rsidRPr="00C57412">
        <w:rPr>
          <w:rFonts w:cs="Times New Roman"/>
          <w:i/>
          <w:lang w:val="en-GB"/>
        </w:rPr>
        <w:t>Δ</w:t>
      </w:r>
      <w:r w:rsidR="00C65694" w:rsidRPr="00C57412">
        <w:rPr>
          <w:i/>
          <w:lang w:val="en-GB"/>
        </w:rPr>
        <w:t xml:space="preserve">G = </w:t>
      </w:r>
      <w:r w:rsidR="00C65694" w:rsidRPr="00C57412">
        <w:rPr>
          <w:rFonts w:cs="Times New Roman"/>
          <w:i/>
          <w:lang w:val="en-GB"/>
        </w:rPr>
        <w:t>Δ</w:t>
      </w:r>
      <w:r w:rsidR="00C65694" w:rsidRPr="00C57412">
        <w:rPr>
          <w:i/>
          <w:lang w:val="en-GB"/>
        </w:rPr>
        <w:t>H – T</w:t>
      </w:r>
      <w:r w:rsidR="00C65694" w:rsidRPr="00C57412">
        <w:rPr>
          <w:rFonts w:cs="Times New Roman"/>
          <w:i/>
          <w:lang w:val="en-GB"/>
        </w:rPr>
        <w:t>Δ</w:t>
      </w:r>
      <w:r w:rsidR="00AD715D" w:rsidRPr="00C57412">
        <w:rPr>
          <w:i/>
          <w:lang w:val="en-GB"/>
        </w:rPr>
        <w:t>S</w:t>
      </w:r>
      <w:r w:rsidR="003D6778" w:rsidRPr="00C57412">
        <w:rPr>
          <w:lang w:val="en-GB"/>
        </w:rPr>
        <w:t>,</w:t>
      </w:r>
      <w:r w:rsidR="00AD715D" w:rsidRPr="00C57412">
        <w:rPr>
          <w:lang w:val="en-GB"/>
        </w:rPr>
        <w:t xml:space="preserve"> </w:t>
      </w:r>
      <w:r w:rsidR="006160C0" w:rsidRPr="00C57412">
        <w:rPr>
          <w:lang w:val="en-GB"/>
        </w:rPr>
        <w:t xml:space="preserve">is neglected. However, </w:t>
      </w:r>
      <w:r w:rsidR="00AD715D" w:rsidRPr="00C57412">
        <w:rPr>
          <w:lang w:val="en-GB"/>
        </w:rPr>
        <w:t>in some cases thi</w:t>
      </w:r>
      <w:r w:rsidR="006160C0" w:rsidRPr="00C57412">
        <w:rPr>
          <w:lang w:val="en-GB"/>
        </w:rPr>
        <w:t>s entropy contribution may play an important role in the stabilization of a crystal structure, especially in the crystals in which disorder is observed.</w:t>
      </w:r>
      <w:r w:rsidR="00AD715D" w:rsidRPr="00C57412">
        <w:rPr>
          <w:lang w:val="en-GB"/>
        </w:rPr>
        <w:t xml:space="preserve"> </w:t>
      </w:r>
      <w:r w:rsidR="006160C0" w:rsidRPr="00C57412">
        <w:rPr>
          <w:lang w:val="en-GB"/>
        </w:rPr>
        <w:t xml:space="preserve"> </w:t>
      </w:r>
    </w:p>
    <w:p w:rsidR="00DF069A" w:rsidRPr="00C57412" w:rsidRDefault="00FC0B0E" w:rsidP="00E72DB4">
      <w:pPr>
        <w:spacing w:after="0"/>
        <w:ind w:firstLine="567"/>
        <w:jc w:val="both"/>
        <w:rPr>
          <w:lang w:val="en-GB"/>
        </w:rPr>
      </w:pPr>
      <w:r w:rsidRPr="00C57412">
        <w:rPr>
          <w:lang w:val="en-GB"/>
        </w:rPr>
        <w:t xml:space="preserve">As mentioned </w:t>
      </w:r>
      <w:r w:rsidR="00B457DB" w:rsidRPr="00C57412">
        <w:rPr>
          <w:lang w:val="en-GB"/>
        </w:rPr>
        <w:t>before</w:t>
      </w:r>
      <w:r w:rsidRPr="00C57412">
        <w:rPr>
          <w:lang w:val="en-GB"/>
        </w:rPr>
        <w:t>, in almost all known APR cocrystals and solvates (except for dichloromethane solvate)</w:t>
      </w:r>
      <w:r w:rsidR="00CD5EA8" w:rsidRPr="00C57412">
        <w:rPr>
          <w:lang w:val="en-GB"/>
        </w:rPr>
        <w:t xml:space="preserve"> (Wu </w:t>
      </w:r>
      <w:r w:rsidR="00CD5EA8" w:rsidRPr="00C57412">
        <w:rPr>
          <w:i/>
          <w:lang w:val="en-GB"/>
        </w:rPr>
        <w:t>et al.</w:t>
      </w:r>
      <w:r w:rsidR="00CD5EA8" w:rsidRPr="00C57412">
        <w:rPr>
          <w:lang w:val="en-GB"/>
        </w:rPr>
        <w:t>, 2017b)</w:t>
      </w:r>
      <w:r w:rsidRPr="00C57412">
        <w:rPr>
          <w:lang w:val="en-GB"/>
        </w:rPr>
        <w:t xml:space="preserve">, </w:t>
      </w:r>
      <w:r w:rsidR="00B457DB" w:rsidRPr="00C57412">
        <w:rPr>
          <w:lang w:val="en-GB"/>
        </w:rPr>
        <w:t xml:space="preserve">a coformer or </w:t>
      </w:r>
      <w:r w:rsidR="002C69A0" w:rsidRPr="00C57412">
        <w:rPr>
          <w:lang w:val="en-GB"/>
        </w:rPr>
        <w:t>a solvent</w:t>
      </w:r>
      <w:r w:rsidRPr="00C57412">
        <w:rPr>
          <w:lang w:val="en-GB"/>
        </w:rPr>
        <w:t xml:space="preserve"> mol</w:t>
      </w:r>
      <w:r w:rsidR="00B457DB" w:rsidRPr="00C57412">
        <w:rPr>
          <w:lang w:val="en-GB"/>
        </w:rPr>
        <w:t>ecule is disordered</w:t>
      </w:r>
      <w:r w:rsidR="003C0857" w:rsidRPr="00C57412">
        <w:rPr>
          <w:lang w:val="en-GB"/>
        </w:rPr>
        <w:t>, even at 100 K</w:t>
      </w:r>
      <w:r w:rsidR="00B457DB" w:rsidRPr="00C57412">
        <w:rPr>
          <w:lang w:val="en-GB"/>
        </w:rPr>
        <w:t xml:space="preserve">. The nature of this disorder is twofold: first is the result of equal probability of occupying two different sites (sometimes referred to as positional or static disorder), and the second one originates from </w:t>
      </w:r>
      <w:r w:rsidR="003D6778" w:rsidRPr="00C57412">
        <w:rPr>
          <w:lang w:val="en-GB"/>
        </w:rPr>
        <w:t>vibrational</w:t>
      </w:r>
      <w:r w:rsidR="00B457DB" w:rsidRPr="00C57412">
        <w:rPr>
          <w:lang w:val="en-GB"/>
        </w:rPr>
        <w:t xml:space="preserve"> motion of coformer/solvent molecules, which can be visualized by the respective thermal ellipsoids (Figure </w:t>
      </w:r>
      <w:r w:rsidR="00DB5453" w:rsidRPr="00C57412">
        <w:rPr>
          <w:lang w:val="en-GB"/>
        </w:rPr>
        <w:t>9</w:t>
      </w:r>
      <w:r w:rsidR="00B457DB" w:rsidRPr="00C57412">
        <w:rPr>
          <w:lang w:val="en-GB"/>
        </w:rPr>
        <w:t>).</w:t>
      </w:r>
      <w:r w:rsidR="00E42A85" w:rsidRPr="00C57412">
        <w:rPr>
          <w:lang w:val="en-GB"/>
        </w:rPr>
        <w:t xml:space="preserve"> Both types of disorder may have an impact on the entropy contribution to the total energy of the studied systems.</w:t>
      </w:r>
      <w:r w:rsidR="00B457DB" w:rsidRPr="00C57412">
        <w:rPr>
          <w:lang w:val="en-GB"/>
        </w:rPr>
        <w:t xml:space="preserve"> </w:t>
      </w:r>
    </w:p>
    <w:p w:rsidR="00D32EAB" w:rsidRPr="00C57412" w:rsidRDefault="00C30141" w:rsidP="00E42A85">
      <w:pPr>
        <w:jc w:val="center"/>
      </w:pPr>
      <w:r w:rsidRPr="00C57412">
        <w:rPr>
          <w:noProof/>
          <w:lang w:eastAsia="pl-PL"/>
        </w:rPr>
        <w:drawing>
          <wp:inline distT="0" distB="0" distL="0" distR="0">
            <wp:extent cx="5210175" cy="3634205"/>
            <wp:effectExtent l="0" t="0" r="0" b="0"/>
            <wp:docPr id="19" name="Picture 19" descr="\\soton.ac.uk\ude\personalfiles\users\md1r18\mydesktop\apr\paper2_apr\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md1r18\mydesktop\apr\paper2_apr\Figure8.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093" cy="3636240"/>
                    </a:xfrm>
                    <a:prstGeom prst="rect">
                      <a:avLst/>
                    </a:prstGeom>
                    <a:noFill/>
                    <a:ln>
                      <a:noFill/>
                    </a:ln>
                  </pic:spPr>
                </pic:pic>
              </a:graphicData>
            </a:graphic>
          </wp:inline>
        </w:drawing>
      </w:r>
    </w:p>
    <w:p w:rsidR="00C30141" w:rsidRPr="00C57412" w:rsidRDefault="00C30141" w:rsidP="006150AA">
      <w:pPr>
        <w:jc w:val="both"/>
        <w:rPr>
          <w:lang w:val="en-GB"/>
        </w:rPr>
      </w:pPr>
      <w:r w:rsidRPr="00C57412">
        <w:rPr>
          <w:b/>
          <w:lang w:val="en-GB"/>
        </w:rPr>
        <w:t xml:space="preserve">Figure </w:t>
      </w:r>
      <w:r w:rsidR="00DB5453" w:rsidRPr="00C57412">
        <w:rPr>
          <w:b/>
          <w:lang w:val="en-GB"/>
        </w:rPr>
        <w:t>9</w:t>
      </w:r>
      <w:r w:rsidRPr="00C57412">
        <w:rPr>
          <w:b/>
          <w:lang w:val="en-GB"/>
        </w:rPr>
        <w:t>.</w:t>
      </w:r>
      <w:r w:rsidRPr="00C57412">
        <w:rPr>
          <w:lang w:val="en-GB"/>
        </w:rPr>
        <w:t xml:space="preserve"> Thermal ellipsoids in the s</w:t>
      </w:r>
      <w:r w:rsidR="007A003F" w:rsidRPr="00C57412">
        <w:rPr>
          <w:lang w:val="en-GB"/>
        </w:rPr>
        <w:t xml:space="preserve">tudied cocrystals, drawn at 50% </w:t>
      </w:r>
      <w:r w:rsidRPr="00C57412">
        <w:rPr>
          <w:lang w:val="en-GB"/>
        </w:rPr>
        <w:t>probability level.</w:t>
      </w:r>
    </w:p>
    <w:p w:rsidR="000E348A" w:rsidRPr="00C57412" w:rsidRDefault="000E348A" w:rsidP="000E348A">
      <w:pPr>
        <w:ind w:firstLine="567"/>
        <w:jc w:val="both"/>
        <w:rPr>
          <w:lang w:val="en-GB"/>
        </w:rPr>
      </w:pPr>
      <w:r w:rsidRPr="00C57412">
        <w:rPr>
          <w:lang w:val="en-GB"/>
        </w:rPr>
        <w:lastRenderedPageBreak/>
        <w:t>In order to estimate this entropy contribution one can directly determine Gibbs free ene</w:t>
      </w:r>
      <w:r w:rsidR="00D255E9" w:rsidRPr="00C57412">
        <w:rPr>
          <w:lang w:val="en-GB"/>
        </w:rPr>
        <w:t>rgy of formation of a cocrystal</w:t>
      </w:r>
      <w:r w:rsidRPr="00C57412">
        <w:rPr>
          <w:lang w:val="en-GB"/>
        </w:rPr>
        <w:t xml:space="preserve"> by measuring its solubility and comparing it with the solubility of physical mixture, according to the equation:</w:t>
      </w:r>
    </w:p>
    <w:p w:rsidR="000E348A" w:rsidRPr="00C57412" w:rsidRDefault="000E348A" w:rsidP="000E348A">
      <w:pPr>
        <w:jc w:val="center"/>
        <w:rPr>
          <w:rFonts w:eastAsiaTheme="minorEastAsia"/>
          <w:lang w:val="en-GB"/>
        </w:rPr>
      </w:pPr>
      <m:oMathPara>
        <m:oMath>
          <m:r>
            <w:rPr>
              <w:rFonts w:ascii="Cambria Math" w:hAnsi="Cambria Math"/>
              <w:lang w:val="en-GB"/>
            </w:rPr>
            <m:t>∆G=-RTln</m:t>
          </m:r>
          <m:d>
            <m:dPr>
              <m:ctrlPr>
                <w:rPr>
                  <w:rFonts w:ascii="Cambria Math" w:hAnsi="Cambria Math"/>
                  <w:i/>
                  <w:lang w:val="en-GB"/>
                </w:rPr>
              </m:ctrlPr>
            </m:dPr>
            <m:e>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pm</m:t>
                      </m:r>
                    </m:sup>
                  </m:sSubSup>
                </m:num>
                <m:den>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cocr</m:t>
                      </m:r>
                    </m:sup>
                  </m:sSubSup>
                </m:den>
              </m:f>
            </m:e>
          </m:d>
        </m:oMath>
      </m:oMathPara>
    </w:p>
    <w:p w:rsidR="000E348A" w:rsidRPr="00C57412" w:rsidRDefault="000E348A" w:rsidP="000E348A">
      <w:pPr>
        <w:spacing w:after="0"/>
        <w:jc w:val="both"/>
        <w:rPr>
          <w:lang w:val="en-GB"/>
        </w:rPr>
      </w:pPr>
      <w:r w:rsidRPr="00C57412">
        <w:rPr>
          <w:lang w:val="en-GB"/>
        </w:rPr>
        <w:t xml:space="preserve">where R denotes </w:t>
      </w:r>
      <w:r w:rsidR="00D255E9" w:rsidRPr="00C57412">
        <w:rPr>
          <w:lang w:val="en-GB"/>
        </w:rPr>
        <w:t xml:space="preserve">the </w:t>
      </w:r>
      <w:r w:rsidRPr="00C57412">
        <w:rPr>
          <w:lang w:val="en-GB"/>
        </w:rPr>
        <w:t xml:space="preserve">gas constant, T temperature of the measurement, while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pm</m:t>
            </m:r>
          </m:sup>
        </m:sSubSup>
      </m:oMath>
      <w:r w:rsidRPr="00C57412">
        <w:rPr>
          <w:rFonts w:eastAsiaTheme="minorEastAsia"/>
          <w:lang w:val="en-GB"/>
        </w:rPr>
        <w:t xml:space="preserve"> and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cocr</m:t>
            </m:r>
          </m:sup>
        </m:sSubSup>
      </m:oMath>
      <w:r w:rsidRPr="00C57412">
        <w:rPr>
          <w:rFonts w:eastAsiaTheme="minorEastAsia"/>
          <w:lang w:val="en-GB"/>
        </w:rPr>
        <w:t xml:space="preserve"> </w:t>
      </w:r>
      <w:r w:rsidR="00D255E9" w:rsidRPr="00C57412">
        <w:rPr>
          <w:rFonts w:eastAsiaTheme="minorEastAsia"/>
          <w:lang w:val="en-GB"/>
        </w:rPr>
        <w:t xml:space="preserve">are the </w:t>
      </w:r>
      <w:r w:rsidRPr="00C57412">
        <w:rPr>
          <w:rFonts w:eastAsiaTheme="minorEastAsia"/>
          <w:lang w:val="en-GB"/>
        </w:rPr>
        <w:t xml:space="preserve">concentration of apremilast </w:t>
      </w:r>
      <w:r w:rsidR="00D255E9" w:rsidRPr="00C57412">
        <w:rPr>
          <w:rFonts w:eastAsiaTheme="minorEastAsia"/>
          <w:lang w:val="en-GB"/>
        </w:rPr>
        <w:t>from dissolution of</w:t>
      </w:r>
      <w:r w:rsidRPr="00C57412">
        <w:rPr>
          <w:rFonts w:eastAsiaTheme="minorEastAsia"/>
          <w:lang w:val="en-GB"/>
        </w:rPr>
        <w:t xml:space="preserve"> a physical mixture and a cocrystal, respectively</w:t>
      </w:r>
      <w:r w:rsidR="00B34898" w:rsidRPr="00C57412">
        <w:rPr>
          <w:rFonts w:eastAsiaTheme="minorEastAsia"/>
          <w:lang w:val="en-GB"/>
        </w:rPr>
        <w:t xml:space="preserve"> (Zhang </w:t>
      </w:r>
      <w:r w:rsidR="00B34898" w:rsidRPr="00C57412">
        <w:rPr>
          <w:rFonts w:cs="Times New Roman"/>
          <w:i/>
          <w:lang w:val="en-US"/>
        </w:rPr>
        <w:t>et al</w:t>
      </w:r>
      <w:r w:rsidR="00B34898" w:rsidRPr="00C57412">
        <w:rPr>
          <w:rFonts w:cs="Times New Roman"/>
          <w:lang w:val="en-US"/>
        </w:rPr>
        <w:t xml:space="preserve">., 2017; Ahuja </w:t>
      </w:r>
      <w:r w:rsidR="00B34898" w:rsidRPr="00C57412">
        <w:rPr>
          <w:rFonts w:cs="Times New Roman"/>
          <w:i/>
          <w:lang w:val="en-US"/>
        </w:rPr>
        <w:t>et al</w:t>
      </w:r>
      <w:r w:rsidR="00B34898" w:rsidRPr="00C57412">
        <w:rPr>
          <w:rFonts w:cs="Times New Roman"/>
          <w:lang w:val="en-US"/>
        </w:rPr>
        <w:t>., 2019</w:t>
      </w:r>
      <w:r w:rsidR="00B34898" w:rsidRPr="00C57412">
        <w:rPr>
          <w:rFonts w:eastAsiaTheme="minorEastAsia"/>
          <w:lang w:val="en-GB"/>
        </w:rPr>
        <w:t>)</w:t>
      </w:r>
      <w:r w:rsidRPr="00C57412">
        <w:rPr>
          <w:rFonts w:eastAsiaTheme="minorEastAsia"/>
          <w:lang w:val="en-GB"/>
        </w:rPr>
        <w:t>. Since all enthalpies of formation of the studied cocrystals have positive values, negative Gibbs free energies indicate that the formation of cocrystals is indeed entropy driven. Such an experiment, however, can be easily performed only for</w:t>
      </w:r>
      <w:r w:rsidR="00D255E9" w:rsidRPr="00C57412">
        <w:rPr>
          <w:rFonts w:eastAsiaTheme="minorEastAsia"/>
          <w:lang w:val="en-GB"/>
        </w:rPr>
        <w:t xml:space="preserve"> the</w:t>
      </w:r>
      <w:r w:rsidRPr="00C57412">
        <w:rPr>
          <w:rFonts w:eastAsiaTheme="minorEastAsia"/>
          <w:lang w:val="en-GB"/>
        </w:rPr>
        <w:t xml:space="preserve"> APR:PIC cocrystal, as in all other cases there is </w:t>
      </w:r>
      <w:r w:rsidR="002C69A0" w:rsidRPr="00C57412">
        <w:rPr>
          <w:rFonts w:eastAsiaTheme="minorEastAsia"/>
          <w:lang w:val="en-GB"/>
        </w:rPr>
        <w:t xml:space="preserve">a </w:t>
      </w:r>
      <w:r w:rsidRPr="00C57412">
        <w:rPr>
          <w:rFonts w:eastAsiaTheme="minorEastAsia"/>
          <w:lang w:val="en-GB"/>
        </w:rPr>
        <w:t xml:space="preserve">water molecule present in the respective crystal structures, which is difficult to include in the solubility determination of a physical mixture, while possibly having significant influence on the experimental results. Therefore we decided to measure solubility only for </w:t>
      </w:r>
      <w:r w:rsidR="00D255E9" w:rsidRPr="00C57412">
        <w:rPr>
          <w:rFonts w:eastAsiaTheme="minorEastAsia"/>
          <w:lang w:val="en-GB"/>
        </w:rPr>
        <w:t xml:space="preserve">the </w:t>
      </w:r>
      <w:r w:rsidRPr="00C57412">
        <w:rPr>
          <w:rFonts w:eastAsiaTheme="minorEastAsia"/>
          <w:lang w:val="en-GB"/>
        </w:rPr>
        <w:t xml:space="preserve">cocrystal and physical mixture </w:t>
      </w:r>
      <w:r w:rsidR="00D255E9" w:rsidRPr="00C57412">
        <w:rPr>
          <w:rFonts w:eastAsiaTheme="minorEastAsia"/>
          <w:lang w:val="en-GB"/>
        </w:rPr>
        <w:t xml:space="preserve">of the APR:PIC system </w:t>
      </w:r>
      <w:r w:rsidRPr="00C57412">
        <w:rPr>
          <w:rFonts w:eastAsiaTheme="minorEastAsia"/>
          <w:lang w:val="en-GB"/>
        </w:rPr>
        <w:t xml:space="preserve">to gain at least an indication whether this above mentioned entropy term can indeed be responsible for the formation of APR cocrystals. </w:t>
      </w:r>
    </w:p>
    <w:p w:rsidR="00777F5C" w:rsidRPr="00C57412" w:rsidRDefault="000E348A" w:rsidP="00E42A85">
      <w:pPr>
        <w:ind w:firstLine="567"/>
        <w:jc w:val="both"/>
        <w:rPr>
          <w:rFonts w:eastAsiaTheme="minorEastAsia"/>
          <w:lang w:val="en-GB"/>
        </w:rPr>
      </w:pPr>
      <w:r w:rsidRPr="00C57412">
        <w:rPr>
          <w:lang w:val="en-GB"/>
        </w:rPr>
        <w:t xml:space="preserve">The obtained </w:t>
      </w:r>
      <w:r w:rsidR="00777F5C" w:rsidRPr="00C57412">
        <w:rPr>
          <w:lang w:val="en-GB"/>
        </w:rPr>
        <w:t xml:space="preserve">mean </w:t>
      </w:r>
      <w:r w:rsidRPr="00C57412">
        <w:rPr>
          <w:lang w:val="en-GB"/>
        </w:rPr>
        <w:t xml:space="preserve">concentrations of APR </w:t>
      </w:r>
      <w:r w:rsidR="00777F5C" w:rsidRPr="00C57412">
        <w:rPr>
          <w:lang w:val="en-GB"/>
        </w:rPr>
        <w:t xml:space="preserve">dissolved </w:t>
      </w:r>
      <w:r w:rsidRPr="00C57412">
        <w:rPr>
          <w:lang w:val="en-GB"/>
        </w:rPr>
        <w:t xml:space="preserve">from </w:t>
      </w:r>
      <w:r w:rsidR="00777F5C" w:rsidRPr="00C57412">
        <w:rPr>
          <w:lang w:val="en-GB"/>
        </w:rPr>
        <w:t xml:space="preserve">the </w:t>
      </w:r>
      <w:r w:rsidRPr="00C57412">
        <w:rPr>
          <w:lang w:val="en-GB"/>
        </w:rPr>
        <w:t xml:space="preserve">physical mixture and </w:t>
      </w:r>
      <w:r w:rsidR="00777F5C" w:rsidRPr="00C57412">
        <w:rPr>
          <w:lang w:val="en-GB"/>
        </w:rPr>
        <w:t>the</w:t>
      </w:r>
      <w:r w:rsidR="00D255E9" w:rsidRPr="00C57412">
        <w:rPr>
          <w:lang w:val="en-GB"/>
        </w:rPr>
        <w:t xml:space="preserve"> cocrystal</w:t>
      </w:r>
      <w:r w:rsidRPr="00C57412">
        <w:rPr>
          <w:lang w:val="en-GB"/>
        </w:rPr>
        <w:t xml:space="preserve"> were equal to 180.3 </w:t>
      </w:r>
      <w:r w:rsidRPr="00C57412">
        <w:rPr>
          <w:rFonts w:cs="Times New Roman"/>
          <w:lang w:val="en-GB"/>
        </w:rPr>
        <w:t>±</w:t>
      </w:r>
      <w:r w:rsidRPr="00C57412">
        <w:rPr>
          <w:lang w:val="en-GB"/>
        </w:rPr>
        <w:t xml:space="preserve"> 6.3 and 171.2 </w:t>
      </w:r>
      <w:r w:rsidRPr="00C57412">
        <w:rPr>
          <w:rFonts w:cs="Times New Roman"/>
          <w:lang w:val="en-GB"/>
        </w:rPr>
        <w:t>± 5.8 mg/ml for</w:t>
      </w:r>
      <w:r w:rsidRPr="00C57412">
        <w:rPr>
          <w:lang w:val="en-GB"/>
        </w:rPr>
        <w:t xml:space="preserve">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pm</m:t>
            </m:r>
          </m:sup>
        </m:sSubSup>
      </m:oMath>
      <w:r w:rsidRPr="00C57412">
        <w:rPr>
          <w:rFonts w:eastAsiaTheme="minorEastAsia"/>
          <w:lang w:val="en-GB"/>
        </w:rPr>
        <w:t xml:space="preserve"> and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APR</m:t>
            </m:r>
          </m:sub>
          <m:sup>
            <m:r>
              <w:rPr>
                <w:rFonts w:ascii="Cambria Math" w:hAnsi="Cambria Math"/>
                <w:lang w:val="en-GB"/>
              </w:rPr>
              <m:t>cocr</m:t>
            </m:r>
          </m:sup>
        </m:sSubSup>
      </m:oMath>
      <w:r w:rsidRPr="00C57412">
        <w:rPr>
          <w:rFonts w:eastAsiaTheme="minorEastAsia"/>
          <w:lang w:val="en-GB"/>
        </w:rPr>
        <w:t xml:space="preserve">, respectively, with </w:t>
      </w:r>
      <w:r w:rsidR="00D255E9" w:rsidRPr="00C57412">
        <w:rPr>
          <w:rFonts w:eastAsiaTheme="minorEastAsia"/>
          <w:lang w:val="en-GB"/>
        </w:rPr>
        <w:t xml:space="preserve">the </w:t>
      </w:r>
      <w:r w:rsidRPr="00C57412">
        <w:rPr>
          <w:rFonts w:eastAsiaTheme="minorEastAsia"/>
          <w:lang w:val="en-GB"/>
        </w:rPr>
        <w:t xml:space="preserve">concentration for </w:t>
      </w:r>
      <w:r w:rsidR="00777F5C" w:rsidRPr="00C57412">
        <w:rPr>
          <w:rFonts w:eastAsiaTheme="minorEastAsia"/>
          <w:lang w:val="en-GB"/>
        </w:rPr>
        <w:t xml:space="preserve">the </w:t>
      </w:r>
      <w:r w:rsidRPr="00C57412">
        <w:rPr>
          <w:rFonts w:eastAsiaTheme="minorEastAsia"/>
          <w:lang w:val="en-GB"/>
        </w:rPr>
        <w:t>physical mixture being</w:t>
      </w:r>
      <w:r w:rsidR="00777F5C" w:rsidRPr="00C57412">
        <w:rPr>
          <w:rFonts w:eastAsiaTheme="minorEastAsia"/>
          <w:lang w:val="en-GB"/>
        </w:rPr>
        <w:t xml:space="preserve"> alway</w:t>
      </w:r>
      <w:r w:rsidR="00D255E9" w:rsidRPr="00C57412">
        <w:rPr>
          <w:rFonts w:eastAsiaTheme="minorEastAsia"/>
          <w:lang w:val="en-GB"/>
        </w:rPr>
        <w:t>s higher than for the cocrystal</w:t>
      </w:r>
      <w:r w:rsidR="00777F5C" w:rsidRPr="00C57412">
        <w:rPr>
          <w:rFonts w:eastAsiaTheme="minorEastAsia"/>
          <w:lang w:val="en-GB"/>
        </w:rPr>
        <w:t xml:space="preserve">. This means that </w:t>
      </w:r>
      <w:r w:rsidR="00D255E9" w:rsidRPr="00C57412">
        <w:rPr>
          <w:rFonts w:eastAsiaTheme="minorEastAsia" w:cs="Times New Roman"/>
          <w:lang w:val="en-GB"/>
        </w:rPr>
        <w:t>the free energy</w:t>
      </w:r>
      <w:r w:rsidR="00777F5C" w:rsidRPr="00C57412">
        <w:rPr>
          <w:rFonts w:eastAsiaTheme="minorEastAsia"/>
          <w:lang w:val="en-GB"/>
        </w:rPr>
        <w:t xml:space="preserve"> </w:t>
      </w:r>
      <w:r w:rsidR="00D255E9" w:rsidRPr="00C57412">
        <w:rPr>
          <w:rFonts w:eastAsiaTheme="minorEastAsia"/>
          <w:lang w:val="en-GB"/>
        </w:rPr>
        <w:t>of cocrystal</w:t>
      </w:r>
      <w:r w:rsidR="00777F5C" w:rsidRPr="00C57412">
        <w:rPr>
          <w:rFonts w:eastAsiaTheme="minorEastAsia"/>
          <w:lang w:val="en-GB"/>
        </w:rPr>
        <w:t xml:space="preserve"> formation is negative and equal to –0.132</w:t>
      </w:r>
      <w:r w:rsidR="002951CB" w:rsidRPr="00C57412">
        <w:rPr>
          <w:rFonts w:eastAsiaTheme="minorEastAsia"/>
          <w:lang w:val="en-GB"/>
        </w:rPr>
        <w:t xml:space="preserve"> </w:t>
      </w:r>
      <w:r w:rsidR="002951CB" w:rsidRPr="00C57412">
        <w:rPr>
          <w:rFonts w:cs="Times New Roman"/>
          <w:lang w:val="en-GB"/>
        </w:rPr>
        <w:t>± 0.002</w:t>
      </w:r>
      <w:r w:rsidR="00777F5C" w:rsidRPr="00C57412">
        <w:rPr>
          <w:rFonts w:eastAsiaTheme="minorEastAsia"/>
          <w:lang w:val="en-GB"/>
        </w:rPr>
        <w:t xml:space="preserve"> kJ/mol (–0.29 J/g). As a result it may be concluded that the formation of APR:PIC cocrystals (and possibly also other APR cocrystals studied in this paper) is an entropy-driven process</w:t>
      </w:r>
      <w:r w:rsidR="00F22057" w:rsidRPr="00C57412">
        <w:rPr>
          <w:rFonts w:eastAsiaTheme="minorEastAsia"/>
          <w:lang w:val="en-GB"/>
        </w:rPr>
        <w:t>, with all probability associated with the observed disorder of the guest (cof</w:t>
      </w:r>
      <w:r w:rsidR="00803B65" w:rsidRPr="00C57412">
        <w:rPr>
          <w:rFonts w:eastAsiaTheme="minorEastAsia"/>
          <w:lang w:val="en-GB"/>
        </w:rPr>
        <w:t>ormer</w:t>
      </w:r>
      <w:r w:rsidR="00F22057" w:rsidRPr="00C57412">
        <w:rPr>
          <w:rFonts w:eastAsiaTheme="minorEastAsia"/>
          <w:lang w:val="en-GB"/>
        </w:rPr>
        <w:t>) molecules</w:t>
      </w:r>
      <w:r w:rsidR="00777F5C" w:rsidRPr="00C57412">
        <w:rPr>
          <w:rFonts w:eastAsiaTheme="minorEastAsia"/>
          <w:lang w:val="en-GB"/>
        </w:rPr>
        <w:t xml:space="preserve">. </w:t>
      </w:r>
      <w:r w:rsidR="002F6F84" w:rsidRPr="00C57412">
        <w:rPr>
          <w:rFonts w:eastAsiaTheme="minorEastAsia"/>
          <w:lang w:val="en-GB"/>
        </w:rPr>
        <w:t xml:space="preserve">Such an entropy-controlled formation of cocrystals has been already reported </w:t>
      </w:r>
      <w:r w:rsidR="002F6F84" w:rsidRPr="00C57412">
        <w:rPr>
          <w:rFonts w:eastAsiaTheme="minorEastAsia"/>
          <w:i/>
          <w:lang w:val="en-GB"/>
        </w:rPr>
        <w:t>e.g.</w:t>
      </w:r>
      <w:r w:rsidR="002F6F84" w:rsidRPr="00C57412">
        <w:rPr>
          <w:rFonts w:eastAsiaTheme="minorEastAsia"/>
          <w:lang w:val="en-GB"/>
        </w:rPr>
        <w:t xml:space="preserve"> for celecoxib-nicotinamid cocrystals</w:t>
      </w:r>
      <w:r w:rsidR="00B34898" w:rsidRPr="00C57412">
        <w:rPr>
          <w:rFonts w:eastAsiaTheme="minorEastAsia"/>
          <w:lang w:val="en-GB"/>
        </w:rPr>
        <w:t xml:space="preserve"> (Zhang </w:t>
      </w:r>
      <w:r w:rsidR="00B34898" w:rsidRPr="00C57412">
        <w:rPr>
          <w:rFonts w:cs="Times New Roman"/>
          <w:i/>
          <w:lang w:val="en-US"/>
        </w:rPr>
        <w:t>et al</w:t>
      </w:r>
      <w:r w:rsidR="00B34898" w:rsidRPr="00C57412">
        <w:rPr>
          <w:rFonts w:cs="Times New Roman"/>
          <w:lang w:val="en-US"/>
        </w:rPr>
        <w:t>., 2017</w:t>
      </w:r>
      <w:r w:rsidR="00B34898" w:rsidRPr="00C57412">
        <w:rPr>
          <w:rFonts w:eastAsiaTheme="minorEastAsia"/>
          <w:lang w:val="en-GB"/>
        </w:rPr>
        <w:t>)</w:t>
      </w:r>
      <w:r w:rsidR="002F6F84" w:rsidRPr="00C57412">
        <w:rPr>
          <w:rFonts w:eastAsiaTheme="minorEastAsia"/>
          <w:lang w:val="en-GB"/>
        </w:rPr>
        <w:t xml:space="preserve">, and the entropy gain upon formation of cocrystals has been associated with an increase in molar volume of a crystal (higher molar volume means more space, which in turn means more freedom of movement, </w:t>
      </w:r>
      <w:r w:rsidR="00D255E9" w:rsidRPr="00C57412">
        <w:rPr>
          <w:rFonts w:eastAsiaTheme="minorEastAsia"/>
          <w:lang w:val="en-GB"/>
        </w:rPr>
        <w:t>leading</w:t>
      </w:r>
      <w:r w:rsidR="002F6F84" w:rsidRPr="00C57412">
        <w:rPr>
          <w:rFonts w:eastAsiaTheme="minorEastAsia"/>
          <w:lang w:val="en-GB"/>
        </w:rPr>
        <w:t xml:space="preserve"> to higher entropy)</w:t>
      </w:r>
      <w:r w:rsidR="00C65694" w:rsidRPr="00C57412">
        <w:rPr>
          <w:rFonts w:eastAsiaTheme="minorEastAsia"/>
          <w:lang w:val="en-GB"/>
        </w:rPr>
        <w:t xml:space="preserve"> (Perlovich, 2018)</w:t>
      </w:r>
      <w:r w:rsidR="002F6F84" w:rsidRPr="00C57412">
        <w:rPr>
          <w:rFonts w:eastAsiaTheme="minorEastAsia"/>
          <w:lang w:val="en-GB"/>
        </w:rPr>
        <w:t>. Here</w:t>
      </w:r>
      <w:r w:rsidR="00D255E9" w:rsidRPr="00C57412">
        <w:rPr>
          <w:rFonts w:eastAsiaTheme="minorEastAsia"/>
          <w:lang w:val="en-GB"/>
        </w:rPr>
        <w:t>,</w:t>
      </w:r>
      <w:r w:rsidR="002F6F84" w:rsidRPr="00C57412">
        <w:rPr>
          <w:rFonts w:eastAsiaTheme="minorEastAsia"/>
          <w:lang w:val="en-GB"/>
        </w:rPr>
        <w:t xml:space="preserve"> such an increase</w:t>
      </w:r>
      <w:r w:rsidR="00D255E9" w:rsidRPr="00C57412">
        <w:rPr>
          <w:rFonts w:eastAsiaTheme="minorEastAsia"/>
          <w:lang w:val="en-GB"/>
        </w:rPr>
        <w:t xml:space="preserve"> in volume</w:t>
      </w:r>
      <w:r w:rsidR="002F6F84" w:rsidRPr="00C57412">
        <w:rPr>
          <w:rFonts w:eastAsiaTheme="minorEastAsia"/>
          <w:lang w:val="en-GB"/>
        </w:rPr>
        <w:t xml:space="preserve"> is not observed. Contrarily, molar volume upon formation of the studied cocrystals decreases, so it seems that it is rather a lack of strong directional hydrogen bonds b</w:t>
      </w:r>
      <w:r w:rsidR="00D255E9" w:rsidRPr="00C57412">
        <w:rPr>
          <w:rFonts w:eastAsiaTheme="minorEastAsia"/>
          <w:lang w:val="en-GB"/>
        </w:rPr>
        <w:t>etween host and guest molecules</w:t>
      </w:r>
      <w:r w:rsidR="002F6F84" w:rsidRPr="00C57412">
        <w:rPr>
          <w:rFonts w:eastAsiaTheme="minorEastAsia"/>
          <w:lang w:val="en-GB"/>
        </w:rPr>
        <w:t xml:space="preserve"> </w:t>
      </w:r>
      <w:r w:rsidR="00B03E65" w:rsidRPr="00C57412">
        <w:rPr>
          <w:rFonts w:eastAsiaTheme="minorEastAsia"/>
          <w:lang w:val="en-GB"/>
        </w:rPr>
        <w:t>that enables guest molecules to be disordered.</w:t>
      </w:r>
    </w:p>
    <w:p w:rsidR="00B03E65" w:rsidRPr="00C57412" w:rsidRDefault="00B03E65" w:rsidP="00E42A85">
      <w:pPr>
        <w:ind w:firstLine="567"/>
        <w:jc w:val="both"/>
        <w:rPr>
          <w:lang w:val="en-GB"/>
        </w:rPr>
      </w:pPr>
    </w:p>
    <w:p w:rsidR="00E42A85" w:rsidRPr="00C57412" w:rsidRDefault="00D0261B" w:rsidP="006150AA">
      <w:pPr>
        <w:jc w:val="both"/>
        <w:rPr>
          <w:b/>
          <w:lang w:val="en-GB"/>
        </w:rPr>
      </w:pPr>
      <w:r w:rsidRPr="00C57412">
        <w:rPr>
          <w:b/>
          <w:lang w:val="en-GB"/>
        </w:rPr>
        <w:lastRenderedPageBreak/>
        <w:t>Conclusions</w:t>
      </w:r>
    </w:p>
    <w:p w:rsidR="00D0261B" w:rsidRPr="00C57412" w:rsidRDefault="003731AB" w:rsidP="006150AA">
      <w:pPr>
        <w:jc w:val="both"/>
        <w:rPr>
          <w:lang w:val="en-GB"/>
        </w:rPr>
      </w:pPr>
      <w:r w:rsidRPr="00C57412">
        <w:rPr>
          <w:lang w:val="en-GB"/>
        </w:rPr>
        <w:t>Four new cocrystals of APR, formed with aromatic coformers prone to act as hydrogen bonds donors,</w:t>
      </w:r>
      <w:r w:rsidR="00803B65" w:rsidRPr="00C57412">
        <w:rPr>
          <w:lang w:val="en-GB"/>
        </w:rPr>
        <w:t xml:space="preserve"> were found to be isostructural to the known cocrystals and solvates of APR</w:t>
      </w:r>
      <w:r w:rsidR="00B03E65" w:rsidRPr="00C57412">
        <w:rPr>
          <w:lang w:val="en-GB"/>
        </w:rPr>
        <w:t>, and held together mainly by aromatic – aromatic</w:t>
      </w:r>
      <w:r w:rsidR="00564DA6" w:rsidRPr="00C57412">
        <w:rPr>
          <w:lang w:val="en-GB"/>
        </w:rPr>
        <w:t xml:space="preserve"> </w:t>
      </w:r>
      <w:r w:rsidR="00B03E65" w:rsidRPr="00C57412">
        <w:rPr>
          <w:lang w:val="en-GB"/>
        </w:rPr>
        <w:t>interactions, despite strong propensity of the guest molecules to form hydrogen bonds.</w:t>
      </w:r>
      <w:r w:rsidR="00803B65" w:rsidRPr="00C57412">
        <w:rPr>
          <w:lang w:val="en-GB"/>
        </w:rPr>
        <w:t xml:space="preserve"> </w:t>
      </w:r>
      <w:r w:rsidR="00564DA6" w:rsidRPr="00C57412">
        <w:rPr>
          <w:lang w:val="en-GB"/>
        </w:rPr>
        <w:t>In addition, a significant contribution of CH</w:t>
      </w:r>
      <w:r w:rsidR="00564DA6" w:rsidRPr="00C57412">
        <w:rPr>
          <w:rFonts w:eastAsia="Times New Roman" w:cs="Times New Roman"/>
          <w:szCs w:val="24"/>
          <w:lang w:val="en-US" w:eastAsia="pl-PL"/>
        </w:rPr>
        <w:t>∙∙∙O short contacts to the stabilization of the studied cocrystals have been observed.</w:t>
      </w:r>
      <w:r w:rsidR="00564DA6" w:rsidRPr="00C57412">
        <w:rPr>
          <w:lang w:val="en-GB"/>
        </w:rPr>
        <w:t xml:space="preserve"> </w:t>
      </w:r>
      <w:r w:rsidR="00B03E65" w:rsidRPr="00C57412">
        <w:rPr>
          <w:lang w:val="en-GB"/>
        </w:rPr>
        <w:t xml:space="preserve">The calculated energy of these aromatic – aromatic interactions is comparable to the energy of hydrogen bonds. Interestingly, </w:t>
      </w:r>
      <w:r w:rsidR="00D255E9" w:rsidRPr="00C57412">
        <w:rPr>
          <w:lang w:val="en-GB"/>
        </w:rPr>
        <w:t xml:space="preserve">calculated </w:t>
      </w:r>
      <w:r w:rsidR="00E26DF1" w:rsidRPr="00C57412">
        <w:rPr>
          <w:lang w:val="en-GB"/>
        </w:rPr>
        <w:t>stabilization energies of these cocrystals were</w:t>
      </w:r>
      <w:r w:rsidR="00B03E65" w:rsidRPr="00C57412">
        <w:rPr>
          <w:lang w:val="en-GB"/>
        </w:rPr>
        <w:t xml:space="preserve"> found to be positive</w:t>
      </w:r>
      <w:r w:rsidR="00E26DF1" w:rsidRPr="00C57412">
        <w:rPr>
          <w:lang w:val="en-GB"/>
        </w:rPr>
        <w:t xml:space="preserve"> in all cases, which means that their formation is associated with a loss of enthalpy. This loss has been linked to </w:t>
      </w:r>
      <w:r w:rsidR="00E26DF1" w:rsidRPr="00C57412">
        <w:rPr>
          <w:lang w:val="en-US"/>
        </w:rPr>
        <w:t>the strains in the conf</w:t>
      </w:r>
      <w:r w:rsidR="00D255E9" w:rsidRPr="00C57412">
        <w:rPr>
          <w:lang w:val="en-US"/>
        </w:rPr>
        <w:t>ormation of APR after cocrystal</w:t>
      </w:r>
      <w:r w:rsidR="00E26DF1" w:rsidRPr="00C57412">
        <w:rPr>
          <w:lang w:val="en-US"/>
        </w:rPr>
        <w:t xml:space="preserve"> formation. At the same time</w:t>
      </w:r>
      <w:r w:rsidR="00D255E9" w:rsidRPr="00C57412">
        <w:rPr>
          <w:lang w:val="en-US"/>
        </w:rPr>
        <w:t>,</w:t>
      </w:r>
      <w:r w:rsidR="00E26DF1" w:rsidRPr="00C57412">
        <w:rPr>
          <w:lang w:val="en-US"/>
        </w:rPr>
        <w:t xml:space="preserve"> so</w:t>
      </w:r>
      <w:r w:rsidR="00D255E9" w:rsidRPr="00C57412">
        <w:rPr>
          <w:lang w:val="en-US"/>
        </w:rPr>
        <w:t>lubility measurements indicated</w:t>
      </w:r>
      <w:r w:rsidR="00E26DF1" w:rsidRPr="00C57412">
        <w:rPr>
          <w:lang w:val="en-US"/>
        </w:rPr>
        <w:t xml:space="preserve"> that the observed loss in enthalpy is compensated by the gain in entropy, so that the overall Gibbs free energy of </w:t>
      </w:r>
      <w:r w:rsidR="002C69A0" w:rsidRPr="00C57412">
        <w:rPr>
          <w:lang w:val="en-US"/>
        </w:rPr>
        <w:t xml:space="preserve">the </w:t>
      </w:r>
      <w:r w:rsidR="00D255E9" w:rsidRPr="00C57412">
        <w:rPr>
          <w:lang w:val="en-US"/>
        </w:rPr>
        <w:t>cocrystal</w:t>
      </w:r>
      <w:r w:rsidR="00E26DF1" w:rsidRPr="00C57412">
        <w:rPr>
          <w:lang w:val="en-US"/>
        </w:rPr>
        <w:t xml:space="preserve"> formation was found to be negative. Therefore, the</w:t>
      </w:r>
      <w:r w:rsidR="00980F7A" w:rsidRPr="00C57412">
        <w:rPr>
          <w:lang w:val="en-US"/>
        </w:rPr>
        <w:t xml:space="preserve"> stabilizing role of</w:t>
      </w:r>
      <w:r w:rsidR="00E26DF1" w:rsidRPr="00C57412">
        <w:rPr>
          <w:lang w:val="en-US"/>
        </w:rPr>
        <w:t xml:space="preserve"> disorder</w:t>
      </w:r>
      <w:r w:rsidR="00980F7A" w:rsidRPr="00C57412">
        <w:rPr>
          <w:lang w:val="en-US"/>
        </w:rPr>
        <w:t>, observed in almost all isostructural cocrystals and solvates of APR discovered so far, can be postulated.</w:t>
      </w:r>
      <w:r w:rsidR="00E26DF1" w:rsidRPr="00C57412">
        <w:rPr>
          <w:lang w:val="en-US"/>
        </w:rPr>
        <w:t xml:space="preserve"> </w:t>
      </w:r>
    </w:p>
    <w:p w:rsidR="003C0857" w:rsidRPr="00C57412" w:rsidRDefault="003C0857" w:rsidP="006150AA">
      <w:pPr>
        <w:jc w:val="both"/>
        <w:rPr>
          <w:lang w:val="en-GB"/>
        </w:rPr>
      </w:pPr>
    </w:p>
    <w:p w:rsidR="00EA020F" w:rsidRPr="00C57412" w:rsidRDefault="00EA020F" w:rsidP="006150AA">
      <w:pPr>
        <w:jc w:val="both"/>
        <w:rPr>
          <w:b/>
          <w:lang w:val="en-GB"/>
        </w:rPr>
      </w:pPr>
      <w:r w:rsidRPr="00C57412">
        <w:rPr>
          <w:b/>
          <w:lang w:val="en-GB"/>
        </w:rPr>
        <w:t>Acknowledgements</w:t>
      </w:r>
    </w:p>
    <w:p w:rsidR="00EA020F" w:rsidRPr="00C57412" w:rsidRDefault="00152047" w:rsidP="006150AA">
      <w:pPr>
        <w:jc w:val="both"/>
        <w:rPr>
          <w:lang w:val="en-US"/>
        </w:rPr>
      </w:pPr>
      <w:r w:rsidRPr="00C57412">
        <w:rPr>
          <w:szCs w:val="24"/>
          <w:lang w:val="en-US"/>
        </w:rPr>
        <w:t xml:space="preserve">This study was financially supported by the National Science Center, Poland (Grant No. UMO-2017/25/B/ST4/02684). </w:t>
      </w:r>
      <w:r w:rsidR="00765B4F" w:rsidRPr="00C57412">
        <w:rPr>
          <w:szCs w:val="24"/>
          <w:lang w:val="en-US"/>
        </w:rPr>
        <w:t xml:space="preserve">The computational part of this work was carried out with a </w:t>
      </w:r>
      <w:r w:rsidR="00765B4F" w:rsidRPr="00C57412">
        <w:rPr>
          <w:lang w:val="en-US"/>
        </w:rPr>
        <w:t xml:space="preserve">financial support of the Polish Ministry of Science and Higher Education, as a part of the fellowship ‘Mobility Plus’ (grant No 1664/MOB/V/2017/0). </w:t>
      </w:r>
      <w:r w:rsidR="00125352" w:rsidRPr="00C57412">
        <w:rPr>
          <w:rFonts w:eastAsia="NimbusRomNo9L-Regu" w:cs="NimbusRomNo9L-Regu"/>
          <w:lang w:val="en-US"/>
        </w:rPr>
        <w:t>The Polish Infrastructure for Supporting Computational Science in the European Research Space (PL-GRID) and t</w:t>
      </w:r>
      <w:r w:rsidR="00125352" w:rsidRPr="00C57412">
        <w:rPr>
          <w:lang w:val="en-US"/>
        </w:rPr>
        <w:t>he IRIDIS High Performance Computing Facility, with associated support services at the University of Southampton are gratefully acknowledged for providing computational resources. We are also grateful to the UK Materials and Molecular Modelling Hub for computational resources, which is partially funded by EPSRC (EP/P020194/1).</w:t>
      </w:r>
    </w:p>
    <w:p w:rsidR="0057721C" w:rsidRPr="00C57412" w:rsidRDefault="0057721C" w:rsidP="006150AA">
      <w:pPr>
        <w:jc w:val="both"/>
        <w:rPr>
          <w:b/>
          <w:lang w:val="en-GB"/>
        </w:rPr>
      </w:pPr>
    </w:p>
    <w:p w:rsidR="00EA020F" w:rsidRPr="00C57412" w:rsidRDefault="00EA020F" w:rsidP="006150AA">
      <w:pPr>
        <w:jc w:val="both"/>
        <w:rPr>
          <w:b/>
          <w:lang w:val="en-GB"/>
        </w:rPr>
      </w:pPr>
      <w:r w:rsidRPr="00C57412">
        <w:rPr>
          <w:b/>
          <w:lang w:val="en-GB"/>
        </w:rPr>
        <w:t>References</w:t>
      </w:r>
    </w:p>
    <w:p w:rsidR="00443788" w:rsidRPr="00C57412" w:rsidRDefault="00443788" w:rsidP="00443788">
      <w:pPr>
        <w:jc w:val="both"/>
        <w:rPr>
          <w:lang w:val="en-US"/>
        </w:rPr>
      </w:pPr>
      <w:r w:rsidRPr="00C57412">
        <w:rPr>
          <w:lang w:val="en-US"/>
        </w:rPr>
        <w:t xml:space="preserve">Abraham, A., Apperley, D. C., Byard, S. </w:t>
      </w:r>
      <w:r w:rsidR="00E34B52" w:rsidRPr="00C57412">
        <w:rPr>
          <w:lang w:val="en-US"/>
        </w:rPr>
        <w:t>J</w:t>
      </w:r>
      <w:r w:rsidRPr="00C57412">
        <w:rPr>
          <w:lang w:val="en-US"/>
        </w:rPr>
        <w:t>., Illot, A. J., Robbins, A. J.,</w:t>
      </w:r>
      <w:r w:rsidR="009F5505" w:rsidRPr="00C57412">
        <w:rPr>
          <w:lang w:val="en-US"/>
        </w:rPr>
        <w:t xml:space="preserve"> Zorin, V.,</w:t>
      </w:r>
      <w:r w:rsidRPr="00C57412">
        <w:rPr>
          <w:lang w:val="en-US"/>
        </w:rPr>
        <w:t xml:space="preserve"> Harris, R. K., Hodgkinson, P. (2016). </w:t>
      </w:r>
      <w:r w:rsidRPr="00C57412">
        <w:rPr>
          <w:i/>
          <w:lang w:val="en-US"/>
        </w:rPr>
        <w:t>CrystEngComm</w:t>
      </w:r>
      <w:r w:rsidRPr="00C57412">
        <w:rPr>
          <w:lang w:val="en-US"/>
        </w:rPr>
        <w:t xml:space="preserve"> </w:t>
      </w:r>
      <w:r w:rsidRPr="00C57412">
        <w:rPr>
          <w:b/>
          <w:lang w:val="en-US"/>
        </w:rPr>
        <w:t>18</w:t>
      </w:r>
      <w:r w:rsidRPr="00C57412">
        <w:rPr>
          <w:lang w:val="en-US"/>
        </w:rPr>
        <w:t>, 1054–1063.</w:t>
      </w:r>
    </w:p>
    <w:p w:rsidR="0057721C" w:rsidRPr="00C57412" w:rsidRDefault="0057721C" w:rsidP="0057721C">
      <w:pPr>
        <w:jc w:val="both"/>
        <w:rPr>
          <w:lang w:val="en-US"/>
        </w:rPr>
      </w:pPr>
      <w:r w:rsidRPr="00C57412">
        <w:rPr>
          <w:lang w:val="en-US"/>
        </w:rPr>
        <w:t xml:space="preserve">Ahuja, D., Svärd, M. &amp; Rasmuson, A. C. (2019). </w:t>
      </w:r>
      <w:r w:rsidRPr="00C57412">
        <w:rPr>
          <w:i/>
          <w:lang w:val="en-US"/>
        </w:rPr>
        <w:t>CrystEngComm</w:t>
      </w:r>
      <w:r w:rsidRPr="00C57412">
        <w:rPr>
          <w:lang w:val="en-US"/>
        </w:rPr>
        <w:t xml:space="preserve"> </w:t>
      </w:r>
      <w:r w:rsidRPr="00C57412">
        <w:rPr>
          <w:b/>
          <w:lang w:val="en-US"/>
        </w:rPr>
        <w:t>21</w:t>
      </w:r>
      <w:r w:rsidRPr="00C57412">
        <w:rPr>
          <w:lang w:val="en-US"/>
        </w:rPr>
        <w:t>, 2863–2874.</w:t>
      </w:r>
    </w:p>
    <w:p w:rsidR="0057721C" w:rsidRPr="00C57412" w:rsidRDefault="0057721C" w:rsidP="0057721C">
      <w:pPr>
        <w:jc w:val="both"/>
        <w:rPr>
          <w:lang w:val="en-US"/>
        </w:rPr>
      </w:pPr>
      <w:r w:rsidRPr="00C57412">
        <w:rPr>
          <w:lang w:val="en-US"/>
        </w:rPr>
        <w:lastRenderedPageBreak/>
        <w:t xml:space="preserve">Althaus, S. M., Mao, K., Stringer, J. A., Kobayashi, T. &amp; Pruski, M. (2014). </w:t>
      </w:r>
      <w:r w:rsidRPr="00C57412">
        <w:rPr>
          <w:i/>
          <w:lang w:val="en-US"/>
        </w:rPr>
        <w:t>Solid State Nucl. Magn. Res.</w:t>
      </w:r>
      <w:r w:rsidRPr="00C57412">
        <w:rPr>
          <w:lang w:val="en-US"/>
        </w:rPr>
        <w:t xml:space="preserve"> </w:t>
      </w:r>
      <w:r w:rsidRPr="00C57412">
        <w:rPr>
          <w:b/>
          <w:lang w:val="en-US"/>
        </w:rPr>
        <w:t>57</w:t>
      </w:r>
      <w:r w:rsidRPr="00C57412">
        <w:rPr>
          <w:lang w:val="en-US"/>
        </w:rPr>
        <w:t>, 17–21.</w:t>
      </w:r>
    </w:p>
    <w:p w:rsidR="0057721C" w:rsidRPr="00C57412" w:rsidRDefault="0057721C" w:rsidP="0057721C">
      <w:pPr>
        <w:jc w:val="both"/>
        <w:rPr>
          <w:lang w:val="en-US"/>
        </w:rPr>
      </w:pPr>
      <w:r w:rsidRPr="00C57412">
        <w:rPr>
          <w:lang w:val="en-US"/>
        </w:rPr>
        <w:t xml:space="preserve">Bacon, G. E. &amp; Jude, R. J. (1973). </w:t>
      </w:r>
      <w:r w:rsidRPr="00C57412">
        <w:rPr>
          <w:i/>
          <w:lang w:val="en-US"/>
        </w:rPr>
        <w:t>Z. Kristallog.</w:t>
      </w:r>
      <w:r w:rsidRPr="00C57412">
        <w:rPr>
          <w:lang w:val="en-US"/>
        </w:rPr>
        <w:t xml:space="preserve"> </w:t>
      </w:r>
      <w:r w:rsidRPr="00C57412">
        <w:rPr>
          <w:b/>
          <w:lang w:val="en-US"/>
        </w:rPr>
        <w:t>138</w:t>
      </w:r>
      <w:r w:rsidRPr="00C57412">
        <w:rPr>
          <w:lang w:val="en-US"/>
        </w:rPr>
        <w:t>, 19–40.</w:t>
      </w:r>
    </w:p>
    <w:p w:rsidR="00D255E9" w:rsidRPr="00C57412" w:rsidRDefault="00D255E9" w:rsidP="0057721C">
      <w:pPr>
        <w:jc w:val="both"/>
      </w:pPr>
      <w:r w:rsidRPr="00C57412">
        <w:rPr>
          <w:lang w:val="en-GB"/>
        </w:rPr>
        <w:t xml:space="preserve">Bacon, G.E. &amp; Lisher, E. J. (1980). </w:t>
      </w:r>
      <w:r w:rsidRPr="00C57412">
        <w:rPr>
          <w:i/>
        </w:rPr>
        <w:t>Acta Cryst.</w:t>
      </w:r>
      <w:r w:rsidRPr="00C57412">
        <w:t xml:space="preserve"> B</w:t>
      </w:r>
      <w:r w:rsidRPr="00C57412">
        <w:rPr>
          <w:b/>
        </w:rPr>
        <w:t>36</w:t>
      </w:r>
      <w:r w:rsidRPr="00C57412">
        <w:t>, 1908–1916.</w:t>
      </w:r>
    </w:p>
    <w:p w:rsidR="0057721C" w:rsidRPr="00C57412" w:rsidRDefault="0057721C" w:rsidP="0057721C">
      <w:pPr>
        <w:jc w:val="both"/>
        <w:rPr>
          <w:lang w:val="en-US"/>
        </w:rPr>
      </w:pPr>
      <w:r w:rsidRPr="00C57412">
        <w:t xml:space="preserve">Bolla, G. &amp; Nangia, A. (2016). </w:t>
      </w:r>
      <w:r w:rsidRPr="00C57412">
        <w:rPr>
          <w:i/>
        </w:rPr>
        <w:t xml:space="preserve">Chem. </w:t>
      </w:r>
      <w:r w:rsidRPr="00C57412">
        <w:rPr>
          <w:i/>
          <w:lang w:val="en-US"/>
        </w:rPr>
        <w:t>Commun.</w:t>
      </w:r>
      <w:r w:rsidRPr="00C57412">
        <w:rPr>
          <w:lang w:val="en-US"/>
        </w:rPr>
        <w:t xml:space="preserve"> </w:t>
      </w:r>
      <w:r w:rsidRPr="00C57412">
        <w:rPr>
          <w:b/>
          <w:lang w:val="en-US"/>
        </w:rPr>
        <w:t>52</w:t>
      </w:r>
      <w:r w:rsidRPr="00C57412">
        <w:rPr>
          <w:lang w:val="en-US"/>
        </w:rPr>
        <w:t>, 8342–8360.</w:t>
      </w:r>
    </w:p>
    <w:p w:rsidR="0057721C" w:rsidRPr="00C57412" w:rsidRDefault="0057721C" w:rsidP="0057721C">
      <w:pPr>
        <w:jc w:val="both"/>
        <w:rPr>
          <w:lang w:val="en-US"/>
        </w:rPr>
      </w:pPr>
      <w:r w:rsidRPr="00C57412">
        <w:rPr>
          <w:lang w:val="en-US"/>
        </w:rPr>
        <w:t xml:space="preserve">Brondel, N., Moynihan, E. J. A., Lehane, K. N., Eccles, K. S., Elcoate, C. J., Coles, S. J., Lawrence, S. E. &amp; Maguire, A. R. (2010). </w:t>
      </w:r>
      <w:r w:rsidRPr="00C57412">
        <w:rPr>
          <w:i/>
          <w:lang w:val="en-US"/>
        </w:rPr>
        <w:t>CrystEngComm</w:t>
      </w:r>
      <w:r w:rsidRPr="00C57412">
        <w:rPr>
          <w:lang w:val="en-US"/>
        </w:rPr>
        <w:t xml:space="preserve"> </w:t>
      </w:r>
      <w:r w:rsidRPr="00C57412">
        <w:rPr>
          <w:b/>
          <w:lang w:val="en-US"/>
        </w:rPr>
        <w:t>12</w:t>
      </w:r>
      <w:r w:rsidRPr="00C57412">
        <w:rPr>
          <w:lang w:val="en-US"/>
        </w:rPr>
        <w:t>, 2910–2927.</w:t>
      </w:r>
    </w:p>
    <w:p w:rsidR="0057721C" w:rsidRPr="00C57412" w:rsidRDefault="0057721C" w:rsidP="0057721C">
      <w:pPr>
        <w:jc w:val="both"/>
        <w:rPr>
          <w:lang w:val="en-US"/>
        </w:rPr>
      </w:pPr>
      <w:r w:rsidRPr="00C57412">
        <w:rPr>
          <w:lang w:val="en-US"/>
        </w:rPr>
        <w:t xml:space="preserve">Case, D. H., Campbell, J. E., Bygrave, P. J. &amp; Day, G. M. (2016). </w:t>
      </w:r>
      <w:r w:rsidRPr="00C57412">
        <w:rPr>
          <w:i/>
          <w:lang w:val="en-US"/>
        </w:rPr>
        <w:t>J. Chem. Theory Comput.</w:t>
      </w:r>
      <w:r w:rsidRPr="00C57412">
        <w:rPr>
          <w:lang w:val="en-US"/>
        </w:rPr>
        <w:t xml:space="preserve"> </w:t>
      </w:r>
      <w:r w:rsidRPr="00C57412">
        <w:rPr>
          <w:b/>
          <w:lang w:val="en-US"/>
        </w:rPr>
        <w:t>12</w:t>
      </w:r>
      <w:r w:rsidRPr="00C57412">
        <w:rPr>
          <w:lang w:val="en-US"/>
        </w:rPr>
        <w:t>, 910−924.</w:t>
      </w:r>
    </w:p>
    <w:p w:rsidR="0057721C" w:rsidRPr="00C57412" w:rsidRDefault="0057721C" w:rsidP="0057721C">
      <w:pPr>
        <w:jc w:val="both"/>
        <w:rPr>
          <w:lang w:val="en-US"/>
        </w:rPr>
      </w:pPr>
      <w:r w:rsidRPr="00C57412">
        <w:rPr>
          <w:lang w:val="en-US"/>
        </w:rPr>
        <w:t xml:space="preserve">Clark, S. J., Segall, M. D., Pickard, C. J., Hasnip, P. J., Probert, M. J., Refson, K. &amp; Payne, M. C. (2005). </w:t>
      </w:r>
      <w:r w:rsidRPr="00C57412">
        <w:rPr>
          <w:i/>
          <w:lang w:val="en-US"/>
        </w:rPr>
        <w:t>Z. Kristallog.</w:t>
      </w:r>
      <w:r w:rsidRPr="00C57412">
        <w:rPr>
          <w:lang w:val="en-US"/>
        </w:rPr>
        <w:t xml:space="preserve"> </w:t>
      </w:r>
      <w:r w:rsidRPr="00C57412">
        <w:rPr>
          <w:b/>
          <w:lang w:val="en-US"/>
        </w:rPr>
        <w:t>220</w:t>
      </w:r>
      <w:r w:rsidRPr="00C57412">
        <w:rPr>
          <w:lang w:val="en-US"/>
        </w:rPr>
        <w:t xml:space="preserve">, 567–570. </w:t>
      </w:r>
    </w:p>
    <w:p w:rsidR="0057721C" w:rsidRPr="00C57412" w:rsidRDefault="0057721C" w:rsidP="0057721C">
      <w:pPr>
        <w:jc w:val="both"/>
        <w:rPr>
          <w:lang w:val="en-US"/>
        </w:rPr>
      </w:pPr>
      <w:r w:rsidRPr="00C57412">
        <w:rPr>
          <w:lang w:val="en-US"/>
        </w:rPr>
        <w:t xml:space="preserve">Coombes, D. S., Price, S. L., Willock, D. J. &amp; Leslie, M. (1996). </w:t>
      </w:r>
      <w:r w:rsidRPr="00C57412">
        <w:rPr>
          <w:i/>
          <w:lang w:val="en-US"/>
        </w:rPr>
        <w:t>J. Phys. Chem.</w:t>
      </w:r>
      <w:r w:rsidRPr="00C57412">
        <w:rPr>
          <w:lang w:val="en-US"/>
        </w:rPr>
        <w:t xml:space="preserve"> </w:t>
      </w:r>
      <w:r w:rsidRPr="00C57412">
        <w:rPr>
          <w:b/>
          <w:lang w:val="en-US"/>
        </w:rPr>
        <w:t>100</w:t>
      </w:r>
      <w:r w:rsidRPr="00C57412">
        <w:rPr>
          <w:lang w:val="en-US"/>
        </w:rPr>
        <w:t>, 7352–7360.</w:t>
      </w:r>
    </w:p>
    <w:p w:rsidR="0057721C" w:rsidRPr="00C57412" w:rsidRDefault="0057721C" w:rsidP="0057721C">
      <w:pPr>
        <w:jc w:val="both"/>
        <w:rPr>
          <w:lang w:val="en-US"/>
        </w:rPr>
      </w:pPr>
      <w:r w:rsidRPr="00C57412">
        <w:rPr>
          <w:lang w:val="en-US"/>
        </w:rPr>
        <w:t xml:space="preserve">Craven, B. M., McMullan, R. K., Bell, J. D. &amp; Freeman, H. C. (1977). </w:t>
      </w:r>
      <w:r w:rsidRPr="00C57412">
        <w:rPr>
          <w:i/>
          <w:lang w:val="en-US"/>
        </w:rPr>
        <w:t>Acta Cryst.</w:t>
      </w:r>
      <w:r w:rsidRPr="00C57412">
        <w:rPr>
          <w:lang w:val="en-US"/>
        </w:rPr>
        <w:t xml:space="preserve"> B</w:t>
      </w:r>
      <w:r w:rsidRPr="00C57412">
        <w:rPr>
          <w:b/>
          <w:lang w:val="en-US"/>
        </w:rPr>
        <w:t>33</w:t>
      </w:r>
      <w:r w:rsidRPr="00C57412">
        <w:rPr>
          <w:lang w:val="en-US"/>
        </w:rPr>
        <w:t xml:space="preserve">, 2585–2589. </w:t>
      </w:r>
    </w:p>
    <w:p w:rsidR="00443788" w:rsidRPr="00C57412" w:rsidRDefault="00443788" w:rsidP="00443788">
      <w:pPr>
        <w:jc w:val="both"/>
        <w:rPr>
          <w:lang w:val="en-US"/>
        </w:rPr>
      </w:pPr>
      <w:r w:rsidRPr="00C57412">
        <w:rPr>
          <w:lang w:val="en-US"/>
        </w:rPr>
        <w:t xml:space="preserve">Czernek, J. &amp; Brus, J. (2013). </w:t>
      </w:r>
      <w:r w:rsidRPr="00C57412">
        <w:rPr>
          <w:i/>
          <w:lang w:val="en-US"/>
        </w:rPr>
        <w:t>Chem. Phys. Lett.</w:t>
      </w:r>
      <w:r w:rsidRPr="00C57412">
        <w:rPr>
          <w:lang w:val="en-US"/>
        </w:rPr>
        <w:t xml:space="preserve"> </w:t>
      </w:r>
      <w:r w:rsidRPr="00C57412">
        <w:rPr>
          <w:b/>
          <w:lang w:val="en-US"/>
        </w:rPr>
        <w:t>586</w:t>
      </w:r>
      <w:r w:rsidRPr="00C57412">
        <w:rPr>
          <w:lang w:val="en-US"/>
        </w:rPr>
        <w:t>, 56–60.</w:t>
      </w:r>
    </w:p>
    <w:p w:rsidR="00443788" w:rsidRPr="00C57412" w:rsidRDefault="00443788" w:rsidP="00443788">
      <w:pPr>
        <w:jc w:val="both"/>
        <w:rPr>
          <w:lang w:val="en-US"/>
        </w:rPr>
      </w:pPr>
      <w:r w:rsidRPr="00C57412">
        <w:t xml:space="preserve">Czernek, J., Urbanová, M. &amp; Brus, J. (2018). </w:t>
      </w:r>
      <w:r w:rsidRPr="00C57412">
        <w:rPr>
          <w:i/>
          <w:lang w:val="en-US"/>
        </w:rPr>
        <w:t>Crystals</w:t>
      </w:r>
      <w:r w:rsidRPr="00C57412">
        <w:rPr>
          <w:lang w:val="en-US"/>
        </w:rPr>
        <w:t xml:space="preserve"> </w:t>
      </w:r>
      <w:r w:rsidRPr="00C57412">
        <w:rPr>
          <w:b/>
          <w:lang w:val="en-US"/>
        </w:rPr>
        <w:t>8</w:t>
      </w:r>
      <w:r w:rsidRPr="00C57412">
        <w:rPr>
          <w:lang w:val="en-US"/>
        </w:rPr>
        <w:t xml:space="preserve">, Art. No. </w:t>
      </w:r>
      <w:r w:rsidR="00E34B52" w:rsidRPr="00C57412">
        <w:rPr>
          <w:lang w:val="en-US"/>
        </w:rPr>
        <w:t>3</w:t>
      </w:r>
      <w:r w:rsidRPr="00C57412">
        <w:rPr>
          <w:lang w:val="en-US"/>
        </w:rPr>
        <w:t>78.</w:t>
      </w:r>
    </w:p>
    <w:p w:rsidR="0057721C" w:rsidRPr="00C57412" w:rsidRDefault="0057721C" w:rsidP="0057721C">
      <w:pPr>
        <w:jc w:val="both"/>
        <w:rPr>
          <w:lang w:val="en-US"/>
        </w:rPr>
      </w:pPr>
      <w:r w:rsidRPr="00C57412">
        <w:rPr>
          <w:lang w:val="en-US"/>
        </w:rPr>
        <w:t xml:space="preserve">Dolomanov, O. V., Bourhis, L. J., Gildea, R. J., Howard, J. A. K. &amp; Puschmann, H. J. (2009). </w:t>
      </w:r>
      <w:r w:rsidRPr="00C57412">
        <w:rPr>
          <w:i/>
          <w:lang w:val="en-US"/>
        </w:rPr>
        <w:t>Appl. Cryst.</w:t>
      </w:r>
      <w:r w:rsidRPr="00C57412">
        <w:rPr>
          <w:lang w:val="en-US"/>
        </w:rPr>
        <w:t xml:space="preserve"> </w:t>
      </w:r>
      <w:r w:rsidRPr="00C57412">
        <w:rPr>
          <w:b/>
          <w:lang w:val="en-US"/>
        </w:rPr>
        <w:t>42</w:t>
      </w:r>
      <w:r w:rsidRPr="00C57412">
        <w:rPr>
          <w:lang w:val="en-US"/>
        </w:rPr>
        <w:t>, 339–341.</w:t>
      </w:r>
    </w:p>
    <w:p w:rsidR="0057721C" w:rsidRPr="00C57412" w:rsidRDefault="0057721C" w:rsidP="0057721C">
      <w:pPr>
        <w:jc w:val="both"/>
      </w:pPr>
      <w:r w:rsidRPr="00C57412">
        <w:rPr>
          <w:lang w:val="en-US"/>
        </w:rPr>
        <w:t xml:space="preserve">Douroumis, D., Ross, S. A. &amp; Nokhodchi, A. (2017). </w:t>
      </w:r>
      <w:r w:rsidRPr="00C57412">
        <w:rPr>
          <w:i/>
          <w:lang w:val="en-US"/>
        </w:rPr>
        <w:t xml:space="preserve">Adv. Drug Deliv. </w:t>
      </w:r>
      <w:r w:rsidRPr="00C57412">
        <w:rPr>
          <w:i/>
        </w:rPr>
        <w:t>Rev.</w:t>
      </w:r>
      <w:r w:rsidRPr="00C57412">
        <w:t xml:space="preserve"> </w:t>
      </w:r>
      <w:r w:rsidRPr="00C57412">
        <w:rPr>
          <w:b/>
        </w:rPr>
        <w:t>117</w:t>
      </w:r>
      <w:r w:rsidRPr="00C57412">
        <w:t>, 178–195.</w:t>
      </w:r>
    </w:p>
    <w:p w:rsidR="0057721C" w:rsidRPr="00C57412" w:rsidRDefault="0057721C" w:rsidP="0057721C">
      <w:pPr>
        <w:jc w:val="both"/>
        <w:rPr>
          <w:lang w:val="en-US"/>
        </w:rPr>
      </w:pPr>
      <w:r w:rsidRPr="00C57412">
        <w:t xml:space="preserve">Dudek, M. K., Kostrzewa, M., Paluch, P. &amp; Potrzebowski, M. J. (2018). </w:t>
      </w:r>
      <w:r w:rsidRPr="00C57412">
        <w:rPr>
          <w:i/>
          <w:lang w:val="en-US"/>
        </w:rPr>
        <w:t>Cryst. Growth Des.</w:t>
      </w:r>
      <w:r w:rsidRPr="00C57412">
        <w:rPr>
          <w:lang w:val="en-US"/>
        </w:rPr>
        <w:t xml:space="preserve"> </w:t>
      </w:r>
      <w:r w:rsidRPr="00C57412">
        <w:rPr>
          <w:b/>
          <w:lang w:val="en-US"/>
        </w:rPr>
        <w:t>18</w:t>
      </w:r>
      <w:r w:rsidRPr="00C57412">
        <w:rPr>
          <w:lang w:val="en-US"/>
        </w:rPr>
        <w:t>, 3959–3970.</w:t>
      </w:r>
    </w:p>
    <w:p w:rsidR="00443788" w:rsidRPr="00C57412" w:rsidRDefault="00443788" w:rsidP="00443788">
      <w:pPr>
        <w:jc w:val="both"/>
        <w:rPr>
          <w:lang w:val="en-US"/>
        </w:rPr>
      </w:pPr>
      <w:r w:rsidRPr="00C57412">
        <w:rPr>
          <w:lang w:val="en-US"/>
        </w:rPr>
        <w:t xml:space="preserve">Dudenko, D. V., Williams, P. A., Hughes, C. E., Antzutkin, O. N., Velaga, S. P., Brown, S. P. &amp; Harris, K. D. M. (2013). </w:t>
      </w:r>
      <w:r w:rsidRPr="00C57412">
        <w:rPr>
          <w:i/>
          <w:lang w:val="en-US"/>
        </w:rPr>
        <w:t>J. Phys. Chem. C</w:t>
      </w:r>
      <w:r w:rsidRPr="00C57412">
        <w:rPr>
          <w:lang w:val="en-US"/>
        </w:rPr>
        <w:t xml:space="preserve"> </w:t>
      </w:r>
      <w:r w:rsidRPr="00C57412">
        <w:rPr>
          <w:b/>
          <w:lang w:val="en-US"/>
        </w:rPr>
        <w:t>117</w:t>
      </w:r>
      <w:r w:rsidRPr="00C57412">
        <w:rPr>
          <w:lang w:val="en-US"/>
        </w:rPr>
        <w:t>, 12258–12265.</w:t>
      </w:r>
    </w:p>
    <w:p w:rsidR="002E3D3B" w:rsidRPr="00C57412" w:rsidRDefault="002E3D3B" w:rsidP="002E3D3B">
      <w:pPr>
        <w:jc w:val="both"/>
        <w:rPr>
          <w:lang w:val="en-US"/>
        </w:rPr>
      </w:pPr>
      <w:r w:rsidRPr="00C57412">
        <w:rPr>
          <w:lang w:val="en-US"/>
        </w:rPr>
        <w:t xml:space="preserve">Ebrahimi, A., Habibi, M., Neyband, R. S. &amp; Gholipour, A. R. (2009). </w:t>
      </w:r>
      <w:r w:rsidRPr="00C57412">
        <w:rPr>
          <w:i/>
          <w:lang w:val="en-US"/>
        </w:rPr>
        <w:t>Phys Chem Chem Phys.</w:t>
      </w:r>
      <w:r w:rsidRPr="00C57412">
        <w:rPr>
          <w:lang w:val="en-US"/>
        </w:rPr>
        <w:t xml:space="preserve"> </w:t>
      </w:r>
      <w:r w:rsidRPr="00C57412">
        <w:rPr>
          <w:b/>
          <w:lang w:val="en-US"/>
        </w:rPr>
        <w:t>11</w:t>
      </w:r>
      <w:r w:rsidRPr="00C57412">
        <w:rPr>
          <w:lang w:val="en-US"/>
        </w:rPr>
        <w:t>, 11424–11431</w:t>
      </w:r>
    </w:p>
    <w:p w:rsidR="0057721C" w:rsidRPr="00C57412" w:rsidRDefault="0057721C" w:rsidP="0057721C">
      <w:pPr>
        <w:jc w:val="both"/>
        <w:rPr>
          <w:lang w:val="en-US"/>
        </w:rPr>
      </w:pPr>
      <w:r w:rsidRPr="00C57412">
        <w:rPr>
          <w:lang w:val="en-US"/>
        </w:rPr>
        <w:t xml:space="preserve">Evora, A. O. L., Castro, R. A. E., Maria, T. M. R., Rosado, M. T. S., Silva, M. R., Canotilho, J. &amp; Eusebio, M. E. S. (2012). </w:t>
      </w:r>
      <w:r w:rsidRPr="00C57412">
        <w:rPr>
          <w:i/>
          <w:lang w:val="en-US"/>
        </w:rPr>
        <w:t>CrystEngComm</w:t>
      </w:r>
      <w:r w:rsidRPr="00C57412">
        <w:rPr>
          <w:lang w:val="en-US"/>
        </w:rPr>
        <w:t xml:space="preserve"> </w:t>
      </w:r>
      <w:r w:rsidRPr="00C57412">
        <w:rPr>
          <w:b/>
          <w:lang w:val="en-US"/>
        </w:rPr>
        <w:t>14</w:t>
      </w:r>
      <w:r w:rsidRPr="00C57412">
        <w:rPr>
          <w:lang w:val="en-US"/>
        </w:rPr>
        <w:t>, 8649–8657.</w:t>
      </w:r>
    </w:p>
    <w:p w:rsidR="0057721C" w:rsidRPr="00C57412" w:rsidRDefault="0057721C" w:rsidP="0057721C">
      <w:pPr>
        <w:jc w:val="both"/>
        <w:rPr>
          <w:lang w:val="en-US"/>
        </w:rPr>
      </w:pPr>
      <w:r w:rsidRPr="00C57412">
        <w:rPr>
          <w:lang w:val="en-US"/>
        </w:rPr>
        <w:lastRenderedPageBreak/>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 A., Jr.,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&amp; Fox, D. J. (2009) Gaussian 09, Revision D.01, Gaussian, Inc., Wallingford CT.</w:t>
      </w:r>
    </w:p>
    <w:p w:rsidR="0057721C" w:rsidRPr="00C57412" w:rsidRDefault="0057721C" w:rsidP="0057721C">
      <w:pPr>
        <w:jc w:val="both"/>
        <w:rPr>
          <w:lang w:val="en-US"/>
        </w:rPr>
      </w:pPr>
      <w:r w:rsidRPr="00C57412">
        <w:rPr>
          <w:lang w:val="en-US"/>
        </w:rPr>
        <w:t xml:space="preserve">Goyal, P., Rani, D. &amp; Chadha, R. (2018). </w:t>
      </w:r>
      <w:r w:rsidRPr="00C57412">
        <w:rPr>
          <w:i/>
          <w:lang w:val="en-US"/>
        </w:rPr>
        <w:t>Cryst. Growth Des.</w:t>
      </w:r>
      <w:r w:rsidRPr="00C57412">
        <w:rPr>
          <w:lang w:val="en-US"/>
        </w:rPr>
        <w:t xml:space="preserve"> </w:t>
      </w:r>
      <w:r w:rsidRPr="00C57412">
        <w:rPr>
          <w:b/>
          <w:lang w:val="en-US"/>
        </w:rPr>
        <w:t>18</w:t>
      </w:r>
      <w:r w:rsidRPr="00C57412">
        <w:rPr>
          <w:lang w:val="en-US"/>
        </w:rPr>
        <w:t>, 105–118.</w:t>
      </w:r>
    </w:p>
    <w:p w:rsidR="0057721C" w:rsidRPr="00C57412" w:rsidRDefault="0057721C" w:rsidP="0057721C">
      <w:pPr>
        <w:jc w:val="both"/>
        <w:rPr>
          <w:lang w:val="en-US"/>
        </w:rPr>
      </w:pPr>
      <w:r w:rsidRPr="00C57412">
        <w:rPr>
          <w:lang w:val="en-US"/>
        </w:rPr>
        <w:t xml:space="preserve">Grifasi, F., Chierotti, M. R., Gaglioti, K., Gobetto, R., Maini, L., Braga, D., Dichiarante, E. &amp; Curzi, M. (2015). </w:t>
      </w:r>
      <w:r w:rsidRPr="00C57412">
        <w:rPr>
          <w:i/>
          <w:lang w:val="en-US"/>
        </w:rPr>
        <w:t>Cryst. Growth Des.</w:t>
      </w:r>
      <w:r w:rsidRPr="00C57412">
        <w:rPr>
          <w:lang w:val="en-US"/>
        </w:rPr>
        <w:t xml:space="preserve"> </w:t>
      </w:r>
      <w:r w:rsidRPr="00C57412">
        <w:rPr>
          <w:b/>
          <w:lang w:val="en-US"/>
        </w:rPr>
        <w:t>15</w:t>
      </w:r>
      <w:r w:rsidRPr="00C57412">
        <w:rPr>
          <w:lang w:val="en-US"/>
        </w:rPr>
        <w:t>, 1939–1948.</w:t>
      </w:r>
    </w:p>
    <w:p w:rsidR="0057721C" w:rsidRPr="00C57412" w:rsidRDefault="0057721C" w:rsidP="0057721C">
      <w:pPr>
        <w:jc w:val="both"/>
        <w:rPr>
          <w:lang w:val="en-US"/>
        </w:rPr>
      </w:pPr>
      <w:r w:rsidRPr="00C57412">
        <w:rPr>
          <w:lang w:val="en-US"/>
        </w:rPr>
        <w:t xml:space="preserve">Grimme, S. J. (2006). </w:t>
      </w:r>
      <w:r w:rsidRPr="00C57412">
        <w:rPr>
          <w:i/>
          <w:lang w:val="en-US"/>
        </w:rPr>
        <w:t>Comput. Chem.</w:t>
      </w:r>
      <w:r w:rsidRPr="00C57412">
        <w:rPr>
          <w:lang w:val="en-US"/>
        </w:rPr>
        <w:t xml:space="preserve"> </w:t>
      </w:r>
      <w:r w:rsidRPr="00C57412">
        <w:rPr>
          <w:b/>
          <w:lang w:val="en-US"/>
        </w:rPr>
        <w:t>27</w:t>
      </w:r>
      <w:r w:rsidRPr="00C57412">
        <w:rPr>
          <w:lang w:val="en-US"/>
        </w:rPr>
        <w:t>, 1787–1799.</w:t>
      </w:r>
    </w:p>
    <w:p w:rsidR="0057721C" w:rsidRPr="00C57412" w:rsidRDefault="0057721C" w:rsidP="0057721C">
      <w:pPr>
        <w:jc w:val="both"/>
        <w:rPr>
          <w:lang w:val="en-US"/>
        </w:rPr>
      </w:pPr>
      <w:r w:rsidRPr="00C57412">
        <w:rPr>
          <w:lang w:val="en-US"/>
        </w:rPr>
        <w:t xml:space="preserve">Karki, S., Friščić, T., Fabián, L., Laity, P. R., Day, G. M. &amp; Jones, W. (2009). </w:t>
      </w:r>
      <w:r w:rsidRPr="00C57412">
        <w:rPr>
          <w:i/>
          <w:lang w:val="en-US"/>
        </w:rPr>
        <w:t>Adv. Mater.</w:t>
      </w:r>
      <w:r w:rsidRPr="00C57412">
        <w:rPr>
          <w:lang w:val="en-US"/>
        </w:rPr>
        <w:t xml:space="preserve"> </w:t>
      </w:r>
      <w:r w:rsidRPr="00C57412">
        <w:rPr>
          <w:b/>
          <w:lang w:val="en-US"/>
        </w:rPr>
        <w:t>21</w:t>
      </w:r>
      <w:r w:rsidRPr="00C57412">
        <w:rPr>
          <w:lang w:val="en-US"/>
        </w:rPr>
        <w:t>, 3905–3909.</w:t>
      </w:r>
    </w:p>
    <w:p w:rsidR="0057721C" w:rsidRPr="00C57412" w:rsidRDefault="0057721C" w:rsidP="0057721C">
      <w:pPr>
        <w:jc w:val="both"/>
        <w:rPr>
          <w:lang w:val="en-US"/>
        </w:rPr>
      </w:pPr>
      <w:r w:rsidRPr="00C57412">
        <w:rPr>
          <w:lang w:val="en-US"/>
        </w:rPr>
        <w:t xml:space="preserve">Kaur, R., Cavanagh, K. L., Rodríguez-Hornedo, N. &amp; Matzger, A. J. (2017). </w:t>
      </w:r>
      <w:r w:rsidRPr="00C57412">
        <w:rPr>
          <w:i/>
          <w:lang w:val="en-US"/>
        </w:rPr>
        <w:t>Cryst. Growth Des.</w:t>
      </w:r>
      <w:r w:rsidRPr="00C57412">
        <w:rPr>
          <w:lang w:val="en-US"/>
        </w:rPr>
        <w:t xml:space="preserve"> </w:t>
      </w:r>
      <w:r w:rsidRPr="00C57412">
        <w:rPr>
          <w:b/>
          <w:lang w:val="en-US"/>
        </w:rPr>
        <w:t>17</w:t>
      </w:r>
      <w:r w:rsidRPr="00C57412">
        <w:rPr>
          <w:lang w:val="en-US"/>
        </w:rPr>
        <w:t>, 5012−5016.</w:t>
      </w:r>
    </w:p>
    <w:p w:rsidR="0057721C" w:rsidRPr="00C57412" w:rsidRDefault="0057721C" w:rsidP="0057721C">
      <w:pPr>
        <w:jc w:val="both"/>
        <w:rPr>
          <w:lang w:val="en-US"/>
        </w:rPr>
      </w:pPr>
      <w:r w:rsidRPr="00C57412">
        <w:rPr>
          <w:lang w:val="en-US"/>
        </w:rPr>
        <w:t xml:space="preserve">Kitaĭgorodskiĭ, A. I. (1973). </w:t>
      </w:r>
      <w:r w:rsidRPr="00C57412">
        <w:rPr>
          <w:i/>
          <w:lang w:val="en-US"/>
        </w:rPr>
        <w:t>Molecular Crystals and Molecules</w:t>
      </w:r>
      <w:r w:rsidRPr="00C57412">
        <w:rPr>
          <w:lang w:val="en-US"/>
        </w:rPr>
        <w:t>, New York and London, Academic Press.</w:t>
      </w:r>
    </w:p>
    <w:p w:rsidR="0057721C" w:rsidRPr="00C57412" w:rsidRDefault="0057721C" w:rsidP="0057721C">
      <w:pPr>
        <w:jc w:val="both"/>
        <w:rPr>
          <w:lang w:val="en-US"/>
        </w:rPr>
      </w:pPr>
      <w:r w:rsidRPr="00C57412">
        <w:rPr>
          <w:lang w:val="en-US"/>
        </w:rPr>
        <w:t xml:space="preserve">Lindeman, S. V., Shklover, V. E. &amp; Struchkov, Yu. T. (1981). </w:t>
      </w:r>
      <w:r w:rsidRPr="00C57412">
        <w:rPr>
          <w:i/>
          <w:lang w:val="en-US"/>
        </w:rPr>
        <w:t>Cryst. Struct. Commun.</w:t>
      </w:r>
      <w:r w:rsidRPr="00C57412">
        <w:rPr>
          <w:lang w:val="en-US"/>
        </w:rPr>
        <w:t xml:space="preserve"> </w:t>
      </w:r>
      <w:r w:rsidRPr="00C57412">
        <w:rPr>
          <w:b/>
          <w:lang w:val="en-US"/>
        </w:rPr>
        <w:t>10</w:t>
      </w:r>
      <w:r w:rsidRPr="00C57412">
        <w:rPr>
          <w:lang w:val="en-US"/>
        </w:rPr>
        <w:t>, 1173–1179,</w:t>
      </w:r>
    </w:p>
    <w:p w:rsidR="0057721C" w:rsidRPr="00C57412" w:rsidRDefault="0057721C" w:rsidP="0057721C">
      <w:pPr>
        <w:jc w:val="both"/>
        <w:rPr>
          <w:lang w:val="en-US"/>
        </w:rPr>
      </w:pPr>
      <w:r w:rsidRPr="00C57412">
        <w:rPr>
          <w:lang w:val="en-US"/>
        </w:rPr>
        <w:t xml:space="preserve">Maartmann-Moe, K. (1966). </w:t>
      </w:r>
      <w:r w:rsidRPr="00C57412">
        <w:rPr>
          <w:i/>
          <w:lang w:val="en-US"/>
        </w:rPr>
        <w:t>Acta Cryst.</w:t>
      </w:r>
      <w:r w:rsidRPr="00C57412">
        <w:rPr>
          <w:lang w:val="en-US"/>
        </w:rPr>
        <w:t xml:space="preserve"> </w:t>
      </w:r>
      <w:r w:rsidRPr="00C57412">
        <w:rPr>
          <w:b/>
          <w:lang w:val="en-US"/>
        </w:rPr>
        <w:t>21</w:t>
      </w:r>
      <w:r w:rsidRPr="00C57412">
        <w:rPr>
          <w:lang w:val="en-US"/>
        </w:rPr>
        <w:t>, 979–982.</w:t>
      </w:r>
    </w:p>
    <w:p w:rsidR="0057721C" w:rsidRPr="00C57412" w:rsidRDefault="0057721C" w:rsidP="0057721C">
      <w:pPr>
        <w:jc w:val="both"/>
        <w:rPr>
          <w:lang w:val="en-US"/>
        </w:rPr>
      </w:pPr>
      <w:r w:rsidRPr="00C57412">
        <w:rPr>
          <w:lang w:val="en-US"/>
        </w:rPr>
        <w:t xml:space="preserve">Mao, K., Wiench, W., Lin,V. S. Y. &amp; Pruski, M. (2009).  </w:t>
      </w:r>
      <w:r w:rsidRPr="00C57412">
        <w:rPr>
          <w:i/>
          <w:lang w:val="en-US"/>
        </w:rPr>
        <w:t>J. Magn. Reson.</w:t>
      </w:r>
      <w:r w:rsidRPr="00C57412">
        <w:rPr>
          <w:lang w:val="en-US"/>
        </w:rPr>
        <w:t xml:space="preserve"> </w:t>
      </w:r>
      <w:r w:rsidRPr="00C57412">
        <w:rPr>
          <w:b/>
          <w:lang w:val="en-US"/>
        </w:rPr>
        <w:t>196</w:t>
      </w:r>
      <w:r w:rsidRPr="00C57412">
        <w:rPr>
          <w:lang w:val="en-US"/>
        </w:rPr>
        <w:t>, 92–95.</w:t>
      </w:r>
    </w:p>
    <w:p w:rsidR="0057721C" w:rsidRPr="00C57412" w:rsidRDefault="0057721C" w:rsidP="0057721C">
      <w:pPr>
        <w:jc w:val="both"/>
        <w:rPr>
          <w:lang w:val="en-US"/>
        </w:rPr>
      </w:pPr>
      <w:r w:rsidRPr="00C57412">
        <w:rPr>
          <w:lang w:val="en-US"/>
        </w:rPr>
        <w:t xml:space="preserve">Mukherjee, A. &amp; Desiraju, G. R. (2014). </w:t>
      </w:r>
      <w:r w:rsidRPr="00C57412">
        <w:rPr>
          <w:i/>
          <w:lang w:val="en-US"/>
        </w:rPr>
        <w:t>Cryst. Growth Des.</w:t>
      </w:r>
      <w:r w:rsidRPr="00C57412">
        <w:rPr>
          <w:lang w:val="en-US"/>
        </w:rPr>
        <w:t xml:space="preserve"> </w:t>
      </w:r>
      <w:r w:rsidRPr="00C57412">
        <w:rPr>
          <w:b/>
          <w:lang w:val="en-US"/>
        </w:rPr>
        <w:t>14</w:t>
      </w:r>
      <w:r w:rsidRPr="00C57412">
        <w:rPr>
          <w:lang w:val="en-US"/>
        </w:rPr>
        <w:t>, 1375–1385.</w:t>
      </w:r>
    </w:p>
    <w:p w:rsidR="0057721C" w:rsidRPr="00C57412" w:rsidRDefault="0057721C" w:rsidP="0057721C">
      <w:pPr>
        <w:jc w:val="both"/>
      </w:pPr>
      <w:r w:rsidRPr="00C57412">
        <w:rPr>
          <w:lang w:val="en-US"/>
        </w:rPr>
        <w:t xml:space="preserve">Nielsen, N. C., Bildsøe, H., Jakobsen, H. J. &amp; Levitt, M. H. (1994).  </w:t>
      </w:r>
      <w:r w:rsidRPr="00C57412">
        <w:rPr>
          <w:i/>
        </w:rPr>
        <w:t>J. Chem. Phys.</w:t>
      </w:r>
      <w:r w:rsidRPr="00C57412">
        <w:t xml:space="preserve"> </w:t>
      </w:r>
      <w:r w:rsidRPr="00C57412">
        <w:rPr>
          <w:b/>
        </w:rPr>
        <w:t>101</w:t>
      </w:r>
      <w:r w:rsidRPr="00C57412">
        <w:t>, 1805–1812.</w:t>
      </w:r>
    </w:p>
    <w:p w:rsidR="0057721C" w:rsidRPr="00C57412" w:rsidRDefault="0057721C" w:rsidP="0057721C">
      <w:pPr>
        <w:jc w:val="both"/>
        <w:rPr>
          <w:lang w:val="en-US"/>
        </w:rPr>
      </w:pPr>
      <w:r w:rsidRPr="00C57412">
        <w:lastRenderedPageBreak/>
        <w:t xml:space="preserve">Palusiak, M. &amp; Grabowski, S. J. (2002). </w:t>
      </w:r>
      <w:r w:rsidRPr="00C57412">
        <w:rPr>
          <w:i/>
        </w:rPr>
        <w:t xml:space="preserve">J. Mol. </w:t>
      </w:r>
      <w:r w:rsidRPr="00C57412">
        <w:rPr>
          <w:i/>
          <w:lang w:val="en-US"/>
        </w:rPr>
        <w:t>Struct.</w:t>
      </w:r>
      <w:r w:rsidRPr="00C57412">
        <w:rPr>
          <w:lang w:val="en-US"/>
        </w:rPr>
        <w:t xml:space="preserve"> </w:t>
      </w:r>
      <w:r w:rsidRPr="00C57412">
        <w:rPr>
          <w:b/>
          <w:lang w:val="en-US"/>
        </w:rPr>
        <w:t>642</w:t>
      </w:r>
      <w:r w:rsidRPr="00C57412">
        <w:rPr>
          <w:lang w:val="en-US"/>
        </w:rPr>
        <w:t>, 97–104.</w:t>
      </w:r>
    </w:p>
    <w:p w:rsidR="0057721C" w:rsidRPr="00C57412" w:rsidRDefault="0057721C" w:rsidP="0057721C">
      <w:pPr>
        <w:jc w:val="both"/>
        <w:rPr>
          <w:lang w:val="en-US"/>
        </w:rPr>
      </w:pPr>
      <w:r w:rsidRPr="00C57412">
        <w:rPr>
          <w:lang w:val="en-US"/>
        </w:rPr>
        <w:t>Patent No. EP 3339292 A1 (2018).</w:t>
      </w:r>
    </w:p>
    <w:p w:rsidR="0057721C" w:rsidRPr="00C57412" w:rsidRDefault="0057721C" w:rsidP="0057721C">
      <w:pPr>
        <w:jc w:val="both"/>
        <w:rPr>
          <w:lang w:val="en-US"/>
        </w:rPr>
      </w:pPr>
      <w:r w:rsidRPr="00C57412">
        <w:rPr>
          <w:lang w:val="en-US"/>
        </w:rPr>
        <w:t xml:space="preserve">Patent No. US 9,850,205 B2 (2017). </w:t>
      </w:r>
    </w:p>
    <w:p w:rsidR="0057721C" w:rsidRPr="00C57412" w:rsidRDefault="0057721C" w:rsidP="0057721C">
      <w:pPr>
        <w:jc w:val="both"/>
        <w:rPr>
          <w:lang w:val="en-US"/>
        </w:rPr>
      </w:pPr>
      <w:r w:rsidRPr="00C57412">
        <w:rPr>
          <w:lang w:val="en-US"/>
        </w:rPr>
        <w:t xml:space="preserve">Patent No. WO 2009/120167 A1 (2009). </w:t>
      </w:r>
    </w:p>
    <w:p w:rsidR="0057721C" w:rsidRPr="00C57412" w:rsidRDefault="0057721C" w:rsidP="0057721C">
      <w:pPr>
        <w:jc w:val="both"/>
        <w:rPr>
          <w:lang w:val="en-US"/>
        </w:rPr>
      </w:pPr>
      <w:r w:rsidRPr="00C57412">
        <w:rPr>
          <w:lang w:val="en-US"/>
        </w:rPr>
        <w:t>Patent No. WO 2017/196192 A1 (2017).</w:t>
      </w:r>
    </w:p>
    <w:p w:rsidR="00C65694" w:rsidRPr="00C57412" w:rsidRDefault="00C65694" w:rsidP="0057721C">
      <w:pPr>
        <w:jc w:val="both"/>
        <w:rPr>
          <w:lang w:val="en-US"/>
        </w:rPr>
      </w:pPr>
      <w:r w:rsidRPr="00C57412">
        <w:rPr>
          <w:lang w:val="en-US"/>
        </w:rPr>
        <w:t xml:space="preserve">Perlovich, G. L. (2018). </w:t>
      </w:r>
      <w:r w:rsidRPr="00C57412">
        <w:rPr>
          <w:i/>
          <w:lang w:val="en-US"/>
        </w:rPr>
        <w:t>CrystEngComm</w:t>
      </w:r>
      <w:r w:rsidRPr="00C57412">
        <w:rPr>
          <w:lang w:val="en-US"/>
        </w:rPr>
        <w:t xml:space="preserve"> </w:t>
      </w:r>
      <w:r w:rsidRPr="00C57412">
        <w:rPr>
          <w:b/>
          <w:lang w:val="en-US"/>
        </w:rPr>
        <w:t>20</w:t>
      </w:r>
      <w:r w:rsidRPr="00C57412">
        <w:rPr>
          <w:lang w:val="en-US"/>
        </w:rPr>
        <w:t xml:space="preserve">, 3634–3637. </w:t>
      </w:r>
    </w:p>
    <w:p w:rsidR="0057721C" w:rsidRPr="00C57412" w:rsidRDefault="0057721C" w:rsidP="0057721C">
      <w:pPr>
        <w:jc w:val="both"/>
        <w:rPr>
          <w:lang w:val="en-US"/>
        </w:rPr>
      </w:pPr>
      <w:r w:rsidRPr="00C57412">
        <w:rPr>
          <w:lang w:val="en-US"/>
        </w:rPr>
        <w:t xml:space="preserve">Price, S. L., Leslie, M., Welch, G. W. A., Habgood, M., Price, L. S., Karamertzanis, P. G. &amp; Day, G. M. (2010). </w:t>
      </w:r>
      <w:r w:rsidRPr="00C57412">
        <w:rPr>
          <w:i/>
          <w:lang w:val="en-US"/>
        </w:rPr>
        <w:t>Phys. Chem. Chem. Phys.</w:t>
      </w:r>
      <w:r w:rsidRPr="00C57412">
        <w:rPr>
          <w:lang w:val="en-US"/>
        </w:rPr>
        <w:t xml:space="preserve"> </w:t>
      </w:r>
      <w:r w:rsidRPr="00C57412">
        <w:rPr>
          <w:b/>
          <w:lang w:val="en-US"/>
        </w:rPr>
        <w:t>12</w:t>
      </w:r>
      <w:r w:rsidRPr="00C57412">
        <w:rPr>
          <w:lang w:val="en-US"/>
        </w:rPr>
        <w:t>, 8478−8490.</w:t>
      </w:r>
    </w:p>
    <w:p w:rsidR="0057721C" w:rsidRPr="00C57412" w:rsidRDefault="0057721C" w:rsidP="0057721C">
      <w:pPr>
        <w:jc w:val="both"/>
        <w:rPr>
          <w:lang w:val="en-US"/>
        </w:rPr>
      </w:pPr>
      <w:r w:rsidRPr="00C57412">
        <w:rPr>
          <w:lang w:val="en-US"/>
        </w:rPr>
        <w:t xml:space="preserve">Putra, O. D., Umeda, D., Nugraha, Y. P., Furuishi, T., Nagase, H., Fukuzawa, K., Uekusa, H. &amp; Yonemochi, E. (2017). </w:t>
      </w:r>
      <w:r w:rsidRPr="00C57412">
        <w:rPr>
          <w:i/>
          <w:lang w:val="en-US"/>
        </w:rPr>
        <w:t>CrystEngComm</w:t>
      </w:r>
      <w:r w:rsidRPr="00C57412">
        <w:rPr>
          <w:lang w:val="en-US"/>
        </w:rPr>
        <w:t xml:space="preserve"> </w:t>
      </w:r>
      <w:r w:rsidRPr="00C57412">
        <w:rPr>
          <w:b/>
          <w:lang w:val="en-US"/>
        </w:rPr>
        <w:t>19</w:t>
      </w:r>
      <w:r w:rsidRPr="00C57412">
        <w:rPr>
          <w:lang w:val="en-US"/>
        </w:rPr>
        <w:t>, 2614–2622.</w:t>
      </w:r>
    </w:p>
    <w:p w:rsidR="0057721C" w:rsidRPr="00C57412" w:rsidRDefault="0057721C" w:rsidP="0057721C">
      <w:pPr>
        <w:jc w:val="both"/>
        <w:rPr>
          <w:lang w:val="en-US"/>
        </w:rPr>
      </w:pPr>
      <w:r w:rsidRPr="00C57412">
        <w:rPr>
          <w:lang w:val="en-US"/>
        </w:rPr>
        <w:t xml:space="preserve">Schafer, P. (2012). </w:t>
      </w:r>
      <w:r w:rsidRPr="00C57412">
        <w:rPr>
          <w:i/>
          <w:lang w:val="en-US"/>
        </w:rPr>
        <w:t>Biochem. Pharmacol.</w:t>
      </w:r>
      <w:r w:rsidRPr="00C57412">
        <w:rPr>
          <w:lang w:val="en-US"/>
        </w:rPr>
        <w:t xml:space="preserve"> </w:t>
      </w:r>
      <w:r w:rsidRPr="00C57412">
        <w:rPr>
          <w:b/>
          <w:lang w:val="en-US"/>
        </w:rPr>
        <w:t>83</w:t>
      </w:r>
      <w:r w:rsidRPr="00C57412">
        <w:rPr>
          <w:lang w:val="en-US"/>
        </w:rPr>
        <w:t>, 1583–1590.</w:t>
      </w:r>
    </w:p>
    <w:p w:rsidR="0057721C" w:rsidRPr="00C57412" w:rsidRDefault="0057721C" w:rsidP="0057721C">
      <w:pPr>
        <w:jc w:val="both"/>
        <w:rPr>
          <w:lang w:val="en-US"/>
        </w:rPr>
      </w:pPr>
      <w:r w:rsidRPr="00C57412">
        <w:rPr>
          <w:lang w:val="en-US"/>
        </w:rPr>
        <w:t xml:space="preserve">Shakeel, F., Haq, N., Alanazi, F. K. &amp; Alsarra, I. A. (2017). </w:t>
      </w:r>
      <w:r w:rsidRPr="00C57412">
        <w:rPr>
          <w:i/>
          <w:lang w:val="en-US"/>
        </w:rPr>
        <w:t>Int. J. Pharm.</w:t>
      </w:r>
      <w:r w:rsidRPr="00C57412">
        <w:rPr>
          <w:lang w:val="en-US"/>
        </w:rPr>
        <w:t xml:space="preserve"> </w:t>
      </w:r>
      <w:r w:rsidRPr="00C57412">
        <w:rPr>
          <w:b/>
          <w:lang w:val="en-US"/>
        </w:rPr>
        <w:t>523</w:t>
      </w:r>
      <w:r w:rsidRPr="00C57412">
        <w:rPr>
          <w:lang w:val="en-US"/>
        </w:rPr>
        <w:t>, 410–417.</w:t>
      </w:r>
    </w:p>
    <w:p w:rsidR="0057721C" w:rsidRPr="00C57412" w:rsidRDefault="0057721C" w:rsidP="0057721C">
      <w:pPr>
        <w:jc w:val="both"/>
        <w:rPr>
          <w:lang w:val="en-US"/>
        </w:rPr>
      </w:pPr>
      <w:r w:rsidRPr="00C57412">
        <w:rPr>
          <w:lang w:val="en-US"/>
        </w:rPr>
        <w:t xml:space="preserve">Sheldrick, G. M. (2015). </w:t>
      </w:r>
      <w:r w:rsidRPr="00C57412">
        <w:rPr>
          <w:rStyle w:val="it"/>
          <w:i/>
          <w:iCs/>
          <w:lang w:val="en-US"/>
        </w:rPr>
        <w:t>Acta Cryst.</w:t>
      </w:r>
      <w:r w:rsidRPr="00C57412">
        <w:rPr>
          <w:lang w:val="en-US"/>
        </w:rPr>
        <w:t xml:space="preserve"> C</w:t>
      </w:r>
      <w:r w:rsidRPr="00C57412">
        <w:rPr>
          <w:rStyle w:val="b"/>
          <w:b/>
          <w:bCs/>
          <w:lang w:val="en-US"/>
        </w:rPr>
        <w:t>71</w:t>
      </w:r>
      <w:r w:rsidRPr="00C57412">
        <w:rPr>
          <w:lang w:val="en-US"/>
        </w:rPr>
        <w:t>, 3–8.</w:t>
      </w:r>
    </w:p>
    <w:p w:rsidR="0057721C" w:rsidRPr="00C57412" w:rsidRDefault="0057721C" w:rsidP="0057721C">
      <w:pPr>
        <w:jc w:val="both"/>
        <w:rPr>
          <w:lang w:val="en-US"/>
        </w:rPr>
      </w:pPr>
      <w:r w:rsidRPr="00C57412">
        <w:rPr>
          <w:lang w:val="en-US"/>
        </w:rPr>
        <w:t xml:space="preserve">Stone, A. J. (2015). </w:t>
      </w:r>
      <w:r w:rsidRPr="00C57412">
        <w:rPr>
          <w:i/>
          <w:lang w:val="en-US"/>
        </w:rPr>
        <w:t>J. Chem. Theory Comput.</w:t>
      </w:r>
      <w:r w:rsidRPr="00C57412">
        <w:rPr>
          <w:lang w:val="en-US"/>
        </w:rPr>
        <w:t xml:space="preserve"> </w:t>
      </w:r>
      <w:r w:rsidRPr="00C57412">
        <w:rPr>
          <w:b/>
          <w:lang w:val="en-US"/>
        </w:rPr>
        <w:t>1</w:t>
      </w:r>
      <w:r w:rsidRPr="00C57412">
        <w:rPr>
          <w:lang w:val="en-US"/>
        </w:rPr>
        <w:t>, 1128–1132.</w:t>
      </w:r>
    </w:p>
    <w:p w:rsidR="0057721C" w:rsidRPr="00C57412" w:rsidRDefault="0057721C" w:rsidP="0057721C">
      <w:pPr>
        <w:jc w:val="both"/>
        <w:rPr>
          <w:lang w:val="en-US"/>
        </w:rPr>
      </w:pPr>
      <w:r w:rsidRPr="00C57412">
        <w:rPr>
          <w:lang w:val="en-US"/>
        </w:rPr>
        <w:t xml:space="preserve">Taylor, C. R. &amp; Day, G. M. (2018). </w:t>
      </w:r>
      <w:r w:rsidRPr="00C57412">
        <w:rPr>
          <w:i/>
          <w:lang w:val="en-US"/>
        </w:rPr>
        <w:t>Cryst. Growth Des.</w:t>
      </w:r>
      <w:r w:rsidRPr="00C57412">
        <w:rPr>
          <w:lang w:val="en-US"/>
        </w:rPr>
        <w:t xml:space="preserve"> </w:t>
      </w:r>
      <w:r w:rsidRPr="00C57412">
        <w:rPr>
          <w:b/>
          <w:lang w:val="en-US"/>
        </w:rPr>
        <w:t>18</w:t>
      </w:r>
      <w:r w:rsidRPr="00C57412">
        <w:rPr>
          <w:lang w:val="en-US"/>
        </w:rPr>
        <w:t>, 892–904.</w:t>
      </w:r>
    </w:p>
    <w:p w:rsidR="0057721C" w:rsidRPr="00C57412" w:rsidRDefault="0057721C" w:rsidP="0057721C">
      <w:pPr>
        <w:jc w:val="both"/>
        <w:rPr>
          <w:lang w:val="en-US"/>
        </w:rPr>
      </w:pPr>
      <w:r w:rsidRPr="00C57412">
        <w:rPr>
          <w:lang w:val="en-US"/>
        </w:rPr>
        <w:t xml:space="preserve">Vasisht, K., Chadha, K., Karan, M., Bhalla, Y., Jena, A. K. &amp; Chadha, R. (2016). </w:t>
      </w:r>
      <w:r w:rsidRPr="00C57412">
        <w:rPr>
          <w:i/>
          <w:lang w:val="en-US"/>
        </w:rPr>
        <w:t>CrystEngComm</w:t>
      </w:r>
      <w:r w:rsidRPr="00C57412">
        <w:rPr>
          <w:lang w:val="en-US"/>
        </w:rPr>
        <w:t xml:space="preserve"> </w:t>
      </w:r>
      <w:r w:rsidRPr="00C57412">
        <w:rPr>
          <w:b/>
          <w:lang w:val="en-US"/>
        </w:rPr>
        <w:t>18</w:t>
      </w:r>
      <w:r w:rsidRPr="00C57412">
        <w:rPr>
          <w:lang w:val="en-US"/>
        </w:rPr>
        <w:t>, 1403–1415.</w:t>
      </w:r>
    </w:p>
    <w:p w:rsidR="0057721C" w:rsidRPr="00C57412" w:rsidRDefault="0057721C" w:rsidP="0057721C">
      <w:pPr>
        <w:jc w:val="both"/>
        <w:rPr>
          <w:lang w:val="en-US"/>
        </w:rPr>
      </w:pPr>
      <w:r w:rsidRPr="00C57412">
        <w:rPr>
          <w:lang w:val="en-US"/>
        </w:rPr>
        <w:t xml:space="preserve">Wang, F.-Y., Zhang, Q., Zhang, Z., Gong, X., Wang, J.-R. &amp; Mei, X. (2018). </w:t>
      </w:r>
      <w:r w:rsidRPr="00C57412">
        <w:rPr>
          <w:i/>
          <w:lang w:val="en-US"/>
        </w:rPr>
        <w:t>CrystEngComm</w:t>
      </w:r>
      <w:r w:rsidRPr="00C57412">
        <w:rPr>
          <w:lang w:val="en-US"/>
        </w:rPr>
        <w:t xml:space="preserve"> </w:t>
      </w:r>
      <w:r w:rsidRPr="00C57412">
        <w:rPr>
          <w:b/>
          <w:lang w:val="en-US"/>
        </w:rPr>
        <w:t>20</w:t>
      </w:r>
      <w:r w:rsidRPr="00C57412">
        <w:rPr>
          <w:lang w:val="en-US"/>
        </w:rPr>
        <w:t>, 5945–5948.</w:t>
      </w:r>
    </w:p>
    <w:p w:rsidR="00443788" w:rsidRPr="00C57412" w:rsidRDefault="00443788" w:rsidP="00443788">
      <w:pPr>
        <w:jc w:val="both"/>
        <w:rPr>
          <w:lang w:val="en-US"/>
        </w:rPr>
      </w:pPr>
      <w:r w:rsidRPr="00C57412">
        <w:rPr>
          <w:lang w:val="en-US"/>
        </w:rPr>
        <w:t xml:space="preserve">Webber, A. L., Emsley, L., Claramunt, R. M. &amp; Brown, S. P. (2010). </w:t>
      </w:r>
      <w:r w:rsidRPr="00C57412">
        <w:rPr>
          <w:i/>
          <w:lang w:val="en-US"/>
        </w:rPr>
        <w:t>J. Phys. Chem. A</w:t>
      </w:r>
      <w:r w:rsidRPr="00C57412">
        <w:rPr>
          <w:lang w:val="en-US"/>
        </w:rPr>
        <w:t xml:space="preserve"> </w:t>
      </w:r>
      <w:r w:rsidRPr="00C57412">
        <w:rPr>
          <w:b/>
          <w:lang w:val="en-US"/>
        </w:rPr>
        <w:t>114</w:t>
      </w:r>
      <w:r w:rsidRPr="00C57412">
        <w:rPr>
          <w:lang w:val="en-US"/>
        </w:rPr>
        <w:t>, 10435–10442.</w:t>
      </w:r>
    </w:p>
    <w:p w:rsidR="0057721C" w:rsidRPr="00C57412" w:rsidRDefault="0057721C" w:rsidP="0057721C">
      <w:pPr>
        <w:jc w:val="both"/>
        <w:rPr>
          <w:lang w:val="en-US"/>
        </w:rPr>
      </w:pPr>
      <w:r w:rsidRPr="00C57412">
        <w:rPr>
          <w:lang w:val="en-US"/>
        </w:rPr>
        <w:t xml:space="preserve">Wicker, J. G. P., Crowley, L. M., Robshaw, O., Little, E. J., Stokes, S. P., Cooper, R. I. &amp; Lawrence, S. E. (2017). </w:t>
      </w:r>
      <w:r w:rsidRPr="00C57412">
        <w:rPr>
          <w:i/>
          <w:lang w:val="en-US"/>
        </w:rPr>
        <w:t>CrystEngComm</w:t>
      </w:r>
      <w:r w:rsidRPr="00C57412">
        <w:rPr>
          <w:lang w:val="en-US"/>
        </w:rPr>
        <w:t xml:space="preserve"> </w:t>
      </w:r>
      <w:r w:rsidRPr="00C57412">
        <w:rPr>
          <w:b/>
          <w:lang w:val="en-US"/>
        </w:rPr>
        <w:t>19</w:t>
      </w:r>
      <w:r w:rsidRPr="00C57412">
        <w:rPr>
          <w:lang w:val="en-US"/>
        </w:rPr>
        <w:t>, 5336–5340.</w:t>
      </w:r>
    </w:p>
    <w:p w:rsidR="0057721C" w:rsidRPr="00C57412" w:rsidRDefault="0057721C" w:rsidP="0057721C">
      <w:pPr>
        <w:jc w:val="both"/>
        <w:rPr>
          <w:lang w:val="en-US"/>
        </w:rPr>
      </w:pPr>
      <w:r w:rsidRPr="00C57412">
        <w:rPr>
          <w:lang w:val="en-US"/>
        </w:rPr>
        <w:t>Wu, Y.-D., Liu, X.-H., Xu, J., Zhang, S.-H., Shen, K., Sun, L., He, Y.-M., Ma Y. &amp; Zhang, A.-H. (2017</w:t>
      </w:r>
      <w:r w:rsidRPr="00C57412">
        <w:rPr>
          <w:i/>
          <w:lang w:val="en-US"/>
        </w:rPr>
        <w:t>a</w:t>
      </w:r>
      <w:r w:rsidRPr="00C57412">
        <w:rPr>
          <w:lang w:val="en-US"/>
        </w:rPr>
        <w:t xml:space="preserve">). </w:t>
      </w:r>
      <w:r w:rsidRPr="00C57412">
        <w:rPr>
          <w:i/>
          <w:lang w:val="en-US"/>
        </w:rPr>
        <w:t>Acta Cryst.</w:t>
      </w:r>
      <w:r w:rsidRPr="00C57412">
        <w:rPr>
          <w:lang w:val="en-US"/>
        </w:rPr>
        <w:t xml:space="preserve"> E</w:t>
      </w:r>
      <w:r w:rsidRPr="00C57412">
        <w:rPr>
          <w:b/>
          <w:lang w:val="en-US"/>
        </w:rPr>
        <w:t>73</w:t>
      </w:r>
      <w:r w:rsidRPr="00C57412">
        <w:rPr>
          <w:lang w:val="en-US"/>
        </w:rPr>
        <w:t>, 821–824.</w:t>
      </w:r>
    </w:p>
    <w:p w:rsidR="0057721C" w:rsidRPr="00C57412" w:rsidRDefault="0057721C" w:rsidP="0057721C">
      <w:pPr>
        <w:jc w:val="both"/>
        <w:rPr>
          <w:lang w:val="en-US"/>
        </w:rPr>
      </w:pPr>
      <w:r w:rsidRPr="00C57412">
        <w:rPr>
          <w:lang w:val="en-US"/>
        </w:rPr>
        <w:t>Wu, Y.-D., Zhang, X.-L., Liu, X.-H., Xu, J., Zhang, M., Shen, K., Zhang, S.-H., He, Y.-M., Ma Y. &amp; Zhang, A.-H. (2017</w:t>
      </w:r>
      <w:r w:rsidRPr="00C57412">
        <w:rPr>
          <w:i/>
          <w:lang w:val="en-US"/>
        </w:rPr>
        <w:t>b</w:t>
      </w:r>
      <w:r w:rsidRPr="00C57412">
        <w:rPr>
          <w:lang w:val="en-US"/>
        </w:rPr>
        <w:t xml:space="preserve">). </w:t>
      </w:r>
      <w:r w:rsidRPr="00C57412">
        <w:rPr>
          <w:i/>
          <w:lang w:val="en-US"/>
        </w:rPr>
        <w:t>Acta Cryst.</w:t>
      </w:r>
      <w:r w:rsidRPr="00C57412">
        <w:rPr>
          <w:lang w:val="en-US"/>
        </w:rPr>
        <w:t xml:space="preserve"> C</w:t>
      </w:r>
      <w:r w:rsidRPr="00C57412">
        <w:rPr>
          <w:b/>
          <w:lang w:val="en-US"/>
        </w:rPr>
        <w:t>73</w:t>
      </w:r>
      <w:r w:rsidRPr="00C57412">
        <w:rPr>
          <w:lang w:val="en-US"/>
        </w:rPr>
        <w:t>, 305–313.</w:t>
      </w:r>
    </w:p>
    <w:p w:rsidR="0057721C" w:rsidRPr="00C57412" w:rsidRDefault="0057721C" w:rsidP="0057721C">
      <w:pPr>
        <w:jc w:val="both"/>
        <w:rPr>
          <w:lang w:val="en-US"/>
        </w:rPr>
      </w:pPr>
      <w:r w:rsidRPr="00C57412">
        <w:rPr>
          <w:lang w:val="en-US"/>
        </w:rPr>
        <w:t xml:space="preserve">Yates, J. R., Pickard, C. J. &amp; Mauri, F. (2007). </w:t>
      </w:r>
      <w:r w:rsidRPr="00C57412">
        <w:rPr>
          <w:i/>
          <w:lang w:val="en-US"/>
        </w:rPr>
        <w:t>Phys. Rev.</w:t>
      </w:r>
      <w:r w:rsidRPr="00C57412">
        <w:rPr>
          <w:lang w:val="en-US"/>
        </w:rPr>
        <w:t xml:space="preserve"> B</w:t>
      </w:r>
      <w:r w:rsidRPr="00C57412">
        <w:rPr>
          <w:b/>
          <w:lang w:val="en-US"/>
        </w:rPr>
        <w:t>76</w:t>
      </w:r>
      <w:r w:rsidRPr="00C57412">
        <w:rPr>
          <w:lang w:val="en-US"/>
        </w:rPr>
        <w:t>, 024401.</w:t>
      </w:r>
    </w:p>
    <w:p w:rsidR="0057721C" w:rsidRPr="00C57412" w:rsidRDefault="0057721C" w:rsidP="0057721C">
      <w:pPr>
        <w:jc w:val="both"/>
        <w:rPr>
          <w:lang w:val="en-US"/>
        </w:rPr>
      </w:pPr>
      <w:r w:rsidRPr="00C57412">
        <w:rPr>
          <w:lang w:val="en-US"/>
        </w:rPr>
        <w:lastRenderedPageBreak/>
        <w:t xml:space="preserve">Yoshimura, M., Miyake, M., Kawato, T., Bando, M., Toda, M., Kato, Y., Fukami, T. &amp; Ozeki, T. (2017). </w:t>
      </w:r>
      <w:r w:rsidRPr="00C57412">
        <w:rPr>
          <w:i/>
          <w:lang w:val="en-US"/>
        </w:rPr>
        <w:t>Cryst. Growth Des.</w:t>
      </w:r>
      <w:r w:rsidRPr="00C57412">
        <w:rPr>
          <w:lang w:val="en-US"/>
        </w:rPr>
        <w:t xml:space="preserve"> </w:t>
      </w:r>
      <w:r w:rsidRPr="00C57412">
        <w:rPr>
          <w:b/>
          <w:lang w:val="en-US"/>
        </w:rPr>
        <w:t>17</w:t>
      </w:r>
      <w:r w:rsidRPr="00C57412">
        <w:rPr>
          <w:lang w:val="en-US"/>
        </w:rPr>
        <w:t>, 550−557.</w:t>
      </w:r>
    </w:p>
    <w:p w:rsidR="0057721C" w:rsidRPr="00C57412" w:rsidRDefault="0057721C" w:rsidP="0057721C">
      <w:pPr>
        <w:jc w:val="both"/>
        <w:rPr>
          <w:lang w:val="en-US"/>
        </w:rPr>
      </w:pPr>
      <w:r w:rsidRPr="00C57412">
        <w:rPr>
          <w:lang w:val="en-US"/>
        </w:rPr>
        <w:t xml:space="preserve">Zhang, S.-W., Brunskill, A. P. J., Schwartz, E. &amp; Sun, S. (2017). </w:t>
      </w:r>
      <w:r w:rsidRPr="00C57412">
        <w:rPr>
          <w:i/>
          <w:lang w:val="en-US"/>
        </w:rPr>
        <w:t>Cryst. Growth Des.</w:t>
      </w:r>
      <w:r w:rsidRPr="00C57412">
        <w:rPr>
          <w:lang w:val="en-US"/>
        </w:rPr>
        <w:t xml:space="preserve"> </w:t>
      </w:r>
      <w:r w:rsidRPr="00C57412">
        <w:rPr>
          <w:b/>
          <w:lang w:val="en-US"/>
        </w:rPr>
        <w:t>17</w:t>
      </w:r>
      <w:r w:rsidRPr="00C57412">
        <w:rPr>
          <w:lang w:val="en-US"/>
        </w:rPr>
        <w:t>, 2836−2843.</w:t>
      </w:r>
    </w:p>
    <w:p w:rsidR="00DC3796" w:rsidRPr="00C57412" w:rsidRDefault="00EE1BE2" w:rsidP="0057721C">
      <w:pPr>
        <w:jc w:val="both"/>
        <w:rPr>
          <w:lang w:val="en-US"/>
        </w:rPr>
      </w:pPr>
      <w:r w:rsidRPr="00C57412">
        <w:rPr>
          <w:lang w:val="en-GB"/>
        </w:rPr>
        <w:t xml:space="preserve">Zhu, </w:t>
      </w:r>
      <w:r w:rsidR="000C578B" w:rsidRPr="00C57412">
        <w:rPr>
          <w:lang w:val="en-GB"/>
        </w:rPr>
        <w:t>Q</w:t>
      </w:r>
      <w:r w:rsidRPr="00C57412">
        <w:rPr>
          <w:lang w:val="en-GB"/>
        </w:rPr>
        <w:t>.</w:t>
      </w:r>
      <w:r w:rsidR="000C578B" w:rsidRPr="00C57412">
        <w:rPr>
          <w:lang w:val="en-GB"/>
        </w:rPr>
        <w:t xml:space="preserve">, Shtukenberg, </w:t>
      </w:r>
      <w:r w:rsidRPr="00C57412">
        <w:rPr>
          <w:lang w:val="en-GB"/>
        </w:rPr>
        <w:t xml:space="preserve">A. G., </w:t>
      </w:r>
      <w:r w:rsidR="000C578B" w:rsidRPr="00C57412">
        <w:rPr>
          <w:lang w:val="en-GB"/>
        </w:rPr>
        <w:t xml:space="preserve">Carter, </w:t>
      </w:r>
      <w:r w:rsidRPr="00C57412">
        <w:rPr>
          <w:lang w:val="en-GB"/>
        </w:rPr>
        <w:t xml:space="preserve">D. J., </w:t>
      </w:r>
      <w:r w:rsidR="000C578B" w:rsidRPr="00C57412">
        <w:rPr>
          <w:lang w:val="en-GB"/>
        </w:rPr>
        <w:t>Yu,</w:t>
      </w:r>
      <w:r w:rsidRPr="00C57412">
        <w:rPr>
          <w:lang w:val="en-GB"/>
        </w:rPr>
        <w:t xml:space="preserve"> T.-Q.,</w:t>
      </w:r>
      <w:r w:rsidR="000C578B" w:rsidRPr="00C57412">
        <w:rPr>
          <w:lang w:val="en-GB"/>
        </w:rPr>
        <w:t xml:space="preserve"> Yang,</w:t>
      </w:r>
      <w:r w:rsidRPr="00C57412">
        <w:rPr>
          <w:lang w:val="en-GB"/>
        </w:rPr>
        <w:t xml:space="preserve"> J.,</w:t>
      </w:r>
      <w:r w:rsidR="000C578B" w:rsidRPr="00C57412">
        <w:rPr>
          <w:lang w:val="en-GB"/>
        </w:rPr>
        <w:t xml:space="preserve"> Chen, </w:t>
      </w:r>
      <w:r w:rsidRPr="00C57412">
        <w:rPr>
          <w:lang w:val="en-GB"/>
        </w:rPr>
        <w:t xml:space="preserve">M., </w:t>
      </w:r>
      <w:r w:rsidR="000C578B" w:rsidRPr="00C57412">
        <w:rPr>
          <w:lang w:val="en-GB"/>
        </w:rPr>
        <w:t>Raiteri,</w:t>
      </w:r>
      <w:r w:rsidRPr="00C57412">
        <w:rPr>
          <w:lang w:val="en-GB"/>
        </w:rPr>
        <w:t xml:space="preserve"> P.,</w:t>
      </w:r>
      <w:r w:rsidR="000C578B" w:rsidRPr="00C57412">
        <w:rPr>
          <w:lang w:val="en-GB"/>
        </w:rPr>
        <w:t xml:space="preserve"> Oganov,</w:t>
      </w:r>
      <w:r w:rsidRPr="00C57412">
        <w:rPr>
          <w:lang w:val="en-GB"/>
        </w:rPr>
        <w:t xml:space="preserve"> A. R.,</w:t>
      </w:r>
      <w:r w:rsidR="000C578B" w:rsidRPr="00C57412">
        <w:rPr>
          <w:lang w:val="en-GB"/>
        </w:rPr>
        <w:t xml:space="preserve"> Pokroy, </w:t>
      </w:r>
      <w:r w:rsidRPr="00C57412">
        <w:rPr>
          <w:lang w:val="en-GB"/>
        </w:rPr>
        <w:t xml:space="preserve">B., </w:t>
      </w:r>
      <w:r w:rsidR="000C578B" w:rsidRPr="00C57412">
        <w:rPr>
          <w:lang w:val="en-GB"/>
        </w:rPr>
        <w:t xml:space="preserve">Polishchuk, </w:t>
      </w:r>
      <w:r w:rsidRPr="00C57412">
        <w:rPr>
          <w:lang w:val="en-GB"/>
        </w:rPr>
        <w:t xml:space="preserve">I., </w:t>
      </w:r>
      <w:r w:rsidR="000C578B" w:rsidRPr="00C57412">
        <w:rPr>
          <w:lang w:val="en-GB"/>
        </w:rPr>
        <w:t xml:space="preserve">Bygrave, </w:t>
      </w:r>
      <w:r w:rsidRPr="00C57412">
        <w:rPr>
          <w:lang w:val="en-GB"/>
        </w:rPr>
        <w:t xml:space="preserve">P. J., </w:t>
      </w:r>
      <w:r w:rsidR="000C578B" w:rsidRPr="00C57412">
        <w:rPr>
          <w:lang w:val="en-GB"/>
        </w:rPr>
        <w:t>Day,</w:t>
      </w:r>
      <w:r w:rsidRPr="00C57412">
        <w:rPr>
          <w:lang w:val="en-GB"/>
        </w:rPr>
        <w:t xml:space="preserve"> G. M.,</w:t>
      </w:r>
      <w:r w:rsidR="000C578B" w:rsidRPr="00C57412">
        <w:rPr>
          <w:lang w:val="en-GB"/>
        </w:rPr>
        <w:t xml:space="preserve"> Rohl, </w:t>
      </w:r>
      <w:r w:rsidRPr="00C57412">
        <w:rPr>
          <w:lang w:val="en-GB"/>
        </w:rPr>
        <w:t xml:space="preserve">A. L., </w:t>
      </w:r>
      <w:r w:rsidR="000C578B" w:rsidRPr="00C57412">
        <w:rPr>
          <w:lang w:val="en-GB"/>
        </w:rPr>
        <w:t>Tuckerman,</w:t>
      </w:r>
      <w:r w:rsidRPr="00C57412">
        <w:rPr>
          <w:lang w:val="en-GB"/>
        </w:rPr>
        <w:t xml:space="preserve"> M. E. &amp;</w:t>
      </w:r>
      <w:r w:rsidR="000C578B" w:rsidRPr="00C57412">
        <w:rPr>
          <w:lang w:val="en-GB"/>
        </w:rPr>
        <w:t xml:space="preserve"> Kahr,</w:t>
      </w:r>
      <w:r w:rsidRPr="00C57412">
        <w:rPr>
          <w:lang w:val="en-GB"/>
        </w:rPr>
        <w:t xml:space="preserve"> B. (2016).</w:t>
      </w:r>
      <w:r w:rsidR="000C578B" w:rsidRPr="00C57412">
        <w:rPr>
          <w:lang w:val="en-GB"/>
        </w:rPr>
        <w:t xml:space="preserve"> </w:t>
      </w:r>
      <w:r w:rsidR="000C578B" w:rsidRPr="00C57412">
        <w:rPr>
          <w:i/>
          <w:lang w:val="en-GB"/>
        </w:rPr>
        <w:t>J.</w:t>
      </w:r>
      <w:r w:rsidRPr="00C57412">
        <w:rPr>
          <w:i/>
          <w:lang w:val="en-GB"/>
        </w:rPr>
        <w:t xml:space="preserve"> </w:t>
      </w:r>
      <w:r w:rsidR="000C578B" w:rsidRPr="00C57412">
        <w:rPr>
          <w:i/>
          <w:lang w:val="en-GB"/>
        </w:rPr>
        <w:t>Am.</w:t>
      </w:r>
      <w:r w:rsidRPr="00C57412">
        <w:rPr>
          <w:i/>
          <w:lang w:val="en-GB"/>
        </w:rPr>
        <w:t xml:space="preserve"> </w:t>
      </w:r>
      <w:r w:rsidR="000C578B" w:rsidRPr="00C57412">
        <w:rPr>
          <w:i/>
          <w:lang w:val="en-GB"/>
        </w:rPr>
        <w:t>Chem.</w:t>
      </w:r>
      <w:r w:rsidRPr="00C57412">
        <w:rPr>
          <w:i/>
          <w:lang w:val="en-GB"/>
        </w:rPr>
        <w:t xml:space="preserve"> </w:t>
      </w:r>
      <w:r w:rsidR="000C578B" w:rsidRPr="00C57412">
        <w:rPr>
          <w:i/>
          <w:lang w:val="en-GB"/>
        </w:rPr>
        <w:t>Soc.</w:t>
      </w:r>
      <w:r w:rsidR="000C578B" w:rsidRPr="00C57412">
        <w:rPr>
          <w:lang w:val="en-GB"/>
        </w:rPr>
        <w:t xml:space="preserve"> </w:t>
      </w:r>
      <w:r w:rsidR="000C578B" w:rsidRPr="00C57412">
        <w:rPr>
          <w:b/>
          <w:lang w:val="en-GB"/>
        </w:rPr>
        <w:t>138</w:t>
      </w:r>
      <w:r w:rsidR="000C578B" w:rsidRPr="00C57412">
        <w:rPr>
          <w:lang w:val="en-GB"/>
        </w:rPr>
        <w:t>, 4881</w:t>
      </w:r>
      <w:r w:rsidRPr="00C57412">
        <w:rPr>
          <w:lang w:val="en-US"/>
        </w:rPr>
        <w:t>–4889.</w:t>
      </w:r>
    </w:p>
    <w:p w:rsidR="00DC3796" w:rsidRPr="00C57412" w:rsidRDefault="00DC3796">
      <w:pPr>
        <w:spacing w:after="200" w:line="276" w:lineRule="auto"/>
        <w:rPr>
          <w:lang w:val="en-US"/>
        </w:rPr>
      </w:pPr>
      <w:r w:rsidRPr="00C57412">
        <w:rPr>
          <w:lang w:val="en-US"/>
        </w:rPr>
        <w:br w:type="page"/>
      </w:r>
    </w:p>
    <w:p w:rsidR="00DC3796" w:rsidRPr="00C57412" w:rsidRDefault="00DC3796" w:rsidP="00DC3796">
      <w:pPr>
        <w:spacing w:after="200" w:line="276" w:lineRule="auto"/>
        <w:jc w:val="center"/>
        <w:rPr>
          <w:rFonts w:cs="Times New Roman"/>
          <w:b/>
          <w:szCs w:val="24"/>
          <w:lang w:val="en-GB"/>
        </w:rPr>
      </w:pPr>
      <w:r w:rsidRPr="00C57412">
        <w:rPr>
          <w:rFonts w:cs="Times New Roman"/>
          <w:b/>
          <w:szCs w:val="24"/>
          <w:lang w:val="en-GB"/>
        </w:rPr>
        <w:lastRenderedPageBreak/>
        <w:t>Supporting Information</w:t>
      </w:r>
    </w:p>
    <w:p w:rsidR="00DC3796" w:rsidRPr="00C57412" w:rsidRDefault="00DC3796" w:rsidP="00DC3796">
      <w:pPr>
        <w:spacing w:after="200" w:line="276" w:lineRule="auto"/>
        <w:jc w:val="center"/>
        <w:rPr>
          <w:rFonts w:cs="Times New Roman"/>
          <w:sz w:val="22"/>
          <w:lang w:val="en-US"/>
        </w:rPr>
      </w:pPr>
      <w:r w:rsidRPr="00C57412">
        <w:rPr>
          <w:rFonts w:cs="Times New Roman"/>
          <w:sz w:val="22"/>
          <w:lang w:val="en-US"/>
        </w:rPr>
        <w:t>to</w:t>
      </w:r>
    </w:p>
    <w:p w:rsidR="00DC3796" w:rsidRPr="00C57412" w:rsidRDefault="00DC3796" w:rsidP="00DC3796">
      <w:pPr>
        <w:spacing w:after="200" w:line="276" w:lineRule="auto"/>
        <w:jc w:val="center"/>
        <w:rPr>
          <w:rFonts w:cs="Times New Roman"/>
          <w:b/>
          <w:sz w:val="32"/>
          <w:szCs w:val="32"/>
          <w:lang w:val="en-US"/>
        </w:rPr>
      </w:pPr>
      <w:r w:rsidRPr="00C57412">
        <w:rPr>
          <w:rFonts w:cs="Times New Roman"/>
          <w:b/>
          <w:sz w:val="32"/>
          <w:szCs w:val="32"/>
          <w:lang w:val="en-US"/>
        </w:rPr>
        <w:t>Understanding the formation of apremilast cocrystals</w:t>
      </w:r>
    </w:p>
    <w:p w:rsidR="00DC3796" w:rsidRPr="00C57412" w:rsidRDefault="00DC3796" w:rsidP="00DC3796">
      <w:pPr>
        <w:spacing w:after="200" w:line="276" w:lineRule="auto"/>
        <w:rPr>
          <w:rFonts w:cs="Times New Roman"/>
          <w:sz w:val="22"/>
          <w:lang w:val="en-US"/>
        </w:rPr>
      </w:pPr>
    </w:p>
    <w:p w:rsidR="00DC3796" w:rsidRPr="00C57412" w:rsidRDefault="00DC3796" w:rsidP="00DC3796">
      <w:pPr>
        <w:spacing w:after="200" w:line="276" w:lineRule="auto"/>
        <w:jc w:val="both"/>
        <w:rPr>
          <w:rFonts w:cs="Times New Roman"/>
          <w:sz w:val="22"/>
        </w:rPr>
      </w:pPr>
      <w:r w:rsidRPr="00C57412">
        <w:rPr>
          <w:rFonts w:cs="Times New Roman"/>
          <w:sz w:val="22"/>
        </w:rPr>
        <w:t>Marta K. Dudek,</w:t>
      </w:r>
      <w:r w:rsidRPr="00C57412">
        <w:rPr>
          <w:rFonts w:cs="Times New Roman"/>
          <w:sz w:val="22"/>
          <w:vertAlign w:val="superscript"/>
        </w:rPr>
        <w:t>1,2</w:t>
      </w:r>
      <w:r w:rsidRPr="00C57412">
        <w:rPr>
          <w:rFonts w:cs="Times New Roman"/>
          <w:sz w:val="22"/>
        </w:rPr>
        <w:t xml:space="preserve"> Ewelina Wielgus,</w:t>
      </w:r>
      <w:r w:rsidRPr="00C57412">
        <w:rPr>
          <w:rFonts w:cs="Times New Roman"/>
          <w:sz w:val="22"/>
          <w:vertAlign w:val="superscript"/>
        </w:rPr>
        <w:t>1</w:t>
      </w:r>
      <w:r w:rsidRPr="00C57412">
        <w:rPr>
          <w:rFonts w:cs="Times New Roman"/>
          <w:sz w:val="22"/>
        </w:rPr>
        <w:t xml:space="preserve"> Piotr Paluch,</w:t>
      </w:r>
      <w:r w:rsidRPr="00C57412">
        <w:rPr>
          <w:rFonts w:cs="Times New Roman"/>
          <w:sz w:val="22"/>
          <w:vertAlign w:val="superscript"/>
        </w:rPr>
        <w:t>1</w:t>
      </w:r>
      <w:r w:rsidRPr="00C57412">
        <w:rPr>
          <w:rFonts w:cs="Times New Roman"/>
          <w:sz w:val="22"/>
        </w:rPr>
        <w:t xml:space="preserve"> Justyna Śniechowska,</w:t>
      </w:r>
      <w:r w:rsidRPr="00C57412">
        <w:rPr>
          <w:rFonts w:cs="Times New Roman"/>
          <w:sz w:val="22"/>
          <w:vertAlign w:val="superscript"/>
        </w:rPr>
        <w:t>1</w:t>
      </w:r>
      <w:r w:rsidRPr="00C57412">
        <w:rPr>
          <w:rFonts w:cs="Times New Roman"/>
          <w:sz w:val="22"/>
        </w:rPr>
        <w:t xml:space="preserve"> Maciej Kostrzewa,</w:t>
      </w:r>
      <w:r w:rsidRPr="00C57412">
        <w:rPr>
          <w:rFonts w:cs="Times New Roman"/>
          <w:sz w:val="22"/>
          <w:vertAlign w:val="superscript"/>
        </w:rPr>
        <w:t>1</w:t>
      </w:r>
      <w:r w:rsidRPr="00C57412">
        <w:rPr>
          <w:rFonts w:cs="Times New Roman"/>
          <w:sz w:val="22"/>
        </w:rPr>
        <w:t xml:space="preserve"> Graeme M. Day,</w:t>
      </w:r>
      <w:r w:rsidRPr="00C57412">
        <w:rPr>
          <w:rFonts w:cs="Times New Roman"/>
          <w:sz w:val="22"/>
          <w:vertAlign w:val="superscript"/>
        </w:rPr>
        <w:t>2</w:t>
      </w:r>
      <w:r w:rsidRPr="00C57412">
        <w:rPr>
          <w:rFonts w:cs="Times New Roman"/>
          <w:sz w:val="22"/>
        </w:rPr>
        <w:t xml:space="preserve"> Grzegorz D. Bujacz,</w:t>
      </w:r>
      <w:r w:rsidRPr="00C57412">
        <w:rPr>
          <w:rFonts w:cs="Times New Roman"/>
          <w:sz w:val="22"/>
          <w:vertAlign w:val="superscript"/>
        </w:rPr>
        <w:t>3</w:t>
      </w:r>
      <w:r w:rsidRPr="00C57412">
        <w:rPr>
          <w:rFonts w:cs="Times New Roman"/>
          <w:sz w:val="22"/>
        </w:rPr>
        <w:t xml:space="preserve"> and Marek J. Potrzebowski</w:t>
      </w:r>
      <w:r w:rsidRPr="00C57412">
        <w:rPr>
          <w:rFonts w:cs="Times New Roman"/>
          <w:sz w:val="22"/>
          <w:vertAlign w:val="superscript"/>
        </w:rPr>
        <w:t>1</w:t>
      </w:r>
    </w:p>
    <w:p w:rsidR="00DC3796" w:rsidRPr="00C57412" w:rsidRDefault="00DC3796" w:rsidP="00DC3796">
      <w:pPr>
        <w:spacing w:after="0" w:line="240" w:lineRule="auto"/>
        <w:jc w:val="both"/>
        <w:rPr>
          <w:rFonts w:cs="Times New Roman"/>
          <w:sz w:val="22"/>
          <w:lang w:val="en-GB"/>
        </w:rPr>
      </w:pPr>
      <w:r w:rsidRPr="00C57412">
        <w:rPr>
          <w:rFonts w:cs="Times New Roman"/>
          <w:sz w:val="22"/>
          <w:vertAlign w:val="superscript"/>
          <w:lang w:val="en-US"/>
        </w:rPr>
        <w:t>1</w:t>
      </w:r>
      <w:r w:rsidRPr="00C57412">
        <w:rPr>
          <w:rFonts w:cs="Times New Roman"/>
          <w:sz w:val="22"/>
          <w:lang w:val="en-US"/>
        </w:rPr>
        <w:t xml:space="preserve"> </w:t>
      </w:r>
      <w:r w:rsidRPr="00C57412">
        <w:rPr>
          <w:rFonts w:cs="Times New Roman"/>
          <w:sz w:val="22"/>
          <w:lang w:val="en-GB"/>
        </w:rPr>
        <w:t>Centre of Molecular and Macromolecular Studies PAS, Sienkiewicza 112, 90363 Lodz, Poland</w:t>
      </w:r>
    </w:p>
    <w:p w:rsidR="00DC3796" w:rsidRPr="00C57412" w:rsidRDefault="00DC3796" w:rsidP="00DC3796">
      <w:pPr>
        <w:spacing w:after="0" w:line="240" w:lineRule="auto"/>
        <w:jc w:val="both"/>
        <w:rPr>
          <w:rFonts w:cs="Times New Roman"/>
          <w:sz w:val="22"/>
          <w:lang w:val="en-US"/>
        </w:rPr>
      </w:pPr>
      <w:r w:rsidRPr="00C57412">
        <w:rPr>
          <w:rFonts w:cs="Times New Roman"/>
          <w:sz w:val="22"/>
          <w:vertAlign w:val="superscript"/>
          <w:lang w:val="en-US"/>
        </w:rPr>
        <w:t>2</w:t>
      </w:r>
      <w:r w:rsidRPr="00C57412">
        <w:rPr>
          <w:rFonts w:cs="Times New Roman"/>
          <w:sz w:val="22"/>
          <w:lang w:val="en-US"/>
        </w:rPr>
        <w:t xml:space="preserve"> </w:t>
      </w:r>
      <w:r w:rsidRPr="00C57412">
        <w:rPr>
          <w:rFonts w:cs="Times New Roman"/>
          <w:sz w:val="22"/>
          <w:lang w:val="en-GB"/>
        </w:rPr>
        <w:t>Computational Systems Chemistry, School of Chemistry, University of Southampton, SO17 1BJ, UK</w:t>
      </w:r>
    </w:p>
    <w:p w:rsidR="00DC3796" w:rsidRPr="00C57412" w:rsidRDefault="00DC3796" w:rsidP="00DC3796">
      <w:pPr>
        <w:spacing w:after="0" w:line="240" w:lineRule="auto"/>
        <w:jc w:val="both"/>
        <w:rPr>
          <w:rFonts w:cs="Times New Roman"/>
          <w:sz w:val="22"/>
          <w:lang w:val="en-US"/>
        </w:rPr>
      </w:pPr>
      <w:r w:rsidRPr="00C57412">
        <w:rPr>
          <w:rFonts w:cs="Times New Roman"/>
          <w:sz w:val="22"/>
          <w:vertAlign w:val="superscript"/>
          <w:lang w:val="en-US"/>
        </w:rPr>
        <w:t>3</w:t>
      </w:r>
      <w:r w:rsidRPr="00C57412">
        <w:rPr>
          <w:rFonts w:cs="Times New Roman"/>
          <w:sz w:val="22"/>
          <w:lang w:val="en-US"/>
        </w:rPr>
        <w:t xml:space="preserve"> Institute of Technical Biochemistry, Technical University of Lodz, Stefanowskiego 4/10, 90-924 Lodz, Poland</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asciiTheme="minorHAnsi" w:hAnsiTheme="minorHAnsi"/>
          <w:b/>
          <w:sz w:val="22"/>
          <w:lang w:val="en-US"/>
        </w:rPr>
      </w:pPr>
    </w:p>
    <w:p w:rsidR="00DC3796" w:rsidRPr="00C57412" w:rsidRDefault="00DC3796" w:rsidP="00DC3796">
      <w:pPr>
        <w:spacing w:after="0" w:line="240" w:lineRule="auto"/>
        <w:jc w:val="both"/>
        <w:rPr>
          <w:rFonts w:asciiTheme="minorHAnsi" w:hAnsiTheme="minorHAnsi"/>
          <w:b/>
          <w:sz w:val="22"/>
          <w:lang w:val="en-US"/>
        </w:rPr>
      </w:pPr>
    </w:p>
    <w:p w:rsidR="00DC3796" w:rsidRPr="00C57412" w:rsidRDefault="00DC3796" w:rsidP="00DC3796">
      <w:pPr>
        <w:spacing w:after="0" w:line="240" w:lineRule="auto"/>
        <w:jc w:val="both"/>
        <w:rPr>
          <w:rFonts w:cs="Times New Roman"/>
          <w:b/>
          <w:szCs w:val="24"/>
          <w:lang w:val="en-US"/>
        </w:rPr>
      </w:pPr>
      <w:r w:rsidRPr="00C57412">
        <w:rPr>
          <w:rFonts w:cs="Times New Roman"/>
          <w:b/>
          <w:szCs w:val="24"/>
          <w:lang w:val="en-US"/>
        </w:rPr>
        <w:t xml:space="preserve">Experimental data </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widowControl w:val="0"/>
        <w:autoSpaceDE w:val="0"/>
        <w:autoSpaceDN w:val="0"/>
        <w:adjustRightInd w:val="0"/>
        <w:spacing w:after="140" w:line="276" w:lineRule="auto"/>
        <w:rPr>
          <w:rFonts w:cs="Times New Roman"/>
          <w:b/>
          <w:bCs/>
          <w:sz w:val="22"/>
          <w:lang w:val="en-GB"/>
        </w:rPr>
      </w:pPr>
      <w:r w:rsidRPr="00C57412">
        <w:rPr>
          <w:rFonts w:cs="Times New Roman"/>
          <w:b/>
          <w:bCs/>
          <w:sz w:val="22"/>
          <w:lang w:val="en-GB"/>
        </w:rPr>
        <w:t xml:space="preserve">Table S1. </w:t>
      </w:r>
      <w:r w:rsidRPr="00C57412">
        <w:rPr>
          <w:rFonts w:cs="Times New Roman"/>
          <w:bCs/>
          <w:sz w:val="22"/>
          <w:lang w:val="en-GB"/>
        </w:rPr>
        <w:t>Experimental details for crystallographic measurements of APR form B and APR:RES, APR:PIC, APR:IMI and APR:HQU cocrystals.</w:t>
      </w:r>
    </w:p>
    <w:tbl>
      <w:tblPr>
        <w:tblW w:w="0" w:type="auto"/>
        <w:tblInd w:w="50" w:type="dxa"/>
        <w:tblLayout w:type="fixed"/>
        <w:tblCellMar>
          <w:left w:w="50" w:type="dxa"/>
          <w:right w:w="50" w:type="dxa"/>
        </w:tblCellMar>
        <w:tblLook w:val="0000"/>
      </w:tblPr>
      <w:tblGrid>
        <w:gridCol w:w="2000"/>
        <w:gridCol w:w="6000"/>
      </w:tblGrid>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APR FORM B cocrystal</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auto"/>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data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Chemical formula</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w:t>
            </w:r>
            <w:r w:rsidRPr="00C57412">
              <w:rPr>
                <w:rFonts w:cs="Times New Roman"/>
                <w:sz w:val="22"/>
                <w:vertAlign w:val="subscript"/>
                <w:lang w:val="en-GB"/>
              </w:rPr>
              <w:t>22</w:t>
            </w:r>
            <w:r w:rsidRPr="00C57412">
              <w:rPr>
                <w:rFonts w:cs="Times New Roman"/>
                <w:sz w:val="22"/>
                <w:lang w:val="en-GB"/>
              </w:rPr>
              <w:t>H</w:t>
            </w:r>
            <w:r w:rsidRPr="00C57412">
              <w:rPr>
                <w:rFonts w:cs="Times New Roman"/>
                <w:sz w:val="22"/>
                <w:vertAlign w:val="subscript"/>
                <w:lang w:val="en-GB"/>
              </w:rPr>
              <w:t>24</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r w:rsidRPr="00C57412">
              <w:rPr>
                <w:rFonts w:cs="Times New Roman"/>
                <w:sz w:val="22"/>
                <w:vertAlign w:val="subscript"/>
                <w:lang w:val="en-GB"/>
              </w:rPr>
              <w:t>7</w:t>
            </w:r>
            <w:r w:rsidRPr="00C57412">
              <w:rPr>
                <w:rFonts w:cs="Times New Roman"/>
                <w:sz w:val="22"/>
                <w:lang w:val="en-GB"/>
              </w:rPr>
              <w:t>S</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M</w:t>
            </w:r>
            <w:r w:rsidRPr="00C57412">
              <w:rPr>
                <w:rFonts w:cs="Times New Roman"/>
                <w:sz w:val="22"/>
                <w:vertAlign w:val="subscript"/>
                <w:lang w:val="en-GB"/>
              </w:rPr>
              <w:t>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460.49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system, space group</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Monoclinic, </w:t>
            </w:r>
            <w:r w:rsidRPr="00C57412">
              <w:rPr>
                <w:rFonts w:cs="Times New Roman"/>
                <w:i/>
                <w:iCs/>
                <w:sz w:val="22"/>
                <w:lang w:val="en-GB"/>
              </w:rPr>
              <w:t>P</w:t>
            </w:r>
            <w:r w:rsidRPr="00C57412">
              <w:rPr>
                <w:rFonts w:cs="Times New Roman"/>
                <w:sz w:val="22"/>
                <w:lang w:val="en-GB"/>
              </w:rPr>
              <w:t>2</w:t>
            </w:r>
            <w:r w:rsidRPr="00C57412">
              <w:rPr>
                <w:rFonts w:cs="Times New Roman"/>
                <w:sz w:val="22"/>
                <w:vertAlign w:val="subscript"/>
                <w:lang w:val="en-GB"/>
              </w:rPr>
              <w:t>1</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Temperature (K)</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293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a</w:t>
            </w:r>
            <w:r w:rsidRPr="00C57412">
              <w:rPr>
                <w:rFonts w:cs="Times New Roman"/>
                <w:sz w:val="22"/>
                <w:lang w:val="en-GB"/>
              </w:rPr>
              <w:t xml:space="preserve">, </w:t>
            </w:r>
            <w:r w:rsidRPr="00C57412">
              <w:rPr>
                <w:rFonts w:cs="Times New Roman"/>
                <w:i/>
                <w:iCs/>
                <w:sz w:val="22"/>
                <w:lang w:val="en-GB"/>
              </w:rPr>
              <w:t>b</w:t>
            </w:r>
            <w:r w:rsidRPr="00C57412">
              <w:rPr>
                <w:rFonts w:cs="Times New Roman"/>
                <w:sz w:val="22"/>
                <w:lang w:val="en-GB"/>
              </w:rPr>
              <w:t xml:space="preserve">, </w:t>
            </w:r>
            <w:r w:rsidRPr="00C57412">
              <w:rPr>
                <w:rFonts w:cs="Times New Roman"/>
                <w:i/>
                <w:iCs/>
                <w:sz w:val="22"/>
                <w:lang w:val="en-GB"/>
              </w:rPr>
              <w:t>c</w:t>
            </w:r>
            <w:r w:rsidRPr="00C57412">
              <w:rPr>
                <w:rFonts w:cs="Times New Roman"/>
                <w:sz w:val="22"/>
                <w:lang w:val="en-GB"/>
              </w:rPr>
              <w:t xml:space="preserve"> (Å)</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8.71353 (13), 29.4960 (6), 17.6717 (2)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b (°)</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97.9370 (14)</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V</w:t>
            </w:r>
            <w:r w:rsidRPr="00C57412">
              <w:rPr>
                <w:rFonts w:cs="Times New Roman"/>
                <w:sz w:val="22"/>
                <w:lang w:val="en-GB"/>
              </w:rPr>
              <w:t xml:space="preserv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4498.36 (12)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Z</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Radiation type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Cu </w:t>
            </w:r>
            <w:r w:rsidRPr="00C57412">
              <w:rPr>
                <w:rFonts w:cs="Times New Roman"/>
                <w:i/>
                <w:iCs/>
                <w:sz w:val="22"/>
                <w:lang w:val="en-GB"/>
              </w:rPr>
              <w:t>K</w:t>
            </w:r>
            <w:r w:rsidRPr="00C57412">
              <w:rPr>
                <w:rFonts w:cs="Times New Roman"/>
                <w:sz w:val="22"/>
                <w:lang w:val="en-GB"/>
              </w:rPr>
              <w: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m (mm</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1.68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size (mm)</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0.31 × 0.06 × 0.02</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Data collection</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Diffractometer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SuperNova, Dual, Cu at zero, TitanS2</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Absorption correction</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Multi-scan </w:t>
            </w:r>
            <w:r w:rsidRPr="00C57412">
              <w:rPr>
                <w:rFonts w:cs="Times New Roman"/>
                <w:sz w:val="22"/>
                <w:lang w:val="en-GB"/>
              </w:rPr>
              <w:br/>
            </w:r>
            <w:r w:rsidRPr="00C57412">
              <w:rPr>
                <w:rFonts w:cs="Times New Roman"/>
                <w:i/>
                <w:iCs/>
                <w:sz w:val="22"/>
                <w:lang w:val="en-GB"/>
              </w:rPr>
              <w:t>CrysAlis PRO</w:t>
            </w:r>
            <w:r w:rsidRPr="00C57412">
              <w:rPr>
                <w:rFonts w:cs="Times New Roman"/>
                <w:sz w:val="22"/>
                <w:lang w:val="en-GB"/>
              </w:rPr>
              <w:t>, Agilent Technologies, Version 1.171.37.35h (release 09-02-2015 CrysAlis171 .NET) (compiled Feb  9 2015,16:26:32) Empirical absorption correction using spherical harmonics,  implemented in SCALE3 ABSPACK scaling algorithm.</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lastRenderedPageBreak/>
              <w:t xml:space="preserve"> </w:t>
            </w:r>
            <w:r w:rsidRPr="00C57412">
              <w:rPr>
                <w:rFonts w:cs="Times New Roman"/>
                <w:i/>
                <w:iCs/>
                <w:sz w:val="22"/>
                <w:lang w:val="en-GB"/>
              </w:rPr>
              <w:t>T</w:t>
            </w:r>
            <w:r w:rsidRPr="00C57412">
              <w:rPr>
                <w:rFonts w:cs="Times New Roman"/>
                <w:sz w:val="22"/>
                <w:vertAlign w:val="subscript"/>
                <w:lang w:val="en-GB"/>
              </w:rPr>
              <w:t>min</w:t>
            </w:r>
            <w:r w:rsidRPr="00C57412">
              <w:rPr>
                <w:rFonts w:cs="Times New Roman"/>
                <w:sz w:val="22"/>
                <w:lang w:val="en-GB"/>
              </w:rPr>
              <w:t xml:space="preserve">, </w:t>
            </w:r>
            <w:r w:rsidRPr="00C57412">
              <w:rPr>
                <w:rFonts w:cs="Times New Roman"/>
                <w:i/>
                <w:iCs/>
                <w:sz w:val="22"/>
                <w:lang w:val="en-GB"/>
              </w:rPr>
              <w:t>T</w:t>
            </w:r>
            <w:r w:rsidRPr="00C57412">
              <w:rPr>
                <w:rFonts w:cs="Times New Roman"/>
                <w:sz w:val="22"/>
                <w:vertAlign w:val="subscript"/>
                <w:lang w:val="en-GB"/>
              </w:rPr>
              <w:t>max</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0.817, 1.000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measured, independent and</w:t>
            </w:r>
            <w:r w:rsidRPr="00C57412">
              <w:rPr>
                <w:rFonts w:cs="Times New Roman"/>
                <w:sz w:val="22"/>
                <w:lang w:val="en-GB"/>
              </w:rPr>
              <w:br/>
              <w:t xml:space="preserve"> observed [</w:t>
            </w:r>
            <w:r w:rsidRPr="00C57412">
              <w:rPr>
                <w:rFonts w:cs="Times New Roman"/>
                <w:i/>
                <w:iCs/>
                <w:sz w:val="22"/>
                <w:lang w:val="en-GB"/>
              </w:rPr>
              <w:t>I</w:t>
            </w:r>
            <w:r w:rsidRPr="00C57412">
              <w:rPr>
                <w:rFonts w:cs="Times New Roman"/>
                <w:sz w:val="22"/>
                <w:lang w:val="en-GB"/>
              </w:rPr>
              <w:t xml:space="preserve"> &gt; 2s(</w:t>
            </w:r>
            <w:r w:rsidRPr="00C57412">
              <w:rPr>
                <w:rFonts w:cs="Times New Roman"/>
                <w:i/>
                <w:iCs/>
                <w:sz w:val="22"/>
                <w:lang w:val="en-GB"/>
              </w:rPr>
              <w:t>I</w:t>
            </w:r>
            <w:r w:rsidRPr="00C57412">
              <w:rPr>
                <w:rFonts w:cs="Times New Roman"/>
                <w:sz w:val="22"/>
                <w:lang w:val="en-GB"/>
              </w:rPr>
              <w:t>)]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43359, 17606, 14660  </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vertAlign w:val="subscript"/>
                <w:lang w:val="en-GB"/>
              </w:rPr>
              <w:t>int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0.038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(sin q/l)</w:t>
            </w:r>
            <w:r w:rsidRPr="00C57412">
              <w:rPr>
                <w:rFonts w:cs="Times New Roman"/>
                <w:sz w:val="22"/>
                <w:vertAlign w:val="subscript"/>
                <w:lang w:val="en-GB"/>
              </w:rPr>
              <w:t>max</w:t>
            </w:r>
            <w:r w:rsidRPr="00C57412">
              <w:rPr>
                <w:rFonts w:cs="Times New Roman"/>
                <w:sz w:val="22"/>
                <w:lang w:val="en-GB"/>
              </w:rPr>
              <w:t xml:space="preserve"> (Å</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0.628</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Refinement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&gt; 2s(</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wR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0.045,  0.119,  1.03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17606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parameters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1169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restraints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treatment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parameters constrained</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Dρ</w:t>
            </w:r>
            <w:r w:rsidRPr="00C57412">
              <w:rPr>
                <w:rFonts w:cs="Times New Roman"/>
                <w:sz w:val="22"/>
                <w:vertAlign w:val="subscript"/>
                <w:lang w:val="en-GB"/>
              </w:rPr>
              <w:t>max</w:t>
            </w:r>
            <w:r w:rsidRPr="00C57412">
              <w:rPr>
                <w:rFonts w:cs="Times New Roman"/>
                <w:sz w:val="22"/>
                <w:lang w:val="en-GB"/>
              </w:rPr>
              <w:t>, Dρ</w:t>
            </w:r>
            <w:r w:rsidRPr="00C57412">
              <w:rPr>
                <w:rFonts w:cs="Times New Roman"/>
                <w:sz w:val="22"/>
                <w:vertAlign w:val="subscript"/>
                <w:lang w:val="en-GB"/>
              </w:rPr>
              <w:t>min</w:t>
            </w:r>
            <w:r w:rsidRPr="00C57412">
              <w:rPr>
                <w:rFonts w:cs="Times New Roman"/>
                <w:sz w:val="22"/>
                <w:lang w:val="en-GB"/>
              </w:rPr>
              <w:t xml:space="preserve"> (e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0.17, -0.30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Flack x determined using 5723 quotients [(I+)-(I-)]/[(I+)+(I-)]  (Parsons, Flack and Wagner, Acta Cryst. B69 (2013) 249-259).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 parameter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0.004 (8)</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APR:RES cocrystal</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data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Chemical formula</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w:t>
            </w:r>
            <w:r w:rsidRPr="00C57412">
              <w:rPr>
                <w:rFonts w:cs="Times New Roman"/>
                <w:sz w:val="22"/>
                <w:vertAlign w:val="subscript"/>
                <w:lang w:val="en-GB"/>
              </w:rPr>
              <w:t>22</w:t>
            </w:r>
            <w:r w:rsidRPr="00C57412">
              <w:rPr>
                <w:rFonts w:cs="Times New Roman"/>
                <w:sz w:val="22"/>
                <w:lang w:val="en-GB"/>
              </w:rPr>
              <w:t>H</w:t>
            </w:r>
            <w:r w:rsidRPr="00C57412">
              <w:rPr>
                <w:rFonts w:cs="Times New Roman"/>
                <w:sz w:val="22"/>
                <w:vertAlign w:val="subscript"/>
                <w:lang w:val="en-GB"/>
              </w:rPr>
              <w:t>24</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r w:rsidRPr="00C57412">
              <w:rPr>
                <w:rFonts w:cs="Times New Roman"/>
                <w:sz w:val="22"/>
                <w:vertAlign w:val="subscript"/>
                <w:lang w:val="en-GB"/>
              </w:rPr>
              <w:t>7</w:t>
            </w:r>
            <w:r w:rsidRPr="00C57412">
              <w:rPr>
                <w:rFonts w:cs="Times New Roman"/>
                <w:sz w:val="22"/>
                <w:lang w:val="en-GB"/>
              </w:rPr>
              <w:t>S·0.5(C</w:t>
            </w:r>
            <w:r w:rsidRPr="00C57412">
              <w:rPr>
                <w:rFonts w:cs="Times New Roman"/>
                <w:sz w:val="22"/>
                <w:vertAlign w:val="subscript"/>
                <w:lang w:val="en-GB"/>
              </w:rPr>
              <w:t>6</w:t>
            </w:r>
            <w:r w:rsidRPr="00C57412">
              <w:rPr>
                <w:rFonts w:cs="Times New Roman"/>
                <w:sz w:val="22"/>
                <w:lang w:val="en-GB"/>
              </w:rPr>
              <w:t>H</w:t>
            </w:r>
            <w:r w:rsidRPr="00C57412">
              <w:rPr>
                <w:rFonts w:cs="Times New Roman"/>
                <w:sz w:val="22"/>
                <w:vertAlign w:val="subscript"/>
                <w:lang w:val="en-GB"/>
              </w:rPr>
              <w:t>6</w:t>
            </w:r>
            <w:r w:rsidRPr="00C57412">
              <w:rPr>
                <w:rFonts w:cs="Times New Roman"/>
                <w:sz w:val="22"/>
                <w:lang w:val="en-GB"/>
              </w:rPr>
              <w:t>O</w:t>
            </w:r>
            <w:r w:rsidRPr="00C57412">
              <w:rPr>
                <w:rFonts w:cs="Times New Roman"/>
                <w:sz w:val="22"/>
                <w:vertAlign w:val="subscript"/>
                <w:lang w:val="en-GB"/>
              </w:rPr>
              <w:t>2</w:t>
            </w:r>
            <w:r w:rsidRPr="00C57412">
              <w:rPr>
                <w:rFonts w:cs="Times New Roman"/>
                <w:sz w:val="22"/>
                <w:lang w:val="en-GB"/>
              </w:rPr>
              <w:t>)·0.5(H</w:t>
            </w:r>
            <w:r w:rsidRPr="00C57412">
              <w:rPr>
                <w:rFonts w:cs="Times New Roman"/>
                <w:sz w:val="22"/>
                <w:vertAlign w:val="subscript"/>
                <w:lang w:val="en-GB"/>
              </w:rPr>
              <w:t>2</w:t>
            </w:r>
            <w:r w:rsidRPr="00C57412">
              <w:rPr>
                <w:rFonts w:cs="Times New Roman"/>
                <w:sz w:val="22"/>
                <w:lang w:val="en-GB"/>
              </w:rPr>
              <w:t>O)</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M</w:t>
            </w:r>
            <w:r w:rsidRPr="00C57412">
              <w:rPr>
                <w:rFonts w:cs="Times New Roman"/>
                <w:sz w:val="22"/>
                <w:vertAlign w:val="subscript"/>
                <w:lang w:val="en-GB"/>
              </w:rPr>
              <w:t>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524.55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system, space group</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Tetragonal, </w:t>
            </w:r>
            <w:r w:rsidRPr="00C57412">
              <w:rPr>
                <w:rFonts w:cs="Times New Roman"/>
                <w:i/>
                <w:iCs/>
                <w:sz w:val="22"/>
                <w:lang w:val="en-GB"/>
              </w:rPr>
              <w:t>P</w:t>
            </w:r>
            <w:r w:rsidRPr="00C57412">
              <w:rPr>
                <w:rFonts w:cs="Times New Roman"/>
                <w:sz w:val="22"/>
                <w:lang w:val="en-GB"/>
              </w:rPr>
              <w:t>4</w:t>
            </w:r>
            <w:r w:rsidRPr="00C57412">
              <w:rPr>
                <w:rFonts w:cs="Times New Roman"/>
                <w:sz w:val="22"/>
                <w:vertAlign w:val="subscript"/>
                <w:lang w:val="en-GB"/>
              </w:rPr>
              <w:t>1</w:t>
            </w:r>
            <w:r w:rsidRPr="00C57412">
              <w:rPr>
                <w:rFonts w:cs="Times New Roman"/>
                <w:sz w:val="22"/>
                <w:lang w:val="en-GB"/>
              </w:rPr>
              <w:t>2</w:t>
            </w:r>
            <w:r w:rsidRPr="00C57412">
              <w:rPr>
                <w:rFonts w:cs="Times New Roman"/>
                <w:sz w:val="22"/>
                <w:vertAlign w:val="subscript"/>
                <w:lang w:val="en-GB"/>
              </w:rPr>
              <w:t>1</w:t>
            </w:r>
            <w:r w:rsidRPr="00C57412">
              <w:rPr>
                <w:rFonts w:cs="Times New Roman"/>
                <w:sz w:val="22"/>
                <w:lang w:val="en-GB"/>
              </w:rPr>
              <w:t>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Temperature (K)</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a</w:t>
            </w:r>
            <w:r w:rsidRPr="00C57412">
              <w:rPr>
                <w:rFonts w:cs="Times New Roman"/>
                <w:sz w:val="22"/>
                <w:lang w:val="en-GB"/>
              </w:rPr>
              <w:t xml:space="preserve">, </w:t>
            </w:r>
            <w:r w:rsidRPr="00C57412">
              <w:rPr>
                <w:rFonts w:cs="Times New Roman"/>
                <w:i/>
                <w:iCs/>
                <w:sz w:val="22"/>
                <w:lang w:val="en-GB"/>
              </w:rPr>
              <w:t>c</w:t>
            </w:r>
            <w:r w:rsidRPr="00C57412">
              <w:rPr>
                <w:rFonts w:cs="Times New Roman"/>
                <w:sz w:val="22"/>
                <w:lang w:val="en-GB"/>
              </w:rPr>
              <w:t xml:space="preserve"> (Å)</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12.89179 (7),  29.5087 (3)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V</w:t>
            </w:r>
            <w:r w:rsidRPr="00C57412">
              <w:rPr>
                <w:rFonts w:cs="Times New Roman"/>
                <w:sz w:val="22"/>
                <w:lang w:val="en-GB"/>
              </w:rPr>
              <w:t xml:space="preserv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4904.29 (7)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Z</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Radiation type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Cu </w:t>
            </w:r>
            <w:r w:rsidRPr="00C57412">
              <w:rPr>
                <w:rFonts w:cs="Times New Roman"/>
                <w:i/>
                <w:iCs/>
                <w:sz w:val="22"/>
                <w:lang w:val="en-GB"/>
              </w:rPr>
              <w:t>K</w:t>
            </w:r>
            <w:r w:rsidRPr="00C57412">
              <w:rPr>
                <w:rFonts w:cs="Times New Roman"/>
                <w:sz w:val="22"/>
                <w:lang w:val="en-GB"/>
              </w:rPr>
              <w: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m (mm</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1.66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size (mm)</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0.48 × 0.30 × 0.16</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Data collection</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Diffractometer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SuperNova, Dual, Cu at zero, TitanS2</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Absorption correction</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Multi-scan </w:t>
            </w:r>
            <w:r w:rsidRPr="00C57412">
              <w:rPr>
                <w:rFonts w:cs="Times New Roman"/>
                <w:sz w:val="22"/>
                <w:lang w:val="en-GB"/>
              </w:rPr>
              <w:br/>
            </w:r>
            <w:r w:rsidRPr="00C57412">
              <w:rPr>
                <w:rFonts w:cs="Times New Roman"/>
                <w:i/>
                <w:iCs/>
                <w:sz w:val="22"/>
                <w:lang w:val="en-GB"/>
              </w:rPr>
              <w:t>CrysAlis PRO</w:t>
            </w:r>
            <w:r w:rsidRPr="00C57412">
              <w:rPr>
                <w:rFonts w:cs="Times New Roman"/>
                <w:sz w:val="22"/>
                <w:lang w:val="en-GB"/>
              </w:rPr>
              <w:t xml:space="preserve">, Agilent Technologies, Version 1.171.37.35h (release 09-02-2015 CrysAlis171 .NET) (compiled Feb  9 2015,16:26:32) Empirical absorption correction using spherical harmonics,  implemented in SCALE3 ABSPACK scaling </w:t>
            </w:r>
            <w:r w:rsidRPr="00C57412">
              <w:rPr>
                <w:rFonts w:cs="Times New Roman"/>
                <w:sz w:val="22"/>
                <w:lang w:val="en-GB"/>
              </w:rPr>
              <w:lastRenderedPageBreak/>
              <w:t>algorithm.</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lastRenderedPageBreak/>
              <w:t xml:space="preserve"> </w:t>
            </w:r>
            <w:r w:rsidRPr="00C57412">
              <w:rPr>
                <w:rFonts w:cs="Times New Roman"/>
                <w:i/>
                <w:iCs/>
                <w:sz w:val="22"/>
                <w:lang w:val="en-GB"/>
              </w:rPr>
              <w:t>T</w:t>
            </w:r>
            <w:r w:rsidRPr="00C57412">
              <w:rPr>
                <w:rFonts w:cs="Times New Roman"/>
                <w:sz w:val="22"/>
                <w:vertAlign w:val="subscript"/>
                <w:lang w:val="en-GB"/>
              </w:rPr>
              <w:t>min</w:t>
            </w:r>
            <w:r w:rsidRPr="00C57412">
              <w:rPr>
                <w:rFonts w:cs="Times New Roman"/>
                <w:sz w:val="22"/>
                <w:lang w:val="en-GB"/>
              </w:rPr>
              <w:t xml:space="preserve">, </w:t>
            </w:r>
            <w:r w:rsidRPr="00C57412">
              <w:rPr>
                <w:rFonts w:cs="Times New Roman"/>
                <w:i/>
                <w:iCs/>
                <w:sz w:val="22"/>
                <w:lang w:val="en-GB"/>
              </w:rPr>
              <w:t>T</w:t>
            </w:r>
            <w:r w:rsidRPr="00C57412">
              <w:rPr>
                <w:rFonts w:cs="Times New Roman"/>
                <w:sz w:val="22"/>
                <w:vertAlign w:val="subscript"/>
                <w:lang w:val="en-GB"/>
              </w:rPr>
              <w:t>max</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0.250, 1.000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measured, independent and</w:t>
            </w:r>
            <w:r w:rsidRPr="00C57412">
              <w:rPr>
                <w:rFonts w:cs="Times New Roman"/>
                <w:sz w:val="22"/>
                <w:lang w:val="en-GB"/>
              </w:rPr>
              <w:br/>
              <w:t xml:space="preserve"> observed [</w:t>
            </w:r>
            <w:r w:rsidRPr="00C57412">
              <w:rPr>
                <w:rFonts w:cs="Times New Roman"/>
                <w:i/>
                <w:iCs/>
                <w:sz w:val="22"/>
                <w:lang w:val="en-GB"/>
              </w:rPr>
              <w:t>I</w:t>
            </w:r>
            <w:r w:rsidRPr="00C57412">
              <w:rPr>
                <w:rFonts w:cs="Times New Roman"/>
                <w:sz w:val="22"/>
                <w:lang w:val="en-GB"/>
              </w:rPr>
              <w:t xml:space="preserve"> &gt; 2s(</w:t>
            </w:r>
            <w:r w:rsidRPr="00C57412">
              <w:rPr>
                <w:rFonts w:cs="Times New Roman"/>
                <w:i/>
                <w:iCs/>
                <w:sz w:val="22"/>
                <w:lang w:val="en-GB"/>
              </w:rPr>
              <w:t>I</w:t>
            </w:r>
            <w:r w:rsidRPr="00C57412">
              <w:rPr>
                <w:rFonts w:cs="Times New Roman"/>
                <w:sz w:val="22"/>
                <w:lang w:val="en-GB"/>
              </w:rPr>
              <w:t>)]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38451, 5001, 4965  </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vertAlign w:val="subscript"/>
                <w:lang w:val="en-GB"/>
              </w:rPr>
              <w:t>int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0.048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(sin q/l)</w:t>
            </w:r>
            <w:r w:rsidRPr="00C57412">
              <w:rPr>
                <w:rFonts w:cs="Times New Roman"/>
                <w:sz w:val="22"/>
                <w:vertAlign w:val="subscript"/>
                <w:lang w:val="en-GB"/>
              </w:rPr>
              <w:t>max</w:t>
            </w:r>
            <w:r w:rsidRPr="00C57412">
              <w:rPr>
                <w:rFonts w:cs="Times New Roman"/>
                <w:sz w:val="22"/>
                <w:lang w:val="en-GB"/>
              </w:rPr>
              <w:t xml:space="preserve"> (Å</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0.626</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Refinement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&gt; 2s(</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wR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0.047,  0.132,  1.08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5001</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parameters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360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restraints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96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treatment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parameters constrained</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Dρ</w:t>
            </w:r>
            <w:r w:rsidRPr="00C57412">
              <w:rPr>
                <w:rFonts w:cs="Times New Roman"/>
                <w:sz w:val="22"/>
                <w:vertAlign w:val="subscript"/>
                <w:lang w:val="en-GB"/>
              </w:rPr>
              <w:t>max</w:t>
            </w:r>
            <w:r w:rsidRPr="00C57412">
              <w:rPr>
                <w:rFonts w:cs="Times New Roman"/>
                <w:sz w:val="22"/>
                <w:lang w:val="en-GB"/>
              </w:rPr>
              <w:t>, Dρ</w:t>
            </w:r>
            <w:r w:rsidRPr="00C57412">
              <w:rPr>
                <w:rFonts w:cs="Times New Roman"/>
                <w:sz w:val="22"/>
                <w:vertAlign w:val="subscript"/>
                <w:lang w:val="en-GB"/>
              </w:rPr>
              <w:t>min</w:t>
            </w:r>
            <w:r w:rsidRPr="00C57412">
              <w:rPr>
                <w:rFonts w:cs="Times New Roman"/>
                <w:sz w:val="22"/>
                <w:lang w:val="en-GB"/>
              </w:rPr>
              <w:t xml:space="preserve"> (e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0.90, -0.63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Flack x determined using 1998 quotients [(I+)-(I-)]/[(I+)+(I-)]  (Parsons, Flack and Wagner, Acta Cryst. B69 (2013) 249-259).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 parameter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-0.001 (6)</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APR:PIC cocrystal</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data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Chemical formula</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w:t>
            </w:r>
            <w:r w:rsidRPr="00C57412">
              <w:rPr>
                <w:rFonts w:cs="Times New Roman"/>
                <w:sz w:val="22"/>
                <w:vertAlign w:val="subscript"/>
                <w:lang w:val="en-GB"/>
              </w:rPr>
              <w:t>22</w:t>
            </w:r>
            <w:r w:rsidRPr="00C57412">
              <w:rPr>
                <w:rFonts w:cs="Times New Roman"/>
                <w:sz w:val="22"/>
                <w:lang w:val="en-GB"/>
              </w:rPr>
              <w:t>H</w:t>
            </w:r>
            <w:r w:rsidRPr="00C57412">
              <w:rPr>
                <w:rFonts w:cs="Times New Roman"/>
                <w:sz w:val="22"/>
                <w:vertAlign w:val="subscript"/>
                <w:lang w:val="en-GB"/>
              </w:rPr>
              <w:t>24</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r w:rsidRPr="00C57412">
              <w:rPr>
                <w:rFonts w:cs="Times New Roman"/>
                <w:sz w:val="22"/>
                <w:vertAlign w:val="subscript"/>
                <w:lang w:val="en-GB"/>
              </w:rPr>
              <w:t>7</w:t>
            </w:r>
            <w:r w:rsidRPr="00C57412">
              <w:rPr>
                <w:rFonts w:cs="Times New Roman"/>
                <w:sz w:val="22"/>
                <w:lang w:val="en-GB"/>
              </w:rPr>
              <w:t>S·0.5(C</w:t>
            </w:r>
            <w:r w:rsidRPr="00C57412">
              <w:rPr>
                <w:rFonts w:cs="Times New Roman"/>
                <w:sz w:val="22"/>
                <w:vertAlign w:val="subscript"/>
                <w:lang w:val="en-GB"/>
              </w:rPr>
              <w:t>6</w:t>
            </w:r>
            <w:r w:rsidRPr="00C57412">
              <w:rPr>
                <w:rFonts w:cs="Times New Roman"/>
                <w:sz w:val="22"/>
                <w:lang w:val="en-GB"/>
              </w:rPr>
              <w:t>H</w:t>
            </w:r>
            <w:r w:rsidRPr="00C57412">
              <w:rPr>
                <w:rFonts w:cs="Times New Roman"/>
                <w:sz w:val="22"/>
                <w:vertAlign w:val="subscript"/>
                <w:lang w:val="en-GB"/>
              </w:rPr>
              <w:t>6</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M</w:t>
            </w:r>
            <w:r w:rsidRPr="00C57412">
              <w:rPr>
                <w:rFonts w:cs="Times New Roman"/>
                <w:sz w:val="22"/>
                <w:vertAlign w:val="subscript"/>
                <w:lang w:val="en-GB"/>
              </w:rPr>
              <w:t>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521.55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system, space group</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Tetragonal, </w:t>
            </w:r>
            <w:r w:rsidRPr="00C57412">
              <w:rPr>
                <w:rFonts w:cs="Times New Roman"/>
                <w:i/>
                <w:iCs/>
                <w:sz w:val="22"/>
                <w:lang w:val="en-GB"/>
              </w:rPr>
              <w:t>P</w:t>
            </w:r>
            <w:r w:rsidRPr="00C57412">
              <w:rPr>
                <w:rFonts w:cs="Times New Roman"/>
                <w:sz w:val="22"/>
                <w:lang w:val="en-GB"/>
              </w:rPr>
              <w:t>4</w:t>
            </w:r>
            <w:r w:rsidRPr="00C57412">
              <w:rPr>
                <w:rFonts w:cs="Times New Roman"/>
                <w:sz w:val="22"/>
                <w:vertAlign w:val="subscript"/>
                <w:lang w:val="en-GB"/>
              </w:rPr>
              <w:t>1</w:t>
            </w:r>
            <w:r w:rsidRPr="00C57412">
              <w:rPr>
                <w:rFonts w:cs="Times New Roman"/>
                <w:sz w:val="22"/>
                <w:lang w:val="en-GB"/>
              </w:rPr>
              <w:t>2</w:t>
            </w:r>
            <w:r w:rsidRPr="00C57412">
              <w:rPr>
                <w:rFonts w:cs="Times New Roman"/>
                <w:sz w:val="22"/>
                <w:vertAlign w:val="subscript"/>
                <w:lang w:val="en-GB"/>
              </w:rPr>
              <w:t>1</w:t>
            </w:r>
            <w:r w:rsidRPr="00C57412">
              <w:rPr>
                <w:rFonts w:cs="Times New Roman"/>
                <w:sz w:val="22"/>
                <w:lang w:val="en-GB"/>
              </w:rPr>
              <w:t>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Temperature (K)</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a</w:t>
            </w:r>
            <w:r w:rsidRPr="00C57412">
              <w:rPr>
                <w:rFonts w:cs="Times New Roman"/>
                <w:sz w:val="22"/>
                <w:lang w:val="en-GB"/>
              </w:rPr>
              <w:t xml:space="preserve">, </w:t>
            </w:r>
            <w:r w:rsidRPr="00C57412">
              <w:rPr>
                <w:rFonts w:cs="Times New Roman"/>
                <w:i/>
                <w:iCs/>
                <w:sz w:val="22"/>
                <w:lang w:val="en-GB"/>
              </w:rPr>
              <w:t>c</w:t>
            </w:r>
            <w:r w:rsidRPr="00C57412">
              <w:rPr>
                <w:rFonts w:cs="Times New Roman"/>
                <w:sz w:val="22"/>
                <w:lang w:val="en-GB"/>
              </w:rPr>
              <w:t xml:space="preserve"> (Å)</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12.81222 (8),  29.7274 (3)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V</w:t>
            </w:r>
            <w:r w:rsidRPr="00C57412">
              <w:rPr>
                <w:rFonts w:cs="Times New Roman"/>
                <w:sz w:val="22"/>
                <w:lang w:val="en-GB"/>
              </w:rPr>
              <w:t xml:space="preserv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4879.84 (7)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Z</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Radiation type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Cu </w:t>
            </w:r>
            <w:r w:rsidRPr="00C57412">
              <w:rPr>
                <w:rFonts w:cs="Times New Roman"/>
                <w:i/>
                <w:iCs/>
                <w:sz w:val="22"/>
                <w:lang w:val="en-GB"/>
              </w:rPr>
              <w:t>K</w:t>
            </w:r>
            <w:r w:rsidRPr="00C57412">
              <w:rPr>
                <w:rFonts w:cs="Times New Roman"/>
                <w:sz w:val="22"/>
                <w:lang w:val="en-GB"/>
              </w:rPr>
              <w: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m (mm</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1.65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size (mm)</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0.41 × 0.28 × 0.25</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Data collection</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Diffractometer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SuperNova, Dual, Cu at zero, TitanS2</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Absorption correction</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Multi-scan </w:t>
            </w:r>
            <w:r w:rsidRPr="00C57412">
              <w:rPr>
                <w:rFonts w:cs="Times New Roman"/>
                <w:sz w:val="22"/>
                <w:lang w:val="en-GB"/>
              </w:rPr>
              <w:br/>
            </w:r>
            <w:r w:rsidRPr="00C57412">
              <w:rPr>
                <w:rFonts w:cs="Times New Roman"/>
                <w:i/>
                <w:iCs/>
                <w:sz w:val="22"/>
                <w:lang w:val="en-GB"/>
              </w:rPr>
              <w:t>CrysAlis PRO</w:t>
            </w:r>
            <w:r w:rsidRPr="00C57412">
              <w:rPr>
                <w:rFonts w:cs="Times New Roman"/>
                <w:sz w:val="22"/>
                <w:lang w:val="en-GB"/>
              </w:rPr>
              <w:t xml:space="preserve">, Agilent Technologies, Version 1.171.37.35h (release 09-02-2015 CrysAlis171 .NET) (compiled Feb  9 2015,16:26:32) Empirical absorption correction using spherical </w:t>
            </w:r>
            <w:r w:rsidRPr="00C57412">
              <w:rPr>
                <w:rFonts w:cs="Times New Roman"/>
                <w:sz w:val="22"/>
                <w:lang w:val="en-GB"/>
              </w:rPr>
              <w:lastRenderedPageBreak/>
              <w:t>harmonics,  implemented in SCALE3 ABSPACK scaling algorithm.</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lastRenderedPageBreak/>
              <w:t xml:space="preserve"> </w:t>
            </w:r>
            <w:r w:rsidRPr="00C57412">
              <w:rPr>
                <w:rFonts w:cs="Times New Roman"/>
                <w:i/>
                <w:iCs/>
                <w:sz w:val="22"/>
                <w:lang w:val="en-GB"/>
              </w:rPr>
              <w:t>T</w:t>
            </w:r>
            <w:r w:rsidRPr="00C57412">
              <w:rPr>
                <w:rFonts w:cs="Times New Roman"/>
                <w:sz w:val="22"/>
                <w:vertAlign w:val="subscript"/>
                <w:lang w:val="en-GB"/>
              </w:rPr>
              <w:t>min</w:t>
            </w:r>
            <w:r w:rsidRPr="00C57412">
              <w:rPr>
                <w:rFonts w:cs="Times New Roman"/>
                <w:sz w:val="22"/>
                <w:lang w:val="en-GB"/>
              </w:rPr>
              <w:t xml:space="preserve">, </w:t>
            </w:r>
            <w:r w:rsidRPr="00C57412">
              <w:rPr>
                <w:rFonts w:cs="Times New Roman"/>
                <w:i/>
                <w:iCs/>
                <w:sz w:val="22"/>
                <w:lang w:val="en-GB"/>
              </w:rPr>
              <w:t>T</w:t>
            </w:r>
            <w:r w:rsidRPr="00C57412">
              <w:rPr>
                <w:rFonts w:cs="Times New Roman"/>
                <w:sz w:val="22"/>
                <w:vertAlign w:val="subscript"/>
                <w:lang w:val="en-GB"/>
              </w:rPr>
              <w:t>max</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0.746, 1.000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measured, independent and</w:t>
            </w:r>
            <w:r w:rsidRPr="00C57412">
              <w:rPr>
                <w:rFonts w:cs="Times New Roman"/>
                <w:sz w:val="22"/>
                <w:lang w:val="en-GB"/>
              </w:rPr>
              <w:br/>
              <w:t xml:space="preserve"> observed [</w:t>
            </w:r>
            <w:r w:rsidRPr="00C57412">
              <w:rPr>
                <w:rFonts w:cs="Times New Roman"/>
                <w:i/>
                <w:iCs/>
                <w:sz w:val="22"/>
                <w:lang w:val="en-GB"/>
              </w:rPr>
              <w:t>I</w:t>
            </w:r>
            <w:r w:rsidRPr="00C57412">
              <w:rPr>
                <w:rFonts w:cs="Times New Roman"/>
                <w:sz w:val="22"/>
                <w:lang w:val="en-GB"/>
              </w:rPr>
              <w:t xml:space="preserve"> &gt; 2s(</w:t>
            </w:r>
            <w:r w:rsidRPr="00C57412">
              <w:rPr>
                <w:rFonts w:cs="Times New Roman"/>
                <w:i/>
                <w:iCs/>
                <w:sz w:val="22"/>
                <w:lang w:val="en-GB"/>
              </w:rPr>
              <w:t>I</w:t>
            </w:r>
            <w:r w:rsidRPr="00C57412">
              <w:rPr>
                <w:rFonts w:cs="Times New Roman"/>
                <w:sz w:val="22"/>
                <w:lang w:val="en-GB"/>
              </w:rPr>
              <w:t>)]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38165, 4980, 4953  </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vertAlign w:val="subscript"/>
                <w:lang w:val="en-GB"/>
              </w:rPr>
              <w:t>int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0.021</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(sin q/l)</w:t>
            </w:r>
            <w:r w:rsidRPr="00C57412">
              <w:rPr>
                <w:rFonts w:cs="Times New Roman"/>
                <w:sz w:val="22"/>
                <w:vertAlign w:val="subscript"/>
                <w:lang w:val="en-GB"/>
              </w:rPr>
              <w:t>max</w:t>
            </w:r>
            <w:r w:rsidRPr="00C57412">
              <w:rPr>
                <w:rFonts w:cs="Times New Roman"/>
                <w:sz w:val="22"/>
                <w:lang w:val="en-GB"/>
              </w:rPr>
              <w:t xml:space="preserve"> (Å</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0.627</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Refinement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&gt; 2s(</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wR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0.058,  0.160,  1.07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4980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parameters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363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restraints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115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treatment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parameters constrained</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Dρ</w:t>
            </w:r>
            <w:r w:rsidRPr="00C57412">
              <w:rPr>
                <w:rFonts w:cs="Times New Roman"/>
                <w:sz w:val="22"/>
                <w:vertAlign w:val="subscript"/>
                <w:lang w:val="en-GB"/>
              </w:rPr>
              <w:t>max</w:t>
            </w:r>
            <w:r w:rsidRPr="00C57412">
              <w:rPr>
                <w:rFonts w:cs="Times New Roman"/>
                <w:sz w:val="22"/>
                <w:lang w:val="en-GB"/>
              </w:rPr>
              <w:t>, Dρ</w:t>
            </w:r>
            <w:r w:rsidRPr="00C57412">
              <w:rPr>
                <w:rFonts w:cs="Times New Roman"/>
                <w:sz w:val="22"/>
                <w:vertAlign w:val="subscript"/>
                <w:lang w:val="en-GB"/>
              </w:rPr>
              <w:t>min</w:t>
            </w:r>
            <w:r w:rsidRPr="00C57412">
              <w:rPr>
                <w:rFonts w:cs="Times New Roman"/>
                <w:sz w:val="22"/>
                <w:lang w:val="en-GB"/>
              </w:rPr>
              <w:t xml:space="preserve"> (e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1.06, -0.63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Flack x determined using 2008 quotients [(I+)-(I-)]/[(I+)+(I-)]  (Parsons, Flack and Wagner, Acta Cryst. B69 (2013) 249-259).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 parameter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-0.002 (4)</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APR:IMI cocrystal</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data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Chemical formula</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w:t>
            </w:r>
            <w:r w:rsidRPr="00C57412">
              <w:rPr>
                <w:rFonts w:cs="Times New Roman"/>
                <w:sz w:val="22"/>
                <w:vertAlign w:val="subscript"/>
                <w:lang w:val="en-GB"/>
              </w:rPr>
              <w:t>22</w:t>
            </w:r>
            <w:r w:rsidRPr="00C57412">
              <w:rPr>
                <w:rFonts w:cs="Times New Roman"/>
                <w:sz w:val="22"/>
                <w:lang w:val="en-GB"/>
              </w:rPr>
              <w:t>H</w:t>
            </w:r>
            <w:r w:rsidRPr="00C57412">
              <w:rPr>
                <w:rFonts w:cs="Times New Roman"/>
                <w:sz w:val="22"/>
                <w:vertAlign w:val="subscript"/>
                <w:lang w:val="en-GB"/>
              </w:rPr>
              <w:t>24</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r w:rsidRPr="00C57412">
              <w:rPr>
                <w:rFonts w:cs="Times New Roman"/>
                <w:sz w:val="22"/>
                <w:vertAlign w:val="subscript"/>
                <w:lang w:val="en-GB"/>
              </w:rPr>
              <w:t>7</w:t>
            </w:r>
            <w:r w:rsidRPr="00C57412">
              <w:rPr>
                <w:rFonts w:cs="Times New Roman"/>
                <w:sz w:val="22"/>
                <w:lang w:val="en-GB"/>
              </w:rPr>
              <w:t>S·0.5(C</w:t>
            </w:r>
            <w:r w:rsidRPr="00C57412">
              <w:rPr>
                <w:rFonts w:cs="Times New Roman"/>
                <w:sz w:val="22"/>
                <w:vertAlign w:val="subscript"/>
                <w:lang w:val="en-GB"/>
              </w:rPr>
              <w:t>3</w:t>
            </w:r>
            <w:r w:rsidRPr="00C57412">
              <w:rPr>
                <w:rFonts w:cs="Times New Roman"/>
                <w:sz w:val="22"/>
                <w:lang w:val="en-GB"/>
              </w:rPr>
              <w:t>H</w:t>
            </w:r>
            <w:r w:rsidRPr="00C57412">
              <w:rPr>
                <w:rFonts w:cs="Times New Roman"/>
                <w:sz w:val="22"/>
                <w:vertAlign w:val="subscript"/>
                <w:lang w:val="en-GB"/>
              </w:rPr>
              <w:t>6</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M</w:t>
            </w:r>
            <w:r w:rsidRPr="00C57412">
              <w:rPr>
                <w:rFonts w:cs="Times New Roman"/>
                <w:sz w:val="22"/>
                <w:vertAlign w:val="subscript"/>
                <w:lang w:val="en-GB"/>
              </w:rPr>
              <w:t>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501.52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system, space group</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Tetragonal, </w:t>
            </w:r>
            <w:r w:rsidRPr="00C57412">
              <w:rPr>
                <w:rFonts w:cs="Times New Roman"/>
                <w:i/>
                <w:iCs/>
                <w:sz w:val="22"/>
                <w:lang w:val="en-GB"/>
              </w:rPr>
              <w:t>P</w:t>
            </w:r>
            <w:r w:rsidRPr="00C57412">
              <w:rPr>
                <w:rFonts w:cs="Times New Roman"/>
                <w:sz w:val="22"/>
                <w:lang w:val="en-GB"/>
              </w:rPr>
              <w:t>4</w:t>
            </w:r>
            <w:r w:rsidRPr="00C57412">
              <w:rPr>
                <w:rFonts w:cs="Times New Roman"/>
                <w:sz w:val="22"/>
                <w:vertAlign w:val="subscript"/>
                <w:lang w:val="en-GB"/>
              </w:rPr>
              <w:t>1</w:t>
            </w:r>
            <w:r w:rsidRPr="00C57412">
              <w:rPr>
                <w:rFonts w:cs="Times New Roman"/>
                <w:sz w:val="22"/>
                <w:lang w:val="en-GB"/>
              </w:rPr>
              <w:t>2</w:t>
            </w:r>
            <w:r w:rsidRPr="00C57412">
              <w:rPr>
                <w:rFonts w:cs="Times New Roman"/>
                <w:sz w:val="22"/>
                <w:vertAlign w:val="subscript"/>
                <w:lang w:val="en-GB"/>
              </w:rPr>
              <w:t>1</w:t>
            </w:r>
            <w:r w:rsidRPr="00C57412">
              <w:rPr>
                <w:rFonts w:cs="Times New Roman"/>
                <w:sz w:val="22"/>
                <w:lang w:val="en-GB"/>
              </w:rPr>
              <w:t>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Temperature (K)</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a</w:t>
            </w:r>
            <w:r w:rsidRPr="00C57412">
              <w:rPr>
                <w:rFonts w:cs="Times New Roman"/>
                <w:sz w:val="22"/>
                <w:lang w:val="en-GB"/>
              </w:rPr>
              <w:t xml:space="preserve">, </w:t>
            </w:r>
            <w:r w:rsidRPr="00C57412">
              <w:rPr>
                <w:rFonts w:cs="Times New Roman"/>
                <w:i/>
                <w:iCs/>
                <w:sz w:val="22"/>
                <w:lang w:val="en-GB"/>
              </w:rPr>
              <w:t>c</w:t>
            </w:r>
            <w:r w:rsidRPr="00C57412">
              <w:rPr>
                <w:rFonts w:cs="Times New Roman"/>
                <w:sz w:val="22"/>
                <w:lang w:val="en-GB"/>
              </w:rPr>
              <w:t xml:space="preserve"> (Å)</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12.85808 (14),  29.5715 (4)</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V</w:t>
            </w:r>
            <w:r w:rsidRPr="00C57412">
              <w:rPr>
                <w:rFonts w:cs="Times New Roman"/>
                <w:sz w:val="22"/>
                <w:lang w:val="en-GB"/>
              </w:rPr>
              <w:t xml:space="preserv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4889.07 (13)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Z</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Radiation type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Cu </w:t>
            </w:r>
            <w:r w:rsidRPr="00C57412">
              <w:rPr>
                <w:rFonts w:cs="Times New Roman"/>
                <w:i/>
                <w:iCs/>
                <w:sz w:val="22"/>
                <w:lang w:val="en-GB"/>
              </w:rPr>
              <w:t>K</w:t>
            </w:r>
            <w:r w:rsidRPr="00C57412">
              <w:rPr>
                <w:rFonts w:cs="Times New Roman"/>
                <w:sz w:val="22"/>
                <w:lang w:val="en-GB"/>
              </w:rPr>
              <w: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m (mm</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1.62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size (mm)</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0.47 × 0.24 × 0.12</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Data collection</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Diffractometer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SuperNova, Dual, Cu at zero, TitanS2</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Absorption correction</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Multi-scan </w:t>
            </w:r>
            <w:r w:rsidRPr="00C57412">
              <w:rPr>
                <w:rFonts w:cs="Times New Roman"/>
                <w:sz w:val="22"/>
                <w:lang w:val="en-GB"/>
              </w:rPr>
              <w:br/>
            </w:r>
            <w:r w:rsidRPr="00C57412">
              <w:rPr>
                <w:rFonts w:cs="Times New Roman"/>
                <w:i/>
                <w:iCs/>
                <w:sz w:val="22"/>
                <w:lang w:val="en-GB"/>
              </w:rPr>
              <w:t>CrysAlis PRO</w:t>
            </w:r>
            <w:r w:rsidRPr="00C57412">
              <w:rPr>
                <w:rFonts w:cs="Times New Roman"/>
                <w:sz w:val="22"/>
                <w:lang w:val="en-GB"/>
              </w:rPr>
              <w:t xml:space="preserve">, Agilent Technologies, Version 1.171.37.35h (release 09-02-2015 CrysAlis171 .NET) (compiled Feb  9 </w:t>
            </w:r>
            <w:r w:rsidRPr="00C57412">
              <w:rPr>
                <w:rFonts w:cs="Times New Roman"/>
                <w:sz w:val="22"/>
                <w:lang w:val="en-GB"/>
              </w:rPr>
              <w:lastRenderedPageBreak/>
              <w:t>2015,16:26:32) Empirical absorption correction using spherical harmonics,  implemented in SCALE3 ABSPACK scaling algorithm.</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lastRenderedPageBreak/>
              <w:t xml:space="preserve"> </w:t>
            </w:r>
            <w:r w:rsidRPr="00C57412">
              <w:rPr>
                <w:rFonts w:cs="Times New Roman"/>
                <w:i/>
                <w:iCs/>
                <w:sz w:val="22"/>
                <w:lang w:val="en-GB"/>
              </w:rPr>
              <w:t>T</w:t>
            </w:r>
            <w:r w:rsidRPr="00C57412">
              <w:rPr>
                <w:rFonts w:cs="Times New Roman"/>
                <w:sz w:val="22"/>
                <w:vertAlign w:val="subscript"/>
                <w:lang w:val="en-GB"/>
              </w:rPr>
              <w:t>min</w:t>
            </w:r>
            <w:r w:rsidRPr="00C57412">
              <w:rPr>
                <w:rFonts w:cs="Times New Roman"/>
                <w:sz w:val="22"/>
                <w:lang w:val="en-GB"/>
              </w:rPr>
              <w:t xml:space="preserve">, </w:t>
            </w:r>
            <w:r w:rsidRPr="00C57412">
              <w:rPr>
                <w:rFonts w:cs="Times New Roman"/>
                <w:i/>
                <w:iCs/>
                <w:sz w:val="22"/>
                <w:lang w:val="en-GB"/>
              </w:rPr>
              <w:t>T</w:t>
            </w:r>
            <w:r w:rsidRPr="00C57412">
              <w:rPr>
                <w:rFonts w:cs="Times New Roman"/>
                <w:sz w:val="22"/>
                <w:vertAlign w:val="subscript"/>
                <w:lang w:val="en-GB"/>
              </w:rPr>
              <w:t>max</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0.576, 1.000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measured, independent and</w:t>
            </w:r>
            <w:r w:rsidRPr="00C57412">
              <w:rPr>
                <w:rFonts w:cs="Times New Roman"/>
                <w:sz w:val="22"/>
                <w:lang w:val="en-GB"/>
              </w:rPr>
              <w:br/>
              <w:t xml:space="preserve"> observed [</w:t>
            </w:r>
            <w:r w:rsidRPr="00C57412">
              <w:rPr>
                <w:rFonts w:cs="Times New Roman"/>
                <w:i/>
                <w:iCs/>
                <w:sz w:val="22"/>
                <w:lang w:val="en-GB"/>
              </w:rPr>
              <w:t>I</w:t>
            </w:r>
            <w:r w:rsidRPr="00C57412">
              <w:rPr>
                <w:rFonts w:cs="Times New Roman"/>
                <w:sz w:val="22"/>
                <w:lang w:val="en-GB"/>
              </w:rPr>
              <w:t xml:space="preserve"> &gt; 2s(</w:t>
            </w:r>
            <w:r w:rsidRPr="00C57412">
              <w:rPr>
                <w:rFonts w:cs="Times New Roman"/>
                <w:i/>
                <w:iCs/>
                <w:sz w:val="22"/>
                <w:lang w:val="en-GB"/>
              </w:rPr>
              <w:t>I</w:t>
            </w:r>
            <w:r w:rsidRPr="00C57412">
              <w:rPr>
                <w:rFonts w:cs="Times New Roman"/>
                <w:sz w:val="22"/>
                <w:lang w:val="en-GB"/>
              </w:rPr>
              <w:t>)]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38007, 5005, 4888  </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vertAlign w:val="subscript"/>
                <w:lang w:val="en-GB"/>
              </w:rPr>
              <w:t>int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0.040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(sin q/l)</w:t>
            </w:r>
            <w:r w:rsidRPr="00C57412">
              <w:rPr>
                <w:rFonts w:cs="Times New Roman"/>
                <w:sz w:val="22"/>
                <w:vertAlign w:val="subscript"/>
                <w:lang w:val="en-GB"/>
              </w:rPr>
              <w:t>max</w:t>
            </w:r>
            <w:r w:rsidRPr="00C57412">
              <w:rPr>
                <w:rFonts w:cs="Times New Roman"/>
                <w:sz w:val="22"/>
                <w:lang w:val="en-GB"/>
              </w:rPr>
              <w:t xml:space="preserve"> (Å</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0.627</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Refinement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&gt; 2s(</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wR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0.063,  0.179,  1.05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5005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parameters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335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restraints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66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treatment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parameters constrained</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Dρ</w:t>
            </w:r>
            <w:r w:rsidRPr="00C57412">
              <w:rPr>
                <w:rFonts w:cs="Times New Roman"/>
                <w:sz w:val="22"/>
                <w:vertAlign w:val="subscript"/>
                <w:lang w:val="en-GB"/>
              </w:rPr>
              <w:t>max</w:t>
            </w:r>
            <w:r w:rsidRPr="00C57412">
              <w:rPr>
                <w:rFonts w:cs="Times New Roman"/>
                <w:sz w:val="22"/>
                <w:lang w:val="en-GB"/>
              </w:rPr>
              <w:t>, Dρ</w:t>
            </w:r>
            <w:r w:rsidRPr="00C57412">
              <w:rPr>
                <w:rFonts w:cs="Times New Roman"/>
                <w:sz w:val="22"/>
                <w:vertAlign w:val="subscript"/>
                <w:lang w:val="en-GB"/>
              </w:rPr>
              <w:t>min</w:t>
            </w:r>
            <w:r w:rsidRPr="00C57412">
              <w:rPr>
                <w:rFonts w:cs="Times New Roman"/>
                <w:sz w:val="22"/>
                <w:lang w:val="en-GB"/>
              </w:rPr>
              <w:t xml:space="preserve"> (e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1.98, -0.96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Flack x determined using 1984 quotients [(I+)-(I-)]/[(I+)+(I-)]  (Parsons, Flack and Wagner, Acta Cryst. B69 (2013) 249-259).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 parameter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0.006 (6)</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APR:HQU cocrystal</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data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Chemical formula</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w:t>
            </w:r>
            <w:r w:rsidRPr="00C57412">
              <w:rPr>
                <w:rFonts w:cs="Times New Roman"/>
                <w:sz w:val="22"/>
                <w:vertAlign w:val="subscript"/>
                <w:lang w:val="en-GB"/>
              </w:rPr>
              <w:t>22</w:t>
            </w:r>
            <w:r w:rsidRPr="00C57412">
              <w:rPr>
                <w:rFonts w:cs="Times New Roman"/>
                <w:sz w:val="22"/>
                <w:lang w:val="en-GB"/>
              </w:rPr>
              <w:t>H</w:t>
            </w:r>
            <w:r w:rsidRPr="00C57412">
              <w:rPr>
                <w:rFonts w:cs="Times New Roman"/>
                <w:sz w:val="22"/>
                <w:vertAlign w:val="subscript"/>
                <w:lang w:val="en-GB"/>
              </w:rPr>
              <w:t>24</w:t>
            </w:r>
            <w:r w:rsidRPr="00C57412">
              <w:rPr>
                <w:rFonts w:cs="Times New Roman"/>
                <w:sz w:val="22"/>
                <w:lang w:val="en-GB"/>
              </w:rPr>
              <w:t>N</w:t>
            </w:r>
            <w:r w:rsidRPr="00C57412">
              <w:rPr>
                <w:rFonts w:cs="Times New Roman"/>
                <w:sz w:val="22"/>
                <w:vertAlign w:val="subscript"/>
                <w:lang w:val="en-GB"/>
              </w:rPr>
              <w:t>2</w:t>
            </w:r>
            <w:r w:rsidRPr="00C57412">
              <w:rPr>
                <w:rFonts w:cs="Times New Roman"/>
                <w:sz w:val="22"/>
                <w:lang w:val="en-GB"/>
              </w:rPr>
              <w:t>O</w:t>
            </w:r>
            <w:r w:rsidRPr="00C57412">
              <w:rPr>
                <w:rFonts w:cs="Times New Roman"/>
                <w:sz w:val="22"/>
                <w:vertAlign w:val="subscript"/>
                <w:lang w:val="en-GB"/>
              </w:rPr>
              <w:t>7</w:t>
            </w:r>
            <w:r w:rsidRPr="00C57412">
              <w:rPr>
                <w:rFonts w:cs="Times New Roman"/>
                <w:sz w:val="22"/>
                <w:lang w:val="en-GB"/>
              </w:rPr>
              <w:t>S·0.5(C</w:t>
            </w:r>
            <w:r w:rsidRPr="00C57412">
              <w:rPr>
                <w:rFonts w:cs="Times New Roman"/>
                <w:sz w:val="22"/>
                <w:vertAlign w:val="subscript"/>
                <w:lang w:val="en-GB"/>
              </w:rPr>
              <w:t>6</w:t>
            </w:r>
            <w:r w:rsidRPr="00C57412">
              <w:rPr>
                <w:rFonts w:cs="Times New Roman"/>
                <w:sz w:val="22"/>
                <w:lang w:val="en-GB"/>
              </w:rPr>
              <w:t>H</w:t>
            </w:r>
            <w:r w:rsidRPr="00C57412">
              <w:rPr>
                <w:rFonts w:cs="Times New Roman"/>
                <w:sz w:val="22"/>
                <w:vertAlign w:val="subscript"/>
                <w:lang w:val="en-GB"/>
              </w:rPr>
              <w:t>8</w:t>
            </w:r>
            <w:r w:rsidRPr="00C57412">
              <w:rPr>
                <w:rFonts w:cs="Times New Roman"/>
                <w:sz w:val="22"/>
                <w:lang w:val="en-GB"/>
              </w:rPr>
              <w:t>O</w:t>
            </w:r>
            <w:r w:rsidRPr="00C57412">
              <w:rPr>
                <w:rFonts w:cs="Times New Roman"/>
                <w:sz w:val="22"/>
                <w:vertAlign w:val="subscript"/>
                <w:lang w:val="en-GB"/>
              </w:rPr>
              <w:t>3</w:t>
            </w:r>
            <w:r w:rsidRPr="00C57412">
              <w:rPr>
                <w:rFonts w:cs="Times New Roman"/>
                <w:sz w:val="22"/>
                <w:lang w:val="en-GB"/>
              </w:rPr>
              <w: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M</w:t>
            </w:r>
            <w:r w:rsidRPr="00C57412">
              <w:rPr>
                <w:rFonts w:cs="Times New Roman"/>
                <w:sz w:val="22"/>
                <w:vertAlign w:val="subscript"/>
                <w:lang w:val="en-GB"/>
              </w:rPr>
              <w:t>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524.55</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system, space group</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Tetragonal, </w:t>
            </w:r>
            <w:r w:rsidRPr="00C57412">
              <w:rPr>
                <w:rFonts w:cs="Times New Roman"/>
                <w:i/>
                <w:iCs/>
                <w:sz w:val="22"/>
                <w:lang w:val="en-GB"/>
              </w:rPr>
              <w:t>P</w:t>
            </w:r>
            <w:r w:rsidRPr="00C57412">
              <w:rPr>
                <w:rFonts w:cs="Times New Roman"/>
                <w:sz w:val="22"/>
                <w:lang w:val="en-GB"/>
              </w:rPr>
              <w:t>4</w:t>
            </w:r>
            <w:r w:rsidRPr="00C57412">
              <w:rPr>
                <w:rFonts w:cs="Times New Roman"/>
                <w:sz w:val="22"/>
                <w:vertAlign w:val="subscript"/>
                <w:lang w:val="en-GB"/>
              </w:rPr>
              <w:t>1</w:t>
            </w:r>
            <w:r w:rsidRPr="00C57412">
              <w:rPr>
                <w:rFonts w:cs="Times New Roman"/>
                <w:sz w:val="22"/>
                <w:lang w:val="en-GB"/>
              </w:rPr>
              <w:t>2</w:t>
            </w:r>
            <w:r w:rsidRPr="00C57412">
              <w:rPr>
                <w:rFonts w:cs="Times New Roman"/>
                <w:sz w:val="22"/>
                <w:vertAlign w:val="subscript"/>
                <w:lang w:val="en-GB"/>
              </w:rPr>
              <w:t>1</w:t>
            </w:r>
            <w:r w:rsidRPr="00C57412">
              <w:rPr>
                <w:rFonts w:cs="Times New Roman"/>
                <w:sz w:val="22"/>
                <w:lang w:val="en-GB"/>
              </w:rPr>
              <w:t>2</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Temperature (K)</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a</w:t>
            </w:r>
            <w:r w:rsidRPr="00C57412">
              <w:rPr>
                <w:rFonts w:cs="Times New Roman"/>
                <w:sz w:val="22"/>
                <w:lang w:val="en-GB"/>
              </w:rPr>
              <w:t xml:space="preserve">, </w:t>
            </w:r>
            <w:r w:rsidRPr="00C57412">
              <w:rPr>
                <w:rFonts w:cs="Times New Roman"/>
                <w:i/>
                <w:iCs/>
                <w:sz w:val="22"/>
                <w:lang w:val="en-GB"/>
              </w:rPr>
              <w:t>c</w:t>
            </w:r>
            <w:r w:rsidRPr="00C57412">
              <w:rPr>
                <w:rFonts w:cs="Times New Roman"/>
                <w:sz w:val="22"/>
                <w:lang w:val="en-GB"/>
              </w:rPr>
              <w:t xml:space="preserve"> (Å)</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12.88747 (7),  29.5246 (3)</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V</w:t>
            </w:r>
            <w:r w:rsidRPr="00C57412">
              <w:rPr>
                <w:rFonts w:cs="Times New Roman"/>
                <w:sz w:val="22"/>
                <w:lang w:val="en-GB"/>
              </w:rPr>
              <w:t xml:space="preserv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4903.65 (7)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Z</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8</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Radiation type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Cu </w:t>
            </w:r>
            <w:r w:rsidRPr="00C57412">
              <w:rPr>
                <w:rFonts w:cs="Times New Roman"/>
                <w:i/>
                <w:iCs/>
                <w:sz w:val="22"/>
                <w:lang w:val="en-GB"/>
              </w:rPr>
              <w:t>K</w:t>
            </w:r>
            <w:r w:rsidRPr="00C57412">
              <w:rPr>
                <w:rFonts w:cs="Times New Roman"/>
                <w:sz w:val="22"/>
                <w:lang w:val="en-GB"/>
              </w:rPr>
              <w:t>a</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m (mm</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1.66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Crystal size (mm)</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0.26 × 0.16 × 0.12</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Data collection</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Diffractometer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SuperNova, Dual, Cu at zero, TitanS2</w:t>
            </w:r>
          </w:p>
        </w:tc>
      </w:tr>
      <w:tr w:rsidR="00DC3796" w:rsidRPr="0033483A"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Absorption correction</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Multi-scan </w:t>
            </w:r>
            <w:r w:rsidRPr="00C57412">
              <w:rPr>
                <w:rFonts w:cs="Times New Roman"/>
                <w:sz w:val="22"/>
                <w:lang w:val="en-GB"/>
              </w:rPr>
              <w:br/>
            </w:r>
            <w:r w:rsidRPr="00C57412">
              <w:rPr>
                <w:rFonts w:cs="Times New Roman"/>
                <w:i/>
                <w:iCs/>
                <w:sz w:val="22"/>
                <w:lang w:val="en-GB"/>
              </w:rPr>
              <w:t>CrysAlis PRO</w:t>
            </w:r>
            <w:r w:rsidRPr="00C57412">
              <w:rPr>
                <w:rFonts w:cs="Times New Roman"/>
                <w:sz w:val="22"/>
                <w:lang w:val="en-GB"/>
              </w:rPr>
              <w:t xml:space="preserve">, Agilent Technologies, Version 1.171.37.35h </w:t>
            </w:r>
            <w:r w:rsidRPr="00C57412">
              <w:rPr>
                <w:rFonts w:cs="Times New Roman"/>
                <w:sz w:val="22"/>
                <w:lang w:val="en-GB"/>
              </w:rPr>
              <w:lastRenderedPageBreak/>
              <w:t>(release 09-02-2015 CrysAlis171 .NET) (compiled Feb  9 2015,16:26:32) Empirical absorption correction using spherical harmonics,  implemented in SCALE3 ABSPACK scaling algorithm.</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lastRenderedPageBreak/>
              <w:t xml:space="preserve"> </w:t>
            </w:r>
            <w:r w:rsidRPr="00C57412">
              <w:rPr>
                <w:rFonts w:cs="Times New Roman"/>
                <w:i/>
                <w:iCs/>
                <w:sz w:val="22"/>
                <w:lang w:val="en-GB"/>
              </w:rPr>
              <w:t>T</w:t>
            </w:r>
            <w:r w:rsidRPr="00C57412">
              <w:rPr>
                <w:rFonts w:cs="Times New Roman"/>
                <w:sz w:val="22"/>
                <w:vertAlign w:val="subscript"/>
                <w:lang w:val="en-GB"/>
              </w:rPr>
              <w:t>min</w:t>
            </w:r>
            <w:r w:rsidRPr="00C57412">
              <w:rPr>
                <w:rFonts w:cs="Times New Roman"/>
                <w:sz w:val="22"/>
                <w:lang w:val="en-GB"/>
              </w:rPr>
              <w:t xml:space="preserve">, </w:t>
            </w:r>
            <w:r w:rsidRPr="00C57412">
              <w:rPr>
                <w:rFonts w:cs="Times New Roman"/>
                <w:i/>
                <w:iCs/>
                <w:sz w:val="22"/>
                <w:lang w:val="en-GB"/>
              </w:rPr>
              <w:t>T</w:t>
            </w:r>
            <w:r w:rsidRPr="00C57412">
              <w:rPr>
                <w:rFonts w:cs="Times New Roman"/>
                <w:sz w:val="22"/>
                <w:vertAlign w:val="subscript"/>
                <w:lang w:val="en-GB"/>
              </w:rPr>
              <w:t>max</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0.603, 1.000</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measured, independent and</w:t>
            </w:r>
            <w:r w:rsidRPr="00C57412">
              <w:rPr>
                <w:rFonts w:cs="Times New Roman"/>
                <w:sz w:val="22"/>
                <w:lang w:val="en-GB"/>
              </w:rPr>
              <w:br/>
              <w:t xml:space="preserve"> observed [</w:t>
            </w:r>
            <w:r w:rsidRPr="00C57412">
              <w:rPr>
                <w:rFonts w:cs="Times New Roman"/>
                <w:i/>
                <w:iCs/>
                <w:sz w:val="22"/>
                <w:lang w:val="en-GB"/>
              </w:rPr>
              <w:t>I</w:t>
            </w:r>
            <w:r w:rsidRPr="00C57412">
              <w:rPr>
                <w:rFonts w:cs="Times New Roman"/>
                <w:sz w:val="22"/>
                <w:lang w:val="en-GB"/>
              </w:rPr>
              <w:t xml:space="preserve"> &gt; 2s(</w:t>
            </w:r>
            <w:r w:rsidRPr="00C57412">
              <w:rPr>
                <w:rFonts w:cs="Times New Roman"/>
                <w:i/>
                <w:iCs/>
                <w:sz w:val="22"/>
                <w:lang w:val="en-GB"/>
              </w:rPr>
              <w:t>I</w:t>
            </w:r>
            <w:r w:rsidRPr="00C57412">
              <w:rPr>
                <w:rFonts w:cs="Times New Roman"/>
                <w:sz w:val="22"/>
                <w:lang w:val="en-GB"/>
              </w:rPr>
              <w:t>)]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 xml:space="preserve">38399, 5046, 5005  </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vertAlign w:val="subscript"/>
                <w:lang w:val="en-GB"/>
              </w:rPr>
              <w:t>int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0.027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(sin q/l)</w:t>
            </w:r>
            <w:r w:rsidRPr="00C57412">
              <w:rPr>
                <w:rFonts w:cs="Times New Roman"/>
                <w:sz w:val="22"/>
                <w:vertAlign w:val="subscript"/>
                <w:lang w:val="en-GB"/>
              </w:rPr>
              <w:t>max</w:t>
            </w:r>
            <w:r w:rsidRPr="00C57412">
              <w:rPr>
                <w:rFonts w:cs="Times New Roman"/>
                <w:sz w:val="22"/>
                <w:lang w:val="en-GB"/>
              </w:rPr>
              <w:t xml:space="preserve"> (Å</w:t>
            </w:r>
            <w:r w:rsidRPr="00C57412">
              <w:rPr>
                <w:rFonts w:cs="Times New Roman"/>
                <w:sz w:val="22"/>
                <w:vertAlign w:val="superscript"/>
                <w:lang w:val="en-GB"/>
              </w:rPr>
              <w:t>-1</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0.628</w:t>
            </w: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p>
        </w:tc>
      </w:tr>
      <w:tr w:rsidR="00DC3796" w:rsidRPr="00C57412" w:rsidTr="00FB2DF2">
        <w:tc>
          <w:tcPr>
            <w:tcW w:w="8000" w:type="dxa"/>
            <w:gridSpan w:val="2"/>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Refinement</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i/>
                <w:iCs/>
                <w:sz w:val="22"/>
                <w:lang w:val="en-GB"/>
              </w:rPr>
              <w:t>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&gt; 2s(</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wR</w:t>
            </w:r>
            <w:r w:rsidRPr="00C57412">
              <w:rPr>
                <w:rFonts w:cs="Times New Roman"/>
                <w:sz w:val="22"/>
                <w:lang w:val="en-GB"/>
              </w:rPr>
              <w:t>(</w:t>
            </w:r>
            <w:r w:rsidRPr="00C57412">
              <w:rPr>
                <w:rFonts w:cs="Times New Roman"/>
                <w:i/>
                <w:iCs/>
                <w:sz w:val="22"/>
                <w:lang w:val="en-GB"/>
              </w:rPr>
              <w:t>F</w:t>
            </w:r>
            <w:r w:rsidRPr="00C57412">
              <w:rPr>
                <w:rFonts w:cs="Times New Roman"/>
                <w:sz w:val="22"/>
                <w:vertAlign w:val="superscript"/>
                <w:lang w:val="en-GB"/>
              </w:rPr>
              <w:t>2</w:t>
            </w:r>
            <w:r w:rsidRPr="00C57412">
              <w:rPr>
                <w:rFonts w:cs="Times New Roman"/>
                <w:sz w:val="22"/>
                <w:lang w:val="en-GB"/>
              </w:rPr>
              <w:t xml:space="preserve">), </w:t>
            </w:r>
            <w:r w:rsidRPr="00C57412">
              <w:rPr>
                <w:rFonts w:cs="Times New Roman"/>
                <w:i/>
                <w:iCs/>
                <w:sz w:val="22"/>
                <w:lang w:val="en-GB"/>
              </w:rPr>
              <w: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0.060,  0.172,  1.06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reflections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5046</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parameters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359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No. of restraints</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114</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treatment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H-atom parameters constrained</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Dρ</w:t>
            </w:r>
            <w:r w:rsidRPr="00C57412">
              <w:rPr>
                <w:rFonts w:cs="Times New Roman"/>
                <w:sz w:val="22"/>
                <w:vertAlign w:val="subscript"/>
                <w:lang w:val="en-GB"/>
              </w:rPr>
              <w:t>max</w:t>
            </w:r>
            <w:r w:rsidRPr="00C57412">
              <w:rPr>
                <w:rFonts w:cs="Times New Roman"/>
                <w:sz w:val="22"/>
                <w:lang w:val="en-GB"/>
              </w:rPr>
              <w:t>, Dρ</w:t>
            </w:r>
            <w:r w:rsidRPr="00C57412">
              <w:rPr>
                <w:rFonts w:cs="Times New Roman"/>
                <w:sz w:val="22"/>
                <w:vertAlign w:val="subscript"/>
                <w:lang w:val="en-GB"/>
              </w:rPr>
              <w:t>min</w:t>
            </w:r>
            <w:r w:rsidRPr="00C57412">
              <w:rPr>
                <w:rFonts w:cs="Times New Roman"/>
                <w:sz w:val="22"/>
                <w:lang w:val="en-GB"/>
              </w:rPr>
              <w:t xml:space="preserve"> (e Å</w:t>
            </w:r>
            <w:r w:rsidRPr="00C57412">
              <w:rPr>
                <w:rFonts w:cs="Times New Roman"/>
                <w:sz w:val="22"/>
                <w:vertAlign w:val="superscript"/>
                <w:lang w:val="en-GB"/>
              </w:rPr>
              <w:t>-3</w:t>
            </w:r>
            <w:r w:rsidRPr="00C57412">
              <w:rPr>
                <w:rFonts w:cs="Times New Roman"/>
                <w:sz w:val="22"/>
                <w:lang w:val="en-GB"/>
              </w:rPr>
              <w:t>)</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1.23, -0.97</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Flack x determined using 2039 quotients [(I+)-(I-)]/[(I+)+(I-)]  (Parsons, Flack and Wagner, Acta Cryst. B69 (2013) 249-259).</w:t>
            </w:r>
          </w:p>
        </w:tc>
      </w:tr>
      <w:tr w:rsidR="00DC3796" w:rsidRPr="00C57412" w:rsidTr="00FB2DF2">
        <w:tc>
          <w:tcPr>
            <w:tcW w:w="2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Absolute structure parameter</w:t>
            </w:r>
          </w:p>
        </w:tc>
        <w:tc>
          <w:tcPr>
            <w:tcW w:w="6000" w:type="dxa"/>
            <w:tcBorders>
              <w:top w:val="single" w:sz="6" w:space="0" w:color="auto"/>
              <w:left w:val="single" w:sz="6" w:space="0" w:color="auto"/>
              <w:bottom w:val="single" w:sz="6" w:space="0" w:color="auto"/>
              <w:right w:val="single" w:sz="6" w:space="0" w:color="auto"/>
            </w:tcBorders>
          </w:tcPr>
          <w:p w:rsidR="00DC3796" w:rsidRPr="00C57412" w:rsidRDefault="00DC3796" w:rsidP="00DC3796">
            <w:pPr>
              <w:widowControl w:val="0"/>
              <w:autoSpaceDE w:val="0"/>
              <w:autoSpaceDN w:val="0"/>
              <w:adjustRightInd w:val="0"/>
              <w:spacing w:before="50" w:after="50" w:line="240" w:lineRule="auto"/>
              <w:rPr>
                <w:rFonts w:cs="Times New Roman"/>
                <w:lang w:val="en-GB"/>
              </w:rPr>
            </w:pPr>
            <w:r w:rsidRPr="00C57412">
              <w:rPr>
                <w:rFonts w:cs="Times New Roman"/>
                <w:sz w:val="22"/>
                <w:lang w:val="en-GB"/>
              </w:rPr>
              <w:t>-0.003 (4)</w:t>
            </w:r>
          </w:p>
        </w:tc>
      </w:tr>
    </w:tbl>
    <w:p w:rsidR="00DC3796" w:rsidRPr="00C57412" w:rsidRDefault="00DC3796" w:rsidP="00DC3796">
      <w:pPr>
        <w:spacing w:after="140" w:line="240" w:lineRule="auto"/>
        <w:rPr>
          <w:rFonts w:cs="Times New Roman"/>
          <w:sz w:val="22"/>
          <w:lang w:val="en-GB"/>
        </w:rPr>
      </w:pPr>
    </w:p>
    <w:p w:rsidR="00A26C98" w:rsidRPr="00C57412" w:rsidRDefault="00A26C98" w:rsidP="00A26C98">
      <w:pPr>
        <w:spacing w:after="140"/>
        <w:jc w:val="both"/>
        <w:rPr>
          <w:rFonts w:cs="Times New Roman"/>
          <w:szCs w:val="24"/>
          <w:lang w:val="en-US"/>
        </w:rPr>
      </w:pPr>
      <w:r w:rsidRPr="00C57412">
        <w:rPr>
          <w:rFonts w:cs="Times New Roman"/>
          <w:szCs w:val="24"/>
          <w:lang w:val="en-US"/>
        </w:rPr>
        <w:t>In APR:IMI coccrystal relatively high residual density has been observed. This is the result of two effects: (i) a very strong hydrogen bond of imidazole nitrogen with water, which in consequence leads to a weak hydrogen contact of water with ethoxyl oxygen of APR, not listed in the checkcif contacts; (ii) relatively small imidazole ring could be modeled in more than two orientation but this interpretation did not result in better refinement statistics, so we decided to use similar disorder model as for all investigated cocrystals, which in turn left the observed residual density.</w:t>
      </w:r>
    </w:p>
    <w:p w:rsidR="00DC3796" w:rsidRPr="00C57412" w:rsidRDefault="00DC3796" w:rsidP="00DC3796">
      <w:pPr>
        <w:spacing w:after="0" w:line="240" w:lineRule="auto"/>
        <w:jc w:val="both"/>
        <w:rPr>
          <w:rFonts w:asciiTheme="minorHAnsi" w:hAnsiTheme="minorHAnsi"/>
          <w:b/>
          <w:sz w:val="22"/>
          <w:lang w:val="en-US"/>
        </w:rPr>
      </w:pPr>
    </w:p>
    <w:p w:rsidR="00DC3796" w:rsidRPr="00C57412" w:rsidRDefault="00DC3796" w:rsidP="00DC3796">
      <w:pPr>
        <w:spacing w:line="240" w:lineRule="auto"/>
        <w:jc w:val="both"/>
        <w:rPr>
          <w:rFonts w:cs="Times New Roman"/>
          <w:sz w:val="22"/>
          <w:lang w:val="en-US"/>
        </w:rPr>
      </w:pPr>
      <w:r w:rsidRPr="00C57412">
        <w:rPr>
          <w:rFonts w:cs="Times New Roman"/>
          <w:b/>
          <w:sz w:val="22"/>
          <w:lang w:val="en-US"/>
        </w:rPr>
        <w:t>Table S2.</w:t>
      </w:r>
      <w:r w:rsidRPr="00C57412">
        <w:rPr>
          <w:rFonts w:cs="Times New Roman"/>
          <w:sz w:val="22"/>
          <w:lang w:val="en-US"/>
        </w:rPr>
        <w:t xml:space="preserve"> </w:t>
      </w:r>
      <w:r w:rsidRPr="00C57412">
        <w:rPr>
          <w:rFonts w:cs="Times New Roman"/>
          <w:sz w:val="22"/>
          <w:vertAlign w:val="superscript"/>
          <w:lang w:val="en-US"/>
        </w:rPr>
        <w:t>1</w:t>
      </w:r>
      <w:r w:rsidRPr="00C57412">
        <w:rPr>
          <w:rFonts w:cs="Times New Roman"/>
          <w:sz w:val="22"/>
          <w:lang w:val="en-US"/>
        </w:rPr>
        <w:t xml:space="preserve">H and </w:t>
      </w:r>
      <w:r w:rsidRPr="00C57412">
        <w:rPr>
          <w:rFonts w:cs="Times New Roman"/>
          <w:sz w:val="22"/>
          <w:vertAlign w:val="superscript"/>
          <w:lang w:val="en-US"/>
        </w:rPr>
        <w:t>13</w:t>
      </w:r>
      <w:r w:rsidRPr="00C57412">
        <w:rPr>
          <w:rFonts w:cs="Times New Roman"/>
          <w:sz w:val="22"/>
          <w:lang w:val="en-US"/>
        </w:rPr>
        <w:t>C Signal assignment for APR form B.</w:t>
      </w:r>
    </w:p>
    <w:tbl>
      <w:tblPr>
        <w:tblStyle w:val="Tabela-Siatka1"/>
        <w:tblW w:w="0" w:type="auto"/>
        <w:tblLook w:val="04A0"/>
      </w:tblPr>
      <w:tblGrid>
        <w:gridCol w:w="817"/>
        <w:gridCol w:w="1201"/>
        <w:gridCol w:w="1010"/>
        <w:gridCol w:w="1010"/>
        <w:gridCol w:w="1101"/>
        <w:gridCol w:w="1010"/>
        <w:gridCol w:w="1101"/>
        <w:gridCol w:w="1010"/>
        <w:gridCol w:w="1028"/>
      </w:tblGrid>
      <w:tr w:rsidR="00DC3796" w:rsidRPr="00C57412" w:rsidTr="00FB2DF2">
        <w:trPr>
          <w:trHeight w:val="285"/>
        </w:trPr>
        <w:tc>
          <w:tcPr>
            <w:tcW w:w="817" w:type="dxa"/>
            <w:tcBorders>
              <w:left w:val="nil"/>
              <w:bottom w:val="single" w:sz="4" w:space="0" w:color="000000" w:themeColor="text1"/>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atom</w:t>
            </w:r>
          </w:p>
        </w:tc>
        <w:tc>
          <w:tcPr>
            <w:tcW w:w="2211" w:type="dxa"/>
            <w:gridSpan w:val="2"/>
            <w:tcBorders>
              <w:left w:val="nil"/>
              <w:bottom w:val="single" w:sz="4" w:space="0" w:color="000000" w:themeColor="text1"/>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molecule A</w:t>
            </w:r>
          </w:p>
        </w:tc>
        <w:tc>
          <w:tcPr>
            <w:tcW w:w="2111" w:type="dxa"/>
            <w:gridSpan w:val="2"/>
            <w:tcBorders>
              <w:left w:val="nil"/>
              <w:bottom w:val="single" w:sz="4" w:space="0" w:color="000000" w:themeColor="text1"/>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molecule B</w:t>
            </w:r>
          </w:p>
        </w:tc>
        <w:tc>
          <w:tcPr>
            <w:tcW w:w="2111" w:type="dxa"/>
            <w:gridSpan w:val="2"/>
            <w:tcBorders>
              <w:left w:val="nil"/>
              <w:bottom w:val="single" w:sz="4" w:space="0" w:color="000000" w:themeColor="text1"/>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molecule C</w:t>
            </w:r>
          </w:p>
        </w:tc>
        <w:tc>
          <w:tcPr>
            <w:tcW w:w="2038" w:type="dxa"/>
            <w:gridSpan w:val="2"/>
            <w:tcBorders>
              <w:left w:val="nil"/>
              <w:bottom w:val="single" w:sz="4" w:space="0" w:color="000000" w:themeColor="text1"/>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molecule D</w:t>
            </w:r>
          </w:p>
        </w:tc>
      </w:tr>
      <w:tr w:rsidR="00DC3796" w:rsidRPr="00C57412" w:rsidTr="00FB2DF2">
        <w:trPr>
          <w:trHeight w:val="285"/>
        </w:trPr>
        <w:tc>
          <w:tcPr>
            <w:tcW w:w="817" w:type="dxa"/>
            <w:tcBorders>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w:t>
            </w:r>
          </w:p>
        </w:tc>
        <w:tc>
          <w:tcPr>
            <w:tcW w:w="1201" w:type="dxa"/>
            <w:tcBorders>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135.7</w:t>
            </w:r>
          </w:p>
        </w:tc>
        <w:tc>
          <w:tcPr>
            <w:tcW w:w="1010" w:type="dxa"/>
            <w:tcBorders>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135.7</w:t>
            </w:r>
          </w:p>
        </w:tc>
        <w:tc>
          <w:tcPr>
            <w:tcW w:w="1101" w:type="dxa"/>
            <w:tcBorders>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136.3</w:t>
            </w:r>
          </w:p>
        </w:tc>
        <w:tc>
          <w:tcPr>
            <w:tcW w:w="1101" w:type="dxa"/>
            <w:tcBorders>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134.6</w:t>
            </w:r>
          </w:p>
        </w:tc>
        <w:tc>
          <w:tcPr>
            <w:tcW w:w="1028" w:type="dxa"/>
            <w:tcBorders>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120.1</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120.7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123.1</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120.1</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6.5</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137.4</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7.1</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137.4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7.1</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137.4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7.1</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135.7</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6.9</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119.0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119.4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119.4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119.4</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6.6</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130.0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129.2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130.0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130.0</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169.2</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lastRenderedPageBreak/>
              <w:t>7</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169.2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169.2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8</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113.7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114.8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113.7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115.2</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9</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167.2</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166.0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166.0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166.0</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21.6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0.3</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24.1</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0.5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21.6</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0.3</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25.1</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0.8</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47.9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48.3</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5.3</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46.8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5.4</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47.9</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5.0</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52.8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4.8; 3.0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50.4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4.6; 3.6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49.4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4.6; 3.0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51.2</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4.7; 3.0</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39.8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2.4</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40.1</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37.8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41.6</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2.8</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131.9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130.0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130.0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131.9</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15</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109.0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107.9</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106.8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5.6</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110.6</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5.6</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16</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147.7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146.8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146.8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147.7</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17</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146.8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147.7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146.8</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146.8</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18</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112.1</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7.4</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110.7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110.7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111.9</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7.4</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19</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117.7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6.3</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123.1</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122.4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119.0</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6.8</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20</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64.5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63.6</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2.9</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63.2</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3.7</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63.6</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3.7</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21</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15.5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14.0</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14.3</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14.3</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r>
      <w:tr w:rsidR="00DC3796" w:rsidRPr="00C57412" w:rsidTr="00FB2DF2">
        <w:trPr>
          <w:trHeight w:val="285"/>
        </w:trPr>
        <w:tc>
          <w:tcPr>
            <w:tcW w:w="817"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22</w:t>
            </w:r>
          </w:p>
        </w:tc>
        <w:tc>
          <w:tcPr>
            <w:tcW w:w="12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54.5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54.7</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3.8</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55.4</w:t>
            </w:r>
          </w:p>
        </w:tc>
        <w:tc>
          <w:tcPr>
            <w:tcW w:w="1101"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3.5</w:t>
            </w:r>
          </w:p>
        </w:tc>
        <w:tc>
          <w:tcPr>
            <w:tcW w:w="1010"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55.4</w:t>
            </w:r>
          </w:p>
        </w:tc>
        <w:tc>
          <w:tcPr>
            <w:tcW w:w="1028" w:type="dxa"/>
            <w:tcBorders>
              <w:top w:val="nil"/>
              <w:left w:val="nil"/>
              <w:bottom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3.8</w:t>
            </w:r>
          </w:p>
        </w:tc>
      </w:tr>
      <w:tr w:rsidR="00DC3796" w:rsidRPr="00C57412" w:rsidTr="00FB2DF2">
        <w:trPr>
          <w:trHeight w:val="285"/>
        </w:trPr>
        <w:tc>
          <w:tcPr>
            <w:tcW w:w="817" w:type="dxa"/>
            <w:tcBorders>
              <w:top w:val="nil"/>
              <w:left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NH</w:t>
            </w:r>
          </w:p>
        </w:tc>
        <w:tc>
          <w:tcPr>
            <w:tcW w:w="1201" w:type="dxa"/>
            <w:tcBorders>
              <w:top w:val="nil"/>
              <w:left w:val="nil"/>
              <w:right w:val="nil"/>
            </w:tcBorders>
            <w:noWrap/>
            <w:hideMark/>
          </w:tcPr>
          <w:p w:rsidR="00DC3796" w:rsidRPr="00C57412" w:rsidRDefault="00DC3796" w:rsidP="00DC3796">
            <w:pPr>
              <w:spacing w:after="0" w:line="240" w:lineRule="auto"/>
              <w:jc w:val="both"/>
              <w:rPr>
                <w:rFonts w:cs="Times New Roman"/>
              </w:rPr>
            </w:pPr>
          </w:p>
        </w:tc>
        <w:tc>
          <w:tcPr>
            <w:tcW w:w="1010" w:type="dxa"/>
            <w:tcBorders>
              <w:top w:val="nil"/>
              <w:left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7.2</w:t>
            </w:r>
          </w:p>
        </w:tc>
        <w:tc>
          <w:tcPr>
            <w:tcW w:w="1010" w:type="dxa"/>
            <w:tcBorders>
              <w:top w:val="nil"/>
              <w:left w:val="nil"/>
              <w:right w:val="nil"/>
            </w:tcBorders>
            <w:noWrap/>
            <w:hideMark/>
          </w:tcPr>
          <w:p w:rsidR="00DC3796" w:rsidRPr="00C57412" w:rsidRDefault="00DC3796" w:rsidP="00DC3796">
            <w:pPr>
              <w:spacing w:after="0" w:line="240" w:lineRule="auto"/>
              <w:jc w:val="both"/>
              <w:rPr>
                <w:rFonts w:cs="Times New Roman"/>
              </w:rPr>
            </w:pPr>
          </w:p>
        </w:tc>
        <w:tc>
          <w:tcPr>
            <w:tcW w:w="1101" w:type="dxa"/>
            <w:tcBorders>
              <w:top w:val="nil"/>
              <w:left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7.2</w:t>
            </w:r>
          </w:p>
        </w:tc>
        <w:tc>
          <w:tcPr>
            <w:tcW w:w="1010" w:type="dxa"/>
            <w:tcBorders>
              <w:top w:val="nil"/>
              <w:left w:val="nil"/>
              <w:right w:val="nil"/>
            </w:tcBorders>
            <w:noWrap/>
            <w:hideMark/>
          </w:tcPr>
          <w:p w:rsidR="00DC3796" w:rsidRPr="00C57412" w:rsidRDefault="00DC3796" w:rsidP="00DC3796">
            <w:pPr>
              <w:spacing w:after="0" w:line="240" w:lineRule="auto"/>
              <w:jc w:val="both"/>
              <w:rPr>
                <w:rFonts w:cs="Times New Roman"/>
              </w:rPr>
            </w:pPr>
          </w:p>
        </w:tc>
        <w:tc>
          <w:tcPr>
            <w:tcW w:w="1101" w:type="dxa"/>
            <w:tcBorders>
              <w:top w:val="nil"/>
              <w:left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7.2</w:t>
            </w:r>
          </w:p>
        </w:tc>
        <w:tc>
          <w:tcPr>
            <w:tcW w:w="1010" w:type="dxa"/>
            <w:tcBorders>
              <w:top w:val="nil"/>
              <w:left w:val="nil"/>
              <w:right w:val="nil"/>
            </w:tcBorders>
            <w:noWrap/>
            <w:hideMark/>
          </w:tcPr>
          <w:p w:rsidR="00DC3796" w:rsidRPr="00C57412" w:rsidRDefault="00DC3796" w:rsidP="00DC3796">
            <w:pPr>
              <w:spacing w:after="0" w:line="240" w:lineRule="auto"/>
              <w:jc w:val="both"/>
              <w:rPr>
                <w:rFonts w:cs="Times New Roman"/>
              </w:rPr>
            </w:pPr>
          </w:p>
        </w:tc>
        <w:tc>
          <w:tcPr>
            <w:tcW w:w="1028" w:type="dxa"/>
            <w:tcBorders>
              <w:top w:val="nil"/>
              <w:left w:val="nil"/>
              <w:right w:val="nil"/>
            </w:tcBorders>
            <w:noWrap/>
            <w:hideMark/>
          </w:tcPr>
          <w:p w:rsidR="00DC3796" w:rsidRPr="00C57412" w:rsidRDefault="00DC3796" w:rsidP="00DC3796">
            <w:pPr>
              <w:spacing w:after="0" w:line="240" w:lineRule="auto"/>
              <w:jc w:val="both"/>
              <w:rPr>
                <w:rFonts w:cs="Times New Roman"/>
              </w:rPr>
            </w:pPr>
            <w:r w:rsidRPr="00C57412">
              <w:rPr>
                <w:rFonts w:cs="Times New Roman"/>
              </w:rPr>
              <w:t>7.3</w:t>
            </w:r>
          </w:p>
        </w:tc>
      </w:tr>
    </w:tbl>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line="240" w:lineRule="auto"/>
        <w:jc w:val="both"/>
        <w:rPr>
          <w:rFonts w:cs="Times New Roman"/>
          <w:sz w:val="22"/>
          <w:lang w:val="en-US"/>
        </w:rPr>
      </w:pPr>
      <w:r w:rsidRPr="00C57412">
        <w:rPr>
          <w:rFonts w:cs="Times New Roman"/>
          <w:b/>
          <w:sz w:val="22"/>
          <w:lang w:val="en-US"/>
        </w:rPr>
        <w:t>Table S3.</w:t>
      </w:r>
      <w:r w:rsidRPr="00C57412">
        <w:rPr>
          <w:rFonts w:cs="Times New Roman"/>
          <w:sz w:val="22"/>
          <w:lang w:val="en-US"/>
        </w:rPr>
        <w:t xml:space="preserve"> Calculated </w:t>
      </w:r>
      <w:r w:rsidRPr="00C57412">
        <w:rPr>
          <w:rFonts w:cs="Times New Roman"/>
          <w:sz w:val="22"/>
          <w:vertAlign w:val="superscript"/>
          <w:lang w:val="en-US"/>
        </w:rPr>
        <w:t>1</w:t>
      </w:r>
      <w:r w:rsidRPr="00C57412">
        <w:rPr>
          <w:rFonts w:cs="Times New Roman"/>
          <w:sz w:val="22"/>
          <w:lang w:val="en-US"/>
        </w:rPr>
        <w:t xml:space="preserve">H and </w:t>
      </w:r>
      <w:r w:rsidRPr="00C57412">
        <w:rPr>
          <w:rFonts w:cs="Times New Roman"/>
          <w:sz w:val="22"/>
          <w:vertAlign w:val="superscript"/>
          <w:lang w:val="en-US"/>
        </w:rPr>
        <w:t>13</w:t>
      </w:r>
      <w:r w:rsidRPr="00C57412">
        <w:rPr>
          <w:rFonts w:cs="Times New Roman"/>
          <w:sz w:val="22"/>
          <w:lang w:val="en-US"/>
        </w:rPr>
        <w:t>C chemical shieldings for APR form B.</w:t>
      </w:r>
    </w:p>
    <w:tbl>
      <w:tblPr>
        <w:tblStyle w:val="Tabela-Siatka1"/>
        <w:tblW w:w="0" w:type="auto"/>
        <w:tblBorders>
          <w:left w:val="none" w:sz="0" w:space="0" w:color="auto"/>
          <w:right w:val="none" w:sz="0" w:space="0" w:color="auto"/>
          <w:insideV w:val="none" w:sz="0" w:space="0" w:color="auto"/>
        </w:tblBorders>
        <w:tblLook w:val="04A0"/>
      </w:tblPr>
      <w:tblGrid>
        <w:gridCol w:w="817"/>
        <w:gridCol w:w="965"/>
        <w:gridCol w:w="1247"/>
        <w:gridCol w:w="807"/>
        <w:gridCol w:w="1304"/>
        <w:gridCol w:w="807"/>
        <w:gridCol w:w="1304"/>
        <w:gridCol w:w="778"/>
        <w:gridCol w:w="1259"/>
      </w:tblGrid>
      <w:tr w:rsidR="00DC3796" w:rsidRPr="00C57412" w:rsidTr="00FB2DF2">
        <w:trPr>
          <w:trHeight w:val="285"/>
        </w:trPr>
        <w:tc>
          <w:tcPr>
            <w:tcW w:w="817"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atom</w:t>
            </w:r>
          </w:p>
        </w:tc>
        <w:tc>
          <w:tcPr>
            <w:tcW w:w="2212" w:type="dxa"/>
            <w:gridSpan w:val="2"/>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molecule A</w:t>
            </w:r>
          </w:p>
        </w:tc>
        <w:tc>
          <w:tcPr>
            <w:tcW w:w="2111" w:type="dxa"/>
            <w:gridSpan w:val="2"/>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molecule B</w:t>
            </w:r>
          </w:p>
        </w:tc>
        <w:tc>
          <w:tcPr>
            <w:tcW w:w="2111" w:type="dxa"/>
            <w:gridSpan w:val="2"/>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molecule C</w:t>
            </w:r>
          </w:p>
        </w:tc>
        <w:tc>
          <w:tcPr>
            <w:tcW w:w="2037" w:type="dxa"/>
            <w:gridSpan w:val="2"/>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molecule D</w:t>
            </w:r>
          </w:p>
        </w:tc>
      </w:tr>
      <w:tr w:rsidR="00DC3796" w:rsidRPr="00C57412" w:rsidTr="00FB2DF2">
        <w:trPr>
          <w:trHeight w:val="285"/>
        </w:trPr>
        <w:tc>
          <w:tcPr>
            <w:tcW w:w="817" w:type="dxa"/>
            <w:tcBorders>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w:t>
            </w:r>
          </w:p>
        </w:tc>
        <w:tc>
          <w:tcPr>
            <w:tcW w:w="965" w:type="dxa"/>
            <w:tcBorders>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33,6</w:t>
            </w:r>
          </w:p>
        </w:tc>
        <w:tc>
          <w:tcPr>
            <w:tcW w:w="1247" w:type="dxa"/>
            <w:tcBorders>
              <w:bottom w:val="nil"/>
            </w:tcBorders>
            <w:noWrap/>
            <w:hideMark/>
          </w:tcPr>
          <w:p w:rsidR="00DC3796" w:rsidRPr="00C57412" w:rsidRDefault="00DC3796" w:rsidP="00DC3796">
            <w:pPr>
              <w:spacing w:after="0" w:line="240" w:lineRule="auto"/>
              <w:jc w:val="both"/>
              <w:rPr>
                <w:rFonts w:cs="Times New Roman"/>
              </w:rPr>
            </w:pPr>
          </w:p>
        </w:tc>
        <w:tc>
          <w:tcPr>
            <w:tcW w:w="807" w:type="dxa"/>
            <w:tcBorders>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33,5</w:t>
            </w:r>
          </w:p>
        </w:tc>
        <w:tc>
          <w:tcPr>
            <w:tcW w:w="1304" w:type="dxa"/>
            <w:tcBorders>
              <w:bottom w:val="nil"/>
            </w:tcBorders>
            <w:noWrap/>
            <w:hideMark/>
          </w:tcPr>
          <w:p w:rsidR="00DC3796" w:rsidRPr="00C57412" w:rsidRDefault="00DC3796" w:rsidP="00DC3796">
            <w:pPr>
              <w:spacing w:after="0" w:line="240" w:lineRule="auto"/>
              <w:jc w:val="both"/>
              <w:rPr>
                <w:rFonts w:cs="Times New Roman"/>
              </w:rPr>
            </w:pPr>
          </w:p>
        </w:tc>
        <w:tc>
          <w:tcPr>
            <w:tcW w:w="807" w:type="dxa"/>
            <w:tcBorders>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32,8</w:t>
            </w:r>
          </w:p>
        </w:tc>
        <w:tc>
          <w:tcPr>
            <w:tcW w:w="1304" w:type="dxa"/>
            <w:tcBorders>
              <w:bottom w:val="nil"/>
            </w:tcBorders>
            <w:noWrap/>
            <w:hideMark/>
          </w:tcPr>
          <w:p w:rsidR="00DC3796" w:rsidRPr="00C57412" w:rsidRDefault="00DC3796" w:rsidP="00DC3796">
            <w:pPr>
              <w:spacing w:after="0" w:line="240" w:lineRule="auto"/>
              <w:jc w:val="both"/>
              <w:rPr>
                <w:rFonts w:cs="Times New Roman"/>
              </w:rPr>
            </w:pPr>
          </w:p>
        </w:tc>
        <w:tc>
          <w:tcPr>
            <w:tcW w:w="778" w:type="dxa"/>
            <w:tcBorders>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34,9</w:t>
            </w:r>
          </w:p>
        </w:tc>
        <w:tc>
          <w:tcPr>
            <w:tcW w:w="1259" w:type="dxa"/>
            <w:tcBorders>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48,2</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23,4</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47,3</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22,5</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45,1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22,8</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48,1</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22,9</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29,8</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22,8</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22,6</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29,4</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22,5</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32,0</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23,1</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50,6</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23,3</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49,9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23,0</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49,9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22,7</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49,1</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23,2</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39,8</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40,9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40,1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40,3</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6</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0,8</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0,1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-0,7</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7</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-2,7</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8</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58,0</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56,7</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57,6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55,9</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9</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152,7</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29,6</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149,0</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29,5</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152,5</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29,7</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147,4</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29,1</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121,5</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24,5</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120,9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24,3</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122,8</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24,0</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121,7</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24,6</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115,0</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25,0; 26.8</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118,4</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25,4; 25.5</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118,9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25,6; 26.3</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116,7</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25,0; 26.0</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13</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130,3</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27,6</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130,3</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27,0</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132,0</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27,1</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128,8</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26,8</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14</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37,4</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39,6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39,4</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38,0</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61,8</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24,1</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62,8</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23,9</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64,1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23,9</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60,2</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24,4</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16</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19,9</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20,8</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21,1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20,5</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17</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21,4</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20,3</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21,1</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20,9</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18</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57,7</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22,1</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59,5</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22,8</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59,4</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23,2</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58,8</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22,3</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19</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50,7</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22,9</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47,0</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23,2</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47,0</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22,7</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50,6</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23,0</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20</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103,8</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26,0</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104,6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26,5</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104,8</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26,4</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104,7</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26,3</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21</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157,7</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28,7</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159,9</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29,1</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159,6</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28,7</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159,3</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28,8</w:t>
            </w:r>
          </w:p>
        </w:tc>
      </w:tr>
      <w:tr w:rsidR="00DC3796" w:rsidRPr="00C57412" w:rsidTr="00FB2DF2">
        <w:trPr>
          <w:trHeight w:val="285"/>
        </w:trPr>
        <w:tc>
          <w:tcPr>
            <w:tcW w:w="81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22</w:t>
            </w:r>
          </w:p>
        </w:tc>
        <w:tc>
          <w:tcPr>
            <w:tcW w:w="965"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115,4</w:t>
            </w:r>
          </w:p>
        </w:tc>
        <w:tc>
          <w:tcPr>
            <w:tcW w:w="124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25,6</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115,0</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26,1</w:t>
            </w:r>
          </w:p>
        </w:tc>
        <w:tc>
          <w:tcPr>
            <w:tcW w:w="807"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114,4</w:t>
            </w:r>
          </w:p>
        </w:tc>
        <w:tc>
          <w:tcPr>
            <w:tcW w:w="1304"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25,9</w:t>
            </w:r>
          </w:p>
        </w:tc>
        <w:tc>
          <w:tcPr>
            <w:tcW w:w="778"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114,5</w:t>
            </w:r>
          </w:p>
        </w:tc>
        <w:tc>
          <w:tcPr>
            <w:tcW w:w="1259" w:type="dxa"/>
            <w:tcBorders>
              <w:top w:val="nil"/>
              <w:bottom w:val="nil"/>
            </w:tcBorders>
            <w:noWrap/>
            <w:hideMark/>
          </w:tcPr>
          <w:p w:rsidR="00DC3796" w:rsidRPr="00C57412" w:rsidRDefault="00DC3796" w:rsidP="00DC3796">
            <w:pPr>
              <w:spacing w:after="0" w:line="240" w:lineRule="auto"/>
              <w:jc w:val="both"/>
              <w:rPr>
                <w:rFonts w:cs="Times New Roman"/>
              </w:rPr>
            </w:pPr>
            <w:r w:rsidRPr="00C57412">
              <w:rPr>
                <w:rFonts w:cs="Times New Roman"/>
              </w:rPr>
              <w:t>26,0</w:t>
            </w:r>
          </w:p>
        </w:tc>
      </w:tr>
      <w:tr w:rsidR="00DC3796" w:rsidRPr="00C57412" w:rsidTr="00FB2DF2">
        <w:trPr>
          <w:trHeight w:val="285"/>
        </w:trPr>
        <w:tc>
          <w:tcPr>
            <w:tcW w:w="817" w:type="dxa"/>
            <w:tcBorders>
              <w:top w:val="nil"/>
            </w:tcBorders>
            <w:noWrap/>
            <w:hideMark/>
          </w:tcPr>
          <w:p w:rsidR="00DC3796" w:rsidRPr="00C57412" w:rsidRDefault="00DC3796" w:rsidP="00DC3796">
            <w:pPr>
              <w:spacing w:after="0" w:line="240" w:lineRule="auto"/>
              <w:jc w:val="both"/>
              <w:rPr>
                <w:rFonts w:cs="Times New Roman"/>
              </w:rPr>
            </w:pPr>
            <w:r w:rsidRPr="00C57412">
              <w:rPr>
                <w:rFonts w:cs="Times New Roman"/>
              </w:rPr>
              <w:t>NH</w:t>
            </w:r>
          </w:p>
        </w:tc>
        <w:tc>
          <w:tcPr>
            <w:tcW w:w="965" w:type="dxa"/>
            <w:tcBorders>
              <w:top w:val="nil"/>
            </w:tcBorders>
            <w:noWrap/>
            <w:hideMark/>
          </w:tcPr>
          <w:p w:rsidR="00DC3796" w:rsidRPr="00C57412" w:rsidRDefault="00DC3796" w:rsidP="00DC3796">
            <w:pPr>
              <w:spacing w:after="0" w:line="240" w:lineRule="auto"/>
              <w:jc w:val="both"/>
              <w:rPr>
                <w:rFonts w:cs="Times New Roman"/>
              </w:rPr>
            </w:pPr>
          </w:p>
        </w:tc>
        <w:tc>
          <w:tcPr>
            <w:tcW w:w="1247" w:type="dxa"/>
            <w:tcBorders>
              <w:top w:val="nil"/>
            </w:tcBorders>
            <w:noWrap/>
            <w:hideMark/>
          </w:tcPr>
          <w:p w:rsidR="00DC3796" w:rsidRPr="00C57412" w:rsidRDefault="00DC3796" w:rsidP="00DC3796">
            <w:pPr>
              <w:spacing w:after="0" w:line="240" w:lineRule="auto"/>
              <w:jc w:val="both"/>
              <w:rPr>
                <w:rFonts w:cs="Times New Roman"/>
              </w:rPr>
            </w:pPr>
            <w:r w:rsidRPr="00C57412">
              <w:rPr>
                <w:rFonts w:cs="Times New Roman"/>
              </w:rPr>
              <w:t>21,9</w:t>
            </w:r>
          </w:p>
        </w:tc>
        <w:tc>
          <w:tcPr>
            <w:tcW w:w="807" w:type="dxa"/>
            <w:tcBorders>
              <w:top w:val="nil"/>
            </w:tcBorders>
            <w:noWrap/>
            <w:hideMark/>
          </w:tcPr>
          <w:p w:rsidR="00DC3796" w:rsidRPr="00C57412" w:rsidRDefault="00DC3796" w:rsidP="00DC3796">
            <w:pPr>
              <w:spacing w:after="0" w:line="240" w:lineRule="auto"/>
              <w:jc w:val="both"/>
              <w:rPr>
                <w:rFonts w:cs="Times New Roman"/>
              </w:rPr>
            </w:pPr>
          </w:p>
        </w:tc>
        <w:tc>
          <w:tcPr>
            <w:tcW w:w="1304" w:type="dxa"/>
            <w:tcBorders>
              <w:top w:val="nil"/>
            </w:tcBorders>
            <w:noWrap/>
            <w:hideMark/>
          </w:tcPr>
          <w:p w:rsidR="00DC3796" w:rsidRPr="00C57412" w:rsidRDefault="00DC3796" w:rsidP="00DC3796">
            <w:pPr>
              <w:spacing w:after="0" w:line="240" w:lineRule="auto"/>
              <w:jc w:val="both"/>
              <w:rPr>
                <w:rFonts w:cs="Times New Roman"/>
              </w:rPr>
            </w:pPr>
            <w:r w:rsidRPr="00C57412">
              <w:rPr>
                <w:rFonts w:cs="Times New Roman"/>
              </w:rPr>
              <w:t>21,7</w:t>
            </w:r>
          </w:p>
        </w:tc>
        <w:tc>
          <w:tcPr>
            <w:tcW w:w="807" w:type="dxa"/>
            <w:tcBorders>
              <w:top w:val="nil"/>
            </w:tcBorders>
            <w:noWrap/>
            <w:hideMark/>
          </w:tcPr>
          <w:p w:rsidR="00DC3796" w:rsidRPr="00C57412" w:rsidRDefault="00DC3796" w:rsidP="00DC3796">
            <w:pPr>
              <w:spacing w:after="0" w:line="240" w:lineRule="auto"/>
              <w:jc w:val="both"/>
              <w:rPr>
                <w:rFonts w:cs="Times New Roman"/>
              </w:rPr>
            </w:pPr>
          </w:p>
        </w:tc>
        <w:tc>
          <w:tcPr>
            <w:tcW w:w="1304" w:type="dxa"/>
            <w:tcBorders>
              <w:top w:val="nil"/>
            </w:tcBorders>
            <w:noWrap/>
            <w:hideMark/>
          </w:tcPr>
          <w:p w:rsidR="00DC3796" w:rsidRPr="00C57412" w:rsidRDefault="00DC3796" w:rsidP="00DC3796">
            <w:pPr>
              <w:spacing w:after="0" w:line="240" w:lineRule="auto"/>
              <w:jc w:val="both"/>
              <w:rPr>
                <w:rFonts w:cs="Times New Roman"/>
              </w:rPr>
            </w:pPr>
            <w:r w:rsidRPr="00C57412">
              <w:rPr>
                <w:rFonts w:cs="Times New Roman"/>
              </w:rPr>
              <w:t>21,8</w:t>
            </w:r>
          </w:p>
        </w:tc>
        <w:tc>
          <w:tcPr>
            <w:tcW w:w="778" w:type="dxa"/>
            <w:tcBorders>
              <w:top w:val="nil"/>
            </w:tcBorders>
            <w:noWrap/>
            <w:hideMark/>
          </w:tcPr>
          <w:p w:rsidR="00DC3796" w:rsidRPr="00C57412" w:rsidRDefault="00DC3796" w:rsidP="00DC3796">
            <w:pPr>
              <w:spacing w:after="0" w:line="240" w:lineRule="auto"/>
              <w:jc w:val="both"/>
              <w:rPr>
                <w:rFonts w:cs="Times New Roman"/>
              </w:rPr>
            </w:pPr>
          </w:p>
        </w:tc>
        <w:tc>
          <w:tcPr>
            <w:tcW w:w="1259" w:type="dxa"/>
            <w:tcBorders>
              <w:top w:val="nil"/>
            </w:tcBorders>
            <w:noWrap/>
            <w:hideMark/>
          </w:tcPr>
          <w:p w:rsidR="00DC3796" w:rsidRPr="00C57412" w:rsidRDefault="00DC3796" w:rsidP="00DC3796">
            <w:pPr>
              <w:spacing w:after="0" w:line="240" w:lineRule="auto"/>
              <w:jc w:val="both"/>
              <w:rPr>
                <w:rFonts w:cs="Times New Roman"/>
              </w:rPr>
            </w:pPr>
            <w:r w:rsidRPr="00C57412">
              <w:rPr>
                <w:rFonts w:cs="Times New Roman"/>
              </w:rPr>
              <w:t>21,6</w:t>
            </w:r>
          </w:p>
        </w:tc>
      </w:tr>
    </w:tbl>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240" w:line="240" w:lineRule="auto"/>
        <w:jc w:val="center"/>
        <w:rPr>
          <w:rFonts w:cs="Times New Roman"/>
          <w:sz w:val="22"/>
          <w:lang w:val="en-US"/>
        </w:rPr>
      </w:pPr>
    </w:p>
    <w:p w:rsidR="00DC3796" w:rsidRPr="00C57412" w:rsidRDefault="00DC3796" w:rsidP="00DC3796">
      <w:pPr>
        <w:spacing w:after="240" w:line="240" w:lineRule="auto"/>
        <w:jc w:val="center"/>
        <w:rPr>
          <w:rFonts w:asciiTheme="minorHAnsi" w:hAnsiTheme="minorHAnsi"/>
          <w:b/>
          <w:sz w:val="22"/>
          <w:lang w:val="en-US"/>
        </w:rPr>
      </w:pPr>
      <w:r w:rsidRPr="00C57412">
        <w:rPr>
          <w:rFonts w:asciiTheme="minorHAnsi" w:hAnsiTheme="minorHAnsi"/>
          <w:b/>
          <w:noProof/>
          <w:sz w:val="22"/>
          <w:lang w:eastAsia="pl-PL"/>
        </w:rPr>
        <w:lastRenderedPageBreak/>
        <w:drawing>
          <wp:inline distT="0" distB="0" distL="0" distR="0">
            <wp:extent cx="5760720" cy="4130816"/>
            <wp:effectExtent l="19050" t="0" r="0" b="0"/>
            <wp:docPr id="9" name="Obraz 1" descr="C:\Users\Marta\Desktop\apr_paper2\formB_apr_spect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apr_paper2\formB_apr_spectra.tif"/>
                    <pic:cNvPicPr>
                      <a:picLocks noChangeAspect="1" noChangeArrowheads="1"/>
                    </pic:cNvPicPr>
                  </pic:nvPicPr>
                  <pic:blipFill>
                    <a:blip r:embed="rId17" cstate="print"/>
                    <a:srcRect/>
                    <a:stretch>
                      <a:fillRect/>
                    </a:stretch>
                  </pic:blipFill>
                  <pic:spPr bwMode="auto">
                    <a:xfrm>
                      <a:off x="0" y="0"/>
                      <a:ext cx="5760720" cy="4130816"/>
                    </a:xfrm>
                    <a:prstGeom prst="rect">
                      <a:avLst/>
                    </a:prstGeom>
                    <a:noFill/>
                    <a:ln w="9525">
                      <a:noFill/>
                      <a:miter lim="800000"/>
                      <a:headEnd/>
                      <a:tailEnd/>
                    </a:ln>
                  </pic:spPr>
                </pic:pic>
              </a:graphicData>
            </a:graphic>
          </wp:inline>
        </w:drawing>
      </w:r>
    </w:p>
    <w:p w:rsidR="00DC3796" w:rsidRPr="00C57412" w:rsidRDefault="00DC3796" w:rsidP="00DC3796">
      <w:pPr>
        <w:spacing w:after="0" w:line="240" w:lineRule="auto"/>
        <w:jc w:val="both"/>
        <w:rPr>
          <w:rFonts w:cs="Times New Roman"/>
          <w:sz w:val="22"/>
          <w:lang w:val="en-US"/>
        </w:rPr>
      </w:pPr>
      <w:r w:rsidRPr="00C57412">
        <w:rPr>
          <w:rFonts w:cs="Times New Roman"/>
          <w:b/>
          <w:sz w:val="22"/>
          <w:lang w:val="en-US"/>
        </w:rPr>
        <w:t>Figure S1.</w:t>
      </w:r>
      <w:r w:rsidRPr="00C57412">
        <w:rPr>
          <w:rFonts w:cs="Times New Roman"/>
          <w:sz w:val="22"/>
          <w:lang w:val="en-US"/>
        </w:rPr>
        <w:t xml:space="preserve"> </w:t>
      </w:r>
      <w:r w:rsidRPr="00C57412">
        <w:rPr>
          <w:rFonts w:cs="Times New Roman"/>
          <w:sz w:val="22"/>
          <w:vertAlign w:val="superscript"/>
          <w:lang w:val="en-US"/>
        </w:rPr>
        <w:t>1</w:t>
      </w:r>
      <w:r w:rsidRPr="00C57412">
        <w:rPr>
          <w:rFonts w:cs="Times New Roman"/>
          <w:sz w:val="22"/>
          <w:lang w:val="en-US"/>
        </w:rPr>
        <w:t xml:space="preserve">H and </w:t>
      </w:r>
      <w:r w:rsidRPr="00C57412">
        <w:rPr>
          <w:rFonts w:cs="Times New Roman"/>
          <w:i/>
          <w:sz w:val="22"/>
          <w:lang w:val="en-US"/>
        </w:rPr>
        <w:t>inv</w:t>
      </w:r>
      <w:r w:rsidRPr="00C57412">
        <w:rPr>
          <w:rFonts w:cs="Times New Roman"/>
          <w:sz w:val="22"/>
          <w:lang w:val="en-US"/>
        </w:rPr>
        <w:t>-</w:t>
      </w:r>
      <w:r w:rsidRPr="00C57412">
        <w:rPr>
          <w:rFonts w:cs="Times New Roman"/>
          <w:sz w:val="22"/>
          <w:vertAlign w:val="superscript"/>
          <w:lang w:val="en-US"/>
        </w:rPr>
        <w:t>1</w:t>
      </w:r>
      <w:r w:rsidRPr="00C57412">
        <w:rPr>
          <w:rFonts w:cs="Times New Roman"/>
          <w:sz w:val="22"/>
          <w:lang w:val="en-US"/>
        </w:rPr>
        <w:t>H-</w:t>
      </w:r>
      <w:r w:rsidRPr="00C57412">
        <w:rPr>
          <w:rFonts w:cs="Times New Roman"/>
          <w:sz w:val="22"/>
          <w:vertAlign w:val="superscript"/>
          <w:lang w:val="en-US"/>
        </w:rPr>
        <w:t>13</w:t>
      </w:r>
      <w:r w:rsidRPr="00C57412">
        <w:rPr>
          <w:rFonts w:cs="Times New Roman"/>
          <w:sz w:val="22"/>
          <w:lang w:val="en-US"/>
        </w:rPr>
        <w:t xml:space="preserve">C HETCOR solid-state NMR spectra registered under 60 kHz rotation for APR form B: a) </w:t>
      </w:r>
      <w:r w:rsidRPr="00C57412">
        <w:rPr>
          <w:rFonts w:cs="Times New Roman"/>
          <w:sz w:val="22"/>
          <w:vertAlign w:val="superscript"/>
          <w:lang w:val="en-US"/>
        </w:rPr>
        <w:t>1</w:t>
      </w:r>
      <w:r w:rsidRPr="00C57412">
        <w:rPr>
          <w:rFonts w:cs="Times New Roman"/>
          <w:sz w:val="22"/>
          <w:lang w:val="en-US"/>
        </w:rPr>
        <w:t>H spectrum, b) HETCOR with short contact time (100 μs), c) HETCOR with long contact time (2 ms).</w:t>
      </w: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line="240" w:lineRule="auto"/>
        <w:jc w:val="center"/>
        <w:rPr>
          <w:rFonts w:asciiTheme="minorHAnsi" w:hAnsiTheme="minorHAnsi"/>
          <w:sz w:val="22"/>
          <w:lang w:val="en-US"/>
        </w:rPr>
      </w:pPr>
      <w:r w:rsidRPr="00C57412">
        <w:rPr>
          <w:rFonts w:asciiTheme="minorHAnsi" w:hAnsiTheme="minorHAnsi"/>
          <w:noProof/>
          <w:sz w:val="22"/>
          <w:lang w:eastAsia="pl-PL"/>
        </w:rPr>
        <w:drawing>
          <wp:inline distT="0" distB="0" distL="0" distR="0">
            <wp:extent cx="4198327" cy="3143250"/>
            <wp:effectExtent l="19050" t="0" r="0" b="0"/>
            <wp:docPr id="10" name="Obraz 4" descr="C:\Users\Marta\Desktop\apr_paper2\apr-komerc_p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apr_paper2\apr-komerc_pxrd.tif"/>
                    <pic:cNvPicPr>
                      <a:picLocks noChangeAspect="1" noChangeArrowheads="1"/>
                    </pic:cNvPicPr>
                  </pic:nvPicPr>
                  <pic:blipFill>
                    <a:blip r:embed="rId18"/>
                    <a:srcRect/>
                    <a:stretch>
                      <a:fillRect/>
                    </a:stretch>
                  </pic:blipFill>
                  <pic:spPr bwMode="auto">
                    <a:xfrm>
                      <a:off x="0" y="0"/>
                      <a:ext cx="4198327" cy="3143250"/>
                    </a:xfrm>
                    <a:prstGeom prst="rect">
                      <a:avLst/>
                    </a:prstGeom>
                    <a:noFill/>
                    <a:ln w="9525">
                      <a:noFill/>
                      <a:miter lim="800000"/>
                      <a:headEnd/>
                      <a:tailEnd/>
                    </a:ln>
                  </pic:spPr>
                </pic:pic>
              </a:graphicData>
            </a:graphic>
          </wp:inline>
        </w:drawing>
      </w:r>
    </w:p>
    <w:p w:rsidR="00DC3796" w:rsidRPr="00C57412" w:rsidRDefault="00DC3796" w:rsidP="00DC3796">
      <w:pPr>
        <w:spacing w:after="0" w:line="240" w:lineRule="auto"/>
        <w:jc w:val="center"/>
        <w:rPr>
          <w:rFonts w:cs="Times New Roman"/>
          <w:sz w:val="22"/>
          <w:lang w:val="en-US"/>
        </w:rPr>
      </w:pPr>
      <w:r w:rsidRPr="00C57412">
        <w:rPr>
          <w:rFonts w:cs="Times New Roman"/>
          <w:b/>
          <w:sz w:val="22"/>
          <w:lang w:val="en-US"/>
        </w:rPr>
        <w:t>Figure S2</w:t>
      </w:r>
      <w:r w:rsidRPr="00C57412">
        <w:rPr>
          <w:rFonts w:cs="Times New Roman"/>
          <w:sz w:val="22"/>
          <w:lang w:val="en-US"/>
        </w:rPr>
        <w:t>. Powder X-Ray diffraction pattern for form B</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240" w:line="240" w:lineRule="auto"/>
        <w:jc w:val="center"/>
        <w:rPr>
          <w:rFonts w:asciiTheme="minorHAnsi" w:hAnsiTheme="minorHAnsi"/>
          <w:sz w:val="22"/>
          <w:lang w:val="en-US"/>
        </w:rPr>
      </w:pPr>
      <w:r w:rsidRPr="00C57412">
        <w:rPr>
          <w:rFonts w:asciiTheme="minorHAnsi" w:hAnsiTheme="minorHAnsi"/>
          <w:noProof/>
          <w:sz w:val="22"/>
          <w:lang w:eastAsia="pl-PL"/>
        </w:rPr>
        <w:drawing>
          <wp:inline distT="0" distB="0" distL="0" distR="0">
            <wp:extent cx="4800600" cy="4667250"/>
            <wp:effectExtent l="19050" t="0" r="0" b="0"/>
            <wp:docPr id="11" name="Obraz 2" descr="C:\Users\Marta\Desktop\apr_paper2\Fig_S3_13C_cocrys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apr_paper2\Fig_S3_13C_cocrystals.tif"/>
                    <pic:cNvPicPr>
                      <a:picLocks noChangeAspect="1" noChangeArrowheads="1"/>
                    </pic:cNvPicPr>
                  </pic:nvPicPr>
                  <pic:blipFill>
                    <a:blip r:embed="rId19"/>
                    <a:srcRect/>
                    <a:stretch>
                      <a:fillRect/>
                    </a:stretch>
                  </pic:blipFill>
                  <pic:spPr bwMode="auto">
                    <a:xfrm>
                      <a:off x="0" y="0"/>
                      <a:ext cx="4800600" cy="4667250"/>
                    </a:xfrm>
                    <a:prstGeom prst="rect">
                      <a:avLst/>
                    </a:prstGeom>
                    <a:noFill/>
                    <a:ln w="9525">
                      <a:noFill/>
                      <a:miter lim="800000"/>
                      <a:headEnd/>
                      <a:tailEnd/>
                    </a:ln>
                  </pic:spPr>
                </pic:pic>
              </a:graphicData>
            </a:graphic>
          </wp:inline>
        </w:drawing>
      </w:r>
    </w:p>
    <w:p w:rsidR="00DC3796" w:rsidRPr="00C57412" w:rsidRDefault="00DC3796" w:rsidP="00DC3796">
      <w:pPr>
        <w:spacing w:after="0" w:line="240" w:lineRule="auto"/>
        <w:jc w:val="center"/>
        <w:rPr>
          <w:rFonts w:cs="Times New Roman"/>
          <w:sz w:val="22"/>
          <w:lang w:val="en-US"/>
        </w:rPr>
      </w:pPr>
      <w:r w:rsidRPr="00C57412">
        <w:rPr>
          <w:rFonts w:cs="Times New Roman"/>
          <w:b/>
          <w:sz w:val="22"/>
          <w:lang w:val="en-US"/>
        </w:rPr>
        <w:t>Figure S3.</w:t>
      </w:r>
      <w:r w:rsidRPr="00C57412">
        <w:rPr>
          <w:rFonts w:cs="Times New Roman"/>
          <w:sz w:val="22"/>
          <w:lang w:val="en-US"/>
        </w:rPr>
        <w:t xml:space="preserve"> </w:t>
      </w:r>
      <w:r w:rsidRPr="00C57412">
        <w:rPr>
          <w:rFonts w:cs="Times New Roman"/>
          <w:sz w:val="22"/>
          <w:vertAlign w:val="superscript"/>
          <w:lang w:val="en-US"/>
        </w:rPr>
        <w:t>13</w:t>
      </w:r>
      <w:r w:rsidRPr="00C57412">
        <w:rPr>
          <w:rFonts w:cs="Times New Roman"/>
          <w:sz w:val="22"/>
          <w:lang w:val="en-US"/>
        </w:rPr>
        <w:t>C NMR spectra for the studied cocrystals.</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200" w:line="276" w:lineRule="auto"/>
        <w:rPr>
          <w:rFonts w:asciiTheme="minorHAnsi" w:hAnsiTheme="minorHAnsi"/>
          <w:b/>
          <w:sz w:val="22"/>
          <w:lang w:val="en-US"/>
        </w:rPr>
      </w:pPr>
      <w:r w:rsidRPr="00C57412">
        <w:rPr>
          <w:rFonts w:asciiTheme="minorHAnsi" w:hAnsiTheme="minorHAnsi"/>
          <w:b/>
          <w:sz w:val="22"/>
          <w:lang w:val="en-US"/>
        </w:rPr>
        <w:br w:type="page"/>
      </w:r>
    </w:p>
    <w:p w:rsidR="00DC3796" w:rsidRPr="00C57412" w:rsidRDefault="00DC3796" w:rsidP="00DC3796">
      <w:pPr>
        <w:spacing w:after="0" w:line="240" w:lineRule="auto"/>
        <w:jc w:val="both"/>
        <w:rPr>
          <w:rFonts w:cs="Times New Roman"/>
          <w:b/>
          <w:szCs w:val="24"/>
          <w:lang w:val="en-US"/>
        </w:rPr>
      </w:pPr>
      <w:r w:rsidRPr="00C57412">
        <w:rPr>
          <w:rFonts w:cs="Times New Roman"/>
          <w:b/>
          <w:szCs w:val="24"/>
          <w:lang w:val="en-US"/>
        </w:rPr>
        <w:lastRenderedPageBreak/>
        <w:t>Data for calculation of energy contributions to the cocrystals formation (Gaussian calculations)</w:t>
      </w: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0" w:line="240" w:lineRule="auto"/>
        <w:jc w:val="center"/>
        <w:rPr>
          <w:rFonts w:asciiTheme="minorHAnsi" w:hAnsiTheme="minorHAnsi"/>
          <w:sz w:val="22"/>
          <w:lang w:val="en-US"/>
        </w:rPr>
      </w:pPr>
      <w:r w:rsidRPr="00C57412">
        <w:rPr>
          <w:rFonts w:asciiTheme="minorHAnsi" w:hAnsiTheme="minorHAnsi"/>
          <w:noProof/>
          <w:sz w:val="22"/>
          <w:lang w:eastAsia="pl-PL"/>
        </w:rPr>
        <w:drawing>
          <wp:inline distT="0" distB="0" distL="0" distR="0">
            <wp:extent cx="4895850" cy="3849040"/>
            <wp:effectExtent l="19050" t="0" r="0" b="0"/>
            <wp:docPr id="13" name="Obraz 2" descr="C:\Users\Marta\Desktop\apr_paper2\Figure_S3_Hbond_clus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apr_paper2\Figure_S3_Hbond_clusters.tif"/>
                    <pic:cNvPicPr>
                      <a:picLocks noChangeAspect="1" noChangeArrowheads="1"/>
                    </pic:cNvPicPr>
                  </pic:nvPicPr>
                  <pic:blipFill>
                    <a:blip r:embed="rId20"/>
                    <a:srcRect/>
                    <a:stretch>
                      <a:fillRect/>
                    </a:stretch>
                  </pic:blipFill>
                  <pic:spPr bwMode="auto">
                    <a:xfrm>
                      <a:off x="0" y="0"/>
                      <a:ext cx="4895850" cy="3849040"/>
                    </a:xfrm>
                    <a:prstGeom prst="rect">
                      <a:avLst/>
                    </a:prstGeom>
                    <a:noFill/>
                    <a:ln w="9525">
                      <a:noFill/>
                      <a:miter lim="800000"/>
                      <a:headEnd/>
                      <a:tailEnd/>
                    </a:ln>
                  </pic:spPr>
                </pic:pic>
              </a:graphicData>
            </a:graphic>
          </wp:inline>
        </w:drawing>
      </w:r>
    </w:p>
    <w:p w:rsidR="00DC3796" w:rsidRPr="00C57412" w:rsidRDefault="00DC3796" w:rsidP="00DC3796">
      <w:pPr>
        <w:spacing w:after="0" w:line="240" w:lineRule="auto"/>
        <w:jc w:val="both"/>
        <w:rPr>
          <w:rFonts w:cs="Times New Roman"/>
          <w:sz w:val="22"/>
          <w:lang w:val="en-US"/>
        </w:rPr>
      </w:pPr>
      <w:r w:rsidRPr="00C57412">
        <w:rPr>
          <w:rFonts w:cs="Times New Roman"/>
          <w:b/>
          <w:sz w:val="22"/>
          <w:lang w:val="en-US"/>
        </w:rPr>
        <w:t>Figure S4.</w:t>
      </w:r>
      <w:r w:rsidRPr="00C57412">
        <w:rPr>
          <w:rFonts w:cs="Times New Roman"/>
          <w:sz w:val="22"/>
          <w:lang w:val="en-US"/>
        </w:rPr>
        <w:t xml:space="preserve"> Clusters for the calculations of contribution of hydrogen bonds between APR and a coformer to the intermolecular energy of cocrystals: a) APR:HQU, b) APR:IMI, c) APR:RES.</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line="240" w:lineRule="auto"/>
        <w:jc w:val="both"/>
        <w:rPr>
          <w:rFonts w:cs="Times New Roman"/>
          <w:sz w:val="22"/>
          <w:lang w:val="en-US"/>
        </w:rPr>
      </w:pPr>
      <w:r w:rsidRPr="00C57412">
        <w:rPr>
          <w:rFonts w:cs="Times New Roman"/>
          <w:b/>
          <w:sz w:val="22"/>
          <w:lang w:val="en-US"/>
        </w:rPr>
        <w:t>Table S4.</w:t>
      </w:r>
      <w:r w:rsidRPr="00C57412">
        <w:rPr>
          <w:rFonts w:cs="Times New Roman"/>
          <w:sz w:val="22"/>
          <w:lang w:val="en-US"/>
        </w:rPr>
        <w:t xml:space="preserve"> Data for the calculations of contribution of hydrogen bonds between APR and a coformer to the intermolecular energy of the studied cocrystals.</w:t>
      </w:r>
    </w:p>
    <w:tbl>
      <w:tblPr>
        <w:tblStyle w:val="Tabela-Siatka1"/>
        <w:tblW w:w="9606" w:type="dxa"/>
        <w:tblBorders>
          <w:left w:val="none" w:sz="0" w:space="0" w:color="auto"/>
          <w:right w:val="none" w:sz="0" w:space="0" w:color="auto"/>
          <w:insideV w:val="none" w:sz="0" w:space="0" w:color="auto"/>
        </w:tblBorders>
        <w:tblLook w:val="04A0"/>
      </w:tblPr>
      <w:tblGrid>
        <w:gridCol w:w="1182"/>
        <w:gridCol w:w="1134"/>
        <w:gridCol w:w="1134"/>
        <w:gridCol w:w="1134"/>
        <w:gridCol w:w="1561"/>
        <w:gridCol w:w="1846"/>
        <w:gridCol w:w="1615"/>
      </w:tblGrid>
      <w:tr w:rsidR="00DC3796" w:rsidRPr="009C7891" w:rsidTr="00FB2DF2">
        <w:trPr>
          <w:trHeight w:val="300"/>
        </w:trPr>
        <w:tc>
          <w:tcPr>
            <w:tcW w:w="1101"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lang w:val="en-US"/>
              </w:rPr>
            </w:pPr>
          </w:p>
        </w:tc>
        <w:tc>
          <w:tcPr>
            <w:tcW w:w="1134"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CLUSTER</w:t>
            </w:r>
            <w:r w:rsidRPr="00C57412">
              <w:rPr>
                <w:rFonts w:cs="Times New Roman"/>
              </w:rPr>
              <w:t xml:space="preserve"> [Hartree]</w:t>
            </w:r>
          </w:p>
        </w:tc>
        <w:tc>
          <w:tcPr>
            <w:tcW w:w="1134"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APR</w:t>
            </w:r>
            <w:r w:rsidRPr="00C57412">
              <w:rPr>
                <w:rFonts w:cs="Times New Roman"/>
              </w:rPr>
              <w:t xml:space="preserve"> [Hartree]</w:t>
            </w:r>
          </w:p>
        </w:tc>
        <w:tc>
          <w:tcPr>
            <w:tcW w:w="1134"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COFORMER</w:t>
            </w:r>
            <w:r w:rsidRPr="00C57412">
              <w:rPr>
                <w:rFonts w:cs="Times New Roman"/>
              </w:rPr>
              <w:t xml:space="preserve"> [Hartree]</w:t>
            </w:r>
          </w:p>
        </w:tc>
        <w:tc>
          <w:tcPr>
            <w:tcW w:w="1559" w:type="dxa"/>
            <w:tcBorders>
              <w:bottom w:val="single" w:sz="4" w:space="0" w:color="000000" w:themeColor="text1"/>
            </w:tcBorders>
            <w:noWrap/>
            <w:hideMark/>
          </w:tcPr>
          <w:p w:rsidR="00DC3796" w:rsidRPr="00C57412" w:rsidRDefault="00DC3796" w:rsidP="00EE7530">
            <w:pPr>
              <w:spacing w:after="0" w:line="240" w:lineRule="auto"/>
              <w:ind w:right="257"/>
              <w:jc w:val="both"/>
              <w:rPr>
                <w:rFonts w:cs="Times New Roman"/>
                <w:lang w:val="en-US"/>
              </w:rPr>
            </w:pPr>
            <w:r w:rsidRPr="00C57412">
              <w:rPr>
                <w:rFonts w:cs="Times New Roman"/>
                <w:lang w:val="en-US"/>
              </w:rPr>
              <w:t>E</w:t>
            </w:r>
            <w:r w:rsidRPr="00C57412">
              <w:rPr>
                <w:rFonts w:cs="Times New Roman"/>
                <w:vertAlign w:val="subscript"/>
                <w:lang w:val="en-US"/>
              </w:rPr>
              <w:t>CLUSTER</w:t>
            </w:r>
            <w:r w:rsidRPr="00C57412">
              <w:rPr>
                <w:rFonts w:cs="Times New Roman"/>
                <w:lang w:val="en-US"/>
              </w:rPr>
              <w:t xml:space="preserve"> – (E</w:t>
            </w:r>
            <w:r w:rsidRPr="00C57412">
              <w:rPr>
                <w:rFonts w:cs="Times New Roman"/>
                <w:vertAlign w:val="subscript"/>
                <w:lang w:val="en-US"/>
              </w:rPr>
              <w:t>APR</w:t>
            </w:r>
            <w:r w:rsidRPr="00C57412">
              <w:rPr>
                <w:rFonts w:cs="Times New Roman"/>
                <w:lang w:val="en-US"/>
              </w:rPr>
              <w:t xml:space="preserve"> + nE</w:t>
            </w:r>
            <w:r w:rsidRPr="00C57412">
              <w:rPr>
                <w:rFonts w:cs="Times New Roman"/>
                <w:vertAlign w:val="subscript"/>
                <w:lang w:val="en-US"/>
              </w:rPr>
              <w:t>COFORMER</w:t>
            </w:r>
            <w:r w:rsidRPr="00C57412">
              <w:rPr>
                <w:rFonts w:cs="Times New Roman"/>
                <w:lang w:val="en-US"/>
              </w:rPr>
              <w:t>) [Hartree]</w:t>
            </w:r>
          </w:p>
        </w:tc>
        <w:tc>
          <w:tcPr>
            <w:tcW w:w="1843" w:type="dxa"/>
            <w:tcBorders>
              <w:bottom w:val="single" w:sz="4" w:space="0" w:color="000000" w:themeColor="text1"/>
            </w:tcBorders>
            <w:noWrap/>
            <w:hideMark/>
          </w:tcPr>
          <w:p w:rsidR="00DC3796" w:rsidRPr="00C57412" w:rsidRDefault="00DC3796" w:rsidP="00EE7530">
            <w:pPr>
              <w:spacing w:after="0" w:line="240" w:lineRule="auto"/>
              <w:ind w:right="542"/>
              <w:jc w:val="both"/>
              <w:rPr>
                <w:rFonts w:cs="Times New Roman"/>
                <w:lang w:val="en-US"/>
              </w:rPr>
            </w:pPr>
            <w:r w:rsidRPr="00C57412">
              <w:rPr>
                <w:rFonts w:cs="Times New Roman"/>
                <w:lang w:val="en-US"/>
              </w:rPr>
              <w:t>E</w:t>
            </w:r>
            <w:r w:rsidRPr="00C57412">
              <w:rPr>
                <w:rFonts w:cs="Times New Roman"/>
                <w:vertAlign w:val="subscript"/>
                <w:lang w:val="en-US"/>
              </w:rPr>
              <w:t>CLUSTER</w:t>
            </w:r>
            <w:r w:rsidRPr="00C57412">
              <w:rPr>
                <w:rFonts w:cs="Times New Roman"/>
                <w:lang w:val="en-US"/>
              </w:rPr>
              <w:t xml:space="preserve"> – (E</w:t>
            </w:r>
            <w:r w:rsidRPr="00C57412">
              <w:rPr>
                <w:rFonts w:cs="Times New Roman"/>
                <w:vertAlign w:val="subscript"/>
                <w:lang w:val="en-US"/>
              </w:rPr>
              <w:t>APR</w:t>
            </w:r>
            <w:r w:rsidRPr="00C57412">
              <w:rPr>
                <w:rFonts w:cs="Times New Roman"/>
                <w:lang w:val="en-US"/>
              </w:rPr>
              <w:t xml:space="preserve"> + nE</w:t>
            </w:r>
            <w:r w:rsidRPr="00C57412">
              <w:rPr>
                <w:rFonts w:cs="Times New Roman"/>
                <w:vertAlign w:val="subscript"/>
                <w:lang w:val="en-US"/>
              </w:rPr>
              <w:t>COFORMER</w:t>
            </w:r>
            <w:r w:rsidRPr="00C57412">
              <w:rPr>
                <w:rFonts w:cs="Times New Roman"/>
                <w:lang w:val="en-US"/>
              </w:rPr>
              <w:t>) [kJ/mol]</w:t>
            </w:r>
          </w:p>
        </w:tc>
        <w:tc>
          <w:tcPr>
            <w:tcW w:w="1701" w:type="dxa"/>
            <w:tcBorders>
              <w:bottom w:val="single" w:sz="4" w:space="0" w:color="000000" w:themeColor="text1"/>
            </w:tcBorders>
          </w:tcPr>
          <w:p w:rsidR="00DC3796" w:rsidRPr="00C57412" w:rsidRDefault="00DC3796" w:rsidP="00DC3796">
            <w:pPr>
              <w:spacing w:after="0" w:line="240" w:lineRule="auto"/>
              <w:jc w:val="both"/>
              <w:rPr>
                <w:rFonts w:cs="Times New Roman"/>
                <w:lang w:val="en-US"/>
              </w:rPr>
            </w:pPr>
            <w:r w:rsidRPr="00C57412">
              <w:rPr>
                <w:rFonts w:cs="Times New Roman"/>
                <w:lang w:val="en-US"/>
              </w:rPr>
              <w:t>Final E</w:t>
            </w:r>
            <w:r w:rsidRPr="00C57412">
              <w:rPr>
                <w:rFonts w:cs="Times New Roman"/>
                <w:vertAlign w:val="superscript"/>
                <w:lang w:val="en-US"/>
              </w:rPr>
              <w:t xml:space="preserve">HB_APR </w:t>
            </w:r>
            <w:r w:rsidRPr="00C57412">
              <w:rPr>
                <w:rFonts w:cs="Times New Roman"/>
                <w:lang w:val="en-US"/>
              </w:rPr>
              <w:t>per asymmetric unit [kJ/mol]</w:t>
            </w:r>
          </w:p>
        </w:tc>
      </w:tr>
      <w:tr w:rsidR="00DC3796" w:rsidRPr="00C57412" w:rsidTr="00FB2DF2">
        <w:trPr>
          <w:trHeight w:val="300"/>
        </w:trPr>
        <w:tc>
          <w:tcPr>
            <w:tcW w:w="1101"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w:t>
            </w:r>
          </w:p>
        </w:tc>
        <w:tc>
          <w:tcPr>
            <w:tcW w:w="1134"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-2806.15</w:t>
            </w:r>
          </w:p>
        </w:tc>
        <w:tc>
          <w:tcPr>
            <w:tcW w:w="1134"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-1887.57</w:t>
            </w:r>
          </w:p>
        </w:tc>
        <w:tc>
          <w:tcPr>
            <w:tcW w:w="1134"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-459.275</w:t>
            </w:r>
          </w:p>
        </w:tc>
        <w:tc>
          <w:tcPr>
            <w:tcW w:w="1559"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-0.02951</w:t>
            </w:r>
          </w:p>
        </w:tc>
        <w:tc>
          <w:tcPr>
            <w:tcW w:w="1843"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-77.4674</w:t>
            </w:r>
          </w:p>
        </w:tc>
        <w:tc>
          <w:tcPr>
            <w:tcW w:w="1701" w:type="dxa"/>
            <w:tcBorders>
              <w:bottom w:val="nil"/>
            </w:tcBorders>
            <w:vAlign w:val="center"/>
          </w:tcPr>
          <w:p w:rsidR="00DC3796" w:rsidRPr="00C57412" w:rsidRDefault="00DC3796" w:rsidP="00DC3796">
            <w:pPr>
              <w:spacing w:after="0" w:line="240" w:lineRule="auto"/>
              <w:rPr>
                <w:rFonts w:cs="Times New Roman"/>
              </w:rPr>
            </w:pPr>
            <w:r w:rsidRPr="00C57412">
              <w:rPr>
                <w:rFonts w:cs="Times New Roman"/>
              </w:rPr>
              <w:t>-39</w:t>
            </w:r>
          </w:p>
        </w:tc>
      </w:tr>
      <w:tr w:rsidR="00DC3796" w:rsidRPr="00C57412" w:rsidTr="00FB2DF2">
        <w:trPr>
          <w:trHeight w:val="300"/>
        </w:trPr>
        <w:tc>
          <w:tcPr>
            <w:tcW w:w="1101"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w:t>
            </w:r>
          </w:p>
        </w:tc>
        <w:tc>
          <w:tcPr>
            <w:tcW w:w="11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-2190.34</w:t>
            </w:r>
          </w:p>
        </w:tc>
        <w:tc>
          <w:tcPr>
            <w:tcW w:w="11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-1887.57</w:t>
            </w:r>
          </w:p>
        </w:tc>
        <w:tc>
          <w:tcPr>
            <w:tcW w:w="11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-302.748</w:t>
            </w:r>
          </w:p>
        </w:tc>
        <w:tc>
          <w:tcPr>
            <w:tcW w:w="155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-0.02089</w:t>
            </w:r>
          </w:p>
        </w:tc>
        <w:tc>
          <w:tcPr>
            <w:tcW w:w="1843"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-54.8486</w:t>
            </w:r>
          </w:p>
        </w:tc>
        <w:tc>
          <w:tcPr>
            <w:tcW w:w="1701" w:type="dxa"/>
            <w:tcBorders>
              <w:top w:val="nil"/>
              <w:bottom w:val="nil"/>
            </w:tcBorders>
            <w:vAlign w:val="center"/>
          </w:tcPr>
          <w:p w:rsidR="00DC3796" w:rsidRPr="00C57412" w:rsidRDefault="00DC3796" w:rsidP="00DC3796">
            <w:pPr>
              <w:spacing w:after="0" w:line="240" w:lineRule="auto"/>
              <w:rPr>
                <w:rFonts w:cs="Times New Roman"/>
              </w:rPr>
            </w:pPr>
            <w:r w:rsidRPr="00C57412">
              <w:rPr>
                <w:rFonts w:cs="Times New Roman"/>
              </w:rPr>
              <w:t>-27</w:t>
            </w:r>
          </w:p>
        </w:tc>
      </w:tr>
      <w:tr w:rsidR="00DC3796" w:rsidRPr="00C57412" w:rsidTr="00FB2DF2">
        <w:trPr>
          <w:trHeight w:val="300"/>
        </w:trPr>
        <w:tc>
          <w:tcPr>
            <w:tcW w:w="1101"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w:t>
            </w:r>
          </w:p>
        </w:tc>
        <w:tc>
          <w:tcPr>
            <w:tcW w:w="1134"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-2346.87</w:t>
            </w:r>
          </w:p>
        </w:tc>
        <w:tc>
          <w:tcPr>
            <w:tcW w:w="1134"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-1887.57</w:t>
            </w:r>
          </w:p>
        </w:tc>
        <w:tc>
          <w:tcPr>
            <w:tcW w:w="1134"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-459.28</w:t>
            </w:r>
          </w:p>
        </w:tc>
        <w:tc>
          <w:tcPr>
            <w:tcW w:w="1559"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-0.02151</w:t>
            </w:r>
          </w:p>
        </w:tc>
        <w:tc>
          <w:tcPr>
            <w:tcW w:w="1843"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-56.4792</w:t>
            </w:r>
          </w:p>
        </w:tc>
        <w:tc>
          <w:tcPr>
            <w:tcW w:w="1701" w:type="dxa"/>
            <w:tcBorders>
              <w:top w:val="nil"/>
            </w:tcBorders>
            <w:vAlign w:val="center"/>
          </w:tcPr>
          <w:p w:rsidR="00DC3796" w:rsidRPr="00C57412" w:rsidRDefault="00DC3796" w:rsidP="00DC3796">
            <w:pPr>
              <w:spacing w:after="0" w:line="240" w:lineRule="auto"/>
              <w:rPr>
                <w:rFonts w:cs="Times New Roman"/>
              </w:rPr>
            </w:pPr>
            <w:r w:rsidRPr="00C57412">
              <w:rPr>
                <w:rFonts w:cs="Times New Roman"/>
              </w:rPr>
              <w:t>-28</w:t>
            </w:r>
          </w:p>
        </w:tc>
      </w:tr>
    </w:tbl>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line="240" w:lineRule="auto"/>
        <w:jc w:val="both"/>
        <w:rPr>
          <w:rFonts w:cs="Times New Roman"/>
          <w:sz w:val="22"/>
          <w:lang w:val="en-US"/>
        </w:rPr>
      </w:pPr>
      <w:r w:rsidRPr="00C57412">
        <w:rPr>
          <w:rFonts w:cs="Times New Roman"/>
          <w:b/>
          <w:sz w:val="22"/>
          <w:lang w:val="en-US"/>
        </w:rPr>
        <w:t>Table S5.</w:t>
      </w:r>
      <w:r w:rsidRPr="00C57412">
        <w:rPr>
          <w:rFonts w:cs="Times New Roman"/>
          <w:sz w:val="22"/>
          <w:lang w:val="en-US"/>
        </w:rPr>
        <w:t xml:space="preserve"> Data for the calculations of contribution of hydrogen bonds ‘inside’ a coformer to the intermolecular energy of the studied cocrystals.</w:t>
      </w:r>
    </w:p>
    <w:tbl>
      <w:tblPr>
        <w:tblStyle w:val="Tabela-Siatka1"/>
        <w:tblW w:w="9606" w:type="dxa"/>
        <w:tblBorders>
          <w:left w:val="none" w:sz="0" w:space="0" w:color="auto"/>
          <w:right w:val="none" w:sz="0" w:space="0" w:color="auto"/>
          <w:insideV w:val="none" w:sz="0" w:space="0" w:color="auto"/>
        </w:tblBorders>
        <w:tblLook w:val="04A0"/>
      </w:tblPr>
      <w:tblGrid>
        <w:gridCol w:w="1182"/>
        <w:gridCol w:w="1194"/>
        <w:gridCol w:w="1140"/>
        <w:gridCol w:w="1153"/>
        <w:gridCol w:w="1535"/>
        <w:gridCol w:w="1559"/>
        <w:gridCol w:w="1843"/>
      </w:tblGrid>
      <w:tr w:rsidR="00DC3796" w:rsidRPr="009C7891" w:rsidTr="005C4E8B">
        <w:trPr>
          <w:trHeight w:val="300"/>
        </w:trPr>
        <w:tc>
          <w:tcPr>
            <w:tcW w:w="1182"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lang w:val="en-US"/>
              </w:rPr>
            </w:pPr>
          </w:p>
        </w:tc>
        <w:tc>
          <w:tcPr>
            <w:tcW w:w="1194" w:type="dxa"/>
            <w:tcBorders>
              <w:bottom w:val="single" w:sz="4" w:space="0" w:color="000000" w:themeColor="text1"/>
            </w:tcBorders>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 xml:space="preserve">COF+H2O </w:t>
            </w:r>
            <w:r w:rsidRPr="00C57412">
              <w:rPr>
                <w:rFonts w:cs="Times New Roman"/>
              </w:rPr>
              <w:t>[Hartree]</w:t>
            </w:r>
          </w:p>
        </w:tc>
        <w:tc>
          <w:tcPr>
            <w:tcW w:w="1140"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vertAlign w:val="subscript"/>
              </w:rPr>
            </w:pPr>
            <w:r w:rsidRPr="00C57412">
              <w:rPr>
                <w:rFonts w:cs="Times New Roman"/>
              </w:rPr>
              <w:t>E</w:t>
            </w:r>
            <w:r w:rsidRPr="00C57412">
              <w:rPr>
                <w:rFonts w:cs="Times New Roman"/>
                <w:vertAlign w:val="subscript"/>
              </w:rPr>
              <w:t>COFORMER</w:t>
            </w:r>
          </w:p>
          <w:p w:rsidR="00DC3796" w:rsidRPr="00C57412" w:rsidRDefault="00DC3796" w:rsidP="00DC3796">
            <w:pPr>
              <w:spacing w:after="0" w:line="240" w:lineRule="auto"/>
              <w:jc w:val="both"/>
              <w:rPr>
                <w:rFonts w:cs="Times New Roman"/>
              </w:rPr>
            </w:pPr>
            <w:r w:rsidRPr="00C57412">
              <w:rPr>
                <w:rFonts w:cs="Times New Roman"/>
              </w:rPr>
              <w:t>[Hartree]</w:t>
            </w:r>
          </w:p>
        </w:tc>
        <w:tc>
          <w:tcPr>
            <w:tcW w:w="1153"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 xml:space="preserve">H2O </w:t>
            </w:r>
            <w:r w:rsidRPr="00C57412">
              <w:rPr>
                <w:rFonts w:cs="Times New Roman"/>
              </w:rPr>
              <w:t>[Hartree]</w:t>
            </w:r>
          </w:p>
        </w:tc>
        <w:tc>
          <w:tcPr>
            <w:tcW w:w="1535" w:type="dxa"/>
            <w:tcBorders>
              <w:bottom w:val="single" w:sz="4" w:space="0" w:color="000000" w:themeColor="text1"/>
            </w:tcBorders>
          </w:tcPr>
          <w:p w:rsidR="00DC3796" w:rsidRPr="00C57412" w:rsidRDefault="00DC3796" w:rsidP="00EE7530">
            <w:pPr>
              <w:spacing w:after="0" w:line="240" w:lineRule="auto"/>
              <w:ind w:right="318"/>
              <w:jc w:val="both"/>
              <w:rPr>
                <w:rFonts w:cs="Times New Roman"/>
                <w:lang w:val="en-US"/>
              </w:rPr>
            </w:pPr>
            <w:r w:rsidRPr="00C57412">
              <w:rPr>
                <w:rFonts w:cs="Times New Roman"/>
                <w:lang w:val="en-US"/>
              </w:rPr>
              <w:t>E</w:t>
            </w:r>
            <w:r w:rsidRPr="00C57412">
              <w:rPr>
                <w:rFonts w:cs="Times New Roman"/>
                <w:vertAlign w:val="subscript"/>
                <w:lang w:val="en-US"/>
              </w:rPr>
              <w:t>COF+H2O</w:t>
            </w:r>
            <w:r w:rsidRPr="00C57412">
              <w:rPr>
                <w:rFonts w:cs="Times New Roman"/>
                <w:lang w:val="en-US"/>
              </w:rPr>
              <w:t xml:space="preserve"> – (E</w:t>
            </w:r>
            <w:r w:rsidRPr="00C57412">
              <w:rPr>
                <w:rFonts w:cs="Times New Roman"/>
                <w:vertAlign w:val="subscript"/>
                <w:lang w:val="en-US"/>
              </w:rPr>
              <w:t>H2O</w:t>
            </w:r>
            <w:r w:rsidRPr="00C57412">
              <w:rPr>
                <w:rFonts w:cs="Times New Roman"/>
                <w:lang w:val="en-US"/>
              </w:rPr>
              <w:t xml:space="preserve"> + E</w:t>
            </w:r>
            <w:r w:rsidRPr="00C57412">
              <w:rPr>
                <w:rFonts w:cs="Times New Roman"/>
                <w:vertAlign w:val="subscript"/>
                <w:lang w:val="en-US"/>
              </w:rPr>
              <w:t>COFORMER</w:t>
            </w:r>
            <w:r w:rsidRPr="00C57412">
              <w:rPr>
                <w:rFonts w:cs="Times New Roman"/>
                <w:lang w:val="en-US"/>
              </w:rPr>
              <w:t>) [Hartree]</w:t>
            </w:r>
          </w:p>
        </w:tc>
        <w:tc>
          <w:tcPr>
            <w:tcW w:w="1559" w:type="dxa"/>
            <w:tcBorders>
              <w:bottom w:val="single" w:sz="4" w:space="0" w:color="000000" w:themeColor="text1"/>
            </w:tcBorders>
            <w:noWrap/>
            <w:hideMark/>
          </w:tcPr>
          <w:p w:rsidR="00DC3796" w:rsidRPr="00C57412" w:rsidRDefault="00DC3796" w:rsidP="00EE7530">
            <w:pPr>
              <w:spacing w:after="0" w:line="240" w:lineRule="auto"/>
              <w:ind w:right="317"/>
              <w:jc w:val="both"/>
              <w:rPr>
                <w:rFonts w:cs="Times New Roman"/>
              </w:rPr>
            </w:pPr>
            <w:r w:rsidRPr="00C57412">
              <w:rPr>
                <w:rFonts w:cs="Times New Roman"/>
              </w:rPr>
              <w:t>E</w:t>
            </w:r>
            <w:r w:rsidRPr="00C57412">
              <w:rPr>
                <w:rFonts w:cs="Times New Roman"/>
                <w:vertAlign w:val="subscript"/>
              </w:rPr>
              <w:t>COF+H2O</w:t>
            </w:r>
            <w:r w:rsidRPr="00C57412">
              <w:rPr>
                <w:rFonts w:cs="Times New Roman"/>
              </w:rPr>
              <w:t xml:space="preserve"> – (E</w:t>
            </w:r>
            <w:r w:rsidRPr="00C57412">
              <w:rPr>
                <w:rFonts w:cs="Times New Roman"/>
                <w:vertAlign w:val="subscript"/>
              </w:rPr>
              <w:t>H2O</w:t>
            </w:r>
            <w:r w:rsidRPr="00C57412">
              <w:rPr>
                <w:rFonts w:cs="Times New Roman"/>
              </w:rPr>
              <w:t xml:space="preserve"> + E</w:t>
            </w:r>
            <w:r w:rsidRPr="00C57412">
              <w:rPr>
                <w:rFonts w:cs="Times New Roman"/>
                <w:vertAlign w:val="subscript"/>
              </w:rPr>
              <w:t>COFORMER</w:t>
            </w:r>
            <w:r w:rsidRPr="00C57412">
              <w:rPr>
                <w:rFonts w:cs="Times New Roman"/>
              </w:rPr>
              <w:t>) [kJ/mol]</w:t>
            </w:r>
          </w:p>
        </w:tc>
        <w:tc>
          <w:tcPr>
            <w:tcW w:w="1843"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lang w:val="en-US"/>
              </w:rPr>
            </w:pPr>
            <w:r w:rsidRPr="00C57412">
              <w:rPr>
                <w:rFonts w:cs="Times New Roman"/>
                <w:lang w:val="en-US"/>
              </w:rPr>
              <w:t>Final E</w:t>
            </w:r>
            <w:r w:rsidRPr="00C57412">
              <w:rPr>
                <w:rFonts w:cs="Times New Roman"/>
                <w:vertAlign w:val="superscript"/>
                <w:lang w:val="en-US"/>
              </w:rPr>
              <w:t xml:space="preserve">HB_coformer </w:t>
            </w:r>
            <w:r w:rsidRPr="00C57412">
              <w:rPr>
                <w:rFonts w:cs="Times New Roman"/>
                <w:lang w:val="en-US"/>
              </w:rPr>
              <w:t>per asymmetric unit [kJ/mol]</w:t>
            </w:r>
          </w:p>
        </w:tc>
      </w:tr>
      <w:tr w:rsidR="00DC3796" w:rsidRPr="00C57412" w:rsidTr="005C4E8B">
        <w:trPr>
          <w:trHeight w:val="300"/>
        </w:trPr>
        <w:tc>
          <w:tcPr>
            <w:tcW w:w="1182"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w:t>
            </w:r>
          </w:p>
        </w:tc>
        <w:tc>
          <w:tcPr>
            <w:tcW w:w="1194" w:type="dxa"/>
            <w:tcBorders>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-459.275</w:t>
            </w:r>
          </w:p>
        </w:tc>
        <w:tc>
          <w:tcPr>
            <w:tcW w:w="1140"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-382.8123</w:t>
            </w:r>
          </w:p>
        </w:tc>
        <w:tc>
          <w:tcPr>
            <w:tcW w:w="1153"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-76.4468</w:t>
            </w:r>
          </w:p>
        </w:tc>
        <w:tc>
          <w:tcPr>
            <w:tcW w:w="1535" w:type="dxa"/>
            <w:tcBorders>
              <w:bottom w:val="nil"/>
            </w:tcBorders>
            <w:vAlign w:val="center"/>
          </w:tcPr>
          <w:p w:rsidR="00DC3796" w:rsidRPr="00C57412" w:rsidRDefault="00DC3796" w:rsidP="00DC3796">
            <w:pPr>
              <w:spacing w:after="0" w:line="240" w:lineRule="auto"/>
              <w:rPr>
                <w:rFonts w:cs="Times New Roman"/>
              </w:rPr>
            </w:pPr>
            <w:r w:rsidRPr="00C57412">
              <w:rPr>
                <w:rFonts w:cs="Times New Roman"/>
              </w:rPr>
              <w:t>-0.0158164</w:t>
            </w:r>
          </w:p>
        </w:tc>
        <w:tc>
          <w:tcPr>
            <w:tcW w:w="1559" w:type="dxa"/>
            <w:tcBorders>
              <w:bottom w:val="nil"/>
            </w:tcBorders>
            <w:noWrap/>
            <w:vAlign w:val="center"/>
            <w:hideMark/>
          </w:tcPr>
          <w:p w:rsidR="00DC3796" w:rsidRPr="00C57412" w:rsidRDefault="00DC3796" w:rsidP="00DC3796">
            <w:pPr>
              <w:spacing w:after="0" w:line="240" w:lineRule="auto"/>
              <w:rPr>
                <w:rFonts w:cs="Times New Roman"/>
                <w:color w:val="000000"/>
              </w:rPr>
            </w:pPr>
            <w:r w:rsidRPr="00C57412">
              <w:rPr>
                <w:rFonts w:cs="Times New Roman"/>
                <w:color w:val="000000"/>
              </w:rPr>
              <w:t>-41.526</w:t>
            </w:r>
          </w:p>
        </w:tc>
        <w:tc>
          <w:tcPr>
            <w:tcW w:w="1843"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-21</w:t>
            </w:r>
          </w:p>
        </w:tc>
      </w:tr>
      <w:tr w:rsidR="00DC3796" w:rsidRPr="00C57412" w:rsidTr="005C4E8B">
        <w:trPr>
          <w:trHeight w:val="300"/>
        </w:trPr>
        <w:tc>
          <w:tcPr>
            <w:tcW w:w="118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w:t>
            </w:r>
          </w:p>
        </w:tc>
        <w:tc>
          <w:tcPr>
            <w:tcW w:w="1194"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-302.7482</w:t>
            </w:r>
          </w:p>
        </w:tc>
        <w:tc>
          <w:tcPr>
            <w:tcW w:w="114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-226.2863</w:t>
            </w:r>
          </w:p>
        </w:tc>
        <w:tc>
          <w:tcPr>
            <w:tcW w:w="1153"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-76.4472</w:t>
            </w:r>
          </w:p>
        </w:tc>
        <w:tc>
          <w:tcPr>
            <w:tcW w:w="1535" w:type="dxa"/>
            <w:tcBorders>
              <w:top w:val="nil"/>
              <w:bottom w:val="nil"/>
            </w:tcBorders>
            <w:vAlign w:val="center"/>
          </w:tcPr>
          <w:p w:rsidR="00DC3796" w:rsidRPr="00C57412" w:rsidRDefault="00DC3796" w:rsidP="00DC3796">
            <w:pPr>
              <w:spacing w:after="0" w:line="240" w:lineRule="auto"/>
              <w:rPr>
                <w:rFonts w:cs="Times New Roman"/>
              </w:rPr>
            </w:pPr>
            <w:r w:rsidRPr="00C57412">
              <w:rPr>
                <w:rFonts w:cs="Times New Roman"/>
              </w:rPr>
              <w:t>-0.014673</w:t>
            </w:r>
          </w:p>
        </w:tc>
        <w:tc>
          <w:tcPr>
            <w:tcW w:w="1559" w:type="dxa"/>
            <w:tcBorders>
              <w:top w:val="nil"/>
              <w:bottom w:val="nil"/>
            </w:tcBorders>
            <w:noWrap/>
            <w:vAlign w:val="center"/>
            <w:hideMark/>
          </w:tcPr>
          <w:p w:rsidR="00DC3796" w:rsidRPr="00C57412" w:rsidRDefault="00DC3796" w:rsidP="00DC3796">
            <w:pPr>
              <w:spacing w:after="0" w:line="240" w:lineRule="auto"/>
              <w:rPr>
                <w:rFonts w:cs="Times New Roman"/>
                <w:color w:val="000000"/>
              </w:rPr>
            </w:pPr>
            <w:r w:rsidRPr="00C57412">
              <w:rPr>
                <w:rFonts w:cs="Times New Roman"/>
                <w:color w:val="000000"/>
              </w:rPr>
              <w:t>-38.524</w:t>
            </w:r>
          </w:p>
        </w:tc>
        <w:tc>
          <w:tcPr>
            <w:tcW w:w="1843"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-19</w:t>
            </w:r>
          </w:p>
        </w:tc>
      </w:tr>
      <w:tr w:rsidR="00DC3796" w:rsidRPr="00C57412" w:rsidTr="005C4E8B">
        <w:trPr>
          <w:trHeight w:val="300"/>
        </w:trPr>
        <w:tc>
          <w:tcPr>
            <w:tcW w:w="1182"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w:t>
            </w:r>
          </w:p>
        </w:tc>
        <w:tc>
          <w:tcPr>
            <w:tcW w:w="1194" w:type="dxa"/>
            <w:tcBorders>
              <w:top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-459.2805</w:t>
            </w:r>
          </w:p>
        </w:tc>
        <w:tc>
          <w:tcPr>
            <w:tcW w:w="1140"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-382.8156</w:t>
            </w:r>
          </w:p>
        </w:tc>
        <w:tc>
          <w:tcPr>
            <w:tcW w:w="1153"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-76.447</w:t>
            </w:r>
          </w:p>
        </w:tc>
        <w:tc>
          <w:tcPr>
            <w:tcW w:w="1535" w:type="dxa"/>
            <w:tcBorders>
              <w:top w:val="nil"/>
            </w:tcBorders>
            <w:vAlign w:val="center"/>
          </w:tcPr>
          <w:p w:rsidR="00DC3796" w:rsidRPr="00C57412" w:rsidRDefault="00DC3796" w:rsidP="00DC3796">
            <w:pPr>
              <w:spacing w:after="0" w:line="240" w:lineRule="auto"/>
              <w:rPr>
                <w:rFonts w:cs="Times New Roman"/>
              </w:rPr>
            </w:pPr>
            <w:r w:rsidRPr="00C57412">
              <w:rPr>
                <w:rFonts w:cs="Times New Roman"/>
              </w:rPr>
              <w:t>-0.017832</w:t>
            </w:r>
          </w:p>
        </w:tc>
        <w:tc>
          <w:tcPr>
            <w:tcW w:w="1559" w:type="dxa"/>
            <w:tcBorders>
              <w:top w:val="nil"/>
            </w:tcBorders>
            <w:noWrap/>
            <w:vAlign w:val="center"/>
            <w:hideMark/>
          </w:tcPr>
          <w:p w:rsidR="00DC3796" w:rsidRPr="00C57412" w:rsidRDefault="00DC3796" w:rsidP="00DC3796">
            <w:pPr>
              <w:spacing w:after="0" w:line="240" w:lineRule="auto"/>
              <w:rPr>
                <w:rFonts w:cs="Times New Roman"/>
                <w:color w:val="000000"/>
              </w:rPr>
            </w:pPr>
            <w:r w:rsidRPr="00C57412">
              <w:rPr>
                <w:rFonts w:cs="Times New Roman"/>
                <w:color w:val="000000"/>
              </w:rPr>
              <w:t>-46.818</w:t>
            </w:r>
          </w:p>
        </w:tc>
        <w:tc>
          <w:tcPr>
            <w:tcW w:w="1843"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-23</w:t>
            </w:r>
          </w:p>
        </w:tc>
      </w:tr>
    </w:tbl>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asciiTheme="minorHAnsi" w:hAnsiTheme="minorHAnsi"/>
          <w:sz w:val="22"/>
          <w:lang w:val="en-US"/>
        </w:rPr>
      </w:pPr>
      <w:r w:rsidRPr="00C57412">
        <w:rPr>
          <w:rFonts w:asciiTheme="minorHAnsi" w:hAnsiTheme="minorHAnsi"/>
          <w:noProof/>
          <w:sz w:val="22"/>
          <w:lang w:eastAsia="pl-PL"/>
        </w:rPr>
        <w:lastRenderedPageBreak/>
        <w:drawing>
          <wp:inline distT="0" distB="0" distL="0" distR="0">
            <wp:extent cx="5267325" cy="6019800"/>
            <wp:effectExtent l="19050" t="0" r="9525" b="0"/>
            <wp:docPr id="15" name="Obraz 3" descr="C:\Users\Marta\Desktop\apr_paper2\Figure_S4_pi_pi_clus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apr_paper2\Figure_S4_pi_pi_clusters.tif"/>
                    <pic:cNvPicPr>
                      <a:picLocks noChangeAspect="1" noChangeArrowheads="1"/>
                    </pic:cNvPicPr>
                  </pic:nvPicPr>
                  <pic:blipFill>
                    <a:blip r:embed="rId21" cstate="print"/>
                    <a:srcRect/>
                    <a:stretch>
                      <a:fillRect/>
                    </a:stretch>
                  </pic:blipFill>
                  <pic:spPr bwMode="auto">
                    <a:xfrm>
                      <a:off x="0" y="0"/>
                      <a:ext cx="5267325" cy="6019800"/>
                    </a:xfrm>
                    <a:prstGeom prst="rect">
                      <a:avLst/>
                    </a:prstGeom>
                    <a:noFill/>
                    <a:ln w="9525">
                      <a:noFill/>
                      <a:miter lim="800000"/>
                      <a:headEnd/>
                      <a:tailEnd/>
                    </a:ln>
                  </pic:spPr>
                </pic:pic>
              </a:graphicData>
            </a:graphic>
          </wp:inline>
        </w:drawing>
      </w:r>
    </w:p>
    <w:p w:rsidR="00DC3796" w:rsidRPr="00C57412" w:rsidRDefault="00DC3796" w:rsidP="00DC3796">
      <w:pPr>
        <w:spacing w:after="0" w:line="240" w:lineRule="auto"/>
        <w:jc w:val="both"/>
        <w:rPr>
          <w:rFonts w:asciiTheme="minorHAnsi" w:hAnsiTheme="minorHAnsi"/>
          <w:sz w:val="22"/>
          <w:lang w:val="en-US"/>
        </w:rPr>
      </w:pPr>
    </w:p>
    <w:p w:rsidR="00DC3796" w:rsidRPr="00C57412" w:rsidRDefault="00DC3796" w:rsidP="00DC3796">
      <w:pPr>
        <w:spacing w:after="0" w:line="240" w:lineRule="auto"/>
        <w:jc w:val="both"/>
        <w:rPr>
          <w:rFonts w:cs="Times New Roman"/>
          <w:sz w:val="22"/>
          <w:lang w:val="en-US"/>
        </w:rPr>
      </w:pPr>
      <w:r w:rsidRPr="00C57412">
        <w:rPr>
          <w:rFonts w:cs="Times New Roman"/>
          <w:b/>
          <w:sz w:val="22"/>
          <w:lang w:val="en-US"/>
        </w:rPr>
        <w:t>Figure S5.</w:t>
      </w:r>
      <w:r w:rsidRPr="00C57412">
        <w:rPr>
          <w:rFonts w:cs="Times New Roman"/>
          <w:sz w:val="22"/>
          <w:lang w:val="en-US"/>
        </w:rPr>
        <w:t xml:space="preserve"> Clusters for the calculations of contribution of aromatic – aromatic interactions between APR and a coformer to the intermolecular energy of cocrystals and corresponding ‘empty’ pockets formed by APR molecules: a) APR:RES, b) APR:PIC, c) APR:IMI, d) APR:HQU.</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line="240" w:lineRule="auto"/>
        <w:jc w:val="both"/>
        <w:rPr>
          <w:rFonts w:cs="Times New Roman"/>
          <w:sz w:val="22"/>
          <w:lang w:val="en-US"/>
        </w:rPr>
      </w:pPr>
      <w:r w:rsidRPr="00C57412">
        <w:rPr>
          <w:rFonts w:cs="Times New Roman"/>
          <w:b/>
          <w:sz w:val="22"/>
          <w:lang w:val="en-US"/>
        </w:rPr>
        <w:t>Table S6.</w:t>
      </w:r>
      <w:r w:rsidRPr="00C57412">
        <w:rPr>
          <w:rFonts w:cs="Times New Roman"/>
          <w:sz w:val="22"/>
          <w:lang w:val="en-US"/>
        </w:rPr>
        <w:t xml:space="preserve"> Data for the calculations of contribution of aromatic – aromatic interactions between APR and a coformer to the intermolecular energy of cocrystals and corresponding ‘empty’ pockets formed by APR molecules. In each case two possible positions of a coformer was regarded (referred to as a and b).</w:t>
      </w:r>
    </w:p>
    <w:tbl>
      <w:tblPr>
        <w:tblStyle w:val="Tabela-Siatka1"/>
        <w:tblW w:w="9606" w:type="dxa"/>
        <w:tblBorders>
          <w:left w:val="none" w:sz="0" w:space="0" w:color="auto"/>
          <w:right w:val="none" w:sz="0" w:space="0" w:color="auto"/>
          <w:insideV w:val="none" w:sz="0" w:space="0" w:color="auto"/>
        </w:tblBorders>
        <w:tblLook w:val="04A0"/>
      </w:tblPr>
      <w:tblGrid>
        <w:gridCol w:w="1292"/>
        <w:gridCol w:w="1396"/>
        <w:gridCol w:w="1168"/>
        <w:gridCol w:w="1070"/>
        <w:gridCol w:w="1396"/>
        <w:gridCol w:w="1710"/>
        <w:gridCol w:w="1834"/>
      </w:tblGrid>
      <w:tr w:rsidR="00DC3796" w:rsidRPr="00C57412" w:rsidTr="00FB2DF2">
        <w:trPr>
          <w:trHeight w:val="300"/>
        </w:trPr>
        <w:tc>
          <w:tcPr>
            <w:tcW w:w="1178" w:type="dxa"/>
            <w:noWrap/>
            <w:hideMark/>
          </w:tcPr>
          <w:p w:rsidR="00DC3796" w:rsidRPr="00C57412" w:rsidRDefault="00DC3796" w:rsidP="00DC3796">
            <w:pPr>
              <w:spacing w:after="0" w:line="240" w:lineRule="auto"/>
              <w:jc w:val="both"/>
              <w:rPr>
                <w:rFonts w:cs="Times New Roman"/>
                <w:lang w:val="en-US"/>
              </w:rPr>
            </w:pPr>
          </w:p>
        </w:tc>
        <w:tc>
          <w:tcPr>
            <w:tcW w:w="4884" w:type="dxa"/>
            <w:gridSpan w:val="4"/>
            <w:noWrap/>
            <w:hideMark/>
          </w:tcPr>
          <w:p w:rsidR="00DC3796" w:rsidRPr="00C57412" w:rsidRDefault="00DC3796" w:rsidP="00DC3796">
            <w:pPr>
              <w:spacing w:after="0" w:line="240" w:lineRule="auto"/>
              <w:jc w:val="both"/>
              <w:rPr>
                <w:rFonts w:cs="Times New Roman"/>
              </w:rPr>
            </w:pPr>
            <w:r w:rsidRPr="00C57412">
              <w:rPr>
                <w:rFonts w:cs="Times New Roman"/>
              </w:rPr>
              <w:t>E in [Hartree]</w:t>
            </w:r>
          </w:p>
        </w:tc>
        <w:tc>
          <w:tcPr>
            <w:tcW w:w="3544" w:type="dxa"/>
            <w:gridSpan w:val="2"/>
            <w:noWrap/>
            <w:hideMark/>
          </w:tcPr>
          <w:p w:rsidR="00DC3796" w:rsidRPr="00C57412" w:rsidRDefault="00DC3796" w:rsidP="00DC3796">
            <w:pPr>
              <w:spacing w:after="0" w:line="240" w:lineRule="auto"/>
              <w:jc w:val="both"/>
              <w:rPr>
                <w:rFonts w:cs="Times New Roman"/>
              </w:rPr>
            </w:pPr>
            <w:r w:rsidRPr="00C57412">
              <w:rPr>
                <w:rFonts w:cs="Times New Roman"/>
              </w:rPr>
              <w:t>E in [kJ/mol]</w:t>
            </w:r>
          </w:p>
        </w:tc>
      </w:tr>
      <w:tr w:rsidR="00DC3796" w:rsidRPr="009C7891" w:rsidTr="00FB2DF2">
        <w:trPr>
          <w:trHeight w:val="300"/>
        </w:trPr>
        <w:tc>
          <w:tcPr>
            <w:tcW w:w="1178"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p>
        </w:tc>
        <w:tc>
          <w:tcPr>
            <w:tcW w:w="1252"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vertAlign w:val="superscript"/>
              </w:rPr>
            </w:pPr>
            <w:r w:rsidRPr="00C57412">
              <w:rPr>
                <w:rFonts w:cs="Times New Roman"/>
              </w:rPr>
              <w:t>E</w:t>
            </w:r>
            <w:r w:rsidRPr="00C57412">
              <w:rPr>
                <w:rFonts w:cs="Times New Roman"/>
                <w:vertAlign w:val="subscript"/>
              </w:rPr>
              <w:t>2APR+COF+H2O</w:t>
            </w:r>
          </w:p>
        </w:tc>
        <w:tc>
          <w:tcPr>
            <w:tcW w:w="1144"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rPr>
              <w:t>E</w:t>
            </w:r>
            <w:r w:rsidRPr="00C57412">
              <w:rPr>
                <w:rFonts w:cs="Times New Roman"/>
                <w:vertAlign w:val="subscript"/>
              </w:rPr>
              <w:t>APR_EMPTY</w:t>
            </w:r>
          </w:p>
        </w:tc>
        <w:tc>
          <w:tcPr>
            <w:tcW w:w="1070"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rPr>
            </w:pPr>
            <w:r w:rsidRPr="00C57412">
              <w:rPr>
                <w:rFonts w:cs="Times New Roman"/>
                <w:lang w:val="en-US"/>
              </w:rPr>
              <w:t>E</w:t>
            </w:r>
            <w:r w:rsidRPr="00C57412">
              <w:rPr>
                <w:rFonts w:cs="Times New Roman"/>
                <w:vertAlign w:val="subscript"/>
                <w:lang w:val="en-US"/>
              </w:rPr>
              <w:t>COF+H2O</w:t>
            </w:r>
          </w:p>
        </w:tc>
        <w:tc>
          <w:tcPr>
            <w:tcW w:w="1418" w:type="dxa"/>
            <w:tcBorders>
              <w:bottom w:val="single" w:sz="4" w:space="0" w:color="000000" w:themeColor="text1"/>
            </w:tcBorders>
          </w:tcPr>
          <w:p w:rsidR="00DC3796" w:rsidRPr="00C57412" w:rsidRDefault="00DC3796" w:rsidP="00DC3796">
            <w:pPr>
              <w:spacing w:after="0" w:line="240" w:lineRule="auto"/>
              <w:jc w:val="both"/>
              <w:rPr>
                <w:rFonts w:cs="Times New Roman"/>
                <w:lang w:val="en-US"/>
              </w:rPr>
            </w:pPr>
            <w:r w:rsidRPr="00C57412">
              <w:rPr>
                <w:rFonts w:cs="Times New Roman"/>
                <w:lang w:val="en-US"/>
              </w:rPr>
              <w:t>E</w:t>
            </w:r>
            <w:r w:rsidRPr="00C57412">
              <w:rPr>
                <w:rFonts w:cs="Times New Roman"/>
                <w:vertAlign w:val="subscript"/>
                <w:lang w:val="en-US"/>
              </w:rPr>
              <w:t>2APR+COF+H2O</w:t>
            </w:r>
            <w:r w:rsidRPr="00C57412">
              <w:rPr>
                <w:rFonts w:cs="Times New Roman"/>
                <w:lang w:val="en-US"/>
              </w:rPr>
              <w:t xml:space="preserve"> – (E</w:t>
            </w:r>
            <w:r w:rsidRPr="00C57412">
              <w:rPr>
                <w:rFonts w:cs="Times New Roman"/>
                <w:vertAlign w:val="subscript"/>
                <w:lang w:val="en-US"/>
              </w:rPr>
              <w:t>APR_EMPTY</w:t>
            </w:r>
            <w:r w:rsidRPr="00C57412">
              <w:rPr>
                <w:rFonts w:cs="Times New Roman"/>
                <w:lang w:val="en-US"/>
              </w:rPr>
              <w:t xml:space="preserve"> + E</w:t>
            </w:r>
            <w:r w:rsidRPr="00C57412">
              <w:rPr>
                <w:rFonts w:cs="Times New Roman"/>
                <w:vertAlign w:val="subscript"/>
                <w:lang w:val="en-US"/>
              </w:rPr>
              <w:t>COF+H2O</w:t>
            </w:r>
            <w:r w:rsidRPr="00C57412">
              <w:rPr>
                <w:rFonts w:cs="Times New Roman"/>
                <w:lang w:val="en-US"/>
              </w:rPr>
              <w:t>)</w:t>
            </w:r>
          </w:p>
        </w:tc>
        <w:tc>
          <w:tcPr>
            <w:tcW w:w="1710" w:type="dxa"/>
            <w:tcBorders>
              <w:bottom w:val="single" w:sz="4" w:space="0" w:color="000000" w:themeColor="text1"/>
            </w:tcBorders>
            <w:noWrap/>
            <w:hideMark/>
          </w:tcPr>
          <w:p w:rsidR="00DC3796" w:rsidRPr="00C57412" w:rsidRDefault="00DC3796" w:rsidP="00EE7530">
            <w:pPr>
              <w:spacing w:after="0" w:line="240" w:lineRule="auto"/>
              <w:ind w:right="161"/>
              <w:jc w:val="both"/>
              <w:rPr>
                <w:rFonts w:cs="Times New Roman"/>
                <w:lang w:val="en-US"/>
              </w:rPr>
            </w:pPr>
            <w:r w:rsidRPr="00C57412">
              <w:rPr>
                <w:rFonts w:cs="Times New Roman"/>
                <w:lang w:val="en-US"/>
              </w:rPr>
              <w:t>E</w:t>
            </w:r>
            <w:r w:rsidRPr="00C57412">
              <w:rPr>
                <w:rFonts w:cs="Times New Roman"/>
                <w:vertAlign w:val="subscript"/>
                <w:lang w:val="en-US"/>
              </w:rPr>
              <w:t>2APR+COF+H2O</w:t>
            </w:r>
            <w:r w:rsidRPr="00C57412">
              <w:rPr>
                <w:rFonts w:cs="Times New Roman"/>
                <w:lang w:val="en-US"/>
              </w:rPr>
              <w:t xml:space="preserve"> – (E</w:t>
            </w:r>
            <w:r w:rsidRPr="00C57412">
              <w:rPr>
                <w:rFonts w:cs="Times New Roman"/>
                <w:vertAlign w:val="subscript"/>
                <w:lang w:val="en-US"/>
              </w:rPr>
              <w:t>APR_EMPTY</w:t>
            </w:r>
            <w:r w:rsidRPr="00C57412">
              <w:rPr>
                <w:rFonts w:cs="Times New Roman"/>
                <w:lang w:val="en-US"/>
              </w:rPr>
              <w:t xml:space="preserve"> + E</w:t>
            </w:r>
            <w:r w:rsidRPr="00C57412">
              <w:rPr>
                <w:rFonts w:cs="Times New Roman"/>
                <w:vertAlign w:val="subscript"/>
                <w:lang w:val="en-US"/>
              </w:rPr>
              <w:t>COF+H2O</w:t>
            </w:r>
            <w:r w:rsidRPr="00C57412">
              <w:rPr>
                <w:rFonts w:cs="Times New Roman"/>
                <w:lang w:val="en-US"/>
              </w:rPr>
              <w:t>)</w:t>
            </w:r>
          </w:p>
        </w:tc>
        <w:tc>
          <w:tcPr>
            <w:tcW w:w="1834" w:type="dxa"/>
            <w:tcBorders>
              <w:bottom w:val="single" w:sz="4" w:space="0" w:color="000000" w:themeColor="text1"/>
            </w:tcBorders>
            <w:noWrap/>
            <w:hideMark/>
          </w:tcPr>
          <w:p w:rsidR="00DC3796" w:rsidRPr="00C57412" w:rsidRDefault="00DC3796" w:rsidP="00DC3796">
            <w:pPr>
              <w:spacing w:after="0" w:line="240" w:lineRule="auto"/>
              <w:jc w:val="both"/>
              <w:rPr>
                <w:rFonts w:cs="Times New Roman"/>
                <w:lang w:val="en-US"/>
              </w:rPr>
            </w:pPr>
            <w:r w:rsidRPr="00C57412">
              <w:rPr>
                <w:rFonts w:cs="Times New Roman"/>
                <w:lang w:val="en-US"/>
              </w:rPr>
              <w:t>Final E</w:t>
            </w:r>
            <w:r w:rsidRPr="00C57412">
              <w:rPr>
                <w:rFonts w:cs="Times New Roman"/>
                <w:vertAlign w:val="superscript"/>
                <w:lang w:val="en-US"/>
              </w:rPr>
              <w:t xml:space="preserve">Ar-Ar </w:t>
            </w:r>
            <w:r w:rsidRPr="00C57412">
              <w:rPr>
                <w:rFonts w:cs="Times New Roman"/>
                <w:lang w:val="en-US"/>
              </w:rPr>
              <w:t>per asymmetric unit</w:t>
            </w:r>
          </w:p>
        </w:tc>
      </w:tr>
      <w:tr w:rsidR="00DC3796" w:rsidRPr="00C57412" w:rsidTr="00FB2DF2">
        <w:trPr>
          <w:trHeight w:val="300"/>
        </w:trPr>
        <w:tc>
          <w:tcPr>
            <w:tcW w:w="1178"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APR:RESa</w:t>
            </w:r>
          </w:p>
        </w:tc>
        <w:tc>
          <w:tcPr>
            <w:tcW w:w="1252"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-4234.475</w:t>
            </w:r>
          </w:p>
        </w:tc>
        <w:tc>
          <w:tcPr>
            <w:tcW w:w="1144"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-3775.15</w:t>
            </w:r>
          </w:p>
        </w:tc>
        <w:tc>
          <w:tcPr>
            <w:tcW w:w="1070"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-459.280</w:t>
            </w:r>
          </w:p>
        </w:tc>
        <w:tc>
          <w:tcPr>
            <w:tcW w:w="1418" w:type="dxa"/>
            <w:tcBorders>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-0.04733</w:t>
            </w:r>
          </w:p>
        </w:tc>
        <w:tc>
          <w:tcPr>
            <w:tcW w:w="1710"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-124.3</w:t>
            </w:r>
          </w:p>
        </w:tc>
        <w:tc>
          <w:tcPr>
            <w:tcW w:w="1834"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-62</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APR:RESb</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-4234.475</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-3775.15</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-459.281</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-0.04739</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-124.4</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-62</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lastRenderedPageBreak/>
              <w:t>APR:PICa</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-4192.317</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-3775.15</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-417.133</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-0.03748</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-98.4</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-49</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APR:PICb</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-4192.316</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-3775.14</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-417.133</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-0.03727</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-97.8</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-49</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APR:IMIa</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-4077.931</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-3775.15</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-302.748</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-0.03649</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-95.8</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-48</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APR:IMIb</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-4077.93</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-3775.15</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-302.748</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-0.03642</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-95.6</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-48</w:t>
            </w:r>
          </w:p>
        </w:tc>
      </w:tr>
      <w:tr w:rsidR="00DC3796" w:rsidRPr="00C57412" w:rsidTr="00FB2DF2">
        <w:trPr>
          <w:trHeight w:val="300"/>
        </w:trPr>
        <w:tc>
          <w:tcPr>
            <w:tcW w:w="117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APR:HQUa</w:t>
            </w:r>
          </w:p>
        </w:tc>
        <w:tc>
          <w:tcPr>
            <w:tcW w:w="125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-4234.464</w:t>
            </w:r>
          </w:p>
        </w:tc>
        <w:tc>
          <w:tcPr>
            <w:tcW w:w="114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-3775.14</w:t>
            </w:r>
          </w:p>
        </w:tc>
        <w:tc>
          <w:tcPr>
            <w:tcW w:w="107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-459.275</w:t>
            </w:r>
          </w:p>
        </w:tc>
        <w:tc>
          <w:tcPr>
            <w:tcW w:w="1418" w:type="dxa"/>
            <w:tcBorders>
              <w:top w:val="nil"/>
              <w:bottom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-0.04435</w:t>
            </w:r>
          </w:p>
        </w:tc>
        <w:tc>
          <w:tcPr>
            <w:tcW w:w="171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-116.5</w:t>
            </w:r>
          </w:p>
        </w:tc>
        <w:tc>
          <w:tcPr>
            <w:tcW w:w="1834"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-58</w:t>
            </w:r>
          </w:p>
        </w:tc>
      </w:tr>
      <w:tr w:rsidR="00DC3796" w:rsidRPr="00C57412" w:rsidTr="00FB2DF2">
        <w:trPr>
          <w:trHeight w:val="300"/>
        </w:trPr>
        <w:tc>
          <w:tcPr>
            <w:tcW w:w="1178"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APR:HQUb</w:t>
            </w:r>
          </w:p>
        </w:tc>
        <w:tc>
          <w:tcPr>
            <w:tcW w:w="1252"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-4234.464</w:t>
            </w:r>
          </w:p>
        </w:tc>
        <w:tc>
          <w:tcPr>
            <w:tcW w:w="1144"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-3775.14</w:t>
            </w:r>
          </w:p>
        </w:tc>
        <w:tc>
          <w:tcPr>
            <w:tcW w:w="1070"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-459.275</w:t>
            </w:r>
          </w:p>
        </w:tc>
        <w:tc>
          <w:tcPr>
            <w:tcW w:w="1418" w:type="dxa"/>
            <w:tcBorders>
              <w:top w:val="nil"/>
            </w:tcBorders>
            <w:vAlign w:val="center"/>
          </w:tcPr>
          <w:p w:rsidR="00DC3796" w:rsidRPr="00C57412" w:rsidRDefault="00DC3796" w:rsidP="00DC3796">
            <w:pPr>
              <w:spacing w:after="0" w:line="240" w:lineRule="auto"/>
              <w:rPr>
                <w:rFonts w:cs="Times New Roman"/>
                <w:color w:val="000000"/>
              </w:rPr>
            </w:pPr>
            <w:r w:rsidRPr="00C57412">
              <w:rPr>
                <w:rFonts w:cs="Times New Roman"/>
                <w:color w:val="000000"/>
              </w:rPr>
              <w:t>-0.04438</w:t>
            </w:r>
          </w:p>
        </w:tc>
        <w:tc>
          <w:tcPr>
            <w:tcW w:w="1710"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-116.5</w:t>
            </w:r>
          </w:p>
        </w:tc>
        <w:tc>
          <w:tcPr>
            <w:tcW w:w="1834"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-58</w:t>
            </w:r>
          </w:p>
        </w:tc>
      </w:tr>
    </w:tbl>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after="0" w:line="240" w:lineRule="auto"/>
        <w:jc w:val="both"/>
        <w:rPr>
          <w:rFonts w:cs="Times New Roman"/>
          <w:b/>
          <w:szCs w:val="24"/>
          <w:lang w:val="en-US"/>
        </w:rPr>
      </w:pPr>
      <w:r w:rsidRPr="00C57412">
        <w:rPr>
          <w:rFonts w:cs="Times New Roman"/>
          <w:b/>
          <w:szCs w:val="24"/>
          <w:lang w:val="en-US"/>
        </w:rPr>
        <w:t>Data for calculation of energy contributions to the cocrystals formation (CASTEP calculations)</w:t>
      </w:r>
    </w:p>
    <w:p w:rsidR="00DC3796" w:rsidRPr="00C57412" w:rsidRDefault="00DC3796" w:rsidP="00DC3796">
      <w:pPr>
        <w:spacing w:after="0" w:line="240" w:lineRule="auto"/>
        <w:jc w:val="both"/>
        <w:rPr>
          <w:rFonts w:cs="Times New Roman"/>
          <w:sz w:val="22"/>
          <w:lang w:val="en-US"/>
        </w:rPr>
      </w:pPr>
    </w:p>
    <w:p w:rsidR="00DC3796" w:rsidRPr="00C57412" w:rsidRDefault="00DC3796" w:rsidP="00DC3796">
      <w:pPr>
        <w:spacing w:line="240" w:lineRule="auto"/>
        <w:jc w:val="both"/>
        <w:rPr>
          <w:rFonts w:cs="Times New Roman"/>
          <w:b/>
          <w:sz w:val="22"/>
          <w:lang w:val="en-US"/>
        </w:rPr>
      </w:pPr>
      <w:r w:rsidRPr="00C57412">
        <w:rPr>
          <w:rFonts w:cs="Times New Roman"/>
          <w:b/>
          <w:sz w:val="22"/>
          <w:lang w:val="en-US"/>
        </w:rPr>
        <w:t>Table S6.</w:t>
      </w:r>
      <w:r w:rsidRPr="00C57412">
        <w:rPr>
          <w:rFonts w:cs="Times New Roman"/>
          <w:sz w:val="22"/>
          <w:lang w:val="en-US"/>
        </w:rPr>
        <w:t xml:space="preserve"> Data for calculations of stabilization energies of the cocrystals (in eV). In each case two possible positions of a coformer was regarded (referred to as a and b).</w:t>
      </w:r>
    </w:p>
    <w:tbl>
      <w:tblPr>
        <w:tblStyle w:val="Tabela-Siatka1"/>
        <w:tblW w:w="9322" w:type="dxa"/>
        <w:tblBorders>
          <w:left w:val="none" w:sz="0" w:space="0" w:color="auto"/>
          <w:right w:val="none" w:sz="0" w:space="0" w:color="auto"/>
          <w:insideV w:val="none" w:sz="0" w:space="0" w:color="auto"/>
        </w:tblBorders>
        <w:tblLook w:val="04A0"/>
      </w:tblPr>
      <w:tblGrid>
        <w:gridCol w:w="1292"/>
        <w:gridCol w:w="1279"/>
        <w:gridCol w:w="1042"/>
        <w:gridCol w:w="1077"/>
        <w:gridCol w:w="1001"/>
        <w:gridCol w:w="1560"/>
        <w:gridCol w:w="2268"/>
      </w:tblGrid>
      <w:tr w:rsidR="00DC3796" w:rsidRPr="009C7891" w:rsidTr="00FB2DF2">
        <w:trPr>
          <w:trHeight w:val="300"/>
        </w:trPr>
        <w:tc>
          <w:tcPr>
            <w:tcW w:w="1095"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lang w:val="en-US"/>
              </w:rPr>
            </w:pPr>
          </w:p>
        </w:tc>
        <w:tc>
          <w:tcPr>
            <w:tcW w:w="1279"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rPr>
            </w:pPr>
            <w:r w:rsidRPr="00C57412">
              <w:rPr>
                <w:rFonts w:cs="Times New Roman"/>
              </w:rPr>
              <w:t>E</w:t>
            </w:r>
            <w:r w:rsidRPr="00C57412">
              <w:rPr>
                <w:rFonts w:cs="Times New Roman"/>
                <w:vertAlign w:val="subscript"/>
              </w:rPr>
              <w:t>COCR</w:t>
            </w:r>
          </w:p>
        </w:tc>
        <w:tc>
          <w:tcPr>
            <w:tcW w:w="1042"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rPr>
            </w:pPr>
            <w:r w:rsidRPr="00C57412">
              <w:rPr>
                <w:rFonts w:cs="Times New Roman"/>
              </w:rPr>
              <w:t>E</w:t>
            </w:r>
            <w:r w:rsidRPr="00C57412">
              <w:rPr>
                <w:rFonts w:cs="Times New Roman"/>
                <w:vertAlign w:val="subscript"/>
              </w:rPr>
              <w:t>APR_B</w:t>
            </w:r>
          </w:p>
        </w:tc>
        <w:tc>
          <w:tcPr>
            <w:tcW w:w="1077"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rPr>
            </w:pPr>
            <w:r w:rsidRPr="00C57412">
              <w:rPr>
                <w:rFonts w:cs="Times New Roman"/>
              </w:rPr>
              <w:t>E</w:t>
            </w:r>
            <w:r w:rsidRPr="00C57412">
              <w:rPr>
                <w:rFonts w:cs="Times New Roman"/>
                <w:vertAlign w:val="subscript"/>
              </w:rPr>
              <w:t>COF</w:t>
            </w:r>
          </w:p>
        </w:tc>
        <w:tc>
          <w:tcPr>
            <w:tcW w:w="1001"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rPr>
            </w:pPr>
            <w:r w:rsidRPr="00C57412">
              <w:rPr>
                <w:rFonts w:cs="Times New Roman"/>
              </w:rPr>
              <w:t>E</w:t>
            </w:r>
            <w:r w:rsidRPr="00C57412">
              <w:rPr>
                <w:rFonts w:cs="Times New Roman"/>
                <w:vertAlign w:val="subscript"/>
              </w:rPr>
              <w:t>H2O</w:t>
            </w:r>
          </w:p>
        </w:tc>
        <w:tc>
          <w:tcPr>
            <w:tcW w:w="1560"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rPr>
            </w:pPr>
            <w:r w:rsidRPr="00C57412">
              <w:rPr>
                <w:rFonts w:cs="Times New Roman"/>
              </w:rPr>
              <w:t>E</w:t>
            </w:r>
            <w:r w:rsidRPr="00C57412">
              <w:rPr>
                <w:rFonts w:cs="Times New Roman"/>
                <w:vertAlign w:val="subscript"/>
              </w:rPr>
              <w:t xml:space="preserve">APR_B </w:t>
            </w:r>
            <w:r w:rsidRPr="00C57412">
              <w:rPr>
                <w:rFonts w:cs="Times New Roman"/>
              </w:rPr>
              <w:t>+ 0.5E</w:t>
            </w:r>
            <w:r w:rsidRPr="00C57412">
              <w:rPr>
                <w:rFonts w:cs="Times New Roman"/>
                <w:vertAlign w:val="subscript"/>
              </w:rPr>
              <w:t xml:space="preserve">COF </w:t>
            </w:r>
            <w:r w:rsidRPr="00C57412">
              <w:rPr>
                <w:rFonts w:cs="Times New Roman"/>
              </w:rPr>
              <w:t>+ 0.5 E</w:t>
            </w:r>
            <w:r w:rsidRPr="00C57412">
              <w:rPr>
                <w:rFonts w:cs="Times New Roman"/>
                <w:vertAlign w:val="subscript"/>
              </w:rPr>
              <w:t>H2O</w:t>
            </w:r>
          </w:p>
        </w:tc>
        <w:tc>
          <w:tcPr>
            <w:tcW w:w="2268" w:type="dxa"/>
            <w:tcBorders>
              <w:bottom w:val="single" w:sz="4" w:space="0" w:color="000000" w:themeColor="text1"/>
            </w:tcBorders>
            <w:noWrap/>
            <w:vAlign w:val="center"/>
            <w:hideMark/>
          </w:tcPr>
          <w:p w:rsidR="00DC3796" w:rsidRPr="00C57412" w:rsidRDefault="00DC3796" w:rsidP="00DC3796">
            <w:pPr>
              <w:spacing w:after="0" w:line="240" w:lineRule="auto"/>
              <w:rPr>
                <w:rFonts w:cs="Times New Roman"/>
                <w:lang w:val="en-US"/>
              </w:rPr>
            </w:pPr>
            <w:r w:rsidRPr="00C57412">
              <w:rPr>
                <w:rFonts w:cs="Times New Roman"/>
                <w:lang w:val="en-US"/>
              </w:rPr>
              <w:t>E</w:t>
            </w:r>
            <w:r w:rsidRPr="00C57412">
              <w:rPr>
                <w:rFonts w:cs="Times New Roman"/>
                <w:vertAlign w:val="subscript"/>
                <w:lang w:val="en-US"/>
              </w:rPr>
              <w:t>COCR</w:t>
            </w:r>
            <w:r w:rsidRPr="00C57412">
              <w:rPr>
                <w:rFonts w:cs="Times New Roman"/>
                <w:lang w:val="en-US"/>
              </w:rPr>
              <w:t xml:space="preserve"> – (E</w:t>
            </w:r>
            <w:r w:rsidRPr="00C57412">
              <w:rPr>
                <w:rFonts w:cs="Times New Roman"/>
                <w:vertAlign w:val="subscript"/>
                <w:lang w:val="en-US"/>
              </w:rPr>
              <w:t xml:space="preserve">APR_B </w:t>
            </w:r>
            <w:r w:rsidRPr="00C57412">
              <w:rPr>
                <w:rFonts w:cs="Times New Roman"/>
                <w:lang w:val="en-US"/>
              </w:rPr>
              <w:t>+ 0.5E</w:t>
            </w:r>
            <w:r w:rsidRPr="00C57412">
              <w:rPr>
                <w:rFonts w:cs="Times New Roman"/>
                <w:vertAlign w:val="subscript"/>
                <w:lang w:val="en-US"/>
              </w:rPr>
              <w:t xml:space="preserve">COF </w:t>
            </w:r>
            <w:r w:rsidRPr="00C57412">
              <w:rPr>
                <w:rFonts w:cs="Times New Roman"/>
                <w:lang w:val="en-US"/>
              </w:rPr>
              <w:t>+ 0.5 E</w:t>
            </w:r>
            <w:r w:rsidRPr="00C57412">
              <w:rPr>
                <w:rFonts w:cs="Times New Roman"/>
                <w:vertAlign w:val="subscript"/>
                <w:lang w:val="en-US"/>
              </w:rPr>
              <w:t>H2O)</w:t>
            </w:r>
          </w:p>
        </w:tc>
      </w:tr>
      <w:tr w:rsidR="00DC3796" w:rsidRPr="00C57412" w:rsidTr="00FB2DF2">
        <w:trPr>
          <w:trHeight w:val="300"/>
        </w:trPr>
        <w:tc>
          <w:tcPr>
            <w:tcW w:w="1095"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APR:RESa</w:t>
            </w:r>
          </w:p>
        </w:tc>
        <w:tc>
          <w:tcPr>
            <w:tcW w:w="1279"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-8988.0134</w:t>
            </w:r>
          </w:p>
        </w:tc>
        <w:tc>
          <w:tcPr>
            <w:tcW w:w="1042"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-1922.38</w:t>
            </w:r>
          </w:p>
        </w:tc>
        <w:tc>
          <w:tcPr>
            <w:tcW w:w="1001"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-8988.0462</w:t>
            </w:r>
          </w:p>
        </w:tc>
        <w:tc>
          <w:tcPr>
            <w:tcW w:w="2268" w:type="dxa"/>
            <w:tcBorders>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0.032762</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APR:RESb</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-8988.0139</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-1922.38</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-8988.0462</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0.032324</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APR:PICa</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-8808.5782</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-2036.23</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-8808.6432</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0.065036</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APR:PICb</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-8808.5808</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-2036.23</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-8808.6432</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0.062349</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APR:IMIa</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-8572.1329</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-1090.90</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-8572.306</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0.173079</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APR:IMIb</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-8572.1312</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-1090.90</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-8572.306</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0.174804</w:t>
            </w:r>
          </w:p>
        </w:tc>
      </w:tr>
      <w:tr w:rsidR="00DC3796" w:rsidRPr="00C57412" w:rsidTr="00FB2DF2">
        <w:trPr>
          <w:trHeight w:val="300"/>
        </w:trPr>
        <w:tc>
          <w:tcPr>
            <w:tcW w:w="1095"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APR:HQUa</w:t>
            </w:r>
          </w:p>
        </w:tc>
        <w:tc>
          <w:tcPr>
            <w:tcW w:w="1279"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-8987.8373</w:t>
            </w:r>
          </w:p>
        </w:tc>
        <w:tc>
          <w:tcPr>
            <w:tcW w:w="1042"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-1922.32</w:t>
            </w:r>
          </w:p>
        </w:tc>
        <w:tc>
          <w:tcPr>
            <w:tcW w:w="1001"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-8988.0142</w:t>
            </w:r>
          </w:p>
        </w:tc>
        <w:tc>
          <w:tcPr>
            <w:tcW w:w="2268" w:type="dxa"/>
            <w:tcBorders>
              <w:top w:val="nil"/>
              <w:bottom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0.17687</w:t>
            </w:r>
          </w:p>
        </w:tc>
      </w:tr>
      <w:tr w:rsidR="00DC3796" w:rsidRPr="00C57412" w:rsidTr="00FB2DF2">
        <w:trPr>
          <w:trHeight w:val="300"/>
        </w:trPr>
        <w:tc>
          <w:tcPr>
            <w:tcW w:w="1095"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APR:HQUb</w:t>
            </w:r>
          </w:p>
        </w:tc>
        <w:tc>
          <w:tcPr>
            <w:tcW w:w="1279"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-8987.8388</w:t>
            </w:r>
          </w:p>
        </w:tc>
        <w:tc>
          <w:tcPr>
            <w:tcW w:w="1042"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-7790.53</w:t>
            </w:r>
          </w:p>
        </w:tc>
        <w:tc>
          <w:tcPr>
            <w:tcW w:w="1077"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-1922.32</w:t>
            </w:r>
          </w:p>
        </w:tc>
        <w:tc>
          <w:tcPr>
            <w:tcW w:w="1001"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-472.65</w:t>
            </w:r>
          </w:p>
        </w:tc>
        <w:tc>
          <w:tcPr>
            <w:tcW w:w="1560"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-8988.0142</w:t>
            </w:r>
          </w:p>
        </w:tc>
        <w:tc>
          <w:tcPr>
            <w:tcW w:w="2268" w:type="dxa"/>
            <w:tcBorders>
              <w:top w:val="nil"/>
            </w:tcBorders>
            <w:noWrap/>
            <w:vAlign w:val="center"/>
            <w:hideMark/>
          </w:tcPr>
          <w:p w:rsidR="00DC3796" w:rsidRPr="00C57412" w:rsidRDefault="00DC3796" w:rsidP="00DC3796">
            <w:pPr>
              <w:spacing w:after="0" w:line="240" w:lineRule="auto"/>
              <w:rPr>
                <w:rFonts w:cs="Times New Roman"/>
              </w:rPr>
            </w:pPr>
            <w:r w:rsidRPr="00C57412">
              <w:rPr>
                <w:rFonts w:cs="Times New Roman"/>
              </w:rPr>
              <w:t>0.175408</w:t>
            </w:r>
          </w:p>
        </w:tc>
      </w:tr>
    </w:tbl>
    <w:p w:rsidR="00DC3796" w:rsidRPr="00C57412" w:rsidRDefault="00DC3796" w:rsidP="00DC3796">
      <w:pPr>
        <w:spacing w:after="0" w:line="240" w:lineRule="auto"/>
        <w:jc w:val="both"/>
        <w:rPr>
          <w:rFonts w:cs="Times New Roman"/>
          <w:sz w:val="22"/>
          <w:lang w:val="en-US"/>
        </w:rPr>
      </w:pPr>
    </w:p>
    <w:p w:rsidR="005E64D9" w:rsidRPr="00C57412" w:rsidRDefault="005E64D9" w:rsidP="00DC3796">
      <w:pPr>
        <w:spacing w:after="0" w:line="240" w:lineRule="auto"/>
        <w:jc w:val="both"/>
        <w:rPr>
          <w:rFonts w:cs="Times New Roman"/>
          <w:sz w:val="22"/>
          <w:lang w:val="en-US"/>
        </w:rPr>
      </w:pPr>
    </w:p>
    <w:p w:rsidR="000C578B" w:rsidRPr="00C57412" w:rsidRDefault="005E64D9" w:rsidP="0057721C">
      <w:pPr>
        <w:jc w:val="both"/>
        <w:rPr>
          <w:rFonts w:cs="Times New Roman"/>
          <w:b/>
          <w:lang w:val="en-GB"/>
        </w:rPr>
      </w:pPr>
      <w:r w:rsidRPr="00C57412">
        <w:rPr>
          <w:rFonts w:cs="Times New Roman"/>
          <w:b/>
          <w:lang w:val="en-GB"/>
        </w:rPr>
        <w:t>Intermolecular interactions found in form B of APR and in APR cocrystals</w:t>
      </w:r>
    </w:p>
    <w:p w:rsidR="005C4E8B" w:rsidRPr="00C57412" w:rsidRDefault="005C4E8B" w:rsidP="005C4E8B">
      <w:pPr>
        <w:spacing w:line="240" w:lineRule="auto"/>
        <w:jc w:val="both"/>
        <w:rPr>
          <w:rFonts w:cs="Times New Roman"/>
          <w:sz w:val="22"/>
          <w:lang w:val="en-US"/>
        </w:rPr>
      </w:pPr>
      <w:r w:rsidRPr="00C57412">
        <w:rPr>
          <w:rFonts w:cs="Times New Roman"/>
          <w:b/>
          <w:sz w:val="22"/>
          <w:lang w:val="en-US"/>
        </w:rPr>
        <w:t>Table S7.</w:t>
      </w:r>
      <w:r w:rsidRPr="00C57412">
        <w:rPr>
          <w:rFonts w:cs="Times New Roman"/>
          <w:sz w:val="22"/>
          <w:lang w:val="en-US"/>
        </w:rPr>
        <w:t xml:space="preserve"> Intermolecular hydrogen bond lengths (in Å, expressed as O</w:t>
      </w:r>
      <w:r w:rsidRPr="00C57412">
        <w:rPr>
          <w:rFonts w:eastAsia="Times New Roman" w:cs="Times New Roman"/>
          <w:sz w:val="22"/>
          <w:lang w:val="en-US" w:eastAsia="pl-PL"/>
        </w:rPr>
        <w:t>∙∙∙</w:t>
      </w:r>
      <w:r w:rsidRPr="00C57412">
        <w:rPr>
          <w:rFonts w:cs="Times New Roman"/>
          <w:sz w:val="22"/>
          <w:lang w:val="en-US"/>
        </w:rPr>
        <w:t>O/N distances) and geometry parameters for aromatic – aromatic interactions (R</w:t>
      </w:r>
      <w:r w:rsidRPr="00C57412">
        <w:rPr>
          <w:rFonts w:cs="Times New Roman"/>
          <w:sz w:val="22"/>
          <w:vertAlign w:val="subscript"/>
          <w:lang w:val="en-US"/>
        </w:rPr>
        <w:t xml:space="preserve">CLOSEST </w:t>
      </w:r>
      <w:r w:rsidRPr="00C57412">
        <w:rPr>
          <w:rFonts w:cs="Times New Roman"/>
          <w:sz w:val="22"/>
          <w:lang w:val="en-US"/>
        </w:rPr>
        <w:t>distance in Å and γ angle in °, calculated as shown in Figure S6). For form B of APR letters A, B, C and D denote 4 unique molecules in an asymmetric part of a unit cell.</w:t>
      </w:r>
    </w:p>
    <w:tbl>
      <w:tblPr>
        <w:tblStyle w:val="Tabela-Siatka"/>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1809"/>
        <w:gridCol w:w="4395"/>
        <w:gridCol w:w="1134"/>
        <w:gridCol w:w="1275"/>
      </w:tblGrid>
      <w:tr w:rsidR="005C4E8B" w:rsidRPr="00C57412" w:rsidTr="00881806">
        <w:tc>
          <w:tcPr>
            <w:tcW w:w="8613" w:type="dxa"/>
            <w:gridSpan w:val="4"/>
            <w:shd w:val="clear" w:color="auto" w:fill="D9D9D9" w:themeFill="background1" w:themeFillShade="D9"/>
          </w:tcPr>
          <w:p w:rsidR="005C4E8B" w:rsidRPr="00C57412" w:rsidRDefault="005C4E8B" w:rsidP="00881806">
            <w:pPr>
              <w:spacing w:before="60" w:after="60" w:line="276" w:lineRule="auto"/>
              <w:rPr>
                <w:rFonts w:cs="Times New Roman"/>
                <w:lang w:val="en-US"/>
              </w:rPr>
            </w:pPr>
            <w:r w:rsidRPr="00C57412">
              <w:rPr>
                <w:rFonts w:cs="Times New Roman"/>
                <w:lang w:val="en-US"/>
              </w:rPr>
              <w:t>Hydrogen b</w:t>
            </w:r>
            <w:r w:rsidRPr="00C57412">
              <w:rPr>
                <w:rFonts w:cs="Times New Roman"/>
                <w:shd w:val="clear" w:color="auto" w:fill="D9D9D9" w:themeFill="background1" w:themeFillShade="D9"/>
                <w:lang w:val="en-US"/>
              </w:rPr>
              <w:t xml:space="preserve">onds </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crystal</w:t>
            </w:r>
          </w:p>
        </w:tc>
        <w:tc>
          <w:tcPr>
            <w:tcW w:w="4395" w:type="dxa"/>
          </w:tcPr>
          <w:p w:rsidR="005C4E8B" w:rsidRPr="00C57412" w:rsidRDefault="005C4E8B" w:rsidP="00881806">
            <w:pPr>
              <w:spacing w:before="60" w:after="60" w:line="276" w:lineRule="auto"/>
              <w:rPr>
                <w:rFonts w:cs="Times New Roman"/>
                <w:lang w:val="en-US"/>
              </w:rPr>
            </w:pPr>
            <w:r w:rsidRPr="00C57412">
              <w:rPr>
                <w:rFonts w:cs="Times New Roman"/>
                <w:lang w:val="en-US"/>
              </w:rPr>
              <w:t>interacting atoms</w:t>
            </w:r>
          </w:p>
        </w:tc>
        <w:tc>
          <w:tcPr>
            <w:tcW w:w="2409" w:type="dxa"/>
            <w:gridSpan w:val="2"/>
          </w:tcPr>
          <w:p w:rsidR="005C4E8B" w:rsidRPr="00C57412" w:rsidRDefault="005C4E8B" w:rsidP="00881806">
            <w:pPr>
              <w:spacing w:before="60" w:after="60" w:line="276" w:lineRule="auto"/>
              <w:rPr>
                <w:rFonts w:cs="Times New Roman"/>
                <w:lang w:val="en-US"/>
              </w:rPr>
            </w:pPr>
            <w:r w:rsidRPr="00C57412">
              <w:rPr>
                <w:rFonts w:cs="Times New Roman"/>
                <w:lang w:val="en-US"/>
              </w:rPr>
              <w:t>distance</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APR:RES</w:t>
            </w:r>
          </w:p>
          <w:p w:rsidR="005C4E8B" w:rsidRPr="00C57412" w:rsidRDefault="005C4E8B" w:rsidP="00881806">
            <w:pPr>
              <w:spacing w:before="60" w:after="60" w:line="276" w:lineRule="auto"/>
              <w:rPr>
                <w:rFonts w:cs="Times New Roman"/>
                <w:lang w:val="en-US"/>
              </w:rPr>
            </w:pP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lang w:val="en-US" w:eastAsia="pl-PL"/>
              </w:rPr>
              <w:t>H-Ar (RES)</w:t>
            </w:r>
          </w:p>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lang w:val="en-US" w:eastAsia="pl-PL"/>
              </w:rPr>
              <w:t>Me-Ar (APR)</w:t>
            </w:r>
          </w:p>
        </w:tc>
        <w:tc>
          <w:tcPr>
            <w:tcW w:w="2409" w:type="dxa"/>
            <w:gridSpan w:val="2"/>
          </w:tcPr>
          <w:p w:rsidR="005C4E8B" w:rsidRPr="00C57412" w:rsidRDefault="005C4E8B" w:rsidP="00881806">
            <w:pPr>
              <w:spacing w:before="60" w:after="60" w:line="276" w:lineRule="auto"/>
              <w:rPr>
                <w:rFonts w:cs="Times New Roman"/>
                <w:lang w:val="en-US"/>
              </w:rPr>
            </w:pPr>
            <w:r w:rsidRPr="00C57412">
              <w:rPr>
                <w:rFonts w:cs="Times New Roman"/>
                <w:lang w:val="en-US"/>
              </w:rPr>
              <w:t>2.65</w:t>
            </w:r>
          </w:p>
          <w:p w:rsidR="005C4E8B" w:rsidRPr="00C57412" w:rsidRDefault="005C4E8B" w:rsidP="00881806">
            <w:pPr>
              <w:spacing w:before="60" w:after="60" w:line="276" w:lineRule="auto"/>
              <w:rPr>
                <w:rFonts w:cs="Times New Roman"/>
                <w:lang w:val="en-US"/>
              </w:rPr>
            </w:pPr>
            <w:r w:rsidRPr="00C57412">
              <w:rPr>
                <w:rFonts w:cs="Times New Roman"/>
                <w:lang w:val="en-US"/>
              </w:rPr>
              <w:t>3.01</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APR:IMI</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N</w:t>
            </w:r>
            <w:r w:rsidRPr="00C57412">
              <w:rPr>
                <w:rFonts w:eastAsia="Times New Roman" w:cs="Times New Roman"/>
                <w:lang w:val="en-US" w:eastAsia="pl-PL"/>
              </w:rPr>
              <w:t xml:space="preserve"> (IMI)</w:t>
            </w:r>
          </w:p>
          <w:p w:rsidR="005C4E8B" w:rsidRPr="00C57412" w:rsidRDefault="005C4E8B" w:rsidP="00881806">
            <w:pPr>
              <w:spacing w:before="60" w:after="60" w:line="276" w:lineRule="auto"/>
              <w:rPr>
                <w:rFonts w:cs="Times New Roman"/>
                <w:lang w:val="en-US"/>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lang w:val="en-US" w:eastAsia="pl-PL"/>
              </w:rPr>
              <w:t>Me (APR)</w:t>
            </w:r>
          </w:p>
        </w:tc>
        <w:tc>
          <w:tcPr>
            <w:tcW w:w="2409" w:type="dxa"/>
            <w:gridSpan w:val="2"/>
          </w:tcPr>
          <w:p w:rsidR="005C4E8B" w:rsidRPr="00C57412" w:rsidRDefault="005C4E8B" w:rsidP="00881806">
            <w:pPr>
              <w:spacing w:before="60" w:after="60" w:line="276" w:lineRule="auto"/>
              <w:rPr>
                <w:rFonts w:cs="Times New Roman"/>
                <w:lang w:val="en-US"/>
              </w:rPr>
            </w:pPr>
            <w:r w:rsidRPr="00C57412">
              <w:rPr>
                <w:rFonts w:cs="Times New Roman"/>
                <w:lang w:val="en-US"/>
              </w:rPr>
              <w:t>2.05</w:t>
            </w:r>
          </w:p>
          <w:p w:rsidR="005C4E8B" w:rsidRPr="00C57412" w:rsidRDefault="005C4E8B" w:rsidP="00881806">
            <w:pPr>
              <w:spacing w:before="60" w:after="60" w:line="276" w:lineRule="auto"/>
              <w:rPr>
                <w:rFonts w:cs="Times New Roman"/>
                <w:lang w:val="en-US"/>
              </w:rPr>
            </w:pPr>
            <w:r w:rsidRPr="00C57412">
              <w:rPr>
                <w:rFonts w:cs="Times New Roman"/>
                <w:lang w:val="en-US"/>
              </w:rPr>
              <w:t>3.96</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APR:HQU</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lang w:val="en-US" w:eastAsia="pl-PL"/>
              </w:rPr>
              <w:t>H-Ar (HQU)</w:t>
            </w:r>
          </w:p>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H</w:t>
            </w:r>
            <w:r w:rsidRPr="00C57412">
              <w:rPr>
                <w:rFonts w:cs="Times New Roman"/>
                <w:vertAlign w:val="subscript"/>
                <w:lang w:val="en-US"/>
              </w:rPr>
              <w:t>2</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lang w:val="en-US" w:eastAsia="pl-PL"/>
              </w:rPr>
              <w:t>Et-Ar (APR)</w:t>
            </w:r>
          </w:p>
          <w:p w:rsidR="005C4E8B" w:rsidRPr="00C57412" w:rsidRDefault="005C4E8B" w:rsidP="00881806">
            <w:pPr>
              <w:spacing w:before="60" w:after="60" w:line="276" w:lineRule="auto"/>
              <w:rPr>
                <w:rFonts w:cs="Times New Roman"/>
                <w:lang w:val="en-US"/>
              </w:rPr>
            </w:pPr>
            <w:r w:rsidRPr="00C57412">
              <w:rPr>
                <w:rFonts w:cs="Times New Roman"/>
                <w:lang w:val="en-US"/>
              </w:rPr>
              <w:t>(HQU)Ar-H</w:t>
            </w:r>
            <w:r w:rsidRPr="00C57412">
              <w:rPr>
                <w:rFonts w:cs="Times New Roman"/>
                <w:b/>
                <w:lang w:val="en-US"/>
              </w:rPr>
              <w:t>O</w:t>
            </w:r>
            <w:r w:rsidRPr="00C57412">
              <w:rPr>
                <w:rFonts w:eastAsia="Times New Roman" w:cs="Times New Roman"/>
                <w:lang w:val="en-US" w:eastAsia="pl-PL"/>
              </w:rPr>
              <w:t>∙∙∙</w:t>
            </w:r>
            <w:r w:rsidRPr="00C57412">
              <w:rPr>
                <w:rFonts w:eastAsia="Times New Roman" w:cs="Times New Roman"/>
                <w:b/>
                <w:lang w:val="en-US" w:eastAsia="pl-PL"/>
              </w:rPr>
              <w:t>O</w:t>
            </w:r>
            <w:r w:rsidRPr="00C57412">
              <w:rPr>
                <w:rFonts w:eastAsia="Times New Roman" w:cs="Times New Roman"/>
                <w:vertAlign w:val="subscript"/>
                <w:lang w:val="en-US" w:eastAsia="pl-PL"/>
              </w:rPr>
              <w:t>2</w:t>
            </w:r>
            <w:r w:rsidRPr="00C57412">
              <w:rPr>
                <w:rFonts w:eastAsia="Times New Roman" w:cs="Times New Roman"/>
                <w:lang w:val="en-US" w:eastAsia="pl-PL"/>
              </w:rPr>
              <w:t>S-CH</w:t>
            </w:r>
            <w:r w:rsidRPr="00C57412">
              <w:rPr>
                <w:rFonts w:eastAsia="Times New Roman" w:cs="Times New Roman"/>
                <w:vertAlign w:val="subscript"/>
                <w:lang w:val="en-US" w:eastAsia="pl-PL"/>
              </w:rPr>
              <w:t>3</w:t>
            </w:r>
            <w:r w:rsidRPr="00C57412">
              <w:rPr>
                <w:rFonts w:eastAsia="Times New Roman" w:cs="Times New Roman"/>
                <w:lang w:val="en-US" w:eastAsia="pl-PL"/>
              </w:rPr>
              <w:t>(APR)</w:t>
            </w:r>
          </w:p>
        </w:tc>
        <w:tc>
          <w:tcPr>
            <w:tcW w:w="2409" w:type="dxa"/>
            <w:gridSpan w:val="2"/>
          </w:tcPr>
          <w:p w:rsidR="005C4E8B" w:rsidRPr="00C57412" w:rsidRDefault="0030289D" w:rsidP="00881806">
            <w:pPr>
              <w:spacing w:before="60" w:after="60" w:line="276" w:lineRule="auto"/>
              <w:rPr>
                <w:rFonts w:cs="Times New Roman"/>
                <w:lang w:val="en-US"/>
              </w:rPr>
            </w:pPr>
            <w:r w:rsidRPr="00C57412">
              <w:rPr>
                <w:rFonts w:cs="Times New Roman"/>
                <w:lang w:val="en-US"/>
              </w:rPr>
              <w:t>1.93</w:t>
            </w:r>
          </w:p>
          <w:p w:rsidR="0030289D" w:rsidRPr="00C57412" w:rsidRDefault="0030289D" w:rsidP="00881806">
            <w:pPr>
              <w:spacing w:before="60" w:after="60" w:line="276" w:lineRule="auto"/>
              <w:rPr>
                <w:rFonts w:cs="Times New Roman"/>
                <w:lang w:val="en-US"/>
              </w:rPr>
            </w:pPr>
            <w:r w:rsidRPr="00C57412">
              <w:rPr>
                <w:rFonts w:cs="Times New Roman"/>
                <w:lang w:val="en-US"/>
              </w:rPr>
              <w:t>3.19</w:t>
            </w:r>
          </w:p>
          <w:p w:rsidR="0030289D" w:rsidRPr="00C57412" w:rsidRDefault="0030289D" w:rsidP="00881806">
            <w:pPr>
              <w:spacing w:before="60" w:after="60" w:line="276" w:lineRule="auto"/>
              <w:rPr>
                <w:rFonts w:cs="Times New Roman"/>
                <w:lang w:val="en-US"/>
              </w:rPr>
            </w:pPr>
            <w:r w:rsidRPr="00C57412">
              <w:rPr>
                <w:rFonts w:cs="Times New Roman"/>
                <w:lang w:val="en-US"/>
              </w:rPr>
              <w:t>2.11</w:t>
            </w:r>
          </w:p>
        </w:tc>
      </w:tr>
      <w:tr w:rsidR="005C4E8B" w:rsidRPr="00C57412" w:rsidTr="00881806">
        <w:tc>
          <w:tcPr>
            <w:tcW w:w="8613" w:type="dxa"/>
            <w:gridSpan w:val="4"/>
            <w:shd w:val="clear" w:color="auto" w:fill="D9D9D9" w:themeFill="background1" w:themeFillShade="D9"/>
          </w:tcPr>
          <w:p w:rsidR="005C4E8B" w:rsidRPr="00C57412" w:rsidRDefault="005C4E8B" w:rsidP="00881806">
            <w:pPr>
              <w:spacing w:before="60" w:after="60" w:line="276" w:lineRule="auto"/>
              <w:rPr>
                <w:rFonts w:cs="Times New Roman"/>
                <w:lang w:val="en-US"/>
              </w:rPr>
            </w:pPr>
            <w:r w:rsidRPr="00C57412">
              <w:rPr>
                <w:rFonts w:cs="Times New Roman"/>
                <w:lang w:val="en-US"/>
              </w:rPr>
              <w:t>Aromatic – aromatic interactions</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crystal</w:t>
            </w:r>
          </w:p>
        </w:tc>
        <w:tc>
          <w:tcPr>
            <w:tcW w:w="4395" w:type="dxa"/>
          </w:tcPr>
          <w:p w:rsidR="005C4E8B" w:rsidRPr="00C57412" w:rsidRDefault="005C4E8B" w:rsidP="00881806">
            <w:pPr>
              <w:spacing w:before="60" w:after="60" w:line="276" w:lineRule="auto"/>
              <w:rPr>
                <w:rFonts w:cs="Times New Roman"/>
                <w:lang w:val="en-US"/>
              </w:rPr>
            </w:pPr>
            <w:r w:rsidRPr="00C57412">
              <w:rPr>
                <w:rFonts w:cs="Times New Roman"/>
                <w:lang w:val="en-US"/>
              </w:rPr>
              <w:t>interacting rings</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R</w:t>
            </w:r>
            <w:r w:rsidRPr="00C57412">
              <w:rPr>
                <w:rFonts w:cs="Times New Roman"/>
                <w:vertAlign w:val="subscript"/>
                <w:lang w:val="en-US"/>
              </w:rPr>
              <w:t>CLOSEST</w:t>
            </w:r>
            <w:r w:rsidRPr="00C57412">
              <w:rPr>
                <w:rFonts w:cs="Times New Roman"/>
                <w:lang w:val="en-US"/>
              </w:rPr>
              <w:t xml:space="preserve"> </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γ angle</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lastRenderedPageBreak/>
              <w:t>APR form B</w:t>
            </w:r>
          </w:p>
        </w:tc>
        <w:tc>
          <w:tcPr>
            <w:tcW w:w="4395" w:type="dxa"/>
          </w:tcPr>
          <w:p w:rsidR="005C4E8B" w:rsidRPr="00C57412" w:rsidRDefault="005C4E8B" w:rsidP="00881806">
            <w:pPr>
              <w:spacing w:before="60" w:after="60" w:line="276" w:lineRule="auto"/>
              <w:rPr>
                <w:rFonts w:cs="Times New Roman"/>
                <w:lang w:val="en-US"/>
              </w:rPr>
            </w:pPr>
            <w:r w:rsidRPr="00C57412">
              <w:rPr>
                <w:rFonts w:cs="Times New Roman"/>
                <w:lang w:val="en-US"/>
              </w:rPr>
              <w:t>Ar(OMe)(OEt)</w:t>
            </w:r>
            <w:r w:rsidRPr="00C57412">
              <w:rPr>
                <w:rFonts w:eastAsia="Times New Roman" w:cs="Times New Roman"/>
                <w:lang w:val="en-US" w:eastAsia="pl-PL"/>
              </w:rPr>
              <w:t xml:space="preserve"> ∙∙∙ </w:t>
            </w:r>
            <w:r w:rsidRPr="00C57412">
              <w:rPr>
                <w:rFonts w:cs="Times New Roman"/>
                <w:lang w:val="en-US"/>
              </w:rPr>
              <w:t>Ar(OMe)(OEt) (A:B)</w:t>
            </w:r>
          </w:p>
          <w:p w:rsidR="005C4E8B" w:rsidRPr="00C57412" w:rsidRDefault="005C4E8B" w:rsidP="00881806">
            <w:pPr>
              <w:spacing w:before="60" w:after="60" w:line="276" w:lineRule="auto"/>
              <w:rPr>
                <w:rFonts w:cs="Times New Roman"/>
                <w:lang w:val="en-US"/>
              </w:rPr>
            </w:pPr>
            <w:r w:rsidRPr="00C57412">
              <w:rPr>
                <w:rFonts w:cs="Times New Roman"/>
                <w:lang w:val="en-US"/>
              </w:rPr>
              <w:t>Ar(OMe)(OEt)</w:t>
            </w:r>
            <w:r w:rsidRPr="00C57412">
              <w:rPr>
                <w:rFonts w:eastAsia="Times New Roman" w:cs="Times New Roman"/>
                <w:lang w:val="en-US" w:eastAsia="pl-PL"/>
              </w:rPr>
              <w:t xml:space="preserve"> ∙∙∙ </w:t>
            </w:r>
            <w:r w:rsidRPr="00C57412">
              <w:rPr>
                <w:rFonts w:cs="Times New Roman"/>
                <w:lang w:val="en-US"/>
              </w:rPr>
              <w:t>Ar(OMe)(OEt) (C:D)</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w:t>
            </w:r>
            <w:r w:rsidRPr="00C57412">
              <w:rPr>
                <w:rFonts w:eastAsia="Times New Roman" w:cs="Times New Roman"/>
                <w:lang w:val="en-US" w:eastAsia="pl-PL"/>
              </w:rPr>
              <w:t xml:space="preserve">∙∙∙ </w:t>
            </w:r>
            <w:r w:rsidRPr="00C57412">
              <w:rPr>
                <w:rFonts w:cs="Times New Roman"/>
                <w:lang w:val="en-US"/>
              </w:rPr>
              <w:t>Isoindol (A:B)</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w:t>
            </w:r>
            <w:r w:rsidRPr="00C57412">
              <w:rPr>
                <w:rFonts w:eastAsia="Times New Roman" w:cs="Times New Roman"/>
                <w:lang w:val="en-US" w:eastAsia="pl-PL"/>
              </w:rPr>
              <w:t xml:space="preserve">∙∙∙ </w:t>
            </w:r>
            <w:r w:rsidRPr="00C57412">
              <w:rPr>
                <w:rFonts w:cs="Times New Roman"/>
                <w:lang w:val="en-US"/>
              </w:rPr>
              <w:t>Isoindol (C:D)</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3.79</w:t>
            </w:r>
          </w:p>
          <w:p w:rsidR="005C4E8B" w:rsidRPr="00C57412" w:rsidRDefault="005C4E8B" w:rsidP="00881806">
            <w:pPr>
              <w:spacing w:before="60" w:after="60" w:line="276" w:lineRule="auto"/>
              <w:rPr>
                <w:rFonts w:cs="Times New Roman"/>
                <w:lang w:val="en-US"/>
              </w:rPr>
            </w:pPr>
            <w:r w:rsidRPr="00C57412">
              <w:rPr>
                <w:rFonts w:cs="Times New Roman"/>
                <w:lang w:val="en-US"/>
              </w:rPr>
              <w:t>3.83</w:t>
            </w:r>
          </w:p>
          <w:p w:rsidR="005C4E8B" w:rsidRPr="00C57412" w:rsidRDefault="005C4E8B" w:rsidP="00881806">
            <w:pPr>
              <w:spacing w:before="60" w:after="60" w:line="276" w:lineRule="auto"/>
              <w:rPr>
                <w:rFonts w:cs="Times New Roman"/>
                <w:lang w:val="en-US"/>
              </w:rPr>
            </w:pPr>
            <w:r w:rsidRPr="00C57412">
              <w:rPr>
                <w:rFonts w:cs="Times New Roman"/>
                <w:lang w:val="en-US"/>
              </w:rPr>
              <w:t>3.46</w:t>
            </w:r>
          </w:p>
          <w:p w:rsidR="005C4E8B" w:rsidRPr="00C57412" w:rsidRDefault="005C4E8B" w:rsidP="00881806">
            <w:pPr>
              <w:spacing w:before="60" w:after="60" w:line="276" w:lineRule="auto"/>
              <w:rPr>
                <w:rFonts w:cs="Times New Roman"/>
                <w:lang w:val="en-US"/>
              </w:rPr>
            </w:pPr>
            <w:r w:rsidRPr="00C57412">
              <w:rPr>
                <w:rFonts w:cs="Times New Roman"/>
                <w:lang w:val="en-US"/>
              </w:rPr>
              <w:t>3.47</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63.3</w:t>
            </w:r>
          </w:p>
          <w:p w:rsidR="005C4E8B" w:rsidRPr="00C57412" w:rsidRDefault="005C4E8B" w:rsidP="00881806">
            <w:pPr>
              <w:spacing w:before="60" w:after="60" w:line="276" w:lineRule="auto"/>
              <w:rPr>
                <w:rFonts w:cs="Times New Roman"/>
                <w:lang w:val="en-US"/>
              </w:rPr>
            </w:pPr>
            <w:r w:rsidRPr="00C57412">
              <w:rPr>
                <w:rFonts w:cs="Times New Roman"/>
                <w:lang w:val="en-US"/>
              </w:rPr>
              <w:t>69.6</w:t>
            </w:r>
          </w:p>
          <w:p w:rsidR="005C4E8B" w:rsidRPr="00C57412" w:rsidRDefault="005C4E8B" w:rsidP="00881806">
            <w:pPr>
              <w:spacing w:before="60" w:after="60" w:line="276" w:lineRule="auto"/>
              <w:rPr>
                <w:rFonts w:cs="Times New Roman"/>
                <w:lang w:val="en-US"/>
              </w:rPr>
            </w:pPr>
            <w:r w:rsidRPr="00C57412">
              <w:rPr>
                <w:rFonts w:cs="Times New Roman"/>
                <w:lang w:val="en-US"/>
              </w:rPr>
              <w:t>60.5</w:t>
            </w:r>
          </w:p>
          <w:p w:rsidR="005C4E8B" w:rsidRPr="00C57412" w:rsidRDefault="005C4E8B" w:rsidP="00881806">
            <w:pPr>
              <w:spacing w:before="60" w:after="60" w:line="276" w:lineRule="auto"/>
              <w:rPr>
                <w:rFonts w:cs="Times New Roman"/>
                <w:lang w:val="en-US"/>
              </w:rPr>
            </w:pPr>
            <w:r w:rsidRPr="00C57412">
              <w:rPr>
                <w:rFonts w:cs="Times New Roman"/>
                <w:lang w:val="en-US"/>
              </w:rPr>
              <w:t>59.9</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APR:RES</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 xml:space="preserve">Isoindol (APR) </w:t>
            </w:r>
            <w:r w:rsidRPr="00C57412">
              <w:rPr>
                <w:rFonts w:eastAsia="Times New Roman" w:cs="Times New Roman"/>
                <w:lang w:val="en-US" w:eastAsia="pl-PL"/>
              </w:rPr>
              <w:t>∙∙∙ Phenyl (RES)</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(APR) </w:t>
            </w:r>
            <w:r w:rsidRPr="00C57412">
              <w:rPr>
                <w:rFonts w:eastAsia="Times New Roman" w:cs="Times New Roman"/>
                <w:lang w:val="en-US" w:eastAsia="pl-PL"/>
              </w:rPr>
              <w:t xml:space="preserve">∙∙∙ </w:t>
            </w:r>
            <w:r w:rsidRPr="00C57412">
              <w:rPr>
                <w:rFonts w:cs="Times New Roman"/>
                <w:lang w:val="en-US"/>
              </w:rPr>
              <w:t>Ar(OMe)(OEt) (APR)</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3.35</w:t>
            </w:r>
          </w:p>
          <w:p w:rsidR="005C4E8B" w:rsidRPr="00C57412" w:rsidRDefault="005C4E8B" w:rsidP="00881806">
            <w:pPr>
              <w:spacing w:before="60" w:after="60" w:line="276" w:lineRule="auto"/>
              <w:rPr>
                <w:rFonts w:cs="Times New Roman"/>
                <w:lang w:val="en-US"/>
              </w:rPr>
            </w:pPr>
            <w:r w:rsidRPr="00C57412">
              <w:rPr>
                <w:rFonts w:cs="Times New Roman"/>
                <w:lang w:val="en-US"/>
              </w:rPr>
              <w:t>3.67</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54.4</w:t>
            </w:r>
          </w:p>
          <w:p w:rsidR="005C4E8B" w:rsidRPr="00C57412" w:rsidRDefault="005C4E8B" w:rsidP="00881806">
            <w:pPr>
              <w:spacing w:before="60" w:after="60" w:line="276" w:lineRule="auto"/>
              <w:rPr>
                <w:rFonts w:cs="Times New Roman"/>
                <w:lang w:val="en-US"/>
              </w:rPr>
            </w:pPr>
            <w:r w:rsidRPr="00C57412">
              <w:rPr>
                <w:rFonts w:cs="Times New Roman"/>
                <w:lang w:val="en-US"/>
              </w:rPr>
              <w:t>33.5</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APR:PIC</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 xml:space="preserve">Isoindol (APR) </w:t>
            </w:r>
            <w:r w:rsidRPr="00C57412">
              <w:rPr>
                <w:rFonts w:eastAsia="Times New Roman" w:cs="Times New Roman"/>
                <w:lang w:val="en-US" w:eastAsia="pl-PL"/>
              </w:rPr>
              <w:t>∙∙∙ Pyridine (PIC)</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(APR) </w:t>
            </w:r>
            <w:r w:rsidRPr="00C57412">
              <w:rPr>
                <w:rFonts w:eastAsia="Times New Roman" w:cs="Times New Roman"/>
                <w:lang w:val="en-US" w:eastAsia="pl-PL"/>
              </w:rPr>
              <w:t xml:space="preserve">∙∙∙ </w:t>
            </w:r>
            <w:r w:rsidRPr="00C57412">
              <w:rPr>
                <w:rFonts w:cs="Times New Roman"/>
                <w:lang w:val="en-US"/>
              </w:rPr>
              <w:t>Ar(OMe)(OEt) (APR)</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3.37</w:t>
            </w:r>
          </w:p>
          <w:p w:rsidR="005C4E8B" w:rsidRPr="00C57412" w:rsidRDefault="005C4E8B" w:rsidP="00881806">
            <w:pPr>
              <w:spacing w:before="60" w:after="60" w:line="276" w:lineRule="auto"/>
              <w:rPr>
                <w:rFonts w:cs="Times New Roman"/>
                <w:lang w:val="en-US"/>
              </w:rPr>
            </w:pPr>
            <w:r w:rsidRPr="00C57412">
              <w:rPr>
                <w:rFonts w:cs="Times New Roman"/>
                <w:lang w:val="en-US"/>
              </w:rPr>
              <w:t>3.64</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57.3</w:t>
            </w:r>
          </w:p>
          <w:p w:rsidR="005C4E8B" w:rsidRPr="00C57412" w:rsidRDefault="005C4E8B" w:rsidP="00881806">
            <w:pPr>
              <w:spacing w:before="60" w:after="60" w:line="276" w:lineRule="auto"/>
              <w:rPr>
                <w:rFonts w:cs="Times New Roman"/>
                <w:lang w:val="en-US"/>
              </w:rPr>
            </w:pPr>
            <w:r w:rsidRPr="00C57412">
              <w:rPr>
                <w:rFonts w:cs="Times New Roman"/>
                <w:lang w:val="en-US"/>
              </w:rPr>
              <w:t>35.3</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APR:IMI</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 xml:space="preserve">Isoindol (APR) </w:t>
            </w:r>
            <w:r w:rsidRPr="00C57412">
              <w:rPr>
                <w:rFonts w:eastAsia="Times New Roman" w:cs="Times New Roman"/>
                <w:lang w:val="en-US" w:eastAsia="pl-PL"/>
              </w:rPr>
              <w:t>∙∙∙ Imidazole (IMI)</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(APR) </w:t>
            </w:r>
            <w:r w:rsidRPr="00C57412">
              <w:rPr>
                <w:rFonts w:eastAsia="Times New Roman" w:cs="Times New Roman"/>
                <w:lang w:val="en-US" w:eastAsia="pl-PL"/>
              </w:rPr>
              <w:t xml:space="preserve">∙∙∙ </w:t>
            </w:r>
            <w:r w:rsidRPr="00C57412">
              <w:rPr>
                <w:rFonts w:cs="Times New Roman"/>
                <w:lang w:val="en-US"/>
              </w:rPr>
              <w:t>Ar(OMe)(OEt) (APR)</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3.37</w:t>
            </w:r>
          </w:p>
          <w:p w:rsidR="005C4E8B" w:rsidRPr="00C57412" w:rsidRDefault="005C4E8B" w:rsidP="00881806">
            <w:pPr>
              <w:spacing w:before="60" w:after="60" w:line="276" w:lineRule="auto"/>
              <w:rPr>
                <w:rFonts w:cs="Times New Roman"/>
                <w:lang w:val="en-US"/>
              </w:rPr>
            </w:pPr>
            <w:r w:rsidRPr="00C57412">
              <w:rPr>
                <w:rFonts w:cs="Times New Roman"/>
                <w:lang w:val="en-US"/>
              </w:rPr>
              <w:t>3.65</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53.6</w:t>
            </w:r>
          </w:p>
          <w:p w:rsidR="005C4E8B" w:rsidRPr="00C57412" w:rsidRDefault="005C4E8B" w:rsidP="00881806">
            <w:pPr>
              <w:spacing w:before="60" w:after="60" w:line="276" w:lineRule="auto"/>
              <w:rPr>
                <w:rFonts w:cs="Times New Roman"/>
                <w:lang w:val="en-US"/>
              </w:rPr>
            </w:pPr>
            <w:r w:rsidRPr="00C57412">
              <w:rPr>
                <w:rFonts w:cs="Times New Roman"/>
                <w:lang w:val="en-US"/>
              </w:rPr>
              <w:t>34.3</w:t>
            </w:r>
          </w:p>
        </w:tc>
      </w:tr>
      <w:tr w:rsidR="005C4E8B" w:rsidRPr="00C57412" w:rsidTr="00881806">
        <w:tc>
          <w:tcPr>
            <w:tcW w:w="1809" w:type="dxa"/>
          </w:tcPr>
          <w:p w:rsidR="005C4E8B" w:rsidRPr="00C57412" w:rsidRDefault="005C4E8B" w:rsidP="00881806">
            <w:pPr>
              <w:spacing w:before="60" w:after="60" w:line="276" w:lineRule="auto"/>
              <w:rPr>
                <w:rFonts w:cs="Times New Roman"/>
                <w:lang w:val="en-US"/>
              </w:rPr>
            </w:pPr>
            <w:r w:rsidRPr="00C57412">
              <w:rPr>
                <w:rFonts w:cs="Times New Roman"/>
                <w:lang w:val="en-US"/>
              </w:rPr>
              <w:t>APR:HQU</w:t>
            </w:r>
          </w:p>
        </w:tc>
        <w:tc>
          <w:tcPr>
            <w:tcW w:w="4395" w:type="dxa"/>
          </w:tcPr>
          <w:p w:rsidR="005C4E8B" w:rsidRPr="00C57412" w:rsidRDefault="005C4E8B" w:rsidP="00881806">
            <w:pPr>
              <w:spacing w:before="60" w:after="60" w:line="276" w:lineRule="auto"/>
              <w:rPr>
                <w:rFonts w:eastAsia="Times New Roman" w:cs="Times New Roman"/>
                <w:lang w:val="en-US" w:eastAsia="pl-PL"/>
              </w:rPr>
            </w:pPr>
            <w:r w:rsidRPr="00C57412">
              <w:rPr>
                <w:rFonts w:cs="Times New Roman"/>
                <w:lang w:val="en-US"/>
              </w:rPr>
              <w:t xml:space="preserve">Isoindol (APR) </w:t>
            </w:r>
            <w:r w:rsidRPr="00C57412">
              <w:rPr>
                <w:rFonts w:eastAsia="Times New Roman" w:cs="Times New Roman"/>
                <w:lang w:val="en-US" w:eastAsia="pl-PL"/>
              </w:rPr>
              <w:t>∙∙∙ Phenyl (HQU)</w:t>
            </w:r>
          </w:p>
          <w:p w:rsidR="005C4E8B" w:rsidRPr="00C57412" w:rsidRDefault="005C4E8B" w:rsidP="00881806">
            <w:pPr>
              <w:spacing w:before="60" w:after="60" w:line="276" w:lineRule="auto"/>
              <w:rPr>
                <w:rFonts w:cs="Times New Roman"/>
                <w:lang w:val="en-US"/>
              </w:rPr>
            </w:pPr>
            <w:r w:rsidRPr="00C57412">
              <w:rPr>
                <w:rFonts w:cs="Times New Roman"/>
                <w:lang w:val="en-US"/>
              </w:rPr>
              <w:t xml:space="preserve">Isoindol (APR) </w:t>
            </w:r>
            <w:r w:rsidRPr="00C57412">
              <w:rPr>
                <w:rFonts w:eastAsia="Times New Roman" w:cs="Times New Roman"/>
                <w:lang w:val="en-US" w:eastAsia="pl-PL"/>
              </w:rPr>
              <w:t xml:space="preserve">∙∙∙ </w:t>
            </w:r>
            <w:r w:rsidRPr="00C57412">
              <w:rPr>
                <w:rFonts w:cs="Times New Roman"/>
                <w:lang w:val="en-US"/>
              </w:rPr>
              <w:t>Ar(OMe)(OEt) (APR)</w:t>
            </w:r>
          </w:p>
        </w:tc>
        <w:tc>
          <w:tcPr>
            <w:tcW w:w="1134" w:type="dxa"/>
          </w:tcPr>
          <w:p w:rsidR="005C4E8B" w:rsidRPr="00C57412" w:rsidRDefault="005C4E8B" w:rsidP="00881806">
            <w:pPr>
              <w:spacing w:before="60" w:after="60" w:line="276" w:lineRule="auto"/>
              <w:rPr>
                <w:rFonts w:cs="Times New Roman"/>
                <w:lang w:val="en-US"/>
              </w:rPr>
            </w:pPr>
            <w:r w:rsidRPr="00C57412">
              <w:rPr>
                <w:rFonts w:cs="Times New Roman"/>
                <w:lang w:val="en-US"/>
              </w:rPr>
              <w:t>3.42</w:t>
            </w:r>
          </w:p>
          <w:p w:rsidR="005C4E8B" w:rsidRPr="00C57412" w:rsidRDefault="005C4E8B" w:rsidP="00881806">
            <w:pPr>
              <w:spacing w:before="60" w:after="60" w:line="276" w:lineRule="auto"/>
              <w:rPr>
                <w:rFonts w:cs="Times New Roman"/>
                <w:lang w:val="en-US"/>
              </w:rPr>
            </w:pPr>
            <w:r w:rsidRPr="00C57412">
              <w:rPr>
                <w:rFonts w:cs="Times New Roman"/>
                <w:lang w:val="en-US"/>
              </w:rPr>
              <w:t>3.68</w:t>
            </w:r>
          </w:p>
        </w:tc>
        <w:tc>
          <w:tcPr>
            <w:tcW w:w="1275" w:type="dxa"/>
          </w:tcPr>
          <w:p w:rsidR="005C4E8B" w:rsidRPr="00C57412" w:rsidRDefault="005C4E8B" w:rsidP="00881806">
            <w:pPr>
              <w:spacing w:before="60" w:after="60" w:line="276" w:lineRule="auto"/>
              <w:rPr>
                <w:rFonts w:cs="Times New Roman"/>
                <w:lang w:val="en-US"/>
              </w:rPr>
            </w:pPr>
            <w:r w:rsidRPr="00C57412">
              <w:rPr>
                <w:rFonts w:cs="Times New Roman"/>
                <w:lang w:val="en-US"/>
              </w:rPr>
              <w:t>61.3</w:t>
            </w:r>
          </w:p>
          <w:p w:rsidR="005C4E8B" w:rsidRPr="00C57412" w:rsidRDefault="005C4E8B" w:rsidP="00881806">
            <w:pPr>
              <w:spacing w:before="60" w:after="60" w:line="276" w:lineRule="auto"/>
              <w:rPr>
                <w:rFonts w:cs="Times New Roman"/>
                <w:lang w:val="en-US"/>
              </w:rPr>
            </w:pPr>
            <w:r w:rsidRPr="00C57412">
              <w:rPr>
                <w:rFonts w:cs="Times New Roman"/>
                <w:lang w:val="en-US"/>
              </w:rPr>
              <w:t>33.7</w:t>
            </w:r>
          </w:p>
        </w:tc>
      </w:tr>
    </w:tbl>
    <w:p w:rsidR="005C4E8B" w:rsidRPr="00C57412" w:rsidRDefault="005C4E8B" w:rsidP="005C4E8B">
      <w:pPr>
        <w:rPr>
          <w:rFonts w:cs="Times New Roman"/>
          <w:sz w:val="22"/>
          <w:lang w:val="en-US"/>
        </w:rPr>
      </w:pPr>
    </w:p>
    <w:p w:rsidR="005C4E8B" w:rsidRPr="00C57412" w:rsidRDefault="00954FCD" w:rsidP="00954FCD">
      <w:pPr>
        <w:jc w:val="center"/>
        <w:rPr>
          <w:rFonts w:cs="Times New Roman"/>
          <w:sz w:val="22"/>
          <w:lang w:val="en-GB"/>
        </w:rPr>
      </w:pPr>
      <w:r w:rsidRPr="00C57412">
        <w:rPr>
          <w:rFonts w:cs="Times New Roman"/>
          <w:noProof/>
          <w:sz w:val="22"/>
          <w:lang w:eastAsia="pl-PL"/>
        </w:rPr>
        <w:drawing>
          <wp:inline distT="0" distB="0" distL="0" distR="0">
            <wp:extent cx="1955618" cy="1752254"/>
            <wp:effectExtent l="19050" t="0" r="6532" b="0"/>
            <wp:docPr id="6" name="Obraz 2" descr="C:\Users\Marta\Desktop\publikacje_2019\apr_paper2\ar-ar_interac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publikacje_2019\apr_paper2\ar-ar_interactions.tif"/>
                    <pic:cNvPicPr>
                      <a:picLocks noChangeAspect="1" noChangeArrowheads="1"/>
                    </pic:cNvPicPr>
                  </pic:nvPicPr>
                  <pic:blipFill>
                    <a:blip r:embed="rId22"/>
                    <a:srcRect/>
                    <a:stretch>
                      <a:fillRect/>
                    </a:stretch>
                  </pic:blipFill>
                  <pic:spPr bwMode="auto">
                    <a:xfrm>
                      <a:off x="0" y="0"/>
                      <a:ext cx="1954613" cy="1751353"/>
                    </a:xfrm>
                    <a:prstGeom prst="rect">
                      <a:avLst/>
                    </a:prstGeom>
                    <a:noFill/>
                    <a:ln w="9525">
                      <a:noFill/>
                      <a:miter lim="800000"/>
                      <a:headEnd/>
                      <a:tailEnd/>
                    </a:ln>
                  </pic:spPr>
                </pic:pic>
              </a:graphicData>
            </a:graphic>
          </wp:inline>
        </w:drawing>
      </w:r>
    </w:p>
    <w:p w:rsidR="005C4E8B" w:rsidRPr="005C4E8B" w:rsidRDefault="005C4E8B" w:rsidP="00954FCD">
      <w:pPr>
        <w:spacing w:line="240" w:lineRule="auto"/>
        <w:jc w:val="both"/>
        <w:rPr>
          <w:rFonts w:cs="Times New Roman"/>
          <w:sz w:val="22"/>
          <w:lang w:val="en-GB"/>
        </w:rPr>
      </w:pPr>
      <w:r w:rsidRPr="00C57412">
        <w:rPr>
          <w:rFonts w:cs="Times New Roman"/>
          <w:b/>
          <w:sz w:val="22"/>
          <w:lang w:val="en-GB"/>
        </w:rPr>
        <w:t>Figure S6.</w:t>
      </w:r>
      <w:r w:rsidRPr="00C57412">
        <w:rPr>
          <w:rFonts w:cs="Times New Roman"/>
          <w:sz w:val="22"/>
          <w:lang w:val="en-GB"/>
        </w:rPr>
        <w:t xml:space="preserve"> Geometric parameters for aromatic – aromatic interact</w:t>
      </w:r>
      <w:r w:rsidR="005E64D9" w:rsidRPr="00C57412">
        <w:rPr>
          <w:rFonts w:cs="Times New Roman"/>
          <w:sz w:val="22"/>
          <w:lang w:val="en-GB"/>
        </w:rPr>
        <w:t>.</w:t>
      </w:r>
      <w:r w:rsidRPr="00C57412">
        <w:rPr>
          <w:rFonts w:cs="Times New Roman"/>
          <w:sz w:val="22"/>
          <w:lang w:val="en-GB"/>
        </w:rPr>
        <w:t>ions given in Table S7.</w:t>
      </w:r>
      <w:r w:rsidR="00954FCD" w:rsidRPr="00C57412">
        <w:rPr>
          <w:rFonts w:cs="Times New Roman"/>
          <w:sz w:val="22"/>
          <w:lang w:val="en-GB"/>
        </w:rPr>
        <w:t xml:space="preserve"> Purple balls mark centroids of the interacting aromatic ring</w:t>
      </w:r>
      <w:r w:rsidR="005E64D9" w:rsidRPr="00C57412">
        <w:rPr>
          <w:rFonts w:cs="Times New Roman"/>
          <w:sz w:val="22"/>
          <w:lang w:val="en-GB"/>
        </w:rPr>
        <w:t>.</w:t>
      </w:r>
    </w:p>
    <w:sectPr w:rsidR="005C4E8B" w:rsidRPr="005C4E8B" w:rsidSect="0022227F">
      <w:endnotePr>
        <w:numFmt w:val="decimal"/>
      </w:end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485" w:rsidRDefault="00BC5485" w:rsidP="00D84926">
      <w:pPr>
        <w:spacing w:after="0" w:line="240" w:lineRule="auto"/>
      </w:pPr>
      <w:r>
        <w:separator/>
      </w:r>
    </w:p>
  </w:endnote>
  <w:endnote w:type="continuationSeparator" w:id="1">
    <w:p w:rsidR="00BC5485" w:rsidRDefault="00BC5485" w:rsidP="00D849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imbusRomNo9L-Regu">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485" w:rsidRDefault="00BC5485" w:rsidP="00D84926">
      <w:pPr>
        <w:spacing w:after="0" w:line="240" w:lineRule="auto"/>
      </w:pPr>
      <w:r>
        <w:separator/>
      </w:r>
    </w:p>
  </w:footnote>
  <w:footnote w:type="continuationSeparator" w:id="1">
    <w:p w:rsidR="00BC5485" w:rsidRDefault="00BC5485" w:rsidP="00D849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20E05"/>
    <w:multiLevelType w:val="hybridMultilevel"/>
    <w:tmpl w:val="DC22C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numFmt w:val="decimal"/>
    <w:endnote w:id="0"/>
    <w:endnote w:id="1"/>
  </w:endnotePr>
  <w:compat/>
  <w:rsids>
    <w:rsidRoot w:val="00C40237"/>
    <w:rsid w:val="00001909"/>
    <w:rsid w:val="000074BD"/>
    <w:rsid w:val="00010863"/>
    <w:rsid w:val="00011B9E"/>
    <w:rsid w:val="0001558F"/>
    <w:rsid w:val="00021030"/>
    <w:rsid w:val="00031ED7"/>
    <w:rsid w:val="00035424"/>
    <w:rsid w:val="00045847"/>
    <w:rsid w:val="00052666"/>
    <w:rsid w:val="00080028"/>
    <w:rsid w:val="0008544B"/>
    <w:rsid w:val="00092642"/>
    <w:rsid w:val="000A5017"/>
    <w:rsid w:val="000A627A"/>
    <w:rsid w:val="000B000C"/>
    <w:rsid w:val="000B1E54"/>
    <w:rsid w:val="000C14A1"/>
    <w:rsid w:val="000C3B40"/>
    <w:rsid w:val="000C578B"/>
    <w:rsid w:val="000C7371"/>
    <w:rsid w:val="000D21A2"/>
    <w:rsid w:val="000D76DC"/>
    <w:rsid w:val="000E320A"/>
    <w:rsid w:val="000E348A"/>
    <w:rsid w:val="000E5BB8"/>
    <w:rsid w:val="00101C7D"/>
    <w:rsid w:val="00113DE7"/>
    <w:rsid w:val="00116F63"/>
    <w:rsid w:val="00125352"/>
    <w:rsid w:val="00127073"/>
    <w:rsid w:val="00137EBD"/>
    <w:rsid w:val="00150410"/>
    <w:rsid w:val="00152047"/>
    <w:rsid w:val="001552D0"/>
    <w:rsid w:val="001625C0"/>
    <w:rsid w:val="0017384C"/>
    <w:rsid w:val="0017663A"/>
    <w:rsid w:val="0019659C"/>
    <w:rsid w:val="001A1FB0"/>
    <w:rsid w:val="001B7840"/>
    <w:rsid w:val="001C19E7"/>
    <w:rsid w:val="001D138D"/>
    <w:rsid w:val="001D2138"/>
    <w:rsid w:val="001E4949"/>
    <w:rsid w:val="001F65A1"/>
    <w:rsid w:val="00213481"/>
    <w:rsid w:val="00213D82"/>
    <w:rsid w:val="002207CC"/>
    <w:rsid w:val="00220E75"/>
    <w:rsid w:val="0022227F"/>
    <w:rsid w:val="002223A2"/>
    <w:rsid w:val="002274AB"/>
    <w:rsid w:val="0023599E"/>
    <w:rsid w:val="00243429"/>
    <w:rsid w:val="00250FE4"/>
    <w:rsid w:val="002539A2"/>
    <w:rsid w:val="0025647A"/>
    <w:rsid w:val="00266BDC"/>
    <w:rsid w:val="002733EA"/>
    <w:rsid w:val="00274356"/>
    <w:rsid w:val="002750FB"/>
    <w:rsid w:val="00277C98"/>
    <w:rsid w:val="00277E18"/>
    <w:rsid w:val="00285AB5"/>
    <w:rsid w:val="00291D70"/>
    <w:rsid w:val="002951CB"/>
    <w:rsid w:val="002B7A59"/>
    <w:rsid w:val="002C5001"/>
    <w:rsid w:val="002C66D1"/>
    <w:rsid w:val="002C69A0"/>
    <w:rsid w:val="002D1079"/>
    <w:rsid w:val="002D2088"/>
    <w:rsid w:val="002E3D3B"/>
    <w:rsid w:val="002E6B1B"/>
    <w:rsid w:val="002E76FB"/>
    <w:rsid w:val="002F2969"/>
    <w:rsid w:val="002F38F5"/>
    <w:rsid w:val="002F458B"/>
    <w:rsid w:val="002F5910"/>
    <w:rsid w:val="002F608E"/>
    <w:rsid w:val="002F6F84"/>
    <w:rsid w:val="0030289D"/>
    <w:rsid w:val="00307370"/>
    <w:rsid w:val="003210E9"/>
    <w:rsid w:val="003225FC"/>
    <w:rsid w:val="00325805"/>
    <w:rsid w:val="00327D48"/>
    <w:rsid w:val="0033483A"/>
    <w:rsid w:val="00335654"/>
    <w:rsid w:val="00336348"/>
    <w:rsid w:val="00340486"/>
    <w:rsid w:val="00367272"/>
    <w:rsid w:val="003731AB"/>
    <w:rsid w:val="003812ED"/>
    <w:rsid w:val="00383C52"/>
    <w:rsid w:val="00385354"/>
    <w:rsid w:val="0039179D"/>
    <w:rsid w:val="0039478D"/>
    <w:rsid w:val="003954D6"/>
    <w:rsid w:val="003968EC"/>
    <w:rsid w:val="003A1616"/>
    <w:rsid w:val="003A5B8E"/>
    <w:rsid w:val="003A6228"/>
    <w:rsid w:val="003A6A76"/>
    <w:rsid w:val="003C0857"/>
    <w:rsid w:val="003C0873"/>
    <w:rsid w:val="003C3400"/>
    <w:rsid w:val="003C4554"/>
    <w:rsid w:val="003D008B"/>
    <w:rsid w:val="003D3026"/>
    <w:rsid w:val="003D50BF"/>
    <w:rsid w:val="003D58D3"/>
    <w:rsid w:val="003D6778"/>
    <w:rsid w:val="003E748C"/>
    <w:rsid w:val="003F0448"/>
    <w:rsid w:val="003F3985"/>
    <w:rsid w:val="003F4342"/>
    <w:rsid w:val="00401ED5"/>
    <w:rsid w:val="00423DE4"/>
    <w:rsid w:val="0042715E"/>
    <w:rsid w:val="0043435D"/>
    <w:rsid w:val="00436718"/>
    <w:rsid w:val="004414E3"/>
    <w:rsid w:val="00442C10"/>
    <w:rsid w:val="00443788"/>
    <w:rsid w:val="0044458B"/>
    <w:rsid w:val="004650BB"/>
    <w:rsid w:val="00483154"/>
    <w:rsid w:val="00484044"/>
    <w:rsid w:val="00484368"/>
    <w:rsid w:val="00493C76"/>
    <w:rsid w:val="004C4A15"/>
    <w:rsid w:val="004C629D"/>
    <w:rsid w:val="004C69F9"/>
    <w:rsid w:val="004C7505"/>
    <w:rsid w:val="004D4961"/>
    <w:rsid w:val="004E6318"/>
    <w:rsid w:val="004F304D"/>
    <w:rsid w:val="004F56C8"/>
    <w:rsid w:val="004F5F04"/>
    <w:rsid w:val="00513E7F"/>
    <w:rsid w:val="005143D0"/>
    <w:rsid w:val="0051585C"/>
    <w:rsid w:val="00521559"/>
    <w:rsid w:val="00526304"/>
    <w:rsid w:val="00531059"/>
    <w:rsid w:val="00532A09"/>
    <w:rsid w:val="00535900"/>
    <w:rsid w:val="00540663"/>
    <w:rsid w:val="0055293F"/>
    <w:rsid w:val="00552A2E"/>
    <w:rsid w:val="00552D53"/>
    <w:rsid w:val="005612A4"/>
    <w:rsid w:val="00563623"/>
    <w:rsid w:val="0056388D"/>
    <w:rsid w:val="00564DA6"/>
    <w:rsid w:val="00566EAF"/>
    <w:rsid w:val="0057721C"/>
    <w:rsid w:val="005804A9"/>
    <w:rsid w:val="005830B0"/>
    <w:rsid w:val="00586A4B"/>
    <w:rsid w:val="005A2B69"/>
    <w:rsid w:val="005A46E3"/>
    <w:rsid w:val="005B2A37"/>
    <w:rsid w:val="005B6382"/>
    <w:rsid w:val="005C2B3F"/>
    <w:rsid w:val="005C4E8B"/>
    <w:rsid w:val="005D4877"/>
    <w:rsid w:val="005E4D9F"/>
    <w:rsid w:val="005E64D9"/>
    <w:rsid w:val="005F4F8D"/>
    <w:rsid w:val="006110BD"/>
    <w:rsid w:val="006128C3"/>
    <w:rsid w:val="006150AA"/>
    <w:rsid w:val="006160C0"/>
    <w:rsid w:val="00616CFF"/>
    <w:rsid w:val="00625A6D"/>
    <w:rsid w:val="00625D29"/>
    <w:rsid w:val="0062616E"/>
    <w:rsid w:val="00631712"/>
    <w:rsid w:val="00634B6D"/>
    <w:rsid w:val="00636050"/>
    <w:rsid w:val="00636D73"/>
    <w:rsid w:val="00641635"/>
    <w:rsid w:val="00652ED6"/>
    <w:rsid w:val="006714D2"/>
    <w:rsid w:val="00672F1B"/>
    <w:rsid w:val="006749CC"/>
    <w:rsid w:val="0068652C"/>
    <w:rsid w:val="00690430"/>
    <w:rsid w:val="006911CB"/>
    <w:rsid w:val="0069531C"/>
    <w:rsid w:val="006A30CE"/>
    <w:rsid w:val="006B404B"/>
    <w:rsid w:val="006B49C7"/>
    <w:rsid w:val="006C0CA8"/>
    <w:rsid w:val="006C618D"/>
    <w:rsid w:val="006D2D7D"/>
    <w:rsid w:val="006D435B"/>
    <w:rsid w:val="006E526C"/>
    <w:rsid w:val="006E56F0"/>
    <w:rsid w:val="006F32FA"/>
    <w:rsid w:val="006F355D"/>
    <w:rsid w:val="006F6CE2"/>
    <w:rsid w:val="006F72F5"/>
    <w:rsid w:val="00700D53"/>
    <w:rsid w:val="0072478F"/>
    <w:rsid w:val="007320A3"/>
    <w:rsid w:val="0074179C"/>
    <w:rsid w:val="00753BBB"/>
    <w:rsid w:val="00753F86"/>
    <w:rsid w:val="00755608"/>
    <w:rsid w:val="00765393"/>
    <w:rsid w:val="00765B4F"/>
    <w:rsid w:val="00767318"/>
    <w:rsid w:val="0077645E"/>
    <w:rsid w:val="00777F5C"/>
    <w:rsid w:val="00783D8C"/>
    <w:rsid w:val="007A003F"/>
    <w:rsid w:val="007A2BAD"/>
    <w:rsid w:val="007B1318"/>
    <w:rsid w:val="007B1E06"/>
    <w:rsid w:val="007B469A"/>
    <w:rsid w:val="007B4A01"/>
    <w:rsid w:val="007B58D2"/>
    <w:rsid w:val="007B7443"/>
    <w:rsid w:val="007B74A0"/>
    <w:rsid w:val="007C6E6A"/>
    <w:rsid w:val="007D1DD9"/>
    <w:rsid w:val="007E2DA7"/>
    <w:rsid w:val="007E7BF3"/>
    <w:rsid w:val="007F4AD2"/>
    <w:rsid w:val="008011AF"/>
    <w:rsid w:val="0080138E"/>
    <w:rsid w:val="00803B65"/>
    <w:rsid w:val="008152A4"/>
    <w:rsid w:val="00835ACC"/>
    <w:rsid w:val="00851A42"/>
    <w:rsid w:val="008550FD"/>
    <w:rsid w:val="00862AD3"/>
    <w:rsid w:val="00873939"/>
    <w:rsid w:val="00882477"/>
    <w:rsid w:val="00884E7E"/>
    <w:rsid w:val="00885FCE"/>
    <w:rsid w:val="00895FD9"/>
    <w:rsid w:val="00896D72"/>
    <w:rsid w:val="008A2742"/>
    <w:rsid w:val="008A6945"/>
    <w:rsid w:val="008B04DB"/>
    <w:rsid w:val="008D0D1C"/>
    <w:rsid w:val="008D291E"/>
    <w:rsid w:val="008D527A"/>
    <w:rsid w:val="008F082C"/>
    <w:rsid w:val="009043CE"/>
    <w:rsid w:val="00905508"/>
    <w:rsid w:val="0091419F"/>
    <w:rsid w:val="00927811"/>
    <w:rsid w:val="00930443"/>
    <w:rsid w:val="00954FCD"/>
    <w:rsid w:val="00960B21"/>
    <w:rsid w:val="00966881"/>
    <w:rsid w:val="00967CA1"/>
    <w:rsid w:val="00980F7A"/>
    <w:rsid w:val="009842D9"/>
    <w:rsid w:val="009A2A1C"/>
    <w:rsid w:val="009B33F3"/>
    <w:rsid w:val="009C155B"/>
    <w:rsid w:val="009C7891"/>
    <w:rsid w:val="009D1404"/>
    <w:rsid w:val="009E6AFC"/>
    <w:rsid w:val="009F0DE8"/>
    <w:rsid w:val="009F36AE"/>
    <w:rsid w:val="009F5505"/>
    <w:rsid w:val="009F627E"/>
    <w:rsid w:val="00A00525"/>
    <w:rsid w:val="00A039EE"/>
    <w:rsid w:val="00A05CB4"/>
    <w:rsid w:val="00A10CE5"/>
    <w:rsid w:val="00A13739"/>
    <w:rsid w:val="00A13F5C"/>
    <w:rsid w:val="00A248FA"/>
    <w:rsid w:val="00A26C98"/>
    <w:rsid w:val="00A400CF"/>
    <w:rsid w:val="00A43470"/>
    <w:rsid w:val="00A46AD0"/>
    <w:rsid w:val="00A46BEE"/>
    <w:rsid w:val="00A47C7C"/>
    <w:rsid w:val="00A50D6E"/>
    <w:rsid w:val="00A5121E"/>
    <w:rsid w:val="00A567AE"/>
    <w:rsid w:val="00A61406"/>
    <w:rsid w:val="00A65144"/>
    <w:rsid w:val="00A80A14"/>
    <w:rsid w:val="00A80AC9"/>
    <w:rsid w:val="00A84E1D"/>
    <w:rsid w:val="00A8542A"/>
    <w:rsid w:val="00A957FA"/>
    <w:rsid w:val="00AB19EB"/>
    <w:rsid w:val="00AB435F"/>
    <w:rsid w:val="00AC3346"/>
    <w:rsid w:val="00AC750D"/>
    <w:rsid w:val="00AD715D"/>
    <w:rsid w:val="00AE4B62"/>
    <w:rsid w:val="00AF1C40"/>
    <w:rsid w:val="00AF56D8"/>
    <w:rsid w:val="00B0399B"/>
    <w:rsid w:val="00B03E65"/>
    <w:rsid w:val="00B07B1F"/>
    <w:rsid w:val="00B1296B"/>
    <w:rsid w:val="00B1401E"/>
    <w:rsid w:val="00B202FD"/>
    <w:rsid w:val="00B20FCD"/>
    <w:rsid w:val="00B24346"/>
    <w:rsid w:val="00B24ABA"/>
    <w:rsid w:val="00B31FF9"/>
    <w:rsid w:val="00B34898"/>
    <w:rsid w:val="00B42F8D"/>
    <w:rsid w:val="00B457DB"/>
    <w:rsid w:val="00B567A5"/>
    <w:rsid w:val="00B807D1"/>
    <w:rsid w:val="00B9176D"/>
    <w:rsid w:val="00B97D1E"/>
    <w:rsid w:val="00BA4BFE"/>
    <w:rsid w:val="00BB3439"/>
    <w:rsid w:val="00BB5ADA"/>
    <w:rsid w:val="00BB6915"/>
    <w:rsid w:val="00BC0625"/>
    <w:rsid w:val="00BC5485"/>
    <w:rsid w:val="00BD207B"/>
    <w:rsid w:val="00BD6DDC"/>
    <w:rsid w:val="00BE7E2C"/>
    <w:rsid w:val="00BF1BC1"/>
    <w:rsid w:val="00C10D3C"/>
    <w:rsid w:val="00C12F49"/>
    <w:rsid w:val="00C13B3C"/>
    <w:rsid w:val="00C30141"/>
    <w:rsid w:val="00C308B2"/>
    <w:rsid w:val="00C40237"/>
    <w:rsid w:val="00C42A08"/>
    <w:rsid w:val="00C4571D"/>
    <w:rsid w:val="00C52194"/>
    <w:rsid w:val="00C57412"/>
    <w:rsid w:val="00C62A49"/>
    <w:rsid w:val="00C65694"/>
    <w:rsid w:val="00C7167D"/>
    <w:rsid w:val="00C81421"/>
    <w:rsid w:val="00C82F82"/>
    <w:rsid w:val="00CA5A95"/>
    <w:rsid w:val="00CB56F1"/>
    <w:rsid w:val="00CC0E33"/>
    <w:rsid w:val="00CC30D0"/>
    <w:rsid w:val="00CC3D00"/>
    <w:rsid w:val="00CD5EA8"/>
    <w:rsid w:val="00CD5F6C"/>
    <w:rsid w:val="00CE0849"/>
    <w:rsid w:val="00CF5E8A"/>
    <w:rsid w:val="00D0083B"/>
    <w:rsid w:val="00D0261B"/>
    <w:rsid w:val="00D02C6C"/>
    <w:rsid w:val="00D0322F"/>
    <w:rsid w:val="00D03EE1"/>
    <w:rsid w:val="00D04387"/>
    <w:rsid w:val="00D255E9"/>
    <w:rsid w:val="00D32EAB"/>
    <w:rsid w:val="00D40384"/>
    <w:rsid w:val="00D44D04"/>
    <w:rsid w:val="00D470DF"/>
    <w:rsid w:val="00D71C23"/>
    <w:rsid w:val="00D84926"/>
    <w:rsid w:val="00D92AE0"/>
    <w:rsid w:val="00D951E1"/>
    <w:rsid w:val="00DA5B1C"/>
    <w:rsid w:val="00DB04E9"/>
    <w:rsid w:val="00DB4FB3"/>
    <w:rsid w:val="00DB5453"/>
    <w:rsid w:val="00DC3796"/>
    <w:rsid w:val="00DC3ACA"/>
    <w:rsid w:val="00DC6CA1"/>
    <w:rsid w:val="00DE032C"/>
    <w:rsid w:val="00DF069A"/>
    <w:rsid w:val="00DF3F60"/>
    <w:rsid w:val="00DF68E5"/>
    <w:rsid w:val="00E20CDF"/>
    <w:rsid w:val="00E26DF1"/>
    <w:rsid w:val="00E30061"/>
    <w:rsid w:val="00E301F8"/>
    <w:rsid w:val="00E34B52"/>
    <w:rsid w:val="00E42A85"/>
    <w:rsid w:val="00E46955"/>
    <w:rsid w:val="00E50F1B"/>
    <w:rsid w:val="00E632DC"/>
    <w:rsid w:val="00E72DB4"/>
    <w:rsid w:val="00E73188"/>
    <w:rsid w:val="00E74B21"/>
    <w:rsid w:val="00E77D4F"/>
    <w:rsid w:val="00E83080"/>
    <w:rsid w:val="00E83465"/>
    <w:rsid w:val="00E9074C"/>
    <w:rsid w:val="00E92B00"/>
    <w:rsid w:val="00E96A32"/>
    <w:rsid w:val="00EA020F"/>
    <w:rsid w:val="00EA379E"/>
    <w:rsid w:val="00EB55E1"/>
    <w:rsid w:val="00EC0491"/>
    <w:rsid w:val="00ED12B0"/>
    <w:rsid w:val="00EE1BE2"/>
    <w:rsid w:val="00EE1F6D"/>
    <w:rsid w:val="00EE7530"/>
    <w:rsid w:val="00EE7564"/>
    <w:rsid w:val="00EE79A3"/>
    <w:rsid w:val="00EE7C14"/>
    <w:rsid w:val="00EF6416"/>
    <w:rsid w:val="00F22057"/>
    <w:rsid w:val="00F26C77"/>
    <w:rsid w:val="00F42B0B"/>
    <w:rsid w:val="00F4495B"/>
    <w:rsid w:val="00F5023C"/>
    <w:rsid w:val="00F615B9"/>
    <w:rsid w:val="00F619AD"/>
    <w:rsid w:val="00F62E4C"/>
    <w:rsid w:val="00F735CA"/>
    <w:rsid w:val="00F7454D"/>
    <w:rsid w:val="00F80DCE"/>
    <w:rsid w:val="00F9405B"/>
    <w:rsid w:val="00FB0D49"/>
    <w:rsid w:val="00FB2DF2"/>
    <w:rsid w:val="00FB37CE"/>
    <w:rsid w:val="00FB46BE"/>
    <w:rsid w:val="00FC0B0E"/>
    <w:rsid w:val="00FC7F01"/>
    <w:rsid w:val="00FD07C2"/>
    <w:rsid w:val="00FE70BA"/>
    <w:rsid w:val="00FF068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6E3"/>
    <w:pPr>
      <w:spacing w:after="120" w:line="360" w:lineRule="auto"/>
    </w:pPr>
    <w:rPr>
      <w:rFonts w:ascii="Times New Roman" w:hAnsi="Times New Roman"/>
      <w:sz w:val="24"/>
    </w:rPr>
  </w:style>
  <w:style w:type="paragraph" w:styleId="Nagwek1">
    <w:name w:val="heading 1"/>
    <w:basedOn w:val="Normalny"/>
    <w:next w:val="Normalny"/>
    <w:link w:val="Nagwek1Znak"/>
    <w:uiPriority w:val="9"/>
    <w:qFormat/>
    <w:rsid w:val="00285A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285A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unhideWhenUsed/>
    <w:rsid w:val="00D849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D84926"/>
    <w:rPr>
      <w:rFonts w:ascii="Times New Roman" w:hAnsi="Times New Roman"/>
      <w:sz w:val="20"/>
      <w:szCs w:val="20"/>
    </w:rPr>
  </w:style>
  <w:style w:type="character" w:styleId="Odwoanieprzypisukocowego">
    <w:name w:val="endnote reference"/>
    <w:basedOn w:val="Domylnaczcionkaakapitu"/>
    <w:uiPriority w:val="99"/>
    <w:semiHidden/>
    <w:unhideWhenUsed/>
    <w:rsid w:val="00D84926"/>
    <w:rPr>
      <w:vertAlign w:val="superscript"/>
    </w:rPr>
  </w:style>
  <w:style w:type="character" w:styleId="Tekstzastpczy">
    <w:name w:val="Placeholder Text"/>
    <w:basedOn w:val="Domylnaczcionkaakapitu"/>
    <w:uiPriority w:val="99"/>
    <w:semiHidden/>
    <w:rsid w:val="00150410"/>
    <w:rPr>
      <w:color w:val="808080"/>
    </w:rPr>
  </w:style>
  <w:style w:type="table" w:styleId="Tabela-Siatka">
    <w:name w:val="Table Grid"/>
    <w:basedOn w:val="Standardowy"/>
    <w:uiPriority w:val="59"/>
    <w:rsid w:val="00A61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DA5B1C"/>
    <w:rPr>
      <w:i/>
      <w:iCs/>
    </w:rPr>
  </w:style>
  <w:style w:type="paragraph" w:styleId="Tekstdymka">
    <w:name w:val="Balloon Text"/>
    <w:basedOn w:val="Normalny"/>
    <w:link w:val="TekstdymkaZnak"/>
    <w:uiPriority w:val="99"/>
    <w:semiHidden/>
    <w:unhideWhenUsed/>
    <w:rsid w:val="00CC3D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3D00"/>
    <w:rPr>
      <w:rFonts w:ascii="Tahoma" w:hAnsi="Tahoma" w:cs="Tahoma"/>
      <w:sz w:val="16"/>
      <w:szCs w:val="16"/>
    </w:rPr>
  </w:style>
  <w:style w:type="character" w:customStyle="1" w:styleId="Nagwek2Znak">
    <w:name w:val="Nagłówek 2 Znak"/>
    <w:basedOn w:val="Domylnaczcionkaakapitu"/>
    <w:link w:val="Nagwek2"/>
    <w:uiPriority w:val="9"/>
    <w:semiHidden/>
    <w:rsid w:val="00285AB5"/>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285AB5"/>
    <w:rPr>
      <w:rFonts w:asciiTheme="majorHAnsi" w:eastAsiaTheme="majorEastAsia" w:hAnsiTheme="majorHAnsi" w:cstheme="majorBidi"/>
      <w:b/>
      <w:bCs/>
      <w:color w:val="365F91" w:themeColor="accent1" w:themeShade="BF"/>
      <w:sz w:val="28"/>
      <w:szCs w:val="28"/>
    </w:rPr>
  </w:style>
  <w:style w:type="character" w:customStyle="1" w:styleId="icapages">
    <w:name w:val="ica_pages"/>
    <w:basedOn w:val="Domylnaczcionkaakapitu"/>
    <w:uiPriority w:val="99"/>
    <w:rsid w:val="002C5001"/>
  </w:style>
  <w:style w:type="character" w:styleId="Hipercze">
    <w:name w:val="Hyperlink"/>
    <w:basedOn w:val="Domylnaczcionkaakapitu"/>
    <w:uiPriority w:val="99"/>
    <w:unhideWhenUsed/>
    <w:rsid w:val="002C5001"/>
    <w:rPr>
      <w:color w:val="0000FF" w:themeColor="hyperlink"/>
      <w:u w:val="single"/>
    </w:rPr>
  </w:style>
  <w:style w:type="character" w:customStyle="1" w:styleId="citation">
    <w:name w:val="citation"/>
    <w:basedOn w:val="Domylnaczcionkaakapitu"/>
    <w:rsid w:val="00A80A14"/>
  </w:style>
  <w:style w:type="character" w:customStyle="1" w:styleId="ref-journal">
    <w:name w:val="ref-journal"/>
    <w:basedOn w:val="Domylnaczcionkaakapitu"/>
    <w:rsid w:val="00A80A14"/>
  </w:style>
  <w:style w:type="character" w:customStyle="1" w:styleId="ref-vol">
    <w:name w:val="ref-vol"/>
    <w:basedOn w:val="Domylnaczcionkaakapitu"/>
    <w:rsid w:val="00A80A14"/>
  </w:style>
  <w:style w:type="character" w:styleId="Pogrubienie">
    <w:name w:val="Strong"/>
    <w:basedOn w:val="Domylnaczcionkaakapitu"/>
    <w:uiPriority w:val="22"/>
    <w:qFormat/>
    <w:rsid w:val="00C52194"/>
    <w:rPr>
      <w:b/>
      <w:bCs/>
    </w:rPr>
  </w:style>
  <w:style w:type="character" w:customStyle="1" w:styleId="italic">
    <w:name w:val="italic"/>
    <w:basedOn w:val="Domylnaczcionkaakapitu"/>
    <w:rsid w:val="004F304D"/>
  </w:style>
  <w:style w:type="character" w:customStyle="1" w:styleId="bold">
    <w:name w:val="bold"/>
    <w:basedOn w:val="Domylnaczcionkaakapitu"/>
    <w:rsid w:val="004F304D"/>
  </w:style>
  <w:style w:type="paragraph" w:styleId="Nagwek">
    <w:name w:val="header"/>
    <w:basedOn w:val="Normalny"/>
    <w:link w:val="NagwekZnak"/>
    <w:uiPriority w:val="99"/>
    <w:semiHidden/>
    <w:unhideWhenUsed/>
    <w:rsid w:val="000E348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E348A"/>
    <w:rPr>
      <w:rFonts w:ascii="Times New Roman" w:hAnsi="Times New Roman"/>
      <w:sz w:val="24"/>
    </w:rPr>
  </w:style>
  <w:style w:type="paragraph" w:styleId="Stopka">
    <w:name w:val="footer"/>
    <w:basedOn w:val="Normalny"/>
    <w:link w:val="StopkaZnak"/>
    <w:uiPriority w:val="99"/>
    <w:unhideWhenUsed/>
    <w:rsid w:val="000E34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348A"/>
    <w:rPr>
      <w:rFonts w:ascii="Times New Roman" w:hAnsi="Times New Roman"/>
      <w:sz w:val="24"/>
    </w:rPr>
  </w:style>
  <w:style w:type="character" w:customStyle="1" w:styleId="it">
    <w:name w:val="it"/>
    <w:basedOn w:val="Domylnaczcionkaakapitu"/>
    <w:rsid w:val="0057721C"/>
  </w:style>
  <w:style w:type="character" w:customStyle="1" w:styleId="b">
    <w:name w:val="b"/>
    <w:basedOn w:val="Domylnaczcionkaakapitu"/>
    <w:rsid w:val="0057721C"/>
  </w:style>
  <w:style w:type="numbering" w:customStyle="1" w:styleId="Bezlisty1">
    <w:name w:val="Bez listy1"/>
    <w:next w:val="Bezlisty"/>
    <w:uiPriority w:val="99"/>
    <w:semiHidden/>
    <w:unhideWhenUsed/>
    <w:rsid w:val="00DC3796"/>
  </w:style>
  <w:style w:type="paragraph" w:styleId="Akapitzlist">
    <w:name w:val="List Paragraph"/>
    <w:basedOn w:val="Normalny"/>
    <w:uiPriority w:val="34"/>
    <w:qFormat/>
    <w:rsid w:val="00DC3796"/>
    <w:pPr>
      <w:spacing w:after="200" w:line="276" w:lineRule="auto"/>
      <w:ind w:left="720"/>
      <w:contextualSpacing/>
    </w:pPr>
    <w:rPr>
      <w:rFonts w:asciiTheme="minorHAnsi" w:hAnsiTheme="minorHAnsi"/>
      <w:sz w:val="22"/>
    </w:rPr>
  </w:style>
  <w:style w:type="table" w:customStyle="1" w:styleId="Tabela-Siatka1">
    <w:name w:val="Tabela - Siatka1"/>
    <w:basedOn w:val="Standardowy"/>
    <w:next w:val="Tabela-Siatka"/>
    <w:uiPriority w:val="59"/>
    <w:rsid w:val="00DC37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1780855">
      <w:bodyDiv w:val="1"/>
      <w:marLeft w:val="0"/>
      <w:marRight w:val="0"/>
      <w:marTop w:val="0"/>
      <w:marBottom w:val="0"/>
      <w:divBdr>
        <w:top w:val="none" w:sz="0" w:space="0" w:color="auto"/>
        <w:left w:val="none" w:sz="0" w:space="0" w:color="auto"/>
        <w:bottom w:val="none" w:sz="0" w:space="0" w:color="auto"/>
        <w:right w:val="none" w:sz="0" w:space="0" w:color="auto"/>
      </w:divBdr>
    </w:div>
    <w:div w:id="434059013">
      <w:bodyDiv w:val="1"/>
      <w:marLeft w:val="0"/>
      <w:marRight w:val="0"/>
      <w:marTop w:val="0"/>
      <w:marBottom w:val="0"/>
      <w:divBdr>
        <w:top w:val="none" w:sz="0" w:space="0" w:color="auto"/>
        <w:left w:val="none" w:sz="0" w:space="0" w:color="auto"/>
        <w:bottom w:val="none" w:sz="0" w:space="0" w:color="auto"/>
        <w:right w:val="none" w:sz="0" w:space="0" w:color="auto"/>
      </w:divBdr>
      <w:divsChild>
        <w:div w:id="1057362514">
          <w:marLeft w:val="0"/>
          <w:marRight w:val="0"/>
          <w:marTop w:val="0"/>
          <w:marBottom w:val="0"/>
          <w:divBdr>
            <w:top w:val="none" w:sz="0" w:space="0" w:color="auto"/>
            <w:left w:val="none" w:sz="0" w:space="0" w:color="auto"/>
            <w:bottom w:val="none" w:sz="0" w:space="0" w:color="auto"/>
            <w:right w:val="none" w:sz="0" w:space="0" w:color="auto"/>
          </w:divBdr>
        </w:div>
        <w:div w:id="1532305251">
          <w:marLeft w:val="0"/>
          <w:marRight w:val="0"/>
          <w:marTop w:val="0"/>
          <w:marBottom w:val="0"/>
          <w:divBdr>
            <w:top w:val="none" w:sz="0" w:space="0" w:color="auto"/>
            <w:left w:val="none" w:sz="0" w:space="0" w:color="auto"/>
            <w:bottom w:val="none" w:sz="0" w:space="0" w:color="auto"/>
            <w:right w:val="none" w:sz="0" w:space="0" w:color="auto"/>
          </w:divBdr>
        </w:div>
      </w:divsChild>
    </w:div>
    <w:div w:id="469371901">
      <w:bodyDiv w:val="1"/>
      <w:marLeft w:val="0"/>
      <w:marRight w:val="0"/>
      <w:marTop w:val="0"/>
      <w:marBottom w:val="0"/>
      <w:divBdr>
        <w:top w:val="none" w:sz="0" w:space="0" w:color="auto"/>
        <w:left w:val="none" w:sz="0" w:space="0" w:color="auto"/>
        <w:bottom w:val="none" w:sz="0" w:space="0" w:color="auto"/>
        <w:right w:val="none" w:sz="0" w:space="0" w:color="auto"/>
      </w:divBdr>
      <w:divsChild>
        <w:div w:id="75245032">
          <w:marLeft w:val="0"/>
          <w:marRight w:val="0"/>
          <w:marTop w:val="0"/>
          <w:marBottom w:val="0"/>
          <w:divBdr>
            <w:top w:val="none" w:sz="0" w:space="0" w:color="auto"/>
            <w:left w:val="none" w:sz="0" w:space="0" w:color="auto"/>
            <w:bottom w:val="none" w:sz="0" w:space="0" w:color="auto"/>
            <w:right w:val="none" w:sz="0" w:space="0" w:color="auto"/>
          </w:divBdr>
          <w:divsChild>
            <w:div w:id="754398178">
              <w:marLeft w:val="0"/>
              <w:marRight w:val="0"/>
              <w:marTop w:val="0"/>
              <w:marBottom w:val="0"/>
              <w:divBdr>
                <w:top w:val="none" w:sz="0" w:space="0" w:color="auto"/>
                <w:left w:val="none" w:sz="0" w:space="0" w:color="auto"/>
                <w:bottom w:val="none" w:sz="0" w:space="0" w:color="auto"/>
                <w:right w:val="none" w:sz="0" w:space="0" w:color="auto"/>
              </w:divBdr>
            </w:div>
          </w:divsChild>
        </w:div>
        <w:div w:id="963314786">
          <w:marLeft w:val="0"/>
          <w:marRight w:val="0"/>
          <w:marTop w:val="0"/>
          <w:marBottom w:val="0"/>
          <w:divBdr>
            <w:top w:val="none" w:sz="0" w:space="0" w:color="auto"/>
            <w:left w:val="none" w:sz="0" w:space="0" w:color="auto"/>
            <w:bottom w:val="none" w:sz="0" w:space="0" w:color="auto"/>
            <w:right w:val="none" w:sz="0" w:space="0" w:color="auto"/>
          </w:divBdr>
        </w:div>
      </w:divsChild>
    </w:div>
    <w:div w:id="477697268">
      <w:bodyDiv w:val="1"/>
      <w:marLeft w:val="0"/>
      <w:marRight w:val="0"/>
      <w:marTop w:val="0"/>
      <w:marBottom w:val="0"/>
      <w:divBdr>
        <w:top w:val="none" w:sz="0" w:space="0" w:color="auto"/>
        <w:left w:val="none" w:sz="0" w:space="0" w:color="auto"/>
        <w:bottom w:val="none" w:sz="0" w:space="0" w:color="auto"/>
        <w:right w:val="none" w:sz="0" w:space="0" w:color="auto"/>
      </w:divBdr>
    </w:div>
    <w:div w:id="483200983">
      <w:bodyDiv w:val="1"/>
      <w:marLeft w:val="0"/>
      <w:marRight w:val="0"/>
      <w:marTop w:val="0"/>
      <w:marBottom w:val="0"/>
      <w:divBdr>
        <w:top w:val="none" w:sz="0" w:space="0" w:color="auto"/>
        <w:left w:val="none" w:sz="0" w:space="0" w:color="auto"/>
        <w:bottom w:val="none" w:sz="0" w:space="0" w:color="auto"/>
        <w:right w:val="none" w:sz="0" w:space="0" w:color="auto"/>
      </w:divBdr>
    </w:div>
    <w:div w:id="488909223">
      <w:bodyDiv w:val="1"/>
      <w:marLeft w:val="0"/>
      <w:marRight w:val="0"/>
      <w:marTop w:val="0"/>
      <w:marBottom w:val="0"/>
      <w:divBdr>
        <w:top w:val="none" w:sz="0" w:space="0" w:color="auto"/>
        <w:left w:val="none" w:sz="0" w:space="0" w:color="auto"/>
        <w:bottom w:val="none" w:sz="0" w:space="0" w:color="auto"/>
        <w:right w:val="none" w:sz="0" w:space="0" w:color="auto"/>
      </w:divBdr>
    </w:div>
    <w:div w:id="533419294">
      <w:bodyDiv w:val="1"/>
      <w:marLeft w:val="0"/>
      <w:marRight w:val="0"/>
      <w:marTop w:val="0"/>
      <w:marBottom w:val="0"/>
      <w:divBdr>
        <w:top w:val="none" w:sz="0" w:space="0" w:color="auto"/>
        <w:left w:val="none" w:sz="0" w:space="0" w:color="auto"/>
        <w:bottom w:val="none" w:sz="0" w:space="0" w:color="auto"/>
        <w:right w:val="none" w:sz="0" w:space="0" w:color="auto"/>
      </w:divBdr>
    </w:div>
    <w:div w:id="596445098">
      <w:bodyDiv w:val="1"/>
      <w:marLeft w:val="0"/>
      <w:marRight w:val="0"/>
      <w:marTop w:val="0"/>
      <w:marBottom w:val="0"/>
      <w:divBdr>
        <w:top w:val="none" w:sz="0" w:space="0" w:color="auto"/>
        <w:left w:val="none" w:sz="0" w:space="0" w:color="auto"/>
        <w:bottom w:val="none" w:sz="0" w:space="0" w:color="auto"/>
        <w:right w:val="none" w:sz="0" w:space="0" w:color="auto"/>
      </w:divBdr>
      <w:divsChild>
        <w:div w:id="471757842">
          <w:marLeft w:val="0"/>
          <w:marRight w:val="0"/>
          <w:marTop w:val="0"/>
          <w:marBottom w:val="0"/>
          <w:divBdr>
            <w:top w:val="none" w:sz="0" w:space="0" w:color="auto"/>
            <w:left w:val="none" w:sz="0" w:space="0" w:color="auto"/>
            <w:bottom w:val="none" w:sz="0" w:space="0" w:color="auto"/>
            <w:right w:val="none" w:sz="0" w:space="0" w:color="auto"/>
          </w:divBdr>
          <w:divsChild>
            <w:div w:id="2107997260">
              <w:marLeft w:val="0"/>
              <w:marRight w:val="0"/>
              <w:marTop w:val="0"/>
              <w:marBottom w:val="0"/>
              <w:divBdr>
                <w:top w:val="none" w:sz="0" w:space="0" w:color="auto"/>
                <w:left w:val="none" w:sz="0" w:space="0" w:color="auto"/>
                <w:bottom w:val="none" w:sz="0" w:space="0" w:color="auto"/>
                <w:right w:val="none" w:sz="0" w:space="0" w:color="auto"/>
              </w:divBdr>
            </w:div>
          </w:divsChild>
        </w:div>
        <w:div w:id="121851777">
          <w:marLeft w:val="0"/>
          <w:marRight w:val="0"/>
          <w:marTop w:val="0"/>
          <w:marBottom w:val="0"/>
          <w:divBdr>
            <w:top w:val="none" w:sz="0" w:space="0" w:color="auto"/>
            <w:left w:val="none" w:sz="0" w:space="0" w:color="auto"/>
            <w:bottom w:val="none" w:sz="0" w:space="0" w:color="auto"/>
            <w:right w:val="none" w:sz="0" w:space="0" w:color="auto"/>
          </w:divBdr>
        </w:div>
      </w:divsChild>
    </w:div>
    <w:div w:id="752431864">
      <w:bodyDiv w:val="1"/>
      <w:marLeft w:val="0"/>
      <w:marRight w:val="0"/>
      <w:marTop w:val="0"/>
      <w:marBottom w:val="0"/>
      <w:divBdr>
        <w:top w:val="none" w:sz="0" w:space="0" w:color="auto"/>
        <w:left w:val="none" w:sz="0" w:space="0" w:color="auto"/>
        <w:bottom w:val="none" w:sz="0" w:space="0" w:color="auto"/>
        <w:right w:val="none" w:sz="0" w:space="0" w:color="auto"/>
      </w:divBdr>
    </w:div>
    <w:div w:id="769858343">
      <w:bodyDiv w:val="1"/>
      <w:marLeft w:val="0"/>
      <w:marRight w:val="0"/>
      <w:marTop w:val="0"/>
      <w:marBottom w:val="0"/>
      <w:divBdr>
        <w:top w:val="none" w:sz="0" w:space="0" w:color="auto"/>
        <w:left w:val="none" w:sz="0" w:space="0" w:color="auto"/>
        <w:bottom w:val="none" w:sz="0" w:space="0" w:color="auto"/>
        <w:right w:val="none" w:sz="0" w:space="0" w:color="auto"/>
      </w:divBdr>
      <w:divsChild>
        <w:div w:id="1032612849">
          <w:marLeft w:val="0"/>
          <w:marRight w:val="0"/>
          <w:marTop w:val="0"/>
          <w:marBottom w:val="0"/>
          <w:divBdr>
            <w:top w:val="none" w:sz="0" w:space="0" w:color="auto"/>
            <w:left w:val="none" w:sz="0" w:space="0" w:color="auto"/>
            <w:bottom w:val="none" w:sz="0" w:space="0" w:color="auto"/>
            <w:right w:val="none" w:sz="0" w:space="0" w:color="auto"/>
          </w:divBdr>
          <w:divsChild>
            <w:div w:id="1840270279">
              <w:marLeft w:val="0"/>
              <w:marRight w:val="0"/>
              <w:marTop w:val="0"/>
              <w:marBottom w:val="0"/>
              <w:divBdr>
                <w:top w:val="none" w:sz="0" w:space="0" w:color="auto"/>
                <w:left w:val="none" w:sz="0" w:space="0" w:color="auto"/>
                <w:bottom w:val="none" w:sz="0" w:space="0" w:color="auto"/>
                <w:right w:val="none" w:sz="0" w:space="0" w:color="auto"/>
              </w:divBdr>
            </w:div>
          </w:divsChild>
        </w:div>
        <w:div w:id="1257322534">
          <w:marLeft w:val="0"/>
          <w:marRight w:val="0"/>
          <w:marTop w:val="0"/>
          <w:marBottom w:val="0"/>
          <w:divBdr>
            <w:top w:val="none" w:sz="0" w:space="0" w:color="auto"/>
            <w:left w:val="none" w:sz="0" w:space="0" w:color="auto"/>
            <w:bottom w:val="none" w:sz="0" w:space="0" w:color="auto"/>
            <w:right w:val="none" w:sz="0" w:space="0" w:color="auto"/>
          </w:divBdr>
          <w:divsChild>
            <w:div w:id="1828203895">
              <w:marLeft w:val="0"/>
              <w:marRight w:val="0"/>
              <w:marTop w:val="0"/>
              <w:marBottom w:val="0"/>
              <w:divBdr>
                <w:top w:val="none" w:sz="0" w:space="0" w:color="auto"/>
                <w:left w:val="none" w:sz="0" w:space="0" w:color="auto"/>
                <w:bottom w:val="none" w:sz="0" w:space="0" w:color="auto"/>
                <w:right w:val="none" w:sz="0" w:space="0" w:color="auto"/>
              </w:divBdr>
              <w:divsChild>
                <w:div w:id="1424762909">
                  <w:marLeft w:val="0"/>
                  <w:marRight w:val="0"/>
                  <w:marTop w:val="0"/>
                  <w:marBottom w:val="0"/>
                  <w:divBdr>
                    <w:top w:val="none" w:sz="0" w:space="0" w:color="auto"/>
                    <w:left w:val="none" w:sz="0" w:space="0" w:color="auto"/>
                    <w:bottom w:val="none" w:sz="0" w:space="0" w:color="auto"/>
                    <w:right w:val="none" w:sz="0" w:space="0" w:color="auto"/>
                  </w:divBdr>
                  <w:divsChild>
                    <w:div w:id="1097991300">
                      <w:marLeft w:val="0"/>
                      <w:marRight w:val="0"/>
                      <w:marTop w:val="0"/>
                      <w:marBottom w:val="0"/>
                      <w:divBdr>
                        <w:top w:val="none" w:sz="0" w:space="0" w:color="auto"/>
                        <w:left w:val="none" w:sz="0" w:space="0" w:color="auto"/>
                        <w:bottom w:val="none" w:sz="0" w:space="0" w:color="auto"/>
                        <w:right w:val="none" w:sz="0" w:space="0" w:color="auto"/>
                      </w:divBdr>
                      <w:divsChild>
                        <w:div w:id="50010035">
                          <w:marLeft w:val="0"/>
                          <w:marRight w:val="0"/>
                          <w:marTop w:val="0"/>
                          <w:marBottom w:val="0"/>
                          <w:divBdr>
                            <w:top w:val="none" w:sz="0" w:space="0" w:color="auto"/>
                            <w:left w:val="none" w:sz="0" w:space="0" w:color="auto"/>
                            <w:bottom w:val="none" w:sz="0" w:space="0" w:color="auto"/>
                            <w:right w:val="none" w:sz="0" w:space="0" w:color="auto"/>
                          </w:divBdr>
                          <w:divsChild>
                            <w:div w:id="9130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62812">
      <w:bodyDiv w:val="1"/>
      <w:marLeft w:val="0"/>
      <w:marRight w:val="0"/>
      <w:marTop w:val="0"/>
      <w:marBottom w:val="0"/>
      <w:divBdr>
        <w:top w:val="none" w:sz="0" w:space="0" w:color="auto"/>
        <w:left w:val="none" w:sz="0" w:space="0" w:color="auto"/>
        <w:bottom w:val="none" w:sz="0" w:space="0" w:color="auto"/>
        <w:right w:val="none" w:sz="0" w:space="0" w:color="auto"/>
      </w:divBdr>
    </w:div>
    <w:div w:id="860513512">
      <w:bodyDiv w:val="1"/>
      <w:marLeft w:val="0"/>
      <w:marRight w:val="0"/>
      <w:marTop w:val="0"/>
      <w:marBottom w:val="0"/>
      <w:divBdr>
        <w:top w:val="none" w:sz="0" w:space="0" w:color="auto"/>
        <w:left w:val="none" w:sz="0" w:space="0" w:color="auto"/>
        <w:bottom w:val="none" w:sz="0" w:space="0" w:color="auto"/>
        <w:right w:val="none" w:sz="0" w:space="0" w:color="auto"/>
      </w:divBdr>
      <w:divsChild>
        <w:div w:id="203758128">
          <w:marLeft w:val="0"/>
          <w:marRight w:val="0"/>
          <w:marTop w:val="0"/>
          <w:marBottom w:val="135"/>
          <w:divBdr>
            <w:top w:val="none" w:sz="0" w:space="0" w:color="auto"/>
            <w:left w:val="none" w:sz="0" w:space="0" w:color="auto"/>
            <w:bottom w:val="single" w:sz="12" w:space="9" w:color="EBEBEB"/>
            <w:right w:val="none" w:sz="0" w:space="0" w:color="auto"/>
          </w:divBdr>
          <w:divsChild>
            <w:div w:id="1451432305">
              <w:marLeft w:val="0"/>
              <w:marRight w:val="0"/>
              <w:marTop w:val="0"/>
              <w:marBottom w:val="0"/>
              <w:divBdr>
                <w:top w:val="none" w:sz="0" w:space="0" w:color="auto"/>
                <w:left w:val="none" w:sz="0" w:space="0" w:color="auto"/>
                <w:bottom w:val="none" w:sz="0" w:space="0" w:color="auto"/>
                <w:right w:val="none" w:sz="0" w:space="0" w:color="auto"/>
              </w:divBdr>
              <w:divsChild>
                <w:div w:id="13506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5817">
          <w:marLeft w:val="0"/>
          <w:marRight w:val="0"/>
          <w:marTop w:val="0"/>
          <w:marBottom w:val="120"/>
          <w:divBdr>
            <w:top w:val="none" w:sz="0" w:space="0" w:color="auto"/>
            <w:left w:val="none" w:sz="0" w:space="0" w:color="auto"/>
            <w:bottom w:val="none" w:sz="0" w:space="0" w:color="auto"/>
            <w:right w:val="none" w:sz="0" w:space="0" w:color="auto"/>
          </w:divBdr>
          <w:divsChild>
            <w:div w:id="1842963260">
              <w:marLeft w:val="0"/>
              <w:marRight w:val="0"/>
              <w:marTop w:val="0"/>
              <w:marBottom w:val="0"/>
              <w:divBdr>
                <w:top w:val="none" w:sz="0" w:space="0" w:color="auto"/>
                <w:left w:val="none" w:sz="0" w:space="0" w:color="auto"/>
                <w:bottom w:val="none" w:sz="0" w:space="0" w:color="auto"/>
                <w:right w:val="none" w:sz="0" w:space="0" w:color="auto"/>
              </w:divBdr>
              <w:divsChild>
                <w:div w:id="980620579">
                  <w:marLeft w:val="0"/>
                  <w:marRight w:val="0"/>
                  <w:marTop w:val="0"/>
                  <w:marBottom w:val="0"/>
                  <w:divBdr>
                    <w:top w:val="none" w:sz="0" w:space="0" w:color="auto"/>
                    <w:left w:val="none" w:sz="0" w:space="0" w:color="auto"/>
                    <w:bottom w:val="none" w:sz="0" w:space="0" w:color="auto"/>
                    <w:right w:val="none" w:sz="0" w:space="0" w:color="auto"/>
                  </w:divBdr>
                  <w:divsChild>
                    <w:div w:id="7601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48746">
      <w:bodyDiv w:val="1"/>
      <w:marLeft w:val="0"/>
      <w:marRight w:val="0"/>
      <w:marTop w:val="0"/>
      <w:marBottom w:val="0"/>
      <w:divBdr>
        <w:top w:val="none" w:sz="0" w:space="0" w:color="auto"/>
        <w:left w:val="none" w:sz="0" w:space="0" w:color="auto"/>
        <w:bottom w:val="none" w:sz="0" w:space="0" w:color="auto"/>
        <w:right w:val="none" w:sz="0" w:space="0" w:color="auto"/>
      </w:divBdr>
      <w:divsChild>
        <w:div w:id="604920754">
          <w:marLeft w:val="0"/>
          <w:marRight w:val="0"/>
          <w:marTop w:val="0"/>
          <w:marBottom w:val="0"/>
          <w:divBdr>
            <w:top w:val="none" w:sz="0" w:space="0" w:color="auto"/>
            <w:left w:val="none" w:sz="0" w:space="0" w:color="auto"/>
            <w:bottom w:val="none" w:sz="0" w:space="0" w:color="auto"/>
            <w:right w:val="none" w:sz="0" w:space="0" w:color="auto"/>
          </w:divBdr>
          <w:divsChild>
            <w:div w:id="1130317139">
              <w:marLeft w:val="0"/>
              <w:marRight w:val="0"/>
              <w:marTop w:val="0"/>
              <w:marBottom w:val="0"/>
              <w:divBdr>
                <w:top w:val="none" w:sz="0" w:space="0" w:color="auto"/>
                <w:left w:val="none" w:sz="0" w:space="0" w:color="auto"/>
                <w:bottom w:val="none" w:sz="0" w:space="0" w:color="auto"/>
                <w:right w:val="none" w:sz="0" w:space="0" w:color="auto"/>
              </w:divBdr>
            </w:div>
          </w:divsChild>
        </w:div>
        <w:div w:id="1604267122">
          <w:marLeft w:val="0"/>
          <w:marRight w:val="0"/>
          <w:marTop w:val="0"/>
          <w:marBottom w:val="0"/>
          <w:divBdr>
            <w:top w:val="none" w:sz="0" w:space="0" w:color="auto"/>
            <w:left w:val="none" w:sz="0" w:space="0" w:color="auto"/>
            <w:bottom w:val="none" w:sz="0" w:space="0" w:color="auto"/>
            <w:right w:val="none" w:sz="0" w:space="0" w:color="auto"/>
          </w:divBdr>
        </w:div>
      </w:divsChild>
    </w:div>
    <w:div w:id="894201429">
      <w:bodyDiv w:val="1"/>
      <w:marLeft w:val="0"/>
      <w:marRight w:val="0"/>
      <w:marTop w:val="0"/>
      <w:marBottom w:val="0"/>
      <w:divBdr>
        <w:top w:val="none" w:sz="0" w:space="0" w:color="auto"/>
        <w:left w:val="none" w:sz="0" w:space="0" w:color="auto"/>
        <w:bottom w:val="none" w:sz="0" w:space="0" w:color="auto"/>
        <w:right w:val="none" w:sz="0" w:space="0" w:color="auto"/>
      </w:divBdr>
    </w:div>
    <w:div w:id="980158102">
      <w:bodyDiv w:val="1"/>
      <w:marLeft w:val="0"/>
      <w:marRight w:val="0"/>
      <w:marTop w:val="0"/>
      <w:marBottom w:val="0"/>
      <w:divBdr>
        <w:top w:val="none" w:sz="0" w:space="0" w:color="auto"/>
        <w:left w:val="none" w:sz="0" w:space="0" w:color="auto"/>
        <w:bottom w:val="none" w:sz="0" w:space="0" w:color="auto"/>
        <w:right w:val="none" w:sz="0" w:space="0" w:color="auto"/>
      </w:divBdr>
    </w:div>
    <w:div w:id="1166288069">
      <w:bodyDiv w:val="1"/>
      <w:marLeft w:val="0"/>
      <w:marRight w:val="0"/>
      <w:marTop w:val="0"/>
      <w:marBottom w:val="0"/>
      <w:divBdr>
        <w:top w:val="none" w:sz="0" w:space="0" w:color="auto"/>
        <w:left w:val="none" w:sz="0" w:space="0" w:color="auto"/>
        <w:bottom w:val="none" w:sz="0" w:space="0" w:color="auto"/>
        <w:right w:val="none" w:sz="0" w:space="0" w:color="auto"/>
      </w:divBdr>
    </w:div>
    <w:div w:id="1221788480">
      <w:bodyDiv w:val="1"/>
      <w:marLeft w:val="0"/>
      <w:marRight w:val="0"/>
      <w:marTop w:val="0"/>
      <w:marBottom w:val="0"/>
      <w:divBdr>
        <w:top w:val="none" w:sz="0" w:space="0" w:color="auto"/>
        <w:left w:val="none" w:sz="0" w:space="0" w:color="auto"/>
        <w:bottom w:val="none" w:sz="0" w:space="0" w:color="auto"/>
        <w:right w:val="none" w:sz="0" w:space="0" w:color="auto"/>
      </w:divBdr>
      <w:divsChild>
        <w:div w:id="703137794">
          <w:marLeft w:val="0"/>
          <w:marRight w:val="0"/>
          <w:marTop w:val="0"/>
          <w:marBottom w:val="0"/>
          <w:divBdr>
            <w:top w:val="none" w:sz="0" w:space="0" w:color="auto"/>
            <w:left w:val="none" w:sz="0" w:space="0" w:color="auto"/>
            <w:bottom w:val="none" w:sz="0" w:space="0" w:color="auto"/>
            <w:right w:val="none" w:sz="0" w:space="0" w:color="auto"/>
          </w:divBdr>
        </w:div>
        <w:div w:id="762454764">
          <w:marLeft w:val="0"/>
          <w:marRight w:val="0"/>
          <w:marTop w:val="0"/>
          <w:marBottom w:val="0"/>
          <w:divBdr>
            <w:top w:val="none" w:sz="0" w:space="0" w:color="auto"/>
            <w:left w:val="none" w:sz="0" w:space="0" w:color="auto"/>
            <w:bottom w:val="none" w:sz="0" w:space="0" w:color="auto"/>
            <w:right w:val="none" w:sz="0" w:space="0" w:color="auto"/>
          </w:divBdr>
        </w:div>
      </w:divsChild>
    </w:div>
    <w:div w:id="1253930778">
      <w:bodyDiv w:val="1"/>
      <w:marLeft w:val="0"/>
      <w:marRight w:val="0"/>
      <w:marTop w:val="0"/>
      <w:marBottom w:val="0"/>
      <w:divBdr>
        <w:top w:val="none" w:sz="0" w:space="0" w:color="auto"/>
        <w:left w:val="none" w:sz="0" w:space="0" w:color="auto"/>
        <w:bottom w:val="none" w:sz="0" w:space="0" w:color="auto"/>
        <w:right w:val="none" w:sz="0" w:space="0" w:color="auto"/>
      </w:divBdr>
    </w:div>
    <w:div w:id="1347095857">
      <w:bodyDiv w:val="1"/>
      <w:marLeft w:val="0"/>
      <w:marRight w:val="0"/>
      <w:marTop w:val="0"/>
      <w:marBottom w:val="0"/>
      <w:divBdr>
        <w:top w:val="none" w:sz="0" w:space="0" w:color="auto"/>
        <w:left w:val="none" w:sz="0" w:space="0" w:color="auto"/>
        <w:bottom w:val="none" w:sz="0" w:space="0" w:color="auto"/>
        <w:right w:val="none" w:sz="0" w:space="0" w:color="auto"/>
      </w:divBdr>
    </w:div>
    <w:div w:id="1491094839">
      <w:bodyDiv w:val="1"/>
      <w:marLeft w:val="0"/>
      <w:marRight w:val="0"/>
      <w:marTop w:val="0"/>
      <w:marBottom w:val="0"/>
      <w:divBdr>
        <w:top w:val="none" w:sz="0" w:space="0" w:color="auto"/>
        <w:left w:val="none" w:sz="0" w:space="0" w:color="auto"/>
        <w:bottom w:val="none" w:sz="0" w:space="0" w:color="auto"/>
        <w:right w:val="none" w:sz="0" w:space="0" w:color="auto"/>
      </w:divBdr>
    </w:div>
    <w:div w:id="1571960533">
      <w:bodyDiv w:val="1"/>
      <w:marLeft w:val="0"/>
      <w:marRight w:val="0"/>
      <w:marTop w:val="0"/>
      <w:marBottom w:val="0"/>
      <w:divBdr>
        <w:top w:val="none" w:sz="0" w:space="0" w:color="auto"/>
        <w:left w:val="none" w:sz="0" w:space="0" w:color="auto"/>
        <w:bottom w:val="none" w:sz="0" w:space="0" w:color="auto"/>
        <w:right w:val="none" w:sz="0" w:space="0" w:color="auto"/>
      </w:divBdr>
    </w:div>
    <w:div w:id="1582787628">
      <w:bodyDiv w:val="1"/>
      <w:marLeft w:val="0"/>
      <w:marRight w:val="0"/>
      <w:marTop w:val="0"/>
      <w:marBottom w:val="0"/>
      <w:divBdr>
        <w:top w:val="none" w:sz="0" w:space="0" w:color="auto"/>
        <w:left w:val="none" w:sz="0" w:space="0" w:color="auto"/>
        <w:bottom w:val="none" w:sz="0" w:space="0" w:color="auto"/>
        <w:right w:val="none" w:sz="0" w:space="0" w:color="auto"/>
      </w:divBdr>
    </w:div>
    <w:div w:id="1592813295">
      <w:bodyDiv w:val="1"/>
      <w:marLeft w:val="0"/>
      <w:marRight w:val="0"/>
      <w:marTop w:val="0"/>
      <w:marBottom w:val="0"/>
      <w:divBdr>
        <w:top w:val="none" w:sz="0" w:space="0" w:color="auto"/>
        <w:left w:val="none" w:sz="0" w:space="0" w:color="auto"/>
        <w:bottom w:val="none" w:sz="0" w:space="0" w:color="auto"/>
        <w:right w:val="none" w:sz="0" w:space="0" w:color="auto"/>
      </w:divBdr>
      <w:divsChild>
        <w:div w:id="1421870943">
          <w:marLeft w:val="0"/>
          <w:marRight w:val="0"/>
          <w:marTop w:val="0"/>
          <w:marBottom w:val="0"/>
          <w:divBdr>
            <w:top w:val="none" w:sz="0" w:space="0" w:color="auto"/>
            <w:left w:val="none" w:sz="0" w:space="0" w:color="auto"/>
            <w:bottom w:val="none" w:sz="0" w:space="0" w:color="auto"/>
            <w:right w:val="none" w:sz="0" w:space="0" w:color="auto"/>
          </w:divBdr>
        </w:div>
      </w:divsChild>
    </w:div>
    <w:div w:id="1666127878">
      <w:bodyDiv w:val="1"/>
      <w:marLeft w:val="0"/>
      <w:marRight w:val="0"/>
      <w:marTop w:val="0"/>
      <w:marBottom w:val="0"/>
      <w:divBdr>
        <w:top w:val="none" w:sz="0" w:space="0" w:color="auto"/>
        <w:left w:val="none" w:sz="0" w:space="0" w:color="auto"/>
        <w:bottom w:val="none" w:sz="0" w:space="0" w:color="auto"/>
        <w:right w:val="none" w:sz="0" w:space="0" w:color="auto"/>
      </w:divBdr>
    </w:div>
    <w:div w:id="1693146889">
      <w:bodyDiv w:val="1"/>
      <w:marLeft w:val="0"/>
      <w:marRight w:val="0"/>
      <w:marTop w:val="0"/>
      <w:marBottom w:val="0"/>
      <w:divBdr>
        <w:top w:val="none" w:sz="0" w:space="0" w:color="auto"/>
        <w:left w:val="none" w:sz="0" w:space="0" w:color="auto"/>
        <w:bottom w:val="none" w:sz="0" w:space="0" w:color="auto"/>
        <w:right w:val="none" w:sz="0" w:space="0" w:color="auto"/>
      </w:divBdr>
    </w:div>
    <w:div w:id="1704792510">
      <w:bodyDiv w:val="1"/>
      <w:marLeft w:val="0"/>
      <w:marRight w:val="0"/>
      <w:marTop w:val="0"/>
      <w:marBottom w:val="0"/>
      <w:divBdr>
        <w:top w:val="none" w:sz="0" w:space="0" w:color="auto"/>
        <w:left w:val="none" w:sz="0" w:space="0" w:color="auto"/>
        <w:bottom w:val="none" w:sz="0" w:space="0" w:color="auto"/>
        <w:right w:val="none" w:sz="0" w:space="0" w:color="auto"/>
      </w:divBdr>
      <w:divsChild>
        <w:div w:id="75791403">
          <w:marLeft w:val="0"/>
          <w:marRight w:val="0"/>
          <w:marTop w:val="0"/>
          <w:marBottom w:val="0"/>
          <w:divBdr>
            <w:top w:val="none" w:sz="0" w:space="0" w:color="auto"/>
            <w:left w:val="none" w:sz="0" w:space="0" w:color="auto"/>
            <w:bottom w:val="none" w:sz="0" w:space="0" w:color="auto"/>
            <w:right w:val="none" w:sz="0" w:space="0" w:color="auto"/>
          </w:divBdr>
        </w:div>
        <w:div w:id="680593911">
          <w:marLeft w:val="0"/>
          <w:marRight w:val="0"/>
          <w:marTop w:val="0"/>
          <w:marBottom w:val="0"/>
          <w:divBdr>
            <w:top w:val="none" w:sz="0" w:space="0" w:color="auto"/>
            <w:left w:val="none" w:sz="0" w:space="0" w:color="auto"/>
            <w:bottom w:val="none" w:sz="0" w:space="0" w:color="auto"/>
            <w:right w:val="none" w:sz="0" w:space="0" w:color="auto"/>
          </w:divBdr>
        </w:div>
      </w:divsChild>
    </w:div>
    <w:div w:id="195365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0AD04-6BD4-489B-8A4E-4FB4EA16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10253</Words>
  <Characters>61521</Characters>
  <Application>Microsoft Office Word</Application>
  <DocSecurity>0</DocSecurity>
  <Lines>512</Lines>
  <Paragraphs>143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MJP</dc:creator>
  <cp:lastModifiedBy>Marta</cp:lastModifiedBy>
  <cp:revision>3</cp:revision>
  <dcterms:created xsi:type="dcterms:W3CDTF">2019-06-26T14:40:00Z</dcterms:created>
  <dcterms:modified xsi:type="dcterms:W3CDTF">2019-06-26T14:40:00Z</dcterms:modified>
</cp:coreProperties>
</file>