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7D3B7" w14:textId="2B9A9377" w:rsidR="00845289" w:rsidRPr="00845289" w:rsidRDefault="00845289" w:rsidP="00845289">
      <w:pPr>
        <w:pStyle w:val="Heading1"/>
      </w:pPr>
      <w:bookmarkStart w:id="0" w:name="_GoBack"/>
      <w:bookmarkEnd w:id="0"/>
      <w:r>
        <w:t xml:space="preserve">Full title: The impact of BMI and smoking on risk of revision following knee and hip replacement surgery: </w:t>
      </w:r>
      <w:r w:rsidRPr="000F5A22">
        <w:t>evidence from routinely collected data</w:t>
      </w:r>
    </w:p>
    <w:p w14:paraId="2AF8B417" w14:textId="1EBC7DD8" w:rsidR="00434B2F" w:rsidRDefault="00434B2F" w:rsidP="00845289">
      <w:pPr>
        <w:pStyle w:val="Heading1"/>
        <w:rPr>
          <w:rFonts w:cstheme="minorHAnsi"/>
        </w:rPr>
      </w:pPr>
    </w:p>
    <w:p w14:paraId="40347F11" w14:textId="7E00851F" w:rsidR="00845289" w:rsidRDefault="00845289" w:rsidP="00845289">
      <w:pPr>
        <w:pStyle w:val="Heading1"/>
      </w:pPr>
      <w:r>
        <w:t>Running title: BMI, smoking, and risk of revision</w:t>
      </w:r>
    </w:p>
    <w:p w14:paraId="675D793E" w14:textId="77777777" w:rsidR="00845289" w:rsidRPr="00845289" w:rsidRDefault="00845289" w:rsidP="00845289"/>
    <w:p w14:paraId="2221A21C" w14:textId="6F0D4616" w:rsidR="00434B2F" w:rsidRDefault="00434B2F" w:rsidP="00434B2F">
      <w:pPr>
        <w:spacing w:line="360" w:lineRule="auto"/>
        <w:rPr>
          <w:rFonts w:cstheme="minorHAnsi"/>
        </w:rPr>
      </w:pPr>
      <w:r w:rsidRPr="007B3F74">
        <w:rPr>
          <w:rFonts w:cstheme="minorHAnsi"/>
        </w:rPr>
        <w:t>Burn E</w:t>
      </w:r>
      <w:r w:rsidRPr="007B3F74">
        <w:rPr>
          <w:rFonts w:cstheme="minorHAnsi"/>
          <w:vertAlign w:val="superscript"/>
        </w:rPr>
        <w:t>1</w:t>
      </w:r>
      <w:r w:rsidRPr="007B3F74">
        <w:rPr>
          <w:rFonts w:cstheme="minorHAnsi"/>
        </w:rPr>
        <w:t>, Edwards CJ</w:t>
      </w:r>
      <w:r w:rsidRPr="007B3F74">
        <w:rPr>
          <w:rFonts w:cstheme="minorHAnsi"/>
          <w:vertAlign w:val="superscript"/>
        </w:rPr>
        <w:t>2</w:t>
      </w:r>
      <w:r w:rsidRPr="007B3F74">
        <w:rPr>
          <w:rFonts w:cstheme="minorHAnsi"/>
        </w:rPr>
        <w:t>, Murray DW</w:t>
      </w:r>
      <w:r w:rsidRPr="007B3F74">
        <w:rPr>
          <w:rFonts w:cstheme="minorHAnsi"/>
          <w:vertAlign w:val="superscript"/>
        </w:rPr>
        <w:t>1</w:t>
      </w:r>
      <w:r w:rsidRPr="007B3F74">
        <w:rPr>
          <w:rFonts w:cstheme="minorHAnsi"/>
        </w:rPr>
        <w:t>, Silman A</w:t>
      </w:r>
      <w:r w:rsidRPr="007B3F74">
        <w:rPr>
          <w:rFonts w:cstheme="minorHAnsi"/>
          <w:vertAlign w:val="superscript"/>
        </w:rPr>
        <w:t>1</w:t>
      </w:r>
      <w:r w:rsidRPr="007B3F74">
        <w:rPr>
          <w:rFonts w:cstheme="minorHAnsi"/>
        </w:rPr>
        <w:t>, Cooper C</w:t>
      </w:r>
      <w:r w:rsidRPr="007B3F74">
        <w:rPr>
          <w:rFonts w:cstheme="minorHAnsi"/>
          <w:vertAlign w:val="superscript"/>
        </w:rPr>
        <w:t>1,3</w:t>
      </w:r>
      <w:r w:rsidRPr="007B3F74">
        <w:rPr>
          <w:rFonts w:cstheme="minorHAnsi"/>
        </w:rPr>
        <w:t>, Arden NK</w:t>
      </w:r>
      <w:r w:rsidRPr="007B3F74">
        <w:rPr>
          <w:rFonts w:cstheme="minorHAnsi"/>
          <w:vertAlign w:val="superscript"/>
        </w:rPr>
        <w:t>1,3</w:t>
      </w:r>
      <w:r w:rsidRPr="007B3F74">
        <w:rPr>
          <w:rFonts w:cstheme="minorHAnsi"/>
        </w:rPr>
        <w:t>, Prieto</w:t>
      </w:r>
      <w:r w:rsidRPr="007B3F74">
        <w:rPr>
          <w:rFonts w:cstheme="minorHAnsi"/>
        </w:rPr>
        <w:softHyphen/>
        <w:t>-Alhambra D</w:t>
      </w:r>
      <w:r w:rsidRPr="007B3F74">
        <w:rPr>
          <w:rFonts w:cstheme="minorHAnsi"/>
          <w:vertAlign w:val="superscript"/>
        </w:rPr>
        <w:t>1,4</w:t>
      </w:r>
      <w:r>
        <w:rPr>
          <w:rFonts w:cstheme="minorHAnsi"/>
          <w:vertAlign w:val="superscript"/>
        </w:rPr>
        <w:t xml:space="preserve"> </w:t>
      </w:r>
      <w:r>
        <w:rPr>
          <w:rFonts w:cstheme="minorHAnsi"/>
        </w:rPr>
        <w:t>and P</w:t>
      </w:r>
      <w:r w:rsidRPr="007B3F74">
        <w:rPr>
          <w:rFonts w:cstheme="minorHAnsi"/>
        </w:rPr>
        <w:t>inedo-Villanueva R</w:t>
      </w:r>
      <w:r w:rsidRPr="007B3F74">
        <w:rPr>
          <w:rFonts w:cstheme="minorHAnsi"/>
          <w:vertAlign w:val="superscript"/>
        </w:rPr>
        <w:t>1</w:t>
      </w:r>
    </w:p>
    <w:p w14:paraId="7F54D825" w14:textId="77777777" w:rsidR="00434B2F" w:rsidRPr="007B3F74" w:rsidRDefault="00434B2F" w:rsidP="00434B2F">
      <w:pPr>
        <w:spacing w:line="360" w:lineRule="auto"/>
        <w:rPr>
          <w:rFonts w:cstheme="minorHAnsi"/>
        </w:rPr>
      </w:pPr>
    </w:p>
    <w:p w14:paraId="74F50AAF" w14:textId="4084F27E" w:rsidR="00434B2F" w:rsidRPr="007B3F74" w:rsidRDefault="00434B2F" w:rsidP="00434B2F">
      <w:pPr>
        <w:spacing w:line="360" w:lineRule="auto"/>
        <w:rPr>
          <w:rFonts w:cstheme="minorHAnsi"/>
        </w:rPr>
      </w:pPr>
      <w:r w:rsidRPr="007B3F74">
        <w:rPr>
          <w:rFonts w:cstheme="minorHAnsi"/>
          <w:vertAlign w:val="superscript"/>
        </w:rPr>
        <w:t>1</w:t>
      </w:r>
      <w:r w:rsidRPr="007B3F74">
        <w:rPr>
          <w:rFonts w:cstheme="minorHAnsi"/>
        </w:rPr>
        <w:t>Nufield Department of Orthopaedics, Rheumatology and Musculoskeletal Sciences, University of Oxford</w:t>
      </w:r>
    </w:p>
    <w:p w14:paraId="77A7D687" w14:textId="6E3D4B76" w:rsidR="00434B2F" w:rsidRPr="007B3F74" w:rsidRDefault="00434B2F" w:rsidP="00434B2F">
      <w:pPr>
        <w:spacing w:line="360" w:lineRule="auto"/>
        <w:rPr>
          <w:rFonts w:cstheme="minorHAnsi"/>
        </w:rPr>
      </w:pPr>
      <w:r w:rsidRPr="002356DB">
        <w:rPr>
          <w:rFonts w:cstheme="minorHAnsi"/>
          <w:vertAlign w:val="superscript"/>
        </w:rPr>
        <w:t xml:space="preserve">2 </w:t>
      </w:r>
      <w:r w:rsidRPr="007B3F74">
        <w:rPr>
          <w:rFonts w:cstheme="minorHAnsi"/>
        </w:rPr>
        <w:t>NIHR Clinical Research Facility, University Hospital Southampton, Southampton, UK</w:t>
      </w:r>
    </w:p>
    <w:p w14:paraId="7CDDFC17" w14:textId="77777777" w:rsidR="00434B2F" w:rsidRPr="007B3F74" w:rsidRDefault="00434B2F" w:rsidP="00434B2F">
      <w:pPr>
        <w:spacing w:line="360" w:lineRule="auto"/>
        <w:rPr>
          <w:rFonts w:cstheme="minorHAnsi"/>
        </w:rPr>
      </w:pPr>
      <w:r w:rsidRPr="002356DB">
        <w:rPr>
          <w:rFonts w:cstheme="minorHAnsi"/>
          <w:vertAlign w:val="superscript"/>
        </w:rPr>
        <w:t xml:space="preserve">3 </w:t>
      </w:r>
      <w:r w:rsidRPr="007B3F74">
        <w:rPr>
          <w:rFonts w:cstheme="minorHAnsi"/>
        </w:rPr>
        <w:t>MRC Lifecourse Epidemiology Unit, Southampton University, Southampton, UK</w:t>
      </w:r>
    </w:p>
    <w:p w14:paraId="6B1CF2B8" w14:textId="77777777" w:rsidR="00434B2F" w:rsidRPr="00DF4AFC" w:rsidRDefault="00434B2F" w:rsidP="00434B2F">
      <w:pPr>
        <w:spacing w:line="360" w:lineRule="auto"/>
        <w:rPr>
          <w:rFonts w:cstheme="minorHAnsi"/>
          <w:lang w:val="es-ES"/>
        </w:rPr>
      </w:pPr>
      <w:r w:rsidRPr="002356DB">
        <w:rPr>
          <w:rFonts w:cstheme="minorHAnsi"/>
          <w:vertAlign w:val="superscript"/>
          <w:lang w:val="es-ES"/>
        </w:rPr>
        <w:t xml:space="preserve">4 </w:t>
      </w:r>
      <w:r w:rsidRPr="00DF4AFC">
        <w:rPr>
          <w:rFonts w:cstheme="minorHAnsi"/>
          <w:lang w:val="es-ES"/>
        </w:rPr>
        <w:t>GREMPAL Research Group, Idiap Jordi Gol and CIBERFes, Universitat Autonoma de Barcelona and Instituto de Salud Carlos III, Barcelona, Spain</w:t>
      </w:r>
    </w:p>
    <w:p w14:paraId="50985A21" w14:textId="77777777" w:rsidR="00434B2F" w:rsidRPr="00DF4AFC" w:rsidRDefault="00434B2F" w:rsidP="00434B2F">
      <w:pPr>
        <w:rPr>
          <w:rFonts w:cstheme="minorHAnsi"/>
          <w:lang w:val="es-ES"/>
        </w:rPr>
      </w:pPr>
    </w:p>
    <w:p w14:paraId="7FC6835E" w14:textId="77777777" w:rsidR="00DB4ED0" w:rsidRPr="004534E8" w:rsidRDefault="004534E8" w:rsidP="00D148FF">
      <w:pPr>
        <w:spacing w:line="360" w:lineRule="auto"/>
        <w:rPr>
          <w:u w:val="single"/>
        </w:rPr>
      </w:pPr>
      <w:r w:rsidRPr="004534E8">
        <w:rPr>
          <w:u w:val="single"/>
        </w:rPr>
        <w:t>CORRESPONDING AUTHOR</w:t>
      </w:r>
    </w:p>
    <w:p w14:paraId="3C8A3B62" w14:textId="77777777" w:rsidR="0025611F" w:rsidRDefault="004534E8" w:rsidP="00D148FF">
      <w:pPr>
        <w:spacing w:line="360" w:lineRule="auto"/>
      </w:pPr>
      <w:r>
        <w:t>D Prieto-Alhambra, Associate Professor and NIHR Clinician Scientist</w:t>
      </w:r>
      <w:r w:rsidR="0025611F">
        <w:t>,</w:t>
      </w:r>
    </w:p>
    <w:p w14:paraId="637DCE06" w14:textId="23061CC3" w:rsidR="0025611F" w:rsidRDefault="0025611F" w:rsidP="00D148FF">
      <w:pPr>
        <w:spacing w:line="360" w:lineRule="auto"/>
      </w:pPr>
      <w:r w:rsidRPr="0025611F">
        <w:t>daniel.prietoalhambra@ndorms.ox.ac.uk</w:t>
      </w:r>
      <w:r>
        <w:t xml:space="preserve">, </w:t>
      </w:r>
    </w:p>
    <w:p w14:paraId="1919783D" w14:textId="32042149" w:rsidR="004534E8" w:rsidRDefault="004534E8" w:rsidP="00D148FF">
      <w:pPr>
        <w:spacing w:line="360" w:lineRule="auto"/>
      </w:pPr>
      <w:r>
        <w:t>Botnar Research Centre, Windmill Road, OX37LD, OXFORD, UK</w:t>
      </w:r>
    </w:p>
    <w:p w14:paraId="01267FD3" w14:textId="14444676" w:rsidR="00434B2F" w:rsidRDefault="00434B2F" w:rsidP="00CA4BC1">
      <w:pPr>
        <w:rPr>
          <w:rFonts w:asciiTheme="majorHAnsi" w:eastAsiaTheme="majorEastAsia" w:hAnsiTheme="majorHAnsi" w:cstheme="majorBidi"/>
          <w:b/>
          <w:caps/>
          <w:color w:val="000000" w:themeColor="text1"/>
          <w:szCs w:val="32"/>
        </w:rPr>
      </w:pPr>
      <w:r>
        <w:br w:type="page"/>
      </w:r>
    </w:p>
    <w:p w14:paraId="3D0275F4" w14:textId="77777777" w:rsidR="00DB4ED0" w:rsidRDefault="00DB4ED0" w:rsidP="00D148FF">
      <w:pPr>
        <w:pStyle w:val="Heading1"/>
        <w:spacing w:line="360" w:lineRule="auto"/>
      </w:pPr>
      <w:r>
        <w:lastRenderedPageBreak/>
        <w:t>Abstract</w:t>
      </w:r>
    </w:p>
    <w:p w14:paraId="5CC3ABC0" w14:textId="08426C71" w:rsidR="004F349B" w:rsidRDefault="00A327DA" w:rsidP="00F17C4A">
      <w:pPr>
        <w:pStyle w:val="Heading2"/>
        <w:spacing w:line="360" w:lineRule="auto"/>
      </w:pPr>
      <w:r>
        <w:t>Objective</w:t>
      </w:r>
    </w:p>
    <w:p w14:paraId="1B0CBF74" w14:textId="73DD932C" w:rsidR="004F349B" w:rsidRDefault="004F349B" w:rsidP="00F17C4A">
      <w:pPr>
        <w:spacing w:line="360" w:lineRule="auto"/>
      </w:pPr>
      <w:r>
        <w:rPr>
          <w:rFonts w:cstheme="minorHAnsi"/>
        </w:rPr>
        <w:t>T</w:t>
      </w:r>
      <w:r>
        <w:t xml:space="preserve">he aim of this study was to assess the association of </w:t>
      </w:r>
      <w:r w:rsidR="005C7453">
        <w:t>body mass index (</w:t>
      </w:r>
      <w:r>
        <w:t>BMI</w:t>
      </w:r>
      <w:r w:rsidR="005C7453">
        <w:t>)</w:t>
      </w:r>
      <w:r>
        <w:t xml:space="preserve"> and smoking with risk of revision</w:t>
      </w:r>
      <w:r w:rsidR="004203E3">
        <w:t xml:space="preserve"> following </w:t>
      </w:r>
      <w:r w:rsidR="00780368">
        <w:t>total knee and hip replacement (TKR and THR).</w:t>
      </w:r>
    </w:p>
    <w:p w14:paraId="2B42A2B8" w14:textId="618DFB58" w:rsidR="004F349B" w:rsidRDefault="008D67A4" w:rsidP="00F17C4A">
      <w:pPr>
        <w:pStyle w:val="Heading2"/>
        <w:spacing w:line="360" w:lineRule="auto"/>
      </w:pPr>
      <w:r>
        <w:t>Design</w:t>
      </w:r>
    </w:p>
    <w:p w14:paraId="4FEC016D" w14:textId="4B6886CA" w:rsidR="005C7453" w:rsidRDefault="004F349B" w:rsidP="00F17C4A">
      <w:pPr>
        <w:spacing w:line="360" w:lineRule="auto"/>
        <w:rPr>
          <w:rFonts w:cstheme="minorHAnsi"/>
        </w:rPr>
      </w:pPr>
      <w:r>
        <w:t xml:space="preserve">Primary care data, from the </w:t>
      </w:r>
      <w:r w:rsidRPr="00A8464B">
        <w:t>Clinical P</w:t>
      </w:r>
      <w:r>
        <w:t xml:space="preserve">ractice Research Datalink (CPRD), was linked to </w:t>
      </w:r>
      <w:r w:rsidRPr="00A8464B">
        <w:t xml:space="preserve">inpatient hospital records, </w:t>
      </w:r>
      <w:r>
        <w:t>from</w:t>
      </w:r>
      <w:r w:rsidRPr="00A8464B">
        <w:t xml:space="preserve"> Hospital Episode Statistics Admitted Patient Care (HES APC)</w:t>
      </w:r>
      <w:r>
        <w:t xml:space="preserve">, and covered 1997 to 2014. </w:t>
      </w:r>
      <w:r>
        <w:rPr>
          <w:rFonts w:cstheme="minorHAnsi"/>
        </w:rPr>
        <w:t>Parametric survival models</w:t>
      </w:r>
      <w:r w:rsidR="005C7453">
        <w:rPr>
          <w:rFonts w:cstheme="minorHAnsi"/>
        </w:rPr>
        <w:t>,</w:t>
      </w:r>
      <w:r w:rsidR="004203E3">
        <w:rPr>
          <w:rFonts w:cstheme="minorHAnsi"/>
        </w:rPr>
        <w:t xml:space="preserve"> </w:t>
      </w:r>
      <w:r w:rsidR="005C7453">
        <w:rPr>
          <w:rFonts w:cstheme="minorHAnsi"/>
        </w:rPr>
        <w:t xml:space="preserve">with BMI and smoking status included as explanatory variables, were estimated </w:t>
      </w:r>
      <w:r w:rsidR="004203E3">
        <w:rPr>
          <w:rFonts w:cstheme="minorHAnsi"/>
        </w:rPr>
        <w:t>for</w:t>
      </w:r>
      <w:r w:rsidR="00BD2390">
        <w:rPr>
          <w:rFonts w:cstheme="minorHAnsi"/>
        </w:rPr>
        <w:t xml:space="preserve"> 10-year</w:t>
      </w:r>
      <w:r w:rsidR="005C7453">
        <w:rPr>
          <w:rFonts w:cstheme="minorHAnsi"/>
        </w:rPr>
        <w:t xml:space="preserve"> risk of</w:t>
      </w:r>
      <w:r w:rsidR="004203E3">
        <w:rPr>
          <w:rFonts w:cstheme="minorHAnsi"/>
        </w:rPr>
        <w:t xml:space="preserve"> revision and mortality</w:t>
      </w:r>
      <w:r w:rsidR="00BD2390">
        <w:rPr>
          <w:rFonts w:cstheme="minorHAnsi"/>
        </w:rPr>
        <w:t>,</w:t>
      </w:r>
      <w:r>
        <w:rPr>
          <w:rFonts w:cstheme="minorHAnsi"/>
        </w:rPr>
        <w:t xml:space="preserve"> </w:t>
      </w:r>
      <w:r w:rsidR="004203E3">
        <w:rPr>
          <w:rFonts w:cstheme="minorHAnsi"/>
        </w:rPr>
        <w:t>and were extrapolated to estimate lifetime risk of revision</w:t>
      </w:r>
      <w:r w:rsidR="005C7453">
        <w:rPr>
          <w:rFonts w:cstheme="minorHAnsi"/>
        </w:rPr>
        <w:t>.</w:t>
      </w:r>
    </w:p>
    <w:p w14:paraId="5DE90FB8" w14:textId="4607D3C9" w:rsidR="004F349B" w:rsidRDefault="004F349B" w:rsidP="00F17C4A">
      <w:pPr>
        <w:pStyle w:val="Heading2"/>
        <w:spacing w:line="360" w:lineRule="auto"/>
      </w:pPr>
      <w:r>
        <w:t>Findings</w:t>
      </w:r>
    </w:p>
    <w:p w14:paraId="35549106" w14:textId="14080932" w:rsidR="004F349B" w:rsidRPr="002029A5" w:rsidRDefault="004F349B" w:rsidP="004A7815">
      <w:pPr>
        <w:spacing w:after="0" w:line="360" w:lineRule="auto"/>
      </w:pPr>
      <w:r w:rsidRPr="002029A5">
        <w:t xml:space="preserve">TKR and THR cohorts included 10,260 and 10,961 individuals, respectively. </w:t>
      </w:r>
      <w:r w:rsidR="002B72CD">
        <w:t xml:space="preserve">For a change in BMI from </w:t>
      </w:r>
      <w:r w:rsidR="002B72CD" w:rsidRPr="004A7815">
        <w:t>25 to 35</w:t>
      </w:r>
      <w:r w:rsidR="002B72CD">
        <w:t xml:space="preserve">, </w:t>
      </w:r>
      <w:r w:rsidR="004A7815">
        <w:t xml:space="preserve">the 10-year risk of revision is expected </w:t>
      </w:r>
      <w:r w:rsidR="004A7815" w:rsidRPr="004A7815">
        <w:t xml:space="preserve">change from </w:t>
      </w:r>
      <w:r w:rsidR="002B72CD" w:rsidRPr="00BA3643">
        <w:rPr>
          <w:bdr w:val="none" w:sz="0" w:space="0" w:color="auto" w:frame="1"/>
          <w:lang w:eastAsia="en-GB"/>
        </w:rPr>
        <w:t>4.6% (3.3% to 6.4%)</w:t>
      </w:r>
      <w:r w:rsidR="002B72CD">
        <w:rPr>
          <w:bdr w:val="none" w:sz="0" w:space="0" w:color="auto" w:frame="1"/>
          <w:lang w:eastAsia="en-GB"/>
        </w:rPr>
        <w:t xml:space="preserve"> </w:t>
      </w:r>
      <w:r w:rsidR="004A7815" w:rsidRPr="004A7815">
        <w:t xml:space="preserve">to </w:t>
      </w:r>
      <w:r w:rsidR="002B72CD" w:rsidRPr="00BA3643">
        <w:rPr>
          <w:bdr w:val="none" w:sz="0" w:space="0" w:color="auto" w:frame="1"/>
          <w:lang w:eastAsia="en-GB"/>
        </w:rPr>
        <w:t xml:space="preserve">3.7% (2.6% to 5.1%) </w:t>
      </w:r>
      <w:r w:rsidR="004A7815" w:rsidRPr="004A7815">
        <w:t xml:space="preserve">for TKR and </w:t>
      </w:r>
      <w:r w:rsidR="002B72CD" w:rsidRPr="00C62FCC">
        <w:rPr>
          <w:bdr w:val="none" w:sz="0" w:space="0" w:color="auto" w:frame="1"/>
          <w:lang w:eastAsia="en-GB"/>
        </w:rPr>
        <w:t>3.7% (2.8% to 5.1%)</w:t>
      </w:r>
      <w:r w:rsidR="002B72CD">
        <w:rPr>
          <w:bdr w:val="none" w:sz="0" w:space="0" w:color="auto" w:frame="1"/>
          <w:lang w:eastAsia="en-GB"/>
        </w:rPr>
        <w:t xml:space="preserve"> </w:t>
      </w:r>
      <w:r w:rsidR="004A7815" w:rsidRPr="004A7815">
        <w:t xml:space="preserve">to </w:t>
      </w:r>
      <w:r w:rsidR="002B72CD" w:rsidRPr="00C62FCC">
        <w:rPr>
          <w:bdr w:val="none" w:sz="0" w:space="0" w:color="auto" w:frame="1"/>
          <w:lang w:eastAsia="en-GB"/>
        </w:rPr>
        <w:t>4.0% (2.8% to 5.7%)</w:t>
      </w:r>
      <w:r w:rsidR="002B72CD">
        <w:rPr>
          <w:bdr w:val="none" w:sz="0" w:space="0" w:color="auto" w:frame="1"/>
          <w:lang w:eastAsia="en-GB"/>
        </w:rPr>
        <w:t xml:space="preserve"> </w:t>
      </w:r>
      <w:r w:rsidR="004A7815" w:rsidRPr="004A7815">
        <w:t>for THR</w:t>
      </w:r>
      <w:r w:rsidR="002B72CD">
        <w:t xml:space="preserve"> f</w:t>
      </w:r>
      <w:r w:rsidR="002B72CD" w:rsidRPr="004A7815">
        <w:t>or an otherwise average patient profile</w:t>
      </w:r>
      <w:r w:rsidR="004A7815">
        <w:t>.</w:t>
      </w:r>
      <w:r w:rsidR="004A7815" w:rsidRPr="004A7815">
        <w:t xml:space="preserve"> Meanwhile, changing from a non-smoker to a current smoker is expected to change the risk of revision from </w:t>
      </w:r>
      <w:r w:rsidR="002B72CD" w:rsidRPr="00C62FCC">
        <w:rPr>
          <w:rFonts w:eastAsia="Times New Roman" w:cstheme="minorHAnsi"/>
          <w:color w:val="000000"/>
          <w:bdr w:val="none" w:sz="0" w:space="0" w:color="auto" w:frame="1"/>
          <w:lang w:eastAsia="en-GB"/>
        </w:rPr>
        <w:t xml:space="preserve">4.1% (3.1% to 5.5%) </w:t>
      </w:r>
      <w:r w:rsidR="004A7815" w:rsidRPr="004A7815">
        <w:t xml:space="preserve">to </w:t>
      </w:r>
      <w:r w:rsidR="002B72CD" w:rsidRPr="00C62FCC">
        <w:rPr>
          <w:rFonts w:eastAsia="Times New Roman" w:cstheme="minorHAnsi"/>
          <w:color w:val="000000"/>
          <w:bdr w:val="none" w:sz="0" w:space="0" w:color="auto" w:frame="1"/>
          <w:lang w:eastAsia="en-GB"/>
        </w:rPr>
        <w:t xml:space="preserve">2.8% (1.7% to 4.7%) </w:t>
      </w:r>
      <w:r w:rsidR="004A7815" w:rsidRPr="004A7815">
        <w:t xml:space="preserve">for TKR and from </w:t>
      </w:r>
      <w:r w:rsidR="002B72CD" w:rsidRPr="00C62FCC">
        <w:rPr>
          <w:rFonts w:eastAsia="Times New Roman" w:cstheme="minorHAnsi"/>
          <w:color w:val="000000"/>
          <w:bdr w:val="none" w:sz="0" w:space="0" w:color="auto" w:frame="1"/>
          <w:lang w:eastAsia="en-GB"/>
        </w:rPr>
        <w:t>3.8% (2.8% to 5.3%)</w:t>
      </w:r>
      <w:r w:rsidR="004A7815" w:rsidRPr="004A7815">
        <w:t xml:space="preserve"> to </w:t>
      </w:r>
      <w:r w:rsidR="002B72CD" w:rsidRPr="00C62FCC">
        <w:rPr>
          <w:rFonts w:eastAsia="Times New Roman" w:cstheme="minorHAnsi"/>
          <w:color w:val="000000"/>
          <w:bdr w:val="none" w:sz="0" w:space="0" w:color="auto" w:frame="1"/>
          <w:lang w:eastAsia="en-GB"/>
        </w:rPr>
        <w:t xml:space="preserve">2.9% (1.9% to 4.7%) </w:t>
      </w:r>
      <w:r w:rsidR="004A7815" w:rsidRPr="004A7815">
        <w:t>for THR for an otherwise average patient profile.</w:t>
      </w:r>
      <w:r w:rsidRPr="002029A5">
        <w:t xml:space="preserve"> Estimates of lifetime risk were</w:t>
      </w:r>
      <w:r w:rsidR="004A7815">
        <w:t xml:space="preserve"> also</w:t>
      </w:r>
      <w:r w:rsidRPr="002029A5">
        <w:t xml:space="preserve"> similar for different values of BMI or smoking status.</w:t>
      </w:r>
    </w:p>
    <w:p w14:paraId="34DAEB1C" w14:textId="60B4E613" w:rsidR="004F349B" w:rsidRDefault="00A327DA" w:rsidP="00F17C4A">
      <w:pPr>
        <w:pStyle w:val="Heading2"/>
        <w:spacing w:line="360" w:lineRule="auto"/>
      </w:pPr>
      <w:r>
        <w:t>Conclusions</w:t>
      </w:r>
    </w:p>
    <w:p w14:paraId="67877A1F" w14:textId="43C2B678" w:rsidR="004F349B" w:rsidRPr="004F349B" w:rsidRDefault="004203E3" w:rsidP="00F17C4A">
      <w:pPr>
        <w:spacing w:line="360" w:lineRule="auto"/>
      </w:pPr>
      <w:r>
        <w:t>Obesity and smoking do not appear to have a meaningful impact on the risk of revision following TKR and THR</w:t>
      </w:r>
      <w:r w:rsidR="005C7453">
        <w:t xml:space="preserve">. </w:t>
      </w:r>
    </w:p>
    <w:p w14:paraId="5578D359" w14:textId="67A51018" w:rsidR="004F349B" w:rsidRDefault="004F349B" w:rsidP="00A327DA"/>
    <w:p w14:paraId="4267452E" w14:textId="7FBE0B18" w:rsidR="00A327DA" w:rsidRPr="00A327DA" w:rsidRDefault="00A327DA" w:rsidP="00A327DA">
      <w:pPr>
        <w:pStyle w:val="Heading1"/>
      </w:pPr>
      <w:r>
        <w:t>Keywords</w:t>
      </w:r>
    </w:p>
    <w:p w14:paraId="666A2544" w14:textId="0E63E430" w:rsidR="004F349B" w:rsidRDefault="002C42AA" w:rsidP="00780368">
      <w:r w:rsidRPr="002C42AA">
        <w:t>Osteoarthritis</w:t>
      </w:r>
      <w:r>
        <w:t>;</w:t>
      </w:r>
      <w:r w:rsidR="00780368">
        <w:t xml:space="preserve"> </w:t>
      </w:r>
      <w:r w:rsidRPr="002C42AA">
        <w:t>Rheumatoid Arthritis</w:t>
      </w:r>
      <w:r w:rsidR="00780368">
        <w:t xml:space="preserve">; </w:t>
      </w:r>
      <w:r w:rsidR="00142CFC" w:rsidRPr="002C42AA">
        <w:t>Orthopaedic</w:t>
      </w:r>
      <w:r w:rsidRPr="002C42AA">
        <w:t xml:space="preserve"> Surgery</w:t>
      </w:r>
      <w:r w:rsidR="00780368">
        <w:t xml:space="preserve">; </w:t>
      </w:r>
      <w:r w:rsidRPr="002C42AA">
        <w:t>Epidemiology</w:t>
      </w:r>
    </w:p>
    <w:p w14:paraId="0A666732" w14:textId="278F1589" w:rsidR="00AD100B" w:rsidRDefault="00AD100B">
      <w:pPr>
        <w:rPr>
          <w:rFonts w:asciiTheme="majorHAnsi" w:eastAsiaTheme="majorEastAsia" w:hAnsiTheme="majorHAnsi" w:cstheme="majorBidi"/>
          <w:b/>
          <w:caps/>
          <w:color w:val="000000" w:themeColor="text1"/>
          <w:szCs w:val="32"/>
        </w:rPr>
      </w:pPr>
      <w:r>
        <w:br w:type="page"/>
      </w:r>
    </w:p>
    <w:p w14:paraId="15919959" w14:textId="77777777" w:rsidR="00DB4ED0" w:rsidRDefault="00DB4ED0" w:rsidP="00D148FF">
      <w:pPr>
        <w:pStyle w:val="Heading1"/>
        <w:spacing w:line="360" w:lineRule="auto"/>
      </w:pPr>
      <w:r>
        <w:lastRenderedPageBreak/>
        <w:t>Introduction</w:t>
      </w:r>
    </w:p>
    <w:p w14:paraId="46B2AA75" w14:textId="0C6B0AFE" w:rsidR="00194821" w:rsidRDefault="008E1FDE" w:rsidP="00E052D5">
      <w:pPr>
        <w:spacing w:line="360" w:lineRule="auto"/>
        <w:rPr>
          <w:rFonts w:cstheme="minorHAnsi"/>
        </w:rPr>
      </w:pPr>
      <w:r>
        <w:t xml:space="preserve">Total knee and hip replacement (TKR and THR) </w:t>
      </w:r>
      <w:r w:rsidRPr="00DB0D31">
        <w:t>lead</w:t>
      </w:r>
      <w:r w:rsidR="00053EBD">
        <w:t>, on average,</w:t>
      </w:r>
      <w:r w:rsidR="000703E6">
        <w:t xml:space="preserve"> </w:t>
      </w:r>
      <w:r w:rsidRPr="00DB0D31">
        <w:t>to substantial improvements in pain, function, and overall quality-of-life</w:t>
      </w:r>
      <w:r w:rsidR="00643BCE">
        <w:rPr>
          <w:rFonts w:cstheme="minorHAnsi"/>
        </w:rPr>
        <w:t>,</w:t>
      </w:r>
      <w:r w:rsidRPr="00DB0D31">
        <w:rPr>
          <w:rFonts w:cstheme="minorHAnsi"/>
        </w:rPr>
        <w:fldChar w:fldCharType="begin" w:fldLock="1"/>
      </w:r>
      <w:r w:rsidR="00780368">
        <w:rPr>
          <w:rFonts w:cstheme="minorHAnsi"/>
        </w:rPr>
        <w:instrText>ADDIN CSL_CITATION {"citationItems":[{"id":"ITEM-1","itemData":{"DOI":"10.1016/S0140-6736(12)60607-2","ISBN":"0140-6736","ISSN":"01406736","PMID":"23021846","abstract":"Total hip arthroplasty is a cost-effective surgical procedure undertaken to relieve pain and restore function to the arthritic hip joint. More than 1 million arthroplasties are done every year worldwide, and this number is projected to double within the next two decades. Symptomatic osteoarthritis is the indication for surgery in more than 90% of patients, and its incidence is increasing because of an ageing population and the obesity epidemic. Excellent functional outcomes are reported; however, careful patient selection is needed to achieve best possible results. The present economic situation in many developed countries will place increased pressure on containment of costs. Future demand for hip arthroplasty, especially in patients younger than 65 years, emphasises the need for objective outcome measures and joint registries that can track lifetime implant survivorship. New generations of bearing surfaces such as metal-on-metal, ceramic-on-ceramic, and metal-on-ceramic, and techniques such as resurfacing arthroplasty have the potential to improve outcomes and survivorship, but findings from prospective trials are needed to show efficacy. With the recall of some metal-on-metal bearings, new bearing surfaces have to be monitored carefully before they can be assumed to be better than traditional bearings.","author":[{"dropping-particle":"","family":"Pivec","given":"Robert","non-dropping-particle":"","parse-names":false,"suffix":""},{"dropping-particle":"","family":"Johnson","given":"Aaron J.","non-dropping-particle":"","parse-names":false,"suffix":""},{"dropping-particle":"","family":"Mears","given":"Simon C.","non-dropping-particle":"","parse-names":false,"suffix":""},{"dropping-particle":"","family":"Mont","given":"Michael A.","non-dropping-particle":"","parse-names":false,"suffix":""}],"container-title":"The Lancet","id":"ITEM-1","issue":"9855","issued":{"date-parts":[["2012"]]},"page":"1768-1777","title":"Hip arthroplasty","type":"article-journal","volume":"380"},"uris":["http://www.mendeley.com/documents/?uuid=9c010dfa-1ccb-48a3-8cd6-e14db374ebba"]},{"id":"ITEM-2","itemData":{"DOI":"10.1016/s0140-6736(11)60752-6","ISBN":"01406736","author":[{"dropping-particle":"","family":"Carr","given":"Andrew J","non-dropping-particle":"","parse-names":false,"suffix":""},{"dropping-particle":"","family":"Robertsson","given":"Otto","non-dropping-particle":"","parse-names":false,"suffix":""},{"dropping-particle":"","family":"Graves","given":"Stephen","non-dropping-particle":"","parse-names":false,"suffix":""},{"dropping-particle":"","family":"Price","given":"Andrew J","non-dropping-particle":"","parse-names":false,"suffix":""},{"dropping-particle":"","family":"Arden","given":"Nigel K","non-dropping-particle":"","parse-names":false,"suffix":""},{"dropping-particle":"","family":"Judge","given":"Andrew","non-dropping-particle":"","parse-names":false,"suffix":""},{"dropping-particle":"","family":"Beard","given":"David J","non-dropping-particle":"","parse-names":false,"suffix":""}],"container-title":"The Lancet","id":"ITEM-2","issue":"9823","issued":{"date-parts":[["2012"]]},"page":"1331-1340","title":"Knee replacement","type":"article-journal","volume":"379"},"uris":["http://www.mendeley.com/documents/?uuid=7f693063-0dc0-430c-bf41-fe34bdc37732"]}],"mendeley":{"formattedCitation":"[1,2]","plainTextFormattedCitation":"[1,2]","previouslyFormattedCitation":"[1,2]"},"properties":{"noteIndex":0},"schema":"https://github.com/citation-style-language/schema/raw/master/csl-citation.json"}</w:instrText>
      </w:r>
      <w:r w:rsidRPr="00DB0D31">
        <w:rPr>
          <w:rFonts w:cstheme="minorHAnsi"/>
        </w:rPr>
        <w:fldChar w:fldCharType="separate"/>
      </w:r>
      <w:r w:rsidRPr="00AC56AB">
        <w:rPr>
          <w:rFonts w:cstheme="minorHAnsi"/>
          <w:noProof/>
        </w:rPr>
        <w:t>[1,2]</w:t>
      </w:r>
      <w:r w:rsidRPr="00DB0D31">
        <w:rPr>
          <w:rFonts w:cstheme="minorHAnsi"/>
        </w:rPr>
        <w:fldChar w:fldCharType="end"/>
      </w:r>
      <w:r w:rsidR="00643BCE">
        <w:rPr>
          <w:rFonts w:cstheme="minorHAnsi"/>
        </w:rPr>
        <w:t xml:space="preserve"> although</w:t>
      </w:r>
      <w:r w:rsidR="007B5225">
        <w:rPr>
          <w:rFonts w:cstheme="minorHAnsi"/>
        </w:rPr>
        <w:t xml:space="preserve"> between</w:t>
      </w:r>
      <w:r w:rsidR="00264FBB">
        <w:rPr>
          <w:rFonts w:cstheme="minorHAnsi"/>
        </w:rPr>
        <w:t xml:space="preserve"> </w:t>
      </w:r>
      <w:r w:rsidR="00264FBB" w:rsidRPr="00264FBB">
        <w:rPr>
          <w:rFonts w:cstheme="minorHAnsi"/>
        </w:rPr>
        <w:t>15</w:t>
      </w:r>
      <w:r w:rsidR="00264FBB">
        <w:rPr>
          <w:rFonts w:cstheme="minorHAnsi"/>
        </w:rPr>
        <w:t xml:space="preserve">% to </w:t>
      </w:r>
      <w:r w:rsidR="007B1736">
        <w:rPr>
          <w:rFonts w:cstheme="minorHAnsi"/>
        </w:rPr>
        <w:t>3</w:t>
      </w:r>
      <w:r w:rsidR="00264FBB" w:rsidRPr="00264FBB">
        <w:rPr>
          <w:rFonts w:cstheme="minorHAnsi"/>
        </w:rPr>
        <w:t>0% of patients are dissatisfied with their outcome</w:t>
      </w:r>
      <w:r w:rsidR="00264FBB">
        <w:rPr>
          <w:rFonts w:cstheme="minorHAnsi"/>
        </w:rPr>
        <w:t>.</w:t>
      </w:r>
      <w:r w:rsidR="007B1736">
        <w:rPr>
          <w:rFonts w:cstheme="minorHAnsi"/>
        </w:rPr>
        <w:fldChar w:fldCharType="begin" w:fldLock="1"/>
      </w:r>
      <w:r w:rsidR="00213CDC">
        <w:rPr>
          <w:rFonts w:cstheme="minorHAnsi"/>
        </w:rPr>
        <w:instrText>ADDIN CSL_CITATION {"citationItems":[{"id":"ITEM-1","itemData":{"DOI":"10.1016/S0140-6736(18)32344-4","ISBN":"9781845693763","ISSN":"01406736","PMID":"22398175","abstract":"Knee replacement surgery is one of the most commonly done and cost-effective musculoskeletal surgical procedures. The numbers of cases done continue to grow worldwide, with substantial variation in utilisation rates across regions and countries. The main indication for surgery remains painful knee osteoarthritis with reduced function and quality of life. The threshold for intervention is not well defined, and is influenced by many factors including patient and surgeon preference. Most patients have a very good clinical outcome after knee replacement, but multiple studies have reported that 20% or more of patients do not. So despite excellent long-term survivorship, more work is required to enhance this procedure and development is rightly focused on increasing the proportion of patients who have successful pain relief after surgery. Changing implant design has historically been a target for improving outcome, but there is greater recognition that improvements can be achieved by better implantation methods, avoiding complications, and improving perioperative care for patients, such as enhanced recovery programmes. New technologies are likely to advance future knee replacement care further, but their introduction must be regulated and monitored with greater rigour to ensure patient safety.","author":[{"dropping-particle":"","family":"Price","given":"Andrew J.","non-dropping-particle":"","parse-names":false,"suffix":""},{"dropping-particle":"","family":"Alvand","given":"Abtin","non-dropping-particle":"","parse-names":false,"suffix":""},{"dropping-particle":"","family":"Troelsen","given":"Anders","non-dropping-particle":"","parse-names":false,"suffix":""},{"dropping-particle":"","family":"Katz","given":"Jeffrey N.","non-dropping-particle":"","parse-names":false,"suffix":""},{"dropping-particle":"","family":"Hooper","given":"Gary","non-dropping-particle":"","parse-names":false,"suffix":""},{"dropping-particle":"","family":"Gray","given":"Alastair","non-dropping-particle":"","parse-names":false,"suffix":""},{"dropping-particle":"","family":"Carr","given":"Andrew","non-dropping-particle":"","parse-names":false,"suffix":""},{"dropping-particle":"","family":"Beard","given":"David","non-dropping-particle":"","parse-names":false,"suffix":""}],"container-title":"The Lancet","id":"ITEM-1","issue":"10158","issued":{"date-parts":[["2018","11"]]},"page":"1672-1682","publisher":"Elsevier Ltd","title":"Knee replacement","type":"article-journal","volume":"392"},"uris":["http://www.mendeley.com/documents/?uuid=071d10ed-2d35-46b6-b8be-1737494d033a"]},{"id":"ITEM-2","itemData":{"DOI":"10.1002/acr.20038","author":[{"dropping-particle":"","family":"Judge","given":"Andy","non-dropping-particle":"","parse-names":false,"suffix":""},{"dropping-particle":"","family":"Cooper","given":"Cyrus","non-dropping-particle":"","parse-names":false,"suffix":""},{"dropping-particle":"","family":"Williams","given":"S U E","non-dropping-particle":"","parse-names":false,"suffix":""},{"dropping-particle":"","family":"Dreinhoefer","given":"Karsten","non-dropping-particle":"","parse-names":false,"suffix":""},{"dropping-particle":"","family":"Dieppe","given":"Paul","non-dropping-particle":"","parse-names":false,"suffix":""}],"id":"ITEM-2","issue":"4","issued":{"date-parts":[["2010"]]},"page":"480-488","title":"Patient-Reported Outcomes One Year After Primary Hip Replacement in a European Collaborative Cohort","type":"article-journal","volume":"62"},"uris":["http://www.mendeley.com/documents/?uuid=d3b870e4-e4b1-4149-888d-a94537433c17"]}],"mendeley":{"formattedCitation":"[3,4]","plainTextFormattedCitation":"[3,4]","previouslyFormattedCitation":"[3,4]"},"properties":{"noteIndex":0},"schema":"https://github.com/citation-style-language/schema/raw/master/csl-citation.json"}</w:instrText>
      </w:r>
      <w:r w:rsidR="007B1736">
        <w:rPr>
          <w:rFonts w:cstheme="minorHAnsi"/>
        </w:rPr>
        <w:fldChar w:fldCharType="separate"/>
      </w:r>
      <w:r w:rsidR="007B1736" w:rsidRPr="007B1736">
        <w:rPr>
          <w:rFonts w:cstheme="minorHAnsi"/>
          <w:noProof/>
        </w:rPr>
        <w:t>[3,4]</w:t>
      </w:r>
      <w:r w:rsidR="007B1736">
        <w:rPr>
          <w:rFonts w:cstheme="minorHAnsi"/>
        </w:rPr>
        <w:fldChar w:fldCharType="end"/>
      </w:r>
      <w:r w:rsidR="007B1736">
        <w:rPr>
          <w:rFonts w:cstheme="minorHAnsi"/>
        </w:rPr>
        <w:t xml:space="preserve"> </w:t>
      </w:r>
      <w:r w:rsidR="009E20E4">
        <w:rPr>
          <w:rFonts w:cstheme="minorHAnsi"/>
        </w:rPr>
        <w:t xml:space="preserve">While </w:t>
      </w:r>
      <w:r w:rsidR="00194821">
        <w:rPr>
          <w:rFonts w:cstheme="minorHAnsi"/>
        </w:rPr>
        <w:t xml:space="preserve">these procedures are </w:t>
      </w:r>
      <w:r>
        <w:rPr>
          <w:rFonts w:cstheme="minorHAnsi"/>
        </w:rPr>
        <w:t xml:space="preserve">costly to provide, </w:t>
      </w:r>
      <w:r w:rsidR="00E83A1A">
        <w:rPr>
          <w:rFonts w:cstheme="minorHAnsi"/>
        </w:rPr>
        <w:t xml:space="preserve">they are </w:t>
      </w:r>
      <w:r>
        <w:rPr>
          <w:rFonts w:cstheme="minorHAnsi"/>
        </w:rPr>
        <w:t>generally considered a cost-effective use of healthcare resources</w:t>
      </w:r>
      <w:r w:rsidR="00194821">
        <w:rPr>
          <w:rFonts w:cstheme="minorHAnsi"/>
        </w:rPr>
        <w:t xml:space="preserve"> due to their associated health gains</w:t>
      </w:r>
      <w:r>
        <w:rPr>
          <w:rFonts w:cstheme="minorHAnsi"/>
        </w:rPr>
        <w:t>.</w:t>
      </w:r>
      <w:r>
        <w:rPr>
          <w:rFonts w:cstheme="minorHAnsi"/>
        </w:rPr>
        <w:fldChar w:fldCharType="begin" w:fldLock="1"/>
      </w:r>
      <w:r w:rsidR="007B1736">
        <w:rPr>
          <w:rFonts w:cstheme="minorHAnsi"/>
        </w:rPr>
        <w:instrText>ADDIN CSL_CITATION {"citationItems":[{"id":"ITEM-1","itemData":{"DOI":"10.1016/j.berh.2012.07.013","ISBN":"1532-1770 (Electronic)\\r1521-6942 (Linking)","ISSN":"15216942","PMID":"23218429","abstract":"OBJECTIVE\\nTo summarise the state of the literature evaluating the cost-effectiveness of elective total hip and knee arthroplasty (THA and TKA). \\n\\nMETHODS\\nWe conducted a systematic review of published cost-effectiveness analyses of THA and TKA. To limit our search to high-quality published papers, we selected those papers included in the Cost-Effectiveness Analysis Registry (created by the Center for the Evaluation of Value and Risk in Health at Tufts University) and augmented the search with papers listed in PubMed. The data abstracted included incremental cost-effectiveness ratios, perspective of the analysis, time frame, sensitivity analyses conducted, and utility assessment. All cost-effectiveness ratios were converted to 2011 USD. \\n\\nRESULTS\\nSeven studies presenting cost-effectiveness ratios for TKA and six studies for THA were included in our review. All economic evaluations of TKA were published between 2006 and 2012. By contrast, THA studies were published between 1996 and 2008. Out of the 13 studies evaluated in this review, four were from the societal perspective and eight were from the payer perspective. Five studies spanned the lifetime horizon. Of the selected studies, six used probabilistic sensitivity analysis to address uncertainty in data parameters. Both procedures have been shown to be highly cost-effective from the societal perspective over the entire lifespan. \\n\\nCONCLUSION\\nTHA and TKA have been found to be highly cost-effective in a number of high-quality studies. Further analyses are needed on the cost-effectiveness of alternative surgical options, particularly osteotomy. Future economic evaluations should address the expanding indications of THA and TKA to younger, more physically active individuals.","author":[{"dropping-particle":"","family":"Daigle","given":"Meghan E.","non-dropping-particle":"","parse-names":false,"suffix":""},{"dropping-particle":"","family":"Weinstein","given":"Alexander M.","non-dropping-particle":"","parse-names":false,"suffix":""},{"dropping-particle":"","family":"Katz","given":"Jeffrey N.","non-dropping-particle":"","parse-names":false,"suffix":""},{"dropping-particle":"","family":"Losina","given":"Elena","non-dropping-particle":"","parse-names":false,"suffix":""}],"container-title":"Best Practice &amp; Research Clinical Rheumatology","id":"ITEM-1","issue":"5","issued":{"date-parts":[["2012"]]},"page":"649-658","publisher":"Elsevier Ltd","title":"The cost-effectiveness of total joint arthroplasty: A systematic review of published literature","type":"article-journal","volume":"26"},"uris":["http://www.mendeley.com/documents/?uuid=e0c95293-8882-4fa7-a1d4-ed9b9d13fab3"]}],"mendeley":{"formattedCitation":"[5]","plainTextFormattedCitation":"[5]","previouslyFormattedCitation":"[5]"},"properties":{"noteIndex":0},"schema":"https://github.com/citation-style-language/schema/raw/master/csl-citation.json"}</w:instrText>
      </w:r>
      <w:r>
        <w:rPr>
          <w:rFonts w:cstheme="minorHAnsi"/>
        </w:rPr>
        <w:fldChar w:fldCharType="separate"/>
      </w:r>
      <w:r w:rsidR="00336099" w:rsidRPr="00336099">
        <w:rPr>
          <w:rFonts w:cstheme="minorHAnsi"/>
          <w:noProof/>
        </w:rPr>
        <w:t>[5]</w:t>
      </w:r>
      <w:r>
        <w:rPr>
          <w:rFonts w:cstheme="minorHAnsi"/>
        </w:rPr>
        <w:fldChar w:fldCharType="end"/>
      </w:r>
      <w:r>
        <w:rPr>
          <w:rFonts w:cstheme="minorHAnsi"/>
        </w:rPr>
        <w:t xml:space="preserve"> With healthcare budgets</w:t>
      </w:r>
      <w:r w:rsidRPr="00A03F49">
        <w:rPr>
          <w:rFonts w:cstheme="minorHAnsi"/>
        </w:rPr>
        <w:t xml:space="preserve"> </w:t>
      </w:r>
      <w:r>
        <w:rPr>
          <w:rFonts w:cstheme="minorHAnsi"/>
        </w:rPr>
        <w:t>stretched, however, the provision of joint replacement</w:t>
      </w:r>
      <w:r w:rsidR="00194821">
        <w:rPr>
          <w:rFonts w:cstheme="minorHAnsi"/>
        </w:rPr>
        <w:t>s</w:t>
      </w:r>
      <w:r>
        <w:rPr>
          <w:rFonts w:cstheme="minorHAnsi"/>
        </w:rPr>
        <w:t xml:space="preserve"> has come u</w:t>
      </w:r>
      <w:r w:rsidR="00434B2F">
        <w:rPr>
          <w:rFonts w:cstheme="minorHAnsi"/>
        </w:rPr>
        <w:t>nder increased pressure.</w:t>
      </w:r>
      <w:r w:rsidR="003C467B">
        <w:rPr>
          <w:rFonts w:cstheme="minorHAnsi"/>
        </w:rPr>
        <w:t xml:space="preserve"> </w:t>
      </w:r>
    </w:p>
    <w:p w14:paraId="545B1902" w14:textId="762A0756" w:rsidR="00532FD4" w:rsidRDefault="00532FD4" w:rsidP="00780368">
      <w:pPr>
        <w:spacing w:line="360" w:lineRule="auto"/>
        <w:rPr>
          <w:rFonts w:cstheme="minorHAnsi"/>
        </w:rPr>
      </w:pPr>
      <w:r>
        <w:rPr>
          <w:rFonts w:cstheme="minorHAnsi"/>
        </w:rPr>
        <w:t xml:space="preserve">Current guidelines from the </w:t>
      </w:r>
      <w:r w:rsidRPr="00DA3FEF">
        <w:rPr>
          <w:rFonts w:cstheme="minorHAnsi"/>
        </w:rPr>
        <w:t>National Institute for He</w:t>
      </w:r>
      <w:r>
        <w:rPr>
          <w:rFonts w:cstheme="minorHAnsi"/>
        </w:rPr>
        <w:t>alth and Care Excellence (NICE) explicitly state that an individual’s BMI or smoking status should not be a barrier to surgery referral.</w:t>
      </w:r>
      <w:r>
        <w:rPr>
          <w:rFonts w:cstheme="minorHAnsi"/>
        </w:rPr>
        <w:fldChar w:fldCharType="begin" w:fldLock="1"/>
      </w:r>
      <w:r w:rsidR="003B3F10">
        <w:rPr>
          <w:rFonts w:cstheme="minorHAnsi"/>
        </w:rPr>
        <w:instrText>ADDIN CSL_CITATION {"citationItems":[{"id":"ITEM-1","itemData":{"author":[{"dropping-particle":"","family":"NICE","given":"","non-dropping-particle":"","parse-names":false,"suffix":""}],"id":"ITEM-1","issue":"February","issued":{"date-parts":[["2014"]]},"title":"Osteoarthritis: Care and management in adults (Clinical guideline CG177)","type":"article"},"uris":["http://www.mendeley.com/documents/?uuid=24826b86-f06c-435e-8deb-5301616c6bc4"]}],"mendeley":{"formattedCitation":"[6]","plainTextFormattedCitation":"[6]","previouslyFormattedCitation":"[6]"},"properties":{"noteIndex":0},"schema":"https://github.com/citation-style-language/schema/raw/master/csl-citation.json"}</w:instrText>
      </w:r>
      <w:r>
        <w:rPr>
          <w:rFonts w:cstheme="minorHAnsi"/>
        </w:rPr>
        <w:fldChar w:fldCharType="separate"/>
      </w:r>
      <w:r w:rsidR="00213CDC" w:rsidRPr="00213CDC">
        <w:rPr>
          <w:rFonts w:cstheme="minorHAnsi"/>
          <w:noProof/>
        </w:rPr>
        <w:t>[6]</w:t>
      </w:r>
      <w:r>
        <w:rPr>
          <w:rFonts w:cstheme="minorHAnsi"/>
        </w:rPr>
        <w:fldChar w:fldCharType="end"/>
      </w:r>
      <w:r>
        <w:rPr>
          <w:rFonts w:cstheme="minorHAnsi"/>
        </w:rPr>
        <w:t xml:space="preserve"> However, i</w:t>
      </w:r>
      <w:r w:rsidR="00780368">
        <w:rPr>
          <w:rFonts w:cstheme="minorHAnsi"/>
        </w:rPr>
        <w:t xml:space="preserve">n the English National Health Service (NHS), a number of </w:t>
      </w:r>
      <w:r w:rsidR="00780368" w:rsidRPr="008D7AF5">
        <w:rPr>
          <w:rFonts w:cstheme="minorHAnsi"/>
        </w:rPr>
        <w:t>clinical commissioning groups</w:t>
      </w:r>
      <w:r w:rsidR="00780368">
        <w:rPr>
          <w:rFonts w:cstheme="minorHAnsi"/>
        </w:rPr>
        <w:t xml:space="preserve"> (CCGs) have restricted access to surgery on the basis of patient characteristics.</w:t>
      </w:r>
      <w:r w:rsidR="00780368">
        <w:rPr>
          <w:rFonts w:cstheme="minorHAnsi"/>
        </w:rPr>
        <w:fldChar w:fldCharType="begin" w:fldLock="1"/>
      </w:r>
      <w:r w:rsidR="003B3F10">
        <w:rPr>
          <w:rFonts w:cstheme="minorHAnsi"/>
        </w:rPr>
        <w:instrText>ADDIN CSL_CITATION {"citationItems":[{"id":"ITEM-1","itemData":{"DOI":"10.1136/bmj.i5594","ISSN":"1756-1833","author":[{"dropping-particle":"","family":"Shaw","given":"David","non-dropping-particle":"","parse-names":false,"suffix":""}],"container-title":"Bmj","id":"ITEM-1","issue":"October","issued":{"date-parts":[["2016"]]},"page":"i5594","title":"Delaying surgery for obese patients or smokers is a bad idea","type":"article-journal","volume":"5594"},"uris":["http://www.mendeley.com/documents/?uuid=aab2e548-02c0-4189-923a-eac3d40dbff4"]}],"mendeley":{"formattedCitation":"[7]","plainTextFormattedCitation":"[7]","previouslyFormattedCitation":"[7]"},"properties":{"noteIndex":0},"schema":"https://github.com/citation-style-language/schema/raw/master/csl-citation.json"}</w:instrText>
      </w:r>
      <w:r w:rsidR="00780368">
        <w:rPr>
          <w:rFonts w:cstheme="minorHAnsi"/>
        </w:rPr>
        <w:fldChar w:fldCharType="separate"/>
      </w:r>
      <w:r w:rsidR="00213CDC" w:rsidRPr="00213CDC">
        <w:rPr>
          <w:rFonts w:cstheme="minorHAnsi"/>
          <w:noProof/>
        </w:rPr>
        <w:t>[7]</w:t>
      </w:r>
      <w:r w:rsidR="00780368">
        <w:rPr>
          <w:rFonts w:cstheme="minorHAnsi"/>
        </w:rPr>
        <w:fldChar w:fldCharType="end"/>
      </w:r>
      <w:r w:rsidR="00780368">
        <w:rPr>
          <w:rFonts w:cstheme="minorHAnsi"/>
        </w:rPr>
        <w:t xml:space="preserve"> </w:t>
      </w:r>
      <w:r>
        <w:rPr>
          <w:rFonts w:cstheme="minorHAnsi"/>
        </w:rPr>
        <w:t>I</w:t>
      </w:r>
      <w:r w:rsidR="00780368">
        <w:rPr>
          <w:rFonts w:cstheme="minorHAnsi"/>
        </w:rPr>
        <w:t>n 2015</w:t>
      </w:r>
      <w:r>
        <w:rPr>
          <w:rFonts w:cstheme="minorHAnsi"/>
        </w:rPr>
        <w:t xml:space="preserve">, 22% </w:t>
      </w:r>
      <w:r w:rsidR="009D4334">
        <w:rPr>
          <w:rFonts w:cstheme="minorHAnsi"/>
        </w:rPr>
        <w:t xml:space="preserve">of </w:t>
      </w:r>
      <w:r>
        <w:rPr>
          <w:rFonts w:cstheme="minorHAnsi"/>
        </w:rPr>
        <w:t xml:space="preserve">CCGs had a mandatory policy for knee and replacement regarding BMI, </w:t>
      </w:r>
      <w:r w:rsidR="009D4334">
        <w:rPr>
          <w:rFonts w:cstheme="minorHAnsi"/>
        </w:rPr>
        <w:t xml:space="preserve">varying in their cut-offs from a BMI of </w:t>
      </w:r>
      <w:r>
        <w:rPr>
          <w:rFonts w:cstheme="minorHAnsi"/>
        </w:rPr>
        <w:t>30 to 40, while another 17% of CCGs had voluntary policies to encourage weight loss but not used to restrict access.</w:t>
      </w:r>
      <w:r w:rsidDel="00532FD4">
        <w:rPr>
          <w:rFonts w:cstheme="minorHAnsi"/>
        </w:rPr>
        <w:t xml:space="preserve"> </w:t>
      </w:r>
      <w:r w:rsidR="00780368">
        <w:rPr>
          <w:rFonts w:cstheme="minorHAnsi"/>
        </w:rPr>
        <w:fldChar w:fldCharType="begin" w:fldLock="1"/>
      </w:r>
      <w:r w:rsidR="007B1736">
        <w:rPr>
          <w:rFonts w:cstheme="minorHAnsi"/>
        </w:rPr>
        <w:instrText>ADDIN CSL_CITATION {"citationItems":[{"id":"ITEM-1","itemData":{"author":[{"dropping-particle":"","family":"The Royal College of Surgeons of England","given":"","non-dropping-particle":"","parse-names":false,"suffix":""}],"id":"ITEM-1","issued":{"date-parts":[["2016"]]},"title":"Smokers and overweight patients soft targets for NHS savings","type":"article-journal"},"uris":["http://www.mendeley.com/documents/?uuid=6ac7b83d-a3c1-4453-9387-7834e4c2e729"]}],"mendeley":{"formattedCitation":"[8]","plainTextFormattedCitation":"[8]","previouslyFormattedCitation":"[8]"},"properties":{"noteIndex":0},"schema":"https://github.com/citation-style-language/schema/raw/master/csl-citation.json"}</w:instrText>
      </w:r>
      <w:r w:rsidR="00780368">
        <w:rPr>
          <w:rFonts w:cstheme="minorHAnsi"/>
        </w:rPr>
        <w:fldChar w:fldCharType="separate"/>
      </w:r>
      <w:r w:rsidR="00336099" w:rsidRPr="00336099">
        <w:rPr>
          <w:rFonts w:cstheme="minorHAnsi"/>
          <w:noProof/>
        </w:rPr>
        <w:t>[8]</w:t>
      </w:r>
      <w:r w:rsidR="00780368">
        <w:rPr>
          <w:rFonts w:cstheme="minorHAnsi"/>
        </w:rPr>
        <w:fldChar w:fldCharType="end"/>
      </w:r>
      <w:r>
        <w:rPr>
          <w:rFonts w:cstheme="minorHAnsi"/>
        </w:rPr>
        <w:t xml:space="preserve"> Meanwhile 4% of CCGs had mandatory policies requiring smoking cessation and another 3% had voluntary policies to encourage smoking cessation.</w:t>
      </w:r>
      <w:r>
        <w:rPr>
          <w:rFonts w:cstheme="minorHAnsi"/>
        </w:rPr>
        <w:fldChar w:fldCharType="begin" w:fldLock="1"/>
      </w:r>
      <w:r>
        <w:rPr>
          <w:rFonts w:cstheme="minorHAnsi"/>
        </w:rPr>
        <w:instrText>ADDIN CSL_CITATION {"citationItems":[{"id":"ITEM-1","itemData":{"author":[{"dropping-particle":"","family":"The Royal College of Surgeons of England","given":"","non-dropping-particle":"","parse-names":false,"suffix":""}],"id":"ITEM-1","issued":{"date-parts":[["2016"]]},"title":"Smokers and overweight patients soft targets for NHS savings","type":"article-journal"},"uris":["http://www.mendeley.com/documents/?uuid=6ac7b83d-a3c1-4453-9387-7834e4c2e729"]}],"mendeley":{"formattedCitation":"[8]","plainTextFormattedCitation":"[8]","previouslyFormattedCitation":"[8]"},"properties":{"noteIndex":0},"schema":"https://github.com/citation-style-language/schema/raw/master/csl-citation.json"}</w:instrText>
      </w:r>
      <w:r>
        <w:rPr>
          <w:rFonts w:cstheme="minorHAnsi"/>
        </w:rPr>
        <w:fldChar w:fldCharType="separate"/>
      </w:r>
      <w:r w:rsidRPr="00336099">
        <w:rPr>
          <w:rFonts w:cstheme="minorHAnsi"/>
          <w:noProof/>
        </w:rPr>
        <w:t>[8]</w:t>
      </w:r>
      <w:r>
        <w:rPr>
          <w:rFonts w:cstheme="minorHAnsi"/>
        </w:rPr>
        <w:fldChar w:fldCharType="end"/>
      </w:r>
    </w:p>
    <w:p w14:paraId="7ACBE604" w14:textId="69C7D717" w:rsidR="003B3F10" w:rsidRDefault="001D7637" w:rsidP="000703E6">
      <w:pPr>
        <w:spacing w:line="360" w:lineRule="auto"/>
        <w:rPr>
          <w:rFonts w:cstheme="minorHAnsi"/>
        </w:rPr>
      </w:pPr>
      <w:r>
        <w:t>While such policies may be justified if they led to improved</w:t>
      </w:r>
      <w:r w:rsidR="006D6E71">
        <w:t xml:space="preserve"> </w:t>
      </w:r>
      <w:r>
        <w:t xml:space="preserve">patient outcomes, there is </w:t>
      </w:r>
      <w:r w:rsidR="0020121F">
        <w:t xml:space="preserve">relatively </w:t>
      </w:r>
      <w:r>
        <w:t xml:space="preserve">little evidence that this is the case. </w:t>
      </w:r>
      <w:r w:rsidR="006D6E71">
        <w:t>While h</w:t>
      </w:r>
      <w:r w:rsidR="00780368">
        <w:t xml:space="preserve">igher BMI is associated with </w:t>
      </w:r>
      <w:r w:rsidR="005D2063">
        <w:t>worse</w:t>
      </w:r>
      <w:r w:rsidR="00780368">
        <w:t xml:space="preserve"> patient-reported outcomes </w:t>
      </w:r>
      <w:r w:rsidR="005D2063">
        <w:t xml:space="preserve">after </w:t>
      </w:r>
      <w:r w:rsidR="00780368">
        <w:t xml:space="preserve">TKR and THR, </w:t>
      </w:r>
      <w:r w:rsidR="005D3E13">
        <w:t>this effect is small and unlikely to be clinically meaningful.</w:t>
      </w:r>
      <w:r w:rsidR="000703E6">
        <w:fldChar w:fldCharType="begin" w:fldLock="1"/>
      </w:r>
      <w:r w:rsidR="007B1736">
        <w:instrText>ADDIN CSL_CITATION {"citationItems":[{"id":"ITEM-1","itemData":{"DOI":"10.1136/bmjopen-2012-002453","ISBN":"20446055 (ISSN)","ISSN":"2044-6055","PMID":"23457332","abstract":"OBJECTIVES: To identify patient characteristics and surgical factors associated with patient-reported outcomes over 5 years following primary total hip replacement (THR).\\n\\nDESIGN: Prospective cohort study.\\n\\nSETTING: Seven hospitals across England and Scotland.\\n\\nPARTICIPANTS: 1431 primary hip replacements for osteoarthritis.\\n\\nMAIN OUTCOME MEASURES: The Oxford Hip Score (OHS) was collected preoperatively and each year up to 5 years postoperatively. Repeated measures such as linear regression modelling are used to identify patient and surgical predictors of outcome and describe trends over time.\\n\\nRESULTS: The majority of patients demonstrated substantial improvement in pain/function in the first year after surgery-between 1 and 5 years follow-up, there was neither further improvement nor decline. The strongest determinant of attained postoperative OHS was the preoperative OHS-those with worse preoperative pain/function had worse postoperative pain/function. Other predictors with small but significant effects included: femoral component offset-women with an offset of 44 or more had better outcomes; age-compared to those aged 50-60, younger (age &lt;50) and older patients (age &gt;60) had worse outcome, increasing body mass index (BMI), more coexisting diseases and worse Short Form 36 mental health (MH) was related to worse postoperative pain/function. Assessment of change in OHS between preoperative  and postoperative assessments revealed that patients achieved substantial and clinically relevant symptomatic improvement (change), regardless of variation in these patient and surgical factors.\\n\\nCONCLUSIONS: Patients received substantial benefit from surgery, regardless of their preoperative assessments and surgical characteristics (baseline pain/function, age, BMI, comorbidities, MH and femoral component offset). Further research is needed to identify other factors that can improve our ability to identify patients at risk of poor outcomes from THR surgery.","author":[{"dropping-particle":"","family":"Judge","given":"Andy","non-dropping-particle":"","parse-names":false,"suffix":""},{"dropping-particle":"","family":"Arden","given":"Nigel K","non-dropping-particle":"","parse-names":false,"suffix":""},{"dropping-particle":"","family":"Batra","given":"Rajbir N","non-dropping-particle":"","parse-names":false,"suffix":""},{"dropping-particle":"","family":"Thomas","given":"Geraint","non-dropping-particle":"","parse-names":false,"suffix":""},{"dropping-particle":"","family":"Beard","given":"David","non-dropping-particle":"","parse-names":false,"suffix":""},{"dropping-particle":"","family":"Javaid","given":"M Kassim","non-dropping-particle":"","parse-names":false,"suffix":""},{"dropping-particle":"","family":"Cooper","given":"Cyrus","non-dropping-particle":"","parse-names":false,"suffix":""},{"dropping-particle":"","family":"Murray","given":"David","non-dropping-particle":"","parse-names":false,"suffix":""}],"container-title":"BMJ Open","id":"ITEM-1","issue":"3","issued":{"date-parts":[["2013"]]},"page":"e002453","title":"The association of patient characteristics and surgical variables on symptoms of pain and function over 5 years following primary hip-replacement surgery: a prospective cohort study","type":"article-journal","volume":"3"},"uris":["http://www.mendeley.com/documents/?uuid=7dce54c7-064a-4b15-b30d-d0135725aebc"]},{"id":"ITEM-2","itemData":{"DOI":"10.1016/j.joca.2013.12.018","ISBN":"4401865227","ISSN":"1522-9653","PMID":"24418679","abstract":"OBJECTIVES: To describe whether body mass index (BMI) is a clinically meaningful predictor of patient reported outcomes following primary total hip replacement (THR) surgery.\\n\\nDESIGN: Combined data from prospective cohort studies. We obtained information from four cohorts of patients receiving primary THR for osteoarthritis: Exeter Primary Outcomes Study (EPOS) (n = 1431); EUROHIP (n = 1327); Elective Orthopaedic Centre (n = 2832); and St. Helier (n = 787). The exposure of interest was pre-operative BMI. Confounding variables included: age, sex, SF-36 mental health, comorbidities, fixed flexion, analgesic use, college education, OA in other joints, expectation of less pain, radiographic K&amp;L grade, ASA grade, years of hip pain. The primary outcome was the Oxford Hip Score (OHS). Regression models describe the association of BMI on outcome adjusting for all confounders.\\n\\nRESULTS: For a 5-unit increase in BMI, the attained 12-month OHS decreases by 0.78 points 95%CI (0.27-1.28), P-value 0.001. Compared to people of normal BMI (20-25), those in the obese class II (BMI 35-40) would have a 12-month OHS that is 2.34 points lower. Although statistically significant this effect is small and not clinically meaningful in contrast to the substantial change in OHS seen across all BMI groupings. In obese class II patients achieved a 22.2 point change in OHS following surgery.\\n\\nCONCLUSIONS: Patients achieved substantial change in OHS after THR across all BMI categories, which greatly outweighs the small difference in attained post-operative score. The findings suggest BMI should not present a barrier to access THR in terms of PROMs.","author":[{"dropping-particle":"","family":"Judge","given":"A","non-dropping-particle":"","parse-names":false,"suffix":""},{"dropping-particle":"","family":"Batra","given":"R N","non-dropping-particle":"","parse-names":false,"suffix":""},{"dropping-particle":"","family":"Thomas","given":"G E","non-dropping-particle":"","parse-names":false,"suffix":""},{"dropping-particle":"","family":"Beard","given":"D","non-dropping-particle":"","parse-names":false,"suffix":""},{"dropping-particle":"","family":"Javaid","given":"M K","non-dropping-particle":"","parse-names":false,"suffix":""},{"dropping-particle":"","family":"Murray","given":"D W","non-dropping-particle":"","parse-names":false,"suffix":""},{"dropping-particle":"","family":"Dieppe","given":"P A","non-dropping-particle":"","parse-names":false,"suffix":""},{"dropping-particle":"","family":"Dreinhoefer","given":"K E","non-dropping-particle":"","parse-names":false,"suffix":""},{"dropping-particle":"","family":"Peter-Guenther","given":"K","non-dropping-particle":"","parse-names":false,"suffix":""},{"dropping-particle":"","family":"Field","given":"R","non-dropping-particle":"","parse-names":false,"suffix":""},{"dropping-particle":"","family":"Cooper","given":"C","non-dropping-particle":"","parse-names":false,"suffix":""},{"dropping-particle":"","family":"Arden","given":"N K","non-dropping-particle":"","parse-names":false,"suffix":""}],"container-title":"Osteoarthritis and cartilage / OARS, Osteoarthritis Research Society","id":"ITEM-2","issue":"3","issued":{"date-parts":[["2014"]]},"page":"431-9","title":"Body mass index is not a clinically meaningful predictor of patient reported outcomes of primary hip replacement surgery: prospective cohort study.","type":"article-journal","volume":"22"},"uris":["http://www.mendeley.com/documents/?uuid=c1229966-1957-4803-9972-f2ed4bd3ca5f"]}],"mendeley":{"formattedCitation":"[9,10]","plainTextFormattedCitation":"[9,10]","previouslyFormattedCitation":"[9,10]"},"properties":{"noteIndex":0},"schema":"https://github.com/citation-style-language/schema/raw/master/csl-citation.json"}</w:instrText>
      </w:r>
      <w:r w:rsidR="000703E6">
        <w:fldChar w:fldCharType="separate"/>
      </w:r>
      <w:r w:rsidR="00336099" w:rsidRPr="00336099">
        <w:rPr>
          <w:noProof/>
        </w:rPr>
        <w:t>[9,10]</w:t>
      </w:r>
      <w:r w:rsidR="000703E6">
        <w:fldChar w:fldCharType="end"/>
      </w:r>
      <w:r w:rsidR="005D3E13">
        <w:t xml:space="preserve"> Meanwhile, smoking appears to have little effect on function after surgery</w:t>
      </w:r>
      <w:r w:rsidR="00780368">
        <w:t>.</w:t>
      </w:r>
      <w:r w:rsidR="00780368">
        <w:fldChar w:fldCharType="begin" w:fldLock="1"/>
      </w:r>
      <w:r w:rsidR="007B1736">
        <w:instrText>ADDIN CSL_CITATION {"citationItems":[{"id":"ITEM-1","itemData":{"DOI":"10.1002/art.20691","ISBN":"0004-3591 (Print)\\r0004-3591 (Linking)","ISSN":"21514658","PMID":"15478156","abstract":"OBJECTIVE: To determine whether psychosocial factors, chronic diseases, and common geriatric problems are associated with poor physical function 3 years after primary total hip replacement (THR). METHODS: We studied a sample of Medicare recipients in Ohio, Pennsylvania, and Colorado (n = 922) who underwent primary THR in 1995 (mean +/- SD age 73.1 +/- 5.6 years, 32% men). Participants completed a questionnaire regarding lifestyle factors, medical history, and quality of life approximately 3 years after the surgery. Physical function was measured using the function subscale of the Western Ontario and McMaster Universities Osteoarthritis Index. We assessed the relationship between functional outcome 3 years postsurgery and 4 predictor domains: pain or complications in the operated hip, other musculoskeletal comorbidity, medical factors (obesity, chronic medical comorbidity, rheumatoid arthritis, and such common geriatric problems as falls, poor balance, or incontinence), and psychosocial factors (mental health, regular alcohol consumption, smoking, provider role, living alone, and education). RESULTS: Ten percent of subjects had poor functional status. In a logistic regression model controlling for sex and age, the following factors were associated with an increased risk for poor functional status (in order of importance): pain in the back or lower extremity, severe pain in the operated hip, poor mental health, more than 1 common geriatric problem, obesity, and less than college education. CONCLUSION: Pain in the operated hip was strongly associated with poor functional status 3 years after THR. However, other factors associated with poor functional status were not related to the hip. Our results suggest that a comprehensive assessment of functional status in elderly THR patients should include assessment of common geriatric problems, mental health status, and weight.","author":[{"dropping-particle":"","family":"Bischoff-Ferrari","given":"H. A.","non-dropping-particle":"","parse-names":false,"suffix":""},{"dropping-particle":"","family":"Lingard","given":"E. A.","non-dropping-particle":"","parse-names":false,"suffix":""},{"dropping-particle":"","family":"Losina","given":"E.","non-dropping-particle":"","parse-names":false,"suffix":""},{"dropping-particle":"","family":"Baron","given":"J. A.","non-dropping-particle":"","parse-names":false,"suffix":""},{"dropping-particle":"","family":"Roos","given":"E. M.","non-dropping-particle":"","parse-names":false,"suffix":""},{"dropping-particle":"","family":"Phillips","given":"C. B.","non-dropping-particle":"","parse-names":false,"suffix":""},{"dropping-particle":"","family":"Mahomed","given":"N. N.","non-dropping-particle":"","parse-names":false,"suffix":""},{"dropping-particle":"","family":"Barrett","given":"J.","non-dropping-particle":"","parse-names":false,"suffix":""},{"dropping-particle":"","family":"Katz","given":"J. N.","non-dropping-particle":"","parse-names":false,"suffix":""}],"container-title":"Arthritis Care and Research","id":"ITEM-1","issue":"5","issued":{"date-parts":[["2004"]]},"page":"829-835","title":"Psychosocial and geriatric correlates of functional status after total hip replacement","type":"article-journal","volume":"51"},"uris":["http://www.mendeley.com/documents/?uuid=3025a220-f6ff-41f5-a1f3-a9e79df780f1"]}],"mendeley":{"formattedCitation":"[11]","plainTextFormattedCitation":"[11]","previouslyFormattedCitation":"[11]"},"properties":{"noteIndex":0},"schema":"https://github.com/citation-style-language/schema/raw/master/csl-citation.json"}</w:instrText>
      </w:r>
      <w:r w:rsidR="00780368">
        <w:fldChar w:fldCharType="separate"/>
      </w:r>
      <w:r w:rsidR="00336099" w:rsidRPr="00336099">
        <w:rPr>
          <w:noProof/>
        </w:rPr>
        <w:t>[11]</w:t>
      </w:r>
      <w:r w:rsidR="00780368">
        <w:fldChar w:fldCharType="end"/>
      </w:r>
      <w:r w:rsidR="00780368">
        <w:t xml:space="preserve"> </w:t>
      </w:r>
      <w:r w:rsidR="005D3E13">
        <w:t>Both h</w:t>
      </w:r>
      <w:r w:rsidR="00780368">
        <w:t xml:space="preserve">igher BMI and smoking </w:t>
      </w:r>
      <w:r w:rsidR="005D3E13">
        <w:t>have though been</w:t>
      </w:r>
      <w:r w:rsidR="00780368">
        <w:t xml:space="preserve"> associated with an increased risk of systemic post-operative complications, such as venous thromboembolism and cardiac events</w:t>
      </w:r>
      <w:r w:rsidR="005D3E13">
        <w:t>,</w:t>
      </w:r>
      <w:r w:rsidR="00E800B2">
        <w:t xml:space="preserve"> with individuals who are smokers and obese found to have a 50% increase in their odds of systemic complications</w:t>
      </w:r>
      <w:r w:rsidR="00DA33E1">
        <w:t xml:space="preserve"> in one study</w:t>
      </w:r>
      <w:r w:rsidR="00E800B2">
        <w:t>.</w:t>
      </w:r>
      <w:r w:rsidR="00780368">
        <w:fldChar w:fldCharType="begin" w:fldLock="1"/>
      </w:r>
      <w:r w:rsidR="007B1736">
        <w:instrText>ADDIN CSL_CITATION {"citationItems":[{"id":"ITEM-1","itemData":{"DOI":"10.1302/0301-620X.88B10.17957","ISBN":"0301-620X","ISSN":"0301-620X","abstract":"We carried out a retrospective cohort study of 3309 patients undergoing primary total hip replacement to examine the impact of tobacco use and body mass index on the length of stay in hospital and the risk of short term post-operative complications. Heavy tobacco use was associated with an increased risk of systemic post-operative complications (p = 0.004). Previous and current smokers had a 43% and 56% increased risk of systemic complications, respectively, when compared with non-smokers. In heavy smokers, the risk increased by 121%. A high body mass index was significantly associated with an increased mean length of stay in hospital of between 4.7% and 7%. The risk of systemic complications was increased by 58% in the obese. Smoking and body mass index were not significantly related to the development of local complications. Greater efforts should be taken to reduce the impact of preventable life style factors, such as smoking and high body mass index, on the post-operative course of total hip replacement. OCR","author":[{"dropping-particle":"","family":"Sadr Azodi","given":"O.","non-dropping-particle":"","parse-names":false,"suffix":""},{"dropping-particle":"","family":"Bellocco","given":"R.","non-dropping-particle":"","parse-names":false,"suffix":""},{"dropping-particle":"","family":"Eriksson","given":"K.","non-dropping-particle":"","parse-names":false,"suffix":""},{"dropping-particle":"","family":"Adami","given":"J.","non-dropping-particle":"","parse-names":false,"suffix":""}],"container-title":"Journal of Bone and Joint Surgery - British Volume","id":"ITEM-1","issue":"10","issued":{"date-parts":[["2006","10","1"]]},"page":"1316-1320","title":"The impact of tobacco use and body mass index on the length of stay in hospital and the risk of post-operative complications among patients undergoing total hip replacement","type":"article-journal","volume":"88-B"},"uris":["http://www.mendeley.com/documents/?uuid=17617d9d-b065-4c96-880e-31f272c439ba"]}],"mendeley":{"formattedCitation":"[12]","plainTextFormattedCitation":"[12]","previouslyFormattedCitation":"[12]"},"properties":{"noteIndex":0},"schema":"https://github.com/citation-style-language/schema/raw/master/csl-citation.json"}</w:instrText>
      </w:r>
      <w:r w:rsidR="00780368">
        <w:fldChar w:fldCharType="separate"/>
      </w:r>
      <w:r w:rsidR="00336099" w:rsidRPr="00336099">
        <w:rPr>
          <w:noProof/>
        </w:rPr>
        <w:t>[12]</w:t>
      </w:r>
      <w:r w:rsidR="00780368">
        <w:fldChar w:fldCharType="end"/>
      </w:r>
      <w:r w:rsidR="005D3E13">
        <w:t xml:space="preserve"> </w:t>
      </w:r>
      <w:r w:rsidR="006D6E71">
        <w:t>These p</w:t>
      </w:r>
      <w:r w:rsidR="00213CDC">
        <w:t xml:space="preserve">ost-operative </w:t>
      </w:r>
      <w:r w:rsidR="00DA33E1">
        <w:t xml:space="preserve">complications </w:t>
      </w:r>
      <w:r w:rsidR="00213CDC">
        <w:t>ar</w:t>
      </w:r>
      <w:r w:rsidR="00BD551A">
        <w:t>e</w:t>
      </w:r>
      <w:r w:rsidR="00DA33E1">
        <w:t xml:space="preserve"> </w:t>
      </w:r>
      <w:r w:rsidR="00213CDC">
        <w:t>relatively rare</w:t>
      </w:r>
      <w:r w:rsidR="00BD551A">
        <w:t>,</w:t>
      </w:r>
      <w:r w:rsidR="00213CDC">
        <w:t xml:space="preserve"> </w:t>
      </w:r>
      <w:r w:rsidR="00BD551A">
        <w:t xml:space="preserve">however, </w:t>
      </w:r>
      <w:r w:rsidR="006D6E71">
        <w:t>with the incidence of symptomatic venous thromboembolism between 2% and 4% and the incidence of myocardial infarction between 0.2% and 0.5%.</w:t>
      </w:r>
      <w:r w:rsidR="006D6E71">
        <w:fldChar w:fldCharType="begin" w:fldLock="1"/>
      </w:r>
      <w:r w:rsidR="00171DD0">
        <w:instrText>ADDIN CSL_CITATION {"citationItems":[{"id":"ITEM-1","itemData":{"DOI":"10.1302/0301-620x.88b3.17207","ISSN":"0301-620X","abstract":"Over a 13-year period we studied all patients who underwent major hip and knee surgery and were diagnosed with objectively confirmed symptomatic venous thromboembolism, either deep venous thrombosis or non-fatal pulmonary embolism, within six months after surgery. Low-molecular-weight heparin had been given while the patients were in hospital. There were 5607 patients. The cumulative incidence of symptomatic venous thromboembolism was 2.7% (150 of 5607), of which 1.1% had developed pulmonary embolism, 1.5% had deep venous thrombosis and 0.6% had both. Patients presented with deep venous thrombosis at a median of 24 days and pulmonary embolism at 17 days after surgery for hip fracture. After total hip replacement, deep venous thrombosis and pulmonary embolism occurred at a median of 21 and 34 days respectively. After total knee replacement, the median time to the presentation of deep venous thrombosis and pulmonary embolism was 20 and 12 days respectively. The cumulative risk of venous thromboembolism lasted for up to three months after hip surgery and for one month after total knee replacement. Venous thromboembolism was diagnosed after discharge from hospital in 70% of patients who developed this complication. Despite hospital-based thromboprophylaxis, most cases of clinical venous thromboembolism occur after discharge and at different times according to the operation performed.","author":[{"dropping-particle":"","family":"Bjørnar̊","given":"B. T.","non-dropping-particle":"","parse-names":false,"suffix":""},{"dropping-particle":"","family":"Gudmundsen","given":"T. E.","non-dropping-particle":"","parse-names":false,"suffix":""},{"dropping-particle":"","family":"Dahl","given":"O. E.","non-dropping-particle":"","parse-names":false,"suffix":""}],"container-title":"The Journal of Bone and Joint Surgery. British volume","id":"ITEM-1","issue":"3","issued":{"date-parts":[["2006"]]},"page":"386-391","title":"Frequency and timing of clinical venous thromboembolism after major joint surgery","type":"article-journal","volume":"88-B"},"uris":["http://www.mendeley.com/documents/?uuid=c98ceb06-60b3-415f-a6be-104eeb8f7cd6"]},{"id":"ITEM-2","itemData":{"DOI":"10.1371/journal.pone.0166844","ISSN":"19326203","author":[{"dropping-particle":"","family":"Lee","given":"Do Kyung","non-dropping-particle":"","parse-names":false,"suffix":""},{"dropping-particle":"","family":"Kim","given":"Hyun Jung","non-dropping-particle":"","parse-names":false,"suffix":""},{"dropping-particle":"","family":"Lee","given":"Dae Hee","non-dropping-particle":"","parse-names":false,"suffix":""}],"container-title":"PLoS ONE","id":"ITEM-2","issue":"12","issued":{"date-parts":[["2016"]]},"page":"1-10","title":"Incidence of deep vein thrombosis and venous thromboembolism following TKA in rheumatoid arthritis versus osteoarthritis: A meta-analysis","type":"article-journal","volume":"11"},"uris":["http://www.mendeley.com/documents/?uuid=e91cc5f3-e38a-4756-bf58-a73230f9c19b"]},{"id":"ITEM-3","itemData":{"DOI":"10.1001/archinternmed.2012.2713","ISBN":"0003-9926","ISSN":"1538-3679","PMID":"22826107","abstract":"BACKGROUND: Limited evidence suggests that the risk of acute myocardial infarction (AMI) may be increased shortly after total hip replacement (THR) and total knee replacement (TKR) surgery. However, risk of AMI in these patients has not been compared against matched controls who have not undergone surgery. The objective of this study was to evaluate the timing of AMI in patients undergoing THR or TKR surgery compared with matched controls.\\n\\nMETHODS: Retrospective, nationwide cohort study within the Danish national registries. All patients who underwent a primary THR or TKR (n = 95,227) surgery from January 1, 1998, through December 31, 2007, were selected and matched to 3 controls (no THR or TKR) by age, sex, and geographic region. All study participants were followed up for AMI, and disease- and medication history-adjusted hazard ratios (HRs) were calculated.\\n\\nRESULTS: During the first 2 postoperative weeks, the risk of AMI was substantially increased in THR patients compared with controls (adjusted HR, 25.5; 95% CI, 17.1-37.9). The risk remained elevated for 2 to 6 weeks after surgery (adjusted HR, 5.05; 95% CI, 3.58-7.13) and then decreased to baseline levels. For TKR patients, AMI risk was also increased during the first 2 weeks (adjusted HR, 30.9; 95% CI, 11.1-85.5) but did not differ from controls after the first 2 weeks. The absolute 6-week risk of AMI was 0.51% in THR patients and 0.21% in TKR patients.\\n\\nCONCLUSIONS: Risk of AMI is substantially increased in the first 2 weeks after THR (25-fold) and TKR (31-fold) surgery compared with controls. Risk assessment of AMI should be considered during the first 6 weeks after THR surgery and during the first 2 weeks after TKR surgery.","author":[{"dropping-particle":"","family":"Lalmohamed","given":"Arief","non-dropping-particle":"","parse-names":false,"suffix":""},{"dropping-particle":"","family":"Vestergaard","given":"Peter","non-dropping-particle":"","parse-names":false,"suffix":""},{"dropping-particle":"","family":"Klop","given":"Corinne","non-dropping-particle":"","parse-names":false,"suffix":""},{"dropping-particle":"","family":"Grove","given":"Erik Lerkevang","non-dropping-particle":"","parse-names":false,"suffix":""},{"dropping-particle":"","family":"Boer","given":"Anthonius","non-dropping-particle":"de","parse-names":false,"suffix":""},{"dropping-particle":"","family":"Leufkens","given":"Hubertus G M","non-dropping-particle":"","parse-names":false,"suffix":""},{"dropping-particle":"","family":"Staa","given":"Tjeerd P","non-dropping-particle":"van","parse-names":false,"suffix":""},{"dropping-particle":"","family":"Vries","given":"Frank","non-dropping-particle":"de","parse-names":false,"suffix":""}],"container-title":"Archives of internal medicine","id":"ITEM-3","issue":"16","issued":{"date-parts":[["2012"]]},"page":"1229-35","title":"Timing of acute myocardial infarction in patients undergoing total hip or knee replacement: a nationwide cohort study.","type":"article-journal","volume":"172"},"uris":["http://www.mendeley.com/documents/?uuid=3a5e47a4-83a9-4010-8416-042d95377039"]}],"mendeley":{"formattedCitation":"[13–15]","plainTextFormattedCitation":"[13–15]","previouslyFormattedCitation":"[13–15]"},"properties":{"noteIndex":0},"schema":"https://github.com/citation-style-language/schema/raw/master/csl-citation.json"}</w:instrText>
      </w:r>
      <w:r w:rsidR="006D6E71">
        <w:fldChar w:fldCharType="separate"/>
      </w:r>
      <w:r w:rsidR="006D6E71" w:rsidRPr="006D6E71">
        <w:rPr>
          <w:noProof/>
        </w:rPr>
        <w:t>[13–15]</w:t>
      </w:r>
      <w:r w:rsidR="006D6E71">
        <w:fldChar w:fldCharType="end"/>
      </w:r>
      <w:r w:rsidR="006D6E71">
        <w:t xml:space="preserve"> </w:t>
      </w:r>
      <w:r w:rsidR="003B3F10">
        <w:t xml:space="preserve">Consequently, </w:t>
      </w:r>
      <w:r w:rsidR="00BD551A">
        <w:t>any</w:t>
      </w:r>
      <w:r w:rsidR="003B3F10">
        <w:t xml:space="preserve"> difference in absolute risks of adverse events is likely to be small</w:t>
      </w:r>
      <w:r w:rsidR="0020121F">
        <w:t>.</w:t>
      </w:r>
      <w:r w:rsidR="003B3F10">
        <w:t xml:space="preserve"> </w:t>
      </w:r>
      <w:r w:rsidR="00171DD0">
        <w:t>Indeed, restricting access to surgery for those with a BMI of 35 or above is expected to result in 16 patients denied a complication-free surgery per complication avoided, which is only slightly better than the 19 patients that would be denied a complication-free surgery if rationing was done randomly.</w:t>
      </w:r>
      <w:r w:rsidR="00171DD0">
        <w:fldChar w:fldCharType="begin" w:fldLock="1"/>
      </w:r>
      <w:r w:rsidR="00171DD0">
        <w:instrText>ADDIN CSL_CITATION {"citationItems":[{"id":"ITEM-1","itemData":{"DOI":"10.2106/JBJS.17.00120","ISSN":"0021-9355","abstract":"BACKGROUND Morbidly obese patients with severe osteoarthritis benefit from successful total joint arthroplasty. However, morbid obesity increases the risk of complications. Because of this, some surgeons enforce a body mass index (BMI) eligibility criterion above which total joint arthroplasty is denied. In this study, we investigate the trade-off between avoiding complications and restricting access to care when enforcing BMI-based eligibility criteria for total joint arthroplasty. METHODS In this retrospective cohort study, the Veterans Health Administration (VHA) Corporate Data Warehouse (CDW) and Veterans Affairs Surgical Quality Improvement Program (VASQIP) databases were reviewed for patients undergoing total joint arthroplasty from October 2011 through September 2014. We determined, if various BMI eligibility criteria had been enforced over that period of time, how many short-term complications would have been avoided, how many complication-free surgical procedures would have been denied, and the positive predictive value of BMI eligibility criteria as tests for major complications. To provide a frame of reference, we also determined what would have happened if eligibility for total joint arthroplasty were arbitrarily determined by flipping a coin. RESULTS In this study, 27,671 total joint arthroplasties were reviewed. With a BMI criterion of ≥40 kg/m, 1,148 patients would have been denied a surgical procedure free of major complications, and 83 patients would have avoided a major complication. The positive predictive value of a complication using a BMI of ≥40 kg/m as a test for major complications was 6.74% (95% confidence interval [CI], 5.44% to 8.33%). The positive predictive value of a complication using a BMI criterion of 30 kg/m was 5.33% (95% CI, 4.99% to 5.71%). Flipping a coin had a positive predictive value of 5.05%. CONCLUSIONS A 30 kg/m criterion for total joint arthroplasty eligibility is marginally better than flipping a coin and should not determine surgical eligibility. With a BMI criterion of ≥40 kg/m, the number of patients denied a complication-free surgical procedure is about 14 times larger than those spared a complication. Although the acceptable balance between avoiding complications and providing access to care can be debated, such a quantitative assessment helps to inform decisions regarding the advisability of enforcing a BMI criterion for total joint arthroplasty. LEVEL OF EVIDENCE Therapeutic Level III. See Instruction…","author":[{"dropping-particle":"","family":"Giori","given":"Nicholas J.","non-dropping-particle":"","parse-names":false,"suffix":""},{"dropping-particle":"","family":"Amanatullah","given":"Derek F.","non-dropping-particle":"","parse-names":false,"suffix":""},{"dropping-particle":"","family":"Gupta","given":"Shalini","non-dropping-particle":"","parse-names":false,"suffix":""},{"dropping-particle":"","family":"Bowe","given":"Thomas","non-dropping-particle":"","parse-names":false,"suffix":""},{"dropping-particle":"","family":"Harris","given":"Alex H.S.","non-dropping-particle":"","parse-names":false,"suffix":""}],"container-title":"The Journal of Bone and Joint Surgery","id":"ITEM-1","issue":"7","issued":{"date-parts":[["2018","4"]]},"page":"539-545","title":"Risk Reduction Compared with Access to Care","type":"article-journal","volume":"100"},"uris":["http://www.mendeley.com/documents/?uuid=a6e4ba3d-c7fa-4fcf-95f8-3dad51923ada"]}],"mendeley":{"formattedCitation":"[16]","plainTextFormattedCitation":"[16]","previouslyFormattedCitation":"[16]"},"properties":{"noteIndex":0},"schema":"https://github.com/citation-style-language/schema/raw/master/csl-citation.json"}</w:instrText>
      </w:r>
      <w:r w:rsidR="00171DD0">
        <w:fldChar w:fldCharType="separate"/>
      </w:r>
      <w:r w:rsidR="00171DD0" w:rsidRPr="00171DD0">
        <w:rPr>
          <w:noProof/>
        </w:rPr>
        <w:t>[16]</w:t>
      </w:r>
      <w:r w:rsidR="00171DD0">
        <w:fldChar w:fldCharType="end"/>
      </w:r>
    </w:p>
    <w:p w14:paraId="30B53F2B" w14:textId="1D8426D7" w:rsidR="000703E6" w:rsidRDefault="005D3E13" w:rsidP="000703E6">
      <w:pPr>
        <w:spacing w:line="360" w:lineRule="auto"/>
        <w:rPr>
          <w:rFonts w:cstheme="minorHAnsi"/>
        </w:rPr>
      </w:pPr>
      <w:r w:rsidRPr="000703E6">
        <w:rPr>
          <w:rFonts w:cstheme="minorHAnsi"/>
        </w:rPr>
        <w:t xml:space="preserve">Alongside </w:t>
      </w:r>
      <w:r w:rsidRPr="000703E6">
        <w:t>patient-reported outcomes</w:t>
      </w:r>
      <w:r w:rsidR="005D2063">
        <w:t xml:space="preserve"> after surgery</w:t>
      </w:r>
      <w:r w:rsidRPr="000703E6">
        <w:t xml:space="preserve"> and risks of post-operative complications, </w:t>
      </w:r>
      <w:r w:rsidRPr="000703E6">
        <w:rPr>
          <w:rFonts w:cstheme="minorHAnsi"/>
        </w:rPr>
        <w:t xml:space="preserve">risk of revision, in which implant components are removed, added, or exchanged, is a key determinant of the cost-effectiveness of TKR and THR. </w:t>
      </w:r>
      <w:r w:rsidR="00E052D5" w:rsidRPr="000703E6">
        <w:rPr>
          <w:rFonts w:cstheme="minorHAnsi"/>
        </w:rPr>
        <w:t xml:space="preserve">Revision procedures are associated with significant reductions in patient-reported outcomes across all dimensions of </w:t>
      </w:r>
      <w:r w:rsidR="00E83A1A" w:rsidRPr="000703E6">
        <w:rPr>
          <w:rFonts w:cstheme="minorHAnsi"/>
        </w:rPr>
        <w:t xml:space="preserve">patient </w:t>
      </w:r>
      <w:r w:rsidR="00E052D5" w:rsidRPr="000703E6">
        <w:rPr>
          <w:rFonts w:cstheme="minorHAnsi"/>
        </w:rPr>
        <w:t xml:space="preserve">quality of </w:t>
      </w:r>
      <w:r w:rsidR="00063E50" w:rsidRPr="000703E6">
        <w:rPr>
          <w:rFonts w:cstheme="minorHAnsi"/>
        </w:rPr>
        <w:t>life</w:t>
      </w:r>
      <w:r w:rsidR="000703E6">
        <w:rPr>
          <w:rFonts w:cstheme="minorHAnsi"/>
        </w:rPr>
        <w:t>,</w:t>
      </w:r>
      <w:r w:rsidR="00E052D5" w:rsidRPr="000703E6">
        <w:rPr>
          <w:rFonts w:cstheme="minorHAnsi"/>
        </w:rPr>
        <w:fldChar w:fldCharType="begin" w:fldLock="1"/>
      </w:r>
      <w:r w:rsidR="00171DD0">
        <w:rPr>
          <w:rFonts w:cstheme="minorHAnsi"/>
        </w:rPr>
        <w:instrText>ADDIN CSL_CITATION {"citationItems":[{"id":"ITEM-1","itemData":{"DOI":"10.1016/j.arth.2010.04.026","ISBN":"0883-5403","ISSN":"1532-8406","PMID":"20541360","abstract":"The purpose of this study was to evaluate and compare the quality of life and satisfaction outcomes of patients undergoing primary and revision total knee arthroplasty (TKA). Sixty revision and 199 primary TKA patients were assessed using the Western Ontario and McMaster Universities Osteoarthritis Index (WOMAC), Oxford-12 Knee Score, Short Form-12, and patient-reported satisfaction. Baseline preoperative scores demonstrate that revision TKA patients have inferior quality of life across all measures (WOMAC, Oxford-12, and Short Form-12) in comparison with primary TKA patients (P &lt; .05). At follow-up revision, TKA patients continue to have inferior outcomes (P &lt; .05) in comparison with primary TKA patients. When adjusting for confounding factors in regression analyses, revisions are inferior to primary TKA by 8.6 (95% confidence interval, 2.7-14.6) normalized WOMAC units.","author":[{"dropping-particle":"V","family":"Greidanus","given":"Nelson","non-dropping-particle":"","parse-names":false,"suffix":""},{"dropping-particle":"","family":"Peterson","given":"Richard C","non-dropping-particle":"","parse-names":false,"suffix":""},{"dropping-particle":"","family":"Masri","given":"Bassam A","non-dropping-particle":"","parse-names":false,"suffix":""},{"dropping-particle":"","family":"Garbuz","given":"Donald S","non-dropping-particle":"","parse-names":false,"suffix":""}],"container-title":"The Journal of arthroplasty","id":"ITEM-1","issue":"4","issued":{"date-parts":[["2011"]]},"page":"615-20","publisher":"Elsevier Inc.","title":"Quality of life outcomes in revision versus primary total knee arthroplasty.","type":"article-journal","volume":"26"},"uris":["http://www.mendeley.com/documents/?uuid=4382a54f-b34a-4840-9a0a-c045c20e91b6"]}],"mendeley":{"formattedCitation":"[17]","plainTextFormattedCitation":"[17]","previouslyFormattedCitation":"[17]"},"properties":{"noteIndex":0},"schema":"https://github.com/citation-style-language/schema/raw/master/csl-citation.json"}</w:instrText>
      </w:r>
      <w:r w:rsidR="00E052D5" w:rsidRPr="000703E6">
        <w:rPr>
          <w:rFonts w:cstheme="minorHAnsi"/>
        </w:rPr>
        <w:fldChar w:fldCharType="separate"/>
      </w:r>
      <w:r w:rsidR="00171DD0" w:rsidRPr="00171DD0">
        <w:rPr>
          <w:rFonts w:cstheme="minorHAnsi"/>
          <w:noProof/>
        </w:rPr>
        <w:t>[17]</w:t>
      </w:r>
      <w:r w:rsidR="00E052D5" w:rsidRPr="000703E6">
        <w:rPr>
          <w:rFonts w:cstheme="minorHAnsi"/>
        </w:rPr>
        <w:fldChar w:fldCharType="end"/>
      </w:r>
      <w:r w:rsidR="00E83A1A" w:rsidRPr="000703E6">
        <w:rPr>
          <w:rFonts w:cstheme="minorHAnsi"/>
        </w:rPr>
        <w:t xml:space="preserve"> </w:t>
      </w:r>
      <w:r w:rsidR="000703E6">
        <w:rPr>
          <w:rFonts w:cstheme="minorHAnsi"/>
        </w:rPr>
        <w:t>and</w:t>
      </w:r>
      <w:r w:rsidR="00E83A1A" w:rsidRPr="000703E6">
        <w:rPr>
          <w:rFonts w:cstheme="minorHAnsi"/>
        </w:rPr>
        <w:t xml:space="preserve"> </w:t>
      </w:r>
      <w:r w:rsidR="00E052D5" w:rsidRPr="000703E6">
        <w:rPr>
          <w:rFonts w:cstheme="minorHAnsi"/>
        </w:rPr>
        <w:lastRenderedPageBreak/>
        <w:t xml:space="preserve">substantial costs for the health system, </w:t>
      </w:r>
      <w:r w:rsidR="000703E6">
        <w:rPr>
          <w:rFonts w:cstheme="minorHAnsi"/>
        </w:rPr>
        <w:t>with</w:t>
      </w:r>
      <w:r w:rsidR="00E052D5" w:rsidRPr="000703E6">
        <w:rPr>
          <w:rFonts w:cstheme="minorHAnsi"/>
        </w:rPr>
        <w:t xml:space="preserve"> </w:t>
      </w:r>
      <w:r w:rsidR="00E83A1A" w:rsidRPr="000703E6">
        <w:rPr>
          <w:rFonts w:cstheme="minorHAnsi"/>
        </w:rPr>
        <w:t xml:space="preserve">revisions </w:t>
      </w:r>
      <w:r w:rsidR="00E052D5" w:rsidRPr="000703E6">
        <w:rPr>
          <w:rFonts w:cstheme="minorHAnsi"/>
        </w:rPr>
        <w:t xml:space="preserve">typically </w:t>
      </w:r>
      <w:r w:rsidR="00194821" w:rsidRPr="000703E6">
        <w:rPr>
          <w:rFonts w:cstheme="minorHAnsi"/>
        </w:rPr>
        <w:t>cost</w:t>
      </w:r>
      <w:r w:rsidR="000703E6">
        <w:rPr>
          <w:rFonts w:cstheme="minorHAnsi"/>
        </w:rPr>
        <w:t>ing</w:t>
      </w:r>
      <w:r w:rsidR="00194821" w:rsidRPr="000703E6">
        <w:rPr>
          <w:rFonts w:cstheme="minorHAnsi"/>
        </w:rPr>
        <w:t xml:space="preserve"> </w:t>
      </w:r>
      <w:r w:rsidR="00E052D5" w:rsidRPr="000703E6">
        <w:rPr>
          <w:rFonts w:cstheme="minorHAnsi"/>
        </w:rPr>
        <w:t>more than primary procedures.</w:t>
      </w:r>
      <w:r w:rsidR="00E052D5" w:rsidRPr="000703E6">
        <w:rPr>
          <w:rFonts w:cstheme="minorHAnsi"/>
        </w:rPr>
        <w:fldChar w:fldCharType="begin" w:fldLock="1"/>
      </w:r>
      <w:r w:rsidR="00171DD0">
        <w:rPr>
          <w:rFonts w:cstheme="minorHAnsi"/>
        </w:rPr>
        <w:instrText>ADDIN CSL_CITATION {"citationItems":[{"id":"ITEM-1","itemData":{"author":[{"dropping-particle":"","family":"Burn","given":"E","non-dropping-particle":"","parse-names":false,"suffix":""},{"dropping-particle":"","family":"CJ","given":"Edwards","non-dropping-particle":"","parse-names":false,"suffix":""},{"dropping-particle":"","family":"DW","given":"Murray","non-dropping-particle":"","parse-names":false,"suffix":""},{"dropping-particle":"","family":"A","given":"Silman","non-dropping-particle":"","parse-names":false,"suffix":""},{"dropping-particle":"","family":"C","given":"Cooper","non-dropping-particle":"","parse-names":false,"suffix":""},{"dropping-particle":"","family":"NK","given":"Arden","non-dropping-particle":"","parse-names":false,"suffix":""},{"dropping-particle":"","family":"R","given":"Pinedo Villanueva","non-dropping-particle":"","parse-names":false,"suffix":""},{"dropping-particle":"","family":"D","given":"Prieto-Alhambra","non-dropping-particle":"","parse-names":false,"suffix":""}],"container-title":"BMJ Open","id":"ITEM-1","issued":{"date-parts":[["0"]]},"title":"Trends and determinants of length of stay and hospital reimbursement following knee and hip replacement: evidence from linked primary care and NHS hospital records from 1997 to 2014","type":"article-journal"},"uris":["http://www.mendeley.com/documents/?uuid=ef6c7cf2-afa2-4d1a-a5fc-64589b9e4c6b"]}],"mendeley":{"formattedCitation":"[18]","plainTextFormattedCitation":"[18]","previouslyFormattedCitation":"[18]"},"properties":{"noteIndex":0},"schema":"https://github.com/citation-style-language/schema/raw/master/csl-citation.json"}</w:instrText>
      </w:r>
      <w:r w:rsidR="00E052D5" w:rsidRPr="000703E6">
        <w:rPr>
          <w:rFonts w:cstheme="minorHAnsi"/>
        </w:rPr>
        <w:fldChar w:fldCharType="separate"/>
      </w:r>
      <w:r w:rsidR="00171DD0" w:rsidRPr="00171DD0">
        <w:rPr>
          <w:rFonts w:cstheme="minorHAnsi"/>
          <w:noProof/>
        </w:rPr>
        <w:t>[18]</w:t>
      </w:r>
      <w:r w:rsidR="00E052D5" w:rsidRPr="000703E6">
        <w:rPr>
          <w:rFonts w:cstheme="minorHAnsi"/>
        </w:rPr>
        <w:fldChar w:fldCharType="end"/>
      </w:r>
      <w:r w:rsidR="00E052D5" w:rsidRPr="000703E6">
        <w:rPr>
          <w:rFonts w:cstheme="minorHAnsi"/>
        </w:rPr>
        <w:t xml:space="preserve"> </w:t>
      </w:r>
      <w:r w:rsidR="000703E6">
        <w:rPr>
          <w:rFonts w:cstheme="minorHAnsi"/>
        </w:rPr>
        <w:t xml:space="preserve">The relationship of BMI and smoking with the risk of revision is not </w:t>
      </w:r>
      <w:r w:rsidR="00F46159">
        <w:rPr>
          <w:rFonts w:cstheme="minorHAnsi"/>
        </w:rPr>
        <w:t xml:space="preserve">yet </w:t>
      </w:r>
      <w:r w:rsidR="000703E6">
        <w:rPr>
          <w:rFonts w:cstheme="minorHAnsi"/>
        </w:rPr>
        <w:t xml:space="preserve">well understood. </w:t>
      </w:r>
    </w:p>
    <w:p w14:paraId="1578292C" w14:textId="22EDA482" w:rsidR="000703E6" w:rsidRPr="000703E6" w:rsidRDefault="000703E6" w:rsidP="000703E6">
      <w:pPr>
        <w:spacing w:line="360" w:lineRule="auto"/>
        <w:rPr>
          <w:rFonts w:cstheme="minorHAnsi"/>
        </w:rPr>
      </w:pPr>
      <w:r>
        <w:t xml:space="preserve">The aim of this study was to assess the association between BMI and smoking and the risk of revision following TKR and THR. </w:t>
      </w:r>
    </w:p>
    <w:p w14:paraId="02A7703C" w14:textId="77777777" w:rsidR="00DD2E12" w:rsidRDefault="00DD2E12">
      <w:pPr>
        <w:rPr>
          <w:rFonts w:asciiTheme="majorHAnsi" w:eastAsiaTheme="majorEastAsia" w:hAnsiTheme="majorHAnsi" w:cstheme="majorBidi"/>
          <w:b/>
          <w:caps/>
          <w:color w:val="000000" w:themeColor="text1"/>
          <w:szCs w:val="32"/>
        </w:rPr>
      </w:pPr>
    </w:p>
    <w:p w14:paraId="3D8CAA0F" w14:textId="07E8D1FA" w:rsidR="008B0C45" w:rsidRDefault="009A4B09" w:rsidP="00D148FF">
      <w:pPr>
        <w:pStyle w:val="Heading1"/>
        <w:spacing w:line="360" w:lineRule="auto"/>
      </w:pPr>
      <w:r>
        <w:t>Methods</w:t>
      </w:r>
    </w:p>
    <w:p w14:paraId="5864DC30" w14:textId="77777777" w:rsidR="00DB4ED0" w:rsidRPr="00DB4ED0" w:rsidRDefault="00DB4ED0" w:rsidP="00D148FF">
      <w:pPr>
        <w:pStyle w:val="Heading2"/>
        <w:spacing w:line="360" w:lineRule="auto"/>
      </w:pPr>
      <w:r w:rsidRPr="00DB4ED0">
        <w:t>Study design</w:t>
      </w:r>
    </w:p>
    <w:p w14:paraId="305FF601" w14:textId="65A40A85" w:rsidR="00513ED3" w:rsidRDefault="00257250" w:rsidP="00744D3F">
      <w:pPr>
        <w:spacing w:line="360" w:lineRule="auto"/>
      </w:pPr>
      <w:r>
        <w:t xml:space="preserve">A dynamic cohort study design was used, </w:t>
      </w:r>
      <w:r w:rsidR="00596D46">
        <w:t xml:space="preserve">with </w:t>
      </w:r>
      <w:r>
        <w:t xml:space="preserve">individuals diagnosed with arthritis </w:t>
      </w:r>
      <w:r w:rsidR="00291D1B">
        <w:t xml:space="preserve">who </w:t>
      </w:r>
      <w:r>
        <w:t>went on to receive a joint replacement</w:t>
      </w:r>
      <w:r w:rsidR="00596D46">
        <w:t xml:space="preserve"> included</w:t>
      </w:r>
      <w:r>
        <w:t>. The effect of BMI and smoking status</w:t>
      </w:r>
      <w:r w:rsidR="00744D3F">
        <w:t xml:space="preserve">, recorded in the year </w:t>
      </w:r>
      <w:r w:rsidR="00E83A1A">
        <w:t>before</w:t>
      </w:r>
      <w:r w:rsidR="00744D3F">
        <w:t xml:space="preserve"> surgery,</w:t>
      </w:r>
      <w:r>
        <w:t xml:space="preserve"> </w:t>
      </w:r>
      <w:r w:rsidR="00744D3F">
        <w:t xml:space="preserve">on the ten-year risk of revision was </w:t>
      </w:r>
      <w:r>
        <w:t>assessed</w:t>
      </w:r>
      <w:r w:rsidR="00194821">
        <w:t>.</w:t>
      </w:r>
      <w:r>
        <w:t xml:space="preserve"> </w:t>
      </w:r>
      <w:r w:rsidR="00194821">
        <w:t>T</w:t>
      </w:r>
      <w:r>
        <w:t xml:space="preserve">he observed cumulative incidence </w:t>
      </w:r>
      <w:r w:rsidR="00194821">
        <w:t xml:space="preserve">of revisions </w:t>
      </w:r>
      <w:r>
        <w:t xml:space="preserve">and </w:t>
      </w:r>
      <w:r w:rsidR="00744D3F">
        <w:t>estimat</w:t>
      </w:r>
      <w:r w:rsidR="00194821">
        <w:t>ed</w:t>
      </w:r>
      <w:r w:rsidR="00744D3F">
        <w:t xml:space="preserve"> </w:t>
      </w:r>
      <w:r>
        <w:t>hazard ratios</w:t>
      </w:r>
      <w:r w:rsidR="00744D3F">
        <w:t xml:space="preserve"> (HRs)</w:t>
      </w:r>
      <w:r>
        <w:t xml:space="preserve"> </w:t>
      </w:r>
      <w:r w:rsidR="00194821">
        <w:t xml:space="preserve">were compared </w:t>
      </w:r>
      <w:r w:rsidR="00744D3F">
        <w:t xml:space="preserve">using parametric survival models </w:t>
      </w:r>
      <w:r w:rsidR="00E83A1A">
        <w:t>that</w:t>
      </w:r>
      <w:r w:rsidR="00744D3F">
        <w:t xml:space="preserve"> controlled for age, </w:t>
      </w:r>
      <w:r w:rsidR="00A94743">
        <w:t>sex</w:t>
      </w:r>
      <w:r w:rsidR="00744D3F">
        <w:t>, diagnosis, comorbidities</w:t>
      </w:r>
      <w:r w:rsidR="00E83A1A">
        <w:t>,</w:t>
      </w:r>
      <w:r w:rsidR="00744D3F">
        <w:t xml:space="preserve"> and socioeconomic status. The partial effect of BMI and smoking status on overall lifetime risk of revision was estimated by combining and extrapolating the estimated risks of revision and death following surgery using a state-based Markov model.</w:t>
      </w:r>
      <w:r w:rsidR="006D59DD">
        <w:t xml:space="preserve"> </w:t>
      </w:r>
    </w:p>
    <w:p w14:paraId="6C6D52A9" w14:textId="77777777" w:rsidR="00DB4ED0" w:rsidRDefault="00DB4ED0" w:rsidP="00D148FF">
      <w:pPr>
        <w:pStyle w:val="Heading2"/>
        <w:spacing w:line="360" w:lineRule="auto"/>
      </w:pPr>
      <w:r>
        <w:t>Setting</w:t>
      </w:r>
    </w:p>
    <w:p w14:paraId="3909167B" w14:textId="13E89E18" w:rsidR="00E22970" w:rsidRDefault="00E22970" w:rsidP="00DD2E12">
      <w:pPr>
        <w:spacing w:line="360" w:lineRule="auto"/>
      </w:pPr>
      <w:r>
        <w:t xml:space="preserve">Primary care </w:t>
      </w:r>
      <w:r w:rsidR="0030786F">
        <w:t xml:space="preserve">NHS records </w:t>
      </w:r>
      <w:r w:rsidR="006D59DD">
        <w:t xml:space="preserve">data </w:t>
      </w:r>
      <w:r w:rsidR="00434B2F">
        <w:t xml:space="preserve">were </w:t>
      </w:r>
      <w:r w:rsidR="006D59DD">
        <w:t xml:space="preserve">extracted from </w:t>
      </w:r>
      <w:r>
        <w:t>p</w:t>
      </w:r>
      <w:r w:rsidRPr="00A8464B">
        <w:t xml:space="preserve">ractices within </w:t>
      </w:r>
      <w:r>
        <w:t xml:space="preserve">the </w:t>
      </w:r>
      <w:r w:rsidRPr="00A8464B">
        <w:t>Clinical P</w:t>
      </w:r>
      <w:r>
        <w:t>ractice Research Datalink (CPRD)</w:t>
      </w:r>
      <w:r w:rsidR="006D59DD">
        <w:t>, which is a large</w:t>
      </w:r>
      <w:r w:rsidR="00E83A1A">
        <w:t>,</w:t>
      </w:r>
      <w:r w:rsidR="006D59DD">
        <w:t xml:space="preserve"> representative database of anonymised records from general practi</w:t>
      </w:r>
      <w:r w:rsidR="009603DB">
        <w:t>ces</w:t>
      </w:r>
      <w:r w:rsidR="006D59DD">
        <w:t>.</w:t>
      </w:r>
      <w:r w:rsidR="006D59DD">
        <w:fldChar w:fldCharType="begin" w:fldLock="1"/>
      </w:r>
      <w:r w:rsidR="00171DD0">
        <w:instrText>ADDIN CSL_CITATION {"citationItems":[{"id":"ITEM-1","itemData":{"DOI":"10.1093/ije/dyv098","ISBN":"0300-5771","ISSN":"14643685","PMID":"26050254","abstract":"The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research.","author":[{"dropping-particle":"","family":"Herrett","given":"Emily","non-dropping-particle":"","parse-names":false,"suffix":""},{"dropping-particle":"","family":"Gallagher","given":"Arlene M.","non-dropping-particle":"","parse-names":false,"suffix":""},{"dropping-particle":"","family":"Bhaskaran","given":"Krishnan","non-dropping-particle":"","parse-names":false,"suffix":""},{"dropping-particle":"","family":"Forbes","given":"Harriet","non-dropping-particle":"","parse-names":false,"suffix":""},{"dropping-particle":"","family":"Mathur","given":"Rohini","non-dropping-particle":"","parse-names":false,"suffix":""},{"dropping-particle":"van","family":"Staa","given":"Tjeerd","non-dropping-particle":"","parse-names":false,"suffix":""},{"dropping-particle":"","family":"Smeeth","given":"Liam","non-dropping-particle":"","parse-names":false,"suffix":""}],"container-title":"International Journal of Epidemiology","id":"ITEM-1","issue":"3","issued":{"date-parts":[["2015"]]},"page":"827-836","title":"Data Resource Profile: Clinical Practice Research Datalink (CPRD)","type":"article-journal","volume":"44"},"uris":["http://www.mendeley.com/documents/?uuid=0d467bd3-56f5-4b87-a9b4-99afd42df04b"]}],"mendeley":{"formattedCitation":"[19]","plainTextFormattedCitation":"[19]","previouslyFormattedCitation":"[19]"},"properties":{"noteIndex":0},"schema":"https://github.com/citation-style-language/schema/raw/master/csl-citation.json"}</w:instrText>
      </w:r>
      <w:r w:rsidR="006D59DD">
        <w:fldChar w:fldCharType="separate"/>
      </w:r>
      <w:r w:rsidR="00171DD0" w:rsidRPr="00171DD0">
        <w:rPr>
          <w:noProof/>
        </w:rPr>
        <w:t>[19]</w:t>
      </w:r>
      <w:r w:rsidR="006D59DD">
        <w:fldChar w:fldCharType="end"/>
      </w:r>
      <w:r w:rsidR="006D59DD">
        <w:t xml:space="preserve"> Th</w:t>
      </w:r>
      <w:r w:rsidR="009603DB">
        <w:t>ese</w:t>
      </w:r>
      <w:r w:rsidR="006D59DD">
        <w:t xml:space="preserve"> data </w:t>
      </w:r>
      <w:r w:rsidR="009603DB">
        <w:t xml:space="preserve">were </w:t>
      </w:r>
      <w:r w:rsidRPr="00A8464B">
        <w:t>linked to inpatient hospital records</w:t>
      </w:r>
      <w:r w:rsidR="00291D1B">
        <w:t xml:space="preserve"> in England</w:t>
      </w:r>
      <w:r w:rsidRPr="00A8464B">
        <w:t>, provided by Hospital Episode Statistics Admitted Patient Care (HES APC)</w:t>
      </w:r>
      <w:r>
        <w:t xml:space="preserve">, and mortality data from the Office for National Statistics (ONS). </w:t>
      </w:r>
      <w:r w:rsidR="00DD2E12">
        <w:t xml:space="preserve">The linked dataset covered 1997 to 2014. </w:t>
      </w:r>
    </w:p>
    <w:p w14:paraId="2CB0348B" w14:textId="0D5475DB" w:rsidR="00DB4ED0" w:rsidRDefault="00DB4ED0" w:rsidP="00D148FF">
      <w:pPr>
        <w:pStyle w:val="Heading2"/>
        <w:spacing w:line="360" w:lineRule="auto"/>
      </w:pPr>
      <w:r>
        <w:t>Participants</w:t>
      </w:r>
      <w:r w:rsidR="00F14748">
        <w:t>, data sources</w:t>
      </w:r>
      <w:r w:rsidR="00E83A1A">
        <w:t>,</w:t>
      </w:r>
      <w:r w:rsidR="00F14748">
        <w:t xml:space="preserve"> and measurement</w:t>
      </w:r>
    </w:p>
    <w:p w14:paraId="7EDC7363" w14:textId="15A01346" w:rsidR="00AF6BE5" w:rsidRDefault="00AF6BE5" w:rsidP="00AF6BE5">
      <w:pPr>
        <w:spacing w:line="360" w:lineRule="auto"/>
      </w:pPr>
      <w:r>
        <w:t>Knee-related and hip-related diagnosis cohorts were established separately to inform the analys</w:t>
      </w:r>
      <w:r w:rsidR="00194821">
        <w:t>is</w:t>
      </w:r>
      <w:r>
        <w:t xml:space="preserve"> of TKR and THR.</w:t>
      </w:r>
      <w:r w:rsidR="00E22970">
        <w:t xml:space="preserve"> </w:t>
      </w:r>
      <w:r w:rsidR="00E83A1A">
        <w:t xml:space="preserve">Individuals were included in </w:t>
      </w:r>
      <w:r>
        <w:t xml:space="preserve">the knee-related cohort if they had </w:t>
      </w:r>
      <w:r w:rsidR="00E22970">
        <w:t xml:space="preserve">an incident (newly recorded) diagnosis of </w:t>
      </w:r>
      <w:r w:rsidR="00E83A1A">
        <w:t>rheumatoid arthritis (</w:t>
      </w:r>
      <w:r w:rsidR="00E22970">
        <w:t>RA</w:t>
      </w:r>
      <w:r w:rsidR="00E83A1A">
        <w:t>)</w:t>
      </w:r>
      <w:r w:rsidR="00E22970">
        <w:t xml:space="preserve"> or knee </w:t>
      </w:r>
      <w:r w:rsidR="00E83A1A">
        <w:t>osteoarthritis (</w:t>
      </w:r>
      <w:r w:rsidR="00E22970">
        <w:t>OA</w:t>
      </w:r>
      <w:r w:rsidR="00E83A1A">
        <w:t>)</w:t>
      </w:r>
      <w:r w:rsidR="00E22970">
        <w:t xml:space="preserve">. </w:t>
      </w:r>
      <w:r w:rsidR="003C008F">
        <w:t>If</w:t>
      </w:r>
      <w:r>
        <w:t xml:space="preserve"> an individual had diagnos</w:t>
      </w:r>
      <w:r w:rsidR="003C008F">
        <w:t>es</w:t>
      </w:r>
      <w:r>
        <w:t xml:space="preserve"> of </w:t>
      </w:r>
      <w:r w:rsidR="003C008F">
        <w:t xml:space="preserve">both </w:t>
      </w:r>
      <w:r>
        <w:t xml:space="preserve">RA and </w:t>
      </w:r>
      <w:r w:rsidR="003C008F">
        <w:t xml:space="preserve">knee </w:t>
      </w:r>
      <w:r>
        <w:t>OA, RA was taken as the index diagnosis.</w:t>
      </w:r>
      <w:r w:rsidRPr="00AF6BE5">
        <w:t xml:space="preserve"> </w:t>
      </w:r>
      <w:r>
        <w:t>Similarly, individuals were included</w:t>
      </w:r>
      <w:r w:rsidRPr="00AF6BE5">
        <w:t xml:space="preserve"> </w:t>
      </w:r>
      <w:r w:rsidR="003C008F">
        <w:t xml:space="preserve">in the hip-related cohort </w:t>
      </w:r>
      <w:r>
        <w:t>if they had an incident diagnosis of RA or hip OA.</w:t>
      </w:r>
      <w:r w:rsidR="000F2591">
        <w:t xml:space="preserve"> I</w:t>
      </w:r>
      <w:r>
        <w:t>ndividuals could contribute to both the knee-related and hip-related cohorts.</w:t>
      </w:r>
    </w:p>
    <w:p w14:paraId="6A439453" w14:textId="233A1E2F" w:rsidR="00E22970" w:rsidRDefault="005814AE" w:rsidP="00E22970">
      <w:pPr>
        <w:spacing w:line="360" w:lineRule="auto"/>
      </w:pPr>
      <w:r>
        <w:t xml:space="preserve">For each of the </w:t>
      </w:r>
      <w:r w:rsidR="006D59DD">
        <w:t xml:space="preserve">diagnosis </w:t>
      </w:r>
      <w:r>
        <w:t>cohorts, t</w:t>
      </w:r>
      <w:r w:rsidR="00E22970">
        <w:t>he first occurrence of a TKR</w:t>
      </w:r>
      <w:r>
        <w:t xml:space="preserve"> or THR</w:t>
      </w:r>
      <w:r w:rsidR="00E22970">
        <w:t xml:space="preserve"> following diagnosis was identified using HES APC. </w:t>
      </w:r>
      <w:r w:rsidR="006D59DD">
        <w:t>Individuals who received a b</w:t>
      </w:r>
      <w:r w:rsidR="00E22970">
        <w:t xml:space="preserve">ilateral </w:t>
      </w:r>
      <w:r>
        <w:t>surger</w:t>
      </w:r>
      <w:r w:rsidR="006D59DD">
        <w:t>y</w:t>
      </w:r>
      <w:r w:rsidR="00E22970">
        <w:t xml:space="preserve">, where both the left and </w:t>
      </w:r>
      <w:r w:rsidR="00664655">
        <w:t>right joint</w:t>
      </w:r>
      <w:r w:rsidR="00434B2F">
        <w:t>s</w:t>
      </w:r>
      <w:r w:rsidR="00664655">
        <w:t xml:space="preserve"> </w:t>
      </w:r>
      <w:r w:rsidR="00E22970">
        <w:t xml:space="preserve">were replaced concurrently, were excluded from the analysis. </w:t>
      </w:r>
      <w:r w:rsidR="008F5FD1">
        <w:t>If an individual received multiple TKR</w:t>
      </w:r>
      <w:r w:rsidR="003C008F">
        <w:t>s</w:t>
      </w:r>
      <w:r w:rsidR="008F5FD1">
        <w:t xml:space="preserve"> or THR</w:t>
      </w:r>
      <w:r w:rsidR="003C008F">
        <w:t>s</w:t>
      </w:r>
      <w:r w:rsidR="008F5FD1">
        <w:t xml:space="preserve"> following diagnosis, o</w:t>
      </w:r>
      <w:r w:rsidR="00E22970">
        <w:t>nly the</w:t>
      </w:r>
      <w:r w:rsidR="008F5FD1">
        <w:t xml:space="preserve"> </w:t>
      </w:r>
      <w:r w:rsidR="00E22970">
        <w:t>first was included in the analysis</w:t>
      </w:r>
      <w:r w:rsidR="008F5FD1">
        <w:t>.</w:t>
      </w:r>
    </w:p>
    <w:p w14:paraId="67DE810B" w14:textId="7F9D4652" w:rsidR="000C49FF" w:rsidRDefault="003C008F" w:rsidP="00F14748">
      <w:pPr>
        <w:spacing w:after="240" w:line="360" w:lineRule="auto"/>
        <w:rPr>
          <w:rFonts w:cstheme="minorHAnsi"/>
        </w:rPr>
      </w:pPr>
      <w:r>
        <w:lastRenderedPageBreak/>
        <w:t>RA and k</w:t>
      </w:r>
      <w:r w:rsidR="005814AE">
        <w:t xml:space="preserve">nee and hip </w:t>
      </w:r>
      <w:r w:rsidR="00AF6BE5">
        <w:t xml:space="preserve">OA </w:t>
      </w:r>
      <w:r w:rsidR="005814AE">
        <w:t xml:space="preserve">were </w:t>
      </w:r>
      <w:r w:rsidR="00AF6BE5">
        <w:t xml:space="preserve">identified </w:t>
      </w:r>
      <w:r w:rsidR="00194821">
        <w:t>using</w:t>
      </w:r>
      <w:r w:rsidR="00AF6BE5">
        <w:t xml:space="preserve"> clinical codes in </w:t>
      </w:r>
      <w:r>
        <w:t xml:space="preserve">the </w:t>
      </w:r>
      <w:r w:rsidR="00AF6BE5">
        <w:t>CPRD</w:t>
      </w:r>
      <w:r w:rsidR="005814AE">
        <w:t xml:space="preserve">. </w:t>
      </w:r>
      <w:r w:rsidR="00E22970">
        <w:t xml:space="preserve">Individuals’ </w:t>
      </w:r>
      <w:r w:rsidR="00A94743">
        <w:t>sex</w:t>
      </w:r>
      <w:r w:rsidR="00E22970">
        <w:t xml:space="preserve"> was derived from</w:t>
      </w:r>
      <w:r>
        <w:t xml:space="preserve"> the</w:t>
      </w:r>
      <w:r w:rsidR="00E22970">
        <w:t xml:space="preserve"> CPRD. The date of a procedure recorded in HES APC and an individual’s year of birth recorded in </w:t>
      </w:r>
      <w:r>
        <w:t xml:space="preserve">the </w:t>
      </w:r>
      <w:r w:rsidR="00E22970">
        <w:t>CPRD</w:t>
      </w:r>
      <w:r w:rsidR="008F5FD1">
        <w:t xml:space="preserve"> were used to calculate</w:t>
      </w:r>
      <w:r w:rsidR="00E22970">
        <w:t xml:space="preserve"> age at surgery. Diagnostic codes (ICD-10) in HES APC were used to derive the Royal College of Surgeons Charlson score</w:t>
      </w:r>
      <w:r w:rsidR="00056EAA">
        <w:t>, which provides a summary measure of comorbidities</w:t>
      </w:r>
      <w:r w:rsidR="0056662A">
        <w:t>.</w:t>
      </w:r>
      <w:r w:rsidR="0056662A">
        <w:fldChar w:fldCharType="begin" w:fldLock="1"/>
      </w:r>
      <w:r w:rsidR="00171DD0">
        <w:instrText>ADDIN CSL_CITATION {"citationItems":[{"id":"ITEM-1","itemData":{"DOI":"10.1002/bjs.6930","ISBN":"0007-1323","ISSN":"00071323","PMID":"20306528","abstract":"Background: Surgical outcomes are influenced by co-morbidity. The Royal College of Surgeons (RCS) Co-morbidity Consensus Group was convened to improve existing instruments that identify co-morbidity in International Classification of Diseases tenth revision administrative data. Methods: The RCS Charlson Score was developed using a coding philosophy that enhances international transferability and avoids misclassifying complications as co-morbidity. The score was validated in English Hospital Episode Statistics data for abdominal aortic aneurysm (AAA) repair, aortic valve replacement, total hip replacement and transurethral prostate resection. Results: With exception of AAA, patients with co-morbidity were older and more likely to be admitted as an emergency than those without. All patients with co-morbidity stayed longer in hospital, required more augmented care, and had higher in-hospital and I-year mortality rates. Multivariable prognostic models incorporating the RCS Charlson Score had better discriminatory power than those that relied only on age, sex, admission method (elective or emergency) and number of emergency admissions in the preceding year. Conclusion: The RCS Charlson Score identifies co-morbidity in surgical patients in England at least as well as existing instruments. Given its explicit coding philosophy, it may be used as a co-morbidity scoring instrument for international comparisons.","author":[{"dropping-particle":"","family":"Armitage","given":"J. N.","non-dropping-particle":"","parse-names":false,"suffix":""},{"dropping-particle":"","family":"Meulen","given":"J. H.","non-dropping-particle":"Van Der","parse-names":false,"suffix":""}],"container-title":"British Journal of Surgery","id":"ITEM-1","issue":"5","issued":{"date-parts":[["2010"]]},"page":"772-781","title":"Identifying co-morbidity in surgical patients using administrative data with the Royal College of Surgeons Charlson Score","type":"article-journal","volume":"97"},"uris":["http://www.mendeley.com/documents/?uuid=655ff4d7-8cfa-45d4-85c4-44a935146b72"]}],"mendeley":{"formattedCitation":"[20]","plainTextFormattedCitation":"[20]","previouslyFormattedCitation":"[20]"},"properties":{"noteIndex":0},"schema":"https://github.com/citation-style-language/schema/raw/master/csl-citation.json"}</w:instrText>
      </w:r>
      <w:r w:rsidR="0056662A">
        <w:fldChar w:fldCharType="separate"/>
      </w:r>
      <w:r w:rsidR="00171DD0" w:rsidRPr="00171DD0">
        <w:rPr>
          <w:noProof/>
        </w:rPr>
        <w:t>[20]</w:t>
      </w:r>
      <w:r w:rsidR="0056662A">
        <w:fldChar w:fldCharType="end"/>
      </w:r>
      <w:r w:rsidR="000F2591">
        <w:t xml:space="preserve"> </w:t>
      </w:r>
      <w:r>
        <w:t>RA d</w:t>
      </w:r>
      <w:r w:rsidR="000F2591">
        <w:t xml:space="preserve">iagnosis was excluded from the Charlson score </w:t>
      </w:r>
      <w:r>
        <w:t xml:space="preserve">calculation </w:t>
      </w:r>
      <w:r w:rsidR="000F2591">
        <w:t>as it was accounted for separately in the analysis.</w:t>
      </w:r>
      <w:r w:rsidR="00E22970">
        <w:t xml:space="preserve"> </w:t>
      </w:r>
      <w:r w:rsidR="00F14748">
        <w:rPr>
          <w:rFonts w:cstheme="minorHAnsi"/>
        </w:rPr>
        <w:t xml:space="preserve">Individuals’ </w:t>
      </w:r>
      <w:r w:rsidR="00A94743">
        <w:rPr>
          <w:rFonts w:cstheme="minorHAnsi"/>
        </w:rPr>
        <w:t>sex</w:t>
      </w:r>
      <w:r w:rsidR="00F14748">
        <w:rPr>
          <w:rFonts w:cstheme="minorHAnsi"/>
        </w:rPr>
        <w:t xml:space="preserve"> and socio-economic status were derived from </w:t>
      </w:r>
      <w:r>
        <w:rPr>
          <w:rFonts w:cstheme="minorHAnsi"/>
        </w:rPr>
        <w:t xml:space="preserve">the </w:t>
      </w:r>
      <w:r w:rsidR="00F14748">
        <w:rPr>
          <w:rFonts w:cstheme="minorHAnsi"/>
        </w:rPr>
        <w:t>CPRD.</w:t>
      </w:r>
      <w:r>
        <w:rPr>
          <w:rFonts w:cstheme="minorHAnsi"/>
        </w:rPr>
        <w:t xml:space="preserve"> Socio-economic status was measured by the patient-level </w:t>
      </w:r>
      <w:r w:rsidR="00183A96">
        <w:rPr>
          <w:rFonts w:cstheme="minorHAnsi"/>
        </w:rPr>
        <w:t>i</w:t>
      </w:r>
      <w:r w:rsidRPr="00A8464B">
        <w:rPr>
          <w:rFonts w:cstheme="minorHAnsi"/>
        </w:rPr>
        <w:t xml:space="preserve">ndex of </w:t>
      </w:r>
      <w:r w:rsidR="00183A96">
        <w:rPr>
          <w:rFonts w:cstheme="minorHAnsi"/>
        </w:rPr>
        <w:t>m</w:t>
      </w:r>
      <w:r w:rsidRPr="00A8464B">
        <w:rPr>
          <w:rFonts w:cstheme="minorHAnsi"/>
        </w:rPr>
        <w:t xml:space="preserve">ultiple </w:t>
      </w:r>
      <w:r w:rsidR="00183A96">
        <w:rPr>
          <w:rFonts w:cstheme="minorHAnsi"/>
        </w:rPr>
        <w:t>d</w:t>
      </w:r>
      <w:r w:rsidRPr="00A8464B">
        <w:rPr>
          <w:rFonts w:cstheme="minorHAnsi"/>
        </w:rPr>
        <w:t>eprivation (IMD)</w:t>
      </w:r>
      <w:r w:rsidR="00D02D73">
        <w:rPr>
          <w:rFonts w:cstheme="minorHAnsi"/>
        </w:rPr>
        <w:t xml:space="preserve"> with study participants grouped based on</w:t>
      </w:r>
      <w:r w:rsidR="00D02D73" w:rsidRPr="00D02D73">
        <w:rPr>
          <w:rFonts w:cstheme="minorHAnsi"/>
        </w:rPr>
        <w:t xml:space="preserve"> </w:t>
      </w:r>
      <w:r w:rsidR="00D02D73" w:rsidRPr="00A8464B">
        <w:rPr>
          <w:rFonts w:cstheme="minorHAnsi"/>
        </w:rPr>
        <w:t>quintile</w:t>
      </w:r>
      <w:r w:rsidR="00D02D73">
        <w:rPr>
          <w:rFonts w:cstheme="minorHAnsi"/>
        </w:rPr>
        <w:t>s of IMD</w:t>
      </w:r>
      <w:r>
        <w:rPr>
          <w:rFonts w:cstheme="minorHAnsi"/>
        </w:rPr>
        <w:t xml:space="preserve">, </w:t>
      </w:r>
      <w:r w:rsidR="00D02D73">
        <w:rPr>
          <w:rFonts w:cstheme="minorHAnsi"/>
        </w:rPr>
        <w:t>with</w:t>
      </w:r>
      <w:r w:rsidR="00D02D73" w:rsidRPr="00A8464B">
        <w:rPr>
          <w:rFonts w:cstheme="minorHAnsi"/>
        </w:rPr>
        <w:t xml:space="preserve"> </w:t>
      </w:r>
      <w:r w:rsidR="00D02D73">
        <w:rPr>
          <w:rFonts w:cstheme="minorHAnsi"/>
        </w:rPr>
        <w:t>those in the</w:t>
      </w:r>
      <w:r w:rsidR="00D02D73" w:rsidRPr="00A8464B">
        <w:rPr>
          <w:rFonts w:cstheme="minorHAnsi"/>
        </w:rPr>
        <w:t xml:space="preserve"> </w:t>
      </w:r>
      <w:r w:rsidRPr="00A8464B">
        <w:rPr>
          <w:rFonts w:cstheme="minorHAnsi"/>
        </w:rPr>
        <w:t>5</w:t>
      </w:r>
      <w:r w:rsidR="00D02D73">
        <w:rPr>
          <w:rFonts w:cstheme="minorHAnsi"/>
        </w:rPr>
        <w:t>th</w:t>
      </w:r>
      <w:r w:rsidRPr="00A8464B">
        <w:rPr>
          <w:rFonts w:cstheme="minorHAnsi"/>
        </w:rPr>
        <w:t xml:space="preserve"> </w:t>
      </w:r>
      <w:r w:rsidR="00D02D73">
        <w:rPr>
          <w:rFonts w:cstheme="minorHAnsi"/>
        </w:rPr>
        <w:t xml:space="preserve">group </w:t>
      </w:r>
      <w:r>
        <w:rPr>
          <w:rFonts w:cstheme="minorHAnsi"/>
        </w:rPr>
        <w:t xml:space="preserve">the most deprived. </w:t>
      </w:r>
      <w:r w:rsidR="008F5FD1">
        <w:rPr>
          <w:rFonts w:cstheme="minorHAnsi"/>
        </w:rPr>
        <w:t>BMI</w:t>
      </w:r>
      <w:r w:rsidR="00744D3F">
        <w:rPr>
          <w:rFonts w:cstheme="minorHAnsi"/>
        </w:rPr>
        <w:t>, as a continuous value and categorised as</w:t>
      </w:r>
      <w:r w:rsidR="000C49FF">
        <w:rPr>
          <w:rFonts w:cstheme="minorHAnsi"/>
        </w:rPr>
        <w:t xml:space="preserve"> u</w:t>
      </w:r>
      <w:r w:rsidR="000C49FF" w:rsidRPr="000C49FF">
        <w:rPr>
          <w:rFonts w:cstheme="minorHAnsi"/>
        </w:rPr>
        <w:t>nderweight or normal range (BMI &lt;=25)</w:t>
      </w:r>
      <w:r w:rsidR="000C49FF">
        <w:rPr>
          <w:rFonts w:cstheme="minorHAnsi"/>
        </w:rPr>
        <w:t>, o</w:t>
      </w:r>
      <w:r w:rsidR="000C49FF" w:rsidRPr="000C49FF">
        <w:rPr>
          <w:rFonts w:cstheme="minorHAnsi"/>
        </w:rPr>
        <w:t>verweight (BMI &gt;25 and &lt;=30)</w:t>
      </w:r>
      <w:r w:rsidR="00194821">
        <w:rPr>
          <w:rFonts w:cstheme="minorHAnsi"/>
        </w:rPr>
        <w:t>,</w:t>
      </w:r>
      <w:r w:rsidR="000C49FF">
        <w:rPr>
          <w:rFonts w:cstheme="minorHAnsi"/>
        </w:rPr>
        <w:t xml:space="preserve"> or o</w:t>
      </w:r>
      <w:r w:rsidR="000C49FF" w:rsidRPr="000C49FF">
        <w:rPr>
          <w:rFonts w:cstheme="minorHAnsi"/>
        </w:rPr>
        <w:t>bese (BMI &gt;30)</w:t>
      </w:r>
      <w:r w:rsidR="000C49FF">
        <w:rPr>
          <w:rFonts w:cstheme="minorHAnsi"/>
        </w:rPr>
        <w:t xml:space="preserve">, </w:t>
      </w:r>
      <w:r w:rsidR="008F5FD1">
        <w:rPr>
          <w:rFonts w:cstheme="minorHAnsi"/>
        </w:rPr>
        <w:t>and smoking status (n</w:t>
      </w:r>
      <w:r w:rsidR="008F5FD1" w:rsidRPr="008F5FD1">
        <w:rPr>
          <w:rFonts w:cstheme="minorHAnsi"/>
        </w:rPr>
        <w:t>on-smoker</w:t>
      </w:r>
      <w:r w:rsidR="008F5FD1">
        <w:rPr>
          <w:rFonts w:cstheme="minorHAnsi"/>
        </w:rPr>
        <w:t>,</w:t>
      </w:r>
      <w:r w:rsidR="008F5FD1" w:rsidRPr="008F5FD1">
        <w:rPr>
          <w:rFonts w:cstheme="minorHAnsi"/>
        </w:rPr>
        <w:t xml:space="preserve"> </w:t>
      </w:r>
      <w:r w:rsidR="008F5FD1">
        <w:rPr>
          <w:rFonts w:cstheme="minorHAnsi"/>
        </w:rPr>
        <w:t>e</w:t>
      </w:r>
      <w:r w:rsidR="008F5FD1" w:rsidRPr="008F5FD1">
        <w:rPr>
          <w:rFonts w:cstheme="minorHAnsi"/>
        </w:rPr>
        <w:t>x-smoker</w:t>
      </w:r>
      <w:r w:rsidR="008F5FD1">
        <w:rPr>
          <w:rFonts w:cstheme="minorHAnsi"/>
        </w:rPr>
        <w:t>, or c</w:t>
      </w:r>
      <w:r w:rsidR="008F5FD1" w:rsidRPr="008F5FD1">
        <w:rPr>
          <w:rFonts w:cstheme="minorHAnsi"/>
        </w:rPr>
        <w:t>urrent smoker</w:t>
      </w:r>
      <w:r w:rsidR="008F5FD1">
        <w:rPr>
          <w:rFonts w:cstheme="minorHAnsi"/>
        </w:rPr>
        <w:t xml:space="preserve">) were taken from </w:t>
      </w:r>
      <w:r>
        <w:rPr>
          <w:rFonts w:cstheme="minorHAnsi"/>
        </w:rPr>
        <w:t xml:space="preserve">the </w:t>
      </w:r>
      <w:r w:rsidR="008F5FD1">
        <w:rPr>
          <w:rFonts w:cstheme="minorHAnsi"/>
        </w:rPr>
        <w:t>CPRD</w:t>
      </w:r>
      <w:r w:rsidR="00194821">
        <w:rPr>
          <w:rFonts w:cstheme="minorHAnsi"/>
        </w:rPr>
        <w:t>.</w:t>
      </w:r>
      <w:r w:rsidR="008F5FD1">
        <w:rPr>
          <w:rFonts w:cstheme="minorHAnsi"/>
        </w:rPr>
        <w:t xml:space="preserve"> </w:t>
      </w:r>
      <w:r w:rsidR="00194821">
        <w:rPr>
          <w:rFonts w:cstheme="minorHAnsi"/>
        </w:rPr>
        <w:t>O</w:t>
      </w:r>
      <w:r w:rsidR="008F5FD1">
        <w:rPr>
          <w:rFonts w:cstheme="minorHAnsi"/>
        </w:rPr>
        <w:t xml:space="preserve">nly values recorded within a year </w:t>
      </w:r>
      <w:r w:rsidR="00194821">
        <w:rPr>
          <w:rFonts w:cstheme="minorHAnsi"/>
        </w:rPr>
        <w:t xml:space="preserve">of surgery were </w:t>
      </w:r>
      <w:r w:rsidR="008F5FD1">
        <w:rPr>
          <w:rFonts w:cstheme="minorHAnsi"/>
        </w:rPr>
        <w:t xml:space="preserve">included. </w:t>
      </w:r>
    </w:p>
    <w:p w14:paraId="3BA2490F" w14:textId="189AF35F" w:rsidR="000C49FF" w:rsidRDefault="0030131A" w:rsidP="00744D3F">
      <w:pPr>
        <w:spacing w:after="240" w:line="360" w:lineRule="auto"/>
      </w:pPr>
      <w:r>
        <w:rPr>
          <w:rFonts w:cstheme="minorHAnsi"/>
        </w:rPr>
        <w:t xml:space="preserve">Study participants were followed for up to 10 years </w:t>
      </w:r>
      <w:r w:rsidR="00194821">
        <w:rPr>
          <w:rFonts w:cstheme="minorHAnsi"/>
        </w:rPr>
        <w:t>after</w:t>
      </w:r>
      <w:r>
        <w:rPr>
          <w:rFonts w:cstheme="minorHAnsi"/>
        </w:rPr>
        <w:t xml:space="preserve"> surgery</w:t>
      </w:r>
      <w:r w:rsidR="001E15FC">
        <w:rPr>
          <w:rFonts w:cstheme="minorHAnsi"/>
        </w:rPr>
        <w:t>, with only 6% of study participants having additional follow-up available</w:t>
      </w:r>
      <w:r>
        <w:rPr>
          <w:rFonts w:cstheme="minorHAnsi"/>
        </w:rPr>
        <w:t xml:space="preserve">. </w:t>
      </w:r>
      <w:r w:rsidR="00FF053F">
        <w:rPr>
          <w:rFonts w:cstheme="minorHAnsi"/>
        </w:rPr>
        <w:t>In the absence of an event of interest, follow</w:t>
      </w:r>
      <w:r w:rsidR="00664655">
        <w:rPr>
          <w:rFonts w:cstheme="minorHAnsi"/>
        </w:rPr>
        <w:t>-</w:t>
      </w:r>
      <w:r w:rsidR="00FF053F">
        <w:rPr>
          <w:rFonts w:cstheme="minorHAnsi"/>
        </w:rPr>
        <w:t xml:space="preserve">up was censored </w:t>
      </w:r>
      <w:r w:rsidR="003C008F">
        <w:rPr>
          <w:rFonts w:cstheme="minorHAnsi"/>
        </w:rPr>
        <w:t>before</w:t>
      </w:r>
      <w:r w:rsidR="00FF053F">
        <w:rPr>
          <w:rFonts w:cstheme="minorHAnsi"/>
        </w:rPr>
        <w:t xml:space="preserve"> 10 years if a second TKR or THR was recorded or </w:t>
      </w:r>
      <w:r w:rsidR="003C008F">
        <w:rPr>
          <w:rFonts w:cstheme="minorHAnsi"/>
        </w:rPr>
        <w:t xml:space="preserve">if </w:t>
      </w:r>
      <w:r w:rsidR="00FF053F">
        <w:rPr>
          <w:rFonts w:cstheme="minorHAnsi"/>
        </w:rPr>
        <w:t xml:space="preserve">the </w:t>
      </w:r>
      <w:r w:rsidR="000F2591">
        <w:t>HES APC</w:t>
      </w:r>
      <w:r w:rsidR="000F2591">
        <w:rPr>
          <w:rFonts w:cstheme="minorHAnsi"/>
        </w:rPr>
        <w:t xml:space="preserve"> </w:t>
      </w:r>
      <w:r w:rsidR="00FF053F">
        <w:rPr>
          <w:rFonts w:cstheme="minorHAnsi"/>
        </w:rPr>
        <w:t xml:space="preserve">data linkage ended earlier. </w:t>
      </w:r>
      <w:r w:rsidR="003C008F">
        <w:t>R</w:t>
      </w:r>
      <w:r w:rsidR="00FF053F">
        <w:t>evision</w:t>
      </w:r>
      <w:r w:rsidR="003C008F">
        <w:t>s</w:t>
      </w:r>
      <w:r w:rsidR="00FF053F">
        <w:t xml:space="preserve"> during follow-up were identified </w:t>
      </w:r>
      <w:r w:rsidR="003C008F">
        <w:t>using</w:t>
      </w:r>
      <w:r w:rsidR="00FF053F">
        <w:t xml:space="preserve"> OPCS-4 codes from HES</w:t>
      </w:r>
      <w:r w:rsidR="000F2591">
        <w:t xml:space="preserve"> APC</w:t>
      </w:r>
      <w:r w:rsidR="00FF053F">
        <w:t xml:space="preserve"> </w:t>
      </w:r>
      <w:r w:rsidR="003C008F">
        <w:t xml:space="preserve">and </w:t>
      </w:r>
      <w:r w:rsidR="00FF053F">
        <w:t>mortality wa</w:t>
      </w:r>
      <w:r w:rsidR="00744D3F">
        <w:t>s identified using ONS records.</w:t>
      </w:r>
    </w:p>
    <w:p w14:paraId="5BD9A6AE" w14:textId="52611E1A" w:rsidR="000C49FF" w:rsidRDefault="000C49FF" w:rsidP="0002632C">
      <w:pPr>
        <w:pStyle w:val="Heading2"/>
      </w:pPr>
      <w:r>
        <w:t>Comparison of cumulative incidence of revision</w:t>
      </w:r>
    </w:p>
    <w:p w14:paraId="057839C2" w14:textId="0C4019C9" w:rsidR="000C49FF" w:rsidRPr="000C49FF" w:rsidRDefault="000C49FF" w:rsidP="000C49FF">
      <w:pPr>
        <w:spacing w:line="360" w:lineRule="auto"/>
      </w:pPr>
      <w:r>
        <w:t xml:space="preserve">Instances of revisions were compared </w:t>
      </w:r>
      <w:r w:rsidR="00E2357E">
        <w:t>between</w:t>
      </w:r>
      <w:r>
        <w:t xml:space="preserve"> the different BMI (</w:t>
      </w:r>
      <w:r>
        <w:rPr>
          <w:rFonts w:cstheme="minorHAnsi"/>
        </w:rPr>
        <w:t>u</w:t>
      </w:r>
      <w:r w:rsidRPr="000C49FF">
        <w:rPr>
          <w:rFonts w:cstheme="minorHAnsi"/>
        </w:rPr>
        <w:t xml:space="preserve">nderweight </w:t>
      </w:r>
      <w:r w:rsidR="003C008F">
        <w:rPr>
          <w:rFonts w:cstheme="minorHAnsi"/>
        </w:rPr>
        <w:t>and</w:t>
      </w:r>
      <w:r w:rsidRPr="000C49FF">
        <w:rPr>
          <w:rFonts w:cstheme="minorHAnsi"/>
        </w:rPr>
        <w:t xml:space="preserve"> normal range</w:t>
      </w:r>
      <w:r>
        <w:rPr>
          <w:rFonts w:cstheme="minorHAnsi"/>
        </w:rPr>
        <w:t>, overweight, or obese) and smoking status (n</w:t>
      </w:r>
      <w:r w:rsidRPr="008F5FD1">
        <w:rPr>
          <w:rFonts w:cstheme="minorHAnsi"/>
        </w:rPr>
        <w:t>on-smoker</w:t>
      </w:r>
      <w:r>
        <w:rPr>
          <w:rFonts w:cstheme="minorHAnsi"/>
        </w:rPr>
        <w:t>,</w:t>
      </w:r>
      <w:r w:rsidRPr="008F5FD1">
        <w:rPr>
          <w:rFonts w:cstheme="minorHAnsi"/>
        </w:rPr>
        <w:t xml:space="preserve"> </w:t>
      </w:r>
      <w:r>
        <w:rPr>
          <w:rFonts w:cstheme="minorHAnsi"/>
        </w:rPr>
        <w:t>e</w:t>
      </w:r>
      <w:r w:rsidRPr="008F5FD1">
        <w:rPr>
          <w:rFonts w:cstheme="minorHAnsi"/>
        </w:rPr>
        <w:t>x-smoker</w:t>
      </w:r>
      <w:r>
        <w:rPr>
          <w:rFonts w:cstheme="minorHAnsi"/>
        </w:rPr>
        <w:t>, or c</w:t>
      </w:r>
      <w:r w:rsidRPr="008F5FD1">
        <w:rPr>
          <w:rFonts w:cstheme="minorHAnsi"/>
        </w:rPr>
        <w:t>urrent smoker</w:t>
      </w:r>
      <w:r>
        <w:rPr>
          <w:rFonts w:cstheme="minorHAnsi"/>
        </w:rPr>
        <w:t>)</w:t>
      </w:r>
      <w:r w:rsidR="00194821">
        <w:rPr>
          <w:rFonts w:cstheme="minorHAnsi"/>
        </w:rPr>
        <w:t xml:space="preserve"> groups</w:t>
      </w:r>
      <w:r>
        <w:rPr>
          <w:rFonts w:cstheme="minorHAnsi"/>
        </w:rPr>
        <w:t>. The number of events</w:t>
      </w:r>
      <w:r w:rsidR="000A01F0">
        <w:rPr>
          <w:rFonts w:cstheme="minorHAnsi"/>
        </w:rPr>
        <w:t xml:space="preserve"> and </w:t>
      </w:r>
      <w:r>
        <w:rPr>
          <w:rFonts w:cstheme="minorHAnsi"/>
        </w:rPr>
        <w:t>person years of follow</w:t>
      </w:r>
      <w:r w:rsidR="00AD2945">
        <w:rPr>
          <w:rFonts w:cstheme="minorHAnsi"/>
        </w:rPr>
        <w:t>-</w:t>
      </w:r>
      <w:r>
        <w:rPr>
          <w:rFonts w:cstheme="minorHAnsi"/>
        </w:rPr>
        <w:t>up</w:t>
      </w:r>
      <w:r w:rsidR="000A01F0">
        <w:rPr>
          <w:rFonts w:cstheme="minorHAnsi"/>
        </w:rPr>
        <w:t xml:space="preserve"> are reported</w:t>
      </w:r>
      <w:r>
        <w:rPr>
          <w:rFonts w:cstheme="minorHAnsi"/>
        </w:rPr>
        <w:t xml:space="preserve"> </w:t>
      </w:r>
      <w:r w:rsidR="000A01F0">
        <w:rPr>
          <w:rFonts w:cstheme="minorHAnsi"/>
        </w:rPr>
        <w:t xml:space="preserve">with </w:t>
      </w:r>
      <w:r>
        <w:rPr>
          <w:rFonts w:cstheme="minorHAnsi"/>
        </w:rPr>
        <w:t xml:space="preserve">cumulative incidence of revision </w:t>
      </w:r>
      <w:r w:rsidR="000A01F0">
        <w:rPr>
          <w:rFonts w:cstheme="minorHAnsi"/>
        </w:rPr>
        <w:t xml:space="preserve">also </w:t>
      </w:r>
      <w:r>
        <w:rPr>
          <w:rFonts w:cstheme="minorHAnsi"/>
        </w:rPr>
        <w:t xml:space="preserve">estimated. </w:t>
      </w:r>
    </w:p>
    <w:p w14:paraId="5CEE2721" w14:textId="5563B15E" w:rsidR="000C49FF" w:rsidRDefault="00497919" w:rsidP="0002632C">
      <w:pPr>
        <w:pStyle w:val="Heading2"/>
      </w:pPr>
      <w:r>
        <w:t>Estimation of parametric survival models</w:t>
      </w:r>
      <w:r w:rsidR="0002632C">
        <w:t xml:space="preserve"> for </w:t>
      </w:r>
      <w:r w:rsidR="00C34CAD">
        <w:t xml:space="preserve">10-year </w:t>
      </w:r>
      <w:r w:rsidR="0002632C">
        <w:t>risk of revision and mortality</w:t>
      </w:r>
    </w:p>
    <w:p w14:paraId="3DEDD139" w14:textId="10318D58" w:rsidR="00C34CAD" w:rsidRDefault="00DD2E12" w:rsidP="00F0326B">
      <w:pPr>
        <w:spacing w:line="360" w:lineRule="auto"/>
      </w:pPr>
      <w:r>
        <w:rPr>
          <w:rFonts w:cstheme="minorHAnsi"/>
        </w:rPr>
        <w:t>Parametric survival models were</w:t>
      </w:r>
      <w:r w:rsidR="000C49FF">
        <w:rPr>
          <w:rFonts w:cstheme="minorHAnsi"/>
        </w:rPr>
        <w:t xml:space="preserve"> used to estimate the association of BMI and smoking with 10-year cause-specific hazards of revision and mortality.</w:t>
      </w:r>
      <w:r w:rsidR="000C49FF">
        <w:rPr>
          <w:rFonts w:cstheme="minorHAnsi"/>
        </w:rPr>
        <w:fldChar w:fldCharType="begin" w:fldLock="1"/>
      </w:r>
      <w:r w:rsidR="00171DD0">
        <w:rPr>
          <w:rFonts w:cstheme="minorHAnsi"/>
        </w:rPr>
        <w:instrText>ADDIN CSL_CITATION {"citationItems":[{"id":"ITEM-1","itemData":{"DOI":"10.1002/sim.4123","ISSN":"02776715","author":[{"dropping-particle":"","family":"Lau","given":"Bryan","non-dropping-particle":"","parse-names":false,"suffix":""},{"dropping-particle":"","family":"Cole","given":"Stephen R.","non-dropping-particle":"","parse-names":false,"suffix":""},{"dropping-particle":"","family":"Gange","given":"Stephen J.","non-dropping-particle":"","parse-names":false,"suffix":""}],"container-title":"Statistics in Medicine","id":"ITEM-1","issue":"6","issued":{"date-parts":[["2011","3","15"]]},"page":"654-665","title":"Parametric mixture models to evaluate and summarize hazard ratios in the presence of competing risks with time-dependent hazards and delayed entry","type":"article-journal","volume":"30"},"uris":["http://www.mendeley.com/documents/?uuid=dd56e928-7fa2-4d03-abba-ec01f49b7024"]}],"mendeley":{"formattedCitation":"[21]","plainTextFormattedCitation":"[21]","previouslyFormattedCitation":"[21]"},"properties":{"noteIndex":0},"schema":"https://github.com/citation-style-language/schema/raw/master/csl-citation.json"}</w:instrText>
      </w:r>
      <w:r w:rsidR="000C49FF">
        <w:rPr>
          <w:rFonts w:cstheme="minorHAnsi"/>
        </w:rPr>
        <w:fldChar w:fldCharType="separate"/>
      </w:r>
      <w:r w:rsidR="00171DD0" w:rsidRPr="00171DD0">
        <w:rPr>
          <w:rFonts w:cstheme="minorHAnsi"/>
          <w:noProof/>
        </w:rPr>
        <w:t>[21]</w:t>
      </w:r>
      <w:r w:rsidR="000C49FF">
        <w:rPr>
          <w:rFonts w:cstheme="minorHAnsi"/>
        </w:rPr>
        <w:fldChar w:fldCharType="end"/>
      </w:r>
      <w:r w:rsidR="00D249EF">
        <w:rPr>
          <w:rFonts w:cstheme="minorHAnsi"/>
        </w:rPr>
        <w:t xml:space="preserve"> These parametric models </w:t>
      </w:r>
      <w:r w:rsidR="00D249EF" w:rsidRPr="00DB0D31">
        <w:t>require</w:t>
      </w:r>
      <w:r w:rsidR="00D249EF">
        <w:t>d</w:t>
      </w:r>
      <w:r w:rsidR="00D249EF" w:rsidRPr="00DB0D31">
        <w:t xml:space="preserve"> assumption</w:t>
      </w:r>
      <w:r w:rsidR="00D249EF">
        <w:t>s</w:t>
      </w:r>
      <w:r w:rsidR="00D249EF" w:rsidRPr="00DB0D31">
        <w:t xml:space="preserve"> </w:t>
      </w:r>
      <w:r w:rsidR="00E2357E">
        <w:t xml:space="preserve">to be made </w:t>
      </w:r>
      <w:r w:rsidR="00D249EF" w:rsidRPr="00DB0D31">
        <w:t xml:space="preserve">about the underlying distribution </w:t>
      </w:r>
      <w:r w:rsidR="003C008F">
        <w:t>of</w:t>
      </w:r>
      <w:r w:rsidR="00D249EF">
        <w:t xml:space="preserve"> the event</w:t>
      </w:r>
      <w:r w:rsidR="00D249EF" w:rsidRPr="00DB0D31">
        <w:t xml:space="preserve"> of interest</w:t>
      </w:r>
      <w:r w:rsidR="003C008F">
        <w:t>.</w:t>
      </w:r>
      <w:r w:rsidR="00D249EF">
        <w:t xml:space="preserve"> </w:t>
      </w:r>
      <w:r w:rsidR="003C008F">
        <w:t>T</w:t>
      </w:r>
      <w:r w:rsidR="00D249EF">
        <w:t xml:space="preserve">he approach used to </w:t>
      </w:r>
      <w:r w:rsidR="00EE4539">
        <w:t>choose</w:t>
      </w:r>
      <w:r w:rsidR="00D249EF">
        <w:t xml:space="preserve"> these distributions is summarised in the Appendix. </w:t>
      </w:r>
    </w:p>
    <w:p w14:paraId="0174B0D5" w14:textId="72F52BA0" w:rsidR="00D249EF" w:rsidRDefault="0094698B" w:rsidP="00F0326B">
      <w:pPr>
        <w:spacing w:line="360" w:lineRule="auto"/>
        <w:rPr>
          <w:rFonts w:cstheme="minorHAnsi"/>
        </w:rPr>
      </w:pPr>
      <w:r>
        <w:rPr>
          <w:rFonts w:cstheme="minorHAnsi"/>
        </w:rPr>
        <w:t>M</w:t>
      </w:r>
      <w:r w:rsidR="00D249EF">
        <w:rPr>
          <w:rFonts w:cstheme="minorHAnsi"/>
        </w:rPr>
        <w:t xml:space="preserve">odels were first estimated with BMI as a continuous value or smoking status included as the sole explanatory variable. </w:t>
      </w:r>
      <w:r>
        <w:rPr>
          <w:rFonts w:cstheme="minorHAnsi"/>
        </w:rPr>
        <w:t xml:space="preserve">They </w:t>
      </w:r>
      <w:r w:rsidR="00D249EF">
        <w:rPr>
          <w:rFonts w:cstheme="minorHAnsi"/>
        </w:rPr>
        <w:t xml:space="preserve">were </w:t>
      </w:r>
      <w:r w:rsidR="003C008F">
        <w:rPr>
          <w:rFonts w:cstheme="minorHAnsi"/>
        </w:rPr>
        <w:t xml:space="preserve">then </w:t>
      </w:r>
      <w:r w:rsidR="00D249EF">
        <w:rPr>
          <w:rFonts w:cstheme="minorHAnsi"/>
        </w:rPr>
        <w:t>estimated with BMI, smoking status, a</w:t>
      </w:r>
      <w:r w:rsidR="00D249EF">
        <w:t xml:space="preserve">ge at surgery, </w:t>
      </w:r>
      <w:r w:rsidR="00A94743">
        <w:t>sex</w:t>
      </w:r>
      <w:r w:rsidR="00D249EF">
        <w:t>, diagnosis (OA or RA), other comorbidities (measured by the Charlson score), and socioeconomic status (measured by IMD) included as explanatory variables.</w:t>
      </w:r>
      <w:r w:rsidR="00D249EF" w:rsidRPr="00D249EF">
        <w:rPr>
          <w:rFonts w:cstheme="minorHAnsi"/>
        </w:rPr>
        <w:t xml:space="preserve"> </w:t>
      </w:r>
      <w:r w:rsidR="00A83A63">
        <w:rPr>
          <w:rFonts w:cstheme="minorHAnsi"/>
        </w:rPr>
        <w:t>The merit of including</w:t>
      </w:r>
      <w:r w:rsidR="00A83A63" w:rsidRPr="00A83A63">
        <w:rPr>
          <w:rFonts w:cstheme="minorHAnsi"/>
        </w:rPr>
        <w:t xml:space="preserve"> an interaction between BMI and smoking status </w:t>
      </w:r>
      <w:r w:rsidR="00A83A63">
        <w:rPr>
          <w:rFonts w:cstheme="minorHAnsi"/>
        </w:rPr>
        <w:t xml:space="preserve">was considered for </w:t>
      </w:r>
      <w:r w:rsidR="00A83A63" w:rsidRPr="00A83A63">
        <w:rPr>
          <w:rFonts w:cstheme="minorHAnsi"/>
        </w:rPr>
        <w:t>each of the survival models using the Wald Chi-squared test, comparing models with and without an interaction term</w:t>
      </w:r>
      <w:r w:rsidR="00A83A63">
        <w:rPr>
          <w:rFonts w:cstheme="minorHAnsi"/>
        </w:rPr>
        <w:t>.</w:t>
      </w:r>
      <w:r w:rsidR="00A83A63" w:rsidRPr="00A83A63">
        <w:rPr>
          <w:rFonts w:cstheme="minorHAnsi"/>
        </w:rPr>
        <w:t xml:space="preserve"> </w:t>
      </w:r>
      <w:r w:rsidR="00D249EF">
        <w:rPr>
          <w:rFonts w:cstheme="minorHAnsi"/>
        </w:rPr>
        <w:t xml:space="preserve">Non-linearity in age and BMI </w:t>
      </w:r>
      <w:r w:rsidR="00D249EF">
        <w:rPr>
          <w:rFonts w:cstheme="minorHAnsi"/>
        </w:rPr>
        <w:lastRenderedPageBreak/>
        <w:t>was considered by fitting</w:t>
      </w:r>
      <w:r w:rsidR="00D249EF" w:rsidRPr="007B3F74">
        <w:rPr>
          <w:rFonts w:cstheme="minorHAnsi"/>
        </w:rPr>
        <w:t xml:space="preserve"> restricted cubic splines</w:t>
      </w:r>
      <w:r w:rsidR="00D249EF">
        <w:rPr>
          <w:rFonts w:cstheme="minorHAnsi"/>
        </w:rPr>
        <w:t xml:space="preserve"> for these variables and comparing the resulting model fit,</w:t>
      </w:r>
      <w:r w:rsidR="00D249EF" w:rsidRPr="00BC3ECA">
        <w:rPr>
          <w:rFonts w:cstheme="minorHAnsi"/>
        </w:rPr>
        <w:t xml:space="preserve"> </w:t>
      </w:r>
      <w:r w:rsidR="00D249EF">
        <w:rPr>
          <w:rFonts w:cstheme="minorHAnsi"/>
        </w:rPr>
        <w:t>using the</w:t>
      </w:r>
      <w:r w:rsidR="00775C14" w:rsidRPr="00775C14">
        <w:t xml:space="preserve"> </w:t>
      </w:r>
      <w:r w:rsidR="00775C14" w:rsidRPr="00775C14">
        <w:rPr>
          <w:rFonts w:cstheme="minorHAnsi"/>
        </w:rPr>
        <w:t>Akaike information criterion</w:t>
      </w:r>
      <w:r w:rsidR="00D249EF">
        <w:rPr>
          <w:rFonts w:cstheme="minorHAnsi"/>
        </w:rPr>
        <w:t xml:space="preserve">, with that of a </w:t>
      </w:r>
      <w:r w:rsidR="00EE4539">
        <w:rPr>
          <w:rFonts w:cstheme="minorHAnsi"/>
        </w:rPr>
        <w:t xml:space="preserve">model </w:t>
      </w:r>
      <w:r w:rsidR="00E2357E">
        <w:rPr>
          <w:rFonts w:cstheme="minorHAnsi"/>
        </w:rPr>
        <w:t xml:space="preserve">assuming </w:t>
      </w:r>
      <w:r w:rsidR="00EE4539">
        <w:rPr>
          <w:rFonts w:cstheme="minorHAnsi"/>
        </w:rPr>
        <w:t xml:space="preserve">a </w:t>
      </w:r>
      <w:r w:rsidR="00D249EF">
        <w:rPr>
          <w:rFonts w:cstheme="minorHAnsi"/>
        </w:rPr>
        <w:t xml:space="preserve">linear </w:t>
      </w:r>
      <w:r w:rsidR="008438D6">
        <w:rPr>
          <w:rFonts w:cstheme="minorHAnsi"/>
        </w:rPr>
        <w:t>relationship</w:t>
      </w:r>
      <w:r w:rsidR="009D2185">
        <w:t xml:space="preserve">. Based on this approach, </w:t>
      </w:r>
      <w:r w:rsidR="009D2185" w:rsidRPr="008438D6">
        <w:t xml:space="preserve">BMI was fitted as a linear term in </w:t>
      </w:r>
      <w:r w:rsidR="009D2185">
        <w:t xml:space="preserve">each </w:t>
      </w:r>
      <w:r w:rsidR="009D2185" w:rsidRPr="008438D6">
        <w:t>model.</w:t>
      </w:r>
      <w:r w:rsidR="009D2185">
        <w:t xml:space="preserve"> </w:t>
      </w:r>
    </w:p>
    <w:p w14:paraId="680E64DD" w14:textId="16FEBDD6" w:rsidR="00D249EF" w:rsidRDefault="00C34CAD" w:rsidP="000C49FF">
      <w:pPr>
        <w:spacing w:line="360" w:lineRule="auto"/>
      </w:pPr>
      <w:r>
        <w:t>There were missing data for three of the explanatory variables included in the analysis: IMD, BMI</w:t>
      </w:r>
      <w:r w:rsidR="003C008F">
        <w:t>,</w:t>
      </w:r>
      <w:r>
        <w:t xml:space="preserve"> and smoking status. Multiple imputation was used to account for these missing values</w:t>
      </w:r>
      <w:r w:rsidR="00E2357E">
        <w:t>.</w:t>
      </w:r>
      <w:r>
        <w:t xml:space="preserve"> </w:t>
      </w:r>
      <w:r w:rsidR="00E2357E">
        <w:t xml:space="preserve">We </w:t>
      </w:r>
      <w:r>
        <w:t>assum</w:t>
      </w:r>
      <w:r w:rsidR="00E2357E">
        <w:t>ed</w:t>
      </w:r>
      <w:r>
        <w:t xml:space="preserve"> that </w:t>
      </w:r>
      <w:r w:rsidR="00E2357E">
        <w:t xml:space="preserve">the </w:t>
      </w:r>
      <w:r>
        <w:t xml:space="preserve">data </w:t>
      </w:r>
      <w:r w:rsidR="003C008F">
        <w:t>were</w:t>
      </w:r>
      <w:r>
        <w:t xml:space="preserve"> missing at random</w:t>
      </w:r>
      <w:r w:rsidR="003C008F">
        <w:t>,</w:t>
      </w:r>
      <w:r>
        <w:t xml:space="preserve"> </w:t>
      </w:r>
      <w:r w:rsidR="003F70F0">
        <w:t xml:space="preserve">i.e. </w:t>
      </w:r>
      <w:r>
        <w:t>the probability of data being missing did not depend on the unobserved data, conditional on the observed data.</w:t>
      </w:r>
      <w:r>
        <w:fldChar w:fldCharType="begin" w:fldLock="1"/>
      </w:r>
      <w:r w:rsidR="00171DD0">
        <w:instrText>ADDIN CSL_CITATION {"citationItems":[{"id":"ITEM-1","itemData":{"DOI":"10.1002/sim.4067","ISBN":"1097-0258 (Electronic)\\n0277-6715 (Linking)","ISSN":"02776715","PMID":"21225900","abstract":"Multiple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fragments.","author":[{"dropping-particle":"","family":"White","given":"Ian R.","non-dropping-particle":"","parse-names":false,"suffix":""},{"dropping-particle":"","family":"Royston","given":"Patrick","non-dropping-particle":"","parse-names":false,"suffix":""},{"dropping-particle":"","family":"Wood","given":"Angela M.","non-dropping-particle":"","parse-names":false,"suffix":""}],"container-title":"Statistics in Medicine","id":"ITEM-1","issue":"4","issued":{"date-parts":[["2011"]]},"page":"377-399","title":"Multiple imputation using chained equations: Issues and guidance for practice","type":"article-journal","volume":"30"},"uris":["http://www.mendeley.com/documents/?uuid=2f970b5b-5e32-4d0d-bb6a-a72fa38a2500"]}],"mendeley":{"formattedCitation":"[22]","plainTextFormattedCitation":"[22]","previouslyFormattedCitation":"[22]"},"properties":{"noteIndex":0},"schema":"https://github.com/citation-style-language/schema/raw/master/csl-citation.json"}</w:instrText>
      </w:r>
      <w:r>
        <w:fldChar w:fldCharType="separate"/>
      </w:r>
      <w:r w:rsidR="00171DD0" w:rsidRPr="00171DD0">
        <w:rPr>
          <w:noProof/>
        </w:rPr>
        <w:t>[22]</w:t>
      </w:r>
      <w:r>
        <w:fldChar w:fldCharType="end"/>
      </w:r>
      <w:r>
        <w:t xml:space="preserve"> Explanatory variables and outcomes were used to estimate </w:t>
      </w:r>
      <w:r w:rsidR="00F831CB">
        <w:t xml:space="preserve">50 </w:t>
      </w:r>
      <w:r>
        <w:t>imputed datasets.</w:t>
      </w:r>
      <w:r w:rsidR="00D249EF" w:rsidRPr="00D249EF">
        <w:t xml:space="preserve"> </w:t>
      </w:r>
      <w:r w:rsidR="00D249EF">
        <w:t xml:space="preserve">Pooled HRs for explanatory variables and corresponding 95% confidence intervals (CIs) were calculated using Rubin’s rules. </w:t>
      </w:r>
    </w:p>
    <w:p w14:paraId="6968518A" w14:textId="0555003D" w:rsidR="000C49FF" w:rsidRDefault="00497919" w:rsidP="00C50AFA">
      <w:pPr>
        <w:pStyle w:val="Heading2"/>
      </w:pPr>
      <w:r>
        <w:t>Estimati</w:t>
      </w:r>
      <w:r w:rsidR="003C008F">
        <w:t>ng</w:t>
      </w:r>
      <w:r>
        <w:t xml:space="preserve"> </w:t>
      </w:r>
      <w:r w:rsidR="003C008F">
        <w:t xml:space="preserve">the </w:t>
      </w:r>
      <w:r w:rsidR="00C50AFA">
        <w:t>partial effect of BMI and smoking on</w:t>
      </w:r>
      <w:r>
        <w:t xml:space="preserve"> </w:t>
      </w:r>
      <w:r w:rsidR="00C86B15">
        <w:t>lifetime risk</w:t>
      </w:r>
      <w:r w:rsidR="00C50AFA">
        <w:t xml:space="preserve"> </w:t>
      </w:r>
      <w:r w:rsidR="000C49FF">
        <w:t>of revision</w:t>
      </w:r>
    </w:p>
    <w:p w14:paraId="16C8FA90" w14:textId="59A37F68" w:rsidR="00365CA8" w:rsidRDefault="000C49FF" w:rsidP="00C50AFA">
      <w:pPr>
        <w:pStyle w:val="NoSpacing"/>
        <w:spacing w:after="240" w:line="360" w:lineRule="auto"/>
      </w:pPr>
      <w:r>
        <w:t>A state-based Markov model combine</w:t>
      </w:r>
      <w:r w:rsidR="00E2357E">
        <w:t>d</w:t>
      </w:r>
      <w:r>
        <w:t xml:space="preserve"> the cause-specific models for revision and mortality.</w:t>
      </w:r>
      <w:r w:rsidR="00B34032">
        <w:t xml:space="preserve"> In such a model</w:t>
      </w:r>
      <w:r w:rsidR="00301EEC">
        <w:t>,</w:t>
      </w:r>
      <w:r w:rsidR="00B34032">
        <w:t xml:space="preserve"> individuals are assumed to be in a </w:t>
      </w:r>
      <w:r w:rsidR="00301EEC">
        <w:t>particular health state and events are represented as transitions from one state to another with transitions occurring as time progresses in increments.</w:t>
      </w:r>
      <w:r w:rsidR="00301EEC">
        <w:fldChar w:fldCharType="begin" w:fldLock="1"/>
      </w:r>
      <w:r w:rsidR="00171DD0">
        <w:instrText>ADDIN CSL_CITATION {"citationItems":[{"id":"ITEM-1","itemData":{"DOI":"10.1177/0272989X9301300409","ISSN":"0272-989X","abstract":"Markov models are useful when a decision problem involves risk that is continuous over time, when the timing of events is important, and when important events may happen more than once. Representing such clinical settings with conventional decision trees is difficult and ay require unrealistic simplifying assumptions. Markov models assume that a patient is always in one of a finite number of discrete health states, called Markov states. All events are represented as transitions from one state to another. A Markov model may be evaluated by matrix algebra, as a cohort simulation, or as a Monte Carlo simulation. A newer repre-sentation of Markov models, the Markov-cycle tree, uses a tree representation of clinical events and may be evaluated either as a cohort simulation or as a Monte Carlo simulation.\\nThe ability of the Markov model to represent repetitive events and the time dependence of\\nboth probabilities and utilities allows for more accurate representation of clinical settings that\\ninvolve these issues.","author":[{"dropping-particle":"","family":"Sonnenberg","given":"Frank a.","non-dropping-particle":"","parse-names":false,"suffix":""},{"dropping-particle":"","family":"Beck","given":"J. Robert","non-dropping-particle":"","parse-names":false,"suffix":""}],"container-title":"Mdecial Decision Making","id":"ITEM-1","issue":"4","issued":{"date-parts":[["1993"]]},"page":"322-338","title":"Markov Models in Medical Decision Making: A practical Guide","type":"article-journal","volume":"13"},"uris":["http://www.mendeley.com/documents/?uuid=6634c51a-9328-49ae-ba79-d0f8893d3f18"]}],"mendeley":{"formattedCitation":"[23]","plainTextFormattedCitation":"[23]","previouslyFormattedCitation":"[23]"},"properties":{"noteIndex":0},"schema":"https://github.com/citation-style-language/schema/raw/master/csl-citation.json"}</w:instrText>
      </w:r>
      <w:r w:rsidR="00301EEC">
        <w:fldChar w:fldCharType="separate"/>
      </w:r>
      <w:r w:rsidR="00171DD0" w:rsidRPr="00171DD0">
        <w:rPr>
          <w:noProof/>
        </w:rPr>
        <w:t>[23]</w:t>
      </w:r>
      <w:r w:rsidR="00301EEC">
        <w:fldChar w:fldCharType="end"/>
      </w:r>
      <w:r w:rsidR="00301EEC">
        <w:t xml:space="preserve"> </w:t>
      </w:r>
      <w:r w:rsidR="00365CA8">
        <w:t>A similar modelling approach has previously been used to estimate individuals</w:t>
      </w:r>
      <w:r w:rsidR="00306C1F">
        <w:t>’</w:t>
      </w:r>
      <w:r w:rsidR="00365CA8">
        <w:t xml:space="preserve"> lifetime risk of undergoing primary joint replacement.</w:t>
      </w:r>
      <w:r w:rsidR="00551B67">
        <w:fldChar w:fldCharType="begin" w:fldLock="1"/>
      </w:r>
      <w:r w:rsidR="00171DD0">
        <w:instrText xml:space="preserve">ADDIN CSL_CITATION {"citationItems":[{"id":"ITEM-1","itemData":{"DOI":"10.1002/acr.22940","ISSN":"2151-4658","PMID":"27214559","abstract":"OBJECTIVE: To estimate the lifetime risk of knee osteoarthritis (OA) and total knee replacement (TKR) in persons sustaining ACL tear by age 25.\\n\\nMETHODS: We used the Osteoarthritis Policy Model to project the cumulative incidence of symptomatic knee OA requiring TKR in persons with: 1) no prevalent or incident injury; 2) isolated ACL tear, surgically treated; 3) isolated ACL tear, non-operatively treated; or 4) prevalent history or surgically treated ACL and meniscal tear (MT). We estimated MT prevalence and incidence and increased risk of knee OA associated with ACL injury and MT from published literature. We conducted a range of sensitivity analyses to examine the impact of uncertainty in input parameters.\\n\\nRESULTS: Estimated lifetime risk of symptomatic knee OA was 34% for the cohort with ACL injury and MT, compared to 14% for the no injury cohort. ACL injury without MT was associated with a lifetime risk of knee OA between 16%-17%, depending on ACL treatment modality. Estimated lifetime risk of TKR ranged from 6% in the no injury cohort to 22% for the ACL injury and MT cohort. Subjects in the ACL injury and MT cohort developed OA </w:instrText>
      </w:r>
      <w:r w:rsidR="00171DD0">
        <w:rPr>
          <w:rFonts w:ascii="Cambria Math" w:hAnsi="Cambria Math" w:cs="Cambria Math"/>
        </w:rPr>
        <w:instrText>∼</w:instrText>
      </w:r>
      <w:r w:rsidR="00171DD0">
        <w:instrText xml:space="preserve">1.5 years earlier (55.7 vs. 57.1) and underwent TKR </w:instrText>
      </w:r>
      <w:r w:rsidR="00171DD0">
        <w:rPr>
          <w:rFonts w:ascii="Cambria Math" w:hAnsi="Cambria Math" w:cs="Cambria Math"/>
        </w:rPr>
        <w:instrText>∼</w:instrText>
      </w:r>
      <w:r w:rsidR="00171DD0">
        <w:instrText>2 years earlier (66 vs. 68) than the cohort without knee injuries.\\n\\nCONCLUSIONS: Sustaining ACL injury early in adulthood leads to greater lifetime risk and earlier onset of knee OA and TKR; concomitant MTs compound this risk. These data provide insight into the impact of sustainable injury prevention interventions in young adults. This article is protected by copyright. All rights reserved.","author":[{"dropping-particle":"","family":"Suter","given":"Lisa G","non-dropping-particle":"","parse-names":false,"suffix":""},{"dropping-particle":"","family":"Smith","given":"Savannah R","non-dropping-particle":"","parse-names":false,"suffix":""},{"dropping-particle":"","family":"Katz","given":"Jeffrey N","non-dropping-particle":"","parse-names":false,"suffix":""},{"dropping-particle":"","family":"Englund","given":"Martin","non-dropping-particle":"","parse-names":false,"suffix":""},{"dropping-particle":"","family":"Hunter","given":"David J","non-dropping-particle":"","parse-names":false,"suffix":""},{"dropping-particle":"","family":"Frobell","given":"Richard","non-dropping-particle":"","parse-names":false,"suffix":""},{"dropping-particle":"","family":"Losina","given":"Elena","non-dropping-particle":"","parse-names":false,"suffix":""}],"container-title":"Arthritis care &amp; research","id":"ITEM-1","issue":"2","issued":{"date-parts":[["2016"]]},"page":"201-208","title":"Projecting Lifetime Risk of Symptomatic Knee Osteoarthritis and Total Knee Replacement in Individuals Sustaining a Complete Anterior Cruciate Ligament Tear in Early Adulthood.","type":"article-journal","volume":"69"},"uris":["http://www.mendeley.com/documents/?uuid=e8025270-084d-4e8d-8874-6d21067a63f8"]},{"id":"ITEM-2","itemData":{"DOI":"10.1002/acr.21898.Lifetime","author":[{"dropping-particle":"","family":"Losina","given":"Elena","non-dropping-particle":"","parse-names":false,"suffix":""},{"dropping-particle":"","family":"Weinstein","given":"Alexander M","non-dropping-particle":"","parse-names":false,"suffix":""},{"dropping-particle":"","family":"Reichmann","given":"William M","non-dropping-particle":"","parse-names":false,"suffix":""},{"dropping-particle":"","family":"Burbine","given":"A","non-dropping-particle":"","parse-names":false,"suffix":""},{"dropping-particle":"","family":"Solomon","given":"Daniel H","non-dropping-particle":"","parse-names":false,"suffix":""},{"dropping-particle":"","family":"Daigle","given":"Meghan E","non-dropping-particle":"","parse-names":false,"suffix":""},{"dropping-particle":"","family":"Benjamin","given":"N","non-dropping-particle":"","parse-names":false,"suffix":""},{"dropping-particle":"","family":"Chen","given":"Stephanie P","non-dropping-particle":"","parse-names":false,"suffix":""},{"dropping-particle":"","family":"Hunter","given":"David J","non-dropping-particle":"","parse-names":false,"suffix":""},{"dropping-particle":"","family":"Suter","given":"Lisa G","non-dropping-particle":"","parse-names":false,"suffix":""},{"dropping-particle":"","family":"Jordan","given":"Joanne M","non-dropping-particle":"","parse-names":false,"suffix":""},{"dropping-particle":"","family":"Katz","given":"Jeffrey N","non-dropping-particle":"","parse-names":false,"suffix":""}],"container-title":"Arthritis Care Res (Hoboken)","id":"ITEM-2","issue":"5","issued":{"date-parts":[["2013"]]},"page":"1-16","title":"Lifetime risk and age of diagnosis of symptomatic knee osteoarthritis in the US","type":"article-journal","volume":"65"},"uris":["http://www.mendeley.com/documents/?uuid=7609aeea-1758-42cb-b242-f21c4888243b"]}],"mendeley":{"formattedCitation":"[24,25]","plainTextFormattedCitation":"[24,25]","previouslyFormattedCitation":"[24,25]"},"properties":{"noteIndex":0},"schema":"https://github.com/citation-style-language/schema/raw/master/csl-citation.json"}</w:instrText>
      </w:r>
      <w:r w:rsidR="00551B67">
        <w:fldChar w:fldCharType="separate"/>
      </w:r>
      <w:r w:rsidR="00171DD0" w:rsidRPr="00171DD0">
        <w:rPr>
          <w:noProof/>
        </w:rPr>
        <w:t>[24,25]</w:t>
      </w:r>
      <w:r w:rsidR="00551B67">
        <w:fldChar w:fldCharType="end"/>
      </w:r>
    </w:p>
    <w:p w14:paraId="18F77C4D" w14:textId="3B4CBFBC" w:rsidR="000C49FF" w:rsidRPr="000C49FF" w:rsidRDefault="000C49FF" w:rsidP="00C50AFA">
      <w:pPr>
        <w:pStyle w:val="NoSpacing"/>
        <w:spacing w:after="240" w:line="360" w:lineRule="auto"/>
      </w:pPr>
      <w:r>
        <w:t>A cohort of individuals enter the model and are always in one of a set of discrete states</w:t>
      </w:r>
      <w:r w:rsidR="00306C1F">
        <w:t>,</w:t>
      </w:r>
      <w:r>
        <w:t xml:space="preserve"> with events represented as transitions from one state to another. In this case, individuals began by having a TKR or THR and entered the model in the </w:t>
      </w:r>
      <w:r w:rsidRPr="00B80A36">
        <w:rPr>
          <w:i/>
        </w:rPr>
        <w:t xml:space="preserve">unrevised </w:t>
      </w:r>
      <w:r>
        <w:t xml:space="preserve">state. </w:t>
      </w:r>
      <w:r>
        <w:rPr>
          <w:rFonts w:cstheme="minorHAnsi"/>
        </w:rPr>
        <w:t xml:space="preserve">The time horizon for the model was lifetime (up to 100 years of age). </w:t>
      </w:r>
      <w:r>
        <w:t xml:space="preserve">As time passed, in yearly cycles, individuals could transition to </w:t>
      </w:r>
      <w:r w:rsidR="00306C1F">
        <w:t>the</w:t>
      </w:r>
      <w:r>
        <w:t xml:space="preserve"> </w:t>
      </w:r>
      <w:r w:rsidRPr="00B80A36">
        <w:rPr>
          <w:i/>
        </w:rPr>
        <w:t>revised</w:t>
      </w:r>
      <w:r>
        <w:t xml:space="preserve"> or </w:t>
      </w:r>
      <w:r w:rsidRPr="00B80A36">
        <w:rPr>
          <w:i/>
        </w:rPr>
        <w:t>death</w:t>
      </w:r>
      <w:r>
        <w:t xml:space="preserve"> state</w:t>
      </w:r>
      <w:r w:rsidR="00306C1F">
        <w:t>s</w:t>
      </w:r>
      <w:r>
        <w:t xml:space="preserve">. </w:t>
      </w:r>
      <w:r>
        <w:rPr>
          <w:rFonts w:cstheme="minorHAnsi"/>
        </w:rPr>
        <w:t>The model required estimates of two key transitions probabilities</w:t>
      </w:r>
      <w:r w:rsidR="00EC39F5">
        <w:rPr>
          <w:rFonts w:cstheme="minorHAnsi"/>
        </w:rPr>
        <w:t>:</w:t>
      </w:r>
      <w:r>
        <w:rPr>
          <w:rFonts w:cstheme="minorHAnsi"/>
        </w:rPr>
        <w:t xml:space="preserve"> </w:t>
      </w:r>
      <w:r w:rsidRPr="00B80A36">
        <w:rPr>
          <w:i/>
        </w:rPr>
        <w:t xml:space="preserve">unrevised </w:t>
      </w:r>
      <w:r>
        <w:rPr>
          <w:rFonts w:cstheme="minorHAnsi"/>
        </w:rPr>
        <w:t xml:space="preserve">to </w:t>
      </w:r>
      <w:r w:rsidRPr="00B80A36">
        <w:rPr>
          <w:i/>
        </w:rPr>
        <w:t>revised</w:t>
      </w:r>
      <w:r>
        <w:rPr>
          <w:rFonts w:cstheme="minorHAnsi"/>
        </w:rPr>
        <w:t xml:space="preserve"> and</w:t>
      </w:r>
      <w:r w:rsidR="00EC39F5">
        <w:rPr>
          <w:rFonts w:cstheme="minorHAnsi"/>
        </w:rPr>
        <w:t>, to account for the competing risk of mortality,</w:t>
      </w:r>
      <w:r w:rsidRPr="00DF1698">
        <w:rPr>
          <w:rFonts w:cstheme="minorHAnsi"/>
        </w:rPr>
        <w:t xml:space="preserve"> </w:t>
      </w:r>
      <w:r w:rsidRPr="00B80A36">
        <w:rPr>
          <w:i/>
        </w:rPr>
        <w:t xml:space="preserve">unrevised </w:t>
      </w:r>
      <w:r>
        <w:rPr>
          <w:rFonts w:cstheme="minorHAnsi"/>
        </w:rPr>
        <w:t xml:space="preserve">to </w:t>
      </w:r>
      <w:r w:rsidRPr="00B80A36">
        <w:rPr>
          <w:i/>
        </w:rPr>
        <w:t>death</w:t>
      </w:r>
      <w:r w:rsidR="00306C1F">
        <w:rPr>
          <w:rFonts w:cstheme="minorHAnsi"/>
        </w:rPr>
        <w:t>.</w:t>
      </w:r>
      <w:r>
        <w:rPr>
          <w:rFonts w:cstheme="minorHAnsi"/>
        </w:rPr>
        <w:t xml:space="preserve"> </w:t>
      </w:r>
      <w:r w:rsidR="00306C1F">
        <w:rPr>
          <w:rFonts w:cstheme="minorHAnsi"/>
        </w:rPr>
        <w:t xml:space="preserve">These probabilities </w:t>
      </w:r>
      <w:r>
        <w:rPr>
          <w:rFonts w:cstheme="minorHAnsi"/>
        </w:rPr>
        <w:t xml:space="preserve">were predicted using the cause-specific </w:t>
      </w:r>
      <w:r w:rsidR="002356DB">
        <w:rPr>
          <w:rFonts w:cstheme="minorHAnsi"/>
        </w:rPr>
        <w:t xml:space="preserve">survival </w:t>
      </w:r>
      <w:r>
        <w:rPr>
          <w:rFonts w:cstheme="minorHAnsi"/>
        </w:rPr>
        <w:t>models described above.</w:t>
      </w:r>
    </w:p>
    <w:p w14:paraId="29D7184E" w14:textId="04BD2C8A" w:rsidR="003C0BFB" w:rsidRDefault="00761DC7" w:rsidP="007E0198">
      <w:pPr>
        <w:spacing w:line="360" w:lineRule="auto"/>
      </w:pPr>
      <w:r>
        <w:t xml:space="preserve">To estimate the partial effect of </w:t>
      </w:r>
      <w:r w:rsidR="00074E48">
        <w:t>BMI and smoking status</w:t>
      </w:r>
      <w:r>
        <w:t xml:space="preserve"> on lifetime risk</w:t>
      </w:r>
      <w:r w:rsidR="00B7534F">
        <w:t>, the Markov model was run for representative patient</w:t>
      </w:r>
      <w:r w:rsidR="000D5C10">
        <w:t xml:space="preserve"> profile</w:t>
      </w:r>
      <w:r w:rsidR="00B7534F">
        <w:t>s</w:t>
      </w:r>
      <w:r w:rsidR="00306C1F">
        <w:t>,</w:t>
      </w:r>
      <w:r w:rsidR="00B7534F">
        <w:t xml:space="preserve"> </w:t>
      </w:r>
      <w:r w:rsidR="00306C1F">
        <w:t xml:space="preserve">varying the </w:t>
      </w:r>
      <w:r w:rsidR="00B7534F">
        <w:t xml:space="preserve">value of </w:t>
      </w:r>
      <w:r w:rsidR="00074E48">
        <w:t>these</w:t>
      </w:r>
      <w:r w:rsidR="00B7534F">
        <w:t xml:space="preserve"> characteristic</w:t>
      </w:r>
      <w:r w:rsidR="00074E48">
        <w:t>s</w:t>
      </w:r>
      <w:r w:rsidR="00B7534F">
        <w:t xml:space="preserve"> </w:t>
      </w:r>
      <w:r w:rsidR="00074E48">
        <w:t>while</w:t>
      </w:r>
      <w:r w:rsidR="00306C1F">
        <w:t xml:space="preserve"> holding the rest </w:t>
      </w:r>
      <w:r w:rsidR="00B7534F">
        <w:t xml:space="preserve">at their average </w:t>
      </w:r>
      <w:r w:rsidR="00306C1F">
        <w:t xml:space="preserve">value </w:t>
      </w:r>
      <w:r w:rsidR="00B7534F" w:rsidRPr="006E09A6">
        <w:t>(median if continuous and mode if categorical).</w:t>
      </w:r>
      <w:r w:rsidR="00B7534F">
        <w:t xml:space="preserve"> </w:t>
      </w:r>
      <w:r w:rsidR="000C3E2A">
        <w:t>Transition probabilities were based on the predicted survival functions from the respective survival models.</w:t>
      </w:r>
      <w:r w:rsidR="00F05DDD">
        <w:t xml:space="preserve"> </w:t>
      </w:r>
      <w:r w:rsidR="007E0198">
        <w:t xml:space="preserve">As the estimated hazard ratios were </w:t>
      </w:r>
      <w:r w:rsidR="00F05DDD">
        <w:t xml:space="preserve">similar across multiply imputed datasets, to reduce computational time </w:t>
      </w:r>
      <w:r w:rsidR="00AF48FB">
        <w:t>lifetime risks were</w:t>
      </w:r>
      <w:r w:rsidR="00F05DDD">
        <w:t xml:space="preserve"> estimated </w:t>
      </w:r>
      <w:r w:rsidR="00AF48FB">
        <w:t xml:space="preserve">using only the models developed on the </w:t>
      </w:r>
      <w:r w:rsidR="00F05DDD">
        <w:t>first imputed dataset. Parameter uncertainty was incorporated using 1000 bootstrapped models.</w:t>
      </w:r>
      <w:r w:rsidR="000C3E2A" w:rsidRPr="000C3E2A">
        <w:t xml:space="preserve"> </w:t>
      </w:r>
      <w:r w:rsidR="00A0142C">
        <w:t xml:space="preserve">Cumulative incidence of revision was given by the proportion of patients who transitioned to the </w:t>
      </w:r>
      <w:r w:rsidR="00A0142C" w:rsidRPr="00A0142C">
        <w:rPr>
          <w:i/>
        </w:rPr>
        <w:t>revised</w:t>
      </w:r>
      <w:r w:rsidR="00A0142C">
        <w:t xml:space="preserve"> state over time and l</w:t>
      </w:r>
      <w:r w:rsidR="000C3E2A">
        <w:t xml:space="preserve">ifetime risk of revision was calculated </w:t>
      </w:r>
      <w:r w:rsidR="00973A5C">
        <w:t xml:space="preserve">using </w:t>
      </w:r>
      <w:r w:rsidR="000C3E2A">
        <w:t xml:space="preserve">the proportion of patients who transitioned to the </w:t>
      </w:r>
      <w:r w:rsidR="000C3E2A" w:rsidRPr="003F4AF7">
        <w:rPr>
          <w:i/>
        </w:rPr>
        <w:t>revised</w:t>
      </w:r>
      <w:r w:rsidR="000C3E2A">
        <w:t xml:space="preserve"> state</w:t>
      </w:r>
      <w:r w:rsidR="00A0142C">
        <w:t xml:space="preserve"> over the </w:t>
      </w:r>
      <w:r w:rsidR="005F3C42">
        <w:t>duration of the model</w:t>
      </w:r>
      <w:r w:rsidR="000C3E2A">
        <w:t>.</w:t>
      </w:r>
    </w:p>
    <w:p w14:paraId="7CC4DB24" w14:textId="77777777" w:rsidR="00607E3A" w:rsidRPr="000A312B" w:rsidRDefault="00607E3A" w:rsidP="000A312B">
      <w:pPr>
        <w:spacing w:line="360" w:lineRule="auto"/>
      </w:pPr>
    </w:p>
    <w:p w14:paraId="42B8878C" w14:textId="285F12D8" w:rsidR="0007143A" w:rsidRPr="0007143A" w:rsidRDefault="0007143A" w:rsidP="0007143A">
      <w:pPr>
        <w:pStyle w:val="Heading1"/>
        <w:spacing w:line="360" w:lineRule="auto"/>
      </w:pPr>
      <w:r>
        <w:t>Results</w:t>
      </w:r>
    </w:p>
    <w:p w14:paraId="3C34E997" w14:textId="77777777" w:rsidR="00DB4ED0" w:rsidRDefault="00DB4ED0" w:rsidP="00D148FF">
      <w:pPr>
        <w:pStyle w:val="Heading2"/>
        <w:spacing w:line="360" w:lineRule="auto"/>
      </w:pPr>
      <w:r>
        <w:t>Participants</w:t>
      </w:r>
    </w:p>
    <w:p w14:paraId="54F216A1" w14:textId="769799EC" w:rsidR="003B6415" w:rsidRDefault="00613679" w:rsidP="00D148FF">
      <w:pPr>
        <w:spacing w:line="360" w:lineRule="auto"/>
      </w:pPr>
      <w:r>
        <w:t xml:space="preserve">The TKR and THR cohorts </w:t>
      </w:r>
      <w:r w:rsidRPr="00264082">
        <w:t xml:space="preserve">included </w:t>
      </w:r>
      <w:r w:rsidR="000467AC" w:rsidRPr="00264082">
        <w:t>10,260</w:t>
      </w:r>
      <w:r w:rsidR="00D90BF2" w:rsidRPr="00264082">
        <w:t xml:space="preserve"> and 10,961</w:t>
      </w:r>
      <w:r w:rsidR="000467AC" w:rsidRPr="00264082">
        <w:t xml:space="preserve"> individuals</w:t>
      </w:r>
      <w:r w:rsidRPr="00264082">
        <w:t xml:space="preserve">, </w:t>
      </w:r>
      <w:r w:rsidR="00D90BF2" w:rsidRPr="00264082">
        <w:t xml:space="preserve">respectively. </w:t>
      </w:r>
      <w:r w:rsidR="00A15B1B" w:rsidRPr="00264082">
        <w:t>A study inclusion flowchart is provided in Appendix</w:t>
      </w:r>
      <w:r w:rsidR="00F87E06" w:rsidRPr="00264082">
        <w:t xml:space="preserve"> Figure A1</w:t>
      </w:r>
      <w:r w:rsidR="00A15B1B" w:rsidRPr="00264082">
        <w:t>.</w:t>
      </w:r>
      <w:r w:rsidR="00A15B1B">
        <w:t xml:space="preserve"> </w:t>
      </w:r>
      <w:r w:rsidR="00D90BF2">
        <w:t>The observed characteristics of</w:t>
      </w:r>
      <w:r w:rsidR="00583939">
        <w:t xml:space="preserve"> </w:t>
      </w:r>
      <w:r w:rsidR="00973A5C">
        <w:t xml:space="preserve">the </w:t>
      </w:r>
      <w:r w:rsidR="00583939">
        <w:t>individuals in</w:t>
      </w:r>
      <w:r w:rsidR="00D90BF2">
        <w:t xml:space="preserve"> these co</w:t>
      </w:r>
      <w:r w:rsidR="00224CCF">
        <w:t>horts are summarised in Table 1.</w:t>
      </w:r>
      <w:r w:rsidR="00A15B1B" w:rsidRPr="00A15B1B">
        <w:t xml:space="preserve"> </w:t>
      </w:r>
    </w:p>
    <w:p w14:paraId="73A9C369" w14:textId="691FA14D" w:rsidR="00355B88" w:rsidRDefault="00355B88" w:rsidP="00355B88">
      <w:pPr>
        <w:pStyle w:val="Heading2"/>
      </w:pPr>
      <w:r>
        <w:t>Cumulative incidence of revision</w:t>
      </w:r>
    </w:p>
    <w:p w14:paraId="0E3DFF6D" w14:textId="3DE1EB2E" w:rsidR="00355B88" w:rsidRDefault="00355B88" w:rsidP="00355B88">
      <w:pPr>
        <w:spacing w:line="360" w:lineRule="auto"/>
      </w:pPr>
      <w:r w:rsidRPr="00355B88">
        <w:t>The 10-year cumulative incidence of revision for BMI and smoking status groups are summarised in Table 2. The overall 10-year cumulative incidence of revision was 5.12 (95% CI: 4.32% to 6.06%) after TKR and 4.87% (4.20% to 5.65%) after THR. The confidence intervals of all of the BMI groups and smoking status groups overlapped with one another</w:t>
      </w:r>
      <w:r>
        <w:t>, see Table 2.</w:t>
      </w:r>
    </w:p>
    <w:p w14:paraId="2948A0B1" w14:textId="5B6F5FD9" w:rsidR="00355B88" w:rsidRPr="00355B88" w:rsidRDefault="00355B88" w:rsidP="00355B88">
      <w:pPr>
        <w:rPr>
          <w:b/>
        </w:rPr>
      </w:pPr>
      <w:r w:rsidRPr="00355B88">
        <w:rPr>
          <w:b/>
        </w:rPr>
        <w:t>Cause-specific risk of revision</w:t>
      </w:r>
    </w:p>
    <w:p w14:paraId="056F386E" w14:textId="0EBCB25D" w:rsidR="00355B88" w:rsidRPr="002029A5" w:rsidRDefault="00355B88" w:rsidP="00355B88">
      <w:pPr>
        <w:spacing w:line="360" w:lineRule="auto"/>
      </w:pPr>
      <w:r w:rsidRPr="002029A5">
        <w:t xml:space="preserve">HRs for the 10-year risk of revision following TKR and THR are given for each BMI and smoking status group in Table 3. After adjusting for other explanatory factors, BMI was not associated with a </w:t>
      </w:r>
      <w:r w:rsidR="00304B92">
        <w:t xml:space="preserve">large or statistically </w:t>
      </w:r>
      <w:r w:rsidRPr="002029A5">
        <w:t xml:space="preserve">significant difference in revision risk: HRs per unit increase in BMI were </w:t>
      </w:r>
      <w:r w:rsidR="002029A5" w:rsidRPr="00244255">
        <w:rPr>
          <w:rFonts w:ascii="Calibri" w:eastAsia="Times New Roman" w:hAnsi="Calibri" w:cs="Calibri"/>
          <w:color w:val="000000"/>
          <w:lang w:eastAsia="en-GB"/>
        </w:rPr>
        <w:t>0.99 (0.96 to 1.03)</w:t>
      </w:r>
      <w:r w:rsidR="002029A5" w:rsidRPr="002029A5">
        <w:rPr>
          <w:rFonts w:ascii="Calibri" w:eastAsia="Times New Roman" w:hAnsi="Calibri" w:cs="Calibri"/>
          <w:color w:val="000000"/>
          <w:lang w:eastAsia="en-GB"/>
        </w:rPr>
        <w:t xml:space="preserve"> </w:t>
      </w:r>
      <w:r w:rsidRPr="002029A5">
        <w:t xml:space="preserve">for TKR and </w:t>
      </w:r>
      <w:r w:rsidRPr="002029A5">
        <w:rPr>
          <w:rFonts w:ascii="Calibri" w:eastAsia="Times New Roman" w:hAnsi="Calibri" w:cs="Calibri"/>
          <w:color w:val="000000"/>
          <w:lang w:eastAsia="en-GB"/>
        </w:rPr>
        <w:t>1.02 (0.9</w:t>
      </w:r>
      <w:r w:rsidR="00304B92">
        <w:rPr>
          <w:rFonts w:ascii="Calibri" w:eastAsia="Times New Roman" w:hAnsi="Calibri" w:cs="Calibri"/>
          <w:color w:val="000000"/>
          <w:lang w:eastAsia="en-GB"/>
        </w:rPr>
        <w:t>9</w:t>
      </w:r>
      <w:r w:rsidRPr="002029A5">
        <w:rPr>
          <w:rFonts w:ascii="Calibri" w:eastAsia="Times New Roman" w:hAnsi="Calibri" w:cs="Calibri"/>
          <w:color w:val="000000"/>
          <w:lang w:eastAsia="en-GB"/>
        </w:rPr>
        <w:t xml:space="preserve"> to 1.06) </w:t>
      </w:r>
      <w:r w:rsidRPr="002029A5">
        <w:rPr>
          <w:rFonts w:eastAsia="Times New Roman" w:cs="Calibri"/>
          <w:color w:val="000000"/>
          <w:lang w:eastAsia="en-GB"/>
        </w:rPr>
        <w:t xml:space="preserve">for THR. </w:t>
      </w:r>
      <w:r w:rsidR="00304B92">
        <w:rPr>
          <w:rFonts w:eastAsia="Times New Roman" w:cs="Calibri"/>
          <w:color w:val="000000"/>
          <w:lang w:eastAsia="en-GB"/>
        </w:rPr>
        <w:t>A</w:t>
      </w:r>
      <w:r w:rsidRPr="002029A5">
        <w:rPr>
          <w:rFonts w:eastAsia="Times New Roman" w:cs="Calibri"/>
          <w:color w:val="000000"/>
          <w:lang w:eastAsia="en-GB"/>
        </w:rPr>
        <w:t xml:space="preserve">fter controlling for </w:t>
      </w:r>
      <w:r w:rsidRPr="002029A5">
        <w:t xml:space="preserve">other explanatory factors, being a smoker was associated with </w:t>
      </w:r>
      <w:r w:rsidR="00304B92">
        <w:t xml:space="preserve">a reduced </w:t>
      </w:r>
      <w:r w:rsidRPr="002029A5">
        <w:t>revision risk relative to non-smokers</w:t>
      </w:r>
      <w:r w:rsidR="00304B92">
        <w:t>, but the difference was not statistically significant</w:t>
      </w:r>
      <w:r w:rsidRPr="002029A5">
        <w:t xml:space="preserve">: HRs were </w:t>
      </w:r>
      <w:r w:rsidR="00304B92" w:rsidRPr="00304B92">
        <w:rPr>
          <w:rFonts w:ascii="Calibri" w:eastAsia="Times New Roman" w:hAnsi="Calibri" w:cs="Calibri"/>
          <w:color w:val="000000"/>
          <w:lang w:eastAsia="en-GB"/>
        </w:rPr>
        <w:t>0.71 (0.39 to 1.29)</w:t>
      </w:r>
      <w:r w:rsidR="00304B92">
        <w:rPr>
          <w:rFonts w:ascii="Calibri" w:eastAsia="Times New Roman" w:hAnsi="Calibri" w:cs="Calibri"/>
          <w:color w:val="000000"/>
          <w:lang w:eastAsia="en-GB"/>
        </w:rPr>
        <w:t xml:space="preserve"> </w:t>
      </w:r>
      <w:r w:rsidRPr="002029A5">
        <w:t xml:space="preserve">for TKR and </w:t>
      </w:r>
      <w:r w:rsidR="00304B92" w:rsidRPr="00304B92">
        <w:rPr>
          <w:rFonts w:ascii="Calibri" w:eastAsia="Times New Roman" w:hAnsi="Calibri" w:cs="Calibri"/>
          <w:color w:val="000000"/>
          <w:lang w:eastAsia="en-GB"/>
        </w:rPr>
        <w:t>0.76 (0.44 to 1.32)</w:t>
      </w:r>
      <w:r w:rsidRPr="002029A5">
        <w:t>for THR. HRs for the other explanatory factors are summarised in the Appendix Table</w:t>
      </w:r>
      <w:r w:rsidR="00551B67" w:rsidRPr="002029A5">
        <w:t>s</w:t>
      </w:r>
      <w:r w:rsidRPr="002029A5">
        <w:t xml:space="preserve"> A</w:t>
      </w:r>
      <w:r w:rsidR="00551B67" w:rsidRPr="002029A5">
        <w:t>1 and A2</w:t>
      </w:r>
      <w:r w:rsidR="00CF6234">
        <w:t>.</w:t>
      </w:r>
    </w:p>
    <w:p w14:paraId="6DBD9AAD" w14:textId="22F58118" w:rsidR="00355B88" w:rsidRPr="00355B88" w:rsidRDefault="00316E46" w:rsidP="00355B88">
      <w:pPr>
        <w:rPr>
          <w:b/>
        </w:rPr>
      </w:pPr>
      <w:r>
        <w:rPr>
          <w:b/>
        </w:rPr>
        <w:t>Predicted</w:t>
      </w:r>
      <w:r w:rsidRPr="00355B88">
        <w:rPr>
          <w:b/>
        </w:rPr>
        <w:t xml:space="preserve"> </w:t>
      </w:r>
      <w:r w:rsidR="00355B88" w:rsidRPr="00355B88">
        <w:rPr>
          <w:b/>
        </w:rPr>
        <w:t>risk of revision</w:t>
      </w:r>
    </w:p>
    <w:p w14:paraId="4426594D" w14:textId="7F68C6C8" w:rsidR="009F682B" w:rsidRDefault="0004270C" w:rsidP="00355B88">
      <w:pPr>
        <w:spacing w:line="360" w:lineRule="auto"/>
      </w:pPr>
      <w:r>
        <w:t>The average individual undergoing a TKR had a diagnosis</w:t>
      </w:r>
      <w:r w:rsidRPr="00271A0E">
        <w:t xml:space="preserve"> </w:t>
      </w:r>
      <w:r>
        <w:t xml:space="preserve">of </w:t>
      </w:r>
      <w:r w:rsidRPr="00271A0E">
        <w:t xml:space="preserve">knee OA, </w:t>
      </w:r>
      <w:r>
        <w:t xml:space="preserve">was 71, </w:t>
      </w:r>
      <w:r w:rsidRPr="00271A0E">
        <w:t>female,</w:t>
      </w:r>
      <w:r>
        <w:t xml:space="preserve"> was in the</w:t>
      </w:r>
      <w:r w:rsidRPr="005521A5">
        <w:t xml:space="preserve"> </w:t>
      </w:r>
      <w:r>
        <w:t xml:space="preserve">second highest (least deprived) </w:t>
      </w:r>
      <w:r w:rsidRPr="00271A0E">
        <w:t xml:space="preserve">IMD </w:t>
      </w:r>
      <w:r>
        <w:t xml:space="preserve">group, had a </w:t>
      </w:r>
      <w:r w:rsidRPr="00271A0E">
        <w:t>Charlson score</w:t>
      </w:r>
      <w:r>
        <w:t xml:space="preserve"> of 0</w:t>
      </w:r>
      <w:r w:rsidRPr="00271A0E">
        <w:t xml:space="preserve">, </w:t>
      </w:r>
      <w:r>
        <w:t xml:space="preserve">BMI of 30, </w:t>
      </w:r>
      <w:r w:rsidRPr="00271A0E">
        <w:t xml:space="preserve">and </w:t>
      </w:r>
      <w:r>
        <w:t xml:space="preserve">was a </w:t>
      </w:r>
      <w:r w:rsidRPr="00271A0E">
        <w:t>non-smoker</w:t>
      </w:r>
      <w:r>
        <w:t xml:space="preserve">. Individuals with these characteristics were estimated to have a 10-year and </w:t>
      </w:r>
      <w:r w:rsidR="009F682B">
        <w:t xml:space="preserve">a </w:t>
      </w:r>
      <w:r>
        <w:t xml:space="preserve">lifetime risk of revision after TKR of </w:t>
      </w:r>
      <w:r w:rsidR="00304B92" w:rsidRPr="00304B92">
        <w:t>4.1% (3.1% to 5.5%)</w:t>
      </w:r>
      <w:r w:rsidR="00304B92" w:rsidRPr="00304B92" w:rsidDel="00304B92">
        <w:t xml:space="preserve"> </w:t>
      </w:r>
      <w:r>
        <w:t xml:space="preserve">and </w:t>
      </w:r>
      <w:r w:rsidR="00304B92" w:rsidRPr="00304B92">
        <w:t>5.3% (3.8% to 7.2%)</w:t>
      </w:r>
      <w:r w:rsidR="00304B92" w:rsidRPr="00304B92" w:rsidDel="00304B92">
        <w:t xml:space="preserve"> </w:t>
      </w:r>
      <w:r>
        <w:t>respectively.</w:t>
      </w:r>
      <w:r w:rsidR="009F682B">
        <w:t xml:space="preserve"> Meanwhile, the average individual undergoing a TH</w:t>
      </w:r>
      <w:r w:rsidR="009F682B" w:rsidRPr="001D08A2">
        <w:t>R had a diagnosis of hip OA, was 70, female, was in the second highest (least deprived) IMD</w:t>
      </w:r>
      <w:r w:rsidR="009F682B">
        <w:t xml:space="preserve"> group</w:t>
      </w:r>
      <w:r w:rsidR="009F682B" w:rsidRPr="001D08A2">
        <w:t>, had a Charlson score of 0, BMI of 28, and was a non-smoker.</w:t>
      </w:r>
      <w:r w:rsidR="009F682B">
        <w:t xml:space="preserve"> Individuals with these characteristics were estimated to have a 10-year and a lifetime risk of revision after THR of </w:t>
      </w:r>
      <w:r w:rsidR="00304B92" w:rsidRPr="00304B92">
        <w:t>3.8% (2.8% to 5.3%)</w:t>
      </w:r>
      <w:r w:rsidR="00304B92" w:rsidRPr="00304B92" w:rsidDel="00304B92">
        <w:t xml:space="preserve"> </w:t>
      </w:r>
      <w:r w:rsidR="00043E6A">
        <w:t xml:space="preserve">and </w:t>
      </w:r>
      <w:r w:rsidR="00304B92" w:rsidRPr="00304B92">
        <w:t>8.2% (5.6% to 11.9%)</w:t>
      </w:r>
      <w:r w:rsidR="009F682B">
        <w:t>, respectively.</w:t>
      </w:r>
    </w:p>
    <w:p w14:paraId="060F6B70" w14:textId="4878ABC0" w:rsidR="00D5605D" w:rsidRDefault="009F682B" w:rsidP="000B2C14">
      <w:pPr>
        <w:spacing w:line="360" w:lineRule="auto"/>
      </w:pPr>
      <w:r>
        <w:t xml:space="preserve">Transition probabilities for risk of revision and cumulative incidence of revision estimated for different values of BMI with other characteristics </w:t>
      </w:r>
      <w:r w:rsidRPr="005C64CE">
        <w:t>held at their average</w:t>
      </w:r>
      <w:r>
        <w:t xml:space="preserve"> values are shown in Figure 1. It can be seen that the transition probabilities, estimated based on the parametric survival models described previously, were similar for different values of BMI. The estimated cumulative incidence</w:t>
      </w:r>
      <w:r w:rsidR="00D5605D">
        <w:t>s</w:t>
      </w:r>
      <w:r>
        <w:t xml:space="preserve"> </w:t>
      </w:r>
      <w:r>
        <w:lastRenderedPageBreak/>
        <w:t>of revision</w:t>
      </w:r>
      <w:r w:rsidR="00D5605D">
        <w:t>, which incorporates the competing risk of mortality,</w:t>
      </w:r>
      <w:r>
        <w:t xml:space="preserve"> w</w:t>
      </w:r>
      <w:r w:rsidR="00D5605D">
        <w:t>ere</w:t>
      </w:r>
      <w:r>
        <w:t xml:space="preserve"> also similar. At 10 years following surgery, if BMI moved from 25 to 35 the risk of revision was expected to change from </w:t>
      </w:r>
      <w:r w:rsidR="00304B92" w:rsidRPr="00304B92">
        <w:rPr>
          <w:bdr w:val="none" w:sz="0" w:space="0" w:color="auto" w:frame="1"/>
          <w:lang w:eastAsia="en-GB"/>
        </w:rPr>
        <w:t>4.6% (3.3% to 6.4%)</w:t>
      </w:r>
      <w:r w:rsidR="00304B92" w:rsidRPr="00304B92" w:rsidDel="00304B92">
        <w:rPr>
          <w:bdr w:val="none" w:sz="0" w:space="0" w:color="auto" w:frame="1"/>
          <w:lang w:eastAsia="en-GB"/>
        </w:rPr>
        <w:t xml:space="preserve"> </w:t>
      </w:r>
      <w:r w:rsidR="00263A7A">
        <w:t>t</w:t>
      </w:r>
      <w:r>
        <w:t xml:space="preserve">o </w:t>
      </w:r>
      <w:r w:rsidR="00304B92" w:rsidRPr="00304B92">
        <w:rPr>
          <w:bdr w:val="none" w:sz="0" w:space="0" w:color="auto" w:frame="1"/>
          <w:lang w:eastAsia="en-GB"/>
        </w:rPr>
        <w:t>3.7% (2.6% to 5.1%)</w:t>
      </w:r>
      <w:r w:rsidR="00304B92" w:rsidRPr="00304B92" w:rsidDel="00304B92">
        <w:rPr>
          <w:bdr w:val="none" w:sz="0" w:space="0" w:color="auto" w:frame="1"/>
          <w:lang w:eastAsia="en-GB"/>
        </w:rPr>
        <w:t xml:space="preserve"> </w:t>
      </w:r>
      <w:r>
        <w:t xml:space="preserve">for TKR and </w:t>
      </w:r>
      <w:r w:rsidR="00304B92" w:rsidRPr="00304B92">
        <w:rPr>
          <w:bdr w:val="none" w:sz="0" w:space="0" w:color="auto" w:frame="1"/>
          <w:lang w:eastAsia="en-GB"/>
        </w:rPr>
        <w:t>3.7% (2.8% to 5.1%)</w:t>
      </w:r>
      <w:r w:rsidR="00304B92" w:rsidRPr="00304B92" w:rsidDel="00304B92">
        <w:rPr>
          <w:bdr w:val="none" w:sz="0" w:space="0" w:color="auto" w:frame="1"/>
          <w:lang w:eastAsia="en-GB"/>
        </w:rPr>
        <w:t xml:space="preserve"> </w:t>
      </w:r>
      <w:r w:rsidR="00263A7A">
        <w:rPr>
          <w:bdr w:val="none" w:sz="0" w:space="0" w:color="auto" w:frame="1"/>
          <w:lang w:eastAsia="en-GB"/>
        </w:rPr>
        <w:t>t</w:t>
      </w:r>
      <w:r>
        <w:t xml:space="preserve">o </w:t>
      </w:r>
      <w:r w:rsidR="00304B92" w:rsidRPr="00304B92">
        <w:rPr>
          <w:bdr w:val="none" w:sz="0" w:space="0" w:color="auto" w:frame="1"/>
          <w:lang w:eastAsia="en-GB"/>
        </w:rPr>
        <w:t>4.0% (2.8% to 5.7%)</w:t>
      </w:r>
      <w:r w:rsidR="00263A7A">
        <w:t xml:space="preserve"> f</w:t>
      </w:r>
      <w:r>
        <w:t>or THR.</w:t>
      </w:r>
      <w:r w:rsidR="00D5605D">
        <w:t xml:space="preserve"> For otherwise average individual, BMI changing from 25 to 35 would be expected to change lifetime risk of revision from </w:t>
      </w:r>
      <w:r w:rsidR="00304B92" w:rsidRPr="00304B92">
        <w:t>5.9% (4.1% to 8.4%)</w:t>
      </w:r>
      <w:r w:rsidR="00D5605D">
        <w:t xml:space="preserve"> to </w:t>
      </w:r>
      <w:r w:rsidR="00304B92" w:rsidRPr="00304B92">
        <w:t>4.7% (3.2% to 6.8%)</w:t>
      </w:r>
      <w:r w:rsidR="00304B92" w:rsidRPr="00304B92" w:rsidDel="00304B92">
        <w:t xml:space="preserve"> </w:t>
      </w:r>
      <w:r w:rsidR="00D5605D">
        <w:t xml:space="preserve">for TKR and from </w:t>
      </w:r>
      <w:r w:rsidR="00304B92" w:rsidRPr="00304B92">
        <w:t>8.0% (5.5% to 11.8%)</w:t>
      </w:r>
      <w:r w:rsidR="00D5605D">
        <w:t xml:space="preserve"> to </w:t>
      </w:r>
      <w:r w:rsidR="00304B92" w:rsidRPr="00304B92">
        <w:t>8.7% (5.8% to 12.7%)</w:t>
      </w:r>
      <w:r w:rsidR="00304B92" w:rsidRPr="00304B92" w:rsidDel="00304B92">
        <w:t xml:space="preserve"> </w:t>
      </w:r>
      <w:r w:rsidR="00D5605D">
        <w:t>for THR.</w:t>
      </w:r>
    </w:p>
    <w:p w14:paraId="44241F41" w14:textId="16D6669C" w:rsidR="009F682B" w:rsidRDefault="00D5605D" w:rsidP="000B2C14">
      <w:pPr>
        <w:spacing w:line="360" w:lineRule="auto"/>
      </w:pPr>
      <w:r>
        <w:t xml:space="preserve">Transition probabilities for risk of revision and cumulative incidence of revision estimated for each different level smoking status with other characteristics </w:t>
      </w:r>
      <w:r w:rsidRPr="005C64CE">
        <w:t>held at their average</w:t>
      </w:r>
      <w:r>
        <w:t xml:space="preserve"> values are shown in Figure 2.</w:t>
      </w:r>
      <w:r w:rsidRPr="00D5605D">
        <w:t xml:space="preserve"> </w:t>
      </w:r>
      <w:r>
        <w:t>It can be seen that the transition probabilities and cumulative incidences of revision were similar for each. At 10 years following surgery,</w:t>
      </w:r>
      <w:r w:rsidR="00E26FCC">
        <w:t xml:space="preserve"> changing from a non-smoker to an ex-smoker or a current s</w:t>
      </w:r>
      <w:r w:rsidR="000B2C14">
        <w:t>mo</w:t>
      </w:r>
      <w:r w:rsidR="00E26FCC">
        <w:t xml:space="preserve">ker was expected to </w:t>
      </w:r>
      <w:r w:rsidR="00E26FCC" w:rsidRPr="000B2C14">
        <w:rPr>
          <w:rFonts w:cstheme="minorHAnsi"/>
        </w:rPr>
        <w:t xml:space="preserve">change the risk of revision from </w:t>
      </w:r>
      <w:r w:rsidR="00BA3643" w:rsidRPr="00BA3643">
        <w:rPr>
          <w:rFonts w:eastAsia="Times New Roman" w:cstheme="minorHAnsi"/>
          <w:color w:val="000000"/>
          <w:bdr w:val="none" w:sz="0" w:space="0" w:color="auto" w:frame="1"/>
          <w:lang w:eastAsia="en-GB"/>
        </w:rPr>
        <w:t>4.1% (3.1% to 5.5%)</w:t>
      </w:r>
      <w:r w:rsidR="00BA3643">
        <w:rPr>
          <w:rFonts w:eastAsia="Times New Roman" w:cstheme="minorHAnsi"/>
          <w:color w:val="000000"/>
          <w:bdr w:val="none" w:sz="0" w:space="0" w:color="auto" w:frame="1"/>
          <w:lang w:eastAsia="en-GB"/>
        </w:rPr>
        <w:t xml:space="preserve"> </w:t>
      </w:r>
      <w:r w:rsidR="000B2C14">
        <w:rPr>
          <w:rFonts w:cstheme="minorHAnsi"/>
        </w:rPr>
        <w:t>t</w:t>
      </w:r>
      <w:r w:rsidR="00E26FCC" w:rsidRPr="000B2C14">
        <w:rPr>
          <w:rFonts w:cstheme="minorHAnsi"/>
        </w:rPr>
        <w:t xml:space="preserve">o </w:t>
      </w:r>
      <w:r w:rsidR="00BA3643" w:rsidRPr="00BA3643">
        <w:rPr>
          <w:rFonts w:eastAsia="Times New Roman" w:cstheme="minorHAnsi"/>
          <w:color w:val="000000"/>
          <w:bdr w:val="none" w:sz="0" w:space="0" w:color="auto" w:frame="1"/>
          <w:lang w:eastAsia="en-GB"/>
        </w:rPr>
        <w:t>4.7% (3.4% to 6.6%)</w:t>
      </w:r>
      <w:r w:rsidR="00BA3643">
        <w:rPr>
          <w:rFonts w:eastAsia="Times New Roman" w:cstheme="minorHAnsi"/>
          <w:color w:val="000000"/>
          <w:bdr w:val="none" w:sz="0" w:space="0" w:color="auto" w:frame="1"/>
          <w:lang w:eastAsia="en-GB"/>
        </w:rPr>
        <w:t xml:space="preserve"> </w:t>
      </w:r>
      <w:r w:rsidR="000B2C14">
        <w:rPr>
          <w:rFonts w:eastAsia="Times New Roman" w:cstheme="minorHAnsi"/>
          <w:color w:val="000000"/>
          <w:bdr w:val="none" w:sz="0" w:space="0" w:color="auto" w:frame="1"/>
          <w:lang w:eastAsia="en-GB"/>
        </w:rPr>
        <w:t>o</w:t>
      </w:r>
      <w:r w:rsidR="00E26FCC" w:rsidRPr="000B2C14">
        <w:rPr>
          <w:rFonts w:cstheme="minorHAnsi"/>
        </w:rPr>
        <w:t xml:space="preserve">r </w:t>
      </w:r>
      <w:r w:rsidR="00BA3643" w:rsidRPr="00BA3643">
        <w:rPr>
          <w:rFonts w:eastAsia="Times New Roman" w:cstheme="minorHAnsi"/>
          <w:color w:val="000000"/>
          <w:bdr w:val="none" w:sz="0" w:space="0" w:color="auto" w:frame="1"/>
          <w:lang w:eastAsia="en-GB"/>
        </w:rPr>
        <w:t>2.8% (1.7% to 4.7%)</w:t>
      </w:r>
      <w:r w:rsidR="00BA3643">
        <w:rPr>
          <w:rFonts w:eastAsia="Times New Roman" w:cstheme="minorHAnsi"/>
          <w:color w:val="000000"/>
          <w:bdr w:val="none" w:sz="0" w:space="0" w:color="auto" w:frame="1"/>
          <w:lang w:eastAsia="en-GB"/>
        </w:rPr>
        <w:t xml:space="preserve"> </w:t>
      </w:r>
      <w:r w:rsidR="00E26FCC" w:rsidRPr="000B2C14">
        <w:rPr>
          <w:rFonts w:cstheme="minorHAnsi"/>
        </w:rPr>
        <w:t>respectively for TKR, and from</w:t>
      </w:r>
      <w:r w:rsidR="000B2C14">
        <w:rPr>
          <w:rFonts w:cstheme="minorHAnsi"/>
        </w:rPr>
        <w:t xml:space="preserve"> </w:t>
      </w:r>
      <w:r w:rsidR="00BA3643" w:rsidRPr="00BA3643">
        <w:rPr>
          <w:rFonts w:eastAsia="Times New Roman" w:cstheme="minorHAnsi"/>
          <w:color w:val="000000"/>
          <w:bdr w:val="none" w:sz="0" w:space="0" w:color="auto" w:frame="1"/>
          <w:lang w:eastAsia="en-GB"/>
        </w:rPr>
        <w:t>3.8% (2.8% to 5.3%)</w:t>
      </w:r>
      <w:r w:rsidR="00BA3643">
        <w:rPr>
          <w:rFonts w:eastAsia="Times New Roman" w:cstheme="minorHAnsi"/>
          <w:color w:val="000000"/>
          <w:bdr w:val="none" w:sz="0" w:space="0" w:color="auto" w:frame="1"/>
          <w:lang w:eastAsia="en-GB"/>
        </w:rPr>
        <w:t xml:space="preserve"> </w:t>
      </w:r>
      <w:r w:rsidR="000B2C14">
        <w:rPr>
          <w:rFonts w:eastAsia="Times New Roman" w:cstheme="minorHAnsi"/>
          <w:color w:val="000000"/>
          <w:bdr w:val="none" w:sz="0" w:space="0" w:color="auto" w:frame="1"/>
          <w:lang w:eastAsia="en-GB"/>
        </w:rPr>
        <w:t>t</w:t>
      </w:r>
      <w:r w:rsidR="00E26FCC" w:rsidRPr="000B2C14">
        <w:rPr>
          <w:rFonts w:cstheme="minorHAnsi"/>
        </w:rPr>
        <w:t xml:space="preserve">o </w:t>
      </w:r>
      <w:r w:rsidR="00BA3643" w:rsidRPr="00BA3643">
        <w:rPr>
          <w:rFonts w:eastAsia="Times New Roman" w:cstheme="minorHAnsi"/>
          <w:color w:val="000000"/>
          <w:bdr w:val="none" w:sz="0" w:space="0" w:color="auto" w:frame="1"/>
          <w:lang w:eastAsia="en-GB"/>
        </w:rPr>
        <w:t>3.8% (2.7% to 5.4%)</w:t>
      </w:r>
      <w:r w:rsidR="00BA3643">
        <w:rPr>
          <w:rFonts w:eastAsia="Times New Roman" w:cstheme="minorHAnsi"/>
          <w:color w:val="000000"/>
          <w:bdr w:val="none" w:sz="0" w:space="0" w:color="auto" w:frame="1"/>
          <w:lang w:eastAsia="en-GB"/>
        </w:rPr>
        <w:t xml:space="preserve"> </w:t>
      </w:r>
      <w:r w:rsidR="000B2C14">
        <w:rPr>
          <w:rFonts w:eastAsia="Times New Roman" w:cstheme="minorHAnsi"/>
          <w:color w:val="000000"/>
          <w:bdr w:val="none" w:sz="0" w:space="0" w:color="auto" w:frame="1"/>
          <w:lang w:eastAsia="en-GB"/>
        </w:rPr>
        <w:t>o</w:t>
      </w:r>
      <w:r w:rsidR="00E26FCC" w:rsidRPr="000B2C14">
        <w:rPr>
          <w:rFonts w:cstheme="minorHAnsi"/>
        </w:rPr>
        <w:t xml:space="preserve">r </w:t>
      </w:r>
      <w:r w:rsidR="00BA3643" w:rsidRPr="00BA3643">
        <w:rPr>
          <w:rFonts w:eastAsia="Times New Roman" w:cstheme="minorHAnsi"/>
          <w:color w:val="000000"/>
          <w:bdr w:val="none" w:sz="0" w:space="0" w:color="auto" w:frame="1"/>
          <w:lang w:eastAsia="en-GB"/>
        </w:rPr>
        <w:t>2.9% (1.9% to 4.7%)</w:t>
      </w:r>
      <w:r w:rsidR="00BA3643">
        <w:rPr>
          <w:rFonts w:eastAsia="Times New Roman" w:cstheme="minorHAnsi"/>
          <w:color w:val="000000"/>
          <w:bdr w:val="none" w:sz="0" w:space="0" w:color="auto" w:frame="1"/>
          <w:lang w:eastAsia="en-GB"/>
        </w:rPr>
        <w:t xml:space="preserve"> </w:t>
      </w:r>
      <w:r w:rsidR="00E26FCC" w:rsidRPr="000B2C14">
        <w:rPr>
          <w:rFonts w:cstheme="minorHAnsi"/>
        </w:rPr>
        <w:t>for</w:t>
      </w:r>
      <w:r w:rsidR="00E26FCC">
        <w:t xml:space="preserve"> THR.</w:t>
      </w:r>
      <w:r w:rsidR="00E26FCC" w:rsidRPr="00E26FCC">
        <w:t xml:space="preserve"> </w:t>
      </w:r>
      <w:r w:rsidR="00E26FCC">
        <w:t xml:space="preserve">For otherwise average individual, ex-smokers and current smokers had estimated lifetime risk of revision of </w:t>
      </w:r>
      <w:r w:rsidR="00BA3643" w:rsidRPr="00BA3643">
        <w:t>5.9% (4.1% to 8.6%)</w:t>
      </w:r>
      <w:r w:rsidR="00BA3643">
        <w:t xml:space="preserve"> </w:t>
      </w:r>
      <w:r w:rsidR="00E26FCC" w:rsidRPr="0053138B">
        <w:t>and</w:t>
      </w:r>
      <w:r w:rsidR="00E26FCC">
        <w:t xml:space="preserve"> </w:t>
      </w:r>
      <w:r w:rsidR="00BA3643" w:rsidRPr="00BA3643">
        <w:t>3.5% (2.0% to 6.1%)</w:t>
      </w:r>
      <w:r w:rsidR="00E26FCC">
        <w:t xml:space="preserve">for TKR and </w:t>
      </w:r>
      <w:r w:rsidR="00BA3643" w:rsidRPr="00BA3643">
        <w:t>8.0% (5.4% to 11.9%)</w:t>
      </w:r>
      <w:r w:rsidR="00BA3643">
        <w:t xml:space="preserve"> </w:t>
      </w:r>
      <w:r w:rsidR="00E26FCC" w:rsidRPr="001D08A2">
        <w:t xml:space="preserve">and </w:t>
      </w:r>
      <w:r w:rsidR="00BA3643" w:rsidRPr="00BA3643">
        <w:t>6.0% (3.8% to 10.2%)</w:t>
      </w:r>
      <w:r w:rsidR="00BA3643">
        <w:t xml:space="preserve"> </w:t>
      </w:r>
      <w:r w:rsidR="00E26FCC">
        <w:t>for THR.</w:t>
      </w:r>
    </w:p>
    <w:p w14:paraId="14629B5D" w14:textId="43009E97" w:rsidR="00355B88" w:rsidRDefault="0012037E" w:rsidP="00D148FF">
      <w:pPr>
        <w:spacing w:line="360" w:lineRule="auto"/>
      </w:pPr>
      <w:r>
        <w:t xml:space="preserve"> </w:t>
      </w:r>
    </w:p>
    <w:p w14:paraId="766EB26F" w14:textId="5AB2A4EA" w:rsidR="00DB4ED0" w:rsidRDefault="00DB4ED0" w:rsidP="00D148FF">
      <w:pPr>
        <w:pStyle w:val="Heading1"/>
        <w:spacing w:line="360" w:lineRule="auto"/>
      </w:pPr>
      <w:r>
        <w:t>Discussion</w:t>
      </w:r>
    </w:p>
    <w:p w14:paraId="0FC0555F" w14:textId="77777777" w:rsidR="00DB4ED0" w:rsidRDefault="00DB4ED0" w:rsidP="00D148FF">
      <w:pPr>
        <w:pStyle w:val="Heading2"/>
        <w:spacing w:line="360" w:lineRule="auto"/>
      </w:pPr>
      <w:r>
        <w:t>Key results</w:t>
      </w:r>
    </w:p>
    <w:p w14:paraId="4C4228FB" w14:textId="0E330C74" w:rsidR="003B1F1F" w:rsidRDefault="00B742A7" w:rsidP="003B1F1F">
      <w:pPr>
        <w:spacing w:line="360" w:lineRule="auto"/>
      </w:pPr>
      <w:r>
        <w:t>Obesity</w:t>
      </w:r>
      <w:r w:rsidR="00FC1872">
        <w:t xml:space="preserve"> </w:t>
      </w:r>
      <w:r w:rsidR="001435BF">
        <w:t xml:space="preserve">and smoking status </w:t>
      </w:r>
      <w:r w:rsidR="00FC1872">
        <w:t xml:space="preserve">had </w:t>
      </w:r>
      <w:r w:rsidR="003B2B49">
        <w:t>little</w:t>
      </w:r>
      <w:r w:rsidR="007B718A">
        <w:t xml:space="preserve"> </w:t>
      </w:r>
      <w:r w:rsidR="00A2250B">
        <w:t xml:space="preserve">meaningful </w:t>
      </w:r>
      <w:r w:rsidR="007B718A">
        <w:t>effect</w:t>
      </w:r>
      <w:r w:rsidR="00FC1872">
        <w:t xml:space="preserve"> on the estimated risk of revision </w:t>
      </w:r>
      <w:r w:rsidR="00B4162D">
        <w:t>following TKR and THR</w:t>
      </w:r>
      <w:r w:rsidR="00FC1872">
        <w:t>.</w:t>
      </w:r>
      <w:r w:rsidR="00E8402B">
        <w:t xml:space="preserve"> </w:t>
      </w:r>
      <w:r w:rsidR="003B1F1F">
        <w:t>The average individual undergoing surgery</w:t>
      </w:r>
      <w:r w:rsidR="003B1F1F" w:rsidRPr="003B1F1F">
        <w:t xml:space="preserve"> </w:t>
      </w:r>
      <w:r w:rsidR="003B1F1F">
        <w:t>had a 10-year</w:t>
      </w:r>
      <w:r w:rsidR="003B1F1F" w:rsidRPr="003B1F1F">
        <w:t xml:space="preserve"> </w:t>
      </w:r>
      <w:r w:rsidR="003B1F1F">
        <w:t xml:space="preserve">risk of revision of </w:t>
      </w:r>
      <w:r w:rsidR="00BA3643" w:rsidRPr="00BA3643">
        <w:t xml:space="preserve">4.1% (3.1% to 5.5%) </w:t>
      </w:r>
      <w:r w:rsidR="003B1F1F">
        <w:t xml:space="preserve">after TKR and </w:t>
      </w:r>
      <w:r w:rsidR="00BA3643" w:rsidRPr="00BA3643">
        <w:t xml:space="preserve">3.8% (2.8% to 5.3%) </w:t>
      </w:r>
      <w:r w:rsidR="003B1F1F">
        <w:t xml:space="preserve">after THR. At 10 years following surgery, for an otherwise average patient, if BMI moved from 25 to 35 the risk of revision was expected to change from </w:t>
      </w:r>
      <w:r w:rsidR="00BA3643" w:rsidRPr="00BA3643">
        <w:rPr>
          <w:bdr w:val="none" w:sz="0" w:space="0" w:color="auto" w:frame="1"/>
          <w:lang w:eastAsia="en-GB"/>
        </w:rPr>
        <w:t>4.6% (3.3% to 6.4%)</w:t>
      </w:r>
      <w:r w:rsidR="003B1F1F">
        <w:rPr>
          <w:bdr w:val="none" w:sz="0" w:space="0" w:color="auto" w:frame="1"/>
          <w:lang w:eastAsia="en-GB"/>
        </w:rPr>
        <w:t xml:space="preserve"> </w:t>
      </w:r>
      <w:r w:rsidR="003B1F1F">
        <w:t xml:space="preserve">to </w:t>
      </w:r>
      <w:r w:rsidR="00BA3643" w:rsidRPr="00BA3643">
        <w:rPr>
          <w:bdr w:val="none" w:sz="0" w:space="0" w:color="auto" w:frame="1"/>
          <w:lang w:eastAsia="en-GB"/>
        </w:rPr>
        <w:t xml:space="preserve">3.7% (2.6% to 5.1%) </w:t>
      </w:r>
      <w:r w:rsidR="003B1F1F">
        <w:t xml:space="preserve">for TKR and </w:t>
      </w:r>
      <w:r w:rsidR="00C62FCC" w:rsidRPr="00C62FCC">
        <w:rPr>
          <w:bdr w:val="none" w:sz="0" w:space="0" w:color="auto" w:frame="1"/>
          <w:lang w:eastAsia="en-GB"/>
        </w:rPr>
        <w:t>3.7% (2.8% to 5.1%)</w:t>
      </w:r>
      <w:r w:rsidR="00C62FCC">
        <w:rPr>
          <w:bdr w:val="none" w:sz="0" w:space="0" w:color="auto" w:frame="1"/>
          <w:lang w:eastAsia="en-GB"/>
        </w:rPr>
        <w:t xml:space="preserve"> </w:t>
      </w:r>
      <w:r w:rsidR="003B1F1F">
        <w:rPr>
          <w:bdr w:val="none" w:sz="0" w:space="0" w:color="auto" w:frame="1"/>
          <w:lang w:eastAsia="en-GB"/>
        </w:rPr>
        <w:t>t</w:t>
      </w:r>
      <w:r w:rsidR="003B1F1F">
        <w:t xml:space="preserve">o </w:t>
      </w:r>
      <w:r w:rsidR="00C62FCC" w:rsidRPr="00C62FCC">
        <w:rPr>
          <w:bdr w:val="none" w:sz="0" w:space="0" w:color="auto" w:frame="1"/>
          <w:lang w:eastAsia="en-GB"/>
        </w:rPr>
        <w:t>4.0% (2.8% to 5.7%)</w:t>
      </w:r>
      <w:r w:rsidR="00C62FCC">
        <w:rPr>
          <w:bdr w:val="none" w:sz="0" w:space="0" w:color="auto" w:frame="1"/>
          <w:lang w:eastAsia="en-GB"/>
        </w:rPr>
        <w:t xml:space="preserve"> </w:t>
      </w:r>
      <w:r w:rsidR="003B1F1F">
        <w:t xml:space="preserve">for THR. Meanwhile, changing from a non-smoker to a current smoker for an otherwise average patient was expected to </w:t>
      </w:r>
      <w:r w:rsidR="003B1F1F" w:rsidRPr="000B2C14">
        <w:rPr>
          <w:rFonts w:cstheme="minorHAnsi"/>
        </w:rPr>
        <w:t xml:space="preserve">change the risk of revision from </w:t>
      </w:r>
      <w:r w:rsidR="00C62FCC" w:rsidRPr="00C62FCC">
        <w:rPr>
          <w:rFonts w:eastAsia="Times New Roman" w:cstheme="minorHAnsi"/>
          <w:color w:val="000000"/>
          <w:bdr w:val="none" w:sz="0" w:space="0" w:color="auto" w:frame="1"/>
          <w:lang w:eastAsia="en-GB"/>
        </w:rPr>
        <w:t xml:space="preserve">4.1% (3.1% to 5.5%) </w:t>
      </w:r>
      <w:r w:rsidR="003B1F1F">
        <w:rPr>
          <w:rFonts w:cstheme="minorHAnsi"/>
        </w:rPr>
        <w:t>t</w:t>
      </w:r>
      <w:r w:rsidR="003B1F1F" w:rsidRPr="000B2C14">
        <w:rPr>
          <w:rFonts w:cstheme="minorHAnsi"/>
        </w:rPr>
        <w:t xml:space="preserve">o </w:t>
      </w:r>
      <w:r w:rsidR="00C62FCC" w:rsidRPr="00C62FCC">
        <w:rPr>
          <w:rFonts w:eastAsia="Times New Roman" w:cstheme="minorHAnsi"/>
          <w:color w:val="000000"/>
          <w:bdr w:val="none" w:sz="0" w:space="0" w:color="auto" w:frame="1"/>
          <w:lang w:eastAsia="en-GB"/>
        </w:rPr>
        <w:t xml:space="preserve">2.8% (1.7% to 4.7%) </w:t>
      </w:r>
      <w:r w:rsidR="003B1F1F" w:rsidRPr="000B2C14">
        <w:rPr>
          <w:rFonts w:cstheme="minorHAnsi"/>
        </w:rPr>
        <w:t>for TKR and from</w:t>
      </w:r>
      <w:r w:rsidR="003B1F1F">
        <w:rPr>
          <w:rFonts w:cstheme="minorHAnsi"/>
        </w:rPr>
        <w:t xml:space="preserve"> </w:t>
      </w:r>
      <w:r w:rsidR="00C62FCC" w:rsidRPr="00C62FCC">
        <w:rPr>
          <w:rFonts w:eastAsia="Times New Roman" w:cstheme="minorHAnsi"/>
          <w:color w:val="000000"/>
          <w:bdr w:val="none" w:sz="0" w:space="0" w:color="auto" w:frame="1"/>
          <w:lang w:eastAsia="en-GB"/>
        </w:rPr>
        <w:t xml:space="preserve">3.8% (2.8% to 5.3%) </w:t>
      </w:r>
      <w:r w:rsidR="003B1F1F">
        <w:rPr>
          <w:rFonts w:eastAsia="Times New Roman" w:cstheme="minorHAnsi"/>
          <w:color w:val="000000"/>
          <w:bdr w:val="none" w:sz="0" w:space="0" w:color="auto" w:frame="1"/>
          <w:lang w:eastAsia="en-GB"/>
        </w:rPr>
        <w:t xml:space="preserve">to </w:t>
      </w:r>
      <w:r w:rsidR="00C62FCC" w:rsidRPr="00C62FCC">
        <w:rPr>
          <w:rFonts w:eastAsia="Times New Roman" w:cstheme="minorHAnsi"/>
          <w:color w:val="000000"/>
          <w:bdr w:val="none" w:sz="0" w:space="0" w:color="auto" w:frame="1"/>
          <w:lang w:eastAsia="en-GB"/>
        </w:rPr>
        <w:t xml:space="preserve">2.9% (1.9% to 4.7%) </w:t>
      </w:r>
      <w:r w:rsidR="003B1F1F" w:rsidRPr="000B2C14">
        <w:rPr>
          <w:rFonts w:cstheme="minorHAnsi"/>
        </w:rPr>
        <w:t>for</w:t>
      </w:r>
      <w:r w:rsidR="003B1F1F">
        <w:t xml:space="preserve"> THR</w:t>
      </w:r>
      <w:r w:rsidR="002B114B">
        <w:t>.</w:t>
      </w:r>
    </w:p>
    <w:p w14:paraId="3C80FCD7" w14:textId="77777777" w:rsidR="00DB4ED0" w:rsidRDefault="004E619F" w:rsidP="00D148FF">
      <w:pPr>
        <w:pStyle w:val="Heading2"/>
        <w:spacing w:line="360" w:lineRule="auto"/>
      </w:pPr>
      <w:r>
        <w:t>Study f</w:t>
      </w:r>
      <w:r w:rsidR="00DB4ED0">
        <w:t>indings in context</w:t>
      </w:r>
    </w:p>
    <w:p w14:paraId="1427949D" w14:textId="3217EC89" w:rsidR="008B0AFE" w:rsidRDefault="00823148" w:rsidP="00405CA6">
      <w:pPr>
        <w:spacing w:line="360" w:lineRule="auto"/>
      </w:pPr>
      <w:r>
        <w:t>M</w:t>
      </w:r>
      <w:r w:rsidR="00512091">
        <w:t>ost studies have not found BMI to have a significant effect on</w:t>
      </w:r>
      <w:r w:rsidR="007B2AFF">
        <w:t xml:space="preserve"> the</w:t>
      </w:r>
      <w:r w:rsidR="00512091">
        <w:t xml:space="preserve"> overall risk of revision following THR or TKR.</w:t>
      </w:r>
      <w:r w:rsidR="00657149">
        <w:fldChar w:fldCharType="begin" w:fldLock="1"/>
      </w:r>
      <w:r w:rsidR="00171DD0">
        <w:instrText>ADDIN CSL_CITATION {"citationItems":[{"id":"ITEM-1","itemData":{"DOI":"10.1186/1471-2474-13-251","ISBN":"1471-2474 (Electronic)\\r1471-2474 (Linking)","ISSN":"1471-2474","PMID":"23241396","abstract":"Numerous papers have been published examining risk factors for revision of primary total hip arthroplasty (THA), but there have been no comprehensive systematic literature reviews that summarize the most recent findings across a broad range of potential predictors. We performed a PubMed search for papers published between January, 2000 and November, 2010 that provided data on risk factors for revision of primary THA. We collected data on revision for any reason, as well as on revision for aseptic loosening, infection, or dislocation. For each risk factor that was examined in at least three papers, we summarize the number and direction of statistically significant associations reported. Eighty-six papers were included in our review. Factors found to be associated with revision included younger age, greater comorbidity, a diagnosis of avascular necrosis (AVN) as compared to osteoarthritis (OA), low surgeon volume, and larger femoral head size. Male sex was associated with revision due to aseptic loosening and infection. Longer operating time was associated with revision due to infection. Smaller femoral head size was associated with revision due to dislocation. This systematic review of literature published between 2000 and 2010 identified a range of demographic, clinical, surgical, implant, and provider variables associated with the risk of revision following primary THA. These findings can inform discussions between surgeons and patients relating to the risks and benefits of undergoing total hip arthroplasty.","author":[{"dropping-particle":"","family":"Prokopetz","given":"Julian JZ","non-dropping-particle":"","parse-names":false,"suffix":""},{"dropping-particle":"","family":"Losina","given":"Elena","non-dropping-particle":"","parse-names":false,"suffix":""},{"dropping-particle":"","family":"Bliss","given":"Robin L","non-dropping-particle":"","parse-names":false,"suffix":""},{"dropping-particle":"","family":"Wright","given":"John","non-dropping-particle":"","parse-names":false,"suffix":""},{"dropping-particle":"","family":"Baron","given":"John A","non-dropping-particle":"","parse-names":false,"suffix":""},{"dropping-particle":"","family":"Katz","given":"Jeffrey N","non-dropping-particle":"","parse-names":false,"suffix":""}],"container-title":"BMC Musculoskeletal Disorders","id":"ITEM-1","issue":"1","issued":{"date-parts":[["2012"]]},"page":"251","title":"Risk factors for revision of primary total hip arthroplasty: a systematic review","type":"article-journal","volume":"13"},"uris":["http://www.mendeley.com/documents/?uuid=7218ac75-4c0b-4727-b567-c0274d5dc7d5"]},{"id":"ITEM-2","itemData":{"DOI":"10.2106/JBJS.K.00820","ISSN":"0021-9355","PMID":"23079875","abstract":"BACKGROUND The increase in the number of individuals with an unhealthy high body weight is particularly relevant in the United States. Obesity (body mass index ≥ 30 kg/m2) is a well-documented risk factor for the development of osteoarthritis. Furthermore, an increased prevalence of total knee arthroplasty in obese individuals has been observed in the last decades. The primary aim of this systematic literature review was to determine whether obesity has a negative influence on outcome after primary total knee arthroplasty. METHODS A search of the literature was performed, and studies comparing the outcome of total knee arthroplasty in different weight groups were included. The methodology of the included studies was scored according to the Cochrane guidelines. Data extraction and pooling were performed. The weighted mean difference for continuous data and the weighted odds ratio for dichotomous variables were calculated. Heterogeneity was calculated with use of the I2 statistic. RESULTS After consensus was reached, twenty studies were included in the data analysis. The presence of any infection was reported in fourteen studies including 15,276 patients (I2, 26%). Overall, infection occurred more often in obese patients, with an odds ratio of 1.90 (95% confidence interval [CI], 1.46 to 2.47). Deep infection requiring surgical debridement was reported in nine studies including 5061 patients (I2, 0%). Deep infection occurred more often in obese patients, with an odds ratio of 2.38 (95% CI, 1.28 to 4.55). Revision of the total knee arthroplasty, defined as exchange or removal of the components for any reason, was documented in eleven studies including 12,101 patients (I2, 25%). Revision for any reason occurred more often in obese patients, with an odds ratio of 1.30 (95% CI, 1.02 to 1.67). CONCLUSIONS Obesity had a negative influence on outcome after total knee arthroplasty.","author":[{"dropping-particle":"","family":"Kerkhoffs","given":"Gino M.M.J.","non-dropping-particle":"","parse-names":false,"suffix":""},{"dropping-particle":"","family":"Servien","given":"Elvire","non-dropping-particle":"","parse-names":false,"suffix":""},{"dropping-particle":"","family":"Dunn","given":"Warren","non-dropping-particle":"","parse-names":false,"suffix":""},{"dropping-particle":"","family":"Dahm","given":"Diane","non-dropping-particle":"","parse-names":false,"suffix":""},{"dropping-particle":"","family":"Bramer","given":"Jos AM","non-dropping-particle":"","parse-names":false,"suffix":""},{"dropping-particle":"","family":"Haverkamp","given":"Daniel","non-dropping-particle":"","parse-names":false,"suffix":""}],"container-title":"The Journal of Bone and Joint Surgery-American Volume","id":"ITEM-2","issue":"20","issued":{"date-parts":[["2012"]]},"page":"1839-1844","title":"The Influence of Obesity on the Complication Rate and Outcome of Total Knee Arthroplasty","type":"article-journal","volume":"94"},"uris":["http://www.mendeley.com/documents/?uuid=18efbaee-19fe-4f87-b826-ef9256528a85"]}],"mendeley":{"formattedCitation":"[26,27]","plainTextFormattedCitation":"[26,27]","previouslyFormattedCitation":"[26,27]"},"properties":{"noteIndex":0},"schema":"https://github.com/citation-style-language/schema/raw/master/csl-citation.json"}</w:instrText>
      </w:r>
      <w:r w:rsidR="00657149">
        <w:fldChar w:fldCharType="separate"/>
      </w:r>
      <w:r w:rsidR="00171DD0" w:rsidRPr="00171DD0">
        <w:rPr>
          <w:noProof/>
        </w:rPr>
        <w:t>[26,27]</w:t>
      </w:r>
      <w:r w:rsidR="00657149">
        <w:fldChar w:fldCharType="end"/>
      </w:r>
      <w:r w:rsidR="00512091">
        <w:t xml:space="preserve"> </w:t>
      </w:r>
      <w:r>
        <w:t xml:space="preserve">However, </w:t>
      </w:r>
      <w:r w:rsidR="00512091">
        <w:t xml:space="preserve">a large cohort study </w:t>
      </w:r>
      <w:r w:rsidR="008B0AFE">
        <w:t xml:space="preserve">using </w:t>
      </w:r>
      <w:r>
        <w:t xml:space="preserve">primary care data </w:t>
      </w:r>
      <w:r w:rsidR="008B0AFE">
        <w:t xml:space="preserve">found </w:t>
      </w:r>
      <w:r w:rsidR="00512091">
        <w:t>higher BMI to be associated with a small but significant in</w:t>
      </w:r>
      <w:r>
        <w:t>crease in risk of revision</w:t>
      </w:r>
      <w:r w:rsidR="00CB7297">
        <w:t>,</w:t>
      </w:r>
      <w:r>
        <w:t xml:space="preserve"> with an additional unit of BMI associated with </w:t>
      </w:r>
      <w:r w:rsidR="00CB7297">
        <w:t>HRs</w:t>
      </w:r>
      <w:r>
        <w:t xml:space="preserve"> of 1.02 for both TKR and THR.</w:t>
      </w:r>
      <w:r>
        <w:fldChar w:fldCharType="begin" w:fldLock="1"/>
      </w:r>
      <w:r w:rsidR="00171DD0">
        <w:instrText>ADDIN CSL_CITATION {"citationItems":[{"id":"ITEM-1","itemData":{"DOI":"10.1136/bmjopen-2013-003614","ISBN":"2044-6055","ISSN":"2044-6055","PMID":"24285628","abstract":"OBJECTIVES: Against a backdrop of rising levels of obesity, we describe and estimate associations of body mass index (BMI), age and gender with time to revision for participants undergoing primary total hip (THR) or knee (TKR) replacement in the UK.\\n\\nDESIGN: Population-based cohort study.\\n\\nSETTING: Routinely collected primary care data from a representative sample of general practices, including linked data on all secondary care events.\\n\\nPARTICIPANTS: Population-based cohort study of 63 162 patients with THR and 54 276 with TKR in the UK General Practice Research Database between 1988 and 2011.\\n\\nPRIMARY AND SECONDARY OUTCOMES: Risk of THR and TKR revision associated with BMI, age and gender, after adjusting for the competing risk of death.\\n\\nRESULTS: The 5-year cumulative incidence rate for THR was 2.2% for men and 1.8% for women (TKR 2.3% for men, 1.6% for women). The adjusted overall subhazard ratio (SHR) for patients with THR undergoing subsequent hip revision surgery, with a competing risk of death, were estimated at 1.020 (95% CI 1.009 to 1.032) per additional unit (kg/m(2)) of BMI, 1.23 (95% CI 1.10 to 1.38) for men compared with women and 0.970 (95% CI 0.967 to 0.973) per additional year of age. For patients with TKR, the equivalent estimates were 1.015 (95% CI 1.002 to 1.028) for BMI; 1.51 (95% CI 1.32 to 1.73) for gender and 0.957 (95% CI 0.951 to 0.962) for age. Morbidly obese patients with THR had a 65.5% increase (95% CI 15.4% to 137.3%, p=0.006) in the subhazard of revision versus the normal BMI group (18.5-25). The effect for TKR was smaller (a 43.9% increase) and weaker (95% CI 2.6% to 103.9%, p=0.040).\\n\\nCONCLUSIONS: BMI is estimated to have a small but statistically significant association with the risk of hip and knee revision, but absolute numbers are small. Further studies are needed in order to distinguish between effects for specific revision surgery indications.","author":[{"dropping-particle":"","family":"Culliford","given":"David","non-dropping-particle":"","parse-names":false,"suffix":""},{"dropping-particle":"","family":"Maskell","given":"Joe","non-dropping-particle":"","parse-names":false,"suffix":""},{"dropping-particle":"","family":"Judge","given":"Andy","non-dropping-particle":"","parse-names":false,"suffix":""},{"dropping-particle":"","family":"Arden","given":"Nigel K","non-dropping-particle":"","parse-names":false,"suffix":""}],"container-title":"BMJ open","id":"ITEM-1","issue":"11","issued":{"date-parts":[["2013"]]},"page":"e003614","title":"A population-based survival analysis describing the association of body mass index on time to revision for total hip and knee replacements: results from the UK general practice research database.","type":"article-journal","volume":"3"},"uris":["http://www.mendeley.com/documents/?uuid=c0f420d1-2342-47aa-9f3c-f5a98c5083b0"]}],"mendeley":{"formattedCitation":"[28]","plainTextFormattedCitation":"[28]","previouslyFormattedCitation":"[28]"},"properties":{"noteIndex":0},"schema":"https://github.com/citation-style-language/schema/raw/master/csl-citation.json"}</w:instrText>
      </w:r>
      <w:r>
        <w:fldChar w:fldCharType="separate"/>
      </w:r>
      <w:r w:rsidR="00171DD0" w:rsidRPr="00171DD0">
        <w:rPr>
          <w:noProof/>
        </w:rPr>
        <w:t>[28]</w:t>
      </w:r>
      <w:r>
        <w:fldChar w:fldCharType="end"/>
      </w:r>
      <w:r>
        <w:t xml:space="preserve"> This </w:t>
      </w:r>
      <w:r w:rsidR="006F637B">
        <w:t xml:space="preserve">previous </w:t>
      </w:r>
      <w:r>
        <w:t xml:space="preserve">finding </w:t>
      </w:r>
      <w:r w:rsidR="006F637B">
        <w:t xml:space="preserve">agrees </w:t>
      </w:r>
      <w:r>
        <w:t>with the point estimate for THR and falls within the confidence interval for TKR</w:t>
      </w:r>
      <w:r w:rsidR="006F637B">
        <w:t xml:space="preserve"> found here</w:t>
      </w:r>
      <w:r>
        <w:t xml:space="preserve">. </w:t>
      </w:r>
    </w:p>
    <w:p w14:paraId="5FD1D853" w14:textId="69FFDF85" w:rsidR="00A55296" w:rsidRDefault="008B0AFE" w:rsidP="0056662A">
      <w:pPr>
        <w:spacing w:line="360" w:lineRule="auto"/>
      </w:pPr>
      <w:r>
        <w:lastRenderedPageBreak/>
        <w:t>T</w:t>
      </w:r>
      <w:r w:rsidR="00823148">
        <w:t xml:space="preserve">here is </w:t>
      </w:r>
      <w:r>
        <w:t xml:space="preserve">also </w:t>
      </w:r>
      <w:r w:rsidR="00823148">
        <w:t xml:space="preserve">evidence that </w:t>
      </w:r>
      <w:r w:rsidR="006F637B">
        <w:t xml:space="preserve">the </w:t>
      </w:r>
      <w:r w:rsidR="00823148">
        <w:t xml:space="preserve">risk of revision </w:t>
      </w:r>
      <w:r w:rsidR="000E29B7">
        <w:t xml:space="preserve">is </w:t>
      </w:r>
      <w:r w:rsidR="00823148">
        <w:t>particularly increased for higher levels of</w:t>
      </w:r>
      <w:r w:rsidR="000E29B7">
        <w:t xml:space="preserve"> BMI.</w:t>
      </w:r>
      <w:r w:rsidR="0056662A">
        <w:t xml:space="preserve"> A meta-analysis of studies assessing the impact of obesity on risk of revision after TKR found that </w:t>
      </w:r>
      <w:r w:rsidR="004444BA">
        <w:t>a BMI over 30 was associated with an increased risk of revision</w:t>
      </w:r>
      <w:r>
        <w:t>,</w:t>
      </w:r>
      <w:r w:rsidR="004444BA">
        <w:t xml:space="preserve"> relative to </w:t>
      </w:r>
      <w:r w:rsidR="006F637B">
        <w:t xml:space="preserve">a </w:t>
      </w:r>
      <w:r w:rsidR="004444BA">
        <w:t>BMI under 30.</w:t>
      </w:r>
      <w:r w:rsidR="004444BA">
        <w:fldChar w:fldCharType="begin" w:fldLock="1"/>
      </w:r>
      <w:r w:rsidR="00171DD0">
        <w:instrText>ADDIN CSL_CITATION {"citationItems":[{"id":"ITEM-1","itemData":{"DOI":"10.2106/JBJS.K.00820","ISSN":"0021-9355","PMID":"23079875","abstract":"BACKGROUND The increase in the number of individuals with an unhealthy high body weight is particularly relevant in the United States. Obesity (body mass index ≥ 30 kg/m2) is a well-documented risk factor for the development of osteoarthritis. Furthermore, an increased prevalence of total knee arthroplasty in obese individuals has been observed in the last decades. The primary aim of this systematic literature review was to determine whether obesity has a negative influence on outcome after primary total knee arthroplasty. METHODS A search of the literature was performed, and studies comparing the outcome of total knee arthroplasty in different weight groups were included. The methodology of the included studies was scored according to the Cochrane guidelines. Data extraction and pooling were performed. The weighted mean difference for continuous data and the weighted odds ratio for dichotomous variables were calculated. Heterogeneity was calculated with use of the I2 statistic. RESULTS After consensus was reached, twenty studies were included in the data analysis. The presence of any infection was reported in fourteen studies including 15,276 patients (I2, 26%). Overall, infection occurred more often in obese patients, with an odds ratio of 1.90 (95% confidence interval [CI], 1.46 to 2.47). Deep infection requiring surgical debridement was reported in nine studies including 5061 patients (I2, 0%). Deep infection occurred more often in obese patients, with an odds ratio of 2.38 (95% CI, 1.28 to 4.55). Revision of the total knee arthroplasty, defined as exchange or removal of the components for any reason, was documented in eleven studies including 12,101 patients (I2, 25%). Revision for any reason occurred more often in obese patients, with an odds ratio of 1.30 (95% CI, 1.02 to 1.67). CONCLUSIONS Obesity had a negative influence on outcome after total knee arthroplasty.","author":[{"dropping-particle":"","family":"Kerkhoffs","given":"Gino M.M.J.","non-dropping-particle":"","parse-names":false,"suffix":""},{"dropping-particle":"","family":"Servien","given":"Elvire","non-dropping-particle":"","parse-names":false,"suffix":""},{"dropping-particle":"","family":"Dunn","given":"Warren","non-dropping-particle":"","parse-names":false,"suffix":""},{"dropping-particle":"","family":"Dahm","given":"Diane","non-dropping-particle":"","parse-names":false,"suffix":""},{"dropping-particle":"","family":"Bramer","given":"Jos AM","non-dropping-particle":"","parse-names":false,"suffix":""},{"dropping-particle":"","family":"Haverkamp","given":"Daniel","non-dropping-particle":"","parse-names":false,"suffix":""}],"container-title":"The Journal of Bone and Joint Surgery-American Volume","id":"ITEM-1","issue":"20","issued":{"date-parts":[["2012"]]},"page":"1839-1844","title":"The Influence of Obesity on the Complication Rate and Outcome of Total Knee Arthroplasty","type":"article-journal","volume":"94"},"uris":["http://www.mendeley.com/documents/?uuid=18efbaee-19fe-4f87-b826-ef9256528a85"]}],"mendeley":{"formattedCitation":"[27]","plainTextFormattedCitation":"[27]","previouslyFormattedCitation":"[27]"},"properties":{"noteIndex":0},"schema":"https://github.com/citation-style-language/schema/raw/master/csl-citation.json"}</w:instrText>
      </w:r>
      <w:r w:rsidR="004444BA">
        <w:fldChar w:fldCharType="separate"/>
      </w:r>
      <w:r w:rsidR="00171DD0" w:rsidRPr="00171DD0">
        <w:rPr>
          <w:noProof/>
        </w:rPr>
        <w:t>[27]</w:t>
      </w:r>
      <w:r w:rsidR="004444BA">
        <w:fldChar w:fldCharType="end"/>
      </w:r>
      <w:r w:rsidR="000E29B7">
        <w:t xml:space="preserve"> </w:t>
      </w:r>
      <w:r>
        <w:t>I</w:t>
      </w:r>
      <w:r w:rsidR="000E29B7">
        <w:t xml:space="preserve">ndividuals with morbid obesity (BMI greater than or equal to 40) have previously been found to have a significantly increased risk of revision for </w:t>
      </w:r>
      <w:r w:rsidR="000E29B7" w:rsidRPr="00823148">
        <w:t>THR.</w:t>
      </w:r>
      <w:r w:rsidR="000E29B7" w:rsidRPr="00823148">
        <w:fldChar w:fldCharType="begin" w:fldLock="1"/>
      </w:r>
      <w:r w:rsidR="00171DD0">
        <w:instrText>ADDIN CSL_CITATION {"citationItems":[{"id":"ITEM-1","itemData":{"DOI":"https://dx.doi.org/10.1016/j.arth.2017.05.014","ISSN":"1532-8406","PMID":"28583759","abstract":"BACKGROUND: Although it has been shown that morbidly obese patients experience good outcomes following primary total hip arthroplasty (THA), it is unclear whether this also applies to revision surgery. The purpose of this study was to examine the effect of a high body mass index (BMI) on the outcome of revision THA., METHODS: We identified 56 patients with a BMI &gt;40 kg/m2 who had undergone revision THA between 1994 and 2009 at our hospital (group B). Mean age, BMI, and follow-up were 66.4 years, 45.7 kg/m2, and 11.7 years, respectively. This was matched with a second group of patients with a BMI between 30 and 40 kg/m2 according to age, gender, and date of index procedure (group A). Mean age, BMI, and follow-up were 66.6 years, 33.6 kg/m2, and 12 years, respectively. Outcome measures included the rate of subsequent revision, implant survival, and the Harris hip score (HHS)., RESULTS: Patients with a BMI &gt;40 kg/m2 had a significantly increased risk of revision surgery (27% vs 12%, P = .036). Cumulative implant survival was 85% (95% CI, 69-92) in group A and 69% (95% CI, 54-80) in group B at 15 years. HHS increased significantly following surgery in both groups (group A: 26.3-79.3) and (group B: 37.6-69.9; P &lt; .001). However, HHS at last follow-up was significantly higher in group A (79.3 vs 69.9, P = .042)., CONCLUSION: Morbid obesity appears to be associated with an increased risk of failure and lower functional scores following revision THA. Patients should be well informed of this before surgery.Copyright © 2017 Elsevier Inc. All rights reserved.","author":[{"dropping-particle":"","family":"Hanna","given":"Sammy A","non-dropping-particle":"","parse-names":false,"suffix":""},{"dropping-particle":"","family":"McCalden","given":"Richard W","non-dropping-particle":"","parse-names":false,"suffix":""},{"dropping-particle":"","family":"Somerville","given":"Lyndsay","non-dropping-particle":"","parse-names":false,"suffix":""},{"dropping-particle":"","family":"Howard","given":"James L","non-dropping-particle":"","parse-names":false,"suffix":""},{"dropping-particle":"","family":"Naudie","given":"Douglas D","non-dropping-particle":"","parse-names":false,"suffix":""},{"dropping-particle":"","family":"MacDonald","given":"Steven J","non-dropping-particle":"","parse-names":false,"suffix":""}],"container-title":"The Journal of arthroplasty","id":"ITEM-1","issue":"10","issued":{"date-parts":[["2017"]]},"page":"3098-3101","publisher":"Elsevier Ltd","title":"Morbid Obesity Is a Significant Risk of Failure Following Revision Total Hip Arthroplasty.","type":"article-journal","volume":"32"},"uris":["http://www.mendeley.com/documents/?uuid=2bad3959-bc29-47de-b0d1-24cc951a1179"]}],"mendeley":{"formattedCitation":"[29]","plainTextFormattedCitation":"[29]","previouslyFormattedCitation":"[29]"},"properties":{"noteIndex":0},"schema":"https://github.com/citation-style-language/schema/raw/master/csl-citation.json"}</w:instrText>
      </w:r>
      <w:r w:rsidR="000E29B7" w:rsidRPr="00823148">
        <w:fldChar w:fldCharType="separate"/>
      </w:r>
      <w:r w:rsidR="00171DD0" w:rsidRPr="00171DD0">
        <w:rPr>
          <w:noProof/>
        </w:rPr>
        <w:t>[29]</w:t>
      </w:r>
      <w:r w:rsidR="000E29B7" w:rsidRPr="00823148">
        <w:fldChar w:fldCharType="end"/>
      </w:r>
      <w:r w:rsidR="00823148">
        <w:t xml:space="preserve"> The merit of incorporating</w:t>
      </w:r>
      <w:r w:rsidR="000E29B7" w:rsidRPr="00823148">
        <w:t xml:space="preserve"> a non-linear relationship</w:t>
      </w:r>
      <w:r w:rsidR="00823148">
        <w:t xml:space="preserve"> between BMI and risk of revision</w:t>
      </w:r>
      <w:r w:rsidR="000E29B7" w:rsidRPr="00823148">
        <w:t xml:space="preserve"> was considered </w:t>
      </w:r>
      <w:r w:rsidR="006F637B">
        <w:t>for</w:t>
      </w:r>
      <w:r w:rsidR="000E29B7" w:rsidRPr="00823148">
        <w:t xml:space="preserve"> this study</w:t>
      </w:r>
      <w:r>
        <w:t>.</w:t>
      </w:r>
      <w:r w:rsidR="000E29B7" w:rsidRPr="00823148">
        <w:t xml:space="preserve"> </w:t>
      </w:r>
      <w:r>
        <w:t xml:space="preserve">However, </w:t>
      </w:r>
      <w:r w:rsidR="000E29B7" w:rsidRPr="00823148">
        <w:t>t</w:t>
      </w:r>
      <w:r w:rsidR="00823148" w:rsidRPr="00823148">
        <w:t xml:space="preserve">here was </w:t>
      </w:r>
      <w:r w:rsidR="00823148">
        <w:t>in</w:t>
      </w:r>
      <w:r w:rsidR="000E29B7" w:rsidRPr="00823148">
        <w:t>sufficient evidence to warrant its inclusion</w:t>
      </w:r>
      <w:r>
        <w:t xml:space="preserve">, possibly because few </w:t>
      </w:r>
      <w:r w:rsidR="000E29B7" w:rsidRPr="00823148">
        <w:t xml:space="preserve">patients in the cohort </w:t>
      </w:r>
      <w:r>
        <w:t>were</w:t>
      </w:r>
      <w:r w:rsidR="000E29B7" w:rsidRPr="00823148">
        <w:t xml:space="preserve"> morbidly obese at </w:t>
      </w:r>
      <w:r>
        <w:t xml:space="preserve">the </w:t>
      </w:r>
      <w:r w:rsidR="000E29B7" w:rsidRPr="00823148">
        <w:t>time of surgery.</w:t>
      </w:r>
      <w:r w:rsidR="000E29B7">
        <w:t xml:space="preserve"> </w:t>
      </w:r>
    </w:p>
    <w:p w14:paraId="50BB2803" w14:textId="44909DDA" w:rsidR="00006854" w:rsidRDefault="00405CA6" w:rsidP="00405CA6">
      <w:pPr>
        <w:spacing w:line="360" w:lineRule="auto"/>
      </w:pPr>
      <w:r>
        <w:t xml:space="preserve">The association between smoking status and outcomes following TKR and THR has not been studied </w:t>
      </w:r>
      <w:r w:rsidR="00436735">
        <w:t>to the same extent as other risk factors</w:t>
      </w:r>
      <w:r w:rsidR="00CB7297">
        <w:t>. S</w:t>
      </w:r>
      <w:r>
        <w:t xml:space="preserve">tudies </w:t>
      </w:r>
      <w:r w:rsidR="008B0AFE">
        <w:t>that</w:t>
      </w:r>
      <w:r>
        <w:t xml:space="preserve"> have</w:t>
      </w:r>
      <w:r w:rsidR="00436735">
        <w:t xml:space="preserve"> considered the effect of smoking on outcomes</w:t>
      </w:r>
      <w:r>
        <w:t xml:space="preserve"> have generally </w:t>
      </w:r>
      <w:r w:rsidR="008B0AFE">
        <w:t xml:space="preserve">not </w:t>
      </w:r>
      <w:r>
        <w:t xml:space="preserve">had sufficient </w:t>
      </w:r>
      <w:r w:rsidR="001802B8">
        <w:t>follow-up</w:t>
      </w:r>
      <w:r w:rsidR="00F431FF">
        <w:t xml:space="preserve"> to study</w:t>
      </w:r>
      <w:r w:rsidR="00312FE6">
        <w:t xml:space="preserve"> the long-term</w:t>
      </w:r>
      <w:r w:rsidR="00F431FF">
        <w:t xml:space="preserve"> risk of revision.</w:t>
      </w:r>
      <w:r w:rsidR="00F431FF">
        <w:fldChar w:fldCharType="begin" w:fldLock="1"/>
      </w:r>
      <w:r w:rsidR="00171DD0">
        <w:instrText>ADDIN CSL_CITATION {"citationItems":[{"id":"ITEM-1","itemData":{"DOI":"10.3899/jrheum.101221.Smoking","abstract":"Objective. Studies have suggested higher rates of perioperative and postoperative complications in smokers compared to nonsmokers. The objective of this systematic review was to assess the associ- ation of smoking and postoperative outcomes following total hip arthroplasty (THA) or total knee arthroplasty (TKA). Methods. A search of 6 databases (The Cochrane Library, Scopus, Proquest Dissertation abstracts, CINAHL, Ovid Medline, and Embase) was performed by a Cochrane librarian. All titles and abstracts were screened by 2 independent reviewers with expertise in performing systematic reviews. Studies were included if they were fully published reports that included smoking and any perioperative or postoperative clinical outcome in patients with TKA or THA. Results.A total of 21 studies were included for the review, of which 6 provided multivariable-adjust- ed analyses, 14 univariate analyses, and one statistical modeling. For most outcomes, results from 1–2 studies could be pooled. Current smokers were significantly more likely to have any postoper- ative complication (risk ratio 1.24, 95% CI 1.01 to 1.54) and death (risk ratio 1.63, 95% CI 1.06 to 2.51) compared to nonsmokers. Former smokers were significantly more likely to have any post-operative complication (risk ratio 1.32, 95% CI 1.05 to 1.66) and death (risk ratio 1.69, 95% CI 1.08 to 2.64) compared to nonsmokers. Conclusion. This systematic review found that smoking is associated with significantly higher risk of postoperative complication and mortality following TKA or THA. Studies examining longterm consequences of smoking on implant survival and complications are needed. Smoking cessation may improve outcomes after THA or TKA. (First Release June 1 2011; J Rheumatol 2011;38:1824–34; doi:10.3899/jrheum.101221) Key","author":[{"dropping-particle":"","family":"Singh","given":"Jasvinder A.","non-dropping-particle":"","parse-names":false,"suffix":""}],"container-title":"J Rheumatol","id":"ITEM-1","issue":"9","issued":{"date-parts":[["2011"]]},"page":"1824-1834","title":"Smoking and Outcomes after Knee and Hip Arthroplasty: A Systematic Review","type":"article-journal","volume":"38"},"uris":["http://www.mendeley.com/documents/?uuid=42f417db-7b3e-4f4c-bd46-205bc56d25ab"]}],"mendeley":{"formattedCitation":"[30]","plainTextFormattedCitation":"[30]","previouslyFormattedCitation":"[30]"},"properties":{"noteIndex":0},"schema":"https://github.com/citation-style-language/schema/raw/master/csl-citation.json"}</w:instrText>
      </w:r>
      <w:r w:rsidR="00F431FF">
        <w:fldChar w:fldCharType="separate"/>
      </w:r>
      <w:r w:rsidR="00171DD0" w:rsidRPr="00171DD0">
        <w:rPr>
          <w:noProof/>
        </w:rPr>
        <w:t>[30]</w:t>
      </w:r>
      <w:r w:rsidR="00F431FF">
        <w:fldChar w:fldCharType="end"/>
      </w:r>
      <w:r w:rsidR="00F431FF">
        <w:t xml:space="preserve"> </w:t>
      </w:r>
      <w:r w:rsidR="000032C7">
        <w:t xml:space="preserve">In contrast to </w:t>
      </w:r>
      <w:r w:rsidR="008B0AFE">
        <w:t>our</w:t>
      </w:r>
      <w:r w:rsidR="000032C7">
        <w:t xml:space="preserve"> findings, </w:t>
      </w:r>
      <w:r w:rsidR="00006854">
        <w:t>heavy smok</w:t>
      </w:r>
      <w:r w:rsidR="008B0AFE">
        <w:t>ing</w:t>
      </w:r>
      <w:r w:rsidR="00006854">
        <w:t xml:space="preserve"> </w:t>
      </w:r>
      <w:r w:rsidR="000032C7">
        <w:t xml:space="preserve">was </w:t>
      </w:r>
      <w:r w:rsidR="00006854">
        <w:t>associated with an increased risk of revision</w:t>
      </w:r>
      <w:r w:rsidR="000032C7">
        <w:t xml:space="preserve"> </w:t>
      </w:r>
      <w:r w:rsidR="008B0AFE">
        <w:t>after</w:t>
      </w:r>
      <w:r w:rsidR="000032C7">
        <w:t xml:space="preserve"> THR</w:t>
      </w:r>
      <w:r w:rsidR="00006854">
        <w:t xml:space="preserve"> in one study.</w:t>
      </w:r>
      <w:r w:rsidR="000032C7">
        <w:fldChar w:fldCharType="begin" w:fldLock="1"/>
      </w:r>
      <w:r w:rsidR="00171DD0">
        <w:instrText>ADDIN CSL_CITATION {"citationItems":[{"id":"ITEM-1","itemData":{"DOI":"10.3109/17453679708996686","ISBN":"0001-6470","ISSN":"0001-6470","PMID":"9246978","abstract":"In this population register-based, matched case-control study, we assessed patient-related factors and early risk of revision after total hip replacement (THR). Information was obtained via a mall survey among patients reported to the Norwegian Arthroplasty Register during the period 1987-1993. The study included 674 revised hips, as cases, and 1,343 hips with a primary operation only, as controls. Completed questionnaires were received from 81% of the 2,017 individual cases and controls. We identified a set of patient-related factors associated with poor THR prognosis. Increasing weight was a risk factor among male patients older than 67 years who were more than 1.77 m tall (p = 0.01). Smoking had no overall effect, but former heavy smokers had an increased risk of 2.8 compared to never-smokers. Alcohol intake was associated with an increased risk of dislocation. Revision due to infection was commoner among patients taking anti-diabetic drugs (OR = 14) than among patients taking no medication. An increased overall revision risk was found among patients using systemic steroids (OR = 2.8) or local pulmonary steroids (OR = 6.0). The risk also increased in male patients performing regular exercise before the primary operation (OR = 2.6), and in female patients of working-age doing heavy work (OR = 1.9).","author":[{"dropping-particle":"","family":"Espehaug","given":"B","non-dropping-particle":"","parse-names":false,"suffix":""},{"dropping-particle":"","family":"Havelin","given":"L I","non-dropping-particle":"","parse-names":false,"suffix":""},{"dropping-particle":"","family":"Engesaeter","given":"L B","non-dropping-particle":"","parse-names":false,"suffix":""},{"dropping-particle":"","family":"Langeland","given":"N","non-dropping-particle":"","parse-names":false,"suffix":""},{"dropping-particle":"","family":"Vollset","given":"S E","non-dropping-particle":"","parse-names":false,"suffix":""}],"container-title":"Acta orthopaedica Scandinavica","id":"ITEM-1","issue":"3","issued":{"date-parts":[["1997"]]},"page":"207-15","title":"Patient-related risk factors for early revision of total hip replacements. A population register-based case-control study of 674 revised hips.","type":"article-journal","volume":"68"},"uris":["http://www.mendeley.com/documents/?uuid=d8aaf515-33e3-46d4-b40d-8dcfcd992928"]}],"mendeley":{"formattedCitation":"[31]","plainTextFormattedCitation":"[31]","previouslyFormattedCitation":"[31]"},"properties":{"noteIndex":0},"schema":"https://github.com/citation-style-language/schema/raw/master/csl-citation.json"}</w:instrText>
      </w:r>
      <w:r w:rsidR="000032C7">
        <w:fldChar w:fldCharType="separate"/>
      </w:r>
      <w:r w:rsidR="00171DD0" w:rsidRPr="00171DD0">
        <w:rPr>
          <w:noProof/>
        </w:rPr>
        <w:t>[31]</w:t>
      </w:r>
      <w:r w:rsidR="000032C7">
        <w:fldChar w:fldCharType="end"/>
      </w:r>
    </w:p>
    <w:p w14:paraId="3349D3D9" w14:textId="519A656F" w:rsidR="00E637E0" w:rsidRDefault="009B46F8" w:rsidP="00581C49">
      <w:pPr>
        <w:pStyle w:val="Heading2"/>
        <w:spacing w:line="360" w:lineRule="auto"/>
      </w:pPr>
      <w:r>
        <w:t>Strengths and l</w:t>
      </w:r>
      <w:r w:rsidR="004E619F">
        <w:t>imitations</w:t>
      </w:r>
      <w:r w:rsidR="00606D16">
        <w:t xml:space="preserve"> of this study</w:t>
      </w:r>
    </w:p>
    <w:p w14:paraId="4EF379E5" w14:textId="31AB6AFC" w:rsidR="00581C49" w:rsidRDefault="009B46F8" w:rsidP="00581C49">
      <w:pPr>
        <w:spacing w:line="360" w:lineRule="auto"/>
      </w:pPr>
      <w:r>
        <w:t xml:space="preserve">This study </w:t>
      </w:r>
      <w:r w:rsidR="008903E3">
        <w:t>was</w:t>
      </w:r>
      <w:r>
        <w:t xml:space="preserve"> informed by</w:t>
      </w:r>
      <w:r w:rsidR="00854C53">
        <w:t xml:space="preserve"> a large cohort derived from</w:t>
      </w:r>
      <w:r>
        <w:t xml:space="preserve"> routinely</w:t>
      </w:r>
      <w:r w:rsidR="008903E3">
        <w:t xml:space="preserve"> </w:t>
      </w:r>
      <w:r>
        <w:t xml:space="preserve">collected data. </w:t>
      </w:r>
      <w:r w:rsidR="008903E3">
        <w:rPr>
          <w:szCs w:val="24"/>
        </w:rPr>
        <w:t>T</w:t>
      </w:r>
      <w:r w:rsidR="00581C49">
        <w:rPr>
          <w:szCs w:val="24"/>
        </w:rPr>
        <w:t xml:space="preserve">he accuracy of </w:t>
      </w:r>
      <w:r w:rsidR="008903E3">
        <w:rPr>
          <w:szCs w:val="24"/>
        </w:rPr>
        <w:t xml:space="preserve">the </w:t>
      </w:r>
      <w:r w:rsidR="00581C49">
        <w:rPr>
          <w:szCs w:val="24"/>
        </w:rPr>
        <w:t>coding</w:t>
      </w:r>
      <w:r w:rsidR="008903E3">
        <w:rPr>
          <w:szCs w:val="24"/>
        </w:rPr>
        <w:t xml:space="preserve"> in such datasets is a concern</w:t>
      </w:r>
      <w:r w:rsidR="00581C49">
        <w:rPr>
          <w:szCs w:val="24"/>
        </w:rPr>
        <w:t>, as</w:t>
      </w:r>
      <w:r w:rsidR="00581C49" w:rsidRPr="00581C49">
        <w:rPr>
          <w:szCs w:val="24"/>
        </w:rPr>
        <w:t xml:space="preserve"> </w:t>
      </w:r>
      <w:r w:rsidR="008903E3">
        <w:rPr>
          <w:szCs w:val="24"/>
        </w:rPr>
        <w:t xml:space="preserve">the </w:t>
      </w:r>
      <w:r w:rsidR="00581C49" w:rsidRPr="00581C49">
        <w:rPr>
          <w:szCs w:val="24"/>
        </w:rPr>
        <w:t xml:space="preserve">data </w:t>
      </w:r>
      <w:r w:rsidR="008903E3">
        <w:rPr>
          <w:szCs w:val="24"/>
        </w:rPr>
        <w:t xml:space="preserve">are not </w:t>
      </w:r>
      <w:r w:rsidR="00581C49" w:rsidRPr="00581C49">
        <w:rPr>
          <w:szCs w:val="24"/>
        </w:rPr>
        <w:t>collect</w:t>
      </w:r>
      <w:r w:rsidR="008903E3">
        <w:rPr>
          <w:szCs w:val="24"/>
        </w:rPr>
        <w:t>ed</w:t>
      </w:r>
      <w:r w:rsidR="00581C49" w:rsidRPr="00581C49">
        <w:rPr>
          <w:szCs w:val="24"/>
        </w:rPr>
        <w:t xml:space="preserve"> primarily for research purposes. </w:t>
      </w:r>
      <w:r w:rsidR="008903E3">
        <w:rPr>
          <w:szCs w:val="24"/>
        </w:rPr>
        <w:t>We used v</w:t>
      </w:r>
      <w:r w:rsidR="00581C49" w:rsidRPr="00581C49">
        <w:rPr>
          <w:szCs w:val="24"/>
        </w:rPr>
        <w:t>alidate</w:t>
      </w:r>
      <w:r w:rsidR="00581C49">
        <w:rPr>
          <w:szCs w:val="24"/>
        </w:rPr>
        <w:t>d codes w</w:t>
      </w:r>
      <w:r w:rsidR="00581C49" w:rsidRPr="00581C49">
        <w:rPr>
          <w:szCs w:val="24"/>
        </w:rPr>
        <w:t>here possible</w:t>
      </w:r>
      <w:r w:rsidR="008903E3">
        <w:rPr>
          <w:szCs w:val="24"/>
        </w:rPr>
        <w:t>.</w:t>
      </w:r>
      <w:r w:rsidR="00581C49">
        <w:rPr>
          <w:szCs w:val="24"/>
        </w:rPr>
        <w:t xml:space="preserve"> </w:t>
      </w:r>
      <w:r w:rsidR="008903E3">
        <w:rPr>
          <w:szCs w:val="24"/>
        </w:rPr>
        <w:t>H</w:t>
      </w:r>
      <w:r w:rsidR="00581C49">
        <w:rPr>
          <w:szCs w:val="24"/>
        </w:rPr>
        <w:t>owever</w:t>
      </w:r>
      <w:r w:rsidR="008903E3">
        <w:rPr>
          <w:szCs w:val="24"/>
        </w:rPr>
        <w:t>,</w:t>
      </w:r>
      <w:r w:rsidR="00581C49" w:rsidRPr="00581C49">
        <w:rPr>
          <w:szCs w:val="24"/>
        </w:rPr>
        <w:t xml:space="preserve"> while the codes used to identify diagnoses of RA in CPRD have previously been validated,</w:t>
      </w:r>
      <w:r w:rsidR="00581C49" w:rsidRPr="00581C49">
        <w:rPr>
          <w:szCs w:val="24"/>
        </w:rPr>
        <w:fldChar w:fldCharType="begin" w:fldLock="1"/>
      </w:r>
      <w:r w:rsidR="00171DD0">
        <w:rPr>
          <w:szCs w:val="24"/>
        </w:rPr>
        <w:instrText>ADDIN CSL_CITATION {"citationItems":[{"id":"ITEM-1","itemData":{"DOI":"10.1002/art.24015","ISBN":"2151-4658","ISSN":"21514658","PMID":"2008506161","abstract":"Objective. To identify characteristics that predict a valid rheumatoid arthritis (RA) or juvenile idiopathic arthritis (JIA) diagnosis among RA- and JIA-coded individuals in the General Practice Research Database (GPRD), and to assess limitations of this type of diagnostic validation. Methods. Four RA and 2 JIA diagnostic groups were created with differing strengths of evidence of RA/JIA (Group 1 = strongest evidence), based on RA/JIA medical codes. Individuals were sampled from each group and clinical and prescription data were extracted from anonymized hospital/practice correspondence and electronic records. American College of Rheumatology and International League of Associations for Rheumatology diagnostic criteria were used to validate diagnoses. A data-derived diagnostic algorithm that maximized sensitivity and specificity was identified using logistic regression. Results. Among 223 RA-coded individuals, the diagnostic algorithm classified individuals as having RA if they had an appropriate GPRD disease-modifying antirheumatic drug prescription or 3 other GPRD characteristics: &gt;1 RA code during followup, RA diagnostic Group 1 or 2, and no later alternative diagnostic code. This algorithm had &gt;80% sensitivity and specificity when applied to a test data set. Among 101 JIA-coded individuals, the strongest predictor of a valid diagnosis was a Group 1 diagnostic code (&gt;90% sensitivity and specificity). Conclusion. Validity of an RA diagnosis among RA-coded GPRD individuals appears high for patients with specific characteristics. The findings are important for both interpreting results of published GPRD studies and identifying RA/JIA patients for future GPRD-based research. However, several limitations were identified, and further debate is needed on how best to validate chronic disease diagnoses in the GPRD. © 2008, American College of Rheumatology.","author":[{"dropping-particle":"","family":"Thomas","given":"S. L.","non-dropping-particle":"","parse-names":false,"suffix":""},{"dropping-particle":"","family":"Edwards","given":"C. J.","non-dropping-particle":"","parse-names":false,"suffix":""},{"dropping-particle":"","family":"Smeeth","given":"L.","non-dropping-particle":"","parse-names":false,"suffix":""},{"dropping-particle":"","family":"Cooper","given":"C.","non-dropping-particle":"","parse-names":false,"suffix":""},{"dropping-particle":"","family":"Hall","given":"A. J.","non-dropping-particle":"","parse-names":false,"suffix":""}],"container-title":"Arthritis Care and Research","id":"ITEM-1","issue":"9","issued":{"date-parts":[["2008"]]},"page":"1314-1321","title":"How accurate are diagnoses for rheumatoid arthritis and juvenile idiopathic arthritis in the general practice research database?","type":"article-journal","volume":"59"},"uris":["http://www.mendeley.com/documents/?uuid=b57a7b13-9aa3-44c9-a9b5-c3c5ce2c0925"]}],"mendeley":{"formattedCitation":"[32]","plainTextFormattedCitation":"[32]","previouslyFormattedCitation":"[32]"},"properties":{"noteIndex":0},"schema":"https://github.com/citation-style-language/schema/raw/master/csl-citation.json"}</w:instrText>
      </w:r>
      <w:r w:rsidR="00581C49" w:rsidRPr="00581C49">
        <w:rPr>
          <w:szCs w:val="24"/>
        </w:rPr>
        <w:fldChar w:fldCharType="separate"/>
      </w:r>
      <w:r w:rsidR="00171DD0" w:rsidRPr="00171DD0">
        <w:rPr>
          <w:noProof/>
          <w:szCs w:val="24"/>
        </w:rPr>
        <w:t>[32]</w:t>
      </w:r>
      <w:r w:rsidR="00581C49" w:rsidRPr="00581C49">
        <w:rPr>
          <w:szCs w:val="24"/>
        </w:rPr>
        <w:fldChar w:fldCharType="end"/>
      </w:r>
      <w:r w:rsidR="00581C49" w:rsidRPr="00581C49">
        <w:rPr>
          <w:szCs w:val="24"/>
        </w:rPr>
        <w:t xml:space="preserve"> </w:t>
      </w:r>
      <w:r w:rsidR="008903E3">
        <w:rPr>
          <w:szCs w:val="24"/>
        </w:rPr>
        <w:t xml:space="preserve">the </w:t>
      </w:r>
      <w:r w:rsidR="00581C49" w:rsidRPr="00581C49">
        <w:rPr>
          <w:szCs w:val="24"/>
        </w:rPr>
        <w:t xml:space="preserve">codes </w:t>
      </w:r>
      <w:r w:rsidR="00581C49">
        <w:rPr>
          <w:szCs w:val="24"/>
        </w:rPr>
        <w:t xml:space="preserve">for </w:t>
      </w:r>
      <w:r w:rsidR="00581C49" w:rsidRPr="00581C49">
        <w:rPr>
          <w:szCs w:val="24"/>
        </w:rPr>
        <w:t>OA have not.</w:t>
      </w:r>
      <w:r w:rsidR="00581C49" w:rsidRPr="00581C49">
        <w:t xml:space="preserve"> </w:t>
      </w:r>
      <w:r w:rsidR="00581C49">
        <w:rPr>
          <w:szCs w:val="24"/>
        </w:rPr>
        <w:t>As</w:t>
      </w:r>
      <w:r w:rsidR="00581C49" w:rsidRPr="00581C49">
        <w:rPr>
          <w:szCs w:val="24"/>
        </w:rPr>
        <w:t xml:space="preserve"> individuals </w:t>
      </w:r>
      <w:r w:rsidR="008903E3">
        <w:rPr>
          <w:szCs w:val="24"/>
        </w:rPr>
        <w:t xml:space="preserve">identified for the study all </w:t>
      </w:r>
      <w:r w:rsidR="00581C49" w:rsidRPr="00581C49">
        <w:rPr>
          <w:szCs w:val="24"/>
        </w:rPr>
        <w:t>we</w:t>
      </w:r>
      <w:r w:rsidR="00581C49">
        <w:rPr>
          <w:szCs w:val="24"/>
        </w:rPr>
        <w:t>nt on to have joint replacement</w:t>
      </w:r>
      <w:r w:rsidR="006F637B">
        <w:rPr>
          <w:szCs w:val="24"/>
        </w:rPr>
        <w:t>s</w:t>
      </w:r>
      <w:r w:rsidR="008903E3">
        <w:rPr>
          <w:szCs w:val="24"/>
        </w:rPr>
        <w:t>,</w:t>
      </w:r>
      <w:r w:rsidR="00581C49" w:rsidRPr="00581C49">
        <w:rPr>
          <w:szCs w:val="24"/>
        </w:rPr>
        <w:t xml:space="preserve"> </w:t>
      </w:r>
      <w:r w:rsidR="008903E3">
        <w:rPr>
          <w:szCs w:val="24"/>
        </w:rPr>
        <w:t xml:space="preserve">we can expect a high </w:t>
      </w:r>
      <w:r w:rsidR="00581C49" w:rsidRPr="00581C49">
        <w:rPr>
          <w:szCs w:val="24"/>
        </w:rPr>
        <w:t xml:space="preserve">specificity </w:t>
      </w:r>
      <w:r w:rsidR="006F637B">
        <w:rPr>
          <w:szCs w:val="24"/>
        </w:rPr>
        <w:t>for</w:t>
      </w:r>
      <w:r w:rsidR="00581C49" w:rsidRPr="00581C49">
        <w:rPr>
          <w:szCs w:val="24"/>
        </w:rPr>
        <w:t xml:space="preserve"> </w:t>
      </w:r>
      <w:r w:rsidR="008903E3">
        <w:rPr>
          <w:szCs w:val="24"/>
        </w:rPr>
        <w:t xml:space="preserve">the </w:t>
      </w:r>
      <w:r w:rsidR="00581C49" w:rsidRPr="00581C49">
        <w:rPr>
          <w:szCs w:val="24"/>
        </w:rPr>
        <w:t>OA diagnosis</w:t>
      </w:r>
      <w:r w:rsidR="008903E3">
        <w:rPr>
          <w:szCs w:val="24"/>
        </w:rPr>
        <w:t>.</w:t>
      </w:r>
      <w:r w:rsidR="004D0B11" w:rsidDel="004D0B11">
        <w:rPr>
          <w:szCs w:val="24"/>
        </w:rPr>
        <w:t xml:space="preserve"> </w:t>
      </w:r>
    </w:p>
    <w:p w14:paraId="6F73FF8D" w14:textId="710D8811" w:rsidR="0043077E" w:rsidRDefault="008903E3" w:rsidP="00404701">
      <w:pPr>
        <w:spacing w:line="360" w:lineRule="auto"/>
      </w:pPr>
      <w:r>
        <w:t>BMI and smoking status are not typically collected in secondary care records. We were able to assess their effect on risk of surgery revision by</w:t>
      </w:r>
      <w:r w:rsidR="00581C49">
        <w:t xml:space="preserve"> linking primary and secondary healthcare records. </w:t>
      </w:r>
      <w:r w:rsidR="008775B2">
        <w:t xml:space="preserve">However, </w:t>
      </w:r>
      <w:r>
        <w:t>BMI data were missing for 53% of the TKR cohort and 60% of the THR cohort</w:t>
      </w:r>
      <w:r w:rsidR="003B7D79">
        <w:t>.</w:t>
      </w:r>
      <w:r w:rsidR="00854C53">
        <w:t xml:space="preserve"> </w:t>
      </w:r>
      <w:r w:rsidR="00B43DEA">
        <w:t>If data was not missing completely at random, which is likely to be the case here, using a complete case approach would have led to bias.</w:t>
      </w:r>
      <w:r w:rsidR="00B43DEA">
        <w:fldChar w:fldCharType="begin" w:fldLock="1"/>
      </w:r>
      <w:r w:rsidR="00171DD0">
        <w:instrText>ADDIN CSL_CITATION {"citationItems":[{"id":"ITEM-1","itemData":{"DOI":"10.1136/bmj.b2393","ISBN":"1756-1833 (Electronic)\r0959-535X (Linking)","PMID":"19564179","author":[{"dropping-particle":"","family":"Sterne","given":"J A","non-dropping-particle":"","parse-names":false,"suffix":""},{"dropping-particle":"","family":"White","given":"I R","non-dropping-particle":"","parse-names":false,"suffix":""},{"dropping-particle":"","family":"Carlin","given":"J B","non-dropping-particle":"","parse-names":false,"suffix":""},{"dropping-particle":"","family":"Spratt","given":"M","non-dropping-particle":"","parse-names":false,"suffix":""},{"dropping-particle":"","family":"Royston","given":"P","non-dropping-particle":"","parse-names":false,"suffix":""},{"dropping-particle":"","family":"Kenward","given":"M G","non-dropping-particle":"","parse-names":false,"suffix":""},{"dropping-particle":"","family":"Wood","given":"A M","non-dropping-particle":"","parse-names":false,"suffix":""},{"dropping-particle":"","family":"Carpenter","given":"J R","non-dropping-particle":"","parse-names":false,"suffix":""}],"container-title":"BMJ","id":"ITEM-1","issued":{"date-parts":[["2009"]]},"page":"b2393","title":"Multiple imputation for missing data in epidemiological and clinical research: potential and pitfalls","type":"article-journal","volume":"338"},"uris":["http://www.mendeley.com/documents/?uuid=d22e7d77-ba36-4ad3-a25c-a087f1b3ec33"]}],"mendeley":{"formattedCitation":"[33]","plainTextFormattedCitation":"[33]","previouslyFormattedCitation":"[33]"},"properties":{"noteIndex":0},"schema":"https://github.com/citation-style-language/schema/raw/master/csl-citation.json"}</w:instrText>
      </w:r>
      <w:r w:rsidR="00B43DEA">
        <w:fldChar w:fldCharType="separate"/>
      </w:r>
      <w:r w:rsidR="00171DD0" w:rsidRPr="00171DD0">
        <w:rPr>
          <w:noProof/>
        </w:rPr>
        <w:t>[33]</w:t>
      </w:r>
      <w:r w:rsidR="00B43DEA">
        <w:fldChar w:fldCharType="end"/>
      </w:r>
      <w:r w:rsidR="00B43DEA">
        <w:t xml:space="preserve"> </w:t>
      </w:r>
      <w:r>
        <w:t>We minimised</w:t>
      </w:r>
      <w:r w:rsidR="00B43DEA">
        <w:t xml:space="preserve"> the potential</w:t>
      </w:r>
      <w:r>
        <w:t xml:space="preserve"> </w:t>
      </w:r>
      <w:r w:rsidR="00253605">
        <w:t>bias</w:t>
      </w:r>
      <w:r w:rsidR="00B43DEA">
        <w:t xml:space="preserve"> from missing data</w:t>
      </w:r>
      <w:r w:rsidR="00253605">
        <w:t xml:space="preserve"> </w:t>
      </w:r>
      <w:r w:rsidR="00E8779C">
        <w:t xml:space="preserve">by </w:t>
      </w:r>
      <w:r w:rsidR="00854C53">
        <w:t>using multiple imputation</w:t>
      </w:r>
      <w:r>
        <w:t>,</w:t>
      </w:r>
      <w:r w:rsidR="00253605">
        <w:t xml:space="preserve"> which</w:t>
      </w:r>
      <w:r w:rsidR="0043077E">
        <w:t xml:space="preserve"> produces plausible values for missing data while incorporating the uncertainty </w:t>
      </w:r>
      <w:r>
        <w:t>that</w:t>
      </w:r>
      <w:r w:rsidR="0043077E">
        <w:t xml:space="preserve"> necessarily surrounds any such estimates.</w:t>
      </w:r>
      <w:r w:rsidR="0043077E">
        <w:fldChar w:fldCharType="begin" w:fldLock="1"/>
      </w:r>
      <w:r w:rsidR="00171DD0">
        <w:instrText>ADDIN CSL_CITATION {"citationItems":[{"id":"ITEM-1","itemData":{"DOI":"10.1002/sim.4067","ISBN":"1097-0258 (Electronic)\\n0277-6715 (Linking)","ISSN":"02776715","PMID":"21225900","abstract":"Multiple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fragments.","author":[{"dropping-particle":"","family":"White","given":"Ian R.","non-dropping-particle":"","parse-names":false,"suffix":""},{"dropping-particle":"","family":"Royston","given":"Patrick","non-dropping-particle":"","parse-names":false,"suffix":""},{"dropping-particle":"","family":"Wood","given":"Angela M.","non-dropping-particle":"","parse-names":false,"suffix":""}],"container-title":"Statistics in Medicine","id":"ITEM-1","issue":"4","issued":{"date-parts":[["2011"]]},"page":"377-399","title":"Multiple imputation using chained equations: Issues and guidance for practice","type":"article-journal","volume":"30"},"uris":["http://www.mendeley.com/documents/?uuid=7f72772f-f56d-4b0e-8660-96f8f600a618"]}],"mendeley":{"formattedCitation":"[22]","plainTextFormattedCitation":"[22]","previouslyFormattedCitation":"[22]"},"properties":{"noteIndex":0},"schema":"https://github.com/citation-style-language/schema/raw/master/csl-citation.json"}</w:instrText>
      </w:r>
      <w:r w:rsidR="0043077E">
        <w:fldChar w:fldCharType="separate"/>
      </w:r>
      <w:r w:rsidR="00171DD0" w:rsidRPr="00171DD0">
        <w:rPr>
          <w:noProof/>
        </w:rPr>
        <w:t>[22]</w:t>
      </w:r>
      <w:r w:rsidR="0043077E">
        <w:fldChar w:fldCharType="end"/>
      </w:r>
      <w:r w:rsidR="00253605">
        <w:t xml:space="preserve"> </w:t>
      </w:r>
    </w:p>
    <w:p w14:paraId="12734C1C" w14:textId="66FE2FC7" w:rsidR="008477AF" w:rsidRDefault="00873C6C" w:rsidP="00404701">
      <w:pPr>
        <w:spacing w:line="360" w:lineRule="auto"/>
      </w:pPr>
      <w:r>
        <w:t xml:space="preserve">As </w:t>
      </w:r>
      <w:r w:rsidR="00291B9C">
        <w:t>this study was based on routinely collected data</w:t>
      </w:r>
      <w:r w:rsidR="0074022A">
        <w:t xml:space="preserve">, </w:t>
      </w:r>
      <w:r>
        <w:t xml:space="preserve">we used </w:t>
      </w:r>
      <w:r w:rsidR="0074022A">
        <w:t>BMI as a proxy variable for</w:t>
      </w:r>
      <w:r w:rsidR="0043077E">
        <w:t xml:space="preserve"> body fat.</w:t>
      </w:r>
      <w:r w:rsidR="002113F8">
        <w:t xml:space="preserve"> </w:t>
      </w:r>
      <w:r>
        <w:t xml:space="preserve">However, </w:t>
      </w:r>
      <w:r w:rsidR="002113F8">
        <w:t>BMI is an indirect measure of body fat based on weight and height</w:t>
      </w:r>
      <w:r>
        <w:t>,</w:t>
      </w:r>
      <w:r w:rsidR="002113F8">
        <w:t xml:space="preserve"> and does not account for the difference between fat and non-fat mass</w:t>
      </w:r>
      <w:r>
        <w:t>,</w:t>
      </w:r>
      <w:r w:rsidR="002113F8">
        <w:t xml:space="preserve"> such as muscle.</w:t>
      </w:r>
      <w:r w:rsidR="002113F8">
        <w:fldChar w:fldCharType="begin" w:fldLock="1"/>
      </w:r>
      <w:r w:rsidR="00171DD0">
        <w:instrText>ADDIN CSL_CITATION {"citationItems":[{"id":"ITEM-1","itemData":{"DOI":"10.1038/ijo.2008.87","ISBN":"0307-0565","ISSN":"14765497","PMID":"18695655","abstract":"Body mass index (BMI) has various deficiencies as a measure of obesity, especially when the BMI measure is based on self-reported height and weight. BMI is an indirect measure of body fat compared with more direct approaches such as bioelectrical impedance. Moreover, BMI does not necessarily reflect the changes that occur with age. The proportion of body fat increases with age, whereas muscle mass decreases, but corresponding changes in height, weight and BMI may not reflect changes in body fat and muscle mass. Both the sensitivity and specificity of BMI have been shown to be poor. Additionally, the relation between BMI and percentage of body fat is not linear and differs for men and women. The consequences of the errors in the measurement of obesity with BMI depend on whether they are differential or nondifferential. Differential misclassification, a potentially greater problem in case-control and cross-sectional studies than in prospective cohort studies, can produce a bias toward or away from the null. Nondifferential misclassification produces a bias toward the null for a dichotomous exposure; for measures of exposure that are not dichotomous, the bias may be away from the null. In short, the use of BMI as a measure of obesity can introduce misclassification problems that may result in important bias in estimating the effects related to obesity.","author":[{"dropping-particle":"","family":"Rothman","given":"K. J.","non-dropping-particle":"","parse-names":false,"suffix":""}],"container-title":"International Journal of Obesity","id":"ITEM-1","issued":{"date-parts":[["2008"]]},"page":"S56-S59","title":"BMI-related errors in the measurement of obesity","type":"article-journal","volume":"32"},"uris":["http://www.mendeley.com/documents/?uuid=264daeba-5932-438c-a454-35d9d8b81bab"]}],"mendeley":{"formattedCitation":"[34]","plainTextFormattedCitation":"[34]","previouslyFormattedCitation":"[34]"},"properties":{"noteIndex":0},"schema":"https://github.com/citation-style-language/schema/raw/master/csl-citation.json"}</w:instrText>
      </w:r>
      <w:r w:rsidR="002113F8">
        <w:fldChar w:fldCharType="separate"/>
      </w:r>
      <w:r w:rsidR="00171DD0" w:rsidRPr="00171DD0">
        <w:rPr>
          <w:noProof/>
        </w:rPr>
        <w:t>[34]</w:t>
      </w:r>
      <w:r w:rsidR="002113F8">
        <w:fldChar w:fldCharType="end"/>
      </w:r>
      <w:r w:rsidR="002113F8">
        <w:t xml:space="preserve"> The </w:t>
      </w:r>
      <w:r w:rsidR="00291B9C">
        <w:t>errors in measurement associated with BMI may have led to underestimat</w:t>
      </w:r>
      <w:r>
        <w:t>ing</w:t>
      </w:r>
      <w:r w:rsidR="00A32B12">
        <w:t xml:space="preserve"> the true effect of body fat on risk of revision.</w:t>
      </w:r>
      <w:r w:rsidR="00B34032">
        <w:t xml:space="preserve"> Laterality was also unavailable in the data and so individuals with bilateral procedures and follow-up was censored where a second primary occurred, so that revision procedures could be linked to a </w:t>
      </w:r>
      <w:r w:rsidR="00B34032">
        <w:lastRenderedPageBreak/>
        <w:t xml:space="preserve">primary procedure. </w:t>
      </w:r>
      <w:r w:rsidR="00BE7746">
        <w:t>Excluding bilateral procedures means that our results are specific to unilateral procedures and may not be generalisable to bilateral procedures, while censoring at a second knee or hip replacement resulted in a loss of power due to reduced follow-up for some individuals.</w:t>
      </w:r>
    </w:p>
    <w:p w14:paraId="3B1DE011" w14:textId="297ECB45" w:rsidR="0029596B" w:rsidRDefault="00B43DEA" w:rsidP="00404701">
      <w:pPr>
        <w:spacing w:line="360" w:lineRule="auto"/>
      </w:pPr>
      <w:r>
        <w:t>Finally, t</w:t>
      </w:r>
      <w:r w:rsidR="0029596B">
        <w:t>his study assessed the effect of BMI and smoking on patients’ risk of revision after TKR and THR. The effects of these factors on implant failure may differ though, as implant failure does not necessarily result in revision surgery. A risk factor could reduce the risk of revision by making individuals less likely to undergo surgery due to ill-health, without necessarily having an effect on the risk of implant failure. This may explain the reduction, although non-significant, in the hazard for revision associated with being a smoker compared to non-smokers. Although their risks of implant failure may be equivalent, non-smokers are likely to be healthier, possibly leading to a lower threshold for undergoing revision surgery.</w:t>
      </w:r>
    </w:p>
    <w:p w14:paraId="67889D10" w14:textId="1490DFB2" w:rsidR="00EF20D4" w:rsidRDefault="00FB46BD" w:rsidP="00EF20D4">
      <w:pPr>
        <w:pStyle w:val="Heading2"/>
      </w:pPr>
      <w:r>
        <w:t>I</w:t>
      </w:r>
      <w:r w:rsidR="00EF20D4" w:rsidRPr="00EF20D4">
        <w:t xml:space="preserve">mplications </w:t>
      </w:r>
      <w:r>
        <w:t>for decision making</w:t>
      </w:r>
    </w:p>
    <w:p w14:paraId="2463986F" w14:textId="46DCA19E" w:rsidR="00333655" w:rsidRDefault="009253FB" w:rsidP="002356DB">
      <w:pPr>
        <w:spacing w:line="360" w:lineRule="auto"/>
      </w:pPr>
      <w:r>
        <w:t xml:space="preserve">BMI </w:t>
      </w:r>
      <w:r w:rsidR="00961BAA">
        <w:t>and smoking appear to have</w:t>
      </w:r>
      <w:r>
        <w:t xml:space="preserve"> little meaningful impact on patient-reported outcomes following TKR and THR.</w:t>
      </w:r>
      <w:r w:rsidR="00961BAA">
        <w:fldChar w:fldCharType="begin" w:fldLock="1"/>
      </w:r>
      <w:r w:rsidR="007B1736">
        <w:instrText>ADDIN CSL_CITATION {"citationItems":[{"id":"ITEM-1","itemData":{"DOI":"10.1136/bmjopen-2012-002453","ISBN":"20446055 (ISSN)","ISSN":"2044-6055","PMID":"23457332","abstract":"OBJECTIVES: To identify patient characteristics and surgical factors associated with patient-reported outcomes over 5 years following primary total hip replacement (THR).\\n\\nDESIGN: Prospective cohort study.\\n\\nSETTING: Seven hospitals across England and Scotland.\\n\\nPARTICIPANTS: 1431 primary hip replacements for osteoarthritis.\\n\\nMAIN OUTCOME MEASURES: The Oxford Hip Score (OHS) was collected preoperatively and each year up to 5 years postoperatively. Repeated measures such as linear regression modelling are used to identify patient and surgical predictors of outcome and describe trends over time.\\n\\nRESULTS: The majority of patients demonstrated substantial improvement in pain/function in the first year after surgery-between 1 and 5 years follow-up, there was neither further improvement nor decline. The strongest determinant of attained postoperative OHS was the preoperative OHS-those with worse preoperative pain/function had worse postoperative pain/function. Other predictors with small but significant effects included: femoral component offset-women with an offset of 44 or more had better outcomes; age-compared to those aged 50-60, younger (age &lt;50) and older patients (age &gt;60) had worse outcome, increasing body mass index (BMI), more coexisting diseases and worse Short Form 36 mental health (MH) was related to worse postoperative pain/function. Assessment of change in OHS between preoperative  and postoperative assessments revealed that patients achieved substantial and clinically relevant symptomatic improvement (change), regardless of variation in these patient and surgical factors.\\n\\nCONCLUSIONS: Patients received substantial benefit from surgery, regardless of their preoperative assessments and surgical characteristics (baseline pain/function, age, BMI, comorbidities, MH and femoral component offset). Further research is needed to identify other factors that can improve our ability to identify patients at risk of poor outcomes from THR surgery.","author":[{"dropping-particle":"","family":"Judge","given":"Andy","non-dropping-particle":"","parse-names":false,"suffix":""},{"dropping-particle":"","family":"Arden","given":"Nigel K","non-dropping-particle":"","parse-names":false,"suffix":""},{"dropping-particle":"","family":"Batra","given":"Rajbir N","non-dropping-particle":"","parse-names":false,"suffix":""},{"dropping-particle":"","family":"Thomas","given":"Geraint","non-dropping-particle":"","parse-names":false,"suffix":""},{"dropping-particle":"","family":"Beard","given":"David","non-dropping-particle":"","parse-names":false,"suffix":""},{"dropping-particle":"","family":"Javaid","given":"M Kassim","non-dropping-particle":"","parse-names":false,"suffix":""},{"dropping-particle":"","family":"Cooper","given":"Cyrus","non-dropping-particle":"","parse-names":false,"suffix":""},{"dropping-particle":"","family":"Murray","given":"David","non-dropping-particle":"","parse-names":false,"suffix":""}],"container-title":"BMJ Open","id":"ITEM-1","issue":"3","issued":{"date-parts":[["2013"]]},"page":"e002453","title":"The association of patient characteristics and surgical variables on symptoms of pain and function over 5 years following primary hip-replacement surgery: a prospective cohort study","type":"article-journal","volume":"3"},"uris":["http://www.mendeley.com/documents/?uuid=7dce54c7-064a-4b15-b30d-d0135725aebc"]},{"id":"ITEM-2","itemData":{"DOI":"10.1016/j.joca.2013.12.018","ISBN":"4401865227","ISSN":"1522-9653","PMID":"24418679","abstract":"OBJECTIVES: To describe whether body mass index (BMI) is a clinically meaningful predictor of patient reported outcomes following primary total hip replacement (THR) surgery.\\n\\nDESIGN: Combined data from prospective cohort studies. We obtained information from four cohorts of patients receiving primary THR for osteoarthritis: Exeter Primary Outcomes Study (EPOS) (n = 1431); EUROHIP (n = 1327); Elective Orthopaedic Centre (n = 2832); and St. Helier (n = 787). The exposure of interest was pre-operative BMI. Confounding variables included: age, sex, SF-36 mental health, comorbidities, fixed flexion, analgesic use, college education, OA in other joints, expectation of less pain, radiographic K&amp;L grade, ASA grade, years of hip pain. The primary outcome was the Oxford Hip Score (OHS). Regression models describe the association of BMI on outcome adjusting for all confounders.\\n\\nRESULTS: For a 5-unit increase in BMI, the attained 12-month OHS decreases by 0.78 points 95%CI (0.27-1.28), P-value 0.001. Compared to people of normal BMI (20-25), those in the obese class II (BMI 35-40) would have a 12-month OHS that is 2.34 points lower. Although statistically significant this effect is small and not clinically meaningful in contrast to the substantial change in OHS seen across all BMI groupings. In obese class II patients achieved a 22.2 point change in OHS following surgery.\\n\\nCONCLUSIONS: Patients achieved substantial change in OHS after THR across all BMI categories, which greatly outweighs the small difference in attained post-operative score. The findings suggest BMI should not present a barrier to access THR in terms of PROMs.","author":[{"dropping-particle":"","family":"Judge","given":"A","non-dropping-particle":"","parse-names":false,"suffix":""},{"dropping-particle":"","family":"Batra","given":"R N","non-dropping-particle":"","parse-names":false,"suffix":""},{"dropping-particle":"","family":"Thomas","given":"G E","non-dropping-particle":"","parse-names":false,"suffix":""},{"dropping-particle":"","family":"Beard","given":"D","non-dropping-particle":"","parse-names":false,"suffix":""},{"dropping-particle":"","family":"Javaid","given":"M K","non-dropping-particle":"","parse-names":false,"suffix":""},{"dropping-particle":"","family":"Murray","given":"D W","non-dropping-particle":"","parse-names":false,"suffix":""},{"dropping-particle":"","family":"Dieppe","given":"P A","non-dropping-particle":"","parse-names":false,"suffix":""},{"dropping-particle":"","family":"Dreinhoefer","given":"K E","non-dropping-particle":"","parse-names":false,"suffix":""},{"dropping-particle":"","family":"Peter-Guenther","given":"K","non-dropping-particle":"","parse-names":false,"suffix":""},{"dropping-particle":"","family":"Field","given":"R","non-dropping-particle":"","parse-names":false,"suffix":""},{"dropping-particle":"","family":"Cooper","given":"C","non-dropping-particle":"","parse-names":false,"suffix":""},{"dropping-particle":"","family":"Arden","given":"N K","non-dropping-particle":"","parse-names":false,"suffix":""}],"container-title":"Osteoarthritis and cartilage / OARS, Osteoarthritis Research Society","id":"ITEM-2","issue":"3","issued":{"date-parts":[["2014"]]},"page":"431-9","title":"Body mass index is not a clinically meaningful predictor of patient reported outcomes of primary hip replacement surgery: prospective cohort study.","type":"article-journal","volume":"22"},"uris":["http://www.mendeley.com/documents/?uuid=c1229966-1957-4803-9972-f2ed4bd3ca5f"]},{"id":"ITEM-3","itemData":{"DOI":"10.1002/art.20691","ISBN":"0004-3591 (Print)\\r0004-3591 (Linking)","ISSN":"21514658","PMID":"15478156","abstract":"OBJECTIVE: To determine whether psychosocial factors, chronic diseases, and common geriatric problems are associated with poor physical function 3 years after primary total hip replacement (THR). METHODS: We studied a sample of Medicare recipients in Ohio, Pennsylvania, and Colorado (n = 922) who underwent primary THR in 1995 (mean +/- SD age 73.1 +/- 5.6 years, 32% men). Participants completed a questionnaire regarding lifestyle factors, medical history, and quality of life approximately 3 years after the surgery. Physical function was measured using the function subscale of the Western Ontario and McMaster Universities Osteoarthritis Index. We assessed the relationship between functional outcome 3 years postsurgery and 4 predictor domains: pain or complications in the operated hip, other musculoskeletal comorbidity, medical factors (obesity, chronic medical comorbidity, rheumatoid arthritis, and such common geriatric problems as falls, poor balance, or incontinence), and psychosocial factors (mental health, regular alcohol consumption, smoking, provider role, living alone, and education). RESULTS: Ten percent of subjects had poor functional status. In a logistic regression model controlling for sex and age, the following factors were associated with an increased risk for poor functional status (in order of importance): pain in the back or lower extremity, severe pain in the operated hip, poor mental health, more than 1 common geriatric problem, obesity, and less than college education. CONCLUSION: Pain in the operated hip was strongly associated with poor functional status 3 years after THR. However, other factors associated with poor functional status were not related to the hip. Our results suggest that a comprehensive assessment of functional status in elderly THR patients should include assessment of common geriatric problems, mental health status, and weight.","author":[{"dropping-particle":"","family":"Bischoff-Ferrari","given":"H. A.","non-dropping-particle":"","parse-names":false,"suffix":""},{"dropping-particle":"","family":"Lingard","given":"E. A.","non-dropping-particle":"","parse-names":false,"suffix":""},{"dropping-particle":"","family":"Losina","given":"E.","non-dropping-particle":"","parse-names":false,"suffix":""},{"dropping-particle":"","family":"Baron","given":"J. A.","non-dropping-particle":"","parse-names":false,"suffix":""},{"dropping-particle":"","family":"Roos","given":"E. M.","non-dropping-particle":"","parse-names":false,"suffix":""},{"dropping-particle":"","family":"Phillips","given":"C. B.","non-dropping-particle":"","parse-names":false,"suffix":""},{"dropping-particle":"","family":"Mahomed","given":"N. N.","non-dropping-particle":"","parse-names":false,"suffix":""},{"dropping-particle":"","family":"Barrett","given":"J.","non-dropping-particle":"","parse-names":false,"suffix":""},{"dropping-particle":"","family":"Katz","given":"J. N.","non-dropping-particle":"","parse-names":false,"suffix":""}],"container-title":"Arthritis Care and Research","id":"ITEM-3","issue":"5","issued":{"date-parts":[["2004"]]},"page":"829-835","title":"Psychosocial and geriatric correlates of functional status after total hip replacement","type":"article-journal","volume":"51"},"uris":["http://www.mendeley.com/documents/?uuid=3025a220-f6ff-41f5-a1f3-a9e79df780f1"]}],"mendeley":{"formattedCitation":"[9–11]","plainTextFormattedCitation":"[9–11]","previouslyFormattedCitation":"[9–11]"},"properties":{"noteIndex":0},"schema":"https://github.com/citation-style-language/schema/raw/master/csl-citation.json"}</w:instrText>
      </w:r>
      <w:r w:rsidR="00961BAA">
        <w:fldChar w:fldCharType="separate"/>
      </w:r>
      <w:r w:rsidR="00336099" w:rsidRPr="00336099">
        <w:rPr>
          <w:noProof/>
        </w:rPr>
        <w:t>[9–11]</w:t>
      </w:r>
      <w:r w:rsidR="00961BAA">
        <w:fldChar w:fldCharType="end"/>
      </w:r>
      <w:r>
        <w:t xml:space="preserve"> In this study we find that </w:t>
      </w:r>
      <w:r w:rsidR="00961BAA">
        <w:t>these factors</w:t>
      </w:r>
      <w:r>
        <w:t xml:space="preserve"> also ha</w:t>
      </w:r>
      <w:r w:rsidR="00961BAA">
        <w:t>ve</w:t>
      </w:r>
      <w:r>
        <w:t xml:space="preserve"> relatively little effect on lifetime risk of revision. </w:t>
      </w:r>
      <w:r w:rsidR="00961BAA">
        <w:t>As a result, there appears to be little justification in restricting access to surgery based on either BMI or smoking</w:t>
      </w:r>
      <w:r w:rsidR="004216CD">
        <w:t>, aside from a potential benefit in terms of post-operative complications</w:t>
      </w:r>
      <w:r w:rsidR="00961BAA">
        <w:t>.</w:t>
      </w:r>
    </w:p>
    <w:p w14:paraId="5217F4EB" w14:textId="77777777" w:rsidR="00333655" w:rsidRDefault="00333655">
      <w:r>
        <w:br w:type="page"/>
      </w:r>
    </w:p>
    <w:p w14:paraId="0814FC8B" w14:textId="77777777" w:rsidR="00333655" w:rsidRPr="007B3F74" w:rsidRDefault="00333655" w:rsidP="00333655">
      <w:pPr>
        <w:pStyle w:val="Heading1"/>
        <w:spacing w:line="360" w:lineRule="auto"/>
      </w:pPr>
      <w:r w:rsidRPr="007B3F74">
        <w:lastRenderedPageBreak/>
        <w:t>Acknowledgements</w:t>
      </w:r>
    </w:p>
    <w:p w14:paraId="28290417" w14:textId="77777777" w:rsidR="00333655" w:rsidRDefault="00333655" w:rsidP="00333655">
      <w:pPr>
        <w:spacing w:line="360" w:lineRule="auto"/>
        <w:rPr>
          <w:rFonts w:cstheme="minorHAnsi"/>
        </w:rPr>
      </w:pPr>
      <w:r w:rsidRPr="007B3F74">
        <w:rPr>
          <w:rFonts w:cstheme="minorHAnsi"/>
        </w:rPr>
        <w:t xml:space="preserve">The authors would like to thank Miss Susan Thwaite (National Rheumatoid Arthritis Society) for her role as the patient and public representative and her role </w:t>
      </w:r>
      <w:r>
        <w:rPr>
          <w:rFonts w:cstheme="minorHAnsi"/>
        </w:rPr>
        <w:t>on</w:t>
      </w:r>
      <w:r w:rsidRPr="007B3F74">
        <w:rPr>
          <w:rFonts w:cstheme="minorHAnsi"/>
        </w:rPr>
        <w:t xml:space="preserve"> the study steering committee.</w:t>
      </w:r>
      <w:r>
        <w:rPr>
          <w:rFonts w:cstheme="minorHAnsi"/>
        </w:rPr>
        <w:t xml:space="preserve"> </w:t>
      </w:r>
      <w:r w:rsidRPr="00873E12">
        <w:rPr>
          <w:rFonts w:cstheme="minorHAnsi"/>
        </w:rPr>
        <w:t xml:space="preserve">We </w:t>
      </w:r>
      <w:r>
        <w:rPr>
          <w:rFonts w:cstheme="minorHAnsi"/>
        </w:rPr>
        <w:t>also thank</w:t>
      </w:r>
      <w:r w:rsidRPr="00873E12">
        <w:rPr>
          <w:rFonts w:cstheme="minorHAnsi"/>
        </w:rPr>
        <w:t xml:space="preserve"> Dr Jennifer A. de Beyer of the Centre for Statistics in </w:t>
      </w:r>
      <w:r>
        <w:rPr>
          <w:rFonts w:cstheme="minorHAnsi"/>
        </w:rPr>
        <w:t xml:space="preserve">Medicine, University of Oxford, for </w:t>
      </w:r>
      <w:r w:rsidRPr="00873E12">
        <w:rPr>
          <w:rFonts w:cstheme="minorHAnsi"/>
        </w:rPr>
        <w:t>English language editing</w:t>
      </w:r>
      <w:r>
        <w:rPr>
          <w:rFonts w:cstheme="minorHAnsi"/>
        </w:rPr>
        <w:t>.</w:t>
      </w:r>
    </w:p>
    <w:p w14:paraId="488EA48C" w14:textId="77777777" w:rsidR="00333655" w:rsidRPr="007B3F74" w:rsidRDefault="00333655" w:rsidP="00333655">
      <w:pPr>
        <w:spacing w:line="360" w:lineRule="auto"/>
        <w:rPr>
          <w:rFonts w:cstheme="minorHAnsi"/>
        </w:rPr>
      </w:pPr>
      <w:r w:rsidRPr="008B593B">
        <w:rPr>
          <w:rFonts w:cstheme="minorHAnsi"/>
        </w:rPr>
        <w:t>This study is based in part on data from the Clinical Practice Research Datalink obtained under licence from the UK Medicines and Healthcare products Regulatory Agency. The data is provided by patients and collected by the NHS as part of their care and support. The interpretation and conclusions contained in this study are those of the author/s alone.</w:t>
      </w:r>
    </w:p>
    <w:p w14:paraId="0E083EEA" w14:textId="77777777" w:rsidR="00333655" w:rsidRPr="002F7571" w:rsidRDefault="00333655" w:rsidP="00333655">
      <w:pPr>
        <w:pStyle w:val="Heading1"/>
        <w:spacing w:line="360" w:lineRule="auto"/>
      </w:pPr>
      <w:r>
        <w:t>Author contributions</w:t>
      </w:r>
    </w:p>
    <w:p w14:paraId="6D62405E" w14:textId="77777777" w:rsidR="00333655" w:rsidRDefault="00333655" w:rsidP="00333655">
      <w:pPr>
        <w:spacing w:line="360" w:lineRule="auto"/>
        <w:rPr>
          <w:rFonts w:cstheme="minorHAnsi"/>
          <w:bCs/>
        </w:rPr>
      </w:pPr>
      <w:r w:rsidRPr="0072224D">
        <w:rPr>
          <w:rFonts w:cstheme="minorHAnsi"/>
          <w:bCs/>
        </w:rPr>
        <w:t>EB, CE, DWM, AS, CC, NKA, DPA</w:t>
      </w:r>
      <w:r>
        <w:rPr>
          <w:rFonts w:cstheme="minorHAnsi"/>
          <w:bCs/>
        </w:rPr>
        <w:t xml:space="preserve">, and </w:t>
      </w:r>
      <w:r w:rsidRPr="0072224D">
        <w:rPr>
          <w:rFonts w:cstheme="minorHAnsi"/>
          <w:bCs/>
        </w:rPr>
        <w:t xml:space="preserve">RPV all made substantial contributions to </w:t>
      </w:r>
      <w:r>
        <w:rPr>
          <w:rFonts w:cstheme="minorHAnsi"/>
          <w:bCs/>
        </w:rPr>
        <w:t xml:space="preserve">the </w:t>
      </w:r>
      <w:r w:rsidRPr="0072224D">
        <w:rPr>
          <w:rFonts w:cstheme="minorHAnsi"/>
          <w:bCs/>
        </w:rPr>
        <w:t>conception and design of the study. EB, RPV</w:t>
      </w:r>
      <w:r>
        <w:rPr>
          <w:rFonts w:cstheme="minorHAnsi"/>
          <w:bCs/>
        </w:rPr>
        <w:t>,</w:t>
      </w:r>
      <w:r w:rsidRPr="0072224D">
        <w:rPr>
          <w:rFonts w:cstheme="minorHAnsi"/>
          <w:bCs/>
        </w:rPr>
        <w:t xml:space="preserve"> and DPA undertook the statistical analysis. EB, RPV</w:t>
      </w:r>
      <w:r>
        <w:rPr>
          <w:rFonts w:cstheme="minorHAnsi"/>
          <w:bCs/>
        </w:rPr>
        <w:t>,</w:t>
      </w:r>
      <w:r w:rsidRPr="0072224D">
        <w:rPr>
          <w:rFonts w:cstheme="minorHAnsi"/>
          <w:bCs/>
        </w:rPr>
        <w:t xml:space="preserve"> and DPA drafted the manuscript</w:t>
      </w:r>
      <w:r>
        <w:rPr>
          <w:rFonts w:cstheme="minorHAnsi"/>
          <w:bCs/>
        </w:rPr>
        <w:t>,</w:t>
      </w:r>
      <w:r w:rsidRPr="0072224D">
        <w:rPr>
          <w:rFonts w:cstheme="minorHAnsi"/>
          <w:bCs/>
        </w:rPr>
        <w:t xml:space="preserve"> with CE, DWM, AS, CC, and NKA revising it for important intellectual content. All authors read and approved the final manuscript</w:t>
      </w:r>
    </w:p>
    <w:p w14:paraId="1BFACFEF" w14:textId="77777777" w:rsidR="00333655" w:rsidRDefault="00333655" w:rsidP="00333655">
      <w:pPr>
        <w:spacing w:line="360" w:lineRule="auto"/>
        <w:rPr>
          <w:rFonts w:asciiTheme="majorHAnsi" w:eastAsiaTheme="majorEastAsia" w:hAnsiTheme="majorHAnsi" w:cstheme="majorBidi"/>
          <w:b/>
          <w:caps/>
          <w:color w:val="000000" w:themeColor="text1"/>
          <w:szCs w:val="32"/>
        </w:rPr>
      </w:pPr>
      <w:r w:rsidRPr="00333655">
        <w:rPr>
          <w:rFonts w:asciiTheme="majorHAnsi" w:eastAsiaTheme="majorEastAsia" w:hAnsiTheme="majorHAnsi" w:cstheme="majorBidi"/>
          <w:b/>
          <w:caps/>
          <w:color w:val="000000" w:themeColor="text1"/>
          <w:szCs w:val="32"/>
        </w:rPr>
        <w:t>Role of the funding source</w:t>
      </w:r>
    </w:p>
    <w:p w14:paraId="0007D580" w14:textId="77777777" w:rsidR="00333655" w:rsidRDefault="00333655" w:rsidP="00333655">
      <w:pPr>
        <w:spacing w:line="360" w:lineRule="auto"/>
        <w:rPr>
          <w:rFonts w:cstheme="minorHAnsi"/>
        </w:rPr>
      </w:pPr>
      <w:r w:rsidRPr="00A8464B">
        <w:rPr>
          <w:rFonts w:cstheme="minorHAnsi"/>
        </w:rPr>
        <w:t>DPA is funded by a National Institute for Health Research Clinician Scientist award (CS-2013-13-012). This article presents independent research funded by the National Institute for Health Research (NIHR). The views expressed are those of the authors and not necessarily those of the NHS, the NIHR</w:t>
      </w:r>
      <w:r>
        <w:rPr>
          <w:rFonts w:cstheme="minorHAnsi"/>
        </w:rPr>
        <w:t>,</w:t>
      </w:r>
      <w:r w:rsidRPr="00A8464B">
        <w:rPr>
          <w:rFonts w:cstheme="minorHAnsi"/>
        </w:rPr>
        <w:t xml:space="preserve"> or the Department of Health. This work </w:t>
      </w:r>
      <w:r>
        <w:rPr>
          <w:rFonts w:cstheme="minorHAnsi"/>
        </w:rPr>
        <w:t>was s</w:t>
      </w:r>
      <w:r w:rsidRPr="0011681A">
        <w:rPr>
          <w:rFonts w:cstheme="minorHAnsi"/>
        </w:rPr>
        <w:t>upported by the NIHR Biomedical Research Centre, Oxford</w:t>
      </w:r>
      <w:r>
        <w:rPr>
          <w:rFonts w:cstheme="minorHAnsi"/>
        </w:rPr>
        <w:t>.</w:t>
      </w:r>
    </w:p>
    <w:p w14:paraId="300C7425" w14:textId="433F384A" w:rsidR="00333655" w:rsidRDefault="00333655" w:rsidP="00333655">
      <w:pPr>
        <w:spacing w:line="360" w:lineRule="auto"/>
        <w:rPr>
          <w:rFonts w:asciiTheme="majorHAnsi" w:eastAsiaTheme="majorEastAsia" w:hAnsiTheme="majorHAnsi" w:cstheme="majorBidi"/>
          <w:b/>
          <w:caps/>
          <w:color w:val="000000" w:themeColor="text1"/>
          <w:szCs w:val="32"/>
        </w:rPr>
      </w:pPr>
      <w:r w:rsidRPr="00333655">
        <w:rPr>
          <w:rFonts w:asciiTheme="majorHAnsi" w:eastAsiaTheme="majorEastAsia" w:hAnsiTheme="majorHAnsi" w:cstheme="majorBidi"/>
          <w:b/>
          <w:caps/>
          <w:color w:val="000000" w:themeColor="text1"/>
          <w:szCs w:val="32"/>
        </w:rPr>
        <w:t>Conflict of interest</w:t>
      </w:r>
      <w:r>
        <w:rPr>
          <w:rFonts w:asciiTheme="majorHAnsi" w:eastAsiaTheme="majorEastAsia" w:hAnsiTheme="majorHAnsi" w:cstheme="majorBidi"/>
          <w:b/>
          <w:caps/>
          <w:color w:val="000000" w:themeColor="text1"/>
          <w:szCs w:val="32"/>
        </w:rPr>
        <w:t xml:space="preserve"> </w:t>
      </w:r>
    </w:p>
    <w:p w14:paraId="40CB1A0A" w14:textId="7BF2BA69" w:rsidR="009F3F71" w:rsidRDefault="00333655" w:rsidP="00333655">
      <w:pPr>
        <w:spacing w:line="360" w:lineRule="auto"/>
      </w:pPr>
      <w:r w:rsidRPr="0072224D">
        <w:rPr>
          <w:rFonts w:cstheme="minorHAnsi"/>
          <w:bCs/>
        </w:rPr>
        <w:t>All authors have completed the ICMJE uniform disclosure form at www.icmje.org/</w:t>
      </w:r>
      <w:r>
        <w:rPr>
          <w:rFonts w:cstheme="minorHAnsi"/>
          <w:bCs/>
        </w:rPr>
        <w:t>coi_disclosure.pdf and declare:</w:t>
      </w:r>
      <w:r w:rsidRPr="0072224D">
        <w:rPr>
          <w:rFonts w:cstheme="minorHAnsi"/>
          <w:bCs/>
        </w:rPr>
        <w:t xml:space="preserve"> </w:t>
      </w:r>
      <w:r w:rsidRPr="0072224D">
        <w:t xml:space="preserve">NKA has received personal fees from Freshfields Bruckhaus Deringer, Bioventus, Flexion, Merck, and Regeneron, all outside the submitted work. </w:t>
      </w:r>
      <w:r>
        <w:t>DPA</w:t>
      </w:r>
      <w:r w:rsidRPr="00DF4AFC">
        <w:t xml:space="preserve"> reports grants from Amgen, </w:t>
      </w:r>
      <w:r>
        <w:t>Servier, and</w:t>
      </w:r>
      <w:r w:rsidRPr="00DF4AFC">
        <w:t xml:space="preserve"> UCB Biopharma, </w:t>
      </w:r>
      <w:r>
        <w:t xml:space="preserve">and </w:t>
      </w:r>
      <w:r w:rsidRPr="00DF4AFC">
        <w:t>non-financial support from Amgen,</w:t>
      </w:r>
      <w:r>
        <w:t xml:space="preserve"> all outside the submitted work</w:t>
      </w:r>
      <w:r w:rsidRPr="00DF4AFC">
        <w:t>.</w:t>
      </w:r>
      <w:r w:rsidR="009F3F71">
        <w:t xml:space="preserve"> DWM</w:t>
      </w:r>
      <w:r w:rsidR="009F3F71" w:rsidRPr="009F3F71">
        <w:t xml:space="preserve"> reports grants and personal fees from Zimmer Biomet,</w:t>
      </w:r>
      <w:r w:rsidR="009F3F71">
        <w:t xml:space="preserve"> and </w:t>
      </w:r>
      <w:r w:rsidR="009F3F71" w:rsidRPr="009F3F71">
        <w:t>has a patent various patents related to Unicompartmental Knee Replacement (Zimmer Biomet) with royalties paid</w:t>
      </w:r>
      <w:r w:rsidR="009F3F71">
        <w:t xml:space="preserve">, </w:t>
      </w:r>
      <w:r w:rsidR="009F3F71" w:rsidRPr="0072224D">
        <w:t>all outside the submitted work</w:t>
      </w:r>
      <w:r w:rsidR="009F3F71">
        <w:t>.</w:t>
      </w:r>
    </w:p>
    <w:p w14:paraId="2FFB6B87" w14:textId="77777777" w:rsidR="00333655" w:rsidRPr="002F7571" w:rsidRDefault="00333655" w:rsidP="00333655">
      <w:pPr>
        <w:pStyle w:val="Heading1"/>
        <w:spacing w:line="360" w:lineRule="auto"/>
      </w:pPr>
      <w:r w:rsidRPr="002F7571">
        <w:t>ETHICAL APPROVAL</w:t>
      </w:r>
    </w:p>
    <w:p w14:paraId="5B58E113" w14:textId="77777777" w:rsidR="00333655" w:rsidRPr="002F7571" w:rsidRDefault="00333655" w:rsidP="00333655">
      <w:pPr>
        <w:spacing w:line="360" w:lineRule="auto"/>
        <w:rPr>
          <w:rFonts w:cstheme="minorHAnsi"/>
          <w:bCs/>
        </w:rPr>
      </w:pPr>
      <w:r w:rsidRPr="00491C98">
        <w:rPr>
          <w:rFonts w:cstheme="minorHAnsi"/>
          <w:bCs/>
        </w:rPr>
        <w:t>Approval for the study was granted by the CPRD Independent Scientific Advisory Committee</w:t>
      </w:r>
      <w:r>
        <w:rPr>
          <w:rFonts w:cstheme="minorHAnsi"/>
          <w:bCs/>
        </w:rPr>
        <w:t xml:space="preserve"> (protocol no. 14_126).</w:t>
      </w:r>
    </w:p>
    <w:p w14:paraId="6316F787" w14:textId="1BDB960B" w:rsidR="00961BAA" w:rsidRDefault="00961BAA" w:rsidP="002356DB">
      <w:pPr>
        <w:spacing w:line="360" w:lineRule="auto"/>
        <w:rPr>
          <w:rFonts w:asciiTheme="majorHAnsi" w:eastAsiaTheme="majorEastAsia" w:hAnsiTheme="majorHAnsi" w:cstheme="majorBidi"/>
          <w:b/>
          <w:caps/>
          <w:color w:val="000000" w:themeColor="text1"/>
          <w:szCs w:val="32"/>
        </w:rPr>
      </w:pPr>
      <w:r>
        <w:lastRenderedPageBreak/>
        <w:br w:type="page"/>
      </w:r>
    </w:p>
    <w:p w14:paraId="58DF8D8E" w14:textId="7A81DD62" w:rsidR="00396E72" w:rsidRDefault="00396E72" w:rsidP="00D148FF">
      <w:pPr>
        <w:pStyle w:val="Heading1"/>
        <w:spacing w:line="360" w:lineRule="auto"/>
      </w:pPr>
      <w:r>
        <w:lastRenderedPageBreak/>
        <w:t>References</w:t>
      </w:r>
    </w:p>
    <w:p w14:paraId="01708D72" w14:textId="52F94D13" w:rsidR="00171DD0" w:rsidRPr="00171DD0" w:rsidRDefault="00396E72" w:rsidP="00171DD0">
      <w:pPr>
        <w:widowControl w:val="0"/>
        <w:autoSpaceDE w:val="0"/>
        <w:autoSpaceDN w:val="0"/>
        <w:adjustRightInd w:val="0"/>
        <w:spacing w:line="36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171DD0" w:rsidRPr="00171DD0">
        <w:rPr>
          <w:rFonts w:ascii="Calibri" w:hAnsi="Calibri" w:cs="Calibri"/>
          <w:noProof/>
          <w:szCs w:val="24"/>
        </w:rPr>
        <w:t xml:space="preserve">1 </w:t>
      </w:r>
      <w:r w:rsidR="00171DD0" w:rsidRPr="00171DD0">
        <w:rPr>
          <w:rFonts w:ascii="Calibri" w:hAnsi="Calibri" w:cs="Calibri"/>
          <w:noProof/>
          <w:szCs w:val="24"/>
        </w:rPr>
        <w:tab/>
        <w:t xml:space="preserve">Pivec R, Johnson AJ, Mears SC, </w:t>
      </w:r>
      <w:r w:rsidR="00171DD0" w:rsidRPr="00171DD0">
        <w:rPr>
          <w:rFonts w:ascii="Calibri" w:hAnsi="Calibri" w:cs="Calibri"/>
          <w:i/>
          <w:iCs/>
          <w:noProof/>
          <w:szCs w:val="24"/>
        </w:rPr>
        <w:t>et al.</w:t>
      </w:r>
      <w:r w:rsidR="00171DD0" w:rsidRPr="00171DD0">
        <w:rPr>
          <w:rFonts w:ascii="Calibri" w:hAnsi="Calibri" w:cs="Calibri"/>
          <w:noProof/>
          <w:szCs w:val="24"/>
        </w:rPr>
        <w:t xml:space="preserve"> Hip arthroplasty. </w:t>
      </w:r>
      <w:r w:rsidR="00171DD0" w:rsidRPr="00171DD0">
        <w:rPr>
          <w:rFonts w:ascii="Calibri" w:hAnsi="Calibri" w:cs="Calibri"/>
          <w:i/>
          <w:iCs/>
          <w:noProof/>
          <w:szCs w:val="24"/>
        </w:rPr>
        <w:t>Lancet</w:t>
      </w:r>
      <w:r w:rsidR="00171DD0" w:rsidRPr="00171DD0">
        <w:rPr>
          <w:rFonts w:ascii="Calibri" w:hAnsi="Calibri" w:cs="Calibri"/>
          <w:noProof/>
          <w:szCs w:val="24"/>
        </w:rPr>
        <w:t xml:space="preserve"> 2012;</w:t>
      </w:r>
      <w:r w:rsidR="00171DD0" w:rsidRPr="00171DD0">
        <w:rPr>
          <w:rFonts w:ascii="Calibri" w:hAnsi="Calibri" w:cs="Calibri"/>
          <w:b/>
          <w:bCs/>
          <w:noProof/>
          <w:szCs w:val="24"/>
        </w:rPr>
        <w:t>380</w:t>
      </w:r>
      <w:r w:rsidR="00171DD0" w:rsidRPr="00171DD0">
        <w:rPr>
          <w:rFonts w:ascii="Calibri" w:hAnsi="Calibri" w:cs="Calibri"/>
          <w:noProof/>
          <w:szCs w:val="24"/>
        </w:rPr>
        <w:t>:1768–77. doi:10.1016/S0140-6736(12)60607-2</w:t>
      </w:r>
    </w:p>
    <w:p w14:paraId="55EEF0A8"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2 </w:t>
      </w:r>
      <w:r w:rsidRPr="00171DD0">
        <w:rPr>
          <w:rFonts w:ascii="Calibri" w:hAnsi="Calibri" w:cs="Calibri"/>
          <w:noProof/>
          <w:szCs w:val="24"/>
        </w:rPr>
        <w:tab/>
        <w:t xml:space="preserve">Carr AJ, Robertsson O, Graves S, </w:t>
      </w:r>
      <w:r w:rsidRPr="00171DD0">
        <w:rPr>
          <w:rFonts w:ascii="Calibri" w:hAnsi="Calibri" w:cs="Calibri"/>
          <w:i/>
          <w:iCs/>
          <w:noProof/>
          <w:szCs w:val="24"/>
        </w:rPr>
        <w:t>et al.</w:t>
      </w:r>
      <w:r w:rsidRPr="00171DD0">
        <w:rPr>
          <w:rFonts w:ascii="Calibri" w:hAnsi="Calibri" w:cs="Calibri"/>
          <w:noProof/>
          <w:szCs w:val="24"/>
        </w:rPr>
        <w:t xml:space="preserve"> Knee replacement. </w:t>
      </w:r>
      <w:r w:rsidRPr="00171DD0">
        <w:rPr>
          <w:rFonts w:ascii="Calibri" w:hAnsi="Calibri" w:cs="Calibri"/>
          <w:i/>
          <w:iCs/>
          <w:noProof/>
          <w:szCs w:val="24"/>
        </w:rPr>
        <w:t>Lancet</w:t>
      </w:r>
      <w:r w:rsidRPr="00171DD0">
        <w:rPr>
          <w:rFonts w:ascii="Calibri" w:hAnsi="Calibri" w:cs="Calibri"/>
          <w:noProof/>
          <w:szCs w:val="24"/>
        </w:rPr>
        <w:t xml:space="preserve"> 2012;</w:t>
      </w:r>
      <w:r w:rsidRPr="00171DD0">
        <w:rPr>
          <w:rFonts w:ascii="Calibri" w:hAnsi="Calibri" w:cs="Calibri"/>
          <w:b/>
          <w:bCs/>
          <w:noProof/>
          <w:szCs w:val="24"/>
        </w:rPr>
        <w:t>379</w:t>
      </w:r>
      <w:r w:rsidRPr="00171DD0">
        <w:rPr>
          <w:rFonts w:ascii="Calibri" w:hAnsi="Calibri" w:cs="Calibri"/>
          <w:noProof/>
          <w:szCs w:val="24"/>
        </w:rPr>
        <w:t>:1331–40. doi:10.1016/s0140-6736(11)60752-6</w:t>
      </w:r>
    </w:p>
    <w:p w14:paraId="4A93373F"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3 </w:t>
      </w:r>
      <w:r w:rsidRPr="00171DD0">
        <w:rPr>
          <w:rFonts w:ascii="Calibri" w:hAnsi="Calibri" w:cs="Calibri"/>
          <w:noProof/>
          <w:szCs w:val="24"/>
        </w:rPr>
        <w:tab/>
        <w:t xml:space="preserve">Price AJ, Alvand A, Troelsen A, </w:t>
      </w:r>
      <w:r w:rsidRPr="00171DD0">
        <w:rPr>
          <w:rFonts w:ascii="Calibri" w:hAnsi="Calibri" w:cs="Calibri"/>
          <w:i/>
          <w:iCs/>
          <w:noProof/>
          <w:szCs w:val="24"/>
        </w:rPr>
        <w:t>et al.</w:t>
      </w:r>
      <w:r w:rsidRPr="00171DD0">
        <w:rPr>
          <w:rFonts w:ascii="Calibri" w:hAnsi="Calibri" w:cs="Calibri"/>
          <w:noProof/>
          <w:szCs w:val="24"/>
        </w:rPr>
        <w:t xml:space="preserve"> Knee replacement. </w:t>
      </w:r>
      <w:r w:rsidRPr="00171DD0">
        <w:rPr>
          <w:rFonts w:ascii="Calibri" w:hAnsi="Calibri" w:cs="Calibri"/>
          <w:i/>
          <w:iCs/>
          <w:noProof/>
          <w:szCs w:val="24"/>
        </w:rPr>
        <w:t>Lancet</w:t>
      </w:r>
      <w:r w:rsidRPr="00171DD0">
        <w:rPr>
          <w:rFonts w:ascii="Calibri" w:hAnsi="Calibri" w:cs="Calibri"/>
          <w:noProof/>
          <w:szCs w:val="24"/>
        </w:rPr>
        <w:t xml:space="preserve"> 2018;</w:t>
      </w:r>
      <w:r w:rsidRPr="00171DD0">
        <w:rPr>
          <w:rFonts w:ascii="Calibri" w:hAnsi="Calibri" w:cs="Calibri"/>
          <w:b/>
          <w:bCs/>
          <w:noProof/>
          <w:szCs w:val="24"/>
        </w:rPr>
        <w:t>392</w:t>
      </w:r>
      <w:r w:rsidRPr="00171DD0">
        <w:rPr>
          <w:rFonts w:ascii="Calibri" w:hAnsi="Calibri" w:cs="Calibri"/>
          <w:noProof/>
          <w:szCs w:val="24"/>
        </w:rPr>
        <w:t>:1672–82. doi:10.1016/S0140-6736(18)32344-4</w:t>
      </w:r>
    </w:p>
    <w:p w14:paraId="0CBB4581"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4 </w:t>
      </w:r>
      <w:r w:rsidRPr="00171DD0">
        <w:rPr>
          <w:rFonts w:ascii="Calibri" w:hAnsi="Calibri" w:cs="Calibri"/>
          <w:noProof/>
          <w:szCs w:val="24"/>
        </w:rPr>
        <w:tab/>
        <w:t xml:space="preserve">Judge A, Cooper C, Williams SUE, </w:t>
      </w:r>
      <w:r w:rsidRPr="00171DD0">
        <w:rPr>
          <w:rFonts w:ascii="Calibri" w:hAnsi="Calibri" w:cs="Calibri"/>
          <w:i/>
          <w:iCs/>
          <w:noProof/>
          <w:szCs w:val="24"/>
        </w:rPr>
        <w:t>et al.</w:t>
      </w:r>
      <w:r w:rsidRPr="00171DD0">
        <w:rPr>
          <w:rFonts w:ascii="Calibri" w:hAnsi="Calibri" w:cs="Calibri"/>
          <w:noProof/>
          <w:szCs w:val="24"/>
        </w:rPr>
        <w:t xml:space="preserve"> Patient-Reported Outcomes One Year After Primary Hip Replacement in a European Collaborative Cohort. 2010;</w:t>
      </w:r>
      <w:r w:rsidRPr="00171DD0">
        <w:rPr>
          <w:rFonts w:ascii="Calibri" w:hAnsi="Calibri" w:cs="Calibri"/>
          <w:b/>
          <w:bCs/>
          <w:noProof/>
          <w:szCs w:val="24"/>
        </w:rPr>
        <w:t>62</w:t>
      </w:r>
      <w:r w:rsidRPr="00171DD0">
        <w:rPr>
          <w:rFonts w:ascii="Calibri" w:hAnsi="Calibri" w:cs="Calibri"/>
          <w:noProof/>
          <w:szCs w:val="24"/>
        </w:rPr>
        <w:t>:480–8. doi:10.1002/acr.20038</w:t>
      </w:r>
    </w:p>
    <w:p w14:paraId="076622A2"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5 </w:t>
      </w:r>
      <w:r w:rsidRPr="00171DD0">
        <w:rPr>
          <w:rFonts w:ascii="Calibri" w:hAnsi="Calibri" w:cs="Calibri"/>
          <w:noProof/>
          <w:szCs w:val="24"/>
        </w:rPr>
        <w:tab/>
        <w:t xml:space="preserve">Daigle ME, Weinstein AM, Katz JN, </w:t>
      </w:r>
      <w:r w:rsidRPr="00171DD0">
        <w:rPr>
          <w:rFonts w:ascii="Calibri" w:hAnsi="Calibri" w:cs="Calibri"/>
          <w:i/>
          <w:iCs/>
          <w:noProof/>
          <w:szCs w:val="24"/>
        </w:rPr>
        <w:t>et al.</w:t>
      </w:r>
      <w:r w:rsidRPr="00171DD0">
        <w:rPr>
          <w:rFonts w:ascii="Calibri" w:hAnsi="Calibri" w:cs="Calibri"/>
          <w:noProof/>
          <w:szCs w:val="24"/>
        </w:rPr>
        <w:t xml:space="preserve"> The cost-effectiveness of total joint arthroplasty: A systematic review of published literature. </w:t>
      </w:r>
      <w:r w:rsidRPr="00171DD0">
        <w:rPr>
          <w:rFonts w:ascii="Calibri" w:hAnsi="Calibri" w:cs="Calibri"/>
          <w:i/>
          <w:iCs/>
          <w:noProof/>
          <w:szCs w:val="24"/>
        </w:rPr>
        <w:t>Best Pract Res Clin Rheumatol</w:t>
      </w:r>
      <w:r w:rsidRPr="00171DD0">
        <w:rPr>
          <w:rFonts w:ascii="Calibri" w:hAnsi="Calibri" w:cs="Calibri"/>
          <w:noProof/>
          <w:szCs w:val="24"/>
        </w:rPr>
        <w:t xml:space="preserve"> 2012;</w:t>
      </w:r>
      <w:r w:rsidRPr="00171DD0">
        <w:rPr>
          <w:rFonts w:ascii="Calibri" w:hAnsi="Calibri" w:cs="Calibri"/>
          <w:b/>
          <w:bCs/>
          <w:noProof/>
          <w:szCs w:val="24"/>
        </w:rPr>
        <w:t>26</w:t>
      </w:r>
      <w:r w:rsidRPr="00171DD0">
        <w:rPr>
          <w:rFonts w:ascii="Calibri" w:hAnsi="Calibri" w:cs="Calibri"/>
          <w:noProof/>
          <w:szCs w:val="24"/>
        </w:rPr>
        <w:t>:649–58. doi:10.1016/j.berh.2012.07.013</w:t>
      </w:r>
    </w:p>
    <w:p w14:paraId="744B603D"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6 </w:t>
      </w:r>
      <w:r w:rsidRPr="00171DD0">
        <w:rPr>
          <w:rFonts w:ascii="Calibri" w:hAnsi="Calibri" w:cs="Calibri"/>
          <w:noProof/>
          <w:szCs w:val="24"/>
        </w:rPr>
        <w:tab/>
        <w:t>NICE. Osteoarthritis: Care and management in adults (Clinical guideline CG177). 2014.</w:t>
      </w:r>
    </w:p>
    <w:p w14:paraId="0AB7F7A1"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7 </w:t>
      </w:r>
      <w:r w:rsidRPr="00171DD0">
        <w:rPr>
          <w:rFonts w:ascii="Calibri" w:hAnsi="Calibri" w:cs="Calibri"/>
          <w:noProof/>
          <w:szCs w:val="24"/>
        </w:rPr>
        <w:tab/>
        <w:t xml:space="preserve">Shaw D. Delaying surgery for obese patients or smokers is a bad idea. </w:t>
      </w:r>
      <w:r w:rsidRPr="00171DD0">
        <w:rPr>
          <w:rFonts w:ascii="Calibri" w:hAnsi="Calibri" w:cs="Calibri"/>
          <w:i/>
          <w:iCs/>
          <w:noProof/>
          <w:szCs w:val="24"/>
        </w:rPr>
        <w:t>Bmj</w:t>
      </w:r>
      <w:r w:rsidRPr="00171DD0">
        <w:rPr>
          <w:rFonts w:ascii="Calibri" w:hAnsi="Calibri" w:cs="Calibri"/>
          <w:noProof/>
          <w:szCs w:val="24"/>
        </w:rPr>
        <w:t xml:space="preserve"> 2016;</w:t>
      </w:r>
      <w:r w:rsidRPr="00171DD0">
        <w:rPr>
          <w:rFonts w:ascii="Calibri" w:hAnsi="Calibri" w:cs="Calibri"/>
          <w:b/>
          <w:bCs/>
          <w:noProof/>
          <w:szCs w:val="24"/>
        </w:rPr>
        <w:t>5594</w:t>
      </w:r>
      <w:r w:rsidRPr="00171DD0">
        <w:rPr>
          <w:rFonts w:ascii="Calibri" w:hAnsi="Calibri" w:cs="Calibri"/>
          <w:noProof/>
          <w:szCs w:val="24"/>
        </w:rPr>
        <w:t>:i5594. doi:10.1136/bmj.i5594</w:t>
      </w:r>
    </w:p>
    <w:p w14:paraId="4EA38B84"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8 </w:t>
      </w:r>
      <w:r w:rsidRPr="00171DD0">
        <w:rPr>
          <w:rFonts w:ascii="Calibri" w:hAnsi="Calibri" w:cs="Calibri"/>
          <w:noProof/>
          <w:szCs w:val="24"/>
        </w:rPr>
        <w:tab/>
        <w:t>The Royal College of Surgeons of England. Smokers and overweight patients soft targets for NHS savings. 2016.</w:t>
      </w:r>
    </w:p>
    <w:p w14:paraId="732C3159"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9 </w:t>
      </w:r>
      <w:r w:rsidRPr="00171DD0">
        <w:rPr>
          <w:rFonts w:ascii="Calibri" w:hAnsi="Calibri" w:cs="Calibri"/>
          <w:noProof/>
          <w:szCs w:val="24"/>
        </w:rPr>
        <w:tab/>
        <w:t xml:space="preserve">Judge A, Arden NK, Batra RN, </w:t>
      </w:r>
      <w:r w:rsidRPr="00171DD0">
        <w:rPr>
          <w:rFonts w:ascii="Calibri" w:hAnsi="Calibri" w:cs="Calibri"/>
          <w:i/>
          <w:iCs/>
          <w:noProof/>
          <w:szCs w:val="24"/>
        </w:rPr>
        <w:t>et al.</w:t>
      </w:r>
      <w:r w:rsidRPr="00171DD0">
        <w:rPr>
          <w:rFonts w:ascii="Calibri" w:hAnsi="Calibri" w:cs="Calibri"/>
          <w:noProof/>
          <w:szCs w:val="24"/>
        </w:rPr>
        <w:t xml:space="preserve"> The association of patient characteristics and surgical variables on symptoms of pain and function over 5 years following primary hip-replacement surgery: a prospective cohort study. </w:t>
      </w:r>
      <w:r w:rsidRPr="00171DD0">
        <w:rPr>
          <w:rFonts w:ascii="Calibri" w:hAnsi="Calibri" w:cs="Calibri"/>
          <w:i/>
          <w:iCs/>
          <w:noProof/>
          <w:szCs w:val="24"/>
        </w:rPr>
        <w:t>BMJ Open</w:t>
      </w:r>
      <w:r w:rsidRPr="00171DD0">
        <w:rPr>
          <w:rFonts w:ascii="Calibri" w:hAnsi="Calibri" w:cs="Calibri"/>
          <w:noProof/>
          <w:szCs w:val="24"/>
        </w:rPr>
        <w:t xml:space="preserve"> 2013;</w:t>
      </w:r>
      <w:r w:rsidRPr="00171DD0">
        <w:rPr>
          <w:rFonts w:ascii="Calibri" w:hAnsi="Calibri" w:cs="Calibri"/>
          <w:b/>
          <w:bCs/>
          <w:noProof/>
          <w:szCs w:val="24"/>
        </w:rPr>
        <w:t>3</w:t>
      </w:r>
      <w:r w:rsidRPr="00171DD0">
        <w:rPr>
          <w:rFonts w:ascii="Calibri" w:hAnsi="Calibri" w:cs="Calibri"/>
          <w:noProof/>
          <w:szCs w:val="24"/>
        </w:rPr>
        <w:t>:e002453. doi:10.1136/bmjopen-2012-002453</w:t>
      </w:r>
    </w:p>
    <w:p w14:paraId="016E20D7" w14:textId="77777777" w:rsidR="00171DD0" w:rsidRPr="00CC6456" w:rsidRDefault="00171DD0" w:rsidP="00171DD0">
      <w:pPr>
        <w:widowControl w:val="0"/>
        <w:autoSpaceDE w:val="0"/>
        <w:autoSpaceDN w:val="0"/>
        <w:adjustRightInd w:val="0"/>
        <w:spacing w:line="360" w:lineRule="auto"/>
        <w:ind w:left="640" w:hanging="640"/>
        <w:rPr>
          <w:rFonts w:ascii="Calibri" w:hAnsi="Calibri" w:cs="Calibri"/>
          <w:noProof/>
          <w:szCs w:val="24"/>
          <w:lang w:val="es-ES"/>
        </w:rPr>
      </w:pPr>
      <w:r w:rsidRPr="00171DD0">
        <w:rPr>
          <w:rFonts w:ascii="Calibri" w:hAnsi="Calibri" w:cs="Calibri"/>
          <w:noProof/>
          <w:szCs w:val="24"/>
        </w:rPr>
        <w:t xml:space="preserve">10 </w:t>
      </w:r>
      <w:r w:rsidRPr="00171DD0">
        <w:rPr>
          <w:rFonts w:ascii="Calibri" w:hAnsi="Calibri" w:cs="Calibri"/>
          <w:noProof/>
          <w:szCs w:val="24"/>
        </w:rPr>
        <w:tab/>
        <w:t xml:space="preserve">Judge A, Batra RN, Thomas GE, </w:t>
      </w:r>
      <w:r w:rsidRPr="00171DD0">
        <w:rPr>
          <w:rFonts w:ascii="Calibri" w:hAnsi="Calibri" w:cs="Calibri"/>
          <w:i/>
          <w:iCs/>
          <w:noProof/>
          <w:szCs w:val="24"/>
        </w:rPr>
        <w:t>et al.</w:t>
      </w:r>
      <w:r w:rsidRPr="00171DD0">
        <w:rPr>
          <w:rFonts w:ascii="Calibri" w:hAnsi="Calibri" w:cs="Calibri"/>
          <w:noProof/>
          <w:szCs w:val="24"/>
        </w:rPr>
        <w:t xml:space="preserve"> Body mass index is not a clinically meaningful predictor of patient reported outcomes of primary hip replacement surgery: prospective cohort study. </w:t>
      </w:r>
      <w:r w:rsidRPr="00CC6456">
        <w:rPr>
          <w:rFonts w:ascii="Calibri" w:hAnsi="Calibri" w:cs="Calibri"/>
          <w:i/>
          <w:iCs/>
          <w:noProof/>
          <w:szCs w:val="24"/>
          <w:lang w:val="es-ES"/>
        </w:rPr>
        <w:t>Osteoarthritis Cartilage</w:t>
      </w:r>
      <w:r w:rsidRPr="00CC6456">
        <w:rPr>
          <w:rFonts w:ascii="Calibri" w:hAnsi="Calibri" w:cs="Calibri"/>
          <w:noProof/>
          <w:szCs w:val="24"/>
          <w:lang w:val="es-ES"/>
        </w:rPr>
        <w:t xml:space="preserve"> 2014;</w:t>
      </w:r>
      <w:r w:rsidRPr="00CC6456">
        <w:rPr>
          <w:rFonts w:ascii="Calibri" w:hAnsi="Calibri" w:cs="Calibri"/>
          <w:b/>
          <w:bCs/>
          <w:noProof/>
          <w:szCs w:val="24"/>
          <w:lang w:val="es-ES"/>
        </w:rPr>
        <w:t>22</w:t>
      </w:r>
      <w:r w:rsidRPr="00CC6456">
        <w:rPr>
          <w:rFonts w:ascii="Calibri" w:hAnsi="Calibri" w:cs="Calibri"/>
          <w:noProof/>
          <w:szCs w:val="24"/>
          <w:lang w:val="es-ES"/>
        </w:rPr>
        <w:t>:431–9. doi:10.1016/j.joca.2013.12.018</w:t>
      </w:r>
    </w:p>
    <w:p w14:paraId="78EE952B"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CC6456">
        <w:rPr>
          <w:rFonts w:ascii="Calibri" w:hAnsi="Calibri" w:cs="Calibri"/>
          <w:noProof/>
          <w:szCs w:val="24"/>
          <w:lang w:val="es-ES"/>
        </w:rPr>
        <w:t xml:space="preserve">11 </w:t>
      </w:r>
      <w:r w:rsidRPr="00CC6456">
        <w:rPr>
          <w:rFonts w:ascii="Calibri" w:hAnsi="Calibri" w:cs="Calibri"/>
          <w:noProof/>
          <w:szCs w:val="24"/>
          <w:lang w:val="es-ES"/>
        </w:rPr>
        <w:tab/>
        <w:t xml:space="preserve">Bischoff-Ferrari HA, Lingard EA, Losina E, </w:t>
      </w:r>
      <w:r w:rsidRPr="00CC6456">
        <w:rPr>
          <w:rFonts w:ascii="Calibri" w:hAnsi="Calibri" w:cs="Calibri"/>
          <w:i/>
          <w:iCs/>
          <w:noProof/>
          <w:szCs w:val="24"/>
          <w:lang w:val="es-ES"/>
        </w:rPr>
        <w:t>et al.</w:t>
      </w:r>
      <w:r w:rsidRPr="00CC6456">
        <w:rPr>
          <w:rFonts w:ascii="Calibri" w:hAnsi="Calibri" w:cs="Calibri"/>
          <w:noProof/>
          <w:szCs w:val="24"/>
          <w:lang w:val="es-ES"/>
        </w:rPr>
        <w:t xml:space="preserve"> </w:t>
      </w:r>
      <w:r w:rsidRPr="00171DD0">
        <w:rPr>
          <w:rFonts w:ascii="Calibri" w:hAnsi="Calibri" w:cs="Calibri"/>
          <w:noProof/>
          <w:szCs w:val="24"/>
        </w:rPr>
        <w:t xml:space="preserve">Psychosocial and geriatric correlates of functional status after total hip replacement. </w:t>
      </w:r>
      <w:r w:rsidRPr="00171DD0">
        <w:rPr>
          <w:rFonts w:ascii="Calibri" w:hAnsi="Calibri" w:cs="Calibri"/>
          <w:i/>
          <w:iCs/>
          <w:noProof/>
          <w:szCs w:val="24"/>
        </w:rPr>
        <w:t>Arthritis Care Res</w:t>
      </w:r>
      <w:r w:rsidRPr="00171DD0">
        <w:rPr>
          <w:rFonts w:ascii="Calibri" w:hAnsi="Calibri" w:cs="Calibri"/>
          <w:noProof/>
          <w:szCs w:val="24"/>
        </w:rPr>
        <w:t xml:space="preserve"> 2004;</w:t>
      </w:r>
      <w:r w:rsidRPr="00171DD0">
        <w:rPr>
          <w:rFonts w:ascii="Calibri" w:hAnsi="Calibri" w:cs="Calibri"/>
          <w:b/>
          <w:bCs/>
          <w:noProof/>
          <w:szCs w:val="24"/>
        </w:rPr>
        <w:t>51</w:t>
      </w:r>
      <w:r w:rsidRPr="00171DD0">
        <w:rPr>
          <w:rFonts w:ascii="Calibri" w:hAnsi="Calibri" w:cs="Calibri"/>
          <w:noProof/>
          <w:szCs w:val="24"/>
        </w:rPr>
        <w:t>:829–35. doi:10.1002/art.20691</w:t>
      </w:r>
    </w:p>
    <w:p w14:paraId="73DD943F"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12 </w:t>
      </w:r>
      <w:r w:rsidRPr="00171DD0">
        <w:rPr>
          <w:rFonts w:ascii="Calibri" w:hAnsi="Calibri" w:cs="Calibri"/>
          <w:noProof/>
          <w:szCs w:val="24"/>
        </w:rPr>
        <w:tab/>
        <w:t xml:space="preserve">Sadr Azodi O, Bellocco R, Eriksson K, </w:t>
      </w:r>
      <w:r w:rsidRPr="00171DD0">
        <w:rPr>
          <w:rFonts w:ascii="Calibri" w:hAnsi="Calibri" w:cs="Calibri"/>
          <w:i/>
          <w:iCs/>
          <w:noProof/>
          <w:szCs w:val="24"/>
        </w:rPr>
        <w:t>et al.</w:t>
      </w:r>
      <w:r w:rsidRPr="00171DD0">
        <w:rPr>
          <w:rFonts w:ascii="Calibri" w:hAnsi="Calibri" w:cs="Calibri"/>
          <w:noProof/>
          <w:szCs w:val="24"/>
        </w:rPr>
        <w:t xml:space="preserve"> The impact of tobacco use and body mass index on the length of stay in hospital and the risk of post-operative complications among patients undergoing total hip replacement. </w:t>
      </w:r>
      <w:r w:rsidRPr="00171DD0">
        <w:rPr>
          <w:rFonts w:ascii="Calibri" w:hAnsi="Calibri" w:cs="Calibri"/>
          <w:i/>
          <w:iCs/>
          <w:noProof/>
          <w:szCs w:val="24"/>
        </w:rPr>
        <w:t>J Bone Jt Surg - Br Vol</w:t>
      </w:r>
      <w:r w:rsidRPr="00171DD0">
        <w:rPr>
          <w:rFonts w:ascii="Calibri" w:hAnsi="Calibri" w:cs="Calibri"/>
          <w:noProof/>
          <w:szCs w:val="24"/>
        </w:rPr>
        <w:t xml:space="preserve"> 2006;</w:t>
      </w:r>
      <w:r w:rsidRPr="00171DD0">
        <w:rPr>
          <w:rFonts w:ascii="Calibri" w:hAnsi="Calibri" w:cs="Calibri"/>
          <w:b/>
          <w:bCs/>
          <w:noProof/>
          <w:szCs w:val="24"/>
        </w:rPr>
        <w:t>88</w:t>
      </w:r>
      <w:r w:rsidRPr="00171DD0">
        <w:rPr>
          <w:rFonts w:ascii="Calibri" w:hAnsi="Calibri" w:cs="Calibri"/>
          <w:noProof/>
          <w:szCs w:val="24"/>
        </w:rPr>
        <w:t>–</w:t>
      </w:r>
      <w:r w:rsidRPr="00171DD0">
        <w:rPr>
          <w:rFonts w:ascii="Calibri" w:hAnsi="Calibri" w:cs="Calibri"/>
          <w:b/>
          <w:bCs/>
          <w:noProof/>
          <w:szCs w:val="24"/>
        </w:rPr>
        <w:t>B</w:t>
      </w:r>
      <w:r w:rsidRPr="00171DD0">
        <w:rPr>
          <w:rFonts w:ascii="Calibri" w:hAnsi="Calibri" w:cs="Calibri"/>
          <w:noProof/>
          <w:szCs w:val="24"/>
        </w:rPr>
        <w:t xml:space="preserve">:1316–20. </w:t>
      </w:r>
      <w:r w:rsidRPr="00171DD0">
        <w:rPr>
          <w:rFonts w:ascii="Calibri" w:hAnsi="Calibri" w:cs="Calibri"/>
          <w:noProof/>
          <w:szCs w:val="24"/>
        </w:rPr>
        <w:lastRenderedPageBreak/>
        <w:t>doi:10.1302/0301-620X.88B10.17957</w:t>
      </w:r>
    </w:p>
    <w:p w14:paraId="168D2369"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CC6456">
        <w:rPr>
          <w:rFonts w:ascii="Calibri" w:hAnsi="Calibri" w:cs="Calibri"/>
          <w:noProof/>
          <w:szCs w:val="24"/>
          <w:lang w:val="es-ES"/>
        </w:rPr>
        <w:t xml:space="preserve">13 </w:t>
      </w:r>
      <w:r w:rsidRPr="00CC6456">
        <w:rPr>
          <w:rFonts w:ascii="Calibri" w:hAnsi="Calibri" w:cs="Calibri"/>
          <w:noProof/>
          <w:szCs w:val="24"/>
          <w:lang w:val="es-ES"/>
        </w:rPr>
        <w:tab/>
        <w:t xml:space="preserve">Bjørnar̊ BT, Gudmundsen TE, Dahl OE. </w:t>
      </w:r>
      <w:r w:rsidRPr="00171DD0">
        <w:rPr>
          <w:rFonts w:ascii="Calibri" w:hAnsi="Calibri" w:cs="Calibri"/>
          <w:noProof/>
          <w:szCs w:val="24"/>
        </w:rPr>
        <w:t xml:space="preserve">Frequency and timing of clinical venous thromboembolism after major joint surgery. </w:t>
      </w:r>
      <w:r w:rsidRPr="00171DD0">
        <w:rPr>
          <w:rFonts w:ascii="Calibri" w:hAnsi="Calibri" w:cs="Calibri"/>
          <w:i/>
          <w:iCs/>
          <w:noProof/>
          <w:szCs w:val="24"/>
        </w:rPr>
        <w:t>J Bone Joint Surg Br</w:t>
      </w:r>
      <w:r w:rsidRPr="00171DD0">
        <w:rPr>
          <w:rFonts w:ascii="Calibri" w:hAnsi="Calibri" w:cs="Calibri"/>
          <w:noProof/>
          <w:szCs w:val="24"/>
        </w:rPr>
        <w:t xml:space="preserve"> 2006;</w:t>
      </w:r>
      <w:r w:rsidRPr="00171DD0">
        <w:rPr>
          <w:rFonts w:ascii="Calibri" w:hAnsi="Calibri" w:cs="Calibri"/>
          <w:b/>
          <w:bCs/>
          <w:noProof/>
          <w:szCs w:val="24"/>
        </w:rPr>
        <w:t>88</w:t>
      </w:r>
      <w:r w:rsidRPr="00171DD0">
        <w:rPr>
          <w:rFonts w:ascii="Calibri" w:hAnsi="Calibri" w:cs="Calibri"/>
          <w:noProof/>
          <w:szCs w:val="24"/>
        </w:rPr>
        <w:t>–</w:t>
      </w:r>
      <w:r w:rsidRPr="00171DD0">
        <w:rPr>
          <w:rFonts w:ascii="Calibri" w:hAnsi="Calibri" w:cs="Calibri"/>
          <w:b/>
          <w:bCs/>
          <w:noProof/>
          <w:szCs w:val="24"/>
        </w:rPr>
        <w:t>B</w:t>
      </w:r>
      <w:r w:rsidRPr="00171DD0">
        <w:rPr>
          <w:rFonts w:ascii="Calibri" w:hAnsi="Calibri" w:cs="Calibri"/>
          <w:noProof/>
          <w:szCs w:val="24"/>
        </w:rPr>
        <w:t>:386–91. doi:10.1302/0301-620x.88b3.17207</w:t>
      </w:r>
    </w:p>
    <w:p w14:paraId="3F9423A0"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14 </w:t>
      </w:r>
      <w:r w:rsidRPr="00171DD0">
        <w:rPr>
          <w:rFonts w:ascii="Calibri" w:hAnsi="Calibri" w:cs="Calibri"/>
          <w:noProof/>
          <w:szCs w:val="24"/>
        </w:rPr>
        <w:tab/>
        <w:t xml:space="preserve">Lee DK, Kim HJ, Lee DH. Incidence of deep vein thrombosis and venous thromboembolism following TKA in rheumatoid arthritis versus osteoarthritis: A meta-analysis. </w:t>
      </w:r>
      <w:r w:rsidRPr="00171DD0">
        <w:rPr>
          <w:rFonts w:ascii="Calibri" w:hAnsi="Calibri" w:cs="Calibri"/>
          <w:i/>
          <w:iCs/>
          <w:noProof/>
          <w:szCs w:val="24"/>
        </w:rPr>
        <w:t>PLoS One</w:t>
      </w:r>
      <w:r w:rsidRPr="00171DD0">
        <w:rPr>
          <w:rFonts w:ascii="Calibri" w:hAnsi="Calibri" w:cs="Calibri"/>
          <w:noProof/>
          <w:szCs w:val="24"/>
        </w:rPr>
        <w:t xml:space="preserve"> 2016;</w:t>
      </w:r>
      <w:r w:rsidRPr="00171DD0">
        <w:rPr>
          <w:rFonts w:ascii="Calibri" w:hAnsi="Calibri" w:cs="Calibri"/>
          <w:b/>
          <w:bCs/>
          <w:noProof/>
          <w:szCs w:val="24"/>
        </w:rPr>
        <w:t>11</w:t>
      </w:r>
      <w:r w:rsidRPr="00171DD0">
        <w:rPr>
          <w:rFonts w:ascii="Calibri" w:hAnsi="Calibri" w:cs="Calibri"/>
          <w:noProof/>
          <w:szCs w:val="24"/>
        </w:rPr>
        <w:t>:1–10. doi:10.1371/journal.pone.0166844</w:t>
      </w:r>
    </w:p>
    <w:p w14:paraId="3127789C"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15 </w:t>
      </w:r>
      <w:r w:rsidRPr="00171DD0">
        <w:rPr>
          <w:rFonts w:ascii="Calibri" w:hAnsi="Calibri" w:cs="Calibri"/>
          <w:noProof/>
          <w:szCs w:val="24"/>
        </w:rPr>
        <w:tab/>
        <w:t xml:space="preserve">Lalmohamed A, Vestergaard P, Klop C, </w:t>
      </w:r>
      <w:r w:rsidRPr="00171DD0">
        <w:rPr>
          <w:rFonts w:ascii="Calibri" w:hAnsi="Calibri" w:cs="Calibri"/>
          <w:i/>
          <w:iCs/>
          <w:noProof/>
          <w:szCs w:val="24"/>
        </w:rPr>
        <w:t>et al.</w:t>
      </w:r>
      <w:r w:rsidRPr="00171DD0">
        <w:rPr>
          <w:rFonts w:ascii="Calibri" w:hAnsi="Calibri" w:cs="Calibri"/>
          <w:noProof/>
          <w:szCs w:val="24"/>
        </w:rPr>
        <w:t xml:space="preserve"> Timing of acute myocardial infarction in patients undergoing total hip or knee replacement: a nationwide cohort study. </w:t>
      </w:r>
      <w:r w:rsidRPr="00171DD0">
        <w:rPr>
          <w:rFonts w:ascii="Calibri" w:hAnsi="Calibri" w:cs="Calibri"/>
          <w:i/>
          <w:iCs/>
          <w:noProof/>
          <w:szCs w:val="24"/>
        </w:rPr>
        <w:t>Arch Intern Med</w:t>
      </w:r>
      <w:r w:rsidRPr="00171DD0">
        <w:rPr>
          <w:rFonts w:ascii="Calibri" w:hAnsi="Calibri" w:cs="Calibri"/>
          <w:noProof/>
          <w:szCs w:val="24"/>
        </w:rPr>
        <w:t xml:space="preserve"> 2012;</w:t>
      </w:r>
      <w:r w:rsidRPr="00171DD0">
        <w:rPr>
          <w:rFonts w:ascii="Calibri" w:hAnsi="Calibri" w:cs="Calibri"/>
          <w:b/>
          <w:bCs/>
          <w:noProof/>
          <w:szCs w:val="24"/>
        </w:rPr>
        <w:t>172</w:t>
      </w:r>
      <w:r w:rsidRPr="00171DD0">
        <w:rPr>
          <w:rFonts w:ascii="Calibri" w:hAnsi="Calibri" w:cs="Calibri"/>
          <w:noProof/>
          <w:szCs w:val="24"/>
        </w:rPr>
        <w:t>:1229–35. doi:10.1001/archinternmed.2012.2713</w:t>
      </w:r>
    </w:p>
    <w:p w14:paraId="524AB716"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16 </w:t>
      </w:r>
      <w:r w:rsidRPr="00171DD0">
        <w:rPr>
          <w:rFonts w:ascii="Calibri" w:hAnsi="Calibri" w:cs="Calibri"/>
          <w:noProof/>
          <w:szCs w:val="24"/>
        </w:rPr>
        <w:tab/>
        <w:t xml:space="preserve">Giori NJ, Amanatullah DF, Gupta S, </w:t>
      </w:r>
      <w:r w:rsidRPr="00171DD0">
        <w:rPr>
          <w:rFonts w:ascii="Calibri" w:hAnsi="Calibri" w:cs="Calibri"/>
          <w:i/>
          <w:iCs/>
          <w:noProof/>
          <w:szCs w:val="24"/>
        </w:rPr>
        <w:t>et al.</w:t>
      </w:r>
      <w:r w:rsidRPr="00171DD0">
        <w:rPr>
          <w:rFonts w:ascii="Calibri" w:hAnsi="Calibri" w:cs="Calibri"/>
          <w:noProof/>
          <w:szCs w:val="24"/>
        </w:rPr>
        <w:t xml:space="preserve"> Risk Reduction Compared with Access to Care. </w:t>
      </w:r>
      <w:r w:rsidRPr="00171DD0">
        <w:rPr>
          <w:rFonts w:ascii="Calibri" w:hAnsi="Calibri" w:cs="Calibri"/>
          <w:i/>
          <w:iCs/>
          <w:noProof/>
          <w:szCs w:val="24"/>
        </w:rPr>
        <w:t>J Bone Jt Surg</w:t>
      </w:r>
      <w:r w:rsidRPr="00171DD0">
        <w:rPr>
          <w:rFonts w:ascii="Calibri" w:hAnsi="Calibri" w:cs="Calibri"/>
          <w:noProof/>
          <w:szCs w:val="24"/>
        </w:rPr>
        <w:t xml:space="preserve"> 2018;</w:t>
      </w:r>
      <w:r w:rsidRPr="00171DD0">
        <w:rPr>
          <w:rFonts w:ascii="Calibri" w:hAnsi="Calibri" w:cs="Calibri"/>
          <w:b/>
          <w:bCs/>
          <w:noProof/>
          <w:szCs w:val="24"/>
        </w:rPr>
        <w:t>100</w:t>
      </w:r>
      <w:r w:rsidRPr="00171DD0">
        <w:rPr>
          <w:rFonts w:ascii="Calibri" w:hAnsi="Calibri" w:cs="Calibri"/>
          <w:noProof/>
          <w:szCs w:val="24"/>
        </w:rPr>
        <w:t>:539–45. doi:10.2106/JBJS.17.00120</w:t>
      </w:r>
    </w:p>
    <w:p w14:paraId="175EAC99"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17 </w:t>
      </w:r>
      <w:r w:rsidRPr="00171DD0">
        <w:rPr>
          <w:rFonts w:ascii="Calibri" w:hAnsi="Calibri" w:cs="Calibri"/>
          <w:noProof/>
          <w:szCs w:val="24"/>
        </w:rPr>
        <w:tab/>
        <w:t xml:space="preserve">Greidanus N V, Peterson RC, Masri BA, </w:t>
      </w:r>
      <w:r w:rsidRPr="00171DD0">
        <w:rPr>
          <w:rFonts w:ascii="Calibri" w:hAnsi="Calibri" w:cs="Calibri"/>
          <w:i/>
          <w:iCs/>
          <w:noProof/>
          <w:szCs w:val="24"/>
        </w:rPr>
        <w:t>et al.</w:t>
      </w:r>
      <w:r w:rsidRPr="00171DD0">
        <w:rPr>
          <w:rFonts w:ascii="Calibri" w:hAnsi="Calibri" w:cs="Calibri"/>
          <w:noProof/>
          <w:szCs w:val="24"/>
        </w:rPr>
        <w:t xml:space="preserve"> Quality of life outcomes in revision versus primary total knee arthroplasty. </w:t>
      </w:r>
      <w:r w:rsidRPr="00171DD0">
        <w:rPr>
          <w:rFonts w:ascii="Calibri" w:hAnsi="Calibri" w:cs="Calibri"/>
          <w:i/>
          <w:iCs/>
          <w:noProof/>
          <w:szCs w:val="24"/>
        </w:rPr>
        <w:t>J Arthroplasty</w:t>
      </w:r>
      <w:r w:rsidRPr="00171DD0">
        <w:rPr>
          <w:rFonts w:ascii="Calibri" w:hAnsi="Calibri" w:cs="Calibri"/>
          <w:noProof/>
          <w:szCs w:val="24"/>
        </w:rPr>
        <w:t xml:space="preserve"> 2011;</w:t>
      </w:r>
      <w:r w:rsidRPr="00171DD0">
        <w:rPr>
          <w:rFonts w:ascii="Calibri" w:hAnsi="Calibri" w:cs="Calibri"/>
          <w:b/>
          <w:bCs/>
          <w:noProof/>
          <w:szCs w:val="24"/>
        </w:rPr>
        <w:t>26</w:t>
      </w:r>
      <w:r w:rsidRPr="00171DD0">
        <w:rPr>
          <w:rFonts w:ascii="Calibri" w:hAnsi="Calibri" w:cs="Calibri"/>
          <w:noProof/>
          <w:szCs w:val="24"/>
        </w:rPr>
        <w:t>:615–20. doi:10.1016/j.arth.2010.04.026</w:t>
      </w:r>
    </w:p>
    <w:p w14:paraId="261028C0"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18 </w:t>
      </w:r>
      <w:r w:rsidRPr="00171DD0">
        <w:rPr>
          <w:rFonts w:ascii="Calibri" w:hAnsi="Calibri" w:cs="Calibri"/>
          <w:noProof/>
          <w:szCs w:val="24"/>
        </w:rPr>
        <w:tab/>
        <w:t xml:space="preserve">Burn E, CJ E, DW M, </w:t>
      </w:r>
      <w:r w:rsidRPr="00171DD0">
        <w:rPr>
          <w:rFonts w:ascii="Calibri" w:hAnsi="Calibri" w:cs="Calibri"/>
          <w:i/>
          <w:iCs/>
          <w:noProof/>
          <w:szCs w:val="24"/>
        </w:rPr>
        <w:t>et al.</w:t>
      </w:r>
      <w:r w:rsidRPr="00171DD0">
        <w:rPr>
          <w:rFonts w:ascii="Calibri" w:hAnsi="Calibri" w:cs="Calibri"/>
          <w:noProof/>
          <w:szCs w:val="24"/>
        </w:rPr>
        <w:t xml:space="preserve"> Trends and determinants of length of stay and hospital reimbursement following knee and hip replacement: evidence from linked primary care and NHS hospital records from 1997 to 2014. </w:t>
      </w:r>
      <w:r w:rsidRPr="00171DD0">
        <w:rPr>
          <w:rFonts w:ascii="Calibri" w:hAnsi="Calibri" w:cs="Calibri"/>
          <w:i/>
          <w:iCs/>
          <w:noProof/>
          <w:szCs w:val="24"/>
        </w:rPr>
        <w:t>BMJ Open</w:t>
      </w:r>
    </w:p>
    <w:p w14:paraId="54F805F2" w14:textId="77777777" w:rsidR="00171DD0" w:rsidRPr="00CC6456" w:rsidRDefault="00171DD0" w:rsidP="00171DD0">
      <w:pPr>
        <w:widowControl w:val="0"/>
        <w:autoSpaceDE w:val="0"/>
        <w:autoSpaceDN w:val="0"/>
        <w:adjustRightInd w:val="0"/>
        <w:spacing w:line="360" w:lineRule="auto"/>
        <w:ind w:left="640" w:hanging="640"/>
        <w:rPr>
          <w:rFonts w:ascii="Calibri" w:hAnsi="Calibri" w:cs="Calibri"/>
          <w:noProof/>
          <w:szCs w:val="24"/>
          <w:lang w:val="es-ES"/>
        </w:rPr>
      </w:pPr>
      <w:r w:rsidRPr="00171DD0">
        <w:rPr>
          <w:rFonts w:ascii="Calibri" w:hAnsi="Calibri" w:cs="Calibri"/>
          <w:noProof/>
          <w:szCs w:val="24"/>
        </w:rPr>
        <w:t xml:space="preserve">19 </w:t>
      </w:r>
      <w:r w:rsidRPr="00171DD0">
        <w:rPr>
          <w:rFonts w:ascii="Calibri" w:hAnsi="Calibri" w:cs="Calibri"/>
          <w:noProof/>
          <w:szCs w:val="24"/>
        </w:rPr>
        <w:tab/>
        <w:t xml:space="preserve">Herrett E, Gallagher AM, Bhaskaran K, </w:t>
      </w:r>
      <w:r w:rsidRPr="00171DD0">
        <w:rPr>
          <w:rFonts w:ascii="Calibri" w:hAnsi="Calibri" w:cs="Calibri"/>
          <w:i/>
          <w:iCs/>
          <w:noProof/>
          <w:szCs w:val="24"/>
        </w:rPr>
        <w:t>et al.</w:t>
      </w:r>
      <w:r w:rsidRPr="00171DD0">
        <w:rPr>
          <w:rFonts w:ascii="Calibri" w:hAnsi="Calibri" w:cs="Calibri"/>
          <w:noProof/>
          <w:szCs w:val="24"/>
        </w:rPr>
        <w:t xml:space="preserve"> Data Resource Profile: Clinical Practice Research Datalink (CPRD). </w:t>
      </w:r>
      <w:r w:rsidRPr="00CC6456">
        <w:rPr>
          <w:rFonts w:ascii="Calibri" w:hAnsi="Calibri" w:cs="Calibri"/>
          <w:i/>
          <w:iCs/>
          <w:noProof/>
          <w:szCs w:val="24"/>
          <w:lang w:val="es-ES"/>
        </w:rPr>
        <w:t>Int J Epidemiol</w:t>
      </w:r>
      <w:r w:rsidRPr="00CC6456">
        <w:rPr>
          <w:rFonts w:ascii="Calibri" w:hAnsi="Calibri" w:cs="Calibri"/>
          <w:noProof/>
          <w:szCs w:val="24"/>
          <w:lang w:val="es-ES"/>
        </w:rPr>
        <w:t xml:space="preserve"> 2015;</w:t>
      </w:r>
      <w:r w:rsidRPr="00CC6456">
        <w:rPr>
          <w:rFonts w:ascii="Calibri" w:hAnsi="Calibri" w:cs="Calibri"/>
          <w:b/>
          <w:bCs/>
          <w:noProof/>
          <w:szCs w:val="24"/>
          <w:lang w:val="es-ES"/>
        </w:rPr>
        <w:t>44</w:t>
      </w:r>
      <w:r w:rsidRPr="00CC6456">
        <w:rPr>
          <w:rFonts w:ascii="Calibri" w:hAnsi="Calibri" w:cs="Calibri"/>
          <w:noProof/>
          <w:szCs w:val="24"/>
          <w:lang w:val="es-ES"/>
        </w:rPr>
        <w:t>:827–36. doi:10.1093/ije/dyv098</w:t>
      </w:r>
    </w:p>
    <w:p w14:paraId="4A08F798"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CC6456">
        <w:rPr>
          <w:rFonts w:ascii="Calibri" w:hAnsi="Calibri" w:cs="Calibri"/>
          <w:noProof/>
          <w:szCs w:val="24"/>
          <w:lang w:val="es-ES"/>
        </w:rPr>
        <w:t xml:space="preserve">20 </w:t>
      </w:r>
      <w:r w:rsidRPr="00CC6456">
        <w:rPr>
          <w:rFonts w:ascii="Calibri" w:hAnsi="Calibri" w:cs="Calibri"/>
          <w:noProof/>
          <w:szCs w:val="24"/>
          <w:lang w:val="es-ES"/>
        </w:rPr>
        <w:tab/>
        <w:t xml:space="preserve">Armitage JN, Van Der Meulen JH. </w:t>
      </w:r>
      <w:r w:rsidRPr="00171DD0">
        <w:rPr>
          <w:rFonts w:ascii="Calibri" w:hAnsi="Calibri" w:cs="Calibri"/>
          <w:noProof/>
          <w:szCs w:val="24"/>
        </w:rPr>
        <w:t xml:space="preserve">Identifying co-morbidity in surgical patients using administrative data with the Royal College of Surgeons Charlson Score. </w:t>
      </w:r>
      <w:r w:rsidRPr="00171DD0">
        <w:rPr>
          <w:rFonts w:ascii="Calibri" w:hAnsi="Calibri" w:cs="Calibri"/>
          <w:i/>
          <w:iCs/>
          <w:noProof/>
          <w:szCs w:val="24"/>
        </w:rPr>
        <w:t>Br J Surg</w:t>
      </w:r>
      <w:r w:rsidRPr="00171DD0">
        <w:rPr>
          <w:rFonts w:ascii="Calibri" w:hAnsi="Calibri" w:cs="Calibri"/>
          <w:noProof/>
          <w:szCs w:val="24"/>
        </w:rPr>
        <w:t xml:space="preserve"> 2010;</w:t>
      </w:r>
      <w:r w:rsidRPr="00171DD0">
        <w:rPr>
          <w:rFonts w:ascii="Calibri" w:hAnsi="Calibri" w:cs="Calibri"/>
          <w:b/>
          <w:bCs/>
          <w:noProof/>
          <w:szCs w:val="24"/>
        </w:rPr>
        <w:t>97</w:t>
      </w:r>
      <w:r w:rsidRPr="00171DD0">
        <w:rPr>
          <w:rFonts w:ascii="Calibri" w:hAnsi="Calibri" w:cs="Calibri"/>
          <w:noProof/>
          <w:szCs w:val="24"/>
        </w:rPr>
        <w:t>:772–81. doi:10.1002/bjs.6930</w:t>
      </w:r>
    </w:p>
    <w:p w14:paraId="550F6486"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21 </w:t>
      </w:r>
      <w:r w:rsidRPr="00171DD0">
        <w:rPr>
          <w:rFonts w:ascii="Calibri" w:hAnsi="Calibri" w:cs="Calibri"/>
          <w:noProof/>
          <w:szCs w:val="24"/>
        </w:rPr>
        <w:tab/>
        <w:t xml:space="preserve">Lau B, Cole SR, Gange SJ. Parametric mixture models to evaluate and summarize hazard ratios in the presence of competing risks with time-dependent hazards and delayed entry. </w:t>
      </w:r>
      <w:r w:rsidRPr="00171DD0">
        <w:rPr>
          <w:rFonts w:ascii="Calibri" w:hAnsi="Calibri" w:cs="Calibri"/>
          <w:i/>
          <w:iCs/>
          <w:noProof/>
          <w:szCs w:val="24"/>
        </w:rPr>
        <w:t>Stat Med</w:t>
      </w:r>
      <w:r w:rsidRPr="00171DD0">
        <w:rPr>
          <w:rFonts w:ascii="Calibri" w:hAnsi="Calibri" w:cs="Calibri"/>
          <w:noProof/>
          <w:szCs w:val="24"/>
        </w:rPr>
        <w:t xml:space="preserve"> 2011;</w:t>
      </w:r>
      <w:r w:rsidRPr="00171DD0">
        <w:rPr>
          <w:rFonts w:ascii="Calibri" w:hAnsi="Calibri" w:cs="Calibri"/>
          <w:b/>
          <w:bCs/>
          <w:noProof/>
          <w:szCs w:val="24"/>
        </w:rPr>
        <w:t>30</w:t>
      </w:r>
      <w:r w:rsidRPr="00171DD0">
        <w:rPr>
          <w:rFonts w:ascii="Calibri" w:hAnsi="Calibri" w:cs="Calibri"/>
          <w:noProof/>
          <w:szCs w:val="24"/>
        </w:rPr>
        <w:t>:654–65. doi:10.1002/sim.4123</w:t>
      </w:r>
    </w:p>
    <w:p w14:paraId="4A904E82"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22 </w:t>
      </w:r>
      <w:r w:rsidRPr="00171DD0">
        <w:rPr>
          <w:rFonts w:ascii="Calibri" w:hAnsi="Calibri" w:cs="Calibri"/>
          <w:noProof/>
          <w:szCs w:val="24"/>
        </w:rPr>
        <w:tab/>
        <w:t xml:space="preserve">White IR, Royston P, Wood AM. Multiple imputation using chained equations: Issues and guidance for practice. </w:t>
      </w:r>
      <w:r w:rsidRPr="00171DD0">
        <w:rPr>
          <w:rFonts w:ascii="Calibri" w:hAnsi="Calibri" w:cs="Calibri"/>
          <w:i/>
          <w:iCs/>
          <w:noProof/>
          <w:szCs w:val="24"/>
        </w:rPr>
        <w:t>Stat Med</w:t>
      </w:r>
      <w:r w:rsidRPr="00171DD0">
        <w:rPr>
          <w:rFonts w:ascii="Calibri" w:hAnsi="Calibri" w:cs="Calibri"/>
          <w:noProof/>
          <w:szCs w:val="24"/>
        </w:rPr>
        <w:t xml:space="preserve"> 2011;</w:t>
      </w:r>
      <w:r w:rsidRPr="00171DD0">
        <w:rPr>
          <w:rFonts w:ascii="Calibri" w:hAnsi="Calibri" w:cs="Calibri"/>
          <w:b/>
          <w:bCs/>
          <w:noProof/>
          <w:szCs w:val="24"/>
        </w:rPr>
        <w:t>30</w:t>
      </w:r>
      <w:r w:rsidRPr="00171DD0">
        <w:rPr>
          <w:rFonts w:ascii="Calibri" w:hAnsi="Calibri" w:cs="Calibri"/>
          <w:noProof/>
          <w:szCs w:val="24"/>
        </w:rPr>
        <w:t>:377–99. doi:10.1002/sim.4067</w:t>
      </w:r>
    </w:p>
    <w:p w14:paraId="1D20A54C"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23 </w:t>
      </w:r>
      <w:r w:rsidRPr="00171DD0">
        <w:rPr>
          <w:rFonts w:ascii="Calibri" w:hAnsi="Calibri" w:cs="Calibri"/>
          <w:noProof/>
          <w:szCs w:val="24"/>
        </w:rPr>
        <w:tab/>
        <w:t xml:space="preserve">Sonnenberg F a., Beck JR. Markov Models in Medical Decision Making: A practical Guide. </w:t>
      </w:r>
      <w:r w:rsidRPr="00171DD0">
        <w:rPr>
          <w:rFonts w:ascii="Calibri" w:hAnsi="Calibri" w:cs="Calibri"/>
          <w:i/>
          <w:iCs/>
          <w:noProof/>
          <w:szCs w:val="24"/>
        </w:rPr>
        <w:t>Mdecial Decis Mak</w:t>
      </w:r>
      <w:r w:rsidRPr="00171DD0">
        <w:rPr>
          <w:rFonts w:ascii="Calibri" w:hAnsi="Calibri" w:cs="Calibri"/>
          <w:noProof/>
          <w:szCs w:val="24"/>
        </w:rPr>
        <w:t xml:space="preserve"> 1993;</w:t>
      </w:r>
      <w:r w:rsidRPr="00171DD0">
        <w:rPr>
          <w:rFonts w:ascii="Calibri" w:hAnsi="Calibri" w:cs="Calibri"/>
          <w:b/>
          <w:bCs/>
          <w:noProof/>
          <w:szCs w:val="24"/>
        </w:rPr>
        <w:t>13</w:t>
      </w:r>
      <w:r w:rsidRPr="00171DD0">
        <w:rPr>
          <w:rFonts w:ascii="Calibri" w:hAnsi="Calibri" w:cs="Calibri"/>
          <w:noProof/>
          <w:szCs w:val="24"/>
        </w:rPr>
        <w:t>:322–38. doi:10.1177/0272989X9301300409</w:t>
      </w:r>
    </w:p>
    <w:p w14:paraId="087226CF"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lastRenderedPageBreak/>
        <w:t xml:space="preserve">24 </w:t>
      </w:r>
      <w:r w:rsidRPr="00171DD0">
        <w:rPr>
          <w:rFonts w:ascii="Calibri" w:hAnsi="Calibri" w:cs="Calibri"/>
          <w:noProof/>
          <w:szCs w:val="24"/>
        </w:rPr>
        <w:tab/>
        <w:t xml:space="preserve">Suter LG, Smith SR, Katz JN, </w:t>
      </w:r>
      <w:r w:rsidRPr="00171DD0">
        <w:rPr>
          <w:rFonts w:ascii="Calibri" w:hAnsi="Calibri" w:cs="Calibri"/>
          <w:i/>
          <w:iCs/>
          <w:noProof/>
          <w:szCs w:val="24"/>
        </w:rPr>
        <w:t>et al.</w:t>
      </w:r>
      <w:r w:rsidRPr="00171DD0">
        <w:rPr>
          <w:rFonts w:ascii="Calibri" w:hAnsi="Calibri" w:cs="Calibri"/>
          <w:noProof/>
          <w:szCs w:val="24"/>
        </w:rPr>
        <w:t xml:space="preserve"> Projecting Lifetime Risk of Symptomatic Knee Osteoarthritis and Total Knee Replacement in Individuals Sustaining a Complete Anterior Cruciate Ligament Tear in Early Adulthood. </w:t>
      </w:r>
      <w:r w:rsidRPr="00171DD0">
        <w:rPr>
          <w:rFonts w:ascii="Calibri" w:hAnsi="Calibri" w:cs="Calibri"/>
          <w:i/>
          <w:iCs/>
          <w:noProof/>
          <w:szCs w:val="24"/>
        </w:rPr>
        <w:t>Arthritis Care Res (Hoboken)</w:t>
      </w:r>
      <w:r w:rsidRPr="00171DD0">
        <w:rPr>
          <w:rFonts w:ascii="Calibri" w:hAnsi="Calibri" w:cs="Calibri"/>
          <w:noProof/>
          <w:szCs w:val="24"/>
        </w:rPr>
        <w:t xml:space="preserve"> 2016;</w:t>
      </w:r>
      <w:r w:rsidRPr="00171DD0">
        <w:rPr>
          <w:rFonts w:ascii="Calibri" w:hAnsi="Calibri" w:cs="Calibri"/>
          <w:b/>
          <w:bCs/>
          <w:noProof/>
          <w:szCs w:val="24"/>
        </w:rPr>
        <w:t>69</w:t>
      </w:r>
      <w:r w:rsidRPr="00171DD0">
        <w:rPr>
          <w:rFonts w:ascii="Calibri" w:hAnsi="Calibri" w:cs="Calibri"/>
          <w:noProof/>
          <w:szCs w:val="24"/>
        </w:rPr>
        <w:t>:201–8. doi:10.1002/acr.22940</w:t>
      </w:r>
    </w:p>
    <w:p w14:paraId="1E4790A5"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25 </w:t>
      </w:r>
      <w:r w:rsidRPr="00171DD0">
        <w:rPr>
          <w:rFonts w:ascii="Calibri" w:hAnsi="Calibri" w:cs="Calibri"/>
          <w:noProof/>
          <w:szCs w:val="24"/>
        </w:rPr>
        <w:tab/>
        <w:t xml:space="preserve">Losina E, Weinstein AM, Reichmann WM, </w:t>
      </w:r>
      <w:r w:rsidRPr="00171DD0">
        <w:rPr>
          <w:rFonts w:ascii="Calibri" w:hAnsi="Calibri" w:cs="Calibri"/>
          <w:i/>
          <w:iCs/>
          <w:noProof/>
          <w:szCs w:val="24"/>
        </w:rPr>
        <w:t>et al.</w:t>
      </w:r>
      <w:r w:rsidRPr="00171DD0">
        <w:rPr>
          <w:rFonts w:ascii="Calibri" w:hAnsi="Calibri" w:cs="Calibri"/>
          <w:noProof/>
          <w:szCs w:val="24"/>
        </w:rPr>
        <w:t xml:space="preserve"> Lifetime risk and age of diagnosis of symptomatic knee osteoarthritis in the US. </w:t>
      </w:r>
      <w:r w:rsidRPr="00171DD0">
        <w:rPr>
          <w:rFonts w:ascii="Calibri" w:hAnsi="Calibri" w:cs="Calibri"/>
          <w:i/>
          <w:iCs/>
          <w:noProof/>
          <w:szCs w:val="24"/>
        </w:rPr>
        <w:t>Arthritis Care Res</w:t>
      </w:r>
      <w:r w:rsidRPr="00171DD0">
        <w:rPr>
          <w:rFonts w:ascii="Calibri" w:hAnsi="Calibri" w:cs="Calibri"/>
          <w:noProof/>
          <w:szCs w:val="24"/>
        </w:rPr>
        <w:t xml:space="preserve"> 2013;</w:t>
      </w:r>
      <w:r w:rsidRPr="00171DD0">
        <w:rPr>
          <w:rFonts w:ascii="Calibri" w:hAnsi="Calibri" w:cs="Calibri"/>
          <w:b/>
          <w:bCs/>
          <w:noProof/>
          <w:szCs w:val="24"/>
        </w:rPr>
        <w:t>65</w:t>
      </w:r>
      <w:r w:rsidRPr="00171DD0">
        <w:rPr>
          <w:rFonts w:ascii="Calibri" w:hAnsi="Calibri" w:cs="Calibri"/>
          <w:noProof/>
          <w:szCs w:val="24"/>
        </w:rPr>
        <w:t>:1–16. doi:10.1002/acr.21898.Lifetime</w:t>
      </w:r>
    </w:p>
    <w:p w14:paraId="3A84BB52"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26 </w:t>
      </w:r>
      <w:r w:rsidRPr="00171DD0">
        <w:rPr>
          <w:rFonts w:ascii="Calibri" w:hAnsi="Calibri" w:cs="Calibri"/>
          <w:noProof/>
          <w:szCs w:val="24"/>
        </w:rPr>
        <w:tab/>
        <w:t xml:space="preserve">Prokopetz JJ, Losina E, Bliss RL, </w:t>
      </w:r>
      <w:r w:rsidRPr="00171DD0">
        <w:rPr>
          <w:rFonts w:ascii="Calibri" w:hAnsi="Calibri" w:cs="Calibri"/>
          <w:i/>
          <w:iCs/>
          <w:noProof/>
          <w:szCs w:val="24"/>
        </w:rPr>
        <w:t>et al.</w:t>
      </w:r>
      <w:r w:rsidRPr="00171DD0">
        <w:rPr>
          <w:rFonts w:ascii="Calibri" w:hAnsi="Calibri" w:cs="Calibri"/>
          <w:noProof/>
          <w:szCs w:val="24"/>
        </w:rPr>
        <w:t xml:space="preserve"> Risk factors for revision of primary total hip arthroplasty: a systematic review. </w:t>
      </w:r>
      <w:r w:rsidRPr="00171DD0">
        <w:rPr>
          <w:rFonts w:ascii="Calibri" w:hAnsi="Calibri" w:cs="Calibri"/>
          <w:i/>
          <w:iCs/>
          <w:noProof/>
          <w:szCs w:val="24"/>
        </w:rPr>
        <w:t>BMC Musculoskelet Disord</w:t>
      </w:r>
      <w:r w:rsidRPr="00171DD0">
        <w:rPr>
          <w:rFonts w:ascii="Calibri" w:hAnsi="Calibri" w:cs="Calibri"/>
          <w:noProof/>
          <w:szCs w:val="24"/>
        </w:rPr>
        <w:t xml:space="preserve"> 2012;</w:t>
      </w:r>
      <w:r w:rsidRPr="00171DD0">
        <w:rPr>
          <w:rFonts w:ascii="Calibri" w:hAnsi="Calibri" w:cs="Calibri"/>
          <w:b/>
          <w:bCs/>
          <w:noProof/>
          <w:szCs w:val="24"/>
        </w:rPr>
        <w:t>13</w:t>
      </w:r>
      <w:r w:rsidRPr="00171DD0">
        <w:rPr>
          <w:rFonts w:ascii="Calibri" w:hAnsi="Calibri" w:cs="Calibri"/>
          <w:noProof/>
          <w:szCs w:val="24"/>
        </w:rPr>
        <w:t>:251. doi:10.1186/1471-2474-13-251</w:t>
      </w:r>
    </w:p>
    <w:p w14:paraId="1113072B"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27 </w:t>
      </w:r>
      <w:r w:rsidRPr="00171DD0">
        <w:rPr>
          <w:rFonts w:ascii="Calibri" w:hAnsi="Calibri" w:cs="Calibri"/>
          <w:noProof/>
          <w:szCs w:val="24"/>
        </w:rPr>
        <w:tab/>
        <w:t xml:space="preserve">Kerkhoffs GMMJ, Servien E, Dunn W, </w:t>
      </w:r>
      <w:r w:rsidRPr="00171DD0">
        <w:rPr>
          <w:rFonts w:ascii="Calibri" w:hAnsi="Calibri" w:cs="Calibri"/>
          <w:i/>
          <w:iCs/>
          <w:noProof/>
          <w:szCs w:val="24"/>
        </w:rPr>
        <w:t>et al.</w:t>
      </w:r>
      <w:r w:rsidRPr="00171DD0">
        <w:rPr>
          <w:rFonts w:ascii="Calibri" w:hAnsi="Calibri" w:cs="Calibri"/>
          <w:noProof/>
          <w:szCs w:val="24"/>
        </w:rPr>
        <w:t xml:space="preserve"> The Influence of Obesity on the Complication Rate and Outcome of Total Knee Arthroplasty. </w:t>
      </w:r>
      <w:r w:rsidRPr="00171DD0">
        <w:rPr>
          <w:rFonts w:ascii="Calibri" w:hAnsi="Calibri" w:cs="Calibri"/>
          <w:i/>
          <w:iCs/>
          <w:noProof/>
          <w:szCs w:val="24"/>
        </w:rPr>
        <w:t>J Bone Jt Surgery-American Vol</w:t>
      </w:r>
      <w:r w:rsidRPr="00171DD0">
        <w:rPr>
          <w:rFonts w:ascii="Calibri" w:hAnsi="Calibri" w:cs="Calibri"/>
          <w:noProof/>
          <w:szCs w:val="24"/>
        </w:rPr>
        <w:t xml:space="preserve"> 2012;</w:t>
      </w:r>
      <w:r w:rsidRPr="00171DD0">
        <w:rPr>
          <w:rFonts w:ascii="Calibri" w:hAnsi="Calibri" w:cs="Calibri"/>
          <w:b/>
          <w:bCs/>
          <w:noProof/>
          <w:szCs w:val="24"/>
        </w:rPr>
        <w:t>94</w:t>
      </w:r>
      <w:r w:rsidRPr="00171DD0">
        <w:rPr>
          <w:rFonts w:ascii="Calibri" w:hAnsi="Calibri" w:cs="Calibri"/>
          <w:noProof/>
          <w:szCs w:val="24"/>
        </w:rPr>
        <w:t>:1839–44. doi:10.2106/JBJS.K.00820</w:t>
      </w:r>
    </w:p>
    <w:p w14:paraId="2206AFF3"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28 </w:t>
      </w:r>
      <w:r w:rsidRPr="00171DD0">
        <w:rPr>
          <w:rFonts w:ascii="Calibri" w:hAnsi="Calibri" w:cs="Calibri"/>
          <w:noProof/>
          <w:szCs w:val="24"/>
        </w:rPr>
        <w:tab/>
        <w:t xml:space="preserve">Culliford D, Maskell J, Judge A, </w:t>
      </w:r>
      <w:r w:rsidRPr="00171DD0">
        <w:rPr>
          <w:rFonts w:ascii="Calibri" w:hAnsi="Calibri" w:cs="Calibri"/>
          <w:i/>
          <w:iCs/>
          <w:noProof/>
          <w:szCs w:val="24"/>
        </w:rPr>
        <w:t>et al.</w:t>
      </w:r>
      <w:r w:rsidRPr="00171DD0">
        <w:rPr>
          <w:rFonts w:ascii="Calibri" w:hAnsi="Calibri" w:cs="Calibri"/>
          <w:noProof/>
          <w:szCs w:val="24"/>
        </w:rPr>
        <w:t xml:space="preserve"> A population-based survival analysis describing the association of body mass index on time to revision for total hip and knee replacements: results from the UK general practice research database. </w:t>
      </w:r>
      <w:r w:rsidRPr="00171DD0">
        <w:rPr>
          <w:rFonts w:ascii="Calibri" w:hAnsi="Calibri" w:cs="Calibri"/>
          <w:i/>
          <w:iCs/>
          <w:noProof/>
          <w:szCs w:val="24"/>
        </w:rPr>
        <w:t>BMJ Open</w:t>
      </w:r>
      <w:r w:rsidRPr="00171DD0">
        <w:rPr>
          <w:rFonts w:ascii="Calibri" w:hAnsi="Calibri" w:cs="Calibri"/>
          <w:noProof/>
          <w:szCs w:val="24"/>
        </w:rPr>
        <w:t xml:space="preserve"> 2013;</w:t>
      </w:r>
      <w:r w:rsidRPr="00171DD0">
        <w:rPr>
          <w:rFonts w:ascii="Calibri" w:hAnsi="Calibri" w:cs="Calibri"/>
          <w:b/>
          <w:bCs/>
          <w:noProof/>
          <w:szCs w:val="24"/>
        </w:rPr>
        <w:t>3</w:t>
      </w:r>
      <w:r w:rsidRPr="00171DD0">
        <w:rPr>
          <w:rFonts w:ascii="Calibri" w:hAnsi="Calibri" w:cs="Calibri"/>
          <w:noProof/>
          <w:szCs w:val="24"/>
        </w:rPr>
        <w:t>:e003614. doi:10.1136/bmjopen-2013-003614</w:t>
      </w:r>
    </w:p>
    <w:p w14:paraId="7598C102"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29 </w:t>
      </w:r>
      <w:r w:rsidRPr="00171DD0">
        <w:rPr>
          <w:rFonts w:ascii="Calibri" w:hAnsi="Calibri" w:cs="Calibri"/>
          <w:noProof/>
          <w:szCs w:val="24"/>
        </w:rPr>
        <w:tab/>
        <w:t xml:space="preserve">Hanna SA, McCalden RW, Somerville L, </w:t>
      </w:r>
      <w:r w:rsidRPr="00171DD0">
        <w:rPr>
          <w:rFonts w:ascii="Calibri" w:hAnsi="Calibri" w:cs="Calibri"/>
          <w:i/>
          <w:iCs/>
          <w:noProof/>
          <w:szCs w:val="24"/>
        </w:rPr>
        <w:t>et al.</w:t>
      </w:r>
      <w:r w:rsidRPr="00171DD0">
        <w:rPr>
          <w:rFonts w:ascii="Calibri" w:hAnsi="Calibri" w:cs="Calibri"/>
          <w:noProof/>
          <w:szCs w:val="24"/>
        </w:rPr>
        <w:t xml:space="preserve"> Morbid Obesity Is a Significant Risk of Failure Following Revision Total Hip Arthroplasty. </w:t>
      </w:r>
      <w:r w:rsidRPr="00171DD0">
        <w:rPr>
          <w:rFonts w:ascii="Calibri" w:hAnsi="Calibri" w:cs="Calibri"/>
          <w:i/>
          <w:iCs/>
          <w:noProof/>
          <w:szCs w:val="24"/>
        </w:rPr>
        <w:t>J Arthroplasty</w:t>
      </w:r>
      <w:r w:rsidRPr="00171DD0">
        <w:rPr>
          <w:rFonts w:ascii="Calibri" w:hAnsi="Calibri" w:cs="Calibri"/>
          <w:noProof/>
          <w:szCs w:val="24"/>
        </w:rPr>
        <w:t xml:space="preserve"> 2017;</w:t>
      </w:r>
      <w:r w:rsidRPr="00171DD0">
        <w:rPr>
          <w:rFonts w:ascii="Calibri" w:hAnsi="Calibri" w:cs="Calibri"/>
          <w:b/>
          <w:bCs/>
          <w:noProof/>
          <w:szCs w:val="24"/>
        </w:rPr>
        <w:t>32</w:t>
      </w:r>
      <w:r w:rsidRPr="00171DD0">
        <w:rPr>
          <w:rFonts w:ascii="Calibri" w:hAnsi="Calibri" w:cs="Calibri"/>
          <w:noProof/>
          <w:szCs w:val="24"/>
        </w:rPr>
        <w:t>:3098–101. doi:https://dx.doi.org/10.1016/j.arth.2017.05.014</w:t>
      </w:r>
    </w:p>
    <w:p w14:paraId="003171BA"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30 </w:t>
      </w:r>
      <w:r w:rsidRPr="00171DD0">
        <w:rPr>
          <w:rFonts w:ascii="Calibri" w:hAnsi="Calibri" w:cs="Calibri"/>
          <w:noProof/>
          <w:szCs w:val="24"/>
        </w:rPr>
        <w:tab/>
        <w:t xml:space="preserve">Singh JA. Smoking and Outcomes after Knee and Hip Arthroplasty: A Systematic Review. </w:t>
      </w:r>
      <w:r w:rsidRPr="00171DD0">
        <w:rPr>
          <w:rFonts w:ascii="Calibri" w:hAnsi="Calibri" w:cs="Calibri"/>
          <w:i/>
          <w:iCs/>
          <w:noProof/>
          <w:szCs w:val="24"/>
        </w:rPr>
        <w:t>J Rheumatol</w:t>
      </w:r>
      <w:r w:rsidRPr="00171DD0">
        <w:rPr>
          <w:rFonts w:ascii="Calibri" w:hAnsi="Calibri" w:cs="Calibri"/>
          <w:noProof/>
          <w:szCs w:val="24"/>
        </w:rPr>
        <w:t xml:space="preserve"> 2011;</w:t>
      </w:r>
      <w:r w:rsidRPr="00171DD0">
        <w:rPr>
          <w:rFonts w:ascii="Calibri" w:hAnsi="Calibri" w:cs="Calibri"/>
          <w:b/>
          <w:bCs/>
          <w:noProof/>
          <w:szCs w:val="24"/>
        </w:rPr>
        <w:t>38</w:t>
      </w:r>
      <w:r w:rsidRPr="00171DD0">
        <w:rPr>
          <w:rFonts w:ascii="Calibri" w:hAnsi="Calibri" w:cs="Calibri"/>
          <w:noProof/>
          <w:szCs w:val="24"/>
        </w:rPr>
        <w:t>:1824–34. doi:10.3899/jrheum.101221.Smoking</w:t>
      </w:r>
    </w:p>
    <w:p w14:paraId="03E493C3"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31 </w:t>
      </w:r>
      <w:r w:rsidRPr="00171DD0">
        <w:rPr>
          <w:rFonts w:ascii="Calibri" w:hAnsi="Calibri" w:cs="Calibri"/>
          <w:noProof/>
          <w:szCs w:val="24"/>
        </w:rPr>
        <w:tab/>
        <w:t xml:space="preserve">Espehaug B, Havelin LI, Engesaeter LB, </w:t>
      </w:r>
      <w:r w:rsidRPr="00171DD0">
        <w:rPr>
          <w:rFonts w:ascii="Calibri" w:hAnsi="Calibri" w:cs="Calibri"/>
          <w:i/>
          <w:iCs/>
          <w:noProof/>
          <w:szCs w:val="24"/>
        </w:rPr>
        <w:t>et al.</w:t>
      </w:r>
      <w:r w:rsidRPr="00171DD0">
        <w:rPr>
          <w:rFonts w:ascii="Calibri" w:hAnsi="Calibri" w:cs="Calibri"/>
          <w:noProof/>
          <w:szCs w:val="24"/>
        </w:rPr>
        <w:t xml:space="preserve"> Patient-related risk factors for early revision of total hip replacements. A population register-based case-control study of 674 revised hips. </w:t>
      </w:r>
      <w:r w:rsidRPr="00171DD0">
        <w:rPr>
          <w:rFonts w:ascii="Calibri" w:hAnsi="Calibri" w:cs="Calibri"/>
          <w:i/>
          <w:iCs/>
          <w:noProof/>
          <w:szCs w:val="24"/>
        </w:rPr>
        <w:t>Acta Orthop Scand</w:t>
      </w:r>
      <w:r w:rsidRPr="00171DD0">
        <w:rPr>
          <w:rFonts w:ascii="Calibri" w:hAnsi="Calibri" w:cs="Calibri"/>
          <w:noProof/>
          <w:szCs w:val="24"/>
        </w:rPr>
        <w:t xml:space="preserve"> 1997;</w:t>
      </w:r>
      <w:r w:rsidRPr="00171DD0">
        <w:rPr>
          <w:rFonts w:ascii="Calibri" w:hAnsi="Calibri" w:cs="Calibri"/>
          <w:b/>
          <w:bCs/>
          <w:noProof/>
          <w:szCs w:val="24"/>
        </w:rPr>
        <w:t>68</w:t>
      </w:r>
      <w:r w:rsidRPr="00171DD0">
        <w:rPr>
          <w:rFonts w:ascii="Calibri" w:hAnsi="Calibri" w:cs="Calibri"/>
          <w:noProof/>
          <w:szCs w:val="24"/>
        </w:rPr>
        <w:t>:207–15. doi:10.3109/17453679708996686</w:t>
      </w:r>
    </w:p>
    <w:p w14:paraId="7305533D"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32 </w:t>
      </w:r>
      <w:r w:rsidRPr="00171DD0">
        <w:rPr>
          <w:rFonts w:ascii="Calibri" w:hAnsi="Calibri" w:cs="Calibri"/>
          <w:noProof/>
          <w:szCs w:val="24"/>
        </w:rPr>
        <w:tab/>
        <w:t xml:space="preserve">Thomas SL, Edwards CJ, Smeeth L, </w:t>
      </w:r>
      <w:r w:rsidRPr="00171DD0">
        <w:rPr>
          <w:rFonts w:ascii="Calibri" w:hAnsi="Calibri" w:cs="Calibri"/>
          <w:i/>
          <w:iCs/>
          <w:noProof/>
          <w:szCs w:val="24"/>
        </w:rPr>
        <w:t>et al.</w:t>
      </w:r>
      <w:r w:rsidRPr="00171DD0">
        <w:rPr>
          <w:rFonts w:ascii="Calibri" w:hAnsi="Calibri" w:cs="Calibri"/>
          <w:noProof/>
          <w:szCs w:val="24"/>
        </w:rPr>
        <w:t xml:space="preserve"> How accurate are diagnoses for rheumatoid arthritis and juvenile idiopathic arthritis in the general practice research database? </w:t>
      </w:r>
      <w:r w:rsidRPr="00171DD0">
        <w:rPr>
          <w:rFonts w:ascii="Calibri" w:hAnsi="Calibri" w:cs="Calibri"/>
          <w:i/>
          <w:iCs/>
          <w:noProof/>
          <w:szCs w:val="24"/>
        </w:rPr>
        <w:t>Arthritis Care Res</w:t>
      </w:r>
      <w:r w:rsidRPr="00171DD0">
        <w:rPr>
          <w:rFonts w:ascii="Calibri" w:hAnsi="Calibri" w:cs="Calibri"/>
          <w:noProof/>
          <w:szCs w:val="24"/>
        </w:rPr>
        <w:t xml:space="preserve"> 2008;</w:t>
      </w:r>
      <w:r w:rsidRPr="00171DD0">
        <w:rPr>
          <w:rFonts w:ascii="Calibri" w:hAnsi="Calibri" w:cs="Calibri"/>
          <w:b/>
          <w:bCs/>
          <w:noProof/>
          <w:szCs w:val="24"/>
        </w:rPr>
        <w:t>59</w:t>
      </w:r>
      <w:r w:rsidRPr="00171DD0">
        <w:rPr>
          <w:rFonts w:ascii="Calibri" w:hAnsi="Calibri" w:cs="Calibri"/>
          <w:noProof/>
          <w:szCs w:val="24"/>
        </w:rPr>
        <w:t>:1314–21. doi:10.1002/art.24015</w:t>
      </w:r>
    </w:p>
    <w:p w14:paraId="2E574A9A"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szCs w:val="24"/>
        </w:rPr>
      </w:pPr>
      <w:r w:rsidRPr="00171DD0">
        <w:rPr>
          <w:rFonts w:ascii="Calibri" w:hAnsi="Calibri" w:cs="Calibri"/>
          <w:noProof/>
          <w:szCs w:val="24"/>
        </w:rPr>
        <w:t xml:space="preserve">33 </w:t>
      </w:r>
      <w:r w:rsidRPr="00171DD0">
        <w:rPr>
          <w:rFonts w:ascii="Calibri" w:hAnsi="Calibri" w:cs="Calibri"/>
          <w:noProof/>
          <w:szCs w:val="24"/>
        </w:rPr>
        <w:tab/>
        <w:t xml:space="preserve">Sterne JA, White IR, Carlin JB, </w:t>
      </w:r>
      <w:r w:rsidRPr="00171DD0">
        <w:rPr>
          <w:rFonts w:ascii="Calibri" w:hAnsi="Calibri" w:cs="Calibri"/>
          <w:i/>
          <w:iCs/>
          <w:noProof/>
          <w:szCs w:val="24"/>
        </w:rPr>
        <w:t>et al.</w:t>
      </w:r>
      <w:r w:rsidRPr="00171DD0">
        <w:rPr>
          <w:rFonts w:ascii="Calibri" w:hAnsi="Calibri" w:cs="Calibri"/>
          <w:noProof/>
          <w:szCs w:val="24"/>
        </w:rPr>
        <w:t xml:space="preserve"> Multiple imputation for missing data in epidemiological and clinical research: potential and pitfalls. </w:t>
      </w:r>
      <w:r w:rsidRPr="00171DD0">
        <w:rPr>
          <w:rFonts w:ascii="Calibri" w:hAnsi="Calibri" w:cs="Calibri"/>
          <w:i/>
          <w:iCs/>
          <w:noProof/>
          <w:szCs w:val="24"/>
        </w:rPr>
        <w:t>BMJ</w:t>
      </w:r>
      <w:r w:rsidRPr="00171DD0">
        <w:rPr>
          <w:rFonts w:ascii="Calibri" w:hAnsi="Calibri" w:cs="Calibri"/>
          <w:noProof/>
          <w:szCs w:val="24"/>
        </w:rPr>
        <w:t xml:space="preserve"> 2009;</w:t>
      </w:r>
      <w:r w:rsidRPr="00171DD0">
        <w:rPr>
          <w:rFonts w:ascii="Calibri" w:hAnsi="Calibri" w:cs="Calibri"/>
          <w:b/>
          <w:bCs/>
          <w:noProof/>
          <w:szCs w:val="24"/>
        </w:rPr>
        <w:t>338</w:t>
      </w:r>
      <w:r w:rsidRPr="00171DD0">
        <w:rPr>
          <w:rFonts w:ascii="Calibri" w:hAnsi="Calibri" w:cs="Calibri"/>
          <w:noProof/>
          <w:szCs w:val="24"/>
        </w:rPr>
        <w:t>:b2393. doi:10.1136/bmj.b2393</w:t>
      </w:r>
    </w:p>
    <w:p w14:paraId="65D5B7CE" w14:textId="77777777" w:rsidR="00171DD0" w:rsidRPr="00171DD0" w:rsidRDefault="00171DD0" w:rsidP="00171DD0">
      <w:pPr>
        <w:widowControl w:val="0"/>
        <w:autoSpaceDE w:val="0"/>
        <w:autoSpaceDN w:val="0"/>
        <w:adjustRightInd w:val="0"/>
        <w:spacing w:line="360" w:lineRule="auto"/>
        <w:ind w:left="640" w:hanging="640"/>
        <w:rPr>
          <w:rFonts w:ascii="Calibri" w:hAnsi="Calibri" w:cs="Calibri"/>
          <w:noProof/>
        </w:rPr>
      </w:pPr>
      <w:r w:rsidRPr="00171DD0">
        <w:rPr>
          <w:rFonts w:ascii="Calibri" w:hAnsi="Calibri" w:cs="Calibri"/>
          <w:noProof/>
          <w:szCs w:val="24"/>
        </w:rPr>
        <w:t xml:space="preserve">34 </w:t>
      </w:r>
      <w:r w:rsidRPr="00171DD0">
        <w:rPr>
          <w:rFonts w:ascii="Calibri" w:hAnsi="Calibri" w:cs="Calibri"/>
          <w:noProof/>
          <w:szCs w:val="24"/>
        </w:rPr>
        <w:tab/>
        <w:t xml:space="preserve">Rothman KJ. BMI-related errors in the measurement of obesity. </w:t>
      </w:r>
      <w:r w:rsidRPr="00171DD0">
        <w:rPr>
          <w:rFonts w:ascii="Calibri" w:hAnsi="Calibri" w:cs="Calibri"/>
          <w:i/>
          <w:iCs/>
          <w:noProof/>
          <w:szCs w:val="24"/>
        </w:rPr>
        <w:t>Int J Obes</w:t>
      </w:r>
      <w:r w:rsidRPr="00171DD0">
        <w:rPr>
          <w:rFonts w:ascii="Calibri" w:hAnsi="Calibri" w:cs="Calibri"/>
          <w:noProof/>
          <w:szCs w:val="24"/>
        </w:rPr>
        <w:t xml:space="preserve"> 2008;</w:t>
      </w:r>
      <w:r w:rsidRPr="00171DD0">
        <w:rPr>
          <w:rFonts w:ascii="Calibri" w:hAnsi="Calibri" w:cs="Calibri"/>
          <w:b/>
          <w:bCs/>
          <w:noProof/>
          <w:szCs w:val="24"/>
        </w:rPr>
        <w:t>32</w:t>
      </w:r>
      <w:r w:rsidRPr="00171DD0">
        <w:rPr>
          <w:rFonts w:ascii="Calibri" w:hAnsi="Calibri" w:cs="Calibri"/>
          <w:noProof/>
          <w:szCs w:val="24"/>
        </w:rPr>
        <w:t>:S56–9. doi:10.1038/ijo.2008.87</w:t>
      </w:r>
    </w:p>
    <w:p w14:paraId="4E4C3167" w14:textId="77777777" w:rsidR="00805F14" w:rsidRDefault="00396E72" w:rsidP="00ED6BA9">
      <w:pPr>
        <w:spacing w:line="360" w:lineRule="auto"/>
        <w:rPr>
          <w:rFonts w:eastAsiaTheme="majorEastAsia" w:cstheme="majorBidi"/>
          <w:b/>
          <w:szCs w:val="26"/>
        </w:rPr>
      </w:pPr>
      <w:r>
        <w:lastRenderedPageBreak/>
        <w:fldChar w:fldCharType="end"/>
      </w:r>
    </w:p>
    <w:p w14:paraId="2A68767E" w14:textId="23A5990A" w:rsidR="00607E3A" w:rsidRPr="00333655" w:rsidRDefault="00607E3A" w:rsidP="00333655">
      <w:r>
        <w:br w:type="page"/>
      </w:r>
    </w:p>
    <w:p w14:paraId="5C1012A9" w14:textId="0565818E" w:rsidR="00D457F1" w:rsidRDefault="00D457F1" w:rsidP="00D148FF">
      <w:pPr>
        <w:pStyle w:val="Heading2"/>
        <w:spacing w:line="360" w:lineRule="auto"/>
      </w:pPr>
      <w:r>
        <w:lastRenderedPageBreak/>
        <w:t>Table 1. Patient characteristics</w:t>
      </w:r>
      <w:r w:rsidR="00A263E5">
        <w:t xml:space="preserve"> at time of surgery</w:t>
      </w:r>
      <w:r>
        <w:t xml:space="preserve"> </w:t>
      </w:r>
      <w:r w:rsidR="00973A5C">
        <w:t xml:space="preserve">in the </w:t>
      </w:r>
      <w:r>
        <w:t>TKR and THR</w:t>
      </w:r>
      <w:r w:rsidR="006D0461">
        <w:t xml:space="preserve"> </w:t>
      </w:r>
      <w:r w:rsidR="00973A5C">
        <w:t>cohorts</w:t>
      </w:r>
    </w:p>
    <w:tbl>
      <w:tblPr>
        <w:tblW w:w="5000" w:type="pct"/>
        <w:tblLook w:val="04A0" w:firstRow="1" w:lastRow="0" w:firstColumn="1" w:lastColumn="0" w:noHBand="0" w:noVBand="1"/>
      </w:tblPr>
      <w:tblGrid>
        <w:gridCol w:w="4112"/>
        <w:gridCol w:w="2457"/>
        <w:gridCol w:w="2457"/>
      </w:tblGrid>
      <w:tr w:rsidR="000C24B1" w:rsidRPr="00C629EC" w14:paraId="3587D8D0" w14:textId="77777777" w:rsidTr="000C24B1">
        <w:trPr>
          <w:trHeight w:val="290"/>
        </w:trPr>
        <w:tc>
          <w:tcPr>
            <w:tcW w:w="2278" w:type="pct"/>
            <w:tcBorders>
              <w:top w:val="nil"/>
              <w:left w:val="nil"/>
              <w:bottom w:val="single" w:sz="4" w:space="0" w:color="auto"/>
              <w:right w:val="nil"/>
            </w:tcBorders>
            <w:shd w:val="clear" w:color="auto" w:fill="auto"/>
            <w:noWrap/>
            <w:vAlign w:val="center"/>
            <w:hideMark/>
          </w:tcPr>
          <w:p w14:paraId="34FAAFEF" w14:textId="77777777" w:rsidR="000C24B1" w:rsidRPr="00C629EC" w:rsidRDefault="000C24B1" w:rsidP="000C24B1">
            <w:pPr>
              <w:spacing w:after="0" w:line="360" w:lineRule="auto"/>
              <w:rPr>
                <w:rFonts w:eastAsia="Times New Roman" w:cstheme="minorHAnsi"/>
                <w:color w:val="000000"/>
                <w:sz w:val="20"/>
                <w:szCs w:val="20"/>
                <w:lang w:eastAsia="en-GB"/>
              </w:rPr>
            </w:pPr>
          </w:p>
        </w:tc>
        <w:tc>
          <w:tcPr>
            <w:tcW w:w="1361" w:type="pct"/>
            <w:tcBorders>
              <w:top w:val="nil"/>
              <w:left w:val="nil"/>
              <w:bottom w:val="single" w:sz="4" w:space="0" w:color="auto"/>
              <w:right w:val="nil"/>
            </w:tcBorders>
            <w:shd w:val="clear" w:color="auto" w:fill="auto"/>
            <w:noWrap/>
            <w:vAlign w:val="center"/>
            <w:hideMark/>
          </w:tcPr>
          <w:p w14:paraId="103C3054"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TKR</w:t>
            </w:r>
          </w:p>
        </w:tc>
        <w:tc>
          <w:tcPr>
            <w:tcW w:w="1361" w:type="pct"/>
            <w:tcBorders>
              <w:top w:val="nil"/>
              <w:left w:val="nil"/>
              <w:bottom w:val="single" w:sz="4" w:space="0" w:color="auto"/>
              <w:right w:val="nil"/>
            </w:tcBorders>
            <w:shd w:val="clear" w:color="auto" w:fill="auto"/>
            <w:noWrap/>
            <w:vAlign w:val="center"/>
            <w:hideMark/>
          </w:tcPr>
          <w:p w14:paraId="7016CB72"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THR</w:t>
            </w:r>
          </w:p>
        </w:tc>
      </w:tr>
      <w:tr w:rsidR="000C24B1" w:rsidRPr="00C629EC" w14:paraId="23FFE2A2" w14:textId="77777777" w:rsidTr="000C24B1">
        <w:trPr>
          <w:trHeight w:val="290"/>
        </w:trPr>
        <w:tc>
          <w:tcPr>
            <w:tcW w:w="2278" w:type="pct"/>
            <w:tcBorders>
              <w:top w:val="single" w:sz="4" w:space="0" w:color="auto"/>
              <w:left w:val="nil"/>
              <w:bottom w:val="nil"/>
              <w:right w:val="nil"/>
            </w:tcBorders>
            <w:shd w:val="clear" w:color="auto" w:fill="auto"/>
            <w:noWrap/>
            <w:vAlign w:val="center"/>
            <w:hideMark/>
          </w:tcPr>
          <w:p w14:paraId="37957BE7"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n</w:t>
            </w:r>
          </w:p>
        </w:tc>
        <w:tc>
          <w:tcPr>
            <w:tcW w:w="1361" w:type="pct"/>
            <w:tcBorders>
              <w:top w:val="single" w:sz="4" w:space="0" w:color="auto"/>
              <w:left w:val="nil"/>
              <w:bottom w:val="nil"/>
              <w:right w:val="nil"/>
            </w:tcBorders>
            <w:shd w:val="clear" w:color="auto" w:fill="auto"/>
            <w:noWrap/>
            <w:vAlign w:val="center"/>
            <w:hideMark/>
          </w:tcPr>
          <w:p w14:paraId="7CBF2CAC"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10,260</w:t>
            </w:r>
          </w:p>
        </w:tc>
        <w:tc>
          <w:tcPr>
            <w:tcW w:w="1361" w:type="pct"/>
            <w:tcBorders>
              <w:top w:val="single" w:sz="4" w:space="0" w:color="auto"/>
              <w:left w:val="nil"/>
              <w:bottom w:val="nil"/>
              <w:right w:val="nil"/>
            </w:tcBorders>
            <w:shd w:val="clear" w:color="auto" w:fill="auto"/>
            <w:noWrap/>
            <w:vAlign w:val="center"/>
            <w:hideMark/>
          </w:tcPr>
          <w:p w14:paraId="4D21C7EE"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10,961</w:t>
            </w:r>
          </w:p>
        </w:tc>
      </w:tr>
      <w:tr w:rsidR="000C24B1" w:rsidRPr="00C629EC" w14:paraId="66CD94C3" w14:textId="77777777" w:rsidTr="000C24B1">
        <w:trPr>
          <w:trHeight w:val="290"/>
        </w:trPr>
        <w:tc>
          <w:tcPr>
            <w:tcW w:w="2278" w:type="pct"/>
            <w:tcBorders>
              <w:top w:val="nil"/>
              <w:left w:val="nil"/>
              <w:bottom w:val="nil"/>
              <w:right w:val="nil"/>
            </w:tcBorders>
            <w:shd w:val="clear" w:color="auto" w:fill="auto"/>
            <w:noWrap/>
            <w:vAlign w:val="bottom"/>
            <w:hideMark/>
          </w:tcPr>
          <w:p w14:paraId="2AA62D48"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Age</w:t>
            </w:r>
            <w:r>
              <w:rPr>
                <w:rFonts w:eastAsia="Times New Roman" w:cstheme="minorHAnsi"/>
                <w:color w:val="000000"/>
                <w:sz w:val="20"/>
                <w:szCs w:val="20"/>
                <w:lang w:eastAsia="en-GB"/>
              </w:rPr>
              <w:t xml:space="preserve"> at surgery</w:t>
            </w:r>
            <w:r w:rsidRPr="00C629EC">
              <w:rPr>
                <w:rFonts w:eastAsia="Times New Roman" w:cstheme="minorHAnsi"/>
                <w:color w:val="000000"/>
                <w:sz w:val="20"/>
                <w:szCs w:val="20"/>
                <w:lang w:eastAsia="en-GB"/>
              </w:rPr>
              <w:t xml:space="preserve"> (median [IQR])</w:t>
            </w:r>
          </w:p>
        </w:tc>
        <w:tc>
          <w:tcPr>
            <w:tcW w:w="1361" w:type="pct"/>
            <w:tcBorders>
              <w:top w:val="nil"/>
              <w:left w:val="nil"/>
              <w:bottom w:val="nil"/>
              <w:right w:val="nil"/>
            </w:tcBorders>
            <w:shd w:val="clear" w:color="auto" w:fill="auto"/>
            <w:noWrap/>
            <w:vAlign w:val="center"/>
            <w:hideMark/>
          </w:tcPr>
          <w:p w14:paraId="4423E11F"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71.0 [64.0, 77.0]</w:t>
            </w:r>
          </w:p>
        </w:tc>
        <w:tc>
          <w:tcPr>
            <w:tcW w:w="1361" w:type="pct"/>
            <w:tcBorders>
              <w:top w:val="nil"/>
              <w:left w:val="nil"/>
              <w:bottom w:val="nil"/>
              <w:right w:val="nil"/>
            </w:tcBorders>
            <w:shd w:val="clear" w:color="auto" w:fill="auto"/>
            <w:noWrap/>
            <w:vAlign w:val="center"/>
            <w:hideMark/>
          </w:tcPr>
          <w:p w14:paraId="2F80446B"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70.0 [62.0, 76.0]</w:t>
            </w:r>
          </w:p>
        </w:tc>
      </w:tr>
      <w:tr w:rsidR="000C24B1" w:rsidRPr="00C629EC" w14:paraId="5B3C938F" w14:textId="77777777" w:rsidTr="000C24B1">
        <w:trPr>
          <w:trHeight w:val="290"/>
        </w:trPr>
        <w:tc>
          <w:tcPr>
            <w:tcW w:w="2278" w:type="pct"/>
            <w:tcBorders>
              <w:top w:val="nil"/>
              <w:left w:val="nil"/>
              <w:bottom w:val="nil"/>
              <w:right w:val="nil"/>
            </w:tcBorders>
            <w:shd w:val="clear" w:color="auto" w:fill="auto"/>
            <w:noWrap/>
            <w:vAlign w:val="center"/>
            <w:hideMark/>
          </w:tcPr>
          <w:p w14:paraId="77D0D926" w14:textId="09D0D250" w:rsidR="000C24B1" w:rsidRPr="00C629EC" w:rsidRDefault="00A94743" w:rsidP="000C24B1">
            <w:pPr>
              <w:spacing w:after="0" w:line="360" w:lineRule="auto"/>
              <w:rPr>
                <w:rFonts w:eastAsia="Times New Roman" w:cstheme="minorHAnsi"/>
                <w:color w:val="000000"/>
                <w:sz w:val="20"/>
                <w:szCs w:val="20"/>
                <w:lang w:eastAsia="en-GB"/>
              </w:rPr>
            </w:pPr>
            <w:r>
              <w:rPr>
                <w:rFonts w:eastAsia="Times New Roman" w:cstheme="minorHAnsi"/>
                <w:color w:val="000000"/>
                <w:sz w:val="20"/>
                <w:szCs w:val="20"/>
                <w:lang w:eastAsia="en-GB"/>
              </w:rPr>
              <w:t>Sex</w:t>
            </w:r>
            <w:r w:rsidR="000C24B1" w:rsidRPr="00C629EC">
              <w:rPr>
                <w:rFonts w:eastAsia="Times New Roman" w:cstheme="minorHAnsi"/>
                <w:color w:val="000000"/>
                <w:sz w:val="20"/>
                <w:szCs w:val="20"/>
                <w:lang w:eastAsia="en-GB"/>
              </w:rPr>
              <w:t>: Female (n (%))</w:t>
            </w:r>
          </w:p>
        </w:tc>
        <w:tc>
          <w:tcPr>
            <w:tcW w:w="1361" w:type="pct"/>
            <w:tcBorders>
              <w:top w:val="nil"/>
              <w:left w:val="nil"/>
              <w:bottom w:val="nil"/>
              <w:right w:val="nil"/>
            </w:tcBorders>
            <w:shd w:val="clear" w:color="auto" w:fill="auto"/>
            <w:noWrap/>
            <w:vAlign w:val="center"/>
            <w:hideMark/>
          </w:tcPr>
          <w:p w14:paraId="22277E9E"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5834 (56.9)</w:t>
            </w:r>
          </w:p>
        </w:tc>
        <w:tc>
          <w:tcPr>
            <w:tcW w:w="1361" w:type="pct"/>
            <w:tcBorders>
              <w:top w:val="nil"/>
              <w:left w:val="nil"/>
              <w:bottom w:val="nil"/>
              <w:right w:val="nil"/>
            </w:tcBorders>
            <w:shd w:val="clear" w:color="auto" w:fill="auto"/>
            <w:noWrap/>
            <w:vAlign w:val="center"/>
            <w:hideMark/>
          </w:tcPr>
          <w:p w14:paraId="603137F5"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6436 (58.7)</w:t>
            </w:r>
          </w:p>
        </w:tc>
      </w:tr>
      <w:tr w:rsidR="000C24B1" w:rsidRPr="00C629EC" w14:paraId="4ABD090C" w14:textId="77777777" w:rsidTr="000C24B1">
        <w:trPr>
          <w:trHeight w:val="290"/>
        </w:trPr>
        <w:tc>
          <w:tcPr>
            <w:tcW w:w="2278" w:type="pct"/>
            <w:tcBorders>
              <w:top w:val="nil"/>
              <w:left w:val="nil"/>
              <w:bottom w:val="nil"/>
              <w:right w:val="nil"/>
            </w:tcBorders>
            <w:shd w:val="clear" w:color="auto" w:fill="auto"/>
            <w:noWrap/>
            <w:vAlign w:val="bottom"/>
            <w:hideMark/>
          </w:tcPr>
          <w:p w14:paraId="3DF5C1D2"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Year of surgery (median [IQR])</w:t>
            </w:r>
          </w:p>
        </w:tc>
        <w:tc>
          <w:tcPr>
            <w:tcW w:w="1361" w:type="pct"/>
            <w:tcBorders>
              <w:top w:val="nil"/>
              <w:left w:val="nil"/>
              <w:bottom w:val="nil"/>
              <w:right w:val="nil"/>
            </w:tcBorders>
            <w:shd w:val="clear" w:color="auto" w:fill="auto"/>
            <w:noWrap/>
            <w:vAlign w:val="center"/>
            <w:hideMark/>
          </w:tcPr>
          <w:p w14:paraId="18196C35"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2009 [2006, 2011]</w:t>
            </w:r>
          </w:p>
        </w:tc>
        <w:tc>
          <w:tcPr>
            <w:tcW w:w="1361" w:type="pct"/>
            <w:tcBorders>
              <w:top w:val="nil"/>
              <w:left w:val="nil"/>
              <w:bottom w:val="nil"/>
              <w:right w:val="nil"/>
            </w:tcBorders>
            <w:shd w:val="clear" w:color="auto" w:fill="auto"/>
            <w:noWrap/>
            <w:vAlign w:val="center"/>
            <w:hideMark/>
          </w:tcPr>
          <w:p w14:paraId="2258FBB5"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2008 [2005, 2011]</w:t>
            </w:r>
          </w:p>
        </w:tc>
      </w:tr>
      <w:tr w:rsidR="000C24B1" w:rsidRPr="00C629EC" w14:paraId="78956C71" w14:textId="77777777" w:rsidTr="000C24B1">
        <w:trPr>
          <w:trHeight w:val="290"/>
        </w:trPr>
        <w:tc>
          <w:tcPr>
            <w:tcW w:w="2278" w:type="pct"/>
            <w:tcBorders>
              <w:top w:val="nil"/>
              <w:left w:val="nil"/>
              <w:bottom w:val="nil"/>
              <w:right w:val="nil"/>
            </w:tcBorders>
            <w:shd w:val="clear" w:color="auto" w:fill="auto"/>
            <w:noWrap/>
            <w:vAlign w:val="bottom"/>
            <w:hideMark/>
          </w:tcPr>
          <w:p w14:paraId="5110F756"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Diagnosis: RA (n (%))</w:t>
            </w:r>
          </w:p>
        </w:tc>
        <w:tc>
          <w:tcPr>
            <w:tcW w:w="1361" w:type="pct"/>
            <w:tcBorders>
              <w:top w:val="nil"/>
              <w:left w:val="nil"/>
              <w:bottom w:val="nil"/>
              <w:right w:val="nil"/>
            </w:tcBorders>
            <w:shd w:val="clear" w:color="auto" w:fill="auto"/>
            <w:noWrap/>
            <w:vAlign w:val="center"/>
            <w:hideMark/>
          </w:tcPr>
          <w:p w14:paraId="12ED8040"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851 (8.3)</w:t>
            </w:r>
          </w:p>
        </w:tc>
        <w:tc>
          <w:tcPr>
            <w:tcW w:w="1361" w:type="pct"/>
            <w:tcBorders>
              <w:top w:val="nil"/>
              <w:left w:val="nil"/>
              <w:bottom w:val="nil"/>
              <w:right w:val="nil"/>
            </w:tcBorders>
            <w:shd w:val="clear" w:color="auto" w:fill="auto"/>
            <w:noWrap/>
            <w:vAlign w:val="center"/>
            <w:hideMark/>
          </w:tcPr>
          <w:p w14:paraId="3C5DE134"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639 (5.8)</w:t>
            </w:r>
          </w:p>
        </w:tc>
      </w:tr>
      <w:tr w:rsidR="000C24B1" w:rsidRPr="00C629EC" w14:paraId="6B9A0D05" w14:textId="77777777" w:rsidTr="000C24B1">
        <w:trPr>
          <w:trHeight w:val="290"/>
        </w:trPr>
        <w:tc>
          <w:tcPr>
            <w:tcW w:w="2278" w:type="pct"/>
            <w:tcBorders>
              <w:top w:val="nil"/>
              <w:left w:val="nil"/>
              <w:bottom w:val="nil"/>
              <w:right w:val="nil"/>
            </w:tcBorders>
            <w:shd w:val="clear" w:color="auto" w:fill="auto"/>
            <w:noWrap/>
            <w:vAlign w:val="center"/>
            <w:hideMark/>
          </w:tcPr>
          <w:p w14:paraId="176E221D"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cstheme="minorHAnsi"/>
                <w:sz w:val="20"/>
                <w:szCs w:val="20"/>
              </w:rPr>
              <w:t>Charlson score</w:t>
            </w:r>
            <w:r w:rsidRPr="00C629EC">
              <w:rPr>
                <w:rFonts w:eastAsia="Times New Roman" w:cstheme="minorHAnsi"/>
                <w:color w:val="000000"/>
                <w:sz w:val="20"/>
                <w:szCs w:val="20"/>
                <w:lang w:eastAsia="en-GB"/>
              </w:rPr>
              <w:t xml:space="preserve"> (n (%))</w:t>
            </w:r>
          </w:p>
        </w:tc>
        <w:tc>
          <w:tcPr>
            <w:tcW w:w="1361" w:type="pct"/>
            <w:tcBorders>
              <w:top w:val="nil"/>
              <w:left w:val="nil"/>
              <w:bottom w:val="nil"/>
              <w:right w:val="nil"/>
            </w:tcBorders>
            <w:shd w:val="clear" w:color="auto" w:fill="auto"/>
            <w:noWrap/>
            <w:vAlign w:val="center"/>
            <w:hideMark/>
          </w:tcPr>
          <w:p w14:paraId="771F7E23" w14:textId="77777777" w:rsidR="000C24B1" w:rsidRPr="00C629EC" w:rsidRDefault="000C24B1" w:rsidP="000C24B1">
            <w:pPr>
              <w:spacing w:after="0" w:line="360" w:lineRule="auto"/>
              <w:rPr>
                <w:rFonts w:eastAsia="Times New Roman" w:cstheme="minorHAnsi"/>
                <w:color w:val="000000"/>
                <w:sz w:val="20"/>
                <w:szCs w:val="20"/>
                <w:lang w:eastAsia="en-GB"/>
              </w:rPr>
            </w:pPr>
          </w:p>
        </w:tc>
        <w:tc>
          <w:tcPr>
            <w:tcW w:w="1361" w:type="pct"/>
            <w:tcBorders>
              <w:top w:val="nil"/>
              <w:left w:val="nil"/>
              <w:bottom w:val="nil"/>
              <w:right w:val="nil"/>
            </w:tcBorders>
            <w:shd w:val="clear" w:color="auto" w:fill="auto"/>
            <w:noWrap/>
            <w:vAlign w:val="center"/>
            <w:hideMark/>
          </w:tcPr>
          <w:p w14:paraId="0E36E91F" w14:textId="77777777" w:rsidR="000C24B1" w:rsidRPr="00C629EC" w:rsidRDefault="000C24B1" w:rsidP="000C24B1">
            <w:pPr>
              <w:spacing w:after="0" w:line="360" w:lineRule="auto"/>
              <w:rPr>
                <w:rFonts w:eastAsia="Times New Roman" w:cstheme="minorHAnsi"/>
                <w:sz w:val="20"/>
                <w:szCs w:val="20"/>
                <w:lang w:eastAsia="en-GB"/>
              </w:rPr>
            </w:pPr>
          </w:p>
        </w:tc>
      </w:tr>
      <w:tr w:rsidR="000C24B1" w:rsidRPr="00C629EC" w14:paraId="60FBF40E" w14:textId="77777777" w:rsidTr="000C24B1">
        <w:trPr>
          <w:trHeight w:val="290"/>
        </w:trPr>
        <w:tc>
          <w:tcPr>
            <w:tcW w:w="2278" w:type="pct"/>
            <w:tcBorders>
              <w:top w:val="nil"/>
              <w:left w:val="nil"/>
              <w:bottom w:val="nil"/>
              <w:right w:val="nil"/>
            </w:tcBorders>
            <w:shd w:val="clear" w:color="auto" w:fill="auto"/>
            <w:noWrap/>
            <w:vAlign w:val="center"/>
            <w:hideMark/>
          </w:tcPr>
          <w:p w14:paraId="0FF272F4"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 xml:space="preserve">   0</w:t>
            </w:r>
          </w:p>
        </w:tc>
        <w:tc>
          <w:tcPr>
            <w:tcW w:w="1361" w:type="pct"/>
            <w:tcBorders>
              <w:top w:val="nil"/>
              <w:left w:val="nil"/>
              <w:bottom w:val="nil"/>
              <w:right w:val="nil"/>
            </w:tcBorders>
            <w:shd w:val="clear" w:color="auto" w:fill="auto"/>
            <w:noWrap/>
            <w:vAlign w:val="center"/>
            <w:hideMark/>
          </w:tcPr>
          <w:p w14:paraId="6330B11D"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7804 (76.1)</w:t>
            </w:r>
          </w:p>
        </w:tc>
        <w:tc>
          <w:tcPr>
            <w:tcW w:w="1361" w:type="pct"/>
            <w:tcBorders>
              <w:top w:val="nil"/>
              <w:left w:val="nil"/>
              <w:bottom w:val="nil"/>
              <w:right w:val="nil"/>
            </w:tcBorders>
            <w:shd w:val="clear" w:color="auto" w:fill="auto"/>
            <w:noWrap/>
            <w:vAlign w:val="center"/>
            <w:hideMark/>
          </w:tcPr>
          <w:p w14:paraId="5E078165"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8677 (79.2)</w:t>
            </w:r>
          </w:p>
        </w:tc>
      </w:tr>
      <w:tr w:rsidR="000C24B1" w:rsidRPr="00C629EC" w14:paraId="01E06F5C" w14:textId="77777777" w:rsidTr="000C24B1">
        <w:trPr>
          <w:trHeight w:val="290"/>
        </w:trPr>
        <w:tc>
          <w:tcPr>
            <w:tcW w:w="2278" w:type="pct"/>
            <w:tcBorders>
              <w:top w:val="nil"/>
              <w:left w:val="nil"/>
              <w:bottom w:val="nil"/>
              <w:right w:val="nil"/>
            </w:tcBorders>
            <w:shd w:val="clear" w:color="auto" w:fill="auto"/>
            <w:noWrap/>
            <w:vAlign w:val="center"/>
            <w:hideMark/>
          </w:tcPr>
          <w:p w14:paraId="3CCE9A4C" w14:textId="1C492909"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 xml:space="preserve">   1</w:t>
            </w:r>
            <w:r w:rsidR="00292B2E">
              <w:rPr>
                <w:rFonts w:eastAsia="Times New Roman" w:cstheme="minorHAnsi"/>
                <w:color w:val="000000"/>
                <w:sz w:val="20"/>
                <w:szCs w:val="20"/>
                <w:lang w:eastAsia="en-GB"/>
              </w:rPr>
              <w:t>+</w:t>
            </w:r>
          </w:p>
        </w:tc>
        <w:tc>
          <w:tcPr>
            <w:tcW w:w="1361" w:type="pct"/>
            <w:tcBorders>
              <w:top w:val="nil"/>
              <w:left w:val="nil"/>
              <w:bottom w:val="nil"/>
              <w:right w:val="nil"/>
            </w:tcBorders>
            <w:shd w:val="clear" w:color="auto" w:fill="auto"/>
            <w:noWrap/>
            <w:vAlign w:val="center"/>
            <w:hideMark/>
          </w:tcPr>
          <w:p w14:paraId="5D022DF3" w14:textId="2F3086B5" w:rsidR="000C24B1" w:rsidRPr="00C629EC" w:rsidRDefault="00292B2E" w:rsidP="000C24B1">
            <w:pPr>
              <w:spacing w:after="0" w:line="360" w:lineRule="auto"/>
              <w:rPr>
                <w:rFonts w:eastAsia="Times New Roman" w:cstheme="minorHAnsi"/>
                <w:color w:val="000000"/>
                <w:sz w:val="20"/>
                <w:szCs w:val="20"/>
                <w:lang w:eastAsia="en-GB"/>
              </w:rPr>
            </w:pPr>
            <w:r w:rsidRPr="00292B2E">
              <w:rPr>
                <w:rFonts w:eastAsia="Times New Roman" w:cstheme="minorHAnsi"/>
                <w:color w:val="000000"/>
                <w:sz w:val="20"/>
                <w:szCs w:val="20"/>
                <w:lang w:eastAsia="en-GB"/>
              </w:rPr>
              <w:t>2456 (23.9)</w:t>
            </w:r>
          </w:p>
        </w:tc>
        <w:tc>
          <w:tcPr>
            <w:tcW w:w="1361" w:type="pct"/>
            <w:tcBorders>
              <w:top w:val="nil"/>
              <w:left w:val="nil"/>
              <w:bottom w:val="nil"/>
              <w:right w:val="nil"/>
            </w:tcBorders>
            <w:shd w:val="clear" w:color="auto" w:fill="auto"/>
            <w:noWrap/>
            <w:vAlign w:val="center"/>
            <w:hideMark/>
          </w:tcPr>
          <w:p w14:paraId="37A9A309" w14:textId="3B4D22FD" w:rsidR="000C24B1" w:rsidRPr="00C629EC" w:rsidRDefault="00064070" w:rsidP="000C24B1">
            <w:pPr>
              <w:spacing w:after="0" w:line="360" w:lineRule="auto"/>
              <w:rPr>
                <w:rFonts w:eastAsia="Times New Roman" w:cstheme="minorHAnsi"/>
                <w:color w:val="000000"/>
                <w:sz w:val="20"/>
                <w:szCs w:val="20"/>
                <w:lang w:eastAsia="en-GB"/>
              </w:rPr>
            </w:pPr>
            <w:r w:rsidRPr="00064070">
              <w:rPr>
                <w:rFonts w:eastAsia="Times New Roman" w:cstheme="minorHAnsi"/>
                <w:color w:val="000000"/>
                <w:sz w:val="20"/>
                <w:szCs w:val="20"/>
                <w:lang w:eastAsia="en-GB"/>
              </w:rPr>
              <w:t>2284 (20.8)</w:t>
            </w:r>
          </w:p>
        </w:tc>
      </w:tr>
      <w:tr w:rsidR="000C24B1" w:rsidRPr="00C629EC" w14:paraId="4DE307A4" w14:textId="77777777" w:rsidTr="000C24B1">
        <w:trPr>
          <w:trHeight w:val="290"/>
        </w:trPr>
        <w:tc>
          <w:tcPr>
            <w:tcW w:w="2278" w:type="pct"/>
            <w:tcBorders>
              <w:top w:val="nil"/>
              <w:left w:val="nil"/>
              <w:bottom w:val="nil"/>
              <w:right w:val="nil"/>
            </w:tcBorders>
            <w:shd w:val="clear" w:color="auto" w:fill="auto"/>
            <w:noWrap/>
            <w:vAlign w:val="center"/>
            <w:hideMark/>
          </w:tcPr>
          <w:p w14:paraId="1FE31D0C" w14:textId="69BC9452"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IMD</w:t>
            </w:r>
            <w:r>
              <w:rPr>
                <w:rFonts w:eastAsia="Times New Roman" w:cstheme="minorHAnsi"/>
                <w:color w:val="000000"/>
                <w:sz w:val="20"/>
                <w:szCs w:val="20"/>
                <w:lang w:eastAsia="en-GB"/>
              </w:rPr>
              <w:t xml:space="preserve"> </w:t>
            </w:r>
            <w:r w:rsidRPr="00C629EC">
              <w:rPr>
                <w:rFonts w:eastAsia="Times New Roman" w:cstheme="minorHAnsi"/>
                <w:color w:val="000000"/>
                <w:sz w:val="20"/>
                <w:szCs w:val="20"/>
                <w:lang w:eastAsia="en-GB"/>
              </w:rPr>
              <w:t>(n (%))</w:t>
            </w:r>
          </w:p>
        </w:tc>
        <w:tc>
          <w:tcPr>
            <w:tcW w:w="1361" w:type="pct"/>
            <w:tcBorders>
              <w:top w:val="nil"/>
              <w:left w:val="nil"/>
              <w:bottom w:val="nil"/>
              <w:right w:val="nil"/>
            </w:tcBorders>
            <w:shd w:val="clear" w:color="auto" w:fill="auto"/>
            <w:noWrap/>
            <w:vAlign w:val="center"/>
            <w:hideMark/>
          </w:tcPr>
          <w:p w14:paraId="66DE1A24" w14:textId="77777777" w:rsidR="000C24B1" w:rsidRPr="00C629EC" w:rsidRDefault="000C24B1" w:rsidP="000C24B1">
            <w:pPr>
              <w:spacing w:after="0" w:line="360" w:lineRule="auto"/>
              <w:rPr>
                <w:rFonts w:eastAsia="Times New Roman" w:cstheme="minorHAnsi"/>
                <w:color w:val="000000"/>
                <w:sz w:val="20"/>
                <w:szCs w:val="20"/>
                <w:lang w:eastAsia="en-GB"/>
              </w:rPr>
            </w:pPr>
          </w:p>
        </w:tc>
        <w:tc>
          <w:tcPr>
            <w:tcW w:w="1361" w:type="pct"/>
            <w:tcBorders>
              <w:top w:val="nil"/>
              <w:left w:val="nil"/>
              <w:bottom w:val="nil"/>
              <w:right w:val="nil"/>
            </w:tcBorders>
            <w:shd w:val="clear" w:color="auto" w:fill="auto"/>
            <w:noWrap/>
            <w:vAlign w:val="center"/>
            <w:hideMark/>
          </w:tcPr>
          <w:p w14:paraId="719DCD89" w14:textId="77777777" w:rsidR="000C24B1" w:rsidRPr="00C629EC" w:rsidRDefault="000C24B1" w:rsidP="000C24B1">
            <w:pPr>
              <w:spacing w:after="0" w:line="360" w:lineRule="auto"/>
              <w:rPr>
                <w:rFonts w:eastAsia="Times New Roman" w:cstheme="minorHAnsi"/>
                <w:sz w:val="20"/>
                <w:szCs w:val="20"/>
                <w:lang w:eastAsia="en-GB"/>
              </w:rPr>
            </w:pPr>
          </w:p>
        </w:tc>
      </w:tr>
      <w:tr w:rsidR="000C24B1" w:rsidRPr="00C629EC" w14:paraId="4D9728D3" w14:textId="77777777" w:rsidTr="000C24B1">
        <w:trPr>
          <w:trHeight w:val="290"/>
        </w:trPr>
        <w:tc>
          <w:tcPr>
            <w:tcW w:w="2278" w:type="pct"/>
            <w:tcBorders>
              <w:top w:val="nil"/>
              <w:left w:val="nil"/>
              <w:bottom w:val="nil"/>
              <w:right w:val="nil"/>
            </w:tcBorders>
            <w:shd w:val="clear" w:color="auto" w:fill="auto"/>
            <w:noWrap/>
            <w:vAlign w:val="center"/>
            <w:hideMark/>
          </w:tcPr>
          <w:p w14:paraId="19A8F69F" w14:textId="4FBE7E2B"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 xml:space="preserve">   1</w:t>
            </w:r>
            <w:r w:rsidR="00F06DD7">
              <w:rPr>
                <w:rFonts w:eastAsia="Times New Roman" w:cstheme="minorHAnsi"/>
                <w:color w:val="000000"/>
                <w:sz w:val="20"/>
                <w:szCs w:val="20"/>
                <w:lang w:eastAsia="en-GB"/>
              </w:rPr>
              <w:t xml:space="preserve"> (least deprived)</w:t>
            </w:r>
          </w:p>
        </w:tc>
        <w:tc>
          <w:tcPr>
            <w:tcW w:w="1361" w:type="pct"/>
            <w:tcBorders>
              <w:top w:val="nil"/>
              <w:left w:val="nil"/>
              <w:bottom w:val="nil"/>
              <w:right w:val="nil"/>
            </w:tcBorders>
            <w:shd w:val="clear" w:color="auto" w:fill="auto"/>
            <w:noWrap/>
            <w:vAlign w:val="center"/>
            <w:hideMark/>
          </w:tcPr>
          <w:p w14:paraId="0209F5A7"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2330 (22.7)</w:t>
            </w:r>
          </w:p>
        </w:tc>
        <w:tc>
          <w:tcPr>
            <w:tcW w:w="1361" w:type="pct"/>
            <w:tcBorders>
              <w:top w:val="nil"/>
              <w:left w:val="nil"/>
              <w:bottom w:val="nil"/>
              <w:right w:val="nil"/>
            </w:tcBorders>
            <w:shd w:val="clear" w:color="auto" w:fill="auto"/>
            <w:noWrap/>
            <w:vAlign w:val="center"/>
            <w:hideMark/>
          </w:tcPr>
          <w:p w14:paraId="5321AA82"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2779 (25.4)</w:t>
            </w:r>
          </w:p>
        </w:tc>
      </w:tr>
      <w:tr w:rsidR="000C24B1" w:rsidRPr="00C629EC" w14:paraId="5D018B47" w14:textId="77777777" w:rsidTr="000C24B1">
        <w:trPr>
          <w:trHeight w:val="290"/>
        </w:trPr>
        <w:tc>
          <w:tcPr>
            <w:tcW w:w="2278" w:type="pct"/>
            <w:tcBorders>
              <w:top w:val="nil"/>
              <w:left w:val="nil"/>
              <w:bottom w:val="nil"/>
              <w:right w:val="nil"/>
            </w:tcBorders>
            <w:shd w:val="clear" w:color="auto" w:fill="auto"/>
            <w:noWrap/>
            <w:vAlign w:val="center"/>
            <w:hideMark/>
          </w:tcPr>
          <w:p w14:paraId="3B061133"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 xml:space="preserve">   2</w:t>
            </w:r>
          </w:p>
        </w:tc>
        <w:tc>
          <w:tcPr>
            <w:tcW w:w="1361" w:type="pct"/>
            <w:tcBorders>
              <w:top w:val="nil"/>
              <w:left w:val="nil"/>
              <w:bottom w:val="nil"/>
              <w:right w:val="nil"/>
            </w:tcBorders>
            <w:shd w:val="clear" w:color="auto" w:fill="auto"/>
            <w:noWrap/>
            <w:vAlign w:val="center"/>
            <w:hideMark/>
          </w:tcPr>
          <w:p w14:paraId="72CEB69A"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2487 (24.2)</w:t>
            </w:r>
          </w:p>
        </w:tc>
        <w:tc>
          <w:tcPr>
            <w:tcW w:w="1361" w:type="pct"/>
            <w:tcBorders>
              <w:top w:val="nil"/>
              <w:left w:val="nil"/>
              <w:bottom w:val="nil"/>
              <w:right w:val="nil"/>
            </w:tcBorders>
            <w:shd w:val="clear" w:color="auto" w:fill="auto"/>
            <w:noWrap/>
            <w:vAlign w:val="center"/>
            <w:hideMark/>
          </w:tcPr>
          <w:p w14:paraId="7F40336B"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2794 (25.5)</w:t>
            </w:r>
          </w:p>
        </w:tc>
      </w:tr>
      <w:tr w:rsidR="000C24B1" w:rsidRPr="00C629EC" w14:paraId="5E890BCC" w14:textId="77777777" w:rsidTr="000C24B1">
        <w:trPr>
          <w:trHeight w:val="290"/>
        </w:trPr>
        <w:tc>
          <w:tcPr>
            <w:tcW w:w="2278" w:type="pct"/>
            <w:tcBorders>
              <w:top w:val="nil"/>
              <w:left w:val="nil"/>
              <w:bottom w:val="nil"/>
              <w:right w:val="nil"/>
            </w:tcBorders>
            <w:shd w:val="clear" w:color="auto" w:fill="auto"/>
            <w:noWrap/>
            <w:vAlign w:val="center"/>
            <w:hideMark/>
          </w:tcPr>
          <w:p w14:paraId="1F4902EE"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 xml:space="preserve">   3</w:t>
            </w:r>
          </w:p>
        </w:tc>
        <w:tc>
          <w:tcPr>
            <w:tcW w:w="1361" w:type="pct"/>
            <w:tcBorders>
              <w:top w:val="nil"/>
              <w:left w:val="nil"/>
              <w:bottom w:val="nil"/>
              <w:right w:val="nil"/>
            </w:tcBorders>
            <w:shd w:val="clear" w:color="auto" w:fill="auto"/>
            <w:noWrap/>
            <w:vAlign w:val="center"/>
            <w:hideMark/>
          </w:tcPr>
          <w:p w14:paraId="4F0219A9"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2383 (23.2)</w:t>
            </w:r>
          </w:p>
        </w:tc>
        <w:tc>
          <w:tcPr>
            <w:tcW w:w="1361" w:type="pct"/>
            <w:tcBorders>
              <w:top w:val="nil"/>
              <w:left w:val="nil"/>
              <w:bottom w:val="nil"/>
              <w:right w:val="nil"/>
            </w:tcBorders>
            <w:shd w:val="clear" w:color="auto" w:fill="auto"/>
            <w:noWrap/>
            <w:vAlign w:val="center"/>
            <w:hideMark/>
          </w:tcPr>
          <w:p w14:paraId="1E9F40E3"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2479 (22.6)</w:t>
            </w:r>
          </w:p>
        </w:tc>
      </w:tr>
      <w:tr w:rsidR="000C24B1" w:rsidRPr="00C629EC" w14:paraId="5507A23C" w14:textId="77777777" w:rsidTr="000C24B1">
        <w:trPr>
          <w:trHeight w:val="290"/>
        </w:trPr>
        <w:tc>
          <w:tcPr>
            <w:tcW w:w="2278" w:type="pct"/>
            <w:tcBorders>
              <w:top w:val="nil"/>
              <w:left w:val="nil"/>
              <w:bottom w:val="nil"/>
              <w:right w:val="nil"/>
            </w:tcBorders>
            <w:shd w:val="clear" w:color="auto" w:fill="auto"/>
            <w:noWrap/>
            <w:vAlign w:val="center"/>
            <w:hideMark/>
          </w:tcPr>
          <w:p w14:paraId="4A9667F3"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 xml:space="preserve">   4</w:t>
            </w:r>
          </w:p>
        </w:tc>
        <w:tc>
          <w:tcPr>
            <w:tcW w:w="1361" w:type="pct"/>
            <w:tcBorders>
              <w:top w:val="nil"/>
              <w:left w:val="nil"/>
              <w:bottom w:val="nil"/>
              <w:right w:val="nil"/>
            </w:tcBorders>
            <w:shd w:val="clear" w:color="auto" w:fill="auto"/>
            <w:noWrap/>
            <w:vAlign w:val="center"/>
            <w:hideMark/>
          </w:tcPr>
          <w:p w14:paraId="071EC320"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1930 (18.8)</w:t>
            </w:r>
          </w:p>
        </w:tc>
        <w:tc>
          <w:tcPr>
            <w:tcW w:w="1361" w:type="pct"/>
            <w:tcBorders>
              <w:top w:val="nil"/>
              <w:left w:val="nil"/>
              <w:bottom w:val="nil"/>
              <w:right w:val="nil"/>
            </w:tcBorders>
            <w:shd w:val="clear" w:color="auto" w:fill="auto"/>
            <w:noWrap/>
            <w:vAlign w:val="center"/>
            <w:hideMark/>
          </w:tcPr>
          <w:p w14:paraId="4230610A"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1923 (17.5)</w:t>
            </w:r>
          </w:p>
        </w:tc>
      </w:tr>
      <w:tr w:rsidR="000C24B1" w:rsidRPr="00C629EC" w14:paraId="0D54EB7E" w14:textId="77777777" w:rsidTr="000C24B1">
        <w:trPr>
          <w:trHeight w:val="290"/>
        </w:trPr>
        <w:tc>
          <w:tcPr>
            <w:tcW w:w="2278" w:type="pct"/>
            <w:tcBorders>
              <w:top w:val="nil"/>
              <w:left w:val="nil"/>
              <w:bottom w:val="nil"/>
              <w:right w:val="nil"/>
            </w:tcBorders>
            <w:shd w:val="clear" w:color="auto" w:fill="auto"/>
            <w:noWrap/>
            <w:vAlign w:val="center"/>
            <w:hideMark/>
          </w:tcPr>
          <w:p w14:paraId="20E7BD54" w14:textId="20D125B9"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 xml:space="preserve">   5</w:t>
            </w:r>
            <w:r w:rsidR="00F06DD7">
              <w:rPr>
                <w:rFonts w:eastAsia="Times New Roman" w:cstheme="minorHAnsi"/>
                <w:color w:val="000000"/>
                <w:sz w:val="20"/>
                <w:szCs w:val="20"/>
                <w:lang w:eastAsia="en-GB"/>
              </w:rPr>
              <w:t xml:space="preserve"> (most deprived)</w:t>
            </w:r>
          </w:p>
        </w:tc>
        <w:tc>
          <w:tcPr>
            <w:tcW w:w="1361" w:type="pct"/>
            <w:tcBorders>
              <w:top w:val="nil"/>
              <w:left w:val="nil"/>
              <w:bottom w:val="nil"/>
              <w:right w:val="nil"/>
            </w:tcBorders>
            <w:shd w:val="clear" w:color="auto" w:fill="auto"/>
            <w:noWrap/>
            <w:vAlign w:val="center"/>
            <w:hideMark/>
          </w:tcPr>
          <w:p w14:paraId="7556F7B5"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1121 (10.9)</w:t>
            </w:r>
          </w:p>
        </w:tc>
        <w:tc>
          <w:tcPr>
            <w:tcW w:w="1361" w:type="pct"/>
            <w:tcBorders>
              <w:top w:val="nil"/>
              <w:left w:val="nil"/>
              <w:bottom w:val="nil"/>
              <w:right w:val="nil"/>
            </w:tcBorders>
            <w:shd w:val="clear" w:color="auto" w:fill="auto"/>
            <w:noWrap/>
            <w:vAlign w:val="center"/>
            <w:hideMark/>
          </w:tcPr>
          <w:p w14:paraId="2469E3CD"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980 (8.9)</w:t>
            </w:r>
          </w:p>
        </w:tc>
      </w:tr>
      <w:tr w:rsidR="000C24B1" w:rsidRPr="00C629EC" w14:paraId="3D714427" w14:textId="77777777" w:rsidTr="000C24B1">
        <w:trPr>
          <w:trHeight w:val="290"/>
        </w:trPr>
        <w:tc>
          <w:tcPr>
            <w:tcW w:w="2278" w:type="pct"/>
            <w:tcBorders>
              <w:top w:val="nil"/>
              <w:left w:val="nil"/>
              <w:bottom w:val="nil"/>
              <w:right w:val="nil"/>
            </w:tcBorders>
            <w:shd w:val="clear" w:color="auto" w:fill="auto"/>
            <w:noWrap/>
            <w:vAlign w:val="center"/>
            <w:hideMark/>
          </w:tcPr>
          <w:p w14:paraId="0DDB0736"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 xml:space="preserve">   Missing</w:t>
            </w:r>
          </w:p>
        </w:tc>
        <w:tc>
          <w:tcPr>
            <w:tcW w:w="1361" w:type="pct"/>
            <w:tcBorders>
              <w:top w:val="nil"/>
              <w:left w:val="nil"/>
              <w:bottom w:val="nil"/>
              <w:right w:val="nil"/>
            </w:tcBorders>
            <w:shd w:val="clear" w:color="auto" w:fill="auto"/>
            <w:noWrap/>
            <w:vAlign w:val="center"/>
            <w:hideMark/>
          </w:tcPr>
          <w:p w14:paraId="26B04C34"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9 (0.1)</w:t>
            </w:r>
          </w:p>
        </w:tc>
        <w:tc>
          <w:tcPr>
            <w:tcW w:w="1361" w:type="pct"/>
            <w:tcBorders>
              <w:top w:val="nil"/>
              <w:left w:val="nil"/>
              <w:bottom w:val="nil"/>
              <w:right w:val="nil"/>
            </w:tcBorders>
            <w:shd w:val="clear" w:color="auto" w:fill="auto"/>
            <w:noWrap/>
            <w:vAlign w:val="center"/>
            <w:hideMark/>
          </w:tcPr>
          <w:p w14:paraId="54683976"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6 (0.1)</w:t>
            </w:r>
          </w:p>
        </w:tc>
      </w:tr>
      <w:tr w:rsidR="000C24B1" w:rsidRPr="00C629EC" w14:paraId="1CC3DC34" w14:textId="77777777" w:rsidTr="000C24B1">
        <w:trPr>
          <w:trHeight w:val="290"/>
        </w:trPr>
        <w:tc>
          <w:tcPr>
            <w:tcW w:w="2278" w:type="pct"/>
            <w:tcBorders>
              <w:top w:val="nil"/>
              <w:left w:val="nil"/>
              <w:bottom w:val="nil"/>
              <w:right w:val="nil"/>
            </w:tcBorders>
            <w:shd w:val="clear" w:color="auto" w:fill="auto"/>
            <w:noWrap/>
            <w:vAlign w:val="center"/>
            <w:hideMark/>
          </w:tcPr>
          <w:p w14:paraId="3D504F4E"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BMI (median [IQR])</w:t>
            </w:r>
          </w:p>
        </w:tc>
        <w:tc>
          <w:tcPr>
            <w:tcW w:w="1361" w:type="pct"/>
            <w:tcBorders>
              <w:top w:val="nil"/>
              <w:left w:val="nil"/>
              <w:bottom w:val="nil"/>
              <w:right w:val="nil"/>
            </w:tcBorders>
            <w:shd w:val="clear" w:color="auto" w:fill="auto"/>
            <w:noWrap/>
            <w:vAlign w:val="center"/>
            <w:hideMark/>
          </w:tcPr>
          <w:p w14:paraId="4CFF3395"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30.3 [26.9, 34.3]</w:t>
            </w:r>
          </w:p>
        </w:tc>
        <w:tc>
          <w:tcPr>
            <w:tcW w:w="1361" w:type="pct"/>
            <w:tcBorders>
              <w:top w:val="nil"/>
              <w:left w:val="nil"/>
              <w:bottom w:val="nil"/>
              <w:right w:val="nil"/>
            </w:tcBorders>
            <w:shd w:val="clear" w:color="auto" w:fill="auto"/>
            <w:noWrap/>
            <w:vAlign w:val="center"/>
            <w:hideMark/>
          </w:tcPr>
          <w:p w14:paraId="756AC992" w14:textId="77777777" w:rsidR="000C24B1" w:rsidRPr="00C629EC" w:rsidRDefault="000C24B1" w:rsidP="000C24B1">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28.2 [25.0, 31.9]</w:t>
            </w:r>
          </w:p>
        </w:tc>
      </w:tr>
      <w:tr w:rsidR="00292B2E" w:rsidRPr="00C629EC" w14:paraId="1A4E2731" w14:textId="77777777" w:rsidTr="000C24B1">
        <w:trPr>
          <w:trHeight w:val="290"/>
        </w:trPr>
        <w:tc>
          <w:tcPr>
            <w:tcW w:w="2278" w:type="pct"/>
            <w:tcBorders>
              <w:top w:val="nil"/>
              <w:left w:val="nil"/>
              <w:bottom w:val="nil"/>
              <w:right w:val="nil"/>
            </w:tcBorders>
            <w:shd w:val="clear" w:color="auto" w:fill="auto"/>
            <w:noWrap/>
            <w:vAlign w:val="center"/>
          </w:tcPr>
          <w:p w14:paraId="376D70A6" w14:textId="130A62BD" w:rsidR="00292B2E" w:rsidRPr="00292B2E" w:rsidRDefault="00292B2E" w:rsidP="00292B2E">
            <w:pPr>
              <w:spacing w:after="0" w:line="360" w:lineRule="auto"/>
              <w:rPr>
                <w:rFonts w:eastAsia="Times New Roman" w:cstheme="minorHAnsi"/>
                <w:color w:val="000000"/>
                <w:sz w:val="20"/>
                <w:szCs w:val="20"/>
                <w:lang w:eastAsia="en-GB"/>
              </w:rPr>
            </w:pPr>
            <w:r w:rsidRPr="00292B2E">
              <w:rPr>
                <w:sz w:val="20"/>
                <w:szCs w:val="20"/>
                <w:lang w:eastAsia="en-GB"/>
              </w:rPr>
              <w:t>BMI category (n (%))</w:t>
            </w:r>
          </w:p>
        </w:tc>
        <w:tc>
          <w:tcPr>
            <w:tcW w:w="1361" w:type="pct"/>
            <w:tcBorders>
              <w:top w:val="nil"/>
              <w:left w:val="nil"/>
              <w:bottom w:val="nil"/>
              <w:right w:val="nil"/>
            </w:tcBorders>
            <w:shd w:val="clear" w:color="auto" w:fill="auto"/>
            <w:noWrap/>
            <w:vAlign w:val="center"/>
          </w:tcPr>
          <w:p w14:paraId="7C8752C3" w14:textId="77777777" w:rsidR="00292B2E" w:rsidRPr="00C629EC" w:rsidRDefault="00292B2E" w:rsidP="00292B2E">
            <w:pPr>
              <w:spacing w:after="0" w:line="360" w:lineRule="auto"/>
              <w:rPr>
                <w:rFonts w:eastAsia="Times New Roman" w:cstheme="minorHAnsi"/>
                <w:color w:val="000000"/>
                <w:sz w:val="20"/>
                <w:szCs w:val="20"/>
                <w:lang w:eastAsia="en-GB"/>
              </w:rPr>
            </w:pPr>
          </w:p>
        </w:tc>
        <w:tc>
          <w:tcPr>
            <w:tcW w:w="1361" w:type="pct"/>
            <w:tcBorders>
              <w:top w:val="nil"/>
              <w:left w:val="nil"/>
              <w:bottom w:val="nil"/>
              <w:right w:val="nil"/>
            </w:tcBorders>
            <w:shd w:val="clear" w:color="auto" w:fill="auto"/>
            <w:noWrap/>
            <w:vAlign w:val="center"/>
          </w:tcPr>
          <w:p w14:paraId="6E7F0776" w14:textId="77777777" w:rsidR="00292B2E" w:rsidRPr="00C629EC" w:rsidRDefault="00292B2E" w:rsidP="00292B2E">
            <w:pPr>
              <w:spacing w:after="0" w:line="360" w:lineRule="auto"/>
              <w:rPr>
                <w:rFonts w:eastAsia="Times New Roman" w:cstheme="minorHAnsi"/>
                <w:color w:val="000000"/>
                <w:sz w:val="20"/>
                <w:szCs w:val="20"/>
                <w:lang w:eastAsia="en-GB"/>
              </w:rPr>
            </w:pPr>
          </w:p>
        </w:tc>
      </w:tr>
      <w:tr w:rsidR="00292B2E" w:rsidRPr="00C629EC" w14:paraId="33E52875" w14:textId="77777777" w:rsidTr="00B43DEA">
        <w:trPr>
          <w:trHeight w:val="290"/>
        </w:trPr>
        <w:tc>
          <w:tcPr>
            <w:tcW w:w="2278" w:type="pct"/>
            <w:tcBorders>
              <w:top w:val="nil"/>
              <w:left w:val="nil"/>
              <w:bottom w:val="nil"/>
              <w:right w:val="nil"/>
            </w:tcBorders>
            <w:shd w:val="clear" w:color="auto" w:fill="auto"/>
            <w:noWrap/>
            <w:vAlign w:val="bottom"/>
          </w:tcPr>
          <w:p w14:paraId="141D6586" w14:textId="107AA589" w:rsidR="00292B2E" w:rsidRPr="00292B2E" w:rsidRDefault="00292B2E" w:rsidP="00292B2E">
            <w:pPr>
              <w:spacing w:after="0" w:line="360" w:lineRule="auto"/>
              <w:rPr>
                <w:rFonts w:eastAsia="Times New Roman" w:cstheme="minorHAnsi"/>
                <w:color w:val="000000"/>
                <w:sz w:val="20"/>
                <w:szCs w:val="20"/>
                <w:lang w:eastAsia="en-GB"/>
              </w:rPr>
            </w:pPr>
            <w:r w:rsidRPr="00292B2E">
              <w:rPr>
                <w:rFonts w:ascii="Calibri" w:hAnsi="Calibri" w:cs="Calibri"/>
                <w:sz w:val="20"/>
                <w:szCs w:val="20"/>
                <w:lang w:eastAsia="en-GB"/>
              </w:rPr>
              <w:t xml:space="preserve">  Normal or underweight</w:t>
            </w:r>
          </w:p>
        </w:tc>
        <w:tc>
          <w:tcPr>
            <w:tcW w:w="1361" w:type="pct"/>
            <w:tcBorders>
              <w:top w:val="nil"/>
              <w:left w:val="nil"/>
              <w:bottom w:val="nil"/>
              <w:right w:val="nil"/>
            </w:tcBorders>
            <w:shd w:val="clear" w:color="auto" w:fill="auto"/>
            <w:noWrap/>
            <w:vAlign w:val="center"/>
          </w:tcPr>
          <w:p w14:paraId="46CC8093" w14:textId="74AF46CA" w:rsidR="00292B2E" w:rsidRPr="00C629EC" w:rsidRDefault="00064070" w:rsidP="00292B2E">
            <w:pPr>
              <w:spacing w:after="0" w:line="360" w:lineRule="auto"/>
              <w:rPr>
                <w:rFonts w:eastAsia="Times New Roman" w:cstheme="minorHAnsi"/>
                <w:color w:val="000000"/>
                <w:sz w:val="20"/>
                <w:szCs w:val="20"/>
                <w:lang w:eastAsia="en-GB"/>
              </w:rPr>
            </w:pPr>
            <w:r w:rsidRPr="00064070">
              <w:rPr>
                <w:rFonts w:eastAsia="Times New Roman" w:cstheme="minorHAnsi"/>
                <w:color w:val="000000"/>
                <w:sz w:val="20"/>
                <w:szCs w:val="20"/>
                <w:lang w:eastAsia="en-GB"/>
              </w:rPr>
              <w:t>660 (6.4)</w:t>
            </w:r>
          </w:p>
        </w:tc>
        <w:tc>
          <w:tcPr>
            <w:tcW w:w="1361" w:type="pct"/>
            <w:tcBorders>
              <w:top w:val="nil"/>
              <w:left w:val="nil"/>
              <w:bottom w:val="nil"/>
              <w:right w:val="nil"/>
            </w:tcBorders>
            <w:shd w:val="clear" w:color="auto" w:fill="auto"/>
            <w:noWrap/>
            <w:vAlign w:val="center"/>
          </w:tcPr>
          <w:p w14:paraId="2E6D5867" w14:textId="26DDB44B" w:rsidR="00292B2E" w:rsidRPr="00C629EC" w:rsidRDefault="00064070" w:rsidP="00292B2E">
            <w:pPr>
              <w:spacing w:after="0" w:line="360" w:lineRule="auto"/>
              <w:rPr>
                <w:rFonts w:eastAsia="Times New Roman" w:cstheme="minorHAnsi"/>
                <w:color w:val="000000"/>
                <w:sz w:val="20"/>
                <w:szCs w:val="20"/>
                <w:lang w:eastAsia="en-GB"/>
              </w:rPr>
            </w:pPr>
            <w:r w:rsidRPr="00064070">
              <w:rPr>
                <w:rFonts w:eastAsia="Times New Roman" w:cstheme="minorHAnsi"/>
                <w:color w:val="000000"/>
                <w:sz w:val="20"/>
                <w:szCs w:val="20"/>
                <w:lang w:eastAsia="en-GB"/>
              </w:rPr>
              <w:t>1075 (9.8)</w:t>
            </w:r>
          </w:p>
        </w:tc>
      </w:tr>
      <w:tr w:rsidR="00292B2E" w:rsidRPr="00C629EC" w14:paraId="3EE9E5AA" w14:textId="77777777" w:rsidTr="00B43DEA">
        <w:trPr>
          <w:trHeight w:val="290"/>
        </w:trPr>
        <w:tc>
          <w:tcPr>
            <w:tcW w:w="2278" w:type="pct"/>
            <w:tcBorders>
              <w:top w:val="nil"/>
              <w:left w:val="nil"/>
              <w:bottom w:val="nil"/>
              <w:right w:val="nil"/>
            </w:tcBorders>
            <w:shd w:val="clear" w:color="auto" w:fill="auto"/>
            <w:noWrap/>
            <w:vAlign w:val="bottom"/>
          </w:tcPr>
          <w:p w14:paraId="21B628DC" w14:textId="4C2D2713" w:rsidR="00292B2E" w:rsidRPr="00292B2E" w:rsidRDefault="00292B2E" w:rsidP="00292B2E">
            <w:pPr>
              <w:spacing w:after="0" w:line="360" w:lineRule="auto"/>
              <w:rPr>
                <w:rFonts w:eastAsia="Times New Roman" w:cstheme="minorHAnsi"/>
                <w:color w:val="000000"/>
                <w:sz w:val="20"/>
                <w:szCs w:val="20"/>
                <w:lang w:eastAsia="en-GB"/>
              </w:rPr>
            </w:pPr>
            <w:r w:rsidRPr="00292B2E">
              <w:rPr>
                <w:rFonts w:ascii="Calibri" w:hAnsi="Calibri" w:cs="Calibri"/>
                <w:sz w:val="20"/>
                <w:szCs w:val="20"/>
                <w:lang w:eastAsia="en-GB"/>
              </w:rPr>
              <w:t xml:space="preserve">  Overweight</w:t>
            </w:r>
          </w:p>
        </w:tc>
        <w:tc>
          <w:tcPr>
            <w:tcW w:w="1361" w:type="pct"/>
            <w:tcBorders>
              <w:top w:val="nil"/>
              <w:left w:val="nil"/>
              <w:bottom w:val="nil"/>
              <w:right w:val="nil"/>
            </w:tcBorders>
            <w:shd w:val="clear" w:color="auto" w:fill="auto"/>
            <w:noWrap/>
            <w:vAlign w:val="center"/>
          </w:tcPr>
          <w:p w14:paraId="644A34F8" w14:textId="19B42B94" w:rsidR="00292B2E" w:rsidRPr="00C629EC" w:rsidRDefault="00064070" w:rsidP="00292B2E">
            <w:pPr>
              <w:spacing w:after="0" w:line="360" w:lineRule="auto"/>
              <w:rPr>
                <w:rFonts w:eastAsia="Times New Roman" w:cstheme="minorHAnsi"/>
                <w:color w:val="000000"/>
                <w:sz w:val="20"/>
                <w:szCs w:val="20"/>
                <w:lang w:eastAsia="en-GB"/>
              </w:rPr>
            </w:pPr>
            <w:r w:rsidRPr="00064070">
              <w:rPr>
                <w:rFonts w:eastAsia="Times New Roman" w:cstheme="minorHAnsi"/>
                <w:color w:val="000000"/>
                <w:sz w:val="20"/>
                <w:szCs w:val="20"/>
                <w:lang w:eastAsia="en-GB"/>
              </w:rPr>
              <w:t>1593 (15.5)</w:t>
            </w:r>
          </w:p>
        </w:tc>
        <w:tc>
          <w:tcPr>
            <w:tcW w:w="1361" w:type="pct"/>
            <w:tcBorders>
              <w:top w:val="nil"/>
              <w:left w:val="nil"/>
              <w:bottom w:val="nil"/>
              <w:right w:val="nil"/>
            </w:tcBorders>
            <w:shd w:val="clear" w:color="auto" w:fill="auto"/>
            <w:noWrap/>
            <w:vAlign w:val="center"/>
          </w:tcPr>
          <w:p w14:paraId="0DDEFF04" w14:textId="50F25EAF" w:rsidR="00292B2E" w:rsidRPr="00C629EC" w:rsidRDefault="00064070" w:rsidP="00292B2E">
            <w:pPr>
              <w:spacing w:after="0" w:line="360" w:lineRule="auto"/>
              <w:rPr>
                <w:rFonts w:eastAsia="Times New Roman" w:cstheme="minorHAnsi"/>
                <w:color w:val="000000"/>
                <w:sz w:val="20"/>
                <w:szCs w:val="20"/>
                <w:lang w:eastAsia="en-GB"/>
              </w:rPr>
            </w:pPr>
            <w:r w:rsidRPr="00064070">
              <w:rPr>
                <w:rFonts w:eastAsia="Times New Roman" w:cstheme="minorHAnsi"/>
                <w:color w:val="000000"/>
                <w:sz w:val="20"/>
                <w:szCs w:val="20"/>
                <w:lang w:eastAsia="en-GB"/>
              </w:rPr>
              <w:t>1656 (15.1)</w:t>
            </w:r>
          </w:p>
        </w:tc>
      </w:tr>
      <w:tr w:rsidR="00292B2E" w:rsidRPr="00C629EC" w14:paraId="4325571C" w14:textId="77777777" w:rsidTr="00B43DEA">
        <w:trPr>
          <w:trHeight w:val="290"/>
        </w:trPr>
        <w:tc>
          <w:tcPr>
            <w:tcW w:w="2278" w:type="pct"/>
            <w:tcBorders>
              <w:top w:val="nil"/>
              <w:left w:val="nil"/>
              <w:bottom w:val="nil"/>
              <w:right w:val="nil"/>
            </w:tcBorders>
            <w:shd w:val="clear" w:color="auto" w:fill="auto"/>
            <w:noWrap/>
            <w:vAlign w:val="bottom"/>
          </w:tcPr>
          <w:p w14:paraId="4793A2A1" w14:textId="7B40E77B" w:rsidR="00292B2E" w:rsidRPr="00292B2E" w:rsidRDefault="00292B2E" w:rsidP="00292B2E">
            <w:pPr>
              <w:spacing w:after="0" w:line="360" w:lineRule="auto"/>
              <w:rPr>
                <w:rFonts w:eastAsia="Times New Roman" w:cstheme="minorHAnsi"/>
                <w:color w:val="000000"/>
                <w:sz w:val="20"/>
                <w:szCs w:val="20"/>
                <w:lang w:eastAsia="en-GB"/>
              </w:rPr>
            </w:pPr>
            <w:r w:rsidRPr="00292B2E">
              <w:rPr>
                <w:rFonts w:ascii="Calibri" w:hAnsi="Calibri" w:cs="Calibri"/>
                <w:sz w:val="20"/>
                <w:szCs w:val="20"/>
                <w:lang w:eastAsia="en-GB"/>
              </w:rPr>
              <w:t xml:space="preserve">  Obese</w:t>
            </w:r>
          </w:p>
        </w:tc>
        <w:tc>
          <w:tcPr>
            <w:tcW w:w="1361" w:type="pct"/>
            <w:tcBorders>
              <w:top w:val="nil"/>
              <w:left w:val="nil"/>
              <w:bottom w:val="nil"/>
              <w:right w:val="nil"/>
            </w:tcBorders>
            <w:shd w:val="clear" w:color="auto" w:fill="auto"/>
            <w:noWrap/>
            <w:vAlign w:val="center"/>
          </w:tcPr>
          <w:p w14:paraId="05D2D6E1" w14:textId="66A7B341" w:rsidR="00292B2E" w:rsidRPr="00C629EC" w:rsidRDefault="00064070" w:rsidP="00292B2E">
            <w:pPr>
              <w:spacing w:after="0" w:line="360" w:lineRule="auto"/>
              <w:rPr>
                <w:rFonts w:eastAsia="Times New Roman" w:cstheme="minorHAnsi"/>
                <w:color w:val="000000"/>
                <w:sz w:val="20"/>
                <w:szCs w:val="20"/>
                <w:lang w:eastAsia="en-GB"/>
              </w:rPr>
            </w:pPr>
            <w:r w:rsidRPr="00064070">
              <w:rPr>
                <w:rFonts w:eastAsia="Times New Roman" w:cstheme="minorHAnsi"/>
                <w:color w:val="000000"/>
                <w:sz w:val="20"/>
                <w:szCs w:val="20"/>
                <w:lang w:eastAsia="en-GB"/>
              </w:rPr>
              <w:t>2526 (24.6)</w:t>
            </w:r>
          </w:p>
        </w:tc>
        <w:tc>
          <w:tcPr>
            <w:tcW w:w="1361" w:type="pct"/>
            <w:tcBorders>
              <w:top w:val="nil"/>
              <w:left w:val="nil"/>
              <w:bottom w:val="nil"/>
              <w:right w:val="nil"/>
            </w:tcBorders>
            <w:shd w:val="clear" w:color="auto" w:fill="auto"/>
            <w:noWrap/>
            <w:vAlign w:val="center"/>
          </w:tcPr>
          <w:p w14:paraId="048A27CB" w14:textId="2C84DFB8" w:rsidR="00292B2E" w:rsidRPr="00C629EC" w:rsidRDefault="00064070" w:rsidP="00292B2E">
            <w:pPr>
              <w:spacing w:after="0" w:line="360" w:lineRule="auto"/>
              <w:rPr>
                <w:rFonts w:eastAsia="Times New Roman" w:cstheme="minorHAnsi"/>
                <w:color w:val="000000"/>
                <w:sz w:val="20"/>
                <w:szCs w:val="20"/>
                <w:lang w:eastAsia="en-GB"/>
              </w:rPr>
            </w:pPr>
            <w:r w:rsidRPr="00064070">
              <w:rPr>
                <w:rFonts w:eastAsia="Times New Roman" w:cstheme="minorHAnsi"/>
                <w:color w:val="000000"/>
                <w:sz w:val="20"/>
                <w:szCs w:val="20"/>
                <w:lang w:eastAsia="en-GB"/>
              </w:rPr>
              <w:t>1649 (15.0)</w:t>
            </w:r>
          </w:p>
        </w:tc>
      </w:tr>
      <w:tr w:rsidR="00292B2E" w:rsidRPr="00C629EC" w14:paraId="2FC1CE13" w14:textId="77777777" w:rsidTr="00B43DEA">
        <w:trPr>
          <w:trHeight w:val="290"/>
        </w:trPr>
        <w:tc>
          <w:tcPr>
            <w:tcW w:w="2278" w:type="pct"/>
            <w:tcBorders>
              <w:top w:val="nil"/>
              <w:left w:val="nil"/>
              <w:bottom w:val="nil"/>
              <w:right w:val="nil"/>
            </w:tcBorders>
            <w:shd w:val="clear" w:color="auto" w:fill="auto"/>
            <w:noWrap/>
            <w:vAlign w:val="bottom"/>
            <w:hideMark/>
          </w:tcPr>
          <w:p w14:paraId="20E37B9A" w14:textId="25FBB2D7" w:rsidR="00292B2E" w:rsidRPr="00292B2E" w:rsidRDefault="00292B2E" w:rsidP="00292B2E">
            <w:pPr>
              <w:spacing w:after="0" w:line="360" w:lineRule="auto"/>
              <w:rPr>
                <w:rFonts w:eastAsia="Times New Roman" w:cstheme="minorHAnsi"/>
                <w:color w:val="000000"/>
                <w:sz w:val="20"/>
                <w:szCs w:val="20"/>
                <w:lang w:eastAsia="en-GB"/>
              </w:rPr>
            </w:pPr>
            <w:r w:rsidRPr="00292B2E">
              <w:rPr>
                <w:rFonts w:ascii="Calibri" w:hAnsi="Calibri" w:cs="Calibri"/>
                <w:sz w:val="20"/>
                <w:szCs w:val="20"/>
                <w:lang w:eastAsia="en-GB"/>
              </w:rPr>
              <w:t xml:space="preserve">  Missing</w:t>
            </w:r>
          </w:p>
        </w:tc>
        <w:tc>
          <w:tcPr>
            <w:tcW w:w="1361" w:type="pct"/>
            <w:tcBorders>
              <w:top w:val="nil"/>
              <w:left w:val="nil"/>
              <w:bottom w:val="nil"/>
              <w:right w:val="nil"/>
            </w:tcBorders>
            <w:shd w:val="clear" w:color="auto" w:fill="auto"/>
            <w:noWrap/>
            <w:vAlign w:val="center"/>
            <w:hideMark/>
          </w:tcPr>
          <w:p w14:paraId="52098C13"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5481 (53.4)</w:t>
            </w:r>
          </w:p>
        </w:tc>
        <w:tc>
          <w:tcPr>
            <w:tcW w:w="1361" w:type="pct"/>
            <w:tcBorders>
              <w:top w:val="nil"/>
              <w:left w:val="nil"/>
              <w:bottom w:val="nil"/>
              <w:right w:val="nil"/>
            </w:tcBorders>
            <w:shd w:val="clear" w:color="auto" w:fill="auto"/>
            <w:noWrap/>
            <w:vAlign w:val="center"/>
            <w:hideMark/>
          </w:tcPr>
          <w:p w14:paraId="534F9988"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6581 (60.0)</w:t>
            </w:r>
          </w:p>
        </w:tc>
      </w:tr>
      <w:tr w:rsidR="00292B2E" w:rsidRPr="00C629EC" w14:paraId="6780456E" w14:textId="77777777" w:rsidTr="000C24B1">
        <w:trPr>
          <w:trHeight w:val="290"/>
        </w:trPr>
        <w:tc>
          <w:tcPr>
            <w:tcW w:w="2278" w:type="pct"/>
            <w:tcBorders>
              <w:top w:val="nil"/>
              <w:left w:val="nil"/>
              <w:bottom w:val="nil"/>
              <w:right w:val="nil"/>
            </w:tcBorders>
            <w:shd w:val="clear" w:color="auto" w:fill="auto"/>
            <w:noWrap/>
            <w:vAlign w:val="center"/>
            <w:hideMark/>
          </w:tcPr>
          <w:p w14:paraId="390B764F"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Smoking status</w:t>
            </w:r>
            <w:r>
              <w:rPr>
                <w:rFonts w:eastAsia="Times New Roman" w:cstheme="minorHAnsi"/>
                <w:color w:val="000000"/>
                <w:sz w:val="20"/>
                <w:szCs w:val="20"/>
                <w:lang w:eastAsia="en-GB"/>
              </w:rPr>
              <w:t xml:space="preserve"> </w:t>
            </w:r>
            <w:r w:rsidRPr="00C629EC">
              <w:rPr>
                <w:rFonts w:eastAsia="Times New Roman" w:cstheme="minorHAnsi"/>
                <w:color w:val="000000"/>
                <w:sz w:val="20"/>
                <w:szCs w:val="20"/>
                <w:lang w:eastAsia="en-GB"/>
              </w:rPr>
              <w:t>(n (%))</w:t>
            </w:r>
          </w:p>
        </w:tc>
        <w:tc>
          <w:tcPr>
            <w:tcW w:w="1361" w:type="pct"/>
            <w:tcBorders>
              <w:top w:val="nil"/>
              <w:left w:val="nil"/>
              <w:bottom w:val="nil"/>
              <w:right w:val="nil"/>
            </w:tcBorders>
            <w:shd w:val="clear" w:color="auto" w:fill="auto"/>
            <w:noWrap/>
            <w:vAlign w:val="center"/>
            <w:hideMark/>
          </w:tcPr>
          <w:p w14:paraId="07C69283" w14:textId="77777777" w:rsidR="00292B2E" w:rsidRPr="00C629EC" w:rsidRDefault="00292B2E" w:rsidP="00292B2E">
            <w:pPr>
              <w:spacing w:after="0" w:line="360" w:lineRule="auto"/>
              <w:rPr>
                <w:rFonts w:eastAsia="Times New Roman" w:cstheme="minorHAnsi"/>
                <w:color w:val="000000"/>
                <w:sz w:val="20"/>
                <w:szCs w:val="20"/>
                <w:lang w:eastAsia="en-GB"/>
              </w:rPr>
            </w:pPr>
          </w:p>
        </w:tc>
        <w:tc>
          <w:tcPr>
            <w:tcW w:w="1361" w:type="pct"/>
            <w:tcBorders>
              <w:top w:val="nil"/>
              <w:left w:val="nil"/>
              <w:bottom w:val="nil"/>
              <w:right w:val="nil"/>
            </w:tcBorders>
            <w:shd w:val="clear" w:color="auto" w:fill="auto"/>
            <w:noWrap/>
            <w:vAlign w:val="center"/>
            <w:hideMark/>
          </w:tcPr>
          <w:p w14:paraId="67EF6EF3" w14:textId="77777777" w:rsidR="00292B2E" w:rsidRPr="00C629EC" w:rsidRDefault="00292B2E" w:rsidP="00292B2E">
            <w:pPr>
              <w:spacing w:after="0" w:line="360" w:lineRule="auto"/>
              <w:rPr>
                <w:rFonts w:eastAsia="Times New Roman" w:cstheme="minorHAnsi"/>
                <w:sz w:val="20"/>
                <w:szCs w:val="20"/>
                <w:lang w:eastAsia="en-GB"/>
              </w:rPr>
            </w:pPr>
          </w:p>
        </w:tc>
      </w:tr>
      <w:tr w:rsidR="00292B2E" w:rsidRPr="00C629EC" w14:paraId="4304DBE9" w14:textId="77777777" w:rsidTr="000C24B1">
        <w:trPr>
          <w:trHeight w:val="290"/>
        </w:trPr>
        <w:tc>
          <w:tcPr>
            <w:tcW w:w="2278" w:type="pct"/>
            <w:tcBorders>
              <w:top w:val="nil"/>
              <w:left w:val="nil"/>
              <w:bottom w:val="nil"/>
              <w:right w:val="nil"/>
            </w:tcBorders>
            <w:shd w:val="clear" w:color="auto" w:fill="auto"/>
            <w:noWrap/>
            <w:vAlign w:val="bottom"/>
            <w:hideMark/>
          </w:tcPr>
          <w:p w14:paraId="3EF46F0B"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 xml:space="preserve">   Non-smoker </w:t>
            </w:r>
          </w:p>
        </w:tc>
        <w:tc>
          <w:tcPr>
            <w:tcW w:w="1361" w:type="pct"/>
            <w:tcBorders>
              <w:top w:val="nil"/>
              <w:left w:val="nil"/>
              <w:bottom w:val="nil"/>
              <w:right w:val="nil"/>
            </w:tcBorders>
            <w:shd w:val="clear" w:color="auto" w:fill="auto"/>
            <w:noWrap/>
            <w:vAlign w:val="center"/>
            <w:hideMark/>
          </w:tcPr>
          <w:p w14:paraId="4254C9EB"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2737 (26.7)</w:t>
            </w:r>
          </w:p>
        </w:tc>
        <w:tc>
          <w:tcPr>
            <w:tcW w:w="1361" w:type="pct"/>
            <w:tcBorders>
              <w:top w:val="nil"/>
              <w:left w:val="nil"/>
              <w:bottom w:val="nil"/>
              <w:right w:val="nil"/>
            </w:tcBorders>
            <w:shd w:val="clear" w:color="auto" w:fill="auto"/>
            <w:noWrap/>
            <w:vAlign w:val="center"/>
            <w:hideMark/>
          </w:tcPr>
          <w:p w14:paraId="49D31CCE"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2543 (23.2)</w:t>
            </w:r>
          </w:p>
        </w:tc>
      </w:tr>
      <w:tr w:rsidR="00292B2E" w:rsidRPr="00C629EC" w14:paraId="6BF22CC3" w14:textId="77777777" w:rsidTr="000C24B1">
        <w:trPr>
          <w:trHeight w:val="290"/>
        </w:trPr>
        <w:tc>
          <w:tcPr>
            <w:tcW w:w="2278" w:type="pct"/>
            <w:tcBorders>
              <w:top w:val="nil"/>
              <w:left w:val="nil"/>
              <w:bottom w:val="nil"/>
              <w:right w:val="nil"/>
            </w:tcBorders>
            <w:shd w:val="clear" w:color="auto" w:fill="auto"/>
            <w:noWrap/>
            <w:vAlign w:val="bottom"/>
            <w:hideMark/>
          </w:tcPr>
          <w:p w14:paraId="2C7541A7"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 xml:space="preserve">   Ex-smoker </w:t>
            </w:r>
          </w:p>
        </w:tc>
        <w:tc>
          <w:tcPr>
            <w:tcW w:w="1361" w:type="pct"/>
            <w:tcBorders>
              <w:top w:val="nil"/>
              <w:left w:val="nil"/>
              <w:bottom w:val="nil"/>
              <w:right w:val="nil"/>
            </w:tcBorders>
            <w:shd w:val="clear" w:color="auto" w:fill="auto"/>
            <w:noWrap/>
            <w:vAlign w:val="center"/>
            <w:hideMark/>
          </w:tcPr>
          <w:p w14:paraId="29646C80"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2442 (23.8)</w:t>
            </w:r>
          </w:p>
        </w:tc>
        <w:tc>
          <w:tcPr>
            <w:tcW w:w="1361" w:type="pct"/>
            <w:tcBorders>
              <w:top w:val="nil"/>
              <w:left w:val="nil"/>
              <w:bottom w:val="nil"/>
              <w:right w:val="nil"/>
            </w:tcBorders>
            <w:shd w:val="clear" w:color="auto" w:fill="auto"/>
            <w:noWrap/>
            <w:vAlign w:val="center"/>
            <w:hideMark/>
          </w:tcPr>
          <w:p w14:paraId="0CA33342"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2233 (20.4)</w:t>
            </w:r>
          </w:p>
        </w:tc>
      </w:tr>
      <w:tr w:rsidR="00292B2E" w:rsidRPr="00C629EC" w14:paraId="7406F0C4" w14:textId="77777777" w:rsidTr="000C24B1">
        <w:trPr>
          <w:trHeight w:val="290"/>
        </w:trPr>
        <w:tc>
          <w:tcPr>
            <w:tcW w:w="2278" w:type="pct"/>
            <w:tcBorders>
              <w:top w:val="nil"/>
              <w:left w:val="nil"/>
              <w:right w:val="nil"/>
            </w:tcBorders>
            <w:shd w:val="clear" w:color="auto" w:fill="auto"/>
            <w:noWrap/>
            <w:vAlign w:val="bottom"/>
            <w:hideMark/>
          </w:tcPr>
          <w:p w14:paraId="44AC211C"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 xml:space="preserve">   Current smoker </w:t>
            </w:r>
          </w:p>
        </w:tc>
        <w:tc>
          <w:tcPr>
            <w:tcW w:w="1361" w:type="pct"/>
            <w:tcBorders>
              <w:top w:val="nil"/>
              <w:left w:val="nil"/>
              <w:right w:val="nil"/>
            </w:tcBorders>
            <w:shd w:val="clear" w:color="auto" w:fill="auto"/>
            <w:noWrap/>
            <w:vAlign w:val="center"/>
            <w:hideMark/>
          </w:tcPr>
          <w:p w14:paraId="1A7F1B25"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486 (4.7)</w:t>
            </w:r>
          </w:p>
        </w:tc>
        <w:tc>
          <w:tcPr>
            <w:tcW w:w="1361" w:type="pct"/>
            <w:tcBorders>
              <w:top w:val="nil"/>
              <w:left w:val="nil"/>
              <w:right w:val="nil"/>
            </w:tcBorders>
            <w:shd w:val="clear" w:color="auto" w:fill="auto"/>
            <w:noWrap/>
            <w:vAlign w:val="center"/>
            <w:hideMark/>
          </w:tcPr>
          <w:p w14:paraId="19412A78"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714 (6.5)</w:t>
            </w:r>
          </w:p>
        </w:tc>
      </w:tr>
      <w:tr w:rsidR="00292B2E" w:rsidRPr="00C629EC" w14:paraId="4246D2B3" w14:textId="77777777" w:rsidTr="000C24B1">
        <w:trPr>
          <w:trHeight w:val="290"/>
        </w:trPr>
        <w:tc>
          <w:tcPr>
            <w:tcW w:w="2278" w:type="pct"/>
            <w:tcBorders>
              <w:top w:val="nil"/>
              <w:left w:val="nil"/>
              <w:bottom w:val="single" w:sz="4" w:space="0" w:color="auto"/>
              <w:right w:val="nil"/>
            </w:tcBorders>
            <w:shd w:val="clear" w:color="auto" w:fill="auto"/>
            <w:noWrap/>
            <w:vAlign w:val="bottom"/>
            <w:hideMark/>
          </w:tcPr>
          <w:p w14:paraId="494F91BA"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 xml:space="preserve">   Missing </w:t>
            </w:r>
          </w:p>
        </w:tc>
        <w:tc>
          <w:tcPr>
            <w:tcW w:w="1361" w:type="pct"/>
            <w:tcBorders>
              <w:top w:val="nil"/>
              <w:left w:val="nil"/>
              <w:bottom w:val="single" w:sz="4" w:space="0" w:color="auto"/>
              <w:right w:val="nil"/>
            </w:tcBorders>
            <w:shd w:val="clear" w:color="auto" w:fill="auto"/>
            <w:noWrap/>
            <w:vAlign w:val="center"/>
            <w:hideMark/>
          </w:tcPr>
          <w:p w14:paraId="0C967699"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4595 (44.8)</w:t>
            </w:r>
          </w:p>
        </w:tc>
        <w:tc>
          <w:tcPr>
            <w:tcW w:w="1361" w:type="pct"/>
            <w:tcBorders>
              <w:top w:val="nil"/>
              <w:left w:val="nil"/>
              <w:bottom w:val="single" w:sz="4" w:space="0" w:color="auto"/>
              <w:right w:val="nil"/>
            </w:tcBorders>
            <w:shd w:val="clear" w:color="auto" w:fill="auto"/>
            <w:noWrap/>
            <w:vAlign w:val="center"/>
            <w:hideMark/>
          </w:tcPr>
          <w:p w14:paraId="03507FE3" w14:textId="77777777" w:rsidR="00292B2E" w:rsidRPr="00C629EC" w:rsidRDefault="00292B2E" w:rsidP="00292B2E">
            <w:pPr>
              <w:spacing w:after="0" w:line="360" w:lineRule="auto"/>
              <w:rPr>
                <w:rFonts w:eastAsia="Times New Roman" w:cstheme="minorHAnsi"/>
                <w:color w:val="000000"/>
                <w:sz w:val="20"/>
                <w:szCs w:val="20"/>
                <w:lang w:eastAsia="en-GB"/>
              </w:rPr>
            </w:pPr>
            <w:r w:rsidRPr="00C629EC">
              <w:rPr>
                <w:rFonts w:eastAsia="Times New Roman" w:cstheme="minorHAnsi"/>
                <w:color w:val="000000"/>
                <w:sz w:val="20"/>
                <w:szCs w:val="20"/>
                <w:lang w:eastAsia="en-GB"/>
              </w:rPr>
              <w:t>5471 (49.9)</w:t>
            </w:r>
          </w:p>
        </w:tc>
      </w:tr>
    </w:tbl>
    <w:p w14:paraId="10F509F9" w14:textId="77777777" w:rsidR="00F044A0" w:rsidRDefault="00C629EC" w:rsidP="00D148FF">
      <w:pPr>
        <w:spacing w:line="360" w:lineRule="auto"/>
      </w:pPr>
      <w:r>
        <w:t>TKR: total knee replacement; THR: total hip replacement; RA: rheumatoid arthritis; IMD: index of multiple deprivation; BMI: body mass index</w:t>
      </w:r>
      <w:r w:rsidR="00C67A10">
        <w:t>.</w:t>
      </w:r>
      <w:r w:rsidR="00EE4539">
        <w:t xml:space="preserve"> The Charlson score </w:t>
      </w:r>
      <w:r w:rsidR="00973A5C">
        <w:t xml:space="preserve">calculation </w:t>
      </w:r>
      <w:r w:rsidR="00EE4539">
        <w:t xml:space="preserve">omitted diagnoses of rheumatoid arthritis as </w:t>
      </w:r>
      <w:r w:rsidR="00973A5C">
        <w:t>it</w:t>
      </w:r>
      <w:r w:rsidR="00EE4539">
        <w:t xml:space="preserve"> was treated as a distinct variable in the analyses.</w:t>
      </w:r>
    </w:p>
    <w:p w14:paraId="070B1AB8" w14:textId="26856344" w:rsidR="001972A9" w:rsidRDefault="001972A9" w:rsidP="00D148FF">
      <w:pPr>
        <w:spacing w:line="360" w:lineRule="auto"/>
        <w:rPr>
          <w:rFonts w:eastAsiaTheme="majorEastAsia" w:cstheme="majorBidi"/>
          <w:b/>
          <w:szCs w:val="26"/>
        </w:rPr>
      </w:pPr>
    </w:p>
    <w:p w14:paraId="6E4F6C5F" w14:textId="77777777" w:rsidR="00264082" w:rsidRDefault="00264082">
      <w:pPr>
        <w:rPr>
          <w:rFonts w:eastAsiaTheme="majorEastAsia" w:cstheme="majorBidi"/>
          <w:b/>
          <w:szCs w:val="26"/>
        </w:rPr>
      </w:pPr>
      <w:bookmarkStart w:id="1" w:name="_Hlk507746204"/>
      <w:r>
        <w:br w:type="page"/>
      </w:r>
    </w:p>
    <w:p w14:paraId="131DDBB3" w14:textId="5CCE3837" w:rsidR="00E702B8" w:rsidRDefault="00E702B8" w:rsidP="00A34CF8">
      <w:pPr>
        <w:pStyle w:val="Heading2"/>
        <w:spacing w:line="360" w:lineRule="auto"/>
      </w:pPr>
      <w:r>
        <w:lastRenderedPageBreak/>
        <w:t xml:space="preserve">Table 2. </w:t>
      </w:r>
      <w:r w:rsidR="00727E8C">
        <w:t xml:space="preserve">Incidence of </w:t>
      </w:r>
      <w:r w:rsidR="006F637B">
        <w:t xml:space="preserve">TKR and THR </w:t>
      </w:r>
      <w:r w:rsidR="00727E8C">
        <w:t>r</w:t>
      </w:r>
      <w:r w:rsidR="002A67B4">
        <w:t>evision</w:t>
      </w:r>
      <w:r w:rsidR="00A34CF8">
        <w:t xml:space="preserve">s </w:t>
      </w:r>
      <w:r w:rsidR="007F521B">
        <w:t xml:space="preserve">by </w:t>
      </w:r>
      <w:r w:rsidR="00727E8C">
        <w:t>BMI and smoking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1206"/>
        <w:gridCol w:w="1974"/>
        <w:gridCol w:w="222"/>
        <w:gridCol w:w="1206"/>
        <w:gridCol w:w="1974"/>
      </w:tblGrid>
      <w:tr w:rsidR="00C9459D" w:rsidRPr="008926EE" w14:paraId="6FB386DC" w14:textId="132C6D91" w:rsidTr="00E20B5B">
        <w:tc>
          <w:tcPr>
            <w:tcW w:w="0" w:type="auto"/>
            <w:vAlign w:val="center"/>
          </w:tcPr>
          <w:p w14:paraId="0584FEF3" w14:textId="77777777" w:rsidR="00C9459D" w:rsidRPr="008926EE" w:rsidRDefault="00C9459D" w:rsidP="00E20B5B">
            <w:pPr>
              <w:rPr>
                <w:rFonts w:cstheme="minorHAnsi"/>
                <w:sz w:val="20"/>
                <w:szCs w:val="20"/>
              </w:rPr>
            </w:pPr>
          </w:p>
        </w:tc>
        <w:tc>
          <w:tcPr>
            <w:tcW w:w="0" w:type="auto"/>
            <w:gridSpan w:val="2"/>
            <w:tcBorders>
              <w:bottom w:val="single" w:sz="4" w:space="0" w:color="auto"/>
            </w:tcBorders>
            <w:vAlign w:val="center"/>
          </w:tcPr>
          <w:p w14:paraId="4BEAA42D" w14:textId="106B5B07" w:rsidR="00C9459D" w:rsidRPr="008926EE" w:rsidRDefault="00C9459D" w:rsidP="00E20B5B">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 xml:space="preserve">TKR </w:t>
            </w:r>
          </w:p>
        </w:tc>
        <w:tc>
          <w:tcPr>
            <w:tcW w:w="0" w:type="auto"/>
            <w:vAlign w:val="center"/>
          </w:tcPr>
          <w:p w14:paraId="55B549DA" w14:textId="53C33856" w:rsidR="00C9459D" w:rsidRPr="008926EE" w:rsidRDefault="00C9459D" w:rsidP="00E20B5B">
            <w:pPr>
              <w:rPr>
                <w:rFonts w:eastAsia="Times New Roman" w:cstheme="minorHAnsi"/>
                <w:color w:val="000000"/>
                <w:sz w:val="20"/>
                <w:szCs w:val="20"/>
                <w:lang w:eastAsia="en-GB"/>
              </w:rPr>
            </w:pPr>
          </w:p>
        </w:tc>
        <w:tc>
          <w:tcPr>
            <w:tcW w:w="0" w:type="auto"/>
            <w:gridSpan w:val="2"/>
            <w:tcBorders>
              <w:bottom w:val="single" w:sz="4" w:space="0" w:color="auto"/>
            </w:tcBorders>
            <w:vAlign w:val="center"/>
          </w:tcPr>
          <w:p w14:paraId="1CE9495B" w14:textId="018FD012" w:rsidR="00C9459D" w:rsidRPr="008926EE" w:rsidRDefault="00C9459D" w:rsidP="00E20B5B">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 xml:space="preserve">THR </w:t>
            </w:r>
          </w:p>
        </w:tc>
      </w:tr>
      <w:tr w:rsidR="00C9459D" w:rsidRPr="008926EE" w14:paraId="051931B5" w14:textId="404EB453" w:rsidTr="00E20B5B">
        <w:tc>
          <w:tcPr>
            <w:tcW w:w="0" w:type="auto"/>
            <w:tcBorders>
              <w:bottom w:val="single" w:sz="4" w:space="0" w:color="auto"/>
            </w:tcBorders>
            <w:vAlign w:val="center"/>
          </w:tcPr>
          <w:p w14:paraId="223A12A5" w14:textId="77777777" w:rsidR="00C9459D" w:rsidRPr="008926EE" w:rsidRDefault="00C9459D" w:rsidP="00E20B5B">
            <w:pPr>
              <w:rPr>
                <w:rFonts w:cstheme="minorHAnsi"/>
                <w:sz w:val="20"/>
                <w:szCs w:val="20"/>
              </w:rPr>
            </w:pPr>
          </w:p>
        </w:tc>
        <w:tc>
          <w:tcPr>
            <w:tcW w:w="0" w:type="auto"/>
            <w:tcBorders>
              <w:top w:val="single" w:sz="4" w:space="0" w:color="auto"/>
              <w:bottom w:val="single" w:sz="4" w:space="0" w:color="auto"/>
            </w:tcBorders>
            <w:vAlign w:val="center"/>
          </w:tcPr>
          <w:p w14:paraId="28EA1850" w14:textId="5D1E4FB5" w:rsidR="00C9459D" w:rsidRPr="008926EE" w:rsidRDefault="00C9459D" w:rsidP="00E20B5B">
            <w:pPr>
              <w:rPr>
                <w:rFonts w:cstheme="minorHAnsi"/>
                <w:sz w:val="20"/>
                <w:szCs w:val="20"/>
              </w:rPr>
            </w:pPr>
            <w:r w:rsidRPr="008926EE">
              <w:rPr>
                <w:rFonts w:cstheme="minorHAnsi"/>
                <w:sz w:val="20"/>
                <w:szCs w:val="20"/>
              </w:rPr>
              <w:t>Revisions/ PYs</w:t>
            </w:r>
          </w:p>
        </w:tc>
        <w:tc>
          <w:tcPr>
            <w:tcW w:w="0" w:type="auto"/>
            <w:tcBorders>
              <w:top w:val="single" w:sz="4" w:space="0" w:color="auto"/>
              <w:bottom w:val="single" w:sz="4" w:space="0" w:color="auto"/>
            </w:tcBorders>
            <w:vAlign w:val="center"/>
          </w:tcPr>
          <w:p w14:paraId="0177F256" w14:textId="6F07F976" w:rsidR="00C9459D" w:rsidRPr="008926EE" w:rsidRDefault="00C9459D" w:rsidP="00E20B5B">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10-year cumulative incidence</w:t>
            </w:r>
            <w:r w:rsidR="009B4CB5" w:rsidRPr="008926EE">
              <w:rPr>
                <w:rFonts w:eastAsia="Times New Roman" w:cstheme="minorHAnsi"/>
                <w:color w:val="000000"/>
                <w:sz w:val="20"/>
                <w:szCs w:val="20"/>
                <w:lang w:eastAsia="en-GB"/>
              </w:rPr>
              <w:t xml:space="preserve"> (</w:t>
            </w:r>
            <w:r w:rsidR="008926EE">
              <w:rPr>
                <w:rFonts w:eastAsia="Times New Roman" w:cstheme="minorHAnsi"/>
                <w:color w:val="000000"/>
                <w:sz w:val="20"/>
                <w:szCs w:val="20"/>
                <w:lang w:eastAsia="en-GB"/>
              </w:rPr>
              <w:t>%</w:t>
            </w:r>
            <w:r w:rsidR="009B4CB5" w:rsidRPr="008926EE">
              <w:rPr>
                <w:rFonts w:eastAsia="Times New Roman" w:cstheme="minorHAnsi"/>
                <w:color w:val="000000"/>
                <w:sz w:val="20"/>
                <w:szCs w:val="20"/>
                <w:lang w:eastAsia="en-GB"/>
              </w:rPr>
              <w:t>)</w:t>
            </w:r>
          </w:p>
        </w:tc>
        <w:tc>
          <w:tcPr>
            <w:tcW w:w="0" w:type="auto"/>
            <w:tcBorders>
              <w:bottom w:val="single" w:sz="4" w:space="0" w:color="auto"/>
            </w:tcBorders>
            <w:vAlign w:val="center"/>
          </w:tcPr>
          <w:p w14:paraId="57039C42" w14:textId="73E2839B" w:rsidR="00C9459D" w:rsidRPr="008926EE" w:rsidRDefault="00C9459D" w:rsidP="00E20B5B">
            <w:pPr>
              <w:rPr>
                <w:rFonts w:cstheme="minorHAnsi"/>
                <w:sz w:val="20"/>
                <w:szCs w:val="20"/>
              </w:rPr>
            </w:pPr>
          </w:p>
        </w:tc>
        <w:tc>
          <w:tcPr>
            <w:tcW w:w="0" w:type="auto"/>
            <w:tcBorders>
              <w:top w:val="single" w:sz="4" w:space="0" w:color="auto"/>
              <w:bottom w:val="single" w:sz="4" w:space="0" w:color="auto"/>
            </w:tcBorders>
            <w:vAlign w:val="center"/>
          </w:tcPr>
          <w:p w14:paraId="41D5A998" w14:textId="724306DE" w:rsidR="00C9459D" w:rsidRPr="008926EE" w:rsidRDefault="00C9459D" w:rsidP="00E20B5B">
            <w:pPr>
              <w:rPr>
                <w:rFonts w:eastAsia="Times New Roman" w:cstheme="minorHAnsi"/>
                <w:color w:val="000000"/>
                <w:sz w:val="20"/>
                <w:szCs w:val="20"/>
                <w:lang w:eastAsia="en-GB"/>
              </w:rPr>
            </w:pPr>
            <w:r w:rsidRPr="008926EE">
              <w:rPr>
                <w:rFonts w:cstheme="minorHAnsi"/>
                <w:sz w:val="20"/>
                <w:szCs w:val="20"/>
              </w:rPr>
              <w:t>Revisions/ PYs</w:t>
            </w:r>
          </w:p>
        </w:tc>
        <w:tc>
          <w:tcPr>
            <w:tcW w:w="0" w:type="auto"/>
            <w:tcBorders>
              <w:top w:val="single" w:sz="4" w:space="0" w:color="auto"/>
              <w:bottom w:val="single" w:sz="4" w:space="0" w:color="auto"/>
            </w:tcBorders>
            <w:vAlign w:val="center"/>
          </w:tcPr>
          <w:p w14:paraId="7BC664E2" w14:textId="0F57CF83" w:rsidR="00C9459D" w:rsidRPr="008926EE" w:rsidRDefault="00C9459D" w:rsidP="00E20B5B">
            <w:pPr>
              <w:rPr>
                <w:rFonts w:cstheme="minorHAnsi"/>
                <w:sz w:val="20"/>
                <w:szCs w:val="20"/>
              </w:rPr>
            </w:pPr>
            <w:r w:rsidRPr="008926EE">
              <w:rPr>
                <w:rFonts w:eastAsia="Times New Roman" w:cstheme="minorHAnsi"/>
                <w:color w:val="000000"/>
                <w:sz w:val="20"/>
                <w:szCs w:val="20"/>
                <w:lang w:eastAsia="en-GB"/>
              </w:rPr>
              <w:t>10-year cumulative incidence</w:t>
            </w:r>
            <w:r w:rsidR="009B4CB5" w:rsidRPr="008926EE">
              <w:rPr>
                <w:rFonts w:eastAsia="Times New Roman" w:cstheme="minorHAnsi"/>
                <w:color w:val="000000"/>
                <w:sz w:val="20"/>
                <w:szCs w:val="20"/>
                <w:lang w:eastAsia="en-GB"/>
              </w:rPr>
              <w:t xml:space="preserve"> (</w:t>
            </w:r>
            <w:r w:rsidR="008926EE">
              <w:rPr>
                <w:rFonts w:eastAsia="Times New Roman" w:cstheme="minorHAnsi"/>
                <w:color w:val="000000"/>
                <w:sz w:val="20"/>
                <w:szCs w:val="20"/>
                <w:lang w:eastAsia="en-GB"/>
              </w:rPr>
              <w:t>%</w:t>
            </w:r>
            <w:r w:rsidR="009B4CB5" w:rsidRPr="008926EE">
              <w:rPr>
                <w:rFonts w:eastAsia="Times New Roman" w:cstheme="minorHAnsi"/>
                <w:color w:val="000000"/>
                <w:sz w:val="20"/>
                <w:szCs w:val="20"/>
                <w:lang w:eastAsia="en-GB"/>
              </w:rPr>
              <w:t>)</w:t>
            </w:r>
          </w:p>
        </w:tc>
      </w:tr>
      <w:tr w:rsidR="008926EE" w:rsidRPr="008926EE" w14:paraId="59138F55" w14:textId="165E182D" w:rsidTr="007957F0">
        <w:tc>
          <w:tcPr>
            <w:tcW w:w="0" w:type="auto"/>
            <w:tcBorders>
              <w:top w:val="single" w:sz="4" w:space="0" w:color="auto"/>
            </w:tcBorders>
            <w:vAlign w:val="center"/>
          </w:tcPr>
          <w:p w14:paraId="3294AD1E" w14:textId="490E2B8C" w:rsidR="008926EE" w:rsidRPr="008926EE" w:rsidRDefault="008926EE" w:rsidP="008926EE">
            <w:pPr>
              <w:rPr>
                <w:rFonts w:cstheme="minorHAnsi"/>
                <w:sz w:val="20"/>
                <w:szCs w:val="20"/>
              </w:rPr>
            </w:pPr>
            <w:r w:rsidRPr="008926EE">
              <w:rPr>
                <w:rFonts w:cstheme="minorHAnsi"/>
                <w:sz w:val="20"/>
                <w:szCs w:val="20"/>
              </w:rPr>
              <w:t>Total</w:t>
            </w:r>
          </w:p>
        </w:tc>
        <w:tc>
          <w:tcPr>
            <w:tcW w:w="0" w:type="auto"/>
            <w:tcBorders>
              <w:top w:val="single" w:sz="4" w:space="0" w:color="auto"/>
            </w:tcBorders>
            <w:vAlign w:val="center"/>
          </w:tcPr>
          <w:p w14:paraId="0CC232DD" w14:textId="3BEAE421" w:rsidR="008926EE" w:rsidRPr="008926EE" w:rsidRDefault="008926EE" w:rsidP="008926EE">
            <w:pPr>
              <w:rPr>
                <w:rFonts w:cstheme="minorHAnsi"/>
                <w:sz w:val="20"/>
                <w:szCs w:val="20"/>
              </w:rPr>
            </w:pPr>
            <w:r w:rsidRPr="008926EE">
              <w:rPr>
                <w:rFonts w:cstheme="minorHAnsi"/>
                <w:sz w:val="20"/>
                <w:szCs w:val="20"/>
              </w:rPr>
              <w:t>257/ 34153</w:t>
            </w:r>
          </w:p>
        </w:tc>
        <w:tc>
          <w:tcPr>
            <w:tcW w:w="0" w:type="auto"/>
            <w:tcBorders>
              <w:top w:val="single" w:sz="4" w:space="0" w:color="auto"/>
            </w:tcBorders>
            <w:vAlign w:val="center"/>
          </w:tcPr>
          <w:p w14:paraId="045ACFD4" w14:textId="5F2DC0AF" w:rsidR="008926EE" w:rsidRPr="008926EE" w:rsidRDefault="008926EE" w:rsidP="008926EE">
            <w:pPr>
              <w:rPr>
                <w:rFonts w:cstheme="minorHAnsi"/>
                <w:sz w:val="20"/>
                <w:szCs w:val="20"/>
              </w:rPr>
            </w:pPr>
            <w:r w:rsidRPr="008926EE">
              <w:rPr>
                <w:rFonts w:cstheme="minorHAnsi"/>
                <w:sz w:val="20"/>
                <w:szCs w:val="20"/>
              </w:rPr>
              <w:t>5.12 (4.32 to 6.06)</w:t>
            </w:r>
          </w:p>
        </w:tc>
        <w:tc>
          <w:tcPr>
            <w:tcW w:w="0" w:type="auto"/>
            <w:tcBorders>
              <w:top w:val="single" w:sz="4" w:space="0" w:color="auto"/>
            </w:tcBorders>
            <w:vAlign w:val="center"/>
          </w:tcPr>
          <w:p w14:paraId="333EDFEF" w14:textId="4B504475" w:rsidR="008926EE" w:rsidRPr="008926EE" w:rsidRDefault="008926EE" w:rsidP="008926EE">
            <w:pPr>
              <w:rPr>
                <w:rFonts w:cstheme="minorHAnsi"/>
                <w:sz w:val="20"/>
                <w:szCs w:val="20"/>
              </w:rPr>
            </w:pPr>
          </w:p>
        </w:tc>
        <w:tc>
          <w:tcPr>
            <w:tcW w:w="0" w:type="auto"/>
            <w:tcBorders>
              <w:top w:val="single" w:sz="4" w:space="0" w:color="auto"/>
            </w:tcBorders>
            <w:vAlign w:val="bottom"/>
          </w:tcPr>
          <w:p w14:paraId="45FD242A" w14:textId="69D11894"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248/ 43151</w:t>
            </w:r>
          </w:p>
        </w:tc>
        <w:tc>
          <w:tcPr>
            <w:tcW w:w="0" w:type="auto"/>
            <w:tcBorders>
              <w:top w:val="single" w:sz="4" w:space="0" w:color="auto"/>
            </w:tcBorders>
            <w:vAlign w:val="bottom"/>
          </w:tcPr>
          <w:p w14:paraId="7C2957A0" w14:textId="08CEE68B"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4.87 (4.20 to 5.65)</w:t>
            </w:r>
          </w:p>
        </w:tc>
      </w:tr>
      <w:tr w:rsidR="008926EE" w:rsidRPr="008926EE" w14:paraId="5F151B01" w14:textId="77777777" w:rsidTr="00E20B5B">
        <w:tc>
          <w:tcPr>
            <w:tcW w:w="0" w:type="auto"/>
            <w:vAlign w:val="center"/>
          </w:tcPr>
          <w:p w14:paraId="7CACA7CC" w14:textId="3A4318D0" w:rsidR="008926EE" w:rsidRPr="008926EE" w:rsidRDefault="008926EE" w:rsidP="008926EE">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BMI</w:t>
            </w:r>
          </w:p>
        </w:tc>
        <w:tc>
          <w:tcPr>
            <w:tcW w:w="0" w:type="auto"/>
            <w:vAlign w:val="center"/>
          </w:tcPr>
          <w:p w14:paraId="06AE3F43" w14:textId="10602D32" w:rsidR="008926EE" w:rsidRPr="008926EE" w:rsidRDefault="008926EE" w:rsidP="008926EE">
            <w:pPr>
              <w:rPr>
                <w:rFonts w:eastAsia="Times New Roman" w:cstheme="minorHAnsi"/>
                <w:color w:val="000000"/>
                <w:sz w:val="20"/>
                <w:szCs w:val="20"/>
                <w:lang w:eastAsia="en-GB"/>
              </w:rPr>
            </w:pPr>
          </w:p>
        </w:tc>
        <w:tc>
          <w:tcPr>
            <w:tcW w:w="0" w:type="auto"/>
            <w:vAlign w:val="center"/>
          </w:tcPr>
          <w:p w14:paraId="65BDB472" w14:textId="0FD8EF47" w:rsidR="008926EE" w:rsidRPr="008926EE" w:rsidRDefault="008926EE" w:rsidP="008926EE">
            <w:pPr>
              <w:rPr>
                <w:rFonts w:eastAsia="Times New Roman" w:cstheme="minorHAnsi"/>
                <w:color w:val="000000"/>
                <w:sz w:val="20"/>
                <w:szCs w:val="20"/>
                <w:lang w:eastAsia="en-GB"/>
              </w:rPr>
            </w:pPr>
          </w:p>
        </w:tc>
        <w:tc>
          <w:tcPr>
            <w:tcW w:w="0" w:type="auto"/>
            <w:vAlign w:val="center"/>
          </w:tcPr>
          <w:p w14:paraId="39C061B7" w14:textId="77777777" w:rsidR="008926EE" w:rsidRPr="008926EE" w:rsidRDefault="008926EE" w:rsidP="008926EE">
            <w:pPr>
              <w:rPr>
                <w:rFonts w:eastAsia="Times New Roman" w:cstheme="minorHAnsi"/>
                <w:color w:val="000000"/>
                <w:sz w:val="20"/>
                <w:szCs w:val="20"/>
                <w:lang w:eastAsia="en-GB"/>
              </w:rPr>
            </w:pPr>
          </w:p>
        </w:tc>
        <w:tc>
          <w:tcPr>
            <w:tcW w:w="0" w:type="auto"/>
            <w:vAlign w:val="center"/>
          </w:tcPr>
          <w:p w14:paraId="24717D54" w14:textId="1D9FA064" w:rsidR="008926EE" w:rsidRPr="008926EE" w:rsidRDefault="008926EE" w:rsidP="008926EE">
            <w:pPr>
              <w:rPr>
                <w:rFonts w:eastAsia="Times New Roman" w:cstheme="minorHAnsi"/>
                <w:color w:val="000000"/>
                <w:sz w:val="20"/>
                <w:szCs w:val="20"/>
                <w:lang w:eastAsia="en-GB"/>
              </w:rPr>
            </w:pPr>
          </w:p>
        </w:tc>
        <w:tc>
          <w:tcPr>
            <w:tcW w:w="0" w:type="auto"/>
            <w:vAlign w:val="center"/>
          </w:tcPr>
          <w:p w14:paraId="30E1BCCF" w14:textId="7441DBF1" w:rsidR="008926EE" w:rsidRPr="008926EE" w:rsidRDefault="008926EE" w:rsidP="008926EE">
            <w:pPr>
              <w:rPr>
                <w:rFonts w:eastAsia="Times New Roman" w:cstheme="minorHAnsi"/>
                <w:color w:val="000000"/>
                <w:sz w:val="20"/>
                <w:szCs w:val="20"/>
                <w:lang w:eastAsia="en-GB"/>
              </w:rPr>
            </w:pPr>
          </w:p>
        </w:tc>
      </w:tr>
      <w:tr w:rsidR="008926EE" w:rsidRPr="008926EE" w14:paraId="6FEAD29F" w14:textId="452243BC" w:rsidTr="007957F0">
        <w:tc>
          <w:tcPr>
            <w:tcW w:w="0" w:type="auto"/>
            <w:vAlign w:val="center"/>
          </w:tcPr>
          <w:p w14:paraId="5E6E939B" w14:textId="4DCF05AE"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 xml:space="preserve">   </w:t>
            </w:r>
            <w:r w:rsidRPr="008926EE">
              <w:rPr>
                <w:rFonts w:cstheme="minorHAnsi"/>
                <w:sz w:val="20"/>
                <w:szCs w:val="20"/>
              </w:rPr>
              <w:t>Underweight or normal range (BMI &lt;=25)</w:t>
            </w:r>
          </w:p>
        </w:tc>
        <w:tc>
          <w:tcPr>
            <w:tcW w:w="0" w:type="auto"/>
            <w:vAlign w:val="bottom"/>
          </w:tcPr>
          <w:p w14:paraId="53219872" w14:textId="22FF00DB"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24/ 1999</w:t>
            </w:r>
          </w:p>
        </w:tc>
        <w:tc>
          <w:tcPr>
            <w:tcW w:w="0" w:type="auto"/>
            <w:vAlign w:val="bottom"/>
          </w:tcPr>
          <w:p w14:paraId="7BCC4BB8" w14:textId="77CBB365"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6.44 (4.25 to 9.76)</w:t>
            </w:r>
          </w:p>
        </w:tc>
        <w:tc>
          <w:tcPr>
            <w:tcW w:w="0" w:type="auto"/>
            <w:vAlign w:val="center"/>
          </w:tcPr>
          <w:p w14:paraId="3BDC9245" w14:textId="163CB2EA" w:rsidR="008926EE" w:rsidRPr="008926EE" w:rsidRDefault="008926EE" w:rsidP="008926EE">
            <w:pPr>
              <w:rPr>
                <w:rFonts w:eastAsia="Times New Roman" w:cstheme="minorHAnsi"/>
                <w:color w:val="000000"/>
                <w:sz w:val="20"/>
                <w:szCs w:val="20"/>
                <w:lang w:eastAsia="en-GB"/>
              </w:rPr>
            </w:pPr>
          </w:p>
        </w:tc>
        <w:tc>
          <w:tcPr>
            <w:tcW w:w="0" w:type="auto"/>
            <w:vAlign w:val="bottom"/>
          </w:tcPr>
          <w:p w14:paraId="7CDDD9FB" w14:textId="5C29420D"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19/ 3848</w:t>
            </w:r>
          </w:p>
        </w:tc>
        <w:tc>
          <w:tcPr>
            <w:tcW w:w="0" w:type="auto"/>
            <w:vAlign w:val="bottom"/>
          </w:tcPr>
          <w:p w14:paraId="5FEF06F5" w14:textId="0BCF7F6C"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3.69 (2.23 to 6.12)</w:t>
            </w:r>
          </w:p>
        </w:tc>
      </w:tr>
      <w:tr w:rsidR="008926EE" w:rsidRPr="008926EE" w14:paraId="56DAC82F" w14:textId="2268804D" w:rsidTr="007957F0">
        <w:tc>
          <w:tcPr>
            <w:tcW w:w="0" w:type="auto"/>
            <w:vAlign w:val="center"/>
          </w:tcPr>
          <w:p w14:paraId="5E781859" w14:textId="7F1E34F7"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 xml:space="preserve">   </w:t>
            </w:r>
            <w:r w:rsidRPr="008926EE">
              <w:rPr>
                <w:rFonts w:cstheme="minorHAnsi"/>
                <w:sz w:val="20"/>
                <w:szCs w:val="20"/>
              </w:rPr>
              <w:t>Overweight (BMI &gt;25 and &lt;=30)</w:t>
            </w:r>
          </w:p>
        </w:tc>
        <w:tc>
          <w:tcPr>
            <w:tcW w:w="0" w:type="auto"/>
            <w:vAlign w:val="bottom"/>
          </w:tcPr>
          <w:p w14:paraId="404B0133" w14:textId="7C8BF968"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31/ 5050</w:t>
            </w:r>
          </w:p>
        </w:tc>
        <w:tc>
          <w:tcPr>
            <w:tcW w:w="0" w:type="auto"/>
            <w:vAlign w:val="bottom"/>
          </w:tcPr>
          <w:p w14:paraId="76F44FAD" w14:textId="3D4D84C6"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3.69 (2.31 to 5.87)</w:t>
            </w:r>
          </w:p>
        </w:tc>
        <w:tc>
          <w:tcPr>
            <w:tcW w:w="0" w:type="auto"/>
            <w:vAlign w:val="center"/>
          </w:tcPr>
          <w:p w14:paraId="26BAEA3A" w14:textId="259ABD1C" w:rsidR="008926EE" w:rsidRPr="008926EE" w:rsidRDefault="008926EE" w:rsidP="008926EE">
            <w:pPr>
              <w:rPr>
                <w:rFonts w:eastAsia="Times New Roman" w:cstheme="minorHAnsi"/>
                <w:color w:val="000000"/>
                <w:sz w:val="20"/>
                <w:szCs w:val="20"/>
                <w:lang w:eastAsia="en-GB"/>
              </w:rPr>
            </w:pPr>
          </w:p>
        </w:tc>
        <w:tc>
          <w:tcPr>
            <w:tcW w:w="0" w:type="auto"/>
            <w:vAlign w:val="bottom"/>
          </w:tcPr>
          <w:p w14:paraId="3B6A638A" w14:textId="321751EB"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40/ 5759</w:t>
            </w:r>
          </w:p>
        </w:tc>
        <w:tc>
          <w:tcPr>
            <w:tcW w:w="0" w:type="auto"/>
            <w:vAlign w:val="bottom"/>
          </w:tcPr>
          <w:p w14:paraId="12BF7AE8" w14:textId="18770AE1"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6.43 (4.32 to 9.55)</w:t>
            </w:r>
          </w:p>
        </w:tc>
      </w:tr>
      <w:tr w:rsidR="008926EE" w:rsidRPr="008926EE" w14:paraId="3C8C426B" w14:textId="37612C9F" w:rsidTr="007957F0">
        <w:tc>
          <w:tcPr>
            <w:tcW w:w="0" w:type="auto"/>
            <w:vAlign w:val="center"/>
          </w:tcPr>
          <w:p w14:paraId="658BB892" w14:textId="759AF3A0"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 xml:space="preserve">   </w:t>
            </w:r>
            <w:r w:rsidRPr="008926EE">
              <w:rPr>
                <w:rFonts w:cstheme="minorHAnsi"/>
                <w:sz w:val="20"/>
                <w:szCs w:val="20"/>
              </w:rPr>
              <w:t>Obese (BMI &gt;30)</w:t>
            </w:r>
          </w:p>
        </w:tc>
        <w:tc>
          <w:tcPr>
            <w:tcW w:w="0" w:type="auto"/>
            <w:vAlign w:val="bottom"/>
          </w:tcPr>
          <w:p w14:paraId="3C3498F3" w14:textId="1C3182EB"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73/ 7329</w:t>
            </w:r>
          </w:p>
        </w:tc>
        <w:tc>
          <w:tcPr>
            <w:tcW w:w="0" w:type="auto"/>
            <w:vAlign w:val="bottom"/>
          </w:tcPr>
          <w:p w14:paraId="74C241AD" w14:textId="48211052"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7.38 (4.84 to 11.27)</w:t>
            </w:r>
          </w:p>
        </w:tc>
        <w:tc>
          <w:tcPr>
            <w:tcW w:w="0" w:type="auto"/>
            <w:vAlign w:val="center"/>
          </w:tcPr>
          <w:p w14:paraId="1EE09C67" w14:textId="3B17536A" w:rsidR="008926EE" w:rsidRPr="008926EE" w:rsidRDefault="008926EE" w:rsidP="008926EE">
            <w:pPr>
              <w:rPr>
                <w:rFonts w:eastAsia="Times New Roman" w:cstheme="minorHAnsi"/>
                <w:color w:val="000000"/>
                <w:sz w:val="20"/>
                <w:szCs w:val="20"/>
                <w:lang w:eastAsia="en-GB"/>
              </w:rPr>
            </w:pPr>
          </w:p>
        </w:tc>
        <w:tc>
          <w:tcPr>
            <w:tcW w:w="0" w:type="auto"/>
            <w:vAlign w:val="bottom"/>
          </w:tcPr>
          <w:p w14:paraId="00A3F5A4" w14:textId="13F99FA9"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48/ 5767</w:t>
            </w:r>
          </w:p>
        </w:tc>
        <w:tc>
          <w:tcPr>
            <w:tcW w:w="0" w:type="auto"/>
            <w:vAlign w:val="bottom"/>
          </w:tcPr>
          <w:p w14:paraId="4AB27DAD" w14:textId="39372F91"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5.98 (4.25 to 8.43)</w:t>
            </w:r>
          </w:p>
        </w:tc>
      </w:tr>
      <w:tr w:rsidR="008926EE" w:rsidRPr="008926EE" w14:paraId="71F3E457" w14:textId="74E99641" w:rsidTr="007957F0">
        <w:tc>
          <w:tcPr>
            <w:tcW w:w="0" w:type="auto"/>
            <w:vAlign w:val="center"/>
          </w:tcPr>
          <w:p w14:paraId="30CAEFC9" w14:textId="3B130694" w:rsidR="008926EE" w:rsidRPr="008926EE" w:rsidRDefault="008926EE" w:rsidP="008926EE">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 xml:space="preserve">   Missing </w:t>
            </w:r>
          </w:p>
        </w:tc>
        <w:tc>
          <w:tcPr>
            <w:tcW w:w="0" w:type="auto"/>
            <w:vAlign w:val="bottom"/>
          </w:tcPr>
          <w:p w14:paraId="745DC915" w14:textId="46DF825B" w:rsidR="008926EE" w:rsidRPr="008926EE" w:rsidRDefault="008926EE" w:rsidP="008926EE">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129/ 19775</w:t>
            </w:r>
          </w:p>
        </w:tc>
        <w:tc>
          <w:tcPr>
            <w:tcW w:w="0" w:type="auto"/>
            <w:vAlign w:val="bottom"/>
          </w:tcPr>
          <w:p w14:paraId="4CF82D61" w14:textId="4BA74023" w:rsidR="008926EE" w:rsidRPr="008926EE" w:rsidRDefault="008926EE" w:rsidP="008926EE">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4.58 (3.66 to 5.73)</w:t>
            </w:r>
          </w:p>
        </w:tc>
        <w:tc>
          <w:tcPr>
            <w:tcW w:w="0" w:type="auto"/>
            <w:vAlign w:val="center"/>
          </w:tcPr>
          <w:p w14:paraId="67F1BABA" w14:textId="42828515" w:rsidR="008926EE" w:rsidRPr="008926EE" w:rsidRDefault="008926EE" w:rsidP="008926EE">
            <w:pPr>
              <w:rPr>
                <w:rFonts w:eastAsia="Times New Roman" w:cstheme="minorHAnsi"/>
                <w:color w:val="000000"/>
                <w:sz w:val="20"/>
                <w:szCs w:val="20"/>
                <w:lang w:eastAsia="en-GB"/>
              </w:rPr>
            </w:pPr>
          </w:p>
        </w:tc>
        <w:tc>
          <w:tcPr>
            <w:tcW w:w="0" w:type="auto"/>
            <w:vAlign w:val="bottom"/>
          </w:tcPr>
          <w:p w14:paraId="3F955F44" w14:textId="3834B6D2" w:rsidR="008926EE" w:rsidRPr="008926EE" w:rsidRDefault="008926EE" w:rsidP="008926EE">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141/ 27777</w:t>
            </w:r>
          </w:p>
        </w:tc>
        <w:tc>
          <w:tcPr>
            <w:tcW w:w="0" w:type="auto"/>
            <w:vAlign w:val="bottom"/>
          </w:tcPr>
          <w:p w14:paraId="60748A8B" w14:textId="09F489DC" w:rsidR="008926EE" w:rsidRPr="008926EE" w:rsidRDefault="008926EE" w:rsidP="008926EE">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4.46 (3.68 to 5.39)</w:t>
            </w:r>
          </w:p>
        </w:tc>
      </w:tr>
      <w:tr w:rsidR="008926EE" w:rsidRPr="008926EE" w14:paraId="7B2C8CC4" w14:textId="79A7A96E" w:rsidTr="00E20B5B">
        <w:tc>
          <w:tcPr>
            <w:tcW w:w="0" w:type="auto"/>
            <w:vAlign w:val="center"/>
          </w:tcPr>
          <w:p w14:paraId="19ED1B72" w14:textId="5F9D0F4C" w:rsidR="008926EE" w:rsidRPr="008926EE" w:rsidRDefault="008926EE" w:rsidP="008926EE">
            <w:pPr>
              <w:rPr>
                <w:rFonts w:cstheme="minorHAnsi"/>
                <w:sz w:val="20"/>
                <w:szCs w:val="20"/>
              </w:rPr>
            </w:pPr>
            <w:r w:rsidRPr="008926EE">
              <w:rPr>
                <w:rFonts w:cstheme="minorHAnsi"/>
                <w:sz w:val="20"/>
                <w:szCs w:val="20"/>
              </w:rPr>
              <w:t>Smoking status</w:t>
            </w:r>
          </w:p>
        </w:tc>
        <w:tc>
          <w:tcPr>
            <w:tcW w:w="0" w:type="auto"/>
            <w:vAlign w:val="center"/>
          </w:tcPr>
          <w:p w14:paraId="3842A740" w14:textId="2D56BF63" w:rsidR="008926EE" w:rsidRPr="008926EE" w:rsidRDefault="008926EE" w:rsidP="008926EE">
            <w:pPr>
              <w:rPr>
                <w:rFonts w:cstheme="minorHAnsi"/>
                <w:sz w:val="20"/>
                <w:szCs w:val="20"/>
              </w:rPr>
            </w:pPr>
          </w:p>
        </w:tc>
        <w:tc>
          <w:tcPr>
            <w:tcW w:w="0" w:type="auto"/>
            <w:vAlign w:val="center"/>
          </w:tcPr>
          <w:p w14:paraId="53591843" w14:textId="65FCC677" w:rsidR="008926EE" w:rsidRPr="008926EE" w:rsidRDefault="008926EE" w:rsidP="008926EE">
            <w:pPr>
              <w:rPr>
                <w:rFonts w:cstheme="minorHAnsi"/>
                <w:sz w:val="20"/>
                <w:szCs w:val="20"/>
              </w:rPr>
            </w:pPr>
          </w:p>
        </w:tc>
        <w:tc>
          <w:tcPr>
            <w:tcW w:w="0" w:type="auto"/>
            <w:vAlign w:val="center"/>
          </w:tcPr>
          <w:p w14:paraId="16C07B74" w14:textId="1FAA7AD0" w:rsidR="008926EE" w:rsidRPr="008926EE" w:rsidRDefault="008926EE" w:rsidP="008926EE">
            <w:pPr>
              <w:rPr>
                <w:rFonts w:cstheme="minorHAnsi"/>
                <w:sz w:val="20"/>
                <w:szCs w:val="20"/>
              </w:rPr>
            </w:pPr>
          </w:p>
        </w:tc>
        <w:tc>
          <w:tcPr>
            <w:tcW w:w="0" w:type="auto"/>
            <w:vAlign w:val="center"/>
          </w:tcPr>
          <w:p w14:paraId="559DEB54" w14:textId="29DCCD66" w:rsidR="008926EE" w:rsidRPr="008926EE" w:rsidRDefault="008926EE" w:rsidP="008926EE">
            <w:pPr>
              <w:rPr>
                <w:rFonts w:cstheme="minorHAnsi"/>
                <w:sz w:val="20"/>
                <w:szCs w:val="20"/>
              </w:rPr>
            </w:pPr>
          </w:p>
        </w:tc>
        <w:tc>
          <w:tcPr>
            <w:tcW w:w="0" w:type="auto"/>
            <w:vAlign w:val="center"/>
          </w:tcPr>
          <w:p w14:paraId="41BFEE7A" w14:textId="2D1339D2" w:rsidR="008926EE" w:rsidRPr="008926EE" w:rsidRDefault="008926EE" w:rsidP="008926EE">
            <w:pPr>
              <w:rPr>
                <w:rFonts w:cstheme="minorHAnsi"/>
                <w:sz w:val="20"/>
                <w:szCs w:val="20"/>
              </w:rPr>
            </w:pPr>
          </w:p>
        </w:tc>
      </w:tr>
      <w:tr w:rsidR="008926EE" w:rsidRPr="008926EE" w14:paraId="1CB2E2AF" w14:textId="3909F509" w:rsidTr="007957F0">
        <w:tc>
          <w:tcPr>
            <w:tcW w:w="0" w:type="auto"/>
            <w:vAlign w:val="center"/>
          </w:tcPr>
          <w:p w14:paraId="1E9F1400" w14:textId="72DA68C8"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 xml:space="preserve">   Non-smoker </w:t>
            </w:r>
          </w:p>
        </w:tc>
        <w:tc>
          <w:tcPr>
            <w:tcW w:w="0" w:type="auto"/>
            <w:vAlign w:val="bottom"/>
          </w:tcPr>
          <w:p w14:paraId="57CF0FC0" w14:textId="478C140C"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67/ 8657</w:t>
            </w:r>
          </w:p>
        </w:tc>
        <w:tc>
          <w:tcPr>
            <w:tcW w:w="0" w:type="auto"/>
            <w:vAlign w:val="bottom"/>
          </w:tcPr>
          <w:p w14:paraId="784CFDDA" w14:textId="1EF81D9D"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4.68 (3.54 to 6.18)</w:t>
            </w:r>
          </w:p>
        </w:tc>
        <w:tc>
          <w:tcPr>
            <w:tcW w:w="0" w:type="auto"/>
            <w:vAlign w:val="center"/>
          </w:tcPr>
          <w:p w14:paraId="29E8EA05" w14:textId="3BB681CC" w:rsidR="008926EE" w:rsidRPr="008926EE" w:rsidRDefault="008926EE" w:rsidP="008926EE">
            <w:pPr>
              <w:rPr>
                <w:rFonts w:eastAsia="Times New Roman" w:cstheme="minorHAnsi"/>
                <w:color w:val="000000"/>
                <w:sz w:val="20"/>
                <w:szCs w:val="20"/>
                <w:lang w:eastAsia="en-GB"/>
              </w:rPr>
            </w:pPr>
          </w:p>
        </w:tc>
        <w:tc>
          <w:tcPr>
            <w:tcW w:w="0" w:type="auto"/>
            <w:vAlign w:val="bottom"/>
          </w:tcPr>
          <w:p w14:paraId="62784988" w14:textId="1BB84227"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54/ 9387</w:t>
            </w:r>
          </w:p>
        </w:tc>
        <w:tc>
          <w:tcPr>
            <w:tcW w:w="0" w:type="auto"/>
            <w:vAlign w:val="bottom"/>
          </w:tcPr>
          <w:p w14:paraId="2B2DF23D" w14:textId="4790D1A2"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5.24 (3.75 to 7.34)</w:t>
            </w:r>
          </w:p>
        </w:tc>
      </w:tr>
      <w:tr w:rsidR="008926EE" w:rsidRPr="008926EE" w14:paraId="384C6354" w14:textId="796C7D1B" w:rsidTr="007957F0">
        <w:tc>
          <w:tcPr>
            <w:tcW w:w="0" w:type="auto"/>
            <w:vAlign w:val="center"/>
          </w:tcPr>
          <w:p w14:paraId="08CFBE76" w14:textId="3FF2A835"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 xml:space="preserve">   Ex-smoker </w:t>
            </w:r>
          </w:p>
        </w:tc>
        <w:tc>
          <w:tcPr>
            <w:tcW w:w="0" w:type="auto"/>
            <w:vAlign w:val="bottom"/>
          </w:tcPr>
          <w:p w14:paraId="24CA736F" w14:textId="20434128"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68/ 7230</w:t>
            </w:r>
          </w:p>
        </w:tc>
        <w:tc>
          <w:tcPr>
            <w:tcW w:w="0" w:type="auto"/>
            <w:vAlign w:val="bottom"/>
          </w:tcPr>
          <w:p w14:paraId="51A12F98" w14:textId="36B038EF"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5.49 (3.88 to 7.77)</w:t>
            </w:r>
          </w:p>
        </w:tc>
        <w:tc>
          <w:tcPr>
            <w:tcW w:w="0" w:type="auto"/>
            <w:vAlign w:val="center"/>
          </w:tcPr>
          <w:p w14:paraId="636070E1" w14:textId="49BD8B52" w:rsidR="008926EE" w:rsidRPr="008926EE" w:rsidRDefault="008926EE" w:rsidP="008926EE">
            <w:pPr>
              <w:rPr>
                <w:rFonts w:eastAsia="Times New Roman" w:cstheme="minorHAnsi"/>
                <w:color w:val="000000"/>
                <w:sz w:val="20"/>
                <w:szCs w:val="20"/>
                <w:lang w:eastAsia="en-GB"/>
              </w:rPr>
            </w:pPr>
          </w:p>
        </w:tc>
        <w:tc>
          <w:tcPr>
            <w:tcW w:w="0" w:type="auto"/>
            <w:vAlign w:val="bottom"/>
          </w:tcPr>
          <w:p w14:paraId="7E2395CF" w14:textId="3FDDAF17"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48/ 7692</w:t>
            </w:r>
          </w:p>
        </w:tc>
        <w:tc>
          <w:tcPr>
            <w:tcW w:w="0" w:type="auto"/>
            <w:vAlign w:val="bottom"/>
          </w:tcPr>
          <w:p w14:paraId="7A26A9C8" w14:textId="3DCB6E2B"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4.41 (3.02 to 6.43)</w:t>
            </w:r>
          </w:p>
        </w:tc>
      </w:tr>
      <w:tr w:rsidR="008926EE" w:rsidRPr="008926EE" w14:paraId="29906802" w14:textId="29E820FA" w:rsidTr="007957F0">
        <w:tc>
          <w:tcPr>
            <w:tcW w:w="0" w:type="auto"/>
            <w:vAlign w:val="center"/>
          </w:tcPr>
          <w:p w14:paraId="5DAD7DD8" w14:textId="5B2BD44A"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 xml:space="preserve">   Current smoker </w:t>
            </w:r>
          </w:p>
        </w:tc>
        <w:tc>
          <w:tcPr>
            <w:tcW w:w="0" w:type="auto"/>
            <w:vAlign w:val="bottom"/>
          </w:tcPr>
          <w:p w14:paraId="63C1BE14" w14:textId="34143A1F"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12/ 1552</w:t>
            </w:r>
          </w:p>
        </w:tc>
        <w:tc>
          <w:tcPr>
            <w:tcW w:w="0" w:type="auto"/>
            <w:vAlign w:val="bottom"/>
          </w:tcPr>
          <w:p w14:paraId="6B917950" w14:textId="0FDB1D19"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4.26 (2.37 to 7.66)</w:t>
            </w:r>
          </w:p>
        </w:tc>
        <w:tc>
          <w:tcPr>
            <w:tcW w:w="0" w:type="auto"/>
            <w:vAlign w:val="center"/>
          </w:tcPr>
          <w:p w14:paraId="2F2C4EBB" w14:textId="398DA4CA" w:rsidR="008926EE" w:rsidRPr="008926EE" w:rsidRDefault="008926EE" w:rsidP="008926EE">
            <w:pPr>
              <w:rPr>
                <w:rFonts w:eastAsia="Times New Roman" w:cstheme="minorHAnsi"/>
                <w:color w:val="000000"/>
                <w:sz w:val="20"/>
                <w:szCs w:val="20"/>
                <w:lang w:eastAsia="en-GB"/>
              </w:rPr>
            </w:pPr>
          </w:p>
        </w:tc>
        <w:tc>
          <w:tcPr>
            <w:tcW w:w="0" w:type="auto"/>
            <w:vAlign w:val="bottom"/>
          </w:tcPr>
          <w:p w14:paraId="7BC09B0F" w14:textId="3C8C0732"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13/ 2479</w:t>
            </w:r>
          </w:p>
        </w:tc>
        <w:tc>
          <w:tcPr>
            <w:tcW w:w="0" w:type="auto"/>
            <w:vAlign w:val="bottom"/>
          </w:tcPr>
          <w:p w14:paraId="6B835CEA" w14:textId="0FE6A908" w:rsidR="008926EE" w:rsidRPr="008926EE" w:rsidRDefault="008926EE" w:rsidP="008926EE">
            <w:pPr>
              <w:rPr>
                <w:rFonts w:cstheme="minorHAnsi"/>
                <w:sz w:val="20"/>
                <w:szCs w:val="20"/>
              </w:rPr>
            </w:pPr>
            <w:r w:rsidRPr="008926EE">
              <w:rPr>
                <w:rFonts w:eastAsia="Times New Roman" w:cstheme="minorHAnsi"/>
                <w:color w:val="000000"/>
                <w:sz w:val="20"/>
                <w:szCs w:val="20"/>
                <w:lang w:eastAsia="en-GB"/>
              </w:rPr>
              <w:t>5.09 (2.43 to 10.66)</w:t>
            </w:r>
          </w:p>
        </w:tc>
      </w:tr>
      <w:tr w:rsidR="008926EE" w:rsidRPr="008926EE" w14:paraId="4ECE08A6" w14:textId="1B42742A" w:rsidTr="007957F0">
        <w:tc>
          <w:tcPr>
            <w:tcW w:w="0" w:type="auto"/>
            <w:tcBorders>
              <w:bottom w:val="single" w:sz="4" w:space="0" w:color="auto"/>
            </w:tcBorders>
            <w:vAlign w:val="center"/>
          </w:tcPr>
          <w:p w14:paraId="217D66C9" w14:textId="064CD9B4" w:rsidR="008926EE" w:rsidRPr="008926EE" w:rsidRDefault="008926EE" w:rsidP="008926EE">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 xml:space="preserve">   Missing </w:t>
            </w:r>
          </w:p>
        </w:tc>
        <w:tc>
          <w:tcPr>
            <w:tcW w:w="0" w:type="auto"/>
            <w:tcBorders>
              <w:bottom w:val="single" w:sz="4" w:space="0" w:color="auto"/>
            </w:tcBorders>
            <w:vAlign w:val="bottom"/>
          </w:tcPr>
          <w:p w14:paraId="62DCE3A4" w14:textId="1FF9BB24" w:rsidR="008926EE" w:rsidRPr="008926EE" w:rsidRDefault="008926EE" w:rsidP="008926EE">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110/ 16715</w:t>
            </w:r>
          </w:p>
        </w:tc>
        <w:tc>
          <w:tcPr>
            <w:tcW w:w="0" w:type="auto"/>
            <w:tcBorders>
              <w:bottom w:val="single" w:sz="4" w:space="0" w:color="auto"/>
            </w:tcBorders>
            <w:vAlign w:val="bottom"/>
          </w:tcPr>
          <w:p w14:paraId="4F15F460" w14:textId="39E9E7D9" w:rsidR="008926EE" w:rsidRPr="008926EE" w:rsidRDefault="008926EE" w:rsidP="008926EE">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4.90 (3.85 to 6.24)</w:t>
            </w:r>
          </w:p>
        </w:tc>
        <w:tc>
          <w:tcPr>
            <w:tcW w:w="0" w:type="auto"/>
            <w:tcBorders>
              <w:bottom w:val="single" w:sz="4" w:space="0" w:color="auto"/>
            </w:tcBorders>
            <w:vAlign w:val="center"/>
          </w:tcPr>
          <w:p w14:paraId="184CF300" w14:textId="7DDD0C4D" w:rsidR="008926EE" w:rsidRPr="008926EE" w:rsidRDefault="008926EE" w:rsidP="008926EE">
            <w:pPr>
              <w:rPr>
                <w:rFonts w:eastAsia="Times New Roman" w:cstheme="minorHAnsi"/>
                <w:color w:val="000000"/>
                <w:sz w:val="20"/>
                <w:szCs w:val="20"/>
                <w:lang w:eastAsia="en-GB"/>
              </w:rPr>
            </w:pPr>
          </w:p>
        </w:tc>
        <w:tc>
          <w:tcPr>
            <w:tcW w:w="0" w:type="auto"/>
            <w:tcBorders>
              <w:bottom w:val="single" w:sz="4" w:space="0" w:color="auto"/>
            </w:tcBorders>
            <w:vAlign w:val="bottom"/>
          </w:tcPr>
          <w:p w14:paraId="5B12FE98" w14:textId="1C74D9D4" w:rsidR="008926EE" w:rsidRPr="008926EE" w:rsidRDefault="008926EE" w:rsidP="008926EE">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133/ 23594</w:t>
            </w:r>
          </w:p>
        </w:tc>
        <w:tc>
          <w:tcPr>
            <w:tcW w:w="0" w:type="auto"/>
            <w:tcBorders>
              <w:bottom w:val="single" w:sz="4" w:space="0" w:color="auto"/>
            </w:tcBorders>
            <w:vAlign w:val="bottom"/>
          </w:tcPr>
          <w:p w14:paraId="02BE04E2" w14:textId="6AA24C59" w:rsidR="008926EE" w:rsidRPr="008926EE" w:rsidRDefault="008926EE" w:rsidP="008926EE">
            <w:pPr>
              <w:rPr>
                <w:rFonts w:eastAsia="Times New Roman" w:cstheme="minorHAnsi"/>
                <w:color w:val="000000"/>
                <w:sz w:val="20"/>
                <w:szCs w:val="20"/>
                <w:lang w:eastAsia="en-GB"/>
              </w:rPr>
            </w:pPr>
            <w:r w:rsidRPr="008926EE">
              <w:rPr>
                <w:rFonts w:eastAsia="Times New Roman" w:cstheme="minorHAnsi"/>
                <w:color w:val="000000"/>
                <w:sz w:val="20"/>
                <w:szCs w:val="20"/>
                <w:lang w:eastAsia="en-GB"/>
              </w:rPr>
              <w:t>4.81 (3.98 to 5.81)</w:t>
            </w:r>
          </w:p>
        </w:tc>
      </w:tr>
    </w:tbl>
    <w:p w14:paraId="7EEF82C5" w14:textId="1CFF24F6" w:rsidR="00B466A8" w:rsidRDefault="007F521B" w:rsidP="00E702B8">
      <w:r>
        <w:t xml:space="preserve">Revisions </w:t>
      </w:r>
      <w:r w:rsidR="00973A5C">
        <w:t xml:space="preserve">within </w:t>
      </w:r>
      <w:r>
        <w:t>10</w:t>
      </w:r>
      <w:r w:rsidR="00973A5C">
        <w:t xml:space="preserve"> </w:t>
      </w:r>
      <w:r>
        <w:t xml:space="preserve">years </w:t>
      </w:r>
      <w:r w:rsidR="00973A5C">
        <w:t xml:space="preserve">of a </w:t>
      </w:r>
      <w:r>
        <w:t xml:space="preserve">total knee replacement (TKR) </w:t>
      </w:r>
      <w:r w:rsidR="00973A5C">
        <w:t>or</w:t>
      </w:r>
      <w:r>
        <w:t xml:space="preserve"> total hip replacement (THR). PYs: person years, BMI: body mass index. </w:t>
      </w:r>
    </w:p>
    <w:bookmarkEnd w:id="1"/>
    <w:p w14:paraId="6BBACFE3" w14:textId="7280E959" w:rsidR="007F521B" w:rsidRDefault="007F521B" w:rsidP="00E702B8"/>
    <w:p w14:paraId="5684DE89" w14:textId="77777777" w:rsidR="008926EE" w:rsidRDefault="008926EE" w:rsidP="00E702B8"/>
    <w:p w14:paraId="5E1B25A8" w14:textId="528086B5" w:rsidR="00DC1A2D" w:rsidRDefault="00DC1A2D" w:rsidP="00E702B8"/>
    <w:p w14:paraId="27BC9E14" w14:textId="77777777" w:rsidR="00DC1A2D" w:rsidRDefault="00DC1A2D" w:rsidP="00E702B8"/>
    <w:p w14:paraId="7BE3F082" w14:textId="5B0DDB89" w:rsidR="007F521B" w:rsidRDefault="007F521B" w:rsidP="007F521B">
      <w:pPr>
        <w:pStyle w:val="Heading2"/>
        <w:spacing w:line="360" w:lineRule="auto"/>
      </w:pPr>
      <w:r>
        <w:t xml:space="preserve">Table </w:t>
      </w:r>
      <w:r w:rsidR="00727E8C">
        <w:t>3</w:t>
      </w:r>
      <w:r>
        <w:t>. Estimated effect of BMI and smoking status on cause-specific risk of revision over 10 years following TKR and THR</w:t>
      </w:r>
    </w:p>
    <w:tbl>
      <w:tblPr>
        <w:tblW w:w="5000" w:type="pct"/>
        <w:tblLayout w:type="fixed"/>
        <w:tblLook w:val="04A0" w:firstRow="1" w:lastRow="0" w:firstColumn="1" w:lastColumn="0" w:noHBand="0" w:noVBand="1"/>
      </w:tblPr>
      <w:tblGrid>
        <w:gridCol w:w="3263"/>
        <w:gridCol w:w="1440"/>
        <w:gridCol w:w="1441"/>
        <w:gridCol w:w="1441"/>
        <w:gridCol w:w="1441"/>
      </w:tblGrid>
      <w:tr w:rsidR="00A34CF8" w:rsidRPr="008926EE" w14:paraId="3B96477D" w14:textId="77777777" w:rsidTr="008926EE">
        <w:trPr>
          <w:trHeight w:val="300"/>
        </w:trPr>
        <w:tc>
          <w:tcPr>
            <w:tcW w:w="1808" w:type="pct"/>
            <w:shd w:val="clear" w:color="auto" w:fill="auto"/>
            <w:noWrap/>
            <w:vAlign w:val="center"/>
          </w:tcPr>
          <w:p w14:paraId="71BDABC6" w14:textId="77777777" w:rsidR="00A34CF8" w:rsidRPr="008926EE" w:rsidRDefault="00A34CF8" w:rsidP="00A34CF8">
            <w:pPr>
              <w:spacing w:after="0" w:line="360" w:lineRule="auto"/>
              <w:rPr>
                <w:rFonts w:ascii="Calibri" w:eastAsia="Times New Roman" w:hAnsi="Calibri" w:cs="Times New Roman"/>
                <w:color w:val="000000"/>
                <w:sz w:val="20"/>
                <w:szCs w:val="20"/>
                <w:lang w:eastAsia="en-GB"/>
              </w:rPr>
            </w:pPr>
          </w:p>
        </w:tc>
        <w:tc>
          <w:tcPr>
            <w:tcW w:w="798" w:type="pct"/>
            <w:vAlign w:val="center"/>
          </w:tcPr>
          <w:p w14:paraId="47C10C3F" w14:textId="685FAF59" w:rsidR="00A34CF8" w:rsidRPr="008926EE" w:rsidRDefault="00A34CF8" w:rsidP="00A34CF8">
            <w:pPr>
              <w:spacing w:after="0" w:line="360" w:lineRule="auto"/>
              <w:rPr>
                <w:rFonts w:ascii="Calibri" w:eastAsia="Times New Roman" w:hAnsi="Calibri" w:cs="Calibri"/>
                <w:color w:val="000000"/>
                <w:sz w:val="20"/>
                <w:szCs w:val="20"/>
                <w:lang w:eastAsia="en-GB"/>
              </w:rPr>
            </w:pPr>
            <w:r w:rsidRPr="008926EE">
              <w:rPr>
                <w:rFonts w:ascii="Calibri" w:eastAsia="Times New Roman" w:hAnsi="Calibri" w:cs="Calibri"/>
                <w:color w:val="000000"/>
                <w:sz w:val="20"/>
                <w:szCs w:val="20"/>
                <w:lang w:eastAsia="en-GB"/>
              </w:rPr>
              <w:t xml:space="preserve">TKR </w:t>
            </w:r>
          </w:p>
        </w:tc>
        <w:tc>
          <w:tcPr>
            <w:tcW w:w="798" w:type="pct"/>
            <w:shd w:val="clear" w:color="auto" w:fill="auto"/>
            <w:noWrap/>
            <w:vAlign w:val="center"/>
          </w:tcPr>
          <w:p w14:paraId="1473D15B" w14:textId="3A2BFF11" w:rsidR="00A34CF8" w:rsidRPr="008926EE" w:rsidRDefault="00A34CF8" w:rsidP="00A34CF8">
            <w:pPr>
              <w:spacing w:after="0" w:line="360" w:lineRule="auto"/>
              <w:rPr>
                <w:rFonts w:ascii="Calibri" w:eastAsia="Times New Roman" w:hAnsi="Calibri" w:cs="Calibri"/>
                <w:color w:val="000000"/>
                <w:sz w:val="20"/>
                <w:szCs w:val="20"/>
                <w:lang w:eastAsia="en-GB"/>
              </w:rPr>
            </w:pPr>
          </w:p>
        </w:tc>
        <w:tc>
          <w:tcPr>
            <w:tcW w:w="798" w:type="pct"/>
          </w:tcPr>
          <w:p w14:paraId="0264057F" w14:textId="358A7B71" w:rsidR="00A34CF8" w:rsidRPr="008926EE" w:rsidRDefault="00A34CF8" w:rsidP="00A34CF8">
            <w:pPr>
              <w:spacing w:after="0" w:line="360" w:lineRule="auto"/>
              <w:rPr>
                <w:rFonts w:ascii="Calibri" w:eastAsia="Times New Roman" w:hAnsi="Calibri" w:cs="Calibri"/>
                <w:color w:val="000000"/>
                <w:sz w:val="20"/>
                <w:szCs w:val="20"/>
                <w:lang w:eastAsia="en-GB"/>
              </w:rPr>
            </w:pPr>
            <w:r w:rsidRPr="008926EE">
              <w:rPr>
                <w:rFonts w:ascii="Calibri" w:eastAsia="Times New Roman" w:hAnsi="Calibri" w:cs="Calibri"/>
                <w:color w:val="000000"/>
                <w:sz w:val="20"/>
                <w:szCs w:val="20"/>
                <w:lang w:eastAsia="en-GB"/>
              </w:rPr>
              <w:t>THR</w:t>
            </w:r>
          </w:p>
        </w:tc>
        <w:tc>
          <w:tcPr>
            <w:tcW w:w="798" w:type="pct"/>
            <w:shd w:val="clear" w:color="auto" w:fill="auto"/>
            <w:noWrap/>
            <w:vAlign w:val="center"/>
          </w:tcPr>
          <w:p w14:paraId="5AEF393C" w14:textId="2644B96E" w:rsidR="00A34CF8" w:rsidRPr="008926EE" w:rsidRDefault="00A34CF8" w:rsidP="00A34CF8">
            <w:pPr>
              <w:spacing w:after="0" w:line="360" w:lineRule="auto"/>
              <w:rPr>
                <w:rFonts w:ascii="Calibri" w:eastAsia="Times New Roman" w:hAnsi="Calibri" w:cs="Calibri"/>
                <w:color w:val="000000"/>
                <w:sz w:val="20"/>
                <w:szCs w:val="20"/>
                <w:lang w:eastAsia="en-GB"/>
              </w:rPr>
            </w:pPr>
          </w:p>
        </w:tc>
      </w:tr>
      <w:tr w:rsidR="00A34CF8" w:rsidRPr="008926EE" w14:paraId="1180563F" w14:textId="77777777" w:rsidTr="008926EE">
        <w:trPr>
          <w:trHeight w:val="300"/>
        </w:trPr>
        <w:tc>
          <w:tcPr>
            <w:tcW w:w="1808" w:type="pct"/>
            <w:tcBorders>
              <w:bottom w:val="single" w:sz="4" w:space="0" w:color="auto"/>
            </w:tcBorders>
            <w:shd w:val="clear" w:color="auto" w:fill="auto"/>
            <w:noWrap/>
            <w:vAlign w:val="center"/>
            <w:hideMark/>
          </w:tcPr>
          <w:p w14:paraId="0F415B75" w14:textId="77777777" w:rsidR="00A34CF8" w:rsidRPr="008926EE" w:rsidRDefault="00A34CF8" w:rsidP="00A34CF8">
            <w:pPr>
              <w:spacing w:after="0" w:line="360" w:lineRule="auto"/>
              <w:rPr>
                <w:rFonts w:ascii="Calibri" w:eastAsia="Times New Roman" w:hAnsi="Calibri" w:cs="Times New Roman"/>
                <w:color w:val="000000"/>
                <w:sz w:val="20"/>
                <w:szCs w:val="20"/>
                <w:lang w:eastAsia="en-GB"/>
              </w:rPr>
            </w:pPr>
          </w:p>
        </w:tc>
        <w:tc>
          <w:tcPr>
            <w:tcW w:w="798" w:type="pct"/>
            <w:tcBorders>
              <w:bottom w:val="single" w:sz="4" w:space="0" w:color="auto"/>
            </w:tcBorders>
            <w:vAlign w:val="center"/>
          </w:tcPr>
          <w:p w14:paraId="11CE7DB2" w14:textId="00FA4206" w:rsidR="00A34CF8" w:rsidRPr="008926EE" w:rsidRDefault="00A34CF8" w:rsidP="00A34CF8">
            <w:pPr>
              <w:spacing w:after="0" w:line="360" w:lineRule="auto"/>
              <w:rPr>
                <w:rFonts w:ascii="Calibri" w:eastAsia="Times New Roman" w:hAnsi="Calibri" w:cs="Calibri"/>
                <w:color w:val="000000"/>
                <w:sz w:val="20"/>
                <w:szCs w:val="20"/>
                <w:lang w:eastAsia="en-GB"/>
              </w:rPr>
            </w:pPr>
            <w:r w:rsidRPr="008926EE">
              <w:rPr>
                <w:rFonts w:ascii="Calibri" w:eastAsia="Times New Roman" w:hAnsi="Calibri" w:cs="Calibri"/>
                <w:color w:val="000000"/>
                <w:sz w:val="20"/>
                <w:szCs w:val="20"/>
                <w:lang w:eastAsia="en-GB"/>
              </w:rPr>
              <w:t xml:space="preserve">Univariable </w:t>
            </w:r>
          </w:p>
        </w:tc>
        <w:tc>
          <w:tcPr>
            <w:tcW w:w="798" w:type="pct"/>
            <w:tcBorders>
              <w:bottom w:val="single" w:sz="4" w:space="0" w:color="auto"/>
            </w:tcBorders>
            <w:shd w:val="clear" w:color="auto" w:fill="auto"/>
            <w:noWrap/>
            <w:vAlign w:val="center"/>
          </w:tcPr>
          <w:p w14:paraId="595E5133" w14:textId="4984D4AA" w:rsidR="00A34CF8" w:rsidRPr="008926EE" w:rsidRDefault="00A34CF8" w:rsidP="00A34CF8">
            <w:pPr>
              <w:spacing w:after="0" w:line="360" w:lineRule="auto"/>
              <w:rPr>
                <w:rFonts w:ascii="Calibri" w:eastAsia="Times New Roman" w:hAnsi="Calibri" w:cs="Calibri"/>
                <w:color w:val="000000"/>
                <w:sz w:val="20"/>
                <w:szCs w:val="20"/>
                <w:lang w:eastAsia="en-GB"/>
              </w:rPr>
            </w:pPr>
            <w:r w:rsidRPr="008926EE">
              <w:rPr>
                <w:rFonts w:ascii="Calibri" w:eastAsia="Times New Roman" w:hAnsi="Calibri" w:cs="Calibri"/>
                <w:color w:val="000000"/>
                <w:sz w:val="20"/>
                <w:szCs w:val="20"/>
                <w:lang w:eastAsia="en-GB"/>
              </w:rPr>
              <w:t>Multivariable</w:t>
            </w:r>
          </w:p>
        </w:tc>
        <w:tc>
          <w:tcPr>
            <w:tcW w:w="798" w:type="pct"/>
            <w:tcBorders>
              <w:bottom w:val="single" w:sz="4" w:space="0" w:color="auto"/>
            </w:tcBorders>
            <w:vAlign w:val="center"/>
          </w:tcPr>
          <w:p w14:paraId="1F4CED36" w14:textId="69D05386" w:rsidR="00A34CF8" w:rsidRPr="008926EE" w:rsidRDefault="00A34CF8" w:rsidP="00A34CF8">
            <w:pPr>
              <w:spacing w:after="0" w:line="360" w:lineRule="auto"/>
              <w:rPr>
                <w:rFonts w:ascii="Calibri" w:eastAsia="Times New Roman" w:hAnsi="Calibri" w:cs="Calibri"/>
                <w:color w:val="000000"/>
                <w:sz w:val="20"/>
                <w:szCs w:val="20"/>
                <w:lang w:eastAsia="en-GB"/>
              </w:rPr>
            </w:pPr>
            <w:r w:rsidRPr="008926EE">
              <w:rPr>
                <w:rFonts w:ascii="Calibri" w:eastAsia="Times New Roman" w:hAnsi="Calibri" w:cs="Calibri"/>
                <w:color w:val="000000"/>
                <w:sz w:val="20"/>
                <w:szCs w:val="20"/>
                <w:lang w:eastAsia="en-GB"/>
              </w:rPr>
              <w:t xml:space="preserve">Univariable </w:t>
            </w:r>
          </w:p>
        </w:tc>
        <w:tc>
          <w:tcPr>
            <w:tcW w:w="798" w:type="pct"/>
            <w:tcBorders>
              <w:bottom w:val="single" w:sz="4" w:space="0" w:color="auto"/>
            </w:tcBorders>
            <w:shd w:val="clear" w:color="auto" w:fill="auto"/>
            <w:noWrap/>
            <w:vAlign w:val="center"/>
            <w:hideMark/>
          </w:tcPr>
          <w:p w14:paraId="37520FE0" w14:textId="2B0F20CA" w:rsidR="00A34CF8" w:rsidRPr="008926EE" w:rsidRDefault="00A34CF8" w:rsidP="00A34CF8">
            <w:pPr>
              <w:spacing w:after="0" w:line="360" w:lineRule="auto"/>
              <w:rPr>
                <w:rFonts w:ascii="Calibri" w:eastAsia="Times New Roman" w:hAnsi="Calibri" w:cs="Calibri"/>
                <w:color w:val="000000"/>
                <w:sz w:val="20"/>
                <w:szCs w:val="20"/>
                <w:lang w:eastAsia="en-GB"/>
              </w:rPr>
            </w:pPr>
            <w:r w:rsidRPr="008926EE">
              <w:rPr>
                <w:rFonts w:ascii="Calibri" w:eastAsia="Times New Roman" w:hAnsi="Calibri" w:cs="Calibri"/>
                <w:color w:val="000000"/>
                <w:sz w:val="20"/>
                <w:szCs w:val="20"/>
                <w:lang w:eastAsia="en-GB"/>
              </w:rPr>
              <w:t>Multivariable</w:t>
            </w:r>
          </w:p>
        </w:tc>
      </w:tr>
      <w:tr w:rsidR="002029A5" w:rsidRPr="008926EE" w14:paraId="34B9509D" w14:textId="77777777" w:rsidTr="0089120D">
        <w:trPr>
          <w:trHeight w:val="300"/>
        </w:trPr>
        <w:tc>
          <w:tcPr>
            <w:tcW w:w="1808" w:type="pct"/>
            <w:tcBorders>
              <w:top w:val="single" w:sz="4" w:space="0" w:color="auto"/>
            </w:tcBorders>
            <w:shd w:val="clear" w:color="auto" w:fill="auto"/>
            <w:noWrap/>
            <w:vAlign w:val="center"/>
          </w:tcPr>
          <w:p w14:paraId="4558B7F6" w14:textId="79FBF906" w:rsidR="002029A5" w:rsidRPr="008926EE" w:rsidRDefault="002029A5" w:rsidP="002029A5">
            <w:pPr>
              <w:spacing w:after="0" w:line="360" w:lineRule="auto"/>
              <w:rPr>
                <w:rFonts w:ascii="Calibri" w:eastAsia="Times New Roman" w:hAnsi="Calibri" w:cs="Times New Roman"/>
                <w:color w:val="000000"/>
                <w:sz w:val="20"/>
                <w:szCs w:val="20"/>
                <w:lang w:eastAsia="en-GB"/>
              </w:rPr>
            </w:pPr>
            <w:r w:rsidRPr="008926EE">
              <w:rPr>
                <w:rFonts w:ascii="Calibri" w:eastAsia="Times New Roman" w:hAnsi="Calibri" w:cs="Times New Roman"/>
                <w:color w:val="000000"/>
                <w:sz w:val="20"/>
                <w:szCs w:val="20"/>
                <w:lang w:eastAsia="en-GB"/>
              </w:rPr>
              <w:t>BMI:</w:t>
            </w:r>
            <w:r w:rsidRPr="008926EE">
              <w:rPr>
                <w:sz w:val="20"/>
                <w:szCs w:val="20"/>
              </w:rPr>
              <w:t xml:space="preserve"> </w:t>
            </w:r>
            <w:r w:rsidRPr="008926EE">
              <w:rPr>
                <w:rFonts w:ascii="Calibri" w:eastAsia="Times New Roman" w:hAnsi="Calibri" w:cs="Times New Roman"/>
                <w:color w:val="000000"/>
                <w:sz w:val="20"/>
                <w:szCs w:val="20"/>
                <w:lang w:eastAsia="en-GB"/>
              </w:rPr>
              <w:t>per additional unit (HR (95% CI))</w:t>
            </w:r>
          </w:p>
        </w:tc>
        <w:tc>
          <w:tcPr>
            <w:tcW w:w="798" w:type="pct"/>
            <w:tcBorders>
              <w:top w:val="single" w:sz="4" w:space="0" w:color="auto"/>
            </w:tcBorders>
          </w:tcPr>
          <w:p w14:paraId="7F4E8FAA" w14:textId="57717EE1" w:rsidR="002029A5" w:rsidRPr="002029A5" w:rsidRDefault="00E335E5" w:rsidP="002029A5">
            <w:pPr>
              <w:spacing w:after="0" w:line="360" w:lineRule="auto"/>
              <w:rPr>
                <w:rFonts w:ascii="Calibri" w:eastAsia="Times New Roman" w:hAnsi="Calibri" w:cs="Calibri"/>
                <w:color w:val="000000"/>
                <w:sz w:val="20"/>
                <w:szCs w:val="20"/>
                <w:lang w:eastAsia="en-GB"/>
              </w:rPr>
            </w:pPr>
            <w:r w:rsidRPr="00E335E5">
              <w:rPr>
                <w:rFonts w:ascii="Calibri" w:eastAsia="Times New Roman" w:hAnsi="Calibri" w:cs="Calibri"/>
                <w:color w:val="000000"/>
                <w:sz w:val="20"/>
                <w:szCs w:val="20"/>
                <w:lang w:eastAsia="en-GB"/>
              </w:rPr>
              <w:t>1.02 (0.99 to 1.05)</w:t>
            </w:r>
          </w:p>
        </w:tc>
        <w:tc>
          <w:tcPr>
            <w:tcW w:w="798" w:type="pct"/>
            <w:tcBorders>
              <w:top w:val="single" w:sz="4" w:space="0" w:color="auto"/>
            </w:tcBorders>
            <w:shd w:val="clear" w:color="auto" w:fill="auto"/>
            <w:noWrap/>
          </w:tcPr>
          <w:p w14:paraId="589806D9" w14:textId="381D552E" w:rsidR="002029A5" w:rsidRPr="002029A5" w:rsidRDefault="00E335E5" w:rsidP="002029A5">
            <w:pPr>
              <w:spacing w:after="0" w:line="360" w:lineRule="auto"/>
              <w:rPr>
                <w:rFonts w:ascii="Calibri" w:eastAsia="Times New Roman" w:hAnsi="Calibri" w:cs="Calibri"/>
                <w:color w:val="000000"/>
                <w:sz w:val="20"/>
                <w:szCs w:val="20"/>
                <w:lang w:eastAsia="en-GB"/>
              </w:rPr>
            </w:pPr>
            <w:r w:rsidRPr="00E335E5">
              <w:rPr>
                <w:rFonts w:ascii="Calibri" w:eastAsia="Times New Roman" w:hAnsi="Calibri" w:cs="Calibri"/>
                <w:color w:val="000000"/>
                <w:sz w:val="20"/>
                <w:szCs w:val="20"/>
                <w:lang w:eastAsia="en-GB"/>
              </w:rPr>
              <w:t>0.99 (0.96 to 1.03)</w:t>
            </w:r>
          </w:p>
        </w:tc>
        <w:tc>
          <w:tcPr>
            <w:tcW w:w="798" w:type="pct"/>
            <w:tcBorders>
              <w:top w:val="single" w:sz="4" w:space="0" w:color="auto"/>
            </w:tcBorders>
            <w:vAlign w:val="bottom"/>
          </w:tcPr>
          <w:p w14:paraId="3B2D46B9" w14:textId="58599E93" w:rsidR="002029A5" w:rsidRPr="002029A5" w:rsidRDefault="00E335E5" w:rsidP="002029A5">
            <w:pPr>
              <w:spacing w:after="0" w:line="360" w:lineRule="auto"/>
              <w:rPr>
                <w:rFonts w:ascii="Calibri" w:eastAsia="Times New Roman" w:hAnsi="Calibri" w:cs="Calibri"/>
                <w:color w:val="000000"/>
                <w:sz w:val="20"/>
                <w:szCs w:val="20"/>
                <w:lang w:eastAsia="en-GB"/>
              </w:rPr>
            </w:pPr>
            <w:r w:rsidRPr="00E335E5">
              <w:rPr>
                <w:rFonts w:ascii="Calibri" w:eastAsia="Times New Roman" w:hAnsi="Calibri" w:cs="Calibri"/>
                <w:color w:val="000000"/>
                <w:sz w:val="20"/>
                <w:szCs w:val="20"/>
                <w:lang w:eastAsia="en-GB"/>
              </w:rPr>
              <w:t>1.03 (1.00 to 1.07)</w:t>
            </w:r>
          </w:p>
        </w:tc>
        <w:tc>
          <w:tcPr>
            <w:tcW w:w="798" w:type="pct"/>
            <w:tcBorders>
              <w:top w:val="single" w:sz="4" w:space="0" w:color="auto"/>
            </w:tcBorders>
            <w:shd w:val="clear" w:color="auto" w:fill="auto"/>
            <w:noWrap/>
          </w:tcPr>
          <w:p w14:paraId="435FF4F4" w14:textId="01255794" w:rsidR="002029A5" w:rsidRPr="002029A5" w:rsidRDefault="00E335E5" w:rsidP="002029A5">
            <w:pPr>
              <w:spacing w:after="0" w:line="360" w:lineRule="auto"/>
              <w:rPr>
                <w:rFonts w:ascii="Calibri" w:eastAsia="Times New Roman" w:hAnsi="Calibri" w:cs="Calibri"/>
                <w:color w:val="000000"/>
                <w:sz w:val="20"/>
                <w:szCs w:val="20"/>
                <w:lang w:eastAsia="en-GB"/>
              </w:rPr>
            </w:pPr>
            <w:r w:rsidRPr="00E335E5">
              <w:rPr>
                <w:rFonts w:ascii="Calibri" w:eastAsia="Times New Roman" w:hAnsi="Calibri" w:cs="Calibri"/>
                <w:color w:val="000000"/>
                <w:sz w:val="20"/>
                <w:szCs w:val="20"/>
                <w:lang w:eastAsia="en-GB"/>
              </w:rPr>
              <w:t>1.02 (0.99 to 1.06)</w:t>
            </w:r>
          </w:p>
        </w:tc>
      </w:tr>
      <w:tr w:rsidR="00A34CF8" w:rsidRPr="008926EE" w14:paraId="76414675" w14:textId="77777777" w:rsidTr="008926EE">
        <w:trPr>
          <w:trHeight w:val="300"/>
        </w:trPr>
        <w:tc>
          <w:tcPr>
            <w:tcW w:w="1808" w:type="pct"/>
            <w:shd w:val="clear" w:color="auto" w:fill="auto"/>
            <w:noWrap/>
            <w:vAlign w:val="center"/>
          </w:tcPr>
          <w:p w14:paraId="44565F31" w14:textId="528D5370" w:rsidR="00A34CF8" w:rsidRPr="008926EE" w:rsidRDefault="00A34CF8" w:rsidP="00A34CF8">
            <w:pPr>
              <w:spacing w:after="0" w:line="360" w:lineRule="auto"/>
              <w:rPr>
                <w:rFonts w:ascii="Calibri" w:eastAsia="Times New Roman" w:hAnsi="Calibri" w:cs="Times New Roman"/>
                <w:color w:val="000000"/>
                <w:sz w:val="20"/>
                <w:szCs w:val="20"/>
                <w:lang w:eastAsia="en-GB"/>
              </w:rPr>
            </w:pPr>
            <w:r w:rsidRPr="008926EE">
              <w:rPr>
                <w:rFonts w:ascii="Calibri" w:eastAsia="Times New Roman" w:hAnsi="Calibri" w:cs="Times New Roman"/>
                <w:color w:val="000000"/>
                <w:sz w:val="20"/>
                <w:szCs w:val="20"/>
                <w:lang w:eastAsia="en-GB"/>
              </w:rPr>
              <w:t>Smoking status (HR (95%</w:t>
            </w:r>
            <w:r w:rsidR="00183A96" w:rsidRPr="008926EE">
              <w:rPr>
                <w:rFonts w:ascii="Calibri" w:eastAsia="Times New Roman" w:hAnsi="Calibri" w:cs="Times New Roman"/>
                <w:color w:val="000000"/>
                <w:sz w:val="20"/>
                <w:szCs w:val="20"/>
                <w:lang w:eastAsia="en-GB"/>
              </w:rPr>
              <w:t xml:space="preserve"> </w:t>
            </w:r>
            <w:r w:rsidRPr="008926EE">
              <w:rPr>
                <w:rFonts w:ascii="Calibri" w:eastAsia="Times New Roman" w:hAnsi="Calibri" w:cs="Times New Roman"/>
                <w:color w:val="000000"/>
                <w:sz w:val="20"/>
                <w:szCs w:val="20"/>
                <w:lang w:eastAsia="en-GB"/>
              </w:rPr>
              <w:t>CI))</w:t>
            </w:r>
          </w:p>
        </w:tc>
        <w:tc>
          <w:tcPr>
            <w:tcW w:w="798" w:type="pct"/>
          </w:tcPr>
          <w:p w14:paraId="50B10A27" w14:textId="77777777" w:rsidR="00A34CF8" w:rsidRPr="002029A5" w:rsidRDefault="00A34CF8" w:rsidP="00A34CF8">
            <w:pPr>
              <w:spacing w:after="0" w:line="360" w:lineRule="auto"/>
              <w:rPr>
                <w:rFonts w:ascii="Calibri" w:eastAsia="Times New Roman" w:hAnsi="Calibri" w:cs="Calibri"/>
                <w:color w:val="000000"/>
                <w:sz w:val="20"/>
                <w:szCs w:val="20"/>
                <w:lang w:eastAsia="en-GB"/>
              </w:rPr>
            </w:pPr>
          </w:p>
        </w:tc>
        <w:tc>
          <w:tcPr>
            <w:tcW w:w="798" w:type="pct"/>
            <w:shd w:val="clear" w:color="auto" w:fill="auto"/>
            <w:noWrap/>
            <w:vAlign w:val="center"/>
          </w:tcPr>
          <w:p w14:paraId="408EB191" w14:textId="03EA5AFB" w:rsidR="00A34CF8" w:rsidRPr="002029A5" w:rsidRDefault="00A34CF8" w:rsidP="00A34CF8">
            <w:pPr>
              <w:spacing w:after="0" w:line="360" w:lineRule="auto"/>
              <w:rPr>
                <w:rFonts w:ascii="Calibri" w:eastAsia="Times New Roman" w:hAnsi="Calibri" w:cs="Calibri"/>
                <w:color w:val="000000"/>
                <w:sz w:val="20"/>
                <w:szCs w:val="20"/>
                <w:lang w:eastAsia="en-GB"/>
              </w:rPr>
            </w:pPr>
          </w:p>
        </w:tc>
        <w:tc>
          <w:tcPr>
            <w:tcW w:w="798" w:type="pct"/>
          </w:tcPr>
          <w:p w14:paraId="1DBDC52D" w14:textId="77777777" w:rsidR="00A34CF8" w:rsidRPr="002029A5" w:rsidRDefault="00A34CF8" w:rsidP="00A34CF8">
            <w:pPr>
              <w:spacing w:after="0" w:line="360" w:lineRule="auto"/>
              <w:rPr>
                <w:rFonts w:ascii="Calibri" w:eastAsia="Times New Roman" w:hAnsi="Calibri" w:cs="Calibri"/>
                <w:color w:val="000000"/>
                <w:sz w:val="20"/>
                <w:szCs w:val="20"/>
                <w:lang w:eastAsia="en-GB"/>
              </w:rPr>
            </w:pPr>
          </w:p>
        </w:tc>
        <w:tc>
          <w:tcPr>
            <w:tcW w:w="798" w:type="pct"/>
            <w:shd w:val="clear" w:color="auto" w:fill="auto"/>
            <w:noWrap/>
            <w:vAlign w:val="center"/>
          </w:tcPr>
          <w:p w14:paraId="32528020" w14:textId="52FF0DB5" w:rsidR="00A34CF8" w:rsidRPr="002029A5" w:rsidRDefault="00A34CF8" w:rsidP="00A34CF8">
            <w:pPr>
              <w:spacing w:after="0" w:line="360" w:lineRule="auto"/>
              <w:rPr>
                <w:rFonts w:ascii="Calibri" w:eastAsia="Times New Roman" w:hAnsi="Calibri" w:cs="Calibri"/>
                <w:color w:val="000000"/>
                <w:sz w:val="20"/>
                <w:szCs w:val="20"/>
                <w:lang w:eastAsia="en-GB"/>
              </w:rPr>
            </w:pPr>
          </w:p>
        </w:tc>
      </w:tr>
      <w:tr w:rsidR="00A34CF8" w:rsidRPr="008926EE" w14:paraId="096AA439" w14:textId="77777777" w:rsidTr="008926EE">
        <w:trPr>
          <w:trHeight w:val="300"/>
        </w:trPr>
        <w:tc>
          <w:tcPr>
            <w:tcW w:w="1808" w:type="pct"/>
            <w:shd w:val="clear" w:color="auto" w:fill="auto"/>
            <w:noWrap/>
            <w:vAlign w:val="center"/>
          </w:tcPr>
          <w:p w14:paraId="4138E9AB" w14:textId="4E694717" w:rsidR="00A34CF8" w:rsidRPr="008926EE" w:rsidRDefault="00A34CF8" w:rsidP="00A34CF8">
            <w:pPr>
              <w:spacing w:after="0" w:line="360" w:lineRule="auto"/>
              <w:rPr>
                <w:rFonts w:ascii="Calibri" w:eastAsia="Times New Roman" w:hAnsi="Calibri" w:cs="Times New Roman"/>
                <w:color w:val="000000"/>
                <w:sz w:val="20"/>
                <w:szCs w:val="20"/>
                <w:lang w:eastAsia="en-GB"/>
              </w:rPr>
            </w:pPr>
            <w:r w:rsidRPr="008926EE">
              <w:rPr>
                <w:rFonts w:ascii="Calibri" w:eastAsia="Times New Roman" w:hAnsi="Calibri" w:cs="Times New Roman"/>
                <w:color w:val="000000"/>
                <w:sz w:val="20"/>
                <w:szCs w:val="20"/>
                <w:lang w:eastAsia="en-GB"/>
              </w:rPr>
              <w:t xml:space="preserve">   Non-smoker </w:t>
            </w:r>
          </w:p>
        </w:tc>
        <w:tc>
          <w:tcPr>
            <w:tcW w:w="798" w:type="pct"/>
          </w:tcPr>
          <w:p w14:paraId="3C5EC5A2" w14:textId="3F8422AC" w:rsidR="00A34CF8" w:rsidRPr="002029A5" w:rsidRDefault="00A34CF8" w:rsidP="00A34CF8">
            <w:pPr>
              <w:spacing w:after="0" w:line="360" w:lineRule="auto"/>
              <w:rPr>
                <w:rFonts w:ascii="Calibri" w:eastAsia="Times New Roman" w:hAnsi="Calibri" w:cs="Calibri"/>
                <w:color w:val="000000"/>
                <w:sz w:val="20"/>
                <w:szCs w:val="20"/>
                <w:lang w:eastAsia="en-GB"/>
              </w:rPr>
            </w:pPr>
            <w:r w:rsidRPr="002029A5">
              <w:rPr>
                <w:rFonts w:ascii="Calibri" w:eastAsia="Times New Roman" w:hAnsi="Calibri" w:cs="Calibri"/>
                <w:i/>
                <w:color w:val="000000"/>
                <w:sz w:val="20"/>
                <w:szCs w:val="20"/>
                <w:lang w:eastAsia="en-GB"/>
              </w:rPr>
              <w:t>ref</w:t>
            </w:r>
          </w:p>
        </w:tc>
        <w:tc>
          <w:tcPr>
            <w:tcW w:w="798" w:type="pct"/>
            <w:shd w:val="clear" w:color="auto" w:fill="auto"/>
            <w:noWrap/>
            <w:vAlign w:val="center"/>
          </w:tcPr>
          <w:p w14:paraId="3F692601" w14:textId="2D2D578A" w:rsidR="00A34CF8" w:rsidRPr="002029A5" w:rsidRDefault="00A34CF8" w:rsidP="00A34CF8">
            <w:pPr>
              <w:spacing w:after="0" w:line="360" w:lineRule="auto"/>
              <w:rPr>
                <w:rFonts w:ascii="Calibri" w:eastAsia="Times New Roman" w:hAnsi="Calibri" w:cs="Calibri"/>
                <w:color w:val="000000"/>
                <w:sz w:val="20"/>
                <w:szCs w:val="20"/>
                <w:lang w:eastAsia="en-GB"/>
              </w:rPr>
            </w:pPr>
            <w:r w:rsidRPr="002029A5">
              <w:rPr>
                <w:rFonts w:ascii="Calibri" w:eastAsia="Times New Roman" w:hAnsi="Calibri" w:cs="Calibri"/>
                <w:i/>
                <w:color w:val="000000"/>
                <w:sz w:val="20"/>
                <w:szCs w:val="20"/>
                <w:lang w:eastAsia="en-GB"/>
              </w:rPr>
              <w:t>ref</w:t>
            </w:r>
          </w:p>
        </w:tc>
        <w:tc>
          <w:tcPr>
            <w:tcW w:w="798" w:type="pct"/>
          </w:tcPr>
          <w:p w14:paraId="483E931A" w14:textId="41C8F318" w:rsidR="00A34CF8" w:rsidRPr="002029A5" w:rsidRDefault="00A34CF8" w:rsidP="00A34CF8">
            <w:pPr>
              <w:spacing w:after="0" w:line="360" w:lineRule="auto"/>
              <w:rPr>
                <w:rFonts w:ascii="Calibri" w:eastAsia="Times New Roman" w:hAnsi="Calibri" w:cs="Calibri"/>
                <w:color w:val="000000"/>
                <w:sz w:val="20"/>
                <w:szCs w:val="20"/>
                <w:lang w:eastAsia="en-GB"/>
              </w:rPr>
            </w:pPr>
            <w:r w:rsidRPr="002029A5">
              <w:rPr>
                <w:rFonts w:ascii="Calibri" w:eastAsia="Times New Roman" w:hAnsi="Calibri" w:cs="Calibri"/>
                <w:i/>
                <w:color w:val="000000"/>
                <w:sz w:val="20"/>
                <w:szCs w:val="20"/>
                <w:lang w:eastAsia="en-GB"/>
              </w:rPr>
              <w:t>ref</w:t>
            </w:r>
          </w:p>
        </w:tc>
        <w:tc>
          <w:tcPr>
            <w:tcW w:w="798" w:type="pct"/>
            <w:shd w:val="clear" w:color="auto" w:fill="auto"/>
            <w:noWrap/>
            <w:vAlign w:val="center"/>
          </w:tcPr>
          <w:p w14:paraId="209E5BBF" w14:textId="6CE5DF60" w:rsidR="00A34CF8" w:rsidRPr="002029A5" w:rsidRDefault="00A34CF8" w:rsidP="00A34CF8">
            <w:pPr>
              <w:spacing w:after="0" w:line="360" w:lineRule="auto"/>
              <w:rPr>
                <w:rFonts w:ascii="Calibri" w:eastAsia="Times New Roman" w:hAnsi="Calibri" w:cs="Calibri"/>
                <w:i/>
                <w:color w:val="000000"/>
                <w:sz w:val="20"/>
                <w:szCs w:val="20"/>
                <w:lang w:eastAsia="en-GB"/>
              </w:rPr>
            </w:pPr>
            <w:r w:rsidRPr="002029A5">
              <w:rPr>
                <w:rFonts w:ascii="Calibri" w:eastAsia="Times New Roman" w:hAnsi="Calibri" w:cs="Calibri"/>
                <w:i/>
                <w:color w:val="000000"/>
                <w:sz w:val="20"/>
                <w:szCs w:val="20"/>
                <w:lang w:eastAsia="en-GB"/>
              </w:rPr>
              <w:t>ref</w:t>
            </w:r>
          </w:p>
        </w:tc>
      </w:tr>
      <w:tr w:rsidR="002029A5" w:rsidRPr="008926EE" w14:paraId="2E102AB5" w14:textId="77777777" w:rsidTr="008926EE">
        <w:trPr>
          <w:trHeight w:val="300"/>
        </w:trPr>
        <w:tc>
          <w:tcPr>
            <w:tcW w:w="1808" w:type="pct"/>
            <w:shd w:val="clear" w:color="auto" w:fill="auto"/>
            <w:noWrap/>
            <w:vAlign w:val="center"/>
          </w:tcPr>
          <w:p w14:paraId="5B2AD807" w14:textId="1F0B02F3" w:rsidR="002029A5" w:rsidRPr="008926EE" w:rsidRDefault="002029A5" w:rsidP="002029A5">
            <w:pPr>
              <w:spacing w:after="0" w:line="360" w:lineRule="auto"/>
              <w:rPr>
                <w:rFonts w:ascii="Calibri" w:eastAsia="Times New Roman" w:hAnsi="Calibri" w:cs="Times New Roman"/>
                <w:color w:val="000000"/>
                <w:sz w:val="20"/>
                <w:szCs w:val="20"/>
                <w:lang w:eastAsia="en-GB"/>
              </w:rPr>
            </w:pPr>
            <w:r w:rsidRPr="008926EE">
              <w:rPr>
                <w:rFonts w:ascii="Calibri" w:eastAsia="Times New Roman" w:hAnsi="Calibri" w:cs="Times New Roman"/>
                <w:color w:val="000000"/>
                <w:sz w:val="20"/>
                <w:szCs w:val="20"/>
                <w:lang w:eastAsia="en-GB"/>
              </w:rPr>
              <w:t xml:space="preserve">   Ex-smoker </w:t>
            </w:r>
          </w:p>
        </w:tc>
        <w:tc>
          <w:tcPr>
            <w:tcW w:w="798" w:type="pct"/>
            <w:vAlign w:val="bottom"/>
          </w:tcPr>
          <w:p w14:paraId="515D9A92" w14:textId="109D8B01" w:rsidR="002029A5" w:rsidRPr="002029A5" w:rsidRDefault="00E335E5" w:rsidP="002029A5">
            <w:pPr>
              <w:spacing w:after="0" w:line="360" w:lineRule="auto"/>
              <w:rPr>
                <w:rFonts w:ascii="Calibri" w:eastAsia="Times New Roman" w:hAnsi="Calibri" w:cs="Calibri"/>
                <w:color w:val="000000"/>
                <w:sz w:val="20"/>
                <w:szCs w:val="20"/>
                <w:lang w:eastAsia="en-GB"/>
              </w:rPr>
            </w:pPr>
            <w:r w:rsidRPr="00E335E5">
              <w:rPr>
                <w:rFonts w:ascii="Calibri" w:eastAsia="Times New Roman" w:hAnsi="Calibri" w:cs="Calibri"/>
                <w:color w:val="000000"/>
                <w:sz w:val="20"/>
                <w:szCs w:val="20"/>
                <w:lang w:eastAsia="en-GB"/>
              </w:rPr>
              <w:t>1.20 (0.87 to 1.67)</w:t>
            </w:r>
          </w:p>
        </w:tc>
        <w:tc>
          <w:tcPr>
            <w:tcW w:w="798" w:type="pct"/>
            <w:shd w:val="clear" w:color="auto" w:fill="auto"/>
            <w:noWrap/>
            <w:vAlign w:val="bottom"/>
          </w:tcPr>
          <w:p w14:paraId="5D258A3F" w14:textId="06EA6EB9" w:rsidR="002029A5" w:rsidRPr="002029A5" w:rsidRDefault="00E335E5" w:rsidP="002029A5">
            <w:pPr>
              <w:spacing w:after="0" w:line="360" w:lineRule="auto"/>
              <w:rPr>
                <w:rFonts w:ascii="Calibri" w:eastAsia="Times New Roman" w:hAnsi="Calibri" w:cs="Calibri"/>
                <w:color w:val="000000"/>
                <w:sz w:val="20"/>
                <w:szCs w:val="20"/>
                <w:lang w:eastAsia="en-GB"/>
              </w:rPr>
            </w:pPr>
            <w:r w:rsidRPr="00E335E5">
              <w:rPr>
                <w:rFonts w:ascii="Calibri" w:eastAsia="Times New Roman" w:hAnsi="Calibri" w:cs="Calibri"/>
                <w:color w:val="000000"/>
                <w:sz w:val="20"/>
                <w:szCs w:val="20"/>
                <w:lang w:eastAsia="en-GB"/>
              </w:rPr>
              <w:t>1.14 (0.81 to 1.60)</w:t>
            </w:r>
          </w:p>
        </w:tc>
        <w:tc>
          <w:tcPr>
            <w:tcW w:w="798" w:type="pct"/>
            <w:vAlign w:val="bottom"/>
          </w:tcPr>
          <w:p w14:paraId="05DEE84E" w14:textId="6AA66783" w:rsidR="002029A5" w:rsidRPr="002029A5" w:rsidRDefault="00E335E5" w:rsidP="002029A5">
            <w:pPr>
              <w:spacing w:after="0" w:line="360" w:lineRule="auto"/>
              <w:rPr>
                <w:rFonts w:ascii="Calibri" w:eastAsia="Times New Roman" w:hAnsi="Calibri" w:cs="Calibri"/>
                <w:color w:val="000000"/>
                <w:sz w:val="20"/>
                <w:szCs w:val="20"/>
                <w:lang w:eastAsia="en-GB"/>
              </w:rPr>
            </w:pPr>
            <w:r w:rsidRPr="00E335E5">
              <w:rPr>
                <w:rFonts w:ascii="Calibri" w:eastAsia="Times New Roman" w:hAnsi="Calibri" w:cs="Calibri"/>
                <w:color w:val="000000"/>
                <w:sz w:val="20"/>
                <w:szCs w:val="20"/>
                <w:lang w:eastAsia="en-GB"/>
              </w:rPr>
              <w:t>1.07 (0.76 to 1.51)</w:t>
            </w:r>
          </w:p>
        </w:tc>
        <w:tc>
          <w:tcPr>
            <w:tcW w:w="798" w:type="pct"/>
            <w:shd w:val="clear" w:color="auto" w:fill="auto"/>
            <w:noWrap/>
            <w:vAlign w:val="bottom"/>
          </w:tcPr>
          <w:p w14:paraId="04854AE3" w14:textId="0CDE0CE8" w:rsidR="002029A5" w:rsidRPr="002029A5" w:rsidRDefault="00E335E5" w:rsidP="002029A5">
            <w:pPr>
              <w:spacing w:after="0" w:line="360" w:lineRule="auto"/>
              <w:rPr>
                <w:rFonts w:ascii="Calibri" w:eastAsia="Times New Roman" w:hAnsi="Calibri" w:cs="Calibri"/>
                <w:color w:val="000000"/>
                <w:sz w:val="20"/>
                <w:szCs w:val="20"/>
                <w:lang w:eastAsia="en-GB"/>
              </w:rPr>
            </w:pPr>
            <w:r w:rsidRPr="00E335E5">
              <w:rPr>
                <w:rFonts w:ascii="Calibri" w:eastAsia="Times New Roman" w:hAnsi="Calibri" w:cs="Calibri"/>
                <w:color w:val="000000"/>
                <w:sz w:val="20"/>
                <w:szCs w:val="20"/>
                <w:lang w:eastAsia="en-GB"/>
              </w:rPr>
              <w:t>1.02 (0.71 to 1.46)</w:t>
            </w:r>
          </w:p>
        </w:tc>
      </w:tr>
      <w:tr w:rsidR="002029A5" w:rsidRPr="008926EE" w14:paraId="12FD655B" w14:textId="77777777" w:rsidTr="008926EE">
        <w:trPr>
          <w:trHeight w:val="300"/>
        </w:trPr>
        <w:tc>
          <w:tcPr>
            <w:tcW w:w="1808" w:type="pct"/>
            <w:tcBorders>
              <w:bottom w:val="single" w:sz="4" w:space="0" w:color="auto"/>
            </w:tcBorders>
            <w:shd w:val="clear" w:color="auto" w:fill="auto"/>
            <w:noWrap/>
            <w:vAlign w:val="center"/>
          </w:tcPr>
          <w:p w14:paraId="3D433B98" w14:textId="5478AE07" w:rsidR="002029A5" w:rsidRPr="008926EE" w:rsidRDefault="002029A5" w:rsidP="002029A5">
            <w:pPr>
              <w:spacing w:after="0" w:line="360" w:lineRule="auto"/>
              <w:rPr>
                <w:rFonts w:ascii="Calibri" w:eastAsia="Times New Roman" w:hAnsi="Calibri" w:cs="Times New Roman"/>
                <w:color w:val="000000"/>
                <w:sz w:val="20"/>
                <w:szCs w:val="20"/>
                <w:lang w:eastAsia="en-GB"/>
              </w:rPr>
            </w:pPr>
            <w:r w:rsidRPr="008926EE">
              <w:rPr>
                <w:rFonts w:ascii="Calibri" w:eastAsia="Times New Roman" w:hAnsi="Calibri" w:cs="Times New Roman"/>
                <w:color w:val="000000"/>
                <w:sz w:val="20"/>
                <w:szCs w:val="20"/>
                <w:lang w:eastAsia="en-GB"/>
              </w:rPr>
              <w:t xml:space="preserve">   Current smoker </w:t>
            </w:r>
          </w:p>
        </w:tc>
        <w:tc>
          <w:tcPr>
            <w:tcW w:w="798" w:type="pct"/>
            <w:tcBorders>
              <w:bottom w:val="single" w:sz="4" w:space="0" w:color="auto"/>
            </w:tcBorders>
            <w:vAlign w:val="bottom"/>
          </w:tcPr>
          <w:p w14:paraId="012DAA33" w14:textId="077E8609" w:rsidR="002029A5" w:rsidRPr="002029A5" w:rsidRDefault="00E335E5" w:rsidP="002029A5">
            <w:pPr>
              <w:spacing w:after="0" w:line="360" w:lineRule="auto"/>
              <w:rPr>
                <w:rFonts w:ascii="Calibri" w:eastAsia="Times New Roman" w:hAnsi="Calibri" w:cs="Calibri"/>
                <w:color w:val="000000"/>
                <w:sz w:val="20"/>
                <w:szCs w:val="20"/>
                <w:lang w:eastAsia="en-GB"/>
              </w:rPr>
            </w:pPr>
            <w:r w:rsidRPr="00E335E5">
              <w:rPr>
                <w:rFonts w:ascii="Calibri" w:eastAsia="Times New Roman" w:hAnsi="Calibri" w:cs="Calibri"/>
                <w:color w:val="000000"/>
                <w:sz w:val="20"/>
                <w:szCs w:val="20"/>
                <w:lang w:eastAsia="en-GB"/>
              </w:rPr>
              <w:t>0.99 (0.55 to 1.78)</w:t>
            </w:r>
          </w:p>
        </w:tc>
        <w:tc>
          <w:tcPr>
            <w:tcW w:w="798" w:type="pct"/>
            <w:tcBorders>
              <w:bottom w:val="single" w:sz="4" w:space="0" w:color="auto"/>
            </w:tcBorders>
            <w:shd w:val="clear" w:color="auto" w:fill="auto"/>
            <w:noWrap/>
            <w:vAlign w:val="bottom"/>
          </w:tcPr>
          <w:p w14:paraId="01058F39" w14:textId="1BE8C0D1" w:rsidR="002029A5" w:rsidRPr="002029A5" w:rsidRDefault="00E335E5" w:rsidP="002029A5">
            <w:pPr>
              <w:spacing w:after="0" w:line="360" w:lineRule="auto"/>
              <w:rPr>
                <w:rFonts w:ascii="Calibri" w:eastAsia="Times New Roman" w:hAnsi="Calibri" w:cs="Calibri"/>
                <w:color w:val="000000"/>
                <w:sz w:val="20"/>
                <w:szCs w:val="20"/>
                <w:lang w:eastAsia="en-GB"/>
              </w:rPr>
            </w:pPr>
            <w:r w:rsidRPr="00E335E5">
              <w:rPr>
                <w:rFonts w:ascii="Calibri" w:eastAsia="Times New Roman" w:hAnsi="Calibri" w:cs="Calibri"/>
                <w:color w:val="000000"/>
                <w:sz w:val="20"/>
                <w:szCs w:val="20"/>
                <w:lang w:eastAsia="en-GB"/>
              </w:rPr>
              <w:t>0.71 (0.39 to 1.29)</w:t>
            </w:r>
          </w:p>
        </w:tc>
        <w:tc>
          <w:tcPr>
            <w:tcW w:w="798" w:type="pct"/>
            <w:tcBorders>
              <w:bottom w:val="single" w:sz="4" w:space="0" w:color="auto"/>
            </w:tcBorders>
            <w:vAlign w:val="bottom"/>
          </w:tcPr>
          <w:p w14:paraId="59871F65" w14:textId="4B39D895" w:rsidR="002029A5" w:rsidRPr="002029A5" w:rsidRDefault="00E335E5" w:rsidP="002029A5">
            <w:pPr>
              <w:spacing w:after="0" w:line="360" w:lineRule="auto"/>
              <w:rPr>
                <w:rFonts w:ascii="Calibri" w:eastAsia="Times New Roman" w:hAnsi="Calibri" w:cs="Calibri"/>
                <w:color w:val="000000"/>
                <w:sz w:val="20"/>
                <w:szCs w:val="20"/>
                <w:lang w:eastAsia="en-GB"/>
              </w:rPr>
            </w:pPr>
            <w:r w:rsidRPr="00E335E5">
              <w:rPr>
                <w:rFonts w:ascii="Calibri" w:eastAsia="Times New Roman" w:hAnsi="Calibri" w:cs="Calibri"/>
                <w:color w:val="000000"/>
                <w:sz w:val="20"/>
                <w:szCs w:val="20"/>
                <w:lang w:eastAsia="en-GB"/>
              </w:rPr>
              <w:t>0.86 (0.50 to 1.46)</w:t>
            </w:r>
          </w:p>
        </w:tc>
        <w:tc>
          <w:tcPr>
            <w:tcW w:w="798" w:type="pct"/>
            <w:tcBorders>
              <w:bottom w:val="single" w:sz="4" w:space="0" w:color="auto"/>
            </w:tcBorders>
            <w:shd w:val="clear" w:color="auto" w:fill="auto"/>
            <w:noWrap/>
            <w:vAlign w:val="bottom"/>
          </w:tcPr>
          <w:p w14:paraId="5F7F264D" w14:textId="0536B0FC" w:rsidR="002029A5" w:rsidRPr="002029A5" w:rsidRDefault="00E335E5" w:rsidP="002029A5">
            <w:pPr>
              <w:spacing w:after="0" w:line="360" w:lineRule="auto"/>
              <w:rPr>
                <w:rFonts w:ascii="Calibri" w:eastAsia="Times New Roman" w:hAnsi="Calibri" w:cs="Calibri"/>
                <w:color w:val="000000"/>
                <w:sz w:val="20"/>
                <w:szCs w:val="20"/>
                <w:lang w:eastAsia="en-GB"/>
              </w:rPr>
            </w:pPr>
            <w:r w:rsidRPr="00E335E5">
              <w:rPr>
                <w:rFonts w:ascii="Calibri" w:eastAsia="Times New Roman" w:hAnsi="Calibri" w:cs="Calibri"/>
                <w:color w:val="000000"/>
                <w:sz w:val="20"/>
                <w:szCs w:val="20"/>
                <w:lang w:eastAsia="en-GB"/>
              </w:rPr>
              <w:t>0.76 (0.44 to 1.32)</w:t>
            </w:r>
          </w:p>
        </w:tc>
      </w:tr>
    </w:tbl>
    <w:p w14:paraId="7E132FD0" w14:textId="54E1D72C" w:rsidR="00A34CF8" w:rsidRDefault="00727E8C" w:rsidP="00A34CF8">
      <w:r>
        <w:t>Hazard ratios (HRs) associated with a one-unit increase in</w:t>
      </w:r>
      <w:r w:rsidR="00521228">
        <w:t xml:space="preserve"> body mass index</w:t>
      </w:r>
      <w:r>
        <w:t xml:space="preserve"> </w:t>
      </w:r>
      <w:r w:rsidR="00521228">
        <w:t>(</w:t>
      </w:r>
      <w:r>
        <w:t>BMI</w:t>
      </w:r>
      <w:r w:rsidR="00521228">
        <w:t>)</w:t>
      </w:r>
      <w:r>
        <w:t xml:space="preserve"> and smoking status, respective to being a non-smoker, with 95% confidence intervals (CIs). Multivariable models </w:t>
      </w:r>
      <w:r w:rsidR="0094698B">
        <w:t>included</w:t>
      </w:r>
      <w:r>
        <w:t xml:space="preserve"> age, </w:t>
      </w:r>
      <w:r w:rsidR="00A94743">
        <w:t>sex</w:t>
      </w:r>
      <w:r>
        <w:t>, diagnosis (osteoarthritis or rheumatoid arthritis), Charlson score (0 or 1+)</w:t>
      </w:r>
      <w:r w:rsidR="00183A96">
        <w:t>,</w:t>
      </w:r>
      <w:r>
        <w:t xml:space="preserve"> and index of </w:t>
      </w:r>
      <w:r w:rsidR="00183A96">
        <w:t>m</w:t>
      </w:r>
      <w:r>
        <w:t xml:space="preserve">ultiple </w:t>
      </w:r>
      <w:r w:rsidR="00183A96">
        <w:t>d</w:t>
      </w:r>
      <w:r>
        <w:t xml:space="preserve">eprivation </w:t>
      </w:r>
      <w:r w:rsidR="0094698B">
        <w:t>group as explanatory factors</w:t>
      </w:r>
      <w:r>
        <w:t>.</w:t>
      </w:r>
      <w:r w:rsidR="004C0B8A">
        <w:t xml:space="preserve"> Multiple imputation was used for missing data and </w:t>
      </w:r>
      <w:bookmarkStart w:id="2" w:name="_Hlk3988409"/>
      <w:r w:rsidR="004C0B8A">
        <w:t>models were pooled using Rubin’s rules.</w:t>
      </w:r>
      <w:bookmarkEnd w:id="2"/>
    </w:p>
    <w:p w14:paraId="04F0B73F" w14:textId="773AA70E" w:rsidR="008926EE" w:rsidRDefault="008926EE"/>
    <w:p w14:paraId="340D781F" w14:textId="25D6CCD6" w:rsidR="00135FAC" w:rsidRDefault="00135FAC">
      <w:pPr>
        <w:rPr>
          <w:rFonts w:eastAsiaTheme="majorEastAsia" w:cstheme="majorBidi"/>
          <w:b/>
          <w:szCs w:val="26"/>
        </w:rPr>
      </w:pPr>
    </w:p>
    <w:p w14:paraId="113222F8" w14:textId="12C1B32B" w:rsidR="00A06FE9" w:rsidRDefault="00A06FE9" w:rsidP="00B376EE">
      <w:pPr>
        <w:pStyle w:val="Heading1"/>
      </w:pPr>
      <w:r>
        <w:lastRenderedPageBreak/>
        <w:t>FIGURES</w:t>
      </w:r>
    </w:p>
    <w:p w14:paraId="455F096D" w14:textId="200640B3" w:rsidR="004E6E5C" w:rsidRPr="003B2B49" w:rsidRDefault="004E6E5C" w:rsidP="004E6E5C">
      <w:pPr>
        <w:pStyle w:val="Heading2"/>
      </w:pPr>
      <w:r>
        <w:t>Figure 1.</w:t>
      </w:r>
      <w:r w:rsidRPr="00F67806">
        <w:t xml:space="preserve"> </w:t>
      </w:r>
      <w:r>
        <w:t xml:space="preserve">Partial effect of BMI on transition probabilities and cumulative incidence of revision following a) total knee replacement (TKR) and b) total hip replacement (THR). </w:t>
      </w:r>
    </w:p>
    <w:p w14:paraId="509A1205" w14:textId="6B00DA0D" w:rsidR="004E6E5C" w:rsidRDefault="004E6E5C" w:rsidP="003B2B49">
      <w:pPr>
        <w:pStyle w:val="Heading2"/>
      </w:pPr>
    </w:p>
    <w:p w14:paraId="2B9FD1F9" w14:textId="6F8A5B99" w:rsidR="004E6E5C" w:rsidRPr="002C0622" w:rsidRDefault="004E6E5C" w:rsidP="004E6E5C">
      <w:pPr>
        <w:pStyle w:val="Heading2"/>
      </w:pPr>
      <w:r>
        <w:t>Figure 2.</w:t>
      </w:r>
      <w:r w:rsidRPr="00F67806">
        <w:t xml:space="preserve"> </w:t>
      </w:r>
      <w:r>
        <w:t xml:space="preserve">Partial effect of smoking status on transition probabilities and cumulative incidence of revision following a) total knee replacement (TKR) and b) total hip replacement (THR). </w:t>
      </w:r>
    </w:p>
    <w:p w14:paraId="29691923" w14:textId="77777777" w:rsidR="004E6E5C" w:rsidRDefault="004E6E5C" w:rsidP="003B2B49">
      <w:pPr>
        <w:pStyle w:val="Heading2"/>
      </w:pPr>
    </w:p>
    <w:p w14:paraId="58B17A34" w14:textId="49025D68" w:rsidR="008F2ACC" w:rsidRPr="00D457F1" w:rsidRDefault="008F2ACC" w:rsidP="00D148FF">
      <w:pPr>
        <w:spacing w:line="360" w:lineRule="auto"/>
        <w:rPr>
          <w:rFonts w:asciiTheme="majorHAnsi" w:eastAsiaTheme="majorEastAsia" w:hAnsiTheme="majorHAnsi" w:cstheme="majorBidi"/>
          <w:b/>
          <w:caps/>
          <w:color w:val="000000" w:themeColor="text1"/>
          <w:szCs w:val="32"/>
        </w:rPr>
      </w:pPr>
    </w:p>
    <w:sectPr w:rsidR="008F2ACC" w:rsidRPr="00D457F1" w:rsidSect="00DD20A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B1A78" w14:textId="77777777" w:rsidR="00FA5D4A" w:rsidRDefault="00FA5D4A" w:rsidP="00257250">
      <w:pPr>
        <w:spacing w:after="0" w:line="240" w:lineRule="auto"/>
      </w:pPr>
      <w:r>
        <w:separator/>
      </w:r>
    </w:p>
  </w:endnote>
  <w:endnote w:type="continuationSeparator" w:id="0">
    <w:p w14:paraId="6B65081A" w14:textId="77777777" w:rsidR="00FA5D4A" w:rsidRDefault="00FA5D4A" w:rsidP="0025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CAE1D" w14:textId="77777777" w:rsidR="00FA5D4A" w:rsidRDefault="00FA5D4A" w:rsidP="00257250">
      <w:pPr>
        <w:spacing w:after="0" w:line="240" w:lineRule="auto"/>
      </w:pPr>
      <w:r>
        <w:separator/>
      </w:r>
    </w:p>
  </w:footnote>
  <w:footnote w:type="continuationSeparator" w:id="0">
    <w:p w14:paraId="236C822F" w14:textId="77777777" w:rsidR="00FA5D4A" w:rsidRDefault="00FA5D4A" w:rsidP="00257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65D"/>
    <w:multiLevelType w:val="hybridMultilevel"/>
    <w:tmpl w:val="7916E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D3754"/>
    <w:multiLevelType w:val="hybridMultilevel"/>
    <w:tmpl w:val="BB6225D6"/>
    <w:lvl w:ilvl="0" w:tplc="CDD63B6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C212A"/>
    <w:multiLevelType w:val="hybridMultilevel"/>
    <w:tmpl w:val="372C061A"/>
    <w:lvl w:ilvl="0" w:tplc="011AA5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138F3"/>
    <w:multiLevelType w:val="hybridMultilevel"/>
    <w:tmpl w:val="B9987E58"/>
    <w:lvl w:ilvl="0" w:tplc="125CBF9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E6330"/>
    <w:multiLevelType w:val="hybridMultilevel"/>
    <w:tmpl w:val="3DEAAB3C"/>
    <w:lvl w:ilvl="0" w:tplc="08B20C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B0448"/>
    <w:multiLevelType w:val="hybridMultilevel"/>
    <w:tmpl w:val="82EE6528"/>
    <w:lvl w:ilvl="0" w:tplc="252EB42C">
      <w:numFmt w:val="bullet"/>
      <w:lvlText w:val="-"/>
      <w:lvlJc w:val="left"/>
      <w:pPr>
        <w:ind w:left="720" w:hanging="360"/>
      </w:pPr>
      <w:rPr>
        <w:rFonts w:ascii="Calibri" w:eastAsiaTheme="minorHAnsi"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909AB"/>
    <w:multiLevelType w:val="hybridMultilevel"/>
    <w:tmpl w:val="5D6094C4"/>
    <w:lvl w:ilvl="0" w:tplc="BE1E0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272B1"/>
    <w:multiLevelType w:val="hybridMultilevel"/>
    <w:tmpl w:val="5FEA19A6"/>
    <w:lvl w:ilvl="0" w:tplc="3CF6F6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F6282"/>
    <w:multiLevelType w:val="hybridMultilevel"/>
    <w:tmpl w:val="87BE27AE"/>
    <w:lvl w:ilvl="0" w:tplc="932ECE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B3F7E"/>
    <w:multiLevelType w:val="hybridMultilevel"/>
    <w:tmpl w:val="75BC08B0"/>
    <w:lvl w:ilvl="0" w:tplc="74C2B5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41492"/>
    <w:multiLevelType w:val="hybridMultilevel"/>
    <w:tmpl w:val="BD10BFAC"/>
    <w:lvl w:ilvl="0" w:tplc="785A7E6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A77AD"/>
    <w:multiLevelType w:val="hybridMultilevel"/>
    <w:tmpl w:val="11D0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379C5"/>
    <w:multiLevelType w:val="hybridMultilevel"/>
    <w:tmpl w:val="E0026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51458"/>
    <w:multiLevelType w:val="hybridMultilevel"/>
    <w:tmpl w:val="DEA6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72E1E"/>
    <w:multiLevelType w:val="hybridMultilevel"/>
    <w:tmpl w:val="F72AA928"/>
    <w:lvl w:ilvl="0" w:tplc="3404F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60CEB"/>
    <w:multiLevelType w:val="hybridMultilevel"/>
    <w:tmpl w:val="AFA4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B0EC5"/>
    <w:multiLevelType w:val="hybridMultilevel"/>
    <w:tmpl w:val="2E5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71E56"/>
    <w:multiLevelType w:val="hybridMultilevel"/>
    <w:tmpl w:val="0C848E62"/>
    <w:lvl w:ilvl="0" w:tplc="80DCDAB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20A61"/>
    <w:multiLevelType w:val="hybridMultilevel"/>
    <w:tmpl w:val="0880959C"/>
    <w:lvl w:ilvl="0" w:tplc="80ACB96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1A88"/>
    <w:multiLevelType w:val="hybridMultilevel"/>
    <w:tmpl w:val="15BC25C8"/>
    <w:lvl w:ilvl="0" w:tplc="3404F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56374"/>
    <w:multiLevelType w:val="hybridMultilevel"/>
    <w:tmpl w:val="E38C1764"/>
    <w:lvl w:ilvl="0" w:tplc="E708AD9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6534E"/>
    <w:multiLevelType w:val="hybridMultilevel"/>
    <w:tmpl w:val="5D3E7008"/>
    <w:lvl w:ilvl="0" w:tplc="25FCA354">
      <w:start w:val="2"/>
      <w:numFmt w:val="bullet"/>
      <w:lvlText w:val="-"/>
      <w:lvlJc w:val="left"/>
      <w:pPr>
        <w:ind w:left="720" w:hanging="360"/>
      </w:pPr>
      <w:rPr>
        <w:rFonts w:ascii="Calibri" w:eastAsiaTheme="minorHAnsi"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5719A"/>
    <w:multiLevelType w:val="hybridMultilevel"/>
    <w:tmpl w:val="6EFC26EC"/>
    <w:lvl w:ilvl="0" w:tplc="299A68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01740"/>
    <w:multiLevelType w:val="hybridMultilevel"/>
    <w:tmpl w:val="2A5C7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0E4A5A"/>
    <w:multiLevelType w:val="hybridMultilevel"/>
    <w:tmpl w:val="6DA8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B15A2"/>
    <w:multiLevelType w:val="hybridMultilevel"/>
    <w:tmpl w:val="7AD836B2"/>
    <w:lvl w:ilvl="0" w:tplc="3404F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85362"/>
    <w:multiLevelType w:val="hybridMultilevel"/>
    <w:tmpl w:val="54E0821C"/>
    <w:lvl w:ilvl="0" w:tplc="146A72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024F5"/>
    <w:multiLevelType w:val="hybridMultilevel"/>
    <w:tmpl w:val="796A6200"/>
    <w:lvl w:ilvl="0" w:tplc="77E873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3528C"/>
    <w:multiLevelType w:val="hybridMultilevel"/>
    <w:tmpl w:val="02363F3A"/>
    <w:lvl w:ilvl="0" w:tplc="E708AD9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C19AA"/>
    <w:multiLevelType w:val="hybridMultilevel"/>
    <w:tmpl w:val="556478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0228F6"/>
    <w:multiLevelType w:val="hybridMultilevel"/>
    <w:tmpl w:val="3C9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12A23"/>
    <w:multiLevelType w:val="hybridMultilevel"/>
    <w:tmpl w:val="825EC164"/>
    <w:lvl w:ilvl="0" w:tplc="7A825C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A2D8B"/>
    <w:multiLevelType w:val="hybridMultilevel"/>
    <w:tmpl w:val="1ED07482"/>
    <w:lvl w:ilvl="0" w:tplc="3404F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30DEB"/>
    <w:multiLevelType w:val="hybridMultilevel"/>
    <w:tmpl w:val="0290C822"/>
    <w:lvl w:ilvl="0" w:tplc="56CC2572">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32"/>
  </w:num>
  <w:num w:numId="5">
    <w:abstractNumId w:val="19"/>
  </w:num>
  <w:num w:numId="6">
    <w:abstractNumId w:val="24"/>
  </w:num>
  <w:num w:numId="7">
    <w:abstractNumId w:val="25"/>
  </w:num>
  <w:num w:numId="8">
    <w:abstractNumId w:val="14"/>
  </w:num>
  <w:num w:numId="9">
    <w:abstractNumId w:val="23"/>
  </w:num>
  <w:num w:numId="10">
    <w:abstractNumId w:val="13"/>
  </w:num>
  <w:num w:numId="11">
    <w:abstractNumId w:val="8"/>
  </w:num>
  <w:num w:numId="12">
    <w:abstractNumId w:val="21"/>
  </w:num>
  <w:num w:numId="13">
    <w:abstractNumId w:val="22"/>
  </w:num>
  <w:num w:numId="14">
    <w:abstractNumId w:val="5"/>
  </w:num>
  <w:num w:numId="15">
    <w:abstractNumId w:val="20"/>
  </w:num>
  <w:num w:numId="16">
    <w:abstractNumId w:val="28"/>
  </w:num>
  <w:num w:numId="17">
    <w:abstractNumId w:val="9"/>
  </w:num>
  <w:num w:numId="18">
    <w:abstractNumId w:val="6"/>
  </w:num>
  <w:num w:numId="19">
    <w:abstractNumId w:val="3"/>
  </w:num>
  <w:num w:numId="20">
    <w:abstractNumId w:val="27"/>
  </w:num>
  <w:num w:numId="21">
    <w:abstractNumId w:val="17"/>
  </w:num>
  <w:num w:numId="22">
    <w:abstractNumId w:val="11"/>
  </w:num>
  <w:num w:numId="23">
    <w:abstractNumId w:val="15"/>
  </w:num>
  <w:num w:numId="24">
    <w:abstractNumId w:val="30"/>
  </w:num>
  <w:num w:numId="25">
    <w:abstractNumId w:val="7"/>
  </w:num>
  <w:num w:numId="26">
    <w:abstractNumId w:val="0"/>
  </w:num>
  <w:num w:numId="27">
    <w:abstractNumId w:val="29"/>
  </w:num>
  <w:num w:numId="28">
    <w:abstractNumId w:val="10"/>
  </w:num>
  <w:num w:numId="29">
    <w:abstractNumId w:val="33"/>
  </w:num>
  <w:num w:numId="30">
    <w:abstractNumId w:val="31"/>
  </w:num>
  <w:num w:numId="31">
    <w:abstractNumId w:val="4"/>
  </w:num>
  <w:num w:numId="32">
    <w:abstractNumId w:val="2"/>
  </w:num>
  <w:num w:numId="33">
    <w:abstractNumId w:val="2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A9"/>
    <w:rsid w:val="00000F9A"/>
    <w:rsid w:val="000032C7"/>
    <w:rsid w:val="00003337"/>
    <w:rsid w:val="0000419D"/>
    <w:rsid w:val="000041B2"/>
    <w:rsid w:val="00006854"/>
    <w:rsid w:val="00006A79"/>
    <w:rsid w:val="00012778"/>
    <w:rsid w:val="000156E0"/>
    <w:rsid w:val="00016D4D"/>
    <w:rsid w:val="00020688"/>
    <w:rsid w:val="000206CB"/>
    <w:rsid w:val="00022B9F"/>
    <w:rsid w:val="00024502"/>
    <w:rsid w:val="0002632C"/>
    <w:rsid w:val="00031A95"/>
    <w:rsid w:val="000339EB"/>
    <w:rsid w:val="000400DD"/>
    <w:rsid w:val="0004021E"/>
    <w:rsid w:val="000409E7"/>
    <w:rsid w:val="0004270C"/>
    <w:rsid w:val="00043CEC"/>
    <w:rsid w:val="00043E6A"/>
    <w:rsid w:val="0004608E"/>
    <w:rsid w:val="000467AC"/>
    <w:rsid w:val="00051B18"/>
    <w:rsid w:val="00053AC4"/>
    <w:rsid w:val="00053EBD"/>
    <w:rsid w:val="00056EAA"/>
    <w:rsid w:val="00063E50"/>
    <w:rsid w:val="00064070"/>
    <w:rsid w:val="000703E6"/>
    <w:rsid w:val="0007143A"/>
    <w:rsid w:val="0007236F"/>
    <w:rsid w:val="00074E48"/>
    <w:rsid w:val="00077DFE"/>
    <w:rsid w:val="00084981"/>
    <w:rsid w:val="000A01F0"/>
    <w:rsid w:val="000A312B"/>
    <w:rsid w:val="000B2825"/>
    <w:rsid w:val="000B2C14"/>
    <w:rsid w:val="000B74F1"/>
    <w:rsid w:val="000C24B1"/>
    <w:rsid w:val="000C3E2A"/>
    <w:rsid w:val="000C49FF"/>
    <w:rsid w:val="000D0ABB"/>
    <w:rsid w:val="000D4DD5"/>
    <w:rsid w:val="000D5C10"/>
    <w:rsid w:val="000E29B7"/>
    <w:rsid w:val="000E386D"/>
    <w:rsid w:val="000E74FF"/>
    <w:rsid w:val="000F1BE1"/>
    <w:rsid w:val="000F2591"/>
    <w:rsid w:val="000F5A22"/>
    <w:rsid w:val="001037BF"/>
    <w:rsid w:val="0011075A"/>
    <w:rsid w:val="00114D84"/>
    <w:rsid w:val="0012037E"/>
    <w:rsid w:val="00125003"/>
    <w:rsid w:val="00135FAC"/>
    <w:rsid w:val="001362B2"/>
    <w:rsid w:val="00137671"/>
    <w:rsid w:val="00142CFC"/>
    <w:rsid w:val="001435BF"/>
    <w:rsid w:val="00150953"/>
    <w:rsid w:val="00154E00"/>
    <w:rsid w:val="00161784"/>
    <w:rsid w:val="0016256A"/>
    <w:rsid w:val="0016419B"/>
    <w:rsid w:val="00164B36"/>
    <w:rsid w:val="00164E15"/>
    <w:rsid w:val="00170D87"/>
    <w:rsid w:val="00171DD0"/>
    <w:rsid w:val="00176BD9"/>
    <w:rsid w:val="001802B8"/>
    <w:rsid w:val="00183A96"/>
    <w:rsid w:val="001864C0"/>
    <w:rsid w:val="00187D42"/>
    <w:rsid w:val="00190428"/>
    <w:rsid w:val="001912A3"/>
    <w:rsid w:val="0019308F"/>
    <w:rsid w:val="00193CC3"/>
    <w:rsid w:val="00194074"/>
    <w:rsid w:val="001940C7"/>
    <w:rsid w:val="00194821"/>
    <w:rsid w:val="0019628C"/>
    <w:rsid w:val="00196844"/>
    <w:rsid w:val="00196F5C"/>
    <w:rsid w:val="001972A9"/>
    <w:rsid w:val="001A2471"/>
    <w:rsid w:val="001A3385"/>
    <w:rsid w:val="001A36F3"/>
    <w:rsid w:val="001A3DF6"/>
    <w:rsid w:val="001A7926"/>
    <w:rsid w:val="001B072A"/>
    <w:rsid w:val="001C1A93"/>
    <w:rsid w:val="001C1C3B"/>
    <w:rsid w:val="001C50A7"/>
    <w:rsid w:val="001C542E"/>
    <w:rsid w:val="001D08A2"/>
    <w:rsid w:val="001D1666"/>
    <w:rsid w:val="001D5362"/>
    <w:rsid w:val="001D576C"/>
    <w:rsid w:val="001D7637"/>
    <w:rsid w:val="001E0FD5"/>
    <w:rsid w:val="001E1009"/>
    <w:rsid w:val="001E15FC"/>
    <w:rsid w:val="001E377A"/>
    <w:rsid w:val="001F003E"/>
    <w:rsid w:val="001F2FF3"/>
    <w:rsid w:val="001F65FA"/>
    <w:rsid w:val="0020121F"/>
    <w:rsid w:val="00202288"/>
    <w:rsid w:val="002029A5"/>
    <w:rsid w:val="00210445"/>
    <w:rsid w:val="002113F8"/>
    <w:rsid w:val="00213C65"/>
    <w:rsid w:val="00213CDC"/>
    <w:rsid w:val="00215657"/>
    <w:rsid w:val="002173AD"/>
    <w:rsid w:val="00217C85"/>
    <w:rsid w:val="00224CCF"/>
    <w:rsid w:val="00225AB8"/>
    <w:rsid w:val="002275BF"/>
    <w:rsid w:val="002349C9"/>
    <w:rsid w:val="002356DB"/>
    <w:rsid w:val="00250BCF"/>
    <w:rsid w:val="00253605"/>
    <w:rsid w:val="0025611F"/>
    <w:rsid w:val="00256CC6"/>
    <w:rsid w:val="00257250"/>
    <w:rsid w:val="00257ECB"/>
    <w:rsid w:val="00262B70"/>
    <w:rsid w:val="00263A7A"/>
    <w:rsid w:val="00263E35"/>
    <w:rsid w:val="00264082"/>
    <w:rsid w:val="00264FBB"/>
    <w:rsid w:val="0026565D"/>
    <w:rsid w:val="00265FEC"/>
    <w:rsid w:val="00266F1F"/>
    <w:rsid w:val="00266FCC"/>
    <w:rsid w:val="00270214"/>
    <w:rsid w:val="00271A0E"/>
    <w:rsid w:val="002807C3"/>
    <w:rsid w:val="00281349"/>
    <w:rsid w:val="002816C2"/>
    <w:rsid w:val="00285AD3"/>
    <w:rsid w:val="002862D2"/>
    <w:rsid w:val="00291B9C"/>
    <w:rsid w:val="00291D1B"/>
    <w:rsid w:val="00292B2E"/>
    <w:rsid w:val="002943AC"/>
    <w:rsid w:val="0029596B"/>
    <w:rsid w:val="00295E05"/>
    <w:rsid w:val="002A3480"/>
    <w:rsid w:val="002A3C6B"/>
    <w:rsid w:val="002A67B4"/>
    <w:rsid w:val="002B114B"/>
    <w:rsid w:val="002B72CD"/>
    <w:rsid w:val="002C0622"/>
    <w:rsid w:val="002C1641"/>
    <w:rsid w:val="002C42AA"/>
    <w:rsid w:val="002C71A2"/>
    <w:rsid w:val="002D02D7"/>
    <w:rsid w:val="002D2D64"/>
    <w:rsid w:val="002D40E0"/>
    <w:rsid w:val="002D4B8B"/>
    <w:rsid w:val="002E2E5C"/>
    <w:rsid w:val="002E5698"/>
    <w:rsid w:val="002F6001"/>
    <w:rsid w:val="002F69E6"/>
    <w:rsid w:val="0030131A"/>
    <w:rsid w:val="00301EEC"/>
    <w:rsid w:val="00302F43"/>
    <w:rsid w:val="00304B92"/>
    <w:rsid w:val="00306C1F"/>
    <w:rsid w:val="0030786F"/>
    <w:rsid w:val="00312FE6"/>
    <w:rsid w:val="003134CE"/>
    <w:rsid w:val="00313639"/>
    <w:rsid w:val="00313A36"/>
    <w:rsid w:val="003153ED"/>
    <w:rsid w:val="00316E46"/>
    <w:rsid w:val="00320D0F"/>
    <w:rsid w:val="003241B7"/>
    <w:rsid w:val="00324B50"/>
    <w:rsid w:val="00330106"/>
    <w:rsid w:val="00330294"/>
    <w:rsid w:val="00332648"/>
    <w:rsid w:val="00333655"/>
    <w:rsid w:val="00336099"/>
    <w:rsid w:val="003438AA"/>
    <w:rsid w:val="00346793"/>
    <w:rsid w:val="00353047"/>
    <w:rsid w:val="003555DA"/>
    <w:rsid w:val="00355B88"/>
    <w:rsid w:val="003569C3"/>
    <w:rsid w:val="003612EE"/>
    <w:rsid w:val="003619A5"/>
    <w:rsid w:val="00362FD5"/>
    <w:rsid w:val="00365CA8"/>
    <w:rsid w:val="0037116B"/>
    <w:rsid w:val="0037243A"/>
    <w:rsid w:val="00373ADB"/>
    <w:rsid w:val="0037551F"/>
    <w:rsid w:val="00376695"/>
    <w:rsid w:val="00381034"/>
    <w:rsid w:val="003831A3"/>
    <w:rsid w:val="00391A21"/>
    <w:rsid w:val="00394317"/>
    <w:rsid w:val="00394460"/>
    <w:rsid w:val="00394CDC"/>
    <w:rsid w:val="00395CDC"/>
    <w:rsid w:val="00396E72"/>
    <w:rsid w:val="003A29A8"/>
    <w:rsid w:val="003A4EA5"/>
    <w:rsid w:val="003A4F9F"/>
    <w:rsid w:val="003A52F7"/>
    <w:rsid w:val="003B1F1F"/>
    <w:rsid w:val="003B2B49"/>
    <w:rsid w:val="003B3F10"/>
    <w:rsid w:val="003B6415"/>
    <w:rsid w:val="003B6D60"/>
    <w:rsid w:val="003B7D79"/>
    <w:rsid w:val="003C008F"/>
    <w:rsid w:val="003C0BFB"/>
    <w:rsid w:val="003C0D2B"/>
    <w:rsid w:val="003C467B"/>
    <w:rsid w:val="003D09A6"/>
    <w:rsid w:val="003D1BFC"/>
    <w:rsid w:val="003D619A"/>
    <w:rsid w:val="003E2123"/>
    <w:rsid w:val="003E6610"/>
    <w:rsid w:val="003F2306"/>
    <w:rsid w:val="003F4AF7"/>
    <w:rsid w:val="003F70F0"/>
    <w:rsid w:val="00400538"/>
    <w:rsid w:val="00404701"/>
    <w:rsid w:val="00405CA6"/>
    <w:rsid w:val="00410C6B"/>
    <w:rsid w:val="00413A22"/>
    <w:rsid w:val="0041596C"/>
    <w:rsid w:val="004203E3"/>
    <w:rsid w:val="004216CD"/>
    <w:rsid w:val="00423C69"/>
    <w:rsid w:val="0042426B"/>
    <w:rsid w:val="0042435F"/>
    <w:rsid w:val="00425164"/>
    <w:rsid w:val="004253FC"/>
    <w:rsid w:val="0043077E"/>
    <w:rsid w:val="004332C6"/>
    <w:rsid w:val="00434B2F"/>
    <w:rsid w:val="00436735"/>
    <w:rsid w:val="0044089D"/>
    <w:rsid w:val="0044319A"/>
    <w:rsid w:val="004444BA"/>
    <w:rsid w:val="00445772"/>
    <w:rsid w:val="00446565"/>
    <w:rsid w:val="00450415"/>
    <w:rsid w:val="00452BD3"/>
    <w:rsid w:val="00453286"/>
    <w:rsid w:val="004534E8"/>
    <w:rsid w:val="00455A8F"/>
    <w:rsid w:val="00461BAB"/>
    <w:rsid w:val="00462C5B"/>
    <w:rsid w:val="00472F8B"/>
    <w:rsid w:val="004739DF"/>
    <w:rsid w:val="00480BFE"/>
    <w:rsid w:val="00491A9E"/>
    <w:rsid w:val="00491BD8"/>
    <w:rsid w:val="00491C98"/>
    <w:rsid w:val="00492B23"/>
    <w:rsid w:val="004949D8"/>
    <w:rsid w:val="00495EE0"/>
    <w:rsid w:val="00496FCF"/>
    <w:rsid w:val="00497919"/>
    <w:rsid w:val="004A0DEA"/>
    <w:rsid w:val="004A615A"/>
    <w:rsid w:val="004A7815"/>
    <w:rsid w:val="004B1217"/>
    <w:rsid w:val="004B4935"/>
    <w:rsid w:val="004C022D"/>
    <w:rsid w:val="004C0B8A"/>
    <w:rsid w:val="004C1EAE"/>
    <w:rsid w:val="004C2A8F"/>
    <w:rsid w:val="004D0B11"/>
    <w:rsid w:val="004D2452"/>
    <w:rsid w:val="004D296A"/>
    <w:rsid w:val="004D2EE6"/>
    <w:rsid w:val="004D5B80"/>
    <w:rsid w:val="004D7FD7"/>
    <w:rsid w:val="004E1916"/>
    <w:rsid w:val="004E1A62"/>
    <w:rsid w:val="004E262A"/>
    <w:rsid w:val="004E5F97"/>
    <w:rsid w:val="004E60A9"/>
    <w:rsid w:val="004E619F"/>
    <w:rsid w:val="004E6E5C"/>
    <w:rsid w:val="004F1386"/>
    <w:rsid w:val="004F349B"/>
    <w:rsid w:val="00500639"/>
    <w:rsid w:val="0050262F"/>
    <w:rsid w:val="00506D17"/>
    <w:rsid w:val="00512091"/>
    <w:rsid w:val="00513ED3"/>
    <w:rsid w:val="0052038D"/>
    <w:rsid w:val="005208AE"/>
    <w:rsid w:val="00521228"/>
    <w:rsid w:val="00525181"/>
    <w:rsid w:val="005274EC"/>
    <w:rsid w:val="0053138B"/>
    <w:rsid w:val="005313FB"/>
    <w:rsid w:val="00532176"/>
    <w:rsid w:val="00532FD4"/>
    <w:rsid w:val="0053705C"/>
    <w:rsid w:val="00540FB4"/>
    <w:rsid w:val="00546A5B"/>
    <w:rsid w:val="00551B67"/>
    <w:rsid w:val="005521A5"/>
    <w:rsid w:val="00554028"/>
    <w:rsid w:val="00555E04"/>
    <w:rsid w:val="00556EBB"/>
    <w:rsid w:val="00565B22"/>
    <w:rsid w:val="0056662A"/>
    <w:rsid w:val="00572AC9"/>
    <w:rsid w:val="0057742B"/>
    <w:rsid w:val="0058027C"/>
    <w:rsid w:val="005814AE"/>
    <w:rsid w:val="00581C49"/>
    <w:rsid w:val="00582C72"/>
    <w:rsid w:val="00583939"/>
    <w:rsid w:val="00590842"/>
    <w:rsid w:val="0059119A"/>
    <w:rsid w:val="00591B52"/>
    <w:rsid w:val="005962AC"/>
    <w:rsid w:val="00596AF1"/>
    <w:rsid w:val="00596D46"/>
    <w:rsid w:val="00596FE8"/>
    <w:rsid w:val="005A0448"/>
    <w:rsid w:val="005A0B7C"/>
    <w:rsid w:val="005B3885"/>
    <w:rsid w:val="005B74E2"/>
    <w:rsid w:val="005C02DE"/>
    <w:rsid w:val="005C07B7"/>
    <w:rsid w:val="005C5725"/>
    <w:rsid w:val="005C64CE"/>
    <w:rsid w:val="005C7453"/>
    <w:rsid w:val="005D2063"/>
    <w:rsid w:val="005D3E13"/>
    <w:rsid w:val="005D51AF"/>
    <w:rsid w:val="005E2AF2"/>
    <w:rsid w:val="005E4664"/>
    <w:rsid w:val="005F3C42"/>
    <w:rsid w:val="0060189E"/>
    <w:rsid w:val="0060673B"/>
    <w:rsid w:val="00606D16"/>
    <w:rsid w:val="00606E2D"/>
    <w:rsid w:val="00606E57"/>
    <w:rsid w:val="00607E3A"/>
    <w:rsid w:val="00611C1D"/>
    <w:rsid w:val="00613679"/>
    <w:rsid w:val="0062374B"/>
    <w:rsid w:val="00624E98"/>
    <w:rsid w:val="00625C9C"/>
    <w:rsid w:val="00636BA6"/>
    <w:rsid w:val="00637DAE"/>
    <w:rsid w:val="0064114A"/>
    <w:rsid w:val="00641731"/>
    <w:rsid w:val="00643BCE"/>
    <w:rsid w:val="00646D4C"/>
    <w:rsid w:val="00647056"/>
    <w:rsid w:val="00647C55"/>
    <w:rsid w:val="00647DD4"/>
    <w:rsid w:val="006534C9"/>
    <w:rsid w:val="00654B2A"/>
    <w:rsid w:val="00655C6D"/>
    <w:rsid w:val="00655F4B"/>
    <w:rsid w:val="00656A15"/>
    <w:rsid w:val="00657149"/>
    <w:rsid w:val="00657F0A"/>
    <w:rsid w:val="00662173"/>
    <w:rsid w:val="00664655"/>
    <w:rsid w:val="00667991"/>
    <w:rsid w:val="00672DE0"/>
    <w:rsid w:val="00675A4C"/>
    <w:rsid w:val="00675CC6"/>
    <w:rsid w:val="0067675A"/>
    <w:rsid w:val="00676EF5"/>
    <w:rsid w:val="00677D38"/>
    <w:rsid w:val="00682305"/>
    <w:rsid w:val="00682393"/>
    <w:rsid w:val="00691DE6"/>
    <w:rsid w:val="006A30F6"/>
    <w:rsid w:val="006A59FF"/>
    <w:rsid w:val="006A685F"/>
    <w:rsid w:val="006A7E21"/>
    <w:rsid w:val="006B4F6D"/>
    <w:rsid w:val="006B7F2A"/>
    <w:rsid w:val="006C3631"/>
    <w:rsid w:val="006C6176"/>
    <w:rsid w:val="006D0461"/>
    <w:rsid w:val="006D221A"/>
    <w:rsid w:val="006D272A"/>
    <w:rsid w:val="006D2D65"/>
    <w:rsid w:val="006D4DF8"/>
    <w:rsid w:val="006D59DD"/>
    <w:rsid w:val="006D6E71"/>
    <w:rsid w:val="006E09A6"/>
    <w:rsid w:val="006E0D13"/>
    <w:rsid w:val="006E7363"/>
    <w:rsid w:val="006F637B"/>
    <w:rsid w:val="006F7FBE"/>
    <w:rsid w:val="0070114A"/>
    <w:rsid w:val="00701334"/>
    <w:rsid w:val="0070199B"/>
    <w:rsid w:val="00701B0D"/>
    <w:rsid w:val="00702EC3"/>
    <w:rsid w:val="00704158"/>
    <w:rsid w:val="00713D6E"/>
    <w:rsid w:val="00722C03"/>
    <w:rsid w:val="00724305"/>
    <w:rsid w:val="00727E8C"/>
    <w:rsid w:val="007300CA"/>
    <w:rsid w:val="00730620"/>
    <w:rsid w:val="00730FA8"/>
    <w:rsid w:val="00732207"/>
    <w:rsid w:val="0074022A"/>
    <w:rsid w:val="00744BB6"/>
    <w:rsid w:val="00744D3F"/>
    <w:rsid w:val="00745C12"/>
    <w:rsid w:val="00750849"/>
    <w:rsid w:val="0075692F"/>
    <w:rsid w:val="00756D58"/>
    <w:rsid w:val="00760500"/>
    <w:rsid w:val="00761DC7"/>
    <w:rsid w:val="00762652"/>
    <w:rsid w:val="00762830"/>
    <w:rsid w:val="00763667"/>
    <w:rsid w:val="00763C5A"/>
    <w:rsid w:val="00764F4E"/>
    <w:rsid w:val="0076677C"/>
    <w:rsid w:val="00767D24"/>
    <w:rsid w:val="00773DF4"/>
    <w:rsid w:val="00775C14"/>
    <w:rsid w:val="00776824"/>
    <w:rsid w:val="007778F1"/>
    <w:rsid w:val="00780368"/>
    <w:rsid w:val="00780627"/>
    <w:rsid w:val="0078499F"/>
    <w:rsid w:val="00785C56"/>
    <w:rsid w:val="00787FD8"/>
    <w:rsid w:val="0079137C"/>
    <w:rsid w:val="00791AF1"/>
    <w:rsid w:val="007957F0"/>
    <w:rsid w:val="007A3CFE"/>
    <w:rsid w:val="007A49E4"/>
    <w:rsid w:val="007A549F"/>
    <w:rsid w:val="007A78C3"/>
    <w:rsid w:val="007B1736"/>
    <w:rsid w:val="007B2AFF"/>
    <w:rsid w:val="007B3C12"/>
    <w:rsid w:val="007B5225"/>
    <w:rsid w:val="007B718A"/>
    <w:rsid w:val="007C2EFA"/>
    <w:rsid w:val="007C56FE"/>
    <w:rsid w:val="007D36BE"/>
    <w:rsid w:val="007D3B8A"/>
    <w:rsid w:val="007D7157"/>
    <w:rsid w:val="007E0198"/>
    <w:rsid w:val="007E4BB3"/>
    <w:rsid w:val="007E5CCD"/>
    <w:rsid w:val="007F521B"/>
    <w:rsid w:val="00805F14"/>
    <w:rsid w:val="0081031A"/>
    <w:rsid w:val="00810D22"/>
    <w:rsid w:val="008121DB"/>
    <w:rsid w:val="00822717"/>
    <w:rsid w:val="00823148"/>
    <w:rsid w:val="00830FCC"/>
    <w:rsid w:val="00835C36"/>
    <w:rsid w:val="0084181E"/>
    <w:rsid w:val="00841D26"/>
    <w:rsid w:val="00843415"/>
    <w:rsid w:val="008438D6"/>
    <w:rsid w:val="00845289"/>
    <w:rsid w:val="008477AF"/>
    <w:rsid w:val="008525E7"/>
    <w:rsid w:val="00853758"/>
    <w:rsid w:val="00853B94"/>
    <w:rsid w:val="00854C53"/>
    <w:rsid w:val="00854CC2"/>
    <w:rsid w:val="00855C44"/>
    <w:rsid w:val="00861152"/>
    <w:rsid w:val="00862C35"/>
    <w:rsid w:val="00863B99"/>
    <w:rsid w:val="008700E8"/>
    <w:rsid w:val="00873C6C"/>
    <w:rsid w:val="008765A4"/>
    <w:rsid w:val="008775B2"/>
    <w:rsid w:val="00881383"/>
    <w:rsid w:val="0088172F"/>
    <w:rsid w:val="008844BD"/>
    <w:rsid w:val="00884D83"/>
    <w:rsid w:val="008903E3"/>
    <w:rsid w:val="0089120D"/>
    <w:rsid w:val="008926EE"/>
    <w:rsid w:val="008954A6"/>
    <w:rsid w:val="008A037B"/>
    <w:rsid w:val="008A05B0"/>
    <w:rsid w:val="008A7748"/>
    <w:rsid w:val="008B0AFE"/>
    <w:rsid w:val="008B0C45"/>
    <w:rsid w:val="008B107A"/>
    <w:rsid w:val="008B593B"/>
    <w:rsid w:val="008C0483"/>
    <w:rsid w:val="008C1101"/>
    <w:rsid w:val="008C2DB0"/>
    <w:rsid w:val="008C6B95"/>
    <w:rsid w:val="008C781C"/>
    <w:rsid w:val="008D1412"/>
    <w:rsid w:val="008D5650"/>
    <w:rsid w:val="008D67A4"/>
    <w:rsid w:val="008E0471"/>
    <w:rsid w:val="008E119F"/>
    <w:rsid w:val="008E1FDE"/>
    <w:rsid w:val="008E40F8"/>
    <w:rsid w:val="008F20F1"/>
    <w:rsid w:val="008F2ACC"/>
    <w:rsid w:val="008F5FD1"/>
    <w:rsid w:val="008F70D6"/>
    <w:rsid w:val="009025E4"/>
    <w:rsid w:val="00903934"/>
    <w:rsid w:val="00904D03"/>
    <w:rsid w:val="00907463"/>
    <w:rsid w:val="00907AAA"/>
    <w:rsid w:val="00907BFB"/>
    <w:rsid w:val="00921E25"/>
    <w:rsid w:val="00922D14"/>
    <w:rsid w:val="009253FB"/>
    <w:rsid w:val="0093679F"/>
    <w:rsid w:val="00944483"/>
    <w:rsid w:val="009461E6"/>
    <w:rsid w:val="0094698B"/>
    <w:rsid w:val="00947F50"/>
    <w:rsid w:val="00954704"/>
    <w:rsid w:val="009603DB"/>
    <w:rsid w:val="00961BAA"/>
    <w:rsid w:val="00963656"/>
    <w:rsid w:val="00966536"/>
    <w:rsid w:val="009670B9"/>
    <w:rsid w:val="009676EC"/>
    <w:rsid w:val="00967F1B"/>
    <w:rsid w:val="009706F4"/>
    <w:rsid w:val="00972815"/>
    <w:rsid w:val="00973A5C"/>
    <w:rsid w:val="00974C75"/>
    <w:rsid w:val="00975856"/>
    <w:rsid w:val="0098049D"/>
    <w:rsid w:val="00981BD6"/>
    <w:rsid w:val="0098231C"/>
    <w:rsid w:val="00984F3F"/>
    <w:rsid w:val="009857BE"/>
    <w:rsid w:val="009863F0"/>
    <w:rsid w:val="00992364"/>
    <w:rsid w:val="009A16FA"/>
    <w:rsid w:val="009A1A12"/>
    <w:rsid w:val="009A1B92"/>
    <w:rsid w:val="009A2535"/>
    <w:rsid w:val="009A2821"/>
    <w:rsid w:val="009A4B09"/>
    <w:rsid w:val="009A5F4E"/>
    <w:rsid w:val="009A75C4"/>
    <w:rsid w:val="009B46F8"/>
    <w:rsid w:val="009B4CB5"/>
    <w:rsid w:val="009B536C"/>
    <w:rsid w:val="009B7FB8"/>
    <w:rsid w:val="009C2C7F"/>
    <w:rsid w:val="009C46F0"/>
    <w:rsid w:val="009C674C"/>
    <w:rsid w:val="009C7EE1"/>
    <w:rsid w:val="009D2185"/>
    <w:rsid w:val="009D2BBC"/>
    <w:rsid w:val="009D3575"/>
    <w:rsid w:val="009D4334"/>
    <w:rsid w:val="009D5929"/>
    <w:rsid w:val="009E1966"/>
    <w:rsid w:val="009E20E4"/>
    <w:rsid w:val="009E3B8E"/>
    <w:rsid w:val="009E7BFE"/>
    <w:rsid w:val="009F17B5"/>
    <w:rsid w:val="009F3333"/>
    <w:rsid w:val="009F33B0"/>
    <w:rsid w:val="009F3C33"/>
    <w:rsid w:val="009F3E98"/>
    <w:rsid w:val="009F3F71"/>
    <w:rsid w:val="009F682B"/>
    <w:rsid w:val="009F6D6B"/>
    <w:rsid w:val="00A0142C"/>
    <w:rsid w:val="00A042C5"/>
    <w:rsid w:val="00A04309"/>
    <w:rsid w:val="00A05023"/>
    <w:rsid w:val="00A0542A"/>
    <w:rsid w:val="00A068A6"/>
    <w:rsid w:val="00A06FE9"/>
    <w:rsid w:val="00A15B1B"/>
    <w:rsid w:val="00A162F4"/>
    <w:rsid w:val="00A179AF"/>
    <w:rsid w:val="00A2250B"/>
    <w:rsid w:val="00A25F17"/>
    <w:rsid w:val="00A263E5"/>
    <w:rsid w:val="00A27A51"/>
    <w:rsid w:val="00A3065C"/>
    <w:rsid w:val="00A317FE"/>
    <w:rsid w:val="00A325E9"/>
    <w:rsid w:val="00A327DA"/>
    <w:rsid w:val="00A32B12"/>
    <w:rsid w:val="00A34CF8"/>
    <w:rsid w:val="00A421A7"/>
    <w:rsid w:val="00A4300F"/>
    <w:rsid w:val="00A43C85"/>
    <w:rsid w:val="00A46477"/>
    <w:rsid w:val="00A472E6"/>
    <w:rsid w:val="00A5362C"/>
    <w:rsid w:val="00A55296"/>
    <w:rsid w:val="00A561F9"/>
    <w:rsid w:val="00A56F17"/>
    <w:rsid w:val="00A575AA"/>
    <w:rsid w:val="00A60964"/>
    <w:rsid w:val="00A62756"/>
    <w:rsid w:val="00A732F6"/>
    <w:rsid w:val="00A76BA7"/>
    <w:rsid w:val="00A82926"/>
    <w:rsid w:val="00A83A63"/>
    <w:rsid w:val="00A86FA2"/>
    <w:rsid w:val="00A91CA5"/>
    <w:rsid w:val="00A94743"/>
    <w:rsid w:val="00A95B75"/>
    <w:rsid w:val="00AA3422"/>
    <w:rsid w:val="00AA6521"/>
    <w:rsid w:val="00AB53DD"/>
    <w:rsid w:val="00AB636D"/>
    <w:rsid w:val="00AB6630"/>
    <w:rsid w:val="00AB7CF3"/>
    <w:rsid w:val="00AC05CB"/>
    <w:rsid w:val="00AC0628"/>
    <w:rsid w:val="00AC3E54"/>
    <w:rsid w:val="00AC56AB"/>
    <w:rsid w:val="00AD100B"/>
    <w:rsid w:val="00AD1DDE"/>
    <w:rsid w:val="00AD2945"/>
    <w:rsid w:val="00AD4CC1"/>
    <w:rsid w:val="00AD6FEB"/>
    <w:rsid w:val="00AD75A7"/>
    <w:rsid w:val="00AE068C"/>
    <w:rsid w:val="00AE6EDF"/>
    <w:rsid w:val="00AF02F8"/>
    <w:rsid w:val="00AF0CA7"/>
    <w:rsid w:val="00AF3AEA"/>
    <w:rsid w:val="00AF48FB"/>
    <w:rsid w:val="00AF6BE5"/>
    <w:rsid w:val="00AF79E6"/>
    <w:rsid w:val="00AF7A39"/>
    <w:rsid w:val="00B0383D"/>
    <w:rsid w:val="00B068BB"/>
    <w:rsid w:val="00B107B6"/>
    <w:rsid w:val="00B1324C"/>
    <w:rsid w:val="00B13610"/>
    <w:rsid w:val="00B15C89"/>
    <w:rsid w:val="00B17BFC"/>
    <w:rsid w:val="00B21067"/>
    <w:rsid w:val="00B22C2E"/>
    <w:rsid w:val="00B230AA"/>
    <w:rsid w:val="00B232EE"/>
    <w:rsid w:val="00B2398F"/>
    <w:rsid w:val="00B252A7"/>
    <w:rsid w:val="00B34032"/>
    <w:rsid w:val="00B34976"/>
    <w:rsid w:val="00B376EE"/>
    <w:rsid w:val="00B4162D"/>
    <w:rsid w:val="00B41AD6"/>
    <w:rsid w:val="00B4372D"/>
    <w:rsid w:val="00B43DEA"/>
    <w:rsid w:val="00B44331"/>
    <w:rsid w:val="00B466A8"/>
    <w:rsid w:val="00B52B1D"/>
    <w:rsid w:val="00B52C6E"/>
    <w:rsid w:val="00B60DA2"/>
    <w:rsid w:val="00B6176E"/>
    <w:rsid w:val="00B623A3"/>
    <w:rsid w:val="00B628A7"/>
    <w:rsid w:val="00B64129"/>
    <w:rsid w:val="00B65B6A"/>
    <w:rsid w:val="00B742A7"/>
    <w:rsid w:val="00B7534F"/>
    <w:rsid w:val="00B75BAE"/>
    <w:rsid w:val="00B80A36"/>
    <w:rsid w:val="00B80D15"/>
    <w:rsid w:val="00B8401E"/>
    <w:rsid w:val="00B8733A"/>
    <w:rsid w:val="00B97158"/>
    <w:rsid w:val="00BA124D"/>
    <w:rsid w:val="00BA15EF"/>
    <w:rsid w:val="00BA3643"/>
    <w:rsid w:val="00BA4B1A"/>
    <w:rsid w:val="00BA6791"/>
    <w:rsid w:val="00BA6DC2"/>
    <w:rsid w:val="00BA7811"/>
    <w:rsid w:val="00BC17DE"/>
    <w:rsid w:val="00BC3D8B"/>
    <w:rsid w:val="00BC3ECA"/>
    <w:rsid w:val="00BD0B6A"/>
    <w:rsid w:val="00BD2390"/>
    <w:rsid w:val="00BD30A5"/>
    <w:rsid w:val="00BD5469"/>
    <w:rsid w:val="00BD551A"/>
    <w:rsid w:val="00BD6EFE"/>
    <w:rsid w:val="00BE0775"/>
    <w:rsid w:val="00BE3C93"/>
    <w:rsid w:val="00BE4775"/>
    <w:rsid w:val="00BE7746"/>
    <w:rsid w:val="00BE79D8"/>
    <w:rsid w:val="00BF1B4F"/>
    <w:rsid w:val="00BF4903"/>
    <w:rsid w:val="00BF4D9A"/>
    <w:rsid w:val="00BF67DB"/>
    <w:rsid w:val="00C00E28"/>
    <w:rsid w:val="00C00E9B"/>
    <w:rsid w:val="00C11066"/>
    <w:rsid w:val="00C263D6"/>
    <w:rsid w:val="00C34CAD"/>
    <w:rsid w:val="00C36BB4"/>
    <w:rsid w:val="00C4539B"/>
    <w:rsid w:val="00C50AFA"/>
    <w:rsid w:val="00C57BF2"/>
    <w:rsid w:val="00C61D10"/>
    <w:rsid w:val="00C629EC"/>
    <w:rsid w:val="00C62FCC"/>
    <w:rsid w:val="00C67A10"/>
    <w:rsid w:val="00C70474"/>
    <w:rsid w:val="00C707D4"/>
    <w:rsid w:val="00C71097"/>
    <w:rsid w:val="00C718C5"/>
    <w:rsid w:val="00C73306"/>
    <w:rsid w:val="00C83041"/>
    <w:rsid w:val="00C86B15"/>
    <w:rsid w:val="00C9459D"/>
    <w:rsid w:val="00C97679"/>
    <w:rsid w:val="00CA4BC1"/>
    <w:rsid w:val="00CA6E63"/>
    <w:rsid w:val="00CB7297"/>
    <w:rsid w:val="00CC06F2"/>
    <w:rsid w:val="00CC2F12"/>
    <w:rsid w:val="00CC5126"/>
    <w:rsid w:val="00CC6456"/>
    <w:rsid w:val="00CD416F"/>
    <w:rsid w:val="00CD5228"/>
    <w:rsid w:val="00CD627D"/>
    <w:rsid w:val="00CD7D81"/>
    <w:rsid w:val="00CE6ABD"/>
    <w:rsid w:val="00CE773E"/>
    <w:rsid w:val="00CF077F"/>
    <w:rsid w:val="00CF0F0C"/>
    <w:rsid w:val="00CF6234"/>
    <w:rsid w:val="00CF7592"/>
    <w:rsid w:val="00D01A85"/>
    <w:rsid w:val="00D0238E"/>
    <w:rsid w:val="00D02391"/>
    <w:rsid w:val="00D02D73"/>
    <w:rsid w:val="00D12905"/>
    <w:rsid w:val="00D148FF"/>
    <w:rsid w:val="00D157D0"/>
    <w:rsid w:val="00D17C2F"/>
    <w:rsid w:val="00D2012E"/>
    <w:rsid w:val="00D23898"/>
    <w:rsid w:val="00D23B5D"/>
    <w:rsid w:val="00D249EF"/>
    <w:rsid w:val="00D273B2"/>
    <w:rsid w:val="00D341AB"/>
    <w:rsid w:val="00D35009"/>
    <w:rsid w:val="00D35ED2"/>
    <w:rsid w:val="00D3606A"/>
    <w:rsid w:val="00D37A68"/>
    <w:rsid w:val="00D41E9B"/>
    <w:rsid w:val="00D457F1"/>
    <w:rsid w:val="00D45C70"/>
    <w:rsid w:val="00D52222"/>
    <w:rsid w:val="00D53AEF"/>
    <w:rsid w:val="00D547D6"/>
    <w:rsid w:val="00D5605D"/>
    <w:rsid w:val="00D6430F"/>
    <w:rsid w:val="00D65850"/>
    <w:rsid w:val="00D730AF"/>
    <w:rsid w:val="00D754E5"/>
    <w:rsid w:val="00D7712C"/>
    <w:rsid w:val="00D8258D"/>
    <w:rsid w:val="00D84437"/>
    <w:rsid w:val="00D86753"/>
    <w:rsid w:val="00D90BF2"/>
    <w:rsid w:val="00D940B1"/>
    <w:rsid w:val="00D94B66"/>
    <w:rsid w:val="00DA0612"/>
    <w:rsid w:val="00DA2BD8"/>
    <w:rsid w:val="00DA33E1"/>
    <w:rsid w:val="00DA3FEF"/>
    <w:rsid w:val="00DA6C70"/>
    <w:rsid w:val="00DB4ED0"/>
    <w:rsid w:val="00DC1A2D"/>
    <w:rsid w:val="00DD20A6"/>
    <w:rsid w:val="00DD2E12"/>
    <w:rsid w:val="00DD3064"/>
    <w:rsid w:val="00DD7BA2"/>
    <w:rsid w:val="00DE1CD7"/>
    <w:rsid w:val="00DE1F2A"/>
    <w:rsid w:val="00DE73F2"/>
    <w:rsid w:val="00DF1527"/>
    <w:rsid w:val="00DF152B"/>
    <w:rsid w:val="00DF1698"/>
    <w:rsid w:val="00DF3736"/>
    <w:rsid w:val="00DF4528"/>
    <w:rsid w:val="00E0097A"/>
    <w:rsid w:val="00E02789"/>
    <w:rsid w:val="00E02E66"/>
    <w:rsid w:val="00E052D5"/>
    <w:rsid w:val="00E06B01"/>
    <w:rsid w:val="00E10B0A"/>
    <w:rsid w:val="00E17FB9"/>
    <w:rsid w:val="00E20B5B"/>
    <w:rsid w:val="00E22970"/>
    <w:rsid w:val="00E2357E"/>
    <w:rsid w:val="00E2594C"/>
    <w:rsid w:val="00E25A47"/>
    <w:rsid w:val="00E26FCC"/>
    <w:rsid w:val="00E31382"/>
    <w:rsid w:val="00E32D40"/>
    <w:rsid w:val="00E335E5"/>
    <w:rsid w:val="00E33639"/>
    <w:rsid w:val="00E3526E"/>
    <w:rsid w:val="00E41410"/>
    <w:rsid w:val="00E43A12"/>
    <w:rsid w:val="00E55878"/>
    <w:rsid w:val="00E55DFC"/>
    <w:rsid w:val="00E56D9A"/>
    <w:rsid w:val="00E62833"/>
    <w:rsid w:val="00E62B2B"/>
    <w:rsid w:val="00E637E0"/>
    <w:rsid w:val="00E702B8"/>
    <w:rsid w:val="00E73616"/>
    <w:rsid w:val="00E749E4"/>
    <w:rsid w:val="00E75E37"/>
    <w:rsid w:val="00E76C58"/>
    <w:rsid w:val="00E77022"/>
    <w:rsid w:val="00E77615"/>
    <w:rsid w:val="00E800B2"/>
    <w:rsid w:val="00E83A1A"/>
    <w:rsid w:val="00E8402B"/>
    <w:rsid w:val="00E8779C"/>
    <w:rsid w:val="00E96170"/>
    <w:rsid w:val="00EA241E"/>
    <w:rsid w:val="00EB29FD"/>
    <w:rsid w:val="00EB29FF"/>
    <w:rsid w:val="00EB5420"/>
    <w:rsid w:val="00EB5AB7"/>
    <w:rsid w:val="00EC39F5"/>
    <w:rsid w:val="00EC3C57"/>
    <w:rsid w:val="00EC4B90"/>
    <w:rsid w:val="00ED18A3"/>
    <w:rsid w:val="00ED2DAC"/>
    <w:rsid w:val="00ED4340"/>
    <w:rsid w:val="00ED4FC5"/>
    <w:rsid w:val="00ED6BA9"/>
    <w:rsid w:val="00EE17CD"/>
    <w:rsid w:val="00EE4539"/>
    <w:rsid w:val="00EF0640"/>
    <w:rsid w:val="00EF1810"/>
    <w:rsid w:val="00EF20D4"/>
    <w:rsid w:val="00F0326B"/>
    <w:rsid w:val="00F033BD"/>
    <w:rsid w:val="00F03F7D"/>
    <w:rsid w:val="00F044A0"/>
    <w:rsid w:val="00F05DDD"/>
    <w:rsid w:val="00F06DD7"/>
    <w:rsid w:val="00F14748"/>
    <w:rsid w:val="00F17C4A"/>
    <w:rsid w:val="00F20CE1"/>
    <w:rsid w:val="00F20E38"/>
    <w:rsid w:val="00F228FA"/>
    <w:rsid w:val="00F329FE"/>
    <w:rsid w:val="00F40DB4"/>
    <w:rsid w:val="00F431FF"/>
    <w:rsid w:val="00F432AE"/>
    <w:rsid w:val="00F46159"/>
    <w:rsid w:val="00F47BB5"/>
    <w:rsid w:val="00F510FB"/>
    <w:rsid w:val="00F54394"/>
    <w:rsid w:val="00F55869"/>
    <w:rsid w:val="00F666E5"/>
    <w:rsid w:val="00F67106"/>
    <w:rsid w:val="00F671AA"/>
    <w:rsid w:val="00F67806"/>
    <w:rsid w:val="00F72456"/>
    <w:rsid w:val="00F72935"/>
    <w:rsid w:val="00F831CB"/>
    <w:rsid w:val="00F84EA9"/>
    <w:rsid w:val="00F87E06"/>
    <w:rsid w:val="00F91BE5"/>
    <w:rsid w:val="00F96184"/>
    <w:rsid w:val="00FA0DF1"/>
    <w:rsid w:val="00FA187A"/>
    <w:rsid w:val="00FA1FA9"/>
    <w:rsid w:val="00FA5D4A"/>
    <w:rsid w:val="00FA7E1D"/>
    <w:rsid w:val="00FB2A1D"/>
    <w:rsid w:val="00FB46BD"/>
    <w:rsid w:val="00FB5CE5"/>
    <w:rsid w:val="00FC0A17"/>
    <w:rsid w:val="00FC0DCC"/>
    <w:rsid w:val="00FC12DB"/>
    <w:rsid w:val="00FC1872"/>
    <w:rsid w:val="00FC6379"/>
    <w:rsid w:val="00FD2545"/>
    <w:rsid w:val="00FD2605"/>
    <w:rsid w:val="00FD2EEC"/>
    <w:rsid w:val="00FE0F67"/>
    <w:rsid w:val="00FE500B"/>
    <w:rsid w:val="00FF053F"/>
    <w:rsid w:val="00FF169C"/>
    <w:rsid w:val="00FF72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B7FCF1"/>
  <w15:docId w15:val="{CC13F93D-FC73-4FE9-8A2B-097317B3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736"/>
    <w:pPr>
      <w:keepNext/>
      <w:keepLines/>
      <w:spacing w:before="240" w:after="0"/>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unhideWhenUsed/>
    <w:qFormat/>
    <w:rsid w:val="00DF3736"/>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F3736"/>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791A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91AF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736"/>
    <w:pPr>
      <w:spacing w:after="0" w:line="360" w:lineRule="auto"/>
      <w:contextualSpacing/>
    </w:pPr>
    <w:rPr>
      <w:rFonts w:asciiTheme="majorHAnsi" w:eastAsiaTheme="majorEastAsia" w:hAnsiTheme="majorHAnsi" w:cstheme="majorBidi"/>
      <w:b/>
      <w:caps/>
      <w:spacing w:val="-10"/>
      <w:kern w:val="28"/>
      <w:sz w:val="36"/>
      <w:szCs w:val="56"/>
    </w:rPr>
  </w:style>
  <w:style w:type="character" w:customStyle="1" w:styleId="TitleChar">
    <w:name w:val="Title Char"/>
    <w:basedOn w:val="DefaultParagraphFont"/>
    <w:link w:val="Title"/>
    <w:uiPriority w:val="10"/>
    <w:rsid w:val="00DF3736"/>
    <w:rPr>
      <w:rFonts w:asciiTheme="majorHAnsi" w:eastAsiaTheme="majorEastAsia" w:hAnsiTheme="majorHAnsi" w:cstheme="majorBidi"/>
      <w:b/>
      <w:caps/>
      <w:spacing w:val="-10"/>
      <w:kern w:val="28"/>
      <w:sz w:val="36"/>
      <w:szCs w:val="56"/>
    </w:rPr>
  </w:style>
  <w:style w:type="character" w:customStyle="1" w:styleId="Heading1Char">
    <w:name w:val="Heading 1 Char"/>
    <w:basedOn w:val="DefaultParagraphFont"/>
    <w:link w:val="Heading1"/>
    <w:uiPriority w:val="9"/>
    <w:rsid w:val="00DF3736"/>
    <w:rPr>
      <w:rFonts w:asciiTheme="majorHAnsi" w:eastAsiaTheme="majorEastAsia" w:hAnsiTheme="majorHAnsi" w:cstheme="majorBidi"/>
      <w:b/>
      <w:caps/>
      <w:color w:val="000000" w:themeColor="text1"/>
      <w:szCs w:val="32"/>
    </w:rPr>
  </w:style>
  <w:style w:type="character" w:customStyle="1" w:styleId="Heading2Char">
    <w:name w:val="Heading 2 Char"/>
    <w:basedOn w:val="DefaultParagraphFont"/>
    <w:link w:val="Heading2"/>
    <w:uiPriority w:val="9"/>
    <w:rsid w:val="00DF3736"/>
    <w:rPr>
      <w:rFonts w:eastAsiaTheme="majorEastAsia" w:cstheme="majorBidi"/>
      <w:b/>
      <w:szCs w:val="26"/>
    </w:rPr>
  </w:style>
  <w:style w:type="character" w:customStyle="1" w:styleId="Heading3Char">
    <w:name w:val="Heading 3 Char"/>
    <w:basedOn w:val="DefaultParagraphFont"/>
    <w:link w:val="Heading3"/>
    <w:uiPriority w:val="9"/>
    <w:rsid w:val="00DF3736"/>
    <w:rPr>
      <w:rFonts w:eastAsiaTheme="majorEastAsia" w:cstheme="majorBidi"/>
      <w:szCs w:val="24"/>
    </w:rPr>
  </w:style>
  <w:style w:type="character" w:styleId="CommentReference">
    <w:name w:val="annotation reference"/>
    <w:basedOn w:val="DefaultParagraphFont"/>
    <w:uiPriority w:val="99"/>
    <w:semiHidden/>
    <w:unhideWhenUsed/>
    <w:rsid w:val="009A4B09"/>
    <w:rPr>
      <w:sz w:val="16"/>
      <w:szCs w:val="16"/>
    </w:rPr>
  </w:style>
  <w:style w:type="paragraph" w:styleId="CommentText">
    <w:name w:val="annotation text"/>
    <w:basedOn w:val="Normal"/>
    <w:link w:val="CommentTextChar"/>
    <w:uiPriority w:val="99"/>
    <w:unhideWhenUsed/>
    <w:rsid w:val="009A4B09"/>
    <w:pPr>
      <w:spacing w:line="240" w:lineRule="auto"/>
    </w:pPr>
    <w:rPr>
      <w:sz w:val="20"/>
      <w:szCs w:val="20"/>
    </w:rPr>
  </w:style>
  <w:style w:type="character" w:customStyle="1" w:styleId="CommentTextChar">
    <w:name w:val="Comment Text Char"/>
    <w:basedOn w:val="DefaultParagraphFont"/>
    <w:link w:val="CommentText"/>
    <w:uiPriority w:val="99"/>
    <w:rsid w:val="009A4B09"/>
    <w:rPr>
      <w:sz w:val="20"/>
      <w:szCs w:val="20"/>
    </w:rPr>
  </w:style>
  <w:style w:type="paragraph" w:styleId="BalloonText">
    <w:name w:val="Balloon Text"/>
    <w:basedOn w:val="Normal"/>
    <w:link w:val="BalloonTextChar"/>
    <w:uiPriority w:val="99"/>
    <w:semiHidden/>
    <w:unhideWhenUsed/>
    <w:rsid w:val="009A4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B09"/>
    <w:rPr>
      <w:rFonts w:ascii="Segoe UI" w:hAnsi="Segoe UI" w:cs="Segoe UI"/>
      <w:sz w:val="18"/>
      <w:szCs w:val="18"/>
    </w:rPr>
  </w:style>
  <w:style w:type="paragraph" w:styleId="ListParagraph">
    <w:name w:val="List Paragraph"/>
    <w:basedOn w:val="Normal"/>
    <w:uiPriority w:val="34"/>
    <w:qFormat/>
    <w:rsid w:val="00ED4340"/>
    <w:pPr>
      <w:ind w:left="720"/>
      <w:contextualSpacing/>
    </w:pPr>
  </w:style>
  <w:style w:type="paragraph" w:styleId="NoSpacing">
    <w:name w:val="No Spacing"/>
    <w:uiPriority w:val="1"/>
    <w:qFormat/>
    <w:rsid w:val="00DB4ED0"/>
    <w:pPr>
      <w:spacing w:after="0" w:line="240" w:lineRule="auto"/>
    </w:pPr>
  </w:style>
  <w:style w:type="paragraph" w:styleId="NormalWeb">
    <w:name w:val="Normal (Web)"/>
    <w:basedOn w:val="Normal"/>
    <w:uiPriority w:val="99"/>
    <w:semiHidden/>
    <w:unhideWhenUsed/>
    <w:rsid w:val="003D09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791AF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91AF1"/>
    <w:rPr>
      <w:rFonts w:asciiTheme="majorHAnsi" w:eastAsiaTheme="majorEastAsia" w:hAnsiTheme="majorHAnsi" w:cstheme="majorBidi"/>
      <w:color w:val="2E74B5" w:themeColor="accent1" w:themeShade="BF"/>
    </w:rPr>
  </w:style>
  <w:style w:type="paragraph" w:styleId="CommentSubject">
    <w:name w:val="annotation subject"/>
    <w:basedOn w:val="CommentText"/>
    <w:next w:val="CommentText"/>
    <w:link w:val="CommentSubjectChar"/>
    <w:uiPriority w:val="99"/>
    <w:semiHidden/>
    <w:unhideWhenUsed/>
    <w:rsid w:val="00395CDC"/>
    <w:rPr>
      <w:b/>
      <w:bCs/>
    </w:rPr>
  </w:style>
  <w:style w:type="character" w:customStyle="1" w:styleId="CommentSubjectChar">
    <w:name w:val="Comment Subject Char"/>
    <w:basedOn w:val="CommentTextChar"/>
    <w:link w:val="CommentSubject"/>
    <w:uiPriority w:val="99"/>
    <w:semiHidden/>
    <w:rsid w:val="00395CDC"/>
    <w:rPr>
      <w:b/>
      <w:bCs/>
      <w:sz w:val="20"/>
      <w:szCs w:val="20"/>
    </w:rPr>
  </w:style>
  <w:style w:type="character" w:customStyle="1" w:styleId="apple-converted-space">
    <w:name w:val="apple-converted-space"/>
    <w:basedOn w:val="DefaultParagraphFont"/>
    <w:rsid w:val="00A042C5"/>
  </w:style>
  <w:style w:type="character" w:styleId="HTMLCode">
    <w:name w:val="HTML Code"/>
    <w:basedOn w:val="DefaultParagraphFont"/>
    <w:uiPriority w:val="99"/>
    <w:semiHidden/>
    <w:unhideWhenUsed/>
    <w:rsid w:val="00A042C5"/>
    <w:rPr>
      <w:rFonts w:ascii="Courier New" w:eastAsia="Times New Roman" w:hAnsi="Courier New" w:cs="Courier New"/>
      <w:sz w:val="20"/>
      <w:szCs w:val="20"/>
    </w:rPr>
  </w:style>
  <w:style w:type="character" w:styleId="Hyperlink">
    <w:name w:val="Hyperlink"/>
    <w:basedOn w:val="DefaultParagraphFont"/>
    <w:uiPriority w:val="99"/>
    <w:unhideWhenUsed/>
    <w:rsid w:val="00E76C58"/>
    <w:rPr>
      <w:color w:val="0563C1" w:themeColor="hyperlink"/>
      <w:u w:val="single"/>
    </w:rPr>
  </w:style>
  <w:style w:type="character" w:customStyle="1" w:styleId="UnresolvedMention1">
    <w:name w:val="Unresolved Mention1"/>
    <w:basedOn w:val="DefaultParagraphFont"/>
    <w:uiPriority w:val="99"/>
    <w:semiHidden/>
    <w:unhideWhenUsed/>
    <w:rsid w:val="00E76C58"/>
    <w:rPr>
      <w:color w:val="808080"/>
      <w:shd w:val="clear" w:color="auto" w:fill="E6E6E6"/>
    </w:rPr>
  </w:style>
  <w:style w:type="table" w:styleId="TableGrid">
    <w:name w:val="Table Grid"/>
    <w:basedOn w:val="TableNormal"/>
    <w:uiPriority w:val="39"/>
    <w:rsid w:val="00BF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A6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67B4"/>
    <w:rPr>
      <w:rFonts w:ascii="Courier New" w:eastAsia="Times New Roman" w:hAnsi="Courier New" w:cs="Courier New"/>
      <w:sz w:val="20"/>
      <w:szCs w:val="20"/>
      <w:lang w:eastAsia="en-GB"/>
    </w:rPr>
  </w:style>
  <w:style w:type="paragraph" w:customStyle="1" w:styleId="desc">
    <w:name w:val="desc"/>
    <w:basedOn w:val="Normal"/>
    <w:rsid w:val="0025725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tails">
    <w:name w:val="details"/>
    <w:basedOn w:val="Normal"/>
    <w:rsid w:val="0025725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jrnl">
    <w:name w:val="jrnl"/>
    <w:basedOn w:val="DefaultParagraphFont"/>
    <w:rsid w:val="00257250"/>
  </w:style>
  <w:style w:type="paragraph" w:styleId="Header">
    <w:name w:val="header"/>
    <w:basedOn w:val="Normal"/>
    <w:link w:val="HeaderChar"/>
    <w:uiPriority w:val="99"/>
    <w:unhideWhenUsed/>
    <w:rsid w:val="00257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250"/>
  </w:style>
  <w:style w:type="paragraph" w:styleId="Footer">
    <w:name w:val="footer"/>
    <w:basedOn w:val="Normal"/>
    <w:link w:val="FooterChar"/>
    <w:uiPriority w:val="99"/>
    <w:unhideWhenUsed/>
    <w:rsid w:val="00257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250"/>
  </w:style>
  <w:style w:type="paragraph" w:styleId="Revision">
    <w:name w:val="Revision"/>
    <w:hidden/>
    <w:uiPriority w:val="99"/>
    <w:semiHidden/>
    <w:rsid w:val="003F70F0"/>
    <w:pPr>
      <w:spacing w:after="0" w:line="240" w:lineRule="auto"/>
    </w:pPr>
  </w:style>
  <w:style w:type="character" w:styleId="LineNumber">
    <w:name w:val="line number"/>
    <w:basedOn w:val="DefaultParagraphFont"/>
    <w:uiPriority w:val="99"/>
    <w:semiHidden/>
    <w:unhideWhenUsed/>
    <w:rsid w:val="00DD20A6"/>
  </w:style>
  <w:style w:type="character" w:customStyle="1" w:styleId="UnresolvedMention">
    <w:name w:val="Unresolved Mention"/>
    <w:basedOn w:val="DefaultParagraphFont"/>
    <w:uiPriority w:val="99"/>
    <w:semiHidden/>
    <w:unhideWhenUsed/>
    <w:rsid w:val="0025611F"/>
    <w:rPr>
      <w:color w:val="605E5C"/>
      <w:shd w:val="clear" w:color="auto" w:fill="E1DFDD"/>
    </w:rPr>
  </w:style>
  <w:style w:type="character" w:styleId="Strong">
    <w:name w:val="Strong"/>
    <w:basedOn w:val="DefaultParagraphFont"/>
    <w:uiPriority w:val="22"/>
    <w:qFormat/>
    <w:rsid w:val="00A327DA"/>
    <w:rPr>
      <w:b/>
      <w:bCs/>
    </w:rPr>
  </w:style>
  <w:style w:type="character" w:customStyle="1" w:styleId="gnkrckgcgsb">
    <w:name w:val="gnkrckgcgsb"/>
    <w:basedOn w:val="DefaultParagraphFont"/>
    <w:rsid w:val="009A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0944">
      <w:bodyDiv w:val="1"/>
      <w:marLeft w:val="0"/>
      <w:marRight w:val="0"/>
      <w:marTop w:val="0"/>
      <w:marBottom w:val="0"/>
      <w:divBdr>
        <w:top w:val="none" w:sz="0" w:space="0" w:color="auto"/>
        <w:left w:val="none" w:sz="0" w:space="0" w:color="auto"/>
        <w:bottom w:val="none" w:sz="0" w:space="0" w:color="auto"/>
        <w:right w:val="none" w:sz="0" w:space="0" w:color="auto"/>
      </w:divBdr>
    </w:div>
    <w:div w:id="62264212">
      <w:bodyDiv w:val="1"/>
      <w:marLeft w:val="0"/>
      <w:marRight w:val="0"/>
      <w:marTop w:val="0"/>
      <w:marBottom w:val="0"/>
      <w:divBdr>
        <w:top w:val="none" w:sz="0" w:space="0" w:color="auto"/>
        <w:left w:val="none" w:sz="0" w:space="0" w:color="auto"/>
        <w:bottom w:val="none" w:sz="0" w:space="0" w:color="auto"/>
        <w:right w:val="none" w:sz="0" w:space="0" w:color="auto"/>
      </w:divBdr>
    </w:div>
    <w:div w:id="148639708">
      <w:bodyDiv w:val="1"/>
      <w:marLeft w:val="0"/>
      <w:marRight w:val="0"/>
      <w:marTop w:val="0"/>
      <w:marBottom w:val="0"/>
      <w:divBdr>
        <w:top w:val="none" w:sz="0" w:space="0" w:color="auto"/>
        <w:left w:val="none" w:sz="0" w:space="0" w:color="auto"/>
        <w:bottom w:val="none" w:sz="0" w:space="0" w:color="auto"/>
        <w:right w:val="none" w:sz="0" w:space="0" w:color="auto"/>
      </w:divBdr>
    </w:div>
    <w:div w:id="152307217">
      <w:bodyDiv w:val="1"/>
      <w:marLeft w:val="0"/>
      <w:marRight w:val="0"/>
      <w:marTop w:val="0"/>
      <w:marBottom w:val="0"/>
      <w:divBdr>
        <w:top w:val="none" w:sz="0" w:space="0" w:color="auto"/>
        <w:left w:val="none" w:sz="0" w:space="0" w:color="auto"/>
        <w:bottom w:val="none" w:sz="0" w:space="0" w:color="auto"/>
        <w:right w:val="none" w:sz="0" w:space="0" w:color="auto"/>
      </w:divBdr>
    </w:div>
    <w:div w:id="156118463">
      <w:bodyDiv w:val="1"/>
      <w:marLeft w:val="0"/>
      <w:marRight w:val="0"/>
      <w:marTop w:val="0"/>
      <w:marBottom w:val="0"/>
      <w:divBdr>
        <w:top w:val="none" w:sz="0" w:space="0" w:color="auto"/>
        <w:left w:val="none" w:sz="0" w:space="0" w:color="auto"/>
        <w:bottom w:val="none" w:sz="0" w:space="0" w:color="auto"/>
        <w:right w:val="none" w:sz="0" w:space="0" w:color="auto"/>
      </w:divBdr>
    </w:div>
    <w:div w:id="171918547">
      <w:bodyDiv w:val="1"/>
      <w:marLeft w:val="0"/>
      <w:marRight w:val="0"/>
      <w:marTop w:val="0"/>
      <w:marBottom w:val="0"/>
      <w:divBdr>
        <w:top w:val="none" w:sz="0" w:space="0" w:color="auto"/>
        <w:left w:val="none" w:sz="0" w:space="0" w:color="auto"/>
        <w:bottom w:val="none" w:sz="0" w:space="0" w:color="auto"/>
        <w:right w:val="none" w:sz="0" w:space="0" w:color="auto"/>
      </w:divBdr>
    </w:div>
    <w:div w:id="184639131">
      <w:bodyDiv w:val="1"/>
      <w:marLeft w:val="0"/>
      <w:marRight w:val="0"/>
      <w:marTop w:val="0"/>
      <w:marBottom w:val="0"/>
      <w:divBdr>
        <w:top w:val="none" w:sz="0" w:space="0" w:color="auto"/>
        <w:left w:val="none" w:sz="0" w:space="0" w:color="auto"/>
        <w:bottom w:val="none" w:sz="0" w:space="0" w:color="auto"/>
        <w:right w:val="none" w:sz="0" w:space="0" w:color="auto"/>
      </w:divBdr>
    </w:div>
    <w:div w:id="192688950">
      <w:bodyDiv w:val="1"/>
      <w:marLeft w:val="0"/>
      <w:marRight w:val="0"/>
      <w:marTop w:val="0"/>
      <w:marBottom w:val="0"/>
      <w:divBdr>
        <w:top w:val="none" w:sz="0" w:space="0" w:color="auto"/>
        <w:left w:val="none" w:sz="0" w:space="0" w:color="auto"/>
        <w:bottom w:val="none" w:sz="0" w:space="0" w:color="auto"/>
        <w:right w:val="none" w:sz="0" w:space="0" w:color="auto"/>
      </w:divBdr>
    </w:div>
    <w:div w:id="197936796">
      <w:bodyDiv w:val="1"/>
      <w:marLeft w:val="0"/>
      <w:marRight w:val="0"/>
      <w:marTop w:val="0"/>
      <w:marBottom w:val="0"/>
      <w:divBdr>
        <w:top w:val="none" w:sz="0" w:space="0" w:color="auto"/>
        <w:left w:val="none" w:sz="0" w:space="0" w:color="auto"/>
        <w:bottom w:val="none" w:sz="0" w:space="0" w:color="auto"/>
        <w:right w:val="none" w:sz="0" w:space="0" w:color="auto"/>
      </w:divBdr>
    </w:div>
    <w:div w:id="259876012">
      <w:bodyDiv w:val="1"/>
      <w:marLeft w:val="0"/>
      <w:marRight w:val="0"/>
      <w:marTop w:val="0"/>
      <w:marBottom w:val="0"/>
      <w:divBdr>
        <w:top w:val="none" w:sz="0" w:space="0" w:color="auto"/>
        <w:left w:val="none" w:sz="0" w:space="0" w:color="auto"/>
        <w:bottom w:val="none" w:sz="0" w:space="0" w:color="auto"/>
        <w:right w:val="none" w:sz="0" w:space="0" w:color="auto"/>
      </w:divBdr>
    </w:div>
    <w:div w:id="330257603">
      <w:bodyDiv w:val="1"/>
      <w:marLeft w:val="0"/>
      <w:marRight w:val="0"/>
      <w:marTop w:val="0"/>
      <w:marBottom w:val="0"/>
      <w:divBdr>
        <w:top w:val="none" w:sz="0" w:space="0" w:color="auto"/>
        <w:left w:val="none" w:sz="0" w:space="0" w:color="auto"/>
        <w:bottom w:val="none" w:sz="0" w:space="0" w:color="auto"/>
        <w:right w:val="none" w:sz="0" w:space="0" w:color="auto"/>
      </w:divBdr>
    </w:div>
    <w:div w:id="395782991">
      <w:bodyDiv w:val="1"/>
      <w:marLeft w:val="0"/>
      <w:marRight w:val="0"/>
      <w:marTop w:val="0"/>
      <w:marBottom w:val="0"/>
      <w:divBdr>
        <w:top w:val="none" w:sz="0" w:space="0" w:color="auto"/>
        <w:left w:val="none" w:sz="0" w:space="0" w:color="auto"/>
        <w:bottom w:val="none" w:sz="0" w:space="0" w:color="auto"/>
        <w:right w:val="none" w:sz="0" w:space="0" w:color="auto"/>
      </w:divBdr>
    </w:div>
    <w:div w:id="397704875">
      <w:bodyDiv w:val="1"/>
      <w:marLeft w:val="0"/>
      <w:marRight w:val="0"/>
      <w:marTop w:val="0"/>
      <w:marBottom w:val="0"/>
      <w:divBdr>
        <w:top w:val="none" w:sz="0" w:space="0" w:color="auto"/>
        <w:left w:val="none" w:sz="0" w:space="0" w:color="auto"/>
        <w:bottom w:val="none" w:sz="0" w:space="0" w:color="auto"/>
        <w:right w:val="none" w:sz="0" w:space="0" w:color="auto"/>
      </w:divBdr>
    </w:div>
    <w:div w:id="412818442">
      <w:bodyDiv w:val="1"/>
      <w:marLeft w:val="0"/>
      <w:marRight w:val="0"/>
      <w:marTop w:val="0"/>
      <w:marBottom w:val="0"/>
      <w:divBdr>
        <w:top w:val="none" w:sz="0" w:space="0" w:color="auto"/>
        <w:left w:val="none" w:sz="0" w:space="0" w:color="auto"/>
        <w:bottom w:val="none" w:sz="0" w:space="0" w:color="auto"/>
        <w:right w:val="none" w:sz="0" w:space="0" w:color="auto"/>
      </w:divBdr>
    </w:div>
    <w:div w:id="463500849">
      <w:bodyDiv w:val="1"/>
      <w:marLeft w:val="0"/>
      <w:marRight w:val="0"/>
      <w:marTop w:val="0"/>
      <w:marBottom w:val="0"/>
      <w:divBdr>
        <w:top w:val="none" w:sz="0" w:space="0" w:color="auto"/>
        <w:left w:val="none" w:sz="0" w:space="0" w:color="auto"/>
        <w:bottom w:val="none" w:sz="0" w:space="0" w:color="auto"/>
        <w:right w:val="none" w:sz="0" w:space="0" w:color="auto"/>
      </w:divBdr>
    </w:div>
    <w:div w:id="484005154">
      <w:bodyDiv w:val="1"/>
      <w:marLeft w:val="0"/>
      <w:marRight w:val="0"/>
      <w:marTop w:val="0"/>
      <w:marBottom w:val="0"/>
      <w:divBdr>
        <w:top w:val="none" w:sz="0" w:space="0" w:color="auto"/>
        <w:left w:val="none" w:sz="0" w:space="0" w:color="auto"/>
        <w:bottom w:val="none" w:sz="0" w:space="0" w:color="auto"/>
        <w:right w:val="none" w:sz="0" w:space="0" w:color="auto"/>
      </w:divBdr>
    </w:div>
    <w:div w:id="530611052">
      <w:bodyDiv w:val="1"/>
      <w:marLeft w:val="0"/>
      <w:marRight w:val="0"/>
      <w:marTop w:val="0"/>
      <w:marBottom w:val="0"/>
      <w:divBdr>
        <w:top w:val="none" w:sz="0" w:space="0" w:color="auto"/>
        <w:left w:val="none" w:sz="0" w:space="0" w:color="auto"/>
        <w:bottom w:val="none" w:sz="0" w:space="0" w:color="auto"/>
        <w:right w:val="none" w:sz="0" w:space="0" w:color="auto"/>
      </w:divBdr>
    </w:div>
    <w:div w:id="578445130">
      <w:bodyDiv w:val="1"/>
      <w:marLeft w:val="0"/>
      <w:marRight w:val="0"/>
      <w:marTop w:val="0"/>
      <w:marBottom w:val="0"/>
      <w:divBdr>
        <w:top w:val="none" w:sz="0" w:space="0" w:color="auto"/>
        <w:left w:val="none" w:sz="0" w:space="0" w:color="auto"/>
        <w:bottom w:val="none" w:sz="0" w:space="0" w:color="auto"/>
        <w:right w:val="none" w:sz="0" w:space="0" w:color="auto"/>
      </w:divBdr>
    </w:div>
    <w:div w:id="586111064">
      <w:bodyDiv w:val="1"/>
      <w:marLeft w:val="0"/>
      <w:marRight w:val="0"/>
      <w:marTop w:val="0"/>
      <w:marBottom w:val="0"/>
      <w:divBdr>
        <w:top w:val="none" w:sz="0" w:space="0" w:color="auto"/>
        <w:left w:val="none" w:sz="0" w:space="0" w:color="auto"/>
        <w:bottom w:val="none" w:sz="0" w:space="0" w:color="auto"/>
        <w:right w:val="none" w:sz="0" w:space="0" w:color="auto"/>
      </w:divBdr>
      <w:divsChild>
        <w:div w:id="1710378961">
          <w:marLeft w:val="0"/>
          <w:marRight w:val="0"/>
          <w:marTop w:val="0"/>
          <w:marBottom w:val="0"/>
          <w:divBdr>
            <w:top w:val="none" w:sz="0" w:space="0" w:color="auto"/>
            <w:left w:val="none" w:sz="0" w:space="0" w:color="auto"/>
            <w:bottom w:val="none" w:sz="0" w:space="0" w:color="auto"/>
            <w:right w:val="none" w:sz="0" w:space="0" w:color="auto"/>
          </w:divBdr>
        </w:div>
        <w:div w:id="654996167">
          <w:marLeft w:val="0"/>
          <w:marRight w:val="0"/>
          <w:marTop w:val="0"/>
          <w:marBottom w:val="0"/>
          <w:divBdr>
            <w:top w:val="none" w:sz="0" w:space="0" w:color="auto"/>
            <w:left w:val="none" w:sz="0" w:space="0" w:color="auto"/>
            <w:bottom w:val="none" w:sz="0" w:space="0" w:color="auto"/>
            <w:right w:val="none" w:sz="0" w:space="0" w:color="auto"/>
          </w:divBdr>
        </w:div>
        <w:div w:id="1857575529">
          <w:marLeft w:val="0"/>
          <w:marRight w:val="0"/>
          <w:marTop w:val="0"/>
          <w:marBottom w:val="0"/>
          <w:divBdr>
            <w:top w:val="none" w:sz="0" w:space="0" w:color="auto"/>
            <w:left w:val="none" w:sz="0" w:space="0" w:color="auto"/>
            <w:bottom w:val="none" w:sz="0" w:space="0" w:color="auto"/>
            <w:right w:val="none" w:sz="0" w:space="0" w:color="auto"/>
          </w:divBdr>
        </w:div>
        <w:div w:id="269555310">
          <w:marLeft w:val="0"/>
          <w:marRight w:val="0"/>
          <w:marTop w:val="0"/>
          <w:marBottom w:val="0"/>
          <w:divBdr>
            <w:top w:val="none" w:sz="0" w:space="0" w:color="auto"/>
            <w:left w:val="none" w:sz="0" w:space="0" w:color="auto"/>
            <w:bottom w:val="none" w:sz="0" w:space="0" w:color="auto"/>
            <w:right w:val="none" w:sz="0" w:space="0" w:color="auto"/>
          </w:divBdr>
        </w:div>
        <w:div w:id="1974363352">
          <w:marLeft w:val="0"/>
          <w:marRight w:val="0"/>
          <w:marTop w:val="0"/>
          <w:marBottom w:val="0"/>
          <w:divBdr>
            <w:top w:val="none" w:sz="0" w:space="0" w:color="auto"/>
            <w:left w:val="none" w:sz="0" w:space="0" w:color="auto"/>
            <w:bottom w:val="none" w:sz="0" w:space="0" w:color="auto"/>
            <w:right w:val="none" w:sz="0" w:space="0" w:color="auto"/>
          </w:divBdr>
        </w:div>
        <w:div w:id="1403870771">
          <w:marLeft w:val="0"/>
          <w:marRight w:val="0"/>
          <w:marTop w:val="0"/>
          <w:marBottom w:val="0"/>
          <w:divBdr>
            <w:top w:val="none" w:sz="0" w:space="0" w:color="auto"/>
            <w:left w:val="none" w:sz="0" w:space="0" w:color="auto"/>
            <w:bottom w:val="none" w:sz="0" w:space="0" w:color="auto"/>
            <w:right w:val="none" w:sz="0" w:space="0" w:color="auto"/>
          </w:divBdr>
        </w:div>
        <w:div w:id="1585871678">
          <w:marLeft w:val="0"/>
          <w:marRight w:val="0"/>
          <w:marTop w:val="0"/>
          <w:marBottom w:val="0"/>
          <w:divBdr>
            <w:top w:val="none" w:sz="0" w:space="0" w:color="auto"/>
            <w:left w:val="none" w:sz="0" w:space="0" w:color="auto"/>
            <w:bottom w:val="none" w:sz="0" w:space="0" w:color="auto"/>
            <w:right w:val="none" w:sz="0" w:space="0" w:color="auto"/>
          </w:divBdr>
        </w:div>
        <w:div w:id="552817480">
          <w:marLeft w:val="0"/>
          <w:marRight w:val="0"/>
          <w:marTop w:val="0"/>
          <w:marBottom w:val="0"/>
          <w:divBdr>
            <w:top w:val="none" w:sz="0" w:space="0" w:color="auto"/>
            <w:left w:val="none" w:sz="0" w:space="0" w:color="auto"/>
            <w:bottom w:val="none" w:sz="0" w:space="0" w:color="auto"/>
            <w:right w:val="none" w:sz="0" w:space="0" w:color="auto"/>
          </w:divBdr>
        </w:div>
      </w:divsChild>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52682026">
      <w:bodyDiv w:val="1"/>
      <w:marLeft w:val="0"/>
      <w:marRight w:val="0"/>
      <w:marTop w:val="0"/>
      <w:marBottom w:val="0"/>
      <w:divBdr>
        <w:top w:val="none" w:sz="0" w:space="0" w:color="auto"/>
        <w:left w:val="none" w:sz="0" w:space="0" w:color="auto"/>
        <w:bottom w:val="none" w:sz="0" w:space="0" w:color="auto"/>
        <w:right w:val="none" w:sz="0" w:space="0" w:color="auto"/>
      </w:divBdr>
    </w:div>
    <w:div w:id="653069284">
      <w:bodyDiv w:val="1"/>
      <w:marLeft w:val="0"/>
      <w:marRight w:val="0"/>
      <w:marTop w:val="0"/>
      <w:marBottom w:val="0"/>
      <w:divBdr>
        <w:top w:val="none" w:sz="0" w:space="0" w:color="auto"/>
        <w:left w:val="none" w:sz="0" w:space="0" w:color="auto"/>
        <w:bottom w:val="none" w:sz="0" w:space="0" w:color="auto"/>
        <w:right w:val="none" w:sz="0" w:space="0" w:color="auto"/>
      </w:divBdr>
    </w:div>
    <w:div w:id="723988865">
      <w:bodyDiv w:val="1"/>
      <w:marLeft w:val="0"/>
      <w:marRight w:val="0"/>
      <w:marTop w:val="0"/>
      <w:marBottom w:val="0"/>
      <w:divBdr>
        <w:top w:val="none" w:sz="0" w:space="0" w:color="auto"/>
        <w:left w:val="none" w:sz="0" w:space="0" w:color="auto"/>
        <w:bottom w:val="none" w:sz="0" w:space="0" w:color="auto"/>
        <w:right w:val="none" w:sz="0" w:space="0" w:color="auto"/>
      </w:divBdr>
    </w:div>
    <w:div w:id="765269594">
      <w:bodyDiv w:val="1"/>
      <w:marLeft w:val="0"/>
      <w:marRight w:val="0"/>
      <w:marTop w:val="0"/>
      <w:marBottom w:val="0"/>
      <w:divBdr>
        <w:top w:val="none" w:sz="0" w:space="0" w:color="auto"/>
        <w:left w:val="none" w:sz="0" w:space="0" w:color="auto"/>
        <w:bottom w:val="none" w:sz="0" w:space="0" w:color="auto"/>
        <w:right w:val="none" w:sz="0" w:space="0" w:color="auto"/>
      </w:divBdr>
    </w:div>
    <w:div w:id="765734504">
      <w:bodyDiv w:val="1"/>
      <w:marLeft w:val="0"/>
      <w:marRight w:val="0"/>
      <w:marTop w:val="0"/>
      <w:marBottom w:val="0"/>
      <w:divBdr>
        <w:top w:val="none" w:sz="0" w:space="0" w:color="auto"/>
        <w:left w:val="none" w:sz="0" w:space="0" w:color="auto"/>
        <w:bottom w:val="none" w:sz="0" w:space="0" w:color="auto"/>
        <w:right w:val="none" w:sz="0" w:space="0" w:color="auto"/>
      </w:divBdr>
    </w:div>
    <w:div w:id="802649770">
      <w:bodyDiv w:val="1"/>
      <w:marLeft w:val="0"/>
      <w:marRight w:val="0"/>
      <w:marTop w:val="0"/>
      <w:marBottom w:val="0"/>
      <w:divBdr>
        <w:top w:val="none" w:sz="0" w:space="0" w:color="auto"/>
        <w:left w:val="none" w:sz="0" w:space="0" w:color="auto"/>
        <w:bottom w:val="none" w:sz="0" w:space="0" w:color="auto"/>
        <w:right w:val="none" w:sz="0" w:space="0" w:color="auto"/>
      </w:divBdr>
    </w:div>
    <w:div w:id="821041355">
      <w:bodyDiv w:val="1"/>
      <w:marLeft w:val="0"/>
      <w:marRight w:val="0"/>
      <w:marTop w:val="0"/>
      <w:marBottom w:val="0"/>
      <w:divBdr>
        <w:top w:val="none" w:sz="0" w:space="0" w:color="auto"/>
        <w:left w:val="none" w:sz="0" w:space="0" w:color="auto"/>
        <w:bottom w:val="none" w:sz="0" w:space="0" w:color="auto"/>
        <w:right w:val="none" w:sz="0" w:space="0" w:color="auto"/>
      </w:divBdr>
    </w:div>
    <w:div w:id="842013850">
      <w:bodyDiv w:val="1"/>
      <w:marLeft w:val="0"/>
      <w:marRight w:val="0"/>
      <w:marTop w:val="0"/>
      <w:marBottom w:val="0"/>
      <w:divBdr>
        <w:top w:val="none" w:sz="0" w:space="0" w:color="auto"/>
        <w:left w:val="none" w:sz="0" w:space="0" w:color="auto"/>
        <w:bottom w:val="none" w:sz="0" w:space="0" w:color="auto"/>
        <w:right w:val="none" w:sz="0" w:space="0" w:color="auto"/>
      </w:divBdr>
    </w:div>
    <w:div w:id="875117402">
      <w:bodyDiv w:val="1"/>
      <w:marLeft w:val="0"/>
      <w:marRight w:val="0"/>
      <w:marTop w:val="0"/>
      <w:marBottom w:val="0"/>
      <w:divBdr>
        <w:top w:val="none" w:sz="0" w:space="0" w:color="auto"/>
        <w:left w:val="none" w:sz="0" w:space="0" w:color="auto"/>
        <w:bottom w:val="none" w:sz="0" w:space="0" w:color="auto"/>
        <w:right w:val="none" w:sz="0" w:space="0" w:color="auto"/>
      </w:divBdr>
    </w:div>
    <w:div w:id="883643251">
      <w:bodyDiv w:val="1"/>
      <w:marLeft w:val="0"/>
      <w:marRight w:val="0"/>
      <w:marTop w:val="0"/>
      <w:marBottom w:val="0"/>
      <w:divBdr>
        <w:top w:val="none" w:sz="0" w:space="0" w:color="auto"/>
        <w:left w:val="none" w:sz="0" w:space="0" w:color="auto"/>
        <w:bottom w:val="none" w:sz="0" w:space="0" w:color="auto"/>
        <w:right w:val="none" w:sz="0" w:space="0" w:color="auto"/>
      </w:divBdr>
    </w:div>
    <w:div w:id="911623512">
      <w:bodyDiv w:val="1"/>
      <w:marLeft w:val="0"/>
      <w:marRight w:val="0"/>
      <w:marTop w:val="0"/>
      <w:marBottom w:val="0"/>
      <w:divBdr>
        <w:top w:val="none" w:sz="0" w:space="0" w:color="auto"/>
        <w:left w:val="none" w:sz="0" w:space="0" w:color="auto"/>
        <w:bottom w:val="none" w:sz="0" w:space="0" w:color="auto"/>
        <w:right w:val="none" w:sz="0" w:space="0" w:color="auto"/>
      </w:divBdr>
    </w:div>
    <w:div w:id="948438730">
      <w:bodyDiv w:val="1"/>
      <w:marLeft w:val="0"/>
      <w:marRight w:val="0"/>
      <w:marTop w:val="0"/>
      <w:marBottom w:val="0"/>
      <w:divBdr>
        <w:top w:val="none" w:sz="0" w:space="0" w:color="auto"/>
        <w:left w:val="none" w:sz="0" w:space="0" w:color="auto"/>
        <w:bottom w:val="none" w:sz="0" w:space="0" w:color="auto"/>
        <w:right w:val="none" w:sz="0" w:space="0" w:color="auto"/>
      </w:divBdr>
    </w:div>
    <w:div w:id="977300590">
      <w:bodyDiv w:val="1"/>
      <w:marLeft w:val="0"/>
      <w:marRight w:val="0"/>
      <w:marTop w:val="0"/>
      <w:marBottom w:val="0"/>
      <w:divBdr>
        <w:top w:val="none" w:sz="0" w:space="0" w:color="auto"/>
        <w:left w:val="none" w:sz="0" w:space="0" w:color="auto"/>
        <w:bottom w:val="none" w:sz="0" w:space="0" w:color="auto"/>
        <w:right w:val="none" w:sz="0" w:space="0" w:color="auto"/>
      </w:divBdr>
    </w:div>
    <w:div w:id="1022126460">
      <w:bodyDiv w:val="1"/>
      <w:marLeft w:val="0"/>
      <w:marRight w:val="0"/>
      <w:marTop w:val="0"/>
      <w:marBottom w:val="0"/>
      <w:divBdr>
        <w:top w:val="none" w:sz="0" w:space="0" w:color="auto"/>
        <w:left w:val="none" w:sz="0" w:space="0" w:color="auto"/>
        <w:bottom w:val="none" w:sz="0" w:space="0" w:color="auto"/>
        <w:right w:val="none" w:sz="0" w:space="0" w:color="auto"/>
      </w:divBdr>
    </w:div>
    <w:div w:id="1027104496">
      <w:bodyDiv w:val="1"/>
      <w:marLeft w:val="0"/>
      <w:marRight w:val="0"/>
      <w:marTop w:val="0"/>
      <w:marBottom w:val="0"/>
      <w:divBdr>
        <w:top w:val="none" w:sz="0" w:space="0" w:color="auto"/>
        <w:left w:val="none" w:sz="0" w:space="0" w:color="auto"/>
        <w:bottom w:val="none" w:sz="0" w:space="0" w:color="auto"/>
        <w:right w:val="none" w:sz="0" w:space="0" w:color="auto"/>
      </w:divBdr>
    </w:div>
    <w:div w:id="1041519804">
      <w:bodyDiv w:val="1"/>
      <w:marLeft w:val="0"/>
      <w:marRight w:val="0"/>
      <w:marTop w:val="0"/>
      <w:marBottom w:val="0"/>
      <w:divBdr>
        <w:top w:val="none" w:sz="0" w:space="0" w:color="auto"/>
        <w:left w:val="none" w:sz="0" w:space="0" w:color="auto"/>
        <w:bottom w:val="none" w:sz="0" w:space="0" w:color="auto"/>
        <w:right w:val="none" w:sz="0" w:space="0" w:color="auto"/>
      </w:divBdr>
    </w:div>
    <w:div w:id="1122840753">
      <w:bodyDiv w:val="1"/>
      <w:marLeft w:val="0"/>
      <w:marRight w:val="0"/>
      <w:marTop w:val="0"/>
      <w:marBottom w:val="0"/>
      <w:divBdr>
        <w:top w:val="none" w:sz="0" w:space="0" w:color="auto"/>
        <w:left w:val="none" w:sz="0" w:space="0" w:color="auto"/>
        <w:bottom w:val="none" w:sz="0" w:space="0" w:color="auto"/>
        <w:right w:val="none" w:sz="0" w:space="0" w:color="auto"/>
      </w:divBdr>
    </w:div>
    <w:div w:id="1208567133">
      <w:bodyDiv w:val="1"/>
      <w:marLeft w:val="0"/>
      <w:marRight w:val="0"/>
      <w:marTop w:val="0"/>
      <w:marBottom w:val="0"/>
      <w:divBdr>
        <w:top w:val="none" w:sz="0" w:space="0" w:color="auto"/>
        <w:left w:val="none" w:sz="0" w:space="0" w:color="auto"/>
        <w:bottom w:val="none" w:sz="0" w:space="0" w:color="auto"/>
        <w:right w:val="none" w:sz="0" w:space="0" w:color="auto"/>
      </w:divBdr>
    </w:div>
    <w:div w:id="1210071824">
      <w:bodyDiv w:val="1"/>
      <w:marLeft w:val="0"/>
      <w:marRight w:val="0"/>
      <w:marTop w:val="0"/>
      <w:marBottom w:val="0"/>
      <w:divBdr>
        <w:top w:val="none" w:sz="0" w:space="0" w:color="auto"/>
        <w:left w:val="none" w:sz="0" w:space="0" w:color="auto"/>
        <w:bottom w:val="none" w:sz="0" w:space="0" w:color="auto"/>
        <w:right w:val="none" w:sz="0" w:space="0" w:color="auto"/>
      </w:divBdr>
    </w:div>
    <w:div w:id="1232884449">
      <w:bodyDiv w:val="1"/>
      <w:marLeft w:val="0"/>
      <w:marRight w:val="0"/>
      <w:marTop w:val="0"/>
      <w:marBottom w:val="0"/>
      <w:divBdr>
        <w:top w:val="none" w:sz="0" w:space="0" w:color="auto"/>
        <w:left w:val="none" w:sz="0" w:space="0" w:color="auto"/>
        <w:bottom w:val="none" w:sz="0" w:space="0" w:color="auto"/>
        <w:right w:val="none" w:sz="0" w:space="0" w:color="auto"/>
      </w:divBdr>
    </w:div>
    <w:div w:id="1250892675">
      <w:bodyDiv w:val="1"/>
      <w:marLeft w:val="0"/>
      <w:marRight w:val="0"/>
      <w:marTop w:val="0"/>
      <w:marBottom w:val="0"/>
      <w:divBdr>
        <w:top w:val="none" w:sz="0" w:space="0" w:color="auto"/>
        <w:left w:val="none" w:sz="0" w:space="0" w:color="auto"/>
        <w:bottom w:val="none" w:sz="0" w:space="0" w:color="auto"/>
        <w:right w:val="none" w:sz="0" w:space="0" w:color="auto"/>
      </w:divBdr>
    </w:div>
    <w:div w:id="1271623360">
      <w:bodyDiv w:val="1"/>
      <w:marLeft w:val="0"/>
      <w:marRight w:val="0"/>
      <w:marTop w:val="0"/>
      <w:marBottom w:val="0"/>
      <w:divBdr>
        <w:top w:val="none" w:sz="0" w:space="0" w:color="auto"/>
        <w:left w:val="none" w:sz="0" w:space="0" w:color="auto"/>
        <w:bottom w:val="none" w:sz="0" w:space="0" w:color="auto"/>
        <w:right w:val="none" w:sz="0" w:space="0" w:color="auto"/>
      </w:divBdr>
      <w:divsChild>
        <w:div w:id="1444885634">
          <w:marLeft w:val="0"/>
          <w:marRight w:val="0"/>
          <w:marTop w:val="0"/>
          <w:marBottom w:val="0"/>
          <w:divBdr>
            <w:top w:val="none" w:sz="0" w:space="0" w:color="auto"/>
            <w:left w:val="none" w:sz="0" w:space="0" w:color="auto"/>
            <w:bottom w:val="none" w:sz="0" w:space="0" w:color="auto"/>
            <w:right w:val="none" w:sz="0" w:space="0" w:color="auto"/>
          </w:divBdr>
        </w:div>
        <w:div w:id="1859538846">
          <w:marLeft w:val="0"/>
          <w:marRight w:val="0"/>
          <w:marTop w:val="0"/>
          <w:marBottom w:val="0"/>
          <w:divBdr>
            <w:top w:val="none" w:sz="0" w:space="0" w:color="auto"/>
            <w:left w:val="none" w:sz="0" w:space="0" w:color="auto"/>
            <w:bottom w:val="none" w:sz="0" w:space="0" w:color="auto"/>
            <w:right w:val="none" w:sz="0" w:space="0" w:color="auto"/>
          </w:divBdr>
        </w:div>
        <w:div w:id="27535838">
          <w:marLeft w:val="0"/>
          <w:marRight w:val="0"/>
          <w:marTop w:val="0"/>
          <w:marBottom w:val="0"/>
          <w:divBdr>
            <w:top w:val="none" w:sz="0" w:space="0" w:color="auto"/>
            <w:left w:val="none" w:sz="0" w:space="0" w:color="auto"/>
            <w:bottom w:val="none" w:sz="0" w:space="0" w:color="auto"/>
            <w:right w:val="none" w:sz="0" w:space="0" w:color="auto"/>
          </w:divBdr>
        </w:div>
        <w:div w:id="1345479762">
          <w:marLeft w:val="0"/>
          <w:marRight w:val="0"/>
          <w:marTop w:val="0"/>
          <w:marBottom w:val="0"/>
          <w:divBdr>
            <w:top w:val="none" w:sz="0" w:space="0" w:color="auto"/>
            <w:left w:val="none" w:sz="0" w:space="0" w:color="auto"/>
            <w:bottom w:val="none" w:sz="0" w:space="0" w:color="auto"/>
            <w:right w:val="none" w:sz="0" w:space="0" w:color="auto"/>
          </w:divBdr>
        </w:div>
        <w:div w:id="885607425">
          <w:marLeft w:val="0"/>
          <w:marRight w:val="0"/>
          <w:marTop w:val="0"/>
          <w:marBottom w:val="0"/>
          <w:divBdr>
            <w:top w:val="none" w:sz="0" w:space="0" w:color="auto"/>
            <w:left w:val="none" w:sz="0" w:space="0" w:color="auto"/>
            <w:bottom w:val="none" w:sz="0" w:space="0" w:color="auto"/>
            <w:right w:val="none" w:sz="0" w:space="0" w:color="auto"/>
          </w:divBdr>
        </w:div>
        <w:div w:id="1570000949">
          <w:marLeft w:val="0"/>
          <w:marRight w:val="0"/>
          <w:marTop w:val="0"/>
          <w:marBottom w:val="0"/>
          <w:divBdr>
            <w:top w:val="none" w:sz="0" w:space="0" w:color="auto"/>
            <w:left w:val="none" w:sz="0" w:space="0" w:color="auto"/>
            <w:bottom w:val="none" w:sz="0" w:space="0" w:color="auto"/>
            <w:right w:val="none" w:sz="0" w:space="0" w:color="auto"/>
          </w:divBdr>
        </w:div>
        <w:div w:id="435639600">
          <w:marLeft w:val="0"/>
          <w:marRight w:val="0"/>
          <w:marTop w:val="0"/>
          <w:marBottom w:val="0"/>
          <w:divBdr>
            <w:top w:val="none" w:sz="0" w:space="0" w:color="auto"/>
            <w:left w:val="none" w:sz="0" w:space="0" w:color="auto"/>
            <w:bottom w:val="none" w:sz="0" w:space="0" w:color="auto"/>
            <w:right w:val="none" w:sz="0" w:space="0" w:color="auto"/>
          </w:divBdr>
        </w:div>
        <w:div w:id="992293801">
          <w:marLeft w:val="0"/>
          <w:marRight w:val="0"/>
          <w:marTop w:val="0"/>
          <w:marBottom w:val="0"/>
          <w:divBdr>
            <w:top w:val="none" w:sz="0" w:space="0" w:color="auto"/>
            <w:left w:val="none" w:sz="0" w:space="0" w:color="auto"/>
            <w:bottom w:val="none" w:sz="0" w:space="0" w:color="auto"/>
            <w:right w:val="none" w:sz="0" w:space="0" w:color="auto"/>
          </w:divBdr>
        </w:div>
        <w:div w:id="16586609">
          <w:marLeft w:val="0"/>
          <w:marRight w:val="0"/>
          <w:marTop w:val="0"/>
          <w:marBottom w:val="0"/>
          <w:divBdr>
            <w:top w:val="none" w:sz="0" w:space="0" w:color="auto"/>
            <w:left w:val="none" w:sz="0" w:space="0" w:color="auto"/>
            <w:bottom w:val="none" w:sz="0" w:space="0" w:color="auto"/>
            <w:right w:val="none" w:sz="0" w:space="0" w:color="auto"/>
          </w:divBdr>
        </w:div>
      </w:divsChild>
    </w:div>
    <w:div w:id="1310599291">
      <w:bodyDiv w:val="1"/>
      <w:marLeft w:val="0"/>
      <w:marRight w:val="0"/>
      <w:marTop w:val="0"/>
      <w:marBottom w:val="0"/>
      <w:divBdr>
        <w:top w:val="none" w:sz="0" w:space="0" w:color="auto"/>
        <w:left w:val="none" w:sz="0" w:space="0" w:color="auto"/>
        <w:bottom w:val="none" w:sz="0" w:space="0" w:color="auto"/>
        <w:right w:val="none" w:sz="0" w:space="0" w:color="auto"/>
      </w:divBdr>
    </w:div>
    <w:div w:id="1371567857">
      <w:bodyDiv w:val="1"/>
      <w:marLeft w:val="0"/>
      <w:marRight w:val="0"/>
      <w:marTop w:val="0"/>
      <w:marBottom w:val="0"/>
      <w:divBdr>
        <w:top w:val="none" w:sz="0" w:space="0" w:color="auto"/>
        <w:left w:val="none" w:sz="0" w:space="0" w:color="auto"/>
        <w:bottom w:val="none" w:sz="0" w:space="0" w:color="auto"/>
        <w:right w:val="none" w:sz="0" w:space="0" w:color="auto"/>
      </w:divBdr>
    </w:div>
    <w:div w:id="1398549231">
      <w:bodyDiv w:val="1"/>
      <w:marLeft w:val="0"/>
      <w:marRight w:val="0"/>
      <w:marTop w:val="0"/>
      <w:marBottom w:val="0"/>
      <w:divBdr>
        <w:top w:val="none" w:sz="0" w:space="0" w:color="auto"/>
        <w:left w:val="none" w:sz="0" w:space="0" w:color="auto"/>
        <w:bottom w:val="none" w:sz="0" w:space="0" w:color="auto"/>
        <w:right w:val="none" w:sz="0" w:space="0" w:color="auto"/>
      </w:divBdr>
    </w:div>
    <w:div w:id="1424452833">
      <w:bodyDiv w:val="1"/>
      <w:marLeft w:val="0"/>
      <w:marRight w:val="0"/>
      <w:marTop w:val="0"/>
      <w:marBottom w:val="0"/>
      <w:divBdr>
        <w:top w:val="none" w:sz="0" w:space="0" w:color="auto"/>
        <w:left w:val="none" w:sz="0" w:space="0" w:color="auto"/>
        <w:bottom w:val="none" w:sz="0" w:space="0" w:color="auto"/>
        <w:right w:val="none" w:sz="0" w:space="0" w:color="auto"/>
      </w:divBdr>
    </w:div>
    <w:div w:id="1475567373">
      <w:bodyDiv w:val="1"/>
      <w:marLeft w:val="0"/>
      <w:marRight w:val="0"/>
      <w:marTop w:val="0"/>
      <w:marBottom w:val="0"/>
      <w:divBdr>
        <w:top w:val="none" w:sz="0" w:space="0" w:color="auto"/>
        <w:left w:val="none" w:sz="0" w:space="0" w:color="auto"/>
        <w:bottom w:val="none" w:sz="0" w:space="0" w:color="auto"/>
        <w:right w:val="none" w:sz="0" w:space="0" w:color="auto"/>
      </w:divBdr>
    </w:div>
    <w:div w:id="1501891536">
      <w:bodyDiv w:val="1"/>
      <w:marLeft w:val="0"/>
      <w:marRight w:val="0"/>
      <w:marTop w:val="0"/>
      <w:marBottom w:val="0"/>
      <w:divBdr>
        <w:top w:val="none" w:sz="0" w:space="0" w:color="auto"/>
        <w:left w:val="none" w:sz="0" w:space="0" w:color="auto"/>
        <w:bottom w:val="none" w:sz="0" w:space="0" w:color="auto"/>
        <w:right w:val="none" w:sz="0" w:space="0" w:color="auto"/>
      </w:divBdr>
    </w:div>
    <w:div w:id="1513303915">
      <w:bodyDiv w:val="1"/>
      <w:marLeft w:val="0"/>
      <w:marRight w:val="0"/>
      <w:marTop w:val="0"/>
      <w:marBottom w:val="0"/>
      <w:divBdr>
        <w:top w:val="none" w:sz="0" w:space="0" w:color="auto"/>
        <w:left w:val="none" w:sz="0" w:space="0" w:color="auto"/>
        <w:bottom w:val="none" w:sz="0" w:space="0" w:color="auto"/>
        <w:right w:val="none" w:sz="0" w:space="0" w:color="auto"/>
      </w:divBdr>
    </w:div>
    <w:div w:id="1531720182">
      <w:bodyDiv w:val="1"/>
      <w:marLeft w:val="0"/>
      <w:marRight w:val="0"/>
      <w:marTop w:val="0"/>
      <w:marBottom w:val="0"/>
      <w:divBdr>
        <w:top w:val="none" w:sz="0" w:space="0" w:color="auto"/>
        <w:left w:val="none" w:sz="0" w:space="0" w:color="auto"/>
        <w:bottom w:val="none" w:sz="0" w:space="0" w:color="auto"/>
        <w:right w:val="none" w:sz="0" w:space="0" w:color="auto"/>
      </w:divBdr>
    </w:div>
    <w:div w:id="1555654898">
      <w:bodyDiv w:val="1"/>
      <w:marLeft w:val="0"/>
      <w:marRight w:val="0"/>
      <w:marTop w:val="0"/>
      <w:marBottom w:val="0"/>
      <w:divBdr>
        <w:top w:val="none" w:sz="0" w:space="0" w:color="auto"/>
        <w:left w:val="none" w:sz="0" w:space="0" w:color="auto"/>
        <w:bottom w:val="none" w:sz="0" w:space="0" w:color="auto"/>
        <w:right w:val="none" w:sz="0" w:space="0" w:color="auto"/>
      </w:divBdr>
    </w:div>
    <w:div w:id="1595699595">
      <w:bodyDiv w:val="1"/>
      <w:marLeft w:val="0"/>
      <w:marRight w:val="0"/>
      <w:marTop w:val="0"/>
      <w:marBottom w:val="0"/>
      <w:divBdr>
        <w:top w:val="none" w:sz="0" w:space="0" w:color="auto"/>
        <w:left w:val="none" w:sz="0" w:space="0" w:color="auto"/>
        <w:bottom w:val="none" w:sz="0" w:space="0" w:color="auto"/>
        <w:right w:val="none" w:sz="0" w:space="0" w:color="auto"/>
      </w:divBdr>
    </w:div>
    <w:div w:id="1622226863">
      <w:bodyDiv w:val="1"/>
      <w:marLeft w:val="0"/>
      <w:marRight w:val="0"/>
      <w:marTop w:val="0"/>
      <w:marBottom w:val="0"/>
      <w:divBdr>
        <w:top w:val="none" w:sz="0" w:space="0" w:color="auto"/>
        <w:left w:val="none" w:sz="0" w:space="0" w:color="auto"/>
        <w:bottom w:val="none" w:sz="0" w:space="0" w:color="auto"/>
        <w:right w:val="none" w:sz="0" w:space="0" w:color="auto"/>
      </w:divBdr>
    </w:div>
    <w:div w:id="1654873527">
      <w:bodyDiv w:val="1"/>
      <w:marLeft w:val="0"/>
      <w:marRight w:val="0"/>
      <w:marTop w:val="0"/>
      <w:marBottom w:val="0"/>
      <w:divBdr>
        <w:top w:val="none" w:sz="0" w:space="0" w:color="auto"/>
        <w:left w:val="none" w:sz="0" w:space="0" w:color="auto"/>
        <w:bottom w:val="none" w:sz="0" w:space="0" w:color="auto"/>
        <w:right w:val="none" w:sz="0" w:space="0" w:color="auto"/>
      </w:divBdr>
    </w:div>
    <w:div w:id="1714571211">
      <w:bodyDiv w:val="1"/>
      <w:marLeft w:val="0"/>
      <w:marRight w:val="0"/>
      <w:marTop w:val="0"/>
      <w:marBottom w:val="0"/>
      <w:divBdr>
        <w:top w:val="none" w:sz="0" w:space="0" w:color="auto"/>
        <w:left w:val="none" w:sz="0" w:space="0" w:color="auto"/>
        <w:bottom w:val="none" w:sz="0" w:space="0" w:color="auto"/>
        <w:right w:val="none" w:sz="0" w:space="0" w:color="auto"/>
      </w:divBdr>
      <w:divsChild>
        <w:div w:id="706565266">
          <w:marLeft w:val="0"/>
          <w:marRight w:val="0"/>
          <w:marTop w:val="0"/>
          <w:marBottom w:val="0"/>
          <w:divBdr>
            <w:top w:val="none" w:sz="0" w:space="0" w:color="auto"/>
            <w:left w:val="none" w:sz="0" w:space="0" w:color="auto"/>
            <w:bottom w:val="none" w:sz="0" w:space="0" w:color="auto"/>
            <w:right w:val="none" w:sz="0" w:space="0" w:color="auto"/>
          </w:divBdr>
        </w:div>
        <w:div w:id="242376276">
          <w:marLeft w:val="0"/>
          <w:marRight w:val="0"/>
          <w:marTop w:val="0"/>
          <w:marBottom w:val="0"/>
          <w:divBdr>
            <w:top w:val="none" w:sz="0" w:space="0" w:color="auto"/>
            <w:left w:val="none" w:sz="0" w:space="0" w:color="auto"/>
            <w:bottom w:val="none" w:sz="0" w:space="0" w:color="auto"/>
            <w:right w:val="none" w:sz="0" w:space="0" w:color="auto"/>
          </w:divBdr>
        </w:div>
      </w:divsChild>
    </w:div>
    <w:div w:id="1716463332">
      <w:bodyDiv w:val="1"/>
      <w:marLeft w:val="0"/>
      <w:marRight w:val="0"/>
      <w:marTop w:val="0"/>
      <w:marBottom w:val="0"/>
      <w:divBdr>
        <w:top w:val="none" w:sz="0" w:space="0" w:color="auto"/>
        <w:left w:val="none" w:sz="0" w:space="0" w:color="auto"/>
        <w:bottom w:val="none" w:sz="0" w:space="0" w:color="auto"/>
        <w:right w:val="none" w:sz="0" w:space="0" w:color="auto"/>
      </w:divBdr>
    </w:div>
    <w:div w:id="1733231107">
      <w:bodyDiv w:val="1"/>
      <w:marLeft w:val="0"/>
      <w:marRight w:val="0"/>
      <w:marTop w:val="0"/>
      <w:marBottom w:val="0"/>
      <w:divBdr>
        <w:top w:val="none" w:sz="0" w:space="0" w:color="auto"/>
        <w:left w:val="none" w:sz="0" w:space="0" w:color="auto"/>
        <w:bottom w:val="none" w:sz="0" w:space="0" w:color="auto"/>
        <w:right w:val="none" w:sz="0" w:space="0" w:color="auto"/>
      </w:divBdr>
    </w:div>
    <w:div w:id="1733696385">
      <w:bodyDiv w:val="1"/>
      <w:marLeft w:val="0"/>
      <w:marRight w:val="0"/>
      <w:marTop w:val="0"/>
      <w:marBottom w:val="0"/>
      <w:divBdr>
        <w:top w:val="none" w:sz="0" w:space="0" w:color="auto"/>
        <w:left w:val="none" w:sz="0" w:space="0" w:color="auto"/>
        <w:bottom w:val="none" w:sz="0" w:space="0" w:color="auto"/>
        <w:right w:val="none" w:sz="0" w:space="0" w:color="auto"/>
      </w:divBdr>
    </w:div>
    <w:div w:id="1744067423">
      <w:bodyDiv w:val="1"/>
      <w:marLeft w:val="0"/>
      <w:marRight w:val="0"/>
      <w:marTop w:val="0"/>
      <w:marBottom w:val="0"/>
      <w:divBdr>
        <w:top w:val="none" w:sz="0" w:space="0" w:color="auto"/>
        <w:left w:val="none" w:sz="0" w:space="0" w:color="auto"/>
        <w:bottom w:val="none" w:sz="0" w:space="0" w:color="auto"/>
        <w:right w:val="none" w:sz="0" w:space="0" w:color="auto"/>
      </w:divBdr>
    </w:div>
    <w:div w:id="1769232045">
      <w:bodyDiv w:val="1"/>
      <w:marLeft w:val="0"/>
      <w:marRight w:val="0"/>
      <w:marTop w:val="0"/>
      <w:marBottom w:val="0"/>
      <w:divBdr>
        <w:top w:val="none" w:sz="0" w:space="0" w:color="auto"/>
        <w:left w:val="none" w:sz="0" w:space="0" w:color="auto"/>
        <w:bottom w:val="none" w:sz="0" w:space="0" w:color="auto"/>
        <w:right w:val="none" w:sz="0" w:space="0" w:color="auto"/>
      </w:divBdr>
      <w:divsChild>
        <w:div w:id="1866867030">
          <w:marLeft w:val="0"/>
          <w:marRight w:val="0"/>
          <w:marTop w:val="0"/>
          <w:marBottom w:val="0"/>
          <w:divBdr>
            <w:top w:val="none" w:sz="0" w:space="0" w:color="auto"/>
            <w:left w:val="none" w:sz="0" w:space="0" w:color="auto"/>
            <w:bottom w:val="none" w:sz="0" w:space="0" w:color="auto"/>
            <w:right w:val="none" w:sz="0" w:space="0" w:color="auto"/>
          </w:divBdr>
          <w:divsChild>
            <w:div w:id="13178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243">
      <w:bodyDiv w:val="1"/>
      <w:marLeft w:val="0"/>
      <w:marRight w:val="0"/>
      <w:marTop w:val="0"/>
      <w:marBottom w:val="0"/>
      <w:divBdr>
        <w:top w:val="none" w:sz="0" w:space="0" w:color="auto"/>
        <w:left w:val="none" w:sz="0" w:space="0" w:color="auto"/>
        <w:bottom w:val="none" w:sz="0" w:space="0" w:color="auto"/>
        <w:right w:val="none" w:sz="0" w:space="0" w:color="auto"/>
      </w:divBdr>
    </w:div>
    <w:div w:id="1853372852">
      <w:bodyDiv w:val="1"/>
      <w:marLeft w:val="0"/>
      <w:marRight w:val="0"/>
      <w:marTop w:val="0"/>
      <w:marBottom w:val="0"/>
      <w:divBdr>
        <w:top w:val="none" w:sz="0" w:space="0" w:color="auto"/>
        <w:left w:val="none" w:sz="0" w:space="0" w:color="auto"/>
        <w:bottom w:val="none" w:sz="0" w:space="0" w:color="auto"/>
        <w:right w:val="none" w:sz="0" w:space="0" w:color="auto"/>
      </w:divBdr>
    </w:div>
    <w:div w:id="1885630844">
      <w:bodyDiv w:val="1"/>
      <w:marLeft w:val="0"/>
      <w:marRight w:val="0"/>
      <w:marTop w:val="0"/>
      <w:marBottom w:val="0"/>
      <w:divBdr>
        <w:top w:val="none" w:sz="0" w:space="0" w:color="auto"/>
        <w:left w:val="none" w:sz="0" w:space="0" w:color="auto"/>
        <w:bottom w:val="none" w:sz="0" w:space="0" w:color="auto"/>
        <w:right w:val="none" w:sz="0" w:space="0" w:color="auto"/>
      </w:divBdr>
    </w:div>
    <w:div w:id="1913537494">
      <w:bodyDiv w:val="1"/>
      <w:marLeft w:val="0"/>
      <w:marRight w:val="0"/>
      <w:marTop w:val="0"/>
      <w:marBottom w:val="0"/>
      <w:divBdr>
        <w:top w:val="none" w:sz="0" w:space="0" w:color="auto"/>
        <w:left w:val="none" w:sz="0" w:space="0" w:color="auto"/>
        <w:bottom w:val="none" w:sz="0" w:space="0" w:color="auto"/>
        <w:right w:val="none" w:sz="0" w:space="0" w:color="auto"/>
      </w:divBdr>
    </w:div>
    <w:div w:id="1939629749">
      <w:bodyDiv w:val="1"/>
      <w:marLeft w:val="0"/>
      <w:marRight w:val="0"/>
      <w:marTop w:val="0"/>
      <w:marBottom w:val="0"/>
      <w:divBdr>
        <w:top w:val="none" w:sz="0" w:space="0" w:color="auto"/>
        <w:left w:val="none" w:sz="0" w:space="0" w:color="auto"/>
        <w:bottom w:val="none" w:sz="0" w:space="0" w:color="auto"/>
        <w:right w:val="none" w:sz="0" w:space="0" w:color="auto"/>
      </w:divBdr>
    </w:div>
    <w:div w:id="1974367115">
      <w:bodyDiv w:val="1"/>
      <w:marLeft w:val="0"/>
      <w:marRight w:val="0"/>
      <w:marTop w:val="0"/>
      <w:marBottom w:val="0"/>
      <w:divBdr>
        <w:top w:val="none" w:sz="0" w:space="0" w:color="auto"/>
        <w:left w:val="none" w:sz="0" w:space="0" w:color="auto"/>
        <w:bottom w:val="none" w:sz="0" w:space="0" w:color="auto"/>
        <w:right w:val="none" w:sz="0" w:space="0" w:color="auto"/>
      </w:divBdr>
    </w:div>
    <w:div w:id="2021857583">
      <w:bodyDiv w:val="1"/>
      <w:marLeft w:val="0"/>
      <w:marRight w:val="0"/>
      <w:marTop w:val="0"/>
      <w:marBottom w:val="0"/>
      <w:divBdr>
        <w:top w:val="none" w:sz="0" w:space="0" w:color="auto"/>
        <w:left w:val="none" w:sz="0" w:space="0" w:color="auto"/>
        <w:bottom w:val="none" w:sz="0" w:space="0" w:color="auto"/>
        <w:right w:val="none" w:sz="0" w:space="0" w:color="auto"/>
      </w:divBdr>
    </w:div>
    <w:div w:id="2043938140">
      <w:bodyDiv w:val="1"/>
      <w:marLeft w:val="0"/>
      <w:marRight w:val="0"/>
      <w:marTop w:val="0"/>
      <w:marBottom w:val="0"/>
      <w:divBdr>
        <w:top w:val="none" w:sz="0" w:space="0" w:color="auto"/>
        <w:left w:val="none" w:sz="0" w:space="0" w:color="auto"/>
        <w:bottom w:val="none" w:sz="0" w:space="0" w:color="auto"/>
        <w:right w:val="none" w:sz="0" w:space="0" w:color="auto"/>
      </w:divBdr>
    </w:div>
    <w:div w:id="2060665520">
      <w:bodyDiv w:val="1"/>
      <w:marLeft w:val="0"/>
      <w:marRight w:val="0"/>
      <w:marTop w:val="0"/>
      <w:marBottom w:val="0"/>
      <w:divBdr>
        <w:top w:val="none" w:sz="0" w:space="0" w:color="auto"/>
        <w:left w:val="none" w:sz="0" w:space="0" w:color="auto"/>
        <w:bottom w:val="none" w:sz="0" w:space="0" w:color="auto"/>
        <w:right w:val="none" w:sz="0" w:space="0" w:color="auto"/>
      </w:divBdr>
    </w:div>
    <w:div w:id="2082097909">
      <w:bodyDiv w:val="1"/>
      <w:marLeft w:val="0"/>
      <w:marRight w:val="0"/>
      <w:marTop w:val="0"/>
      <w:marBottom w:val="0"/>
      <w:divBdr>
        <w:top w:val="none" w:sz="0" w:space="0" w:color="auto"/>
        <w:left w:val="none" w:sz="0" w:space="0" w:color="auto"/>
        <w:bottom w:val="none" w:sz="0" w:space="0" w:color="auto"/>
        <w:right w:val="none" w:sz="0" w:space="0" w:color="auto"/>
      </w:divBdr>
    </w:div>
    <w:div w:id="20907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8A3170712A3849AA7BF6422D06AA94" ma:contentTypeVersion="0" ma:contentTypeDescription="Create a new document." ma:contentTypeScope="" ma:versionID="7971069a72ea45af008904fbb8f145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4156-9D16-4572-90EA-304ADAE0E986}">
  <ds:schemaRefs>
    <ds:schemaRef ds:uri="http://schemas.microsoft.com/sharepoint/v3/contenttype/forms"/>
  </ds:schemaRefs>
</ds:datastoreItem>
</file>

<file path=customXml/itemProps2.xml><?xml version="1.0" encoding="utf-8"?>
<ds:datastoreItem xmlns:ds="http://schemas.openxmlformats.org/officeDocument/2006/customXml" ds:itemID="{83560D53-12AE-4E52-857B-B14A2ABC0DE1}">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6418F131-1FCA-4607-A8AF-1E36D5291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258A8F-EF15-4AAF-8F71-87EFE729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19971</Words>
  <Characters>113841</Characters>
  <Application>Microsoft Office Word</Application>
  <DocSecurity>4</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eburn</dc:creator>
  <cp:keywords/>
  <dc:description/>
  <cp:lastModifiedBy>Karen Drake</cp:lastModifiedBy>
  <cp:revision>2</cp:revision>
  <cp:lastPrinted>2018-02-19T09:54:00Z</cp:lastPrinted>
  <dcterms:created xsi:type="dcterms:W3CDTF">2019-07-05T11:14:00Z</dcterms:created>
  <dcterms:modified xsi:type="dcterms:W3CDTF">2019-07-05T11:14:00Z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d5bb3af8-e87d-3e54-a930-4ae5db8d2add</vt:lpwstr>
  </property>
  <property fmtid="{D5CDD505-2E9C-101B-9397-08002B2CF9AE}" pid="24" name="Mendeley Citation Style_1">
    <vt:lpwstr>http://www.zotero.org/styles/bmj</vt:lpwstr>
  </property>
  <property fmtid="{D5CDD505-2E9C-101B-9397-08002B2CF9AE}" pid="25" name="ContentTypeId">
    <vt:lpwstr>0x010100858A3170712A3849AA7BF6422D06AA94</vt:lpwstr>
  </property>
</Properties>
</file>