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0B225" w14:textId="406D1A8B" w:rsidR="00BA3F07" w:rsidRPr="00BA3F07" w:rsidRDefault="00BA3F07" w:rsidP="00BA3F07">
      <w:pPr>
        <w:spacing w:after="160" w:line="259" w:lineRule="auto"/>
        <w:rPr>
          <w:b/>
        </w:rPr>
      </w:pPr>
      <w:r w:rsidRPr="00BA3F07">
        <w:rPr>
          <w:b/>
        </w:rPr>
        <w:t xml:space="preserve">Title: </w:t>
      </w:r>
      <w:r w:rsidRPr="00BA3F07">
        <w:t xml:space="preserve">High speed video </w:t>
      </w:r>
      <w:r w:rsidR="005516E3">
        <w:t>analysis</w:t>
      </w:r>
      <w:r w:rsidRPr="00BA3F07">
        <w:t xml:space="preserve"> is accurate in the diagnosis of primary ciliary dyskinesia</w:t>
      </w:r>
    </w:p>
    <w:p w14:paraId="4EA24E1B" w14:textId="2538BC32" w:rsidR="007105A1" w:rsidRDefault="007105A1" w:rsidP="007105A1">
      <w:pPr>
        <w:spacing w:after="160" w:line="259" w:lineRule="auto"/>
      </w:pPr>
      <w:r w:rsidRPr="007105A1">
        <w:rPr>
          <w:b/>
        </w:rPr>
        <w:t xml:space="preserve">Authors: </w:t>
      </w:r>
      <w:r w:rsidRPr="00C1689E">
        <w:t>Jane S Lucas Bruna</w:t>
      </w:r>
      <w:r w:rsidRPr="007105A1">
        <w:t xml:space="preserve"> Rubbo, Claire L Jackson, Robert </w:t>
      </w:r>
      <w:proofErr w:type="spellStart"/>
      <w:r w:rsidRPr="007105A1">
        <w:t>Hirst</w:t>
      </w:r>
      <w:proofErr w:type="spellEnd"/>
      <w:r w:rsidRPr="007105A1">
        <w:t xml:space="preserve">, </w:t>
      </w:r>
      <w:r w:rsidR="008E1AFB">
        <w:t xml:space="preserve">Claire Hogg, Christopher O’Callaghan, Isabel Reading, </w:t>
      </w:r>
      <w:r w:rsidRPr="007105A1">
        <w:t>Amelia Shoemark,</w:t>
      </w:r>
    </w:p>
    <w:p w14:paraId="5217374F" w14:textId="77777777" w:rsidR="007105A1" w:rsidRPr="007105A1" w:rsidRDefault="007105A1" w:rsidP="007105A1">
      <w:pPr>
        <w:spacing w:after="160" w:line="259" w:lineRule="auto"/>
        <w:rPr>
          <w:b/>
        </w:rPr>
      </w:pPr>
      <w:r w:rsidRPr="007105A1">
        <w:rPr>
          <w:b/>
        </w:rPr>
        <w:t>Affiliations:</w:t>
      </w:r>
    </w:p>
    <w:p w14:paraId="5A000378" w14:textId="02078F65" w:rsidR="007105A1" w:rsidRPr="007105A1" w:rsidRDefault="007105A1" w:rsidP="007105A1">
      <w:pPr>
        <w:spacing w:after="160" w:line="259" w:lineRule="auto"/>
      </w:pPr>
      <w:r w:rsidRPr="007105A1">
        <w:rPr>
          <w:b/>
        </w:rPr>
        <w:t xml:space="preserve">Jane S Lucas MD PhD </w:t>
      </w:r>
      <w:r w:rsidRPr="007105A1">
        <w:rPr>
          <w:u w:val="single"/>
        </w:rPr>
        <w:t>jlucas1@soton.ac.uk</w:t>
      </w:r>
      <w:r w:rsidRPr="007105A1">
        <w:t xml:space="preserve">  [1] Primary Ciliary Dyskinesia Centre, NIHR Biomedical Research Centre, University Hospital Southampton NHS Foundation Trust, Southampton, UK [2]University of Southampton Faculty of Medicine, Academic Unit of Clinical and Experimental Medicine, Southampton, UK</w:t>
      </w:r>
    </w:p>
    <w:p w14:paraId="5FB1B9EC" w14:textId="3C416686" w:rsidR="007105A1" w:rsidRPr="007105A1" w:rsidRDefault="007105A1" w:rsidP="007105A1">
      <w:pPr>
        <w:spacing w:after="160" w:line="259" w:lineRule="auto"/>
      </w:pPr>
      <w:r w:rsidRPr="007105A1">
        <w:rPr>
          <w:b/>
        </w:rPr>
        <w:t xml:space="preserve">Bruna Rubbo  </w:t>
      </w:r>
      <w:r>
        <w:rPr>
          <w:b/>
        </w:rPr>
        <w:t>MSc</w:t>
      </w:r>
      <w:r w:rsidRPr="007105A1">
        <w:rPr>
          <w:b/>
        </w:rPr>
        <w:t xml:space="preserve"> </w:t>
      </w:r>
      <w:r w:rsidRPr="007105A1">
        <w:t xml:space="preserve"> </w:t>
      </w:r>
      <w:r w:rsidRPr="007105A1">
        <w:rPr>
          <w:u w:val="single"/>
        </w:rPr>
        <w:t>B.Rubbo@soton.ac.uk</w:t>
      </w:r>
      <w:r w:rsidRPr="007105A1">
        <w:t xml:space="preserve">  [1] Primary Ciliary Dyskinesia Centre, NIHR Biomedical Research Centre, University Hospital Southampton NHS Foundation Trust, Southampton, UK [2]University of Southampton Faculty of Medicine, Academic Unit of Clinical and Experimental Medicine, Southampton, UK</w:t>
      </w:r>
    </w:p>
    <w:p w14:paraId="06BE893D" w14:textId="77777777" w:rsidR="007105A1" w:rsidRPr="007105A1" w:rsidRDefault="007105A1" w:rsidP="007105A1">
      <w:pPr>
        <w:spacing w:after="160" w:line="259" w:lineRule="auto"/>
      </w:pPr>
      <w:r w:rsidRPr="007105A1">
        <w:rPr>
          <w:b/>
        </w:rPr>
        <w:t xml:space="preserve">Claire L Jackson PhD </w:t>
      </w:r>
      <w:r w:rsidRPr="007105A1">
        <w:t xml:space="preserve"> </w:t>
      </w:r>
      <w:r w:rsidRPr="007105A1">
        <w:rPr>
          <w:u w:val="single"/>
        </w:rPr>
        <w:t>clj@soton.ac.uk</w:t>
      </w:r>
      <w:r w:rsidRPr="007105A1">
        <w:t xml:space="preserve"> [1] Primary Ciliary Dyskinesia Centre, NIHR Biomedical Research Centre, University Hospital Southampton NHS Foundation Trust, Southampton, UK [2]University of Southampton Faculty of Medicine, Academic Unit of Clinical and Experimental Medicine, Southampton, UK</w:t>
      </w:r>
    </w:p>
    <w:p w14:paraId="56A38C3A" w14:textId="77777777" w:rsidR="007105A1" w:rsidRPr="008E1AFB" w:rsidRDefault="007105A1" w:rsidP="007105A1">
      <w:pPr>
        <w:spacing w:after="160" w:line="259" w:lineRule="auto"/>
      </w:pPr>
      <w:r w:rsidRPr="008E1AFB">
        <w:rPr>
          <w:b/>
        </w:rPr>
        <w:t xml:space="preserve">Robert A </w:t>
      </w:r>
      <w:proofErr w:type="spellStart"/>
      <w:r w:rsidRPr="008E1AFB">
        <w:rPr>
          <w:b/>
        </w:rPr>
        <w:t>Hirst</w:t>
      </w:r>
      <w:proofErr w:type="spellEnd"/>
      <w:r w:rsidRPr="008E1AFB">
        <w:t xml:space="preserve"> </w:t>
      </w:r>
      <w:r w:rsidRPr="008E1AFB">
        <w:rPr>
          <w:b/>
        </w:rPr>
        <w:t>PhD</w:t>
      </w:r>
      <w:r w:rsidRPr="008E1AFB">
        <w:t xml:space="preserve">  rah9@leicester.ac.uk  Centre for PCD Diagnosis and Research, Department of Infection, Immunity and Inflammation, University of Leicester, Robert Kilpatrick Clinical Sciences Building, Leicester Royal Infirmary, Leicester, UK</w:t>
      </w:r>
    </w:p>
    <w:p w14:paraId="4CBA4121" w14:textId="0CFF4B96" w:rsidR="001437EB" w:rsidRPr="008E1AFB" w:rsidRDefault="001437EB" w:rsidP="001437EB">
      <w:pPr>
        <w:spacing w:after="160" w:line="259" w:lineRule="auto"/>
        <w:rPr>
          <w:lang w:val="en-US"/>
        </w:rPr>
      </w:pPr>
      <w:r w:rsidRPr="008E1AFB">
        <w:rPr>
          <w:b/>
          <w:lang w:val="en-US"/>
        </w:rPr>
        <w:t>Claire Hogg</w:t>
      </w:r>
      <w:r w:rsidRPr="008E1AFB">
        <w:rPr>
          <w:lang w:val="en-US"/>
        </w:rPr>
        <w:t xml:space="preserve"> </w:t>
      </w:r>
      <w:r w:rsidRPr="008E1AFB">
        <w:rPr>
          <w:rStyle w:val="Hyperlink"/>
          <w:lang w:val="en-US"/>
        </w:rPr>
        <w:t>C.Hogg@rbht.nhs.uk</w:t>
      </w:r>
      <w:r w:rsidRPr="008E1AFB">
        <w:rPr>
          <w:lang w:val="en-US"/>
        </w:rPr>
        <w:t xml:space="preserve"> Primary Ciliary Dyskinesia Centre, Departments of </w:t>
      </w:r>
      <w:proofErr w:type="spellStart"/>
      <w:r w:rsidRPr="008E1AFB">
        <w:rPr>
          <w:lang w:val="en-US"/>
        </w:rPr>
        <w:t>Paediatrics</w:t>
      </w:r>
      <w:proofErr w:type="spellEnd"/>
      <w:r w:rsidRPr="008E1AFB">
        <w:rPr>
          <w:lang w:val="en-US"/>
        </w:rPr>
        <w:t xml:space="preserve"> and Paediatric Respiratory Medicine, Imperial College and Royal </w:t>
      </w:r>
      <w:proofErr w:type="spellStart"/>
      <w:r w:rsidRPr="008E1AFB">
        <w:rPr>
          <w:lang w:val="en-US"/>
        </w:rPr>
        <w:t>Brompton</w:t>
      </w:r>
      <w:proofErr w:type="spellEnd"/>
      <w:r w:rsidRPr="008E1AFB">
        <w:rPr>
          <w:lang w:val="en-US"/>
        </w:rPr>
        <w:t xml:space="preserve"> Hospital, London UK</w:t>
      </w:r>
    </w:p>
    <w:p w14:paraId="20616A54" w14:textId="03C736DA" w:rsidR="001437EB" w:rsidRPr="008E1AFB" w:rsidRDefault="001437EB" w:rsidP="001437EB">
      <w:pPr>
        <w:spacing w:after="160" w:line="259" w:lineRule="auto"/>
        <w:rPr>
          <w:lang w:val="en-US"/>
        </w:rPr>
      </w:pPr>
      <w:r w:rsidRPr="008E1AFB">
        <w:rPr>
          <w:b/>
          <w:lang w:val="en-US"/>
        </w:rPr>
        <w:t xml:space="preserve">Christopher O’Callaghan </w:t>
      </w:r>
      <w:r w:rsidRPr="008E1AFB">
        <w:rPr>
          <w:rStyle w:val="Hyperlink"/>
          <w:lang w:val="en-US"/>
        </w:rPr>
        <w:t>c.ocallaghan@ucl.ac.uk</w:t>
      </w:r>
      <w:r w:rsidRPr="008E1AFB">
        <w:rPr>
          <w:lang w:val="en-US"/>
        </w:rPr>
        <w:t xml:space="preserve">  [1] UCL Great Ormond Street Institute of Child Health &amp; NIHR GOSH BRC, </w:t>
      </w:r>
      <w:proofErr w:type="gramStart"/>
      <w:r w:rsidRPr="008E1AFB">
        <w:rPr>
          <w:lang w:val="en-US"/>
        </w:rPr>
        <w:t>London ,</w:t>
      </w:r>
      <w:proofErr w:type="gramEnd"/>
      <w:r w:rsidRPr="008E1AFB">
        <w:rPr>
          <w:lang w:val="en-US"/>
        </w:rPr>
        <w:t xml:space="preserve"> WC1N 1EH, UK. [2] Centre for PCD Diagnosis and Research, Department of Infection, Immunity and Inflammation, University of Leicester, Robert Kilpatrick Clinical Sciences Building, Leicester Royal Infirmary, Leicester, UK</w:t>
      </w:r>
    </w:p>
    <w:p w14:paraId="252EF26A" w14:textId="51244DBB" w:rsidR="001437EB" w:rsidRPr="008E1AFB" w:rsidRDefault="001437EB" w:rsidP="007105A1">
      <w:pPr>
        <w:spacing w:after="160" w:line="259" w:lineRule="auto"/>
        <w:rPr>
          <w:lang w:val="en-US"/>
        </w:rPr>
      </w:pPr>
      <w:r w:rsidRPr="008E1AFB">
        <w:rPr>
          <w:b/>
          <w:bCs/>
          <w:lang w:val="en-US"/>
        </w:rPr>
        <w:t xml:space="preserve">Isabel </w:t>
      </w:r>
      <w:r w:rsidR="008E1AFB">
        <w:rPr>
          <w:b/>
          <w:bCs/>
          <w:lang w:val="en-US"/>
        </w:rPr>
        <w:t xml:space="preserve">C </w:t>
      </w:r>
      <w:r w:rsidRPr="008E1AFB">
        <w:rPr>
          <w:b/>
          <w:bCs/>
          <w:lang w:val="en-US"/>
        </w:rPr>
        <w:t xml:space="preserve">Reading </w:t>
      </w:r>
      <w:r w:rsidRPr="008E1AFB">
        <w:rPr>
          <w:rStyle w:val="Hyperlink"/>
          <w:lang w:val="en-US"/>
        </w:rPr>
        <w:t>I.C.Reading@soton.ac.uk</w:t>
      </w:r>
      <w:r w:rsidRPr="008E1AFB">
        <w:rPr>
          <w:lang w:val="en-US"/>
        </w:rPr>
        <w:t xml:space="preserve"> National Institute of Health Research Design Service South Central, University Hospital Southampton NHS Foundation Trust, Southampton, UK</w:t>
      </w:r>
    </w:p>
    <w:p w14:paraId="7576B79A" w14:textId="2B19F39B" w:rsidR="007105A1" w:rsidRPr="007105A1" w:rsidRDefault="007105A1" w:rsidP="007105A1">
      <w:pPr>
        <w:spacing w:after="160" w:line="259" w:lineRule="auto"/>
      </w:pPr>
      <w:r w:rsidRPr="007105A1">
        <w:rPr>
          <w:b/>
        </w:rPr>
        <w:t xml:space="preserve">Amelia Shoemark PhD  </w:t>
      </w:r>
      <w:r w:rsidRPr="007105A1">
        <w:rPr>
          <w:u w:val="single"/>
        </w:rPr>
        <w:t>a.shoemark@dundee.ac.uk</w:t>
      </w:r>
      <w:r w:rsidRPr="007105A1">
        <w:rPr>
          <w:b/>
        </w:rPr>
        <w:t xml:space="preserve"> [1] </w:t>
      </w:r>
      <w:r w:rsidRPr="007105A1">
        <w:t>Primary Ciliary Dyskinesia Centre, Paediatric Respiratory Medicine, Royal Brompton Hospital, London UK [2] Scottish Centre for Respiratory Research, Division of Molecular and Clinical  Medicine, University of Dundee, Dundee, UK</w:t>
      </w:r>
    </w:p>
    <w:p w14:paraId="11E603AE" w14:textId="77777777" w:rsidR="00267D71" w:rsidRDefault="00267D71" w:rsidP="007105A1">
      <w:pPr>
        <w:spacing w:after="160" w:line="259" w:lineRule="auto"/>
      </w:pPr>
    </w:p>
    <w:p w14:paraId="71D57B0B" w14:textId="51324DF8" w:rsidR="007105A1" w:rsidRPr="007105A1" w:rsidRDefault="00267D71" w:rsidP="007105A1">
      <w:pPr>
        <w:spacing w:after="160" w:line="259" w:lineRule="auto"/>
      </w:pPr>
      <w:bookmarkStart w:id="0" w:name="_GoBack"/>
      <w:bookmarkEnd w:id="0"/>
      <w:r>
        <w:t>All authors have declared no conflicts of interest</w:t>
      </w:r>
    </w:p>
    <w:p w14:paraId="1C9AEB67" w14:textId="77777777" w:rsidR="001437EB" w:rsidRDefault="001437EB" w:rsidP="00521101"/>
    <w:p w14:paraId="35A585AD" w14:textId="5D22BE03" w:rsidR="000C7988" w:rsidRDefault="001437EB" w:rsidP="00521101">
      <w:r>
        <w:t xml:space="preserve">Key words: </w:t>
      </w:r>
      <w:r>
        <w:rPr>
          <w:lang w:val="en"/>
        </w:rPr>
        <w:t xml:space="preserve">primary ciliary dyskinesia; </w:t>
      </w:r>
      <w:r>
        <w:t>accuracy</w:t>
      </w:r>
      <w:r>
        <w:rPr>
          <w:lang w:val="en"/>
        </w:rPr>
        <w:t>; diagnostic tests; microscopy</w:t>
      </w:r>
    </w:p>
    <w:p w14:paraId="37125D9C" w14:textId="77777777" w:rsidR="007105A1" w:rsidRDefault="007105A1">
      <w:pPr>
        <w:spacing w:after="160" w:line="259" w:lineRule="auto"/>
      </w:pPr>
      <w:r>
        <w:br w:type="page"/>
      </w:r>
    </w:p>
    <w:p w14:paraId="569DF499" w14:textId="77777777" w:rsidR="007105A1" w:rsidRDefault="007105A1" w:rsidP="00521101"/>
    <w:p w14:paraId="72A84CCE" w14:textId="77777777" w:rsidR="007105A1" w:rsidRDefault="007105A1" w:rsidP="00521101"/>
    <w:p w14:paraId="7A31A630" w14:textId="6BBA8AD9" w:rsidR="002D35B2" w:rsidRDefault="00521101" w:rsidP="00521101">
      <w:r>
        <w:t xml:space="preserve">We stand by our </w:t>
      </w:r>
      <w:r w:rsidR="00AF6C3D">
        <w:t>study</w:t>
      </w:r>
      <w:r w:rsidR="000C7988" w:rsidRPr="000C7988">
        <w:rPr>
          <w:noProof/>
          <w:vertAlign w:val="superscript"/>
        </w:rPr>
        <w:t>1</w:t>
      </w:r>
      <w:r>
        <w:t xml:space="preserve">, demonstrating that </w:t>
      </w:r>
      <w:r w:rsidR="00FA4895">
        <w:t>high-speed video analysis (</w:t>
      </w:r>
      <w:r w:rsidR="005516E3">
        <w:t>HSVA</w:t>
      </w:r>
      <w:r w:rsidR="00FA4895">
        <w:t>)</w:t>
      </w:r>
      <w:r>
        <w:t xml:space="preserve"> has good sensitivity and specificity to </w:t>
      </w:r>
      <w:r w:rsidR="000C7988">
        <w:t>sup</w:t>
      </w:r>
      <w:r w:rsidR="00C1689E">
        <w:t xml:space="preserve">port PCD </w:t>
      </w:r>
      <w:r>
        <w:t>diagnos</w:t>
      </w:r>
      <w:r w:rsidR="005516E3">
        <w:t>is</w:t>
      </w:r>
      <w:r w:rsidR="000C7988">
        <w:t>. We can</w:t>
      </w:r>
      <w:r w:rsidR="00A668E1">
        <w:t xml:space="preserve"> therefore</w:t>
      </w:r>
      <w:r>
        <w:t xml:space="preserve"> provide </w:t>
      </w:r>
      <w:r w:rsidR="000C7988">
        <w:t xml:space="preserve">provisional </w:t>
      </w:r>
      <w:r>
        <w:t xml:space="preserve">feedback to patients on the day of testing, </w:t>
      </w:r>
      <w:r w:rsidR="000C7988">
        <w:t>whilst awaiting</w:t>
      </w:r>
      <w:r>
        <w:t xml:space="preserve"> </w:t>
      </w:r>
      <w:r w:rsidR="00C1689E">
        <w:t xml:space="preserve">further </w:t>
      </w:r>
      <w:r>
        <w:t>confi</w:t>
      </w:r>
      <w:r w:rsidR="00C1689E">
        <w:t>rmatory</w:t>
      </w:r>
      <w:r w:rsidR="000C7988">
        <w:t xml:space="preserve"> tests. Where</w:t>
      </w:r>
      <w:r>
        <w:t xml:space="preserve"> there were methodological challenges, these are clearly documented in the manuscript;</w:t>
      </w:r>
      <w:r w:rsidR="00153836">
        <w:t xml:space="preserve"> they we</w:t>
      </w:r>
      <w:r w:rsidR="002D35B2">
        <w:t>re not errors</w:t>
      </w:r>
      <w:r>
        <w:t xml:space="preserve">.  </w:t>
      </w:r>
      <w:r w:rsidR="000B3977">
        <w:t xml:space="preserve">We </w:t>
      </w:r>
      <w:r w:rsidR="002D35B2">
        <w:t xml:space="preserve">strongly advocate a combination of </w:t>
      </w:r>
      <w:r w:rsidR="00776D6B">
        <w:t xml:space="preserve">several </w:t>
      </w:r>
      <w:r w:rsidR="002D35B2">
        <w:t xml:space="preserve">tests </w:t>
      </w:r>
      <w:r>
        <w:t>to make a diagnosis</w:t>
      </w:r>
      <w:r w:rsidR="007105A1" w:rsidRPr="007105A1">
        <w:t xml:space="preserve"> </w:t>
      </w:r>
      <w:r w:rsidR="007105A1" w:rsidRPr="007105A1">
        <w:rPr>
          <w:vertAlign w:val="superscript"/>
        </w:rPr>
        <w:t>1</w:t>
      </w:r>
      <w:r w:rsidR="007105A1">
        <w:t xml:space="preserve"> </w:t>
      </w:r>
      <w:r w:rsidR="007105A1" w:rsidRPr="007105A1">
        <w:rPr>
          <w:vertAlign w:val="superscript"/>
        </w:rPr>
        <w:t>2</w:t>
      </w:r>
      <w:r>
        <w:t>. The</w:t>
      </w:r>
      <w:r w:rsidR="00646262">
        <w:t xml:space="preserve"> </w:t>
      </w:r>
      <w:r>
        <w:t>strength</w:t>
      </w:r>
      <w:r w:rsidR="002D35B2">
        <w:t>s</w:t>
      </w:r>
      <w:r>
        <w:t xml:space="preserve"> of </w:t>
      </w:r>
      <w:r w:rsidR="005516E3">
        <w:t>HSVA</w:t>
      </w:r>
      <w:r>
        <w:t xml:space="preserve"> </w:t>
      </w:r>
      <w:r w:rsidR="00646262">
        <w:t xml:space="preserve">are </w:t>
      </w:r>
      <w:r w:rsidR="00A85034">
        <w:t xml:space="preserve">it </w:t>
      </w:r>
      <w:r w:rsidR="00153836">
        <w:t xml:space="preserve">(1) </w:t>
      </w:r>
      <w:r>
        <w:t xml:space="preserve">can identify likely cases on the day, </w:t>
      </w:r>
      <w:r w:rsidR="00153836">
        <w:t>(2) is</w:t>
      </w:r>
      <w:r w:rsidR="00646262">
        <w:t xml:space="preserve"> a</w:t>
      </w:r>
      <w:r w:rsidR="00153836">
        <w:t xml:space="preserve"> functional test of dyskinesia </w:t>
      </w:r>
      <w:r>
        <w:t xml:space="preserve">and </w:t>
      </w:r>
      <w:r w:rsidR="00153836">
        <w:t xml:space="preserve">(3) </w:t>
      </w:r>
      <w:r>
        <w:t xml:space="preserve">adds to the certainty provided by </w:t>
      </w:r>
      <w:r w:rsidR="00FA4895">
        <w:t>nasal nitric oxide (</w:t>
      </w:r>
      <w:proofErr w:type="spellStart"/>
      <w:r>
        <w:t>nNO</w:t>
      </w:r>
      <w:proofErr w:type="spellEnd"/>
      <w:r w:rsidR="00FA4895">
        <w:t>)</w:t>
      </w:r>
      <w:r w:rsidR="00153836">
        <w:t xml:space="preserve"> that a diagnosis is unlikely. W</w:t>
      </w:r>
      <w:r>
        <w:t>e are uncomfortable with the North American approach of excluding a diagnosis ba</w:t>
      </w:r>
      <w:r w:rsidR="002D35B2">
        <w:t>s</w:t>
      </w:r>
      <w:r w:rsidR="00153836">
        <w:t xml:space="preserve">ed on </w:t>
      </w:r>
      <w:proofErr w:type="spellStart"/>
      <w:r w:rsidR="00153836">
        <w:t>nNO</w:t>
      </w:r>
      <w:proofErr w:type="spellEnd"/>
      <w:r w:rsidR="00153836">
        <w:t xml:space="preserve"> alone</w:t>
      </w:r>
      <w:r w:rsidR="007105A1" w:rsidRPr="007105A1">
        <w:rPr>
          <w:noProof/>
          <w:vertAlign w:val="superscript"/>
        </w:rPr>
        <w:t>3</w:t>
      </w:r>
      <w:r w:rsidR="007105A1">
        <w:t xml:space="preserve">; </w:t>
      </w:r>
      <w:r w:rsidR="00153836">
        <w:t>m</w:t>
      </w:r>
      <w:r w:rsidR="00FA4895">
        <w:t xml:space="preserve">oreover </w:t>
      </w:r>
      <w:proofErr w:type="spellStart"/>
      <w:r w:rsidR="00FA4895">
        <w:t>nNO</w:t>
      </w:r>
      <w:proofErr w:type="spellEnd"/>
      <w:r w:rsidR="00153836">
        <w:t xml:space="preserve"> is not easily performed on pre-school children. </w:t>
      </w:r>
    </w:p>
    <w:p w14:paraId="5DC16663" w14:textId="77777777" w:rsidR="00A668E1" w:rsidRDefault="00A668E1" w:rsidP="00521101"/>
    <w:p w14:paraId="5F81D3FB" w14:textId="10D16149" w:rsidR="002D35B2" w:rsidRDefault="007105A1" w:rsidP="00521101">
      <w:r>
        <w:t>To address issues raised</w:t>
      </w:r>
      <w:r w:rsidR="002D35B2">
        <w:t xml:space="preserve"> by Shapiro et al</w:t>
      </w:r>
      <w:r w:rsidR="00A668E1">
        <w:t>:</w:t>
      </w:r>
    </w:p>
    <w:p w14:paraId="12AE333B" w14:textId="77777777" w:rsidR="00A668E1" w:rsidRDefault="00A668E1" w:rsidP="00521101"/>
    <w:p w14:paraId="3FF01941" w14:textId="2ECDCD6C" w:rsidR="002D35B2" w:rsidRDefault="00300BB1" w:rsidP="002D35B2">
      <w:pPr>
        <w:pStyle w:val="ListParagraph"/>
        <w:numPr>
          <w:ilvl w:val="0"/>
          <w:numId w:val="1"/>
        </w:numPr>
      </w:pPr>
      <w:r>
        <w:t>Selecting six videos did</w:t>
      </w:r>
      <w:r w:rsidR="00A668E1">
        <w:t xml:space="preserve"> not introduce </w:t>
      </w:r>
      <w:r w:rsidR="007105A1">
        <w:t>bias. As reported,</w:t>
      </w:r>
      <w:r w:rsidR="00A668E1">
        <w:t xml:space="preserve"> 120 patien</w:t>
      </w:r>
      <w:r w:rsidR="007105A1">
        <w:t>ts were randomly selected. E</w:t>
      </w:r>
      <w:r w:rsidR="00A668E1">
        <w:t>ach had 6-10 vid</w:t>
      </w:r>
      <w:r w:rsidR="007105A1">
        <w:t xml:space="preserve">eos, </w:t>
      </w:r>
      <w:r w:rsidR="00A668E1">
        <w:t>difficult or interesting patients</w:t>
      </w:r>
      <w:r w:rsidR="00BD0147">
        <w:t xml:space="preserve"> had</w:t>
      </w:r>
      <w:r w:rsidR="00A668E1">
        <w:t xml:space="preserve"> </w:t>
      </w:r>
      <w:r w:rsidR="00A85034">
        <w:t>more videos</w:t>
      </w:r>
      <w:r w:rsidR="007105A1">
        <w:t>. To blind the scientists</w:t>
      </w:r>
      <w:r w:rsidR="00A85034">
        <w:t xml:space="preserve"> to “difficulty or interest”</w:t>
      </w:r>
      <w:r w:rsidR="00A668E1">
        <w:t>, an independent technician choose six technically acceptable videos</w:t>
      </w:r>
      <w:r w:rsidR="00C1689E">
        <w:t xml:space="preserve"> (</w:t>
      </w:r>
      <w:r w:rsidRPr="00A85034">
        <w:rPr>
          <w:b/>
        </w:rPr>
        <w:t>not</w:t>
      </w:r>
      <w:r w:rsidR="00C1689E">
        <w:t xml:space="preserve"> excluded on </w:t>
      </w:r>
      <w:r w:rsidR="00FA4895">
        <w:t>‘difficult to diagnose’ criteria)</w:t>
      </w:r>
      <w:r w:rsidR="00A668E1">
        <w:t xml:space="preserve">. </w:t>
      </w:r>
    </w:p>
    <w:p w14:paraId="79059CA4" w14:textId="60BAFDE9" w:rsidR="00153836" w:rsidRDefault="006F6067" w:rsidP="00776D6B">
      <w:pPr>
        <w:pStyle w:val="ListParagraph"/>
        <w:numPr>
          <w:ilvl w:val="0"/>
          <w:numId w:val="1"/>
        </w:numPr>
      </w:pPr>
      <w:r>
        <w:t>We</w:t>
      </w:r>
      <w:r w:rsidR="00153836">
        <w:t xml:space="preserve"> </w:t>
      </w:r>
      <w:r w:rsidR="00C1689E">
        <w:t>assessed</w:t>
      </w:r>
      <w:r>
        <w:t xml:space="preserve"> </w:t>
      </w:r>
      <w:r w:rsidR="00C1689E">
        <w:t xml:space="preserve">the </w:t>
      </w:r>
      <w:r>
        <w:t xml:space="preserve">accuracy of </w:t>
      </w:r>
      <w:r w:rsidR="005516E3">
        <w:t>HSVA</w:t>
      </w:r>
      <w:r w:rsidR="00A668E1">
        <w:t xml:space="preserve"> on the day of testing, as a means to expedite patients receiving provisional counselling and treatment</w:t>
      </w:r>
      <w:r w:rsidR="007105A1">
        <w:t xml:space="preserve">. </w:t>
      </w:r>
      <w:r w:rsidR="00C1689E">
        <w:t>Within our</w:t>
      </w:r>
      <w:r w:rsidR="00A668E1">
        <w:t xml:space="preserve"> paper we advocate further assessment by </w:t>
      </w:r>
      <w:r w:rsidR="00300BB1">
        <w:t xml:space="preserve">repeated HSVA and/or </w:t>
      </w:r>
      <w:r w:rsidR="00A668E1">
        <w:t>reanalysis following culture, TEM, genetics and immunofluorescence testing</w:t>
      </w:r>
      <w:r w:rsidR="000C7988" w:rsidRPr="00776D6B">
        <w:rPr>
          <w:noProof/>
          <w:vertAlign w:val="superscript"/>
        </w:rPr>
        <w:t>1</w:t>
      </w:r>
      <w:r w:rsidR="00A668E1">
        <w:t>.</w:t>
      </w:r>
      <w:r w:rsidR="00153836">
        <w:t xml:space="preserve"> A positive diagnosis of PCD should only be made based on confirmatory genetic or transmission electron microscopy (TEM) analysis</w:t>
      </w:r>
      <w:r w:rsidR="00776D6B" w:rsidRPr="00776D6B">
        <w:t xml:space="preserve"> </w:t>
      </w:r>
      <w:r w:rsidR="00776D6B">
        <w:t>as per international</w:t>
      </w:r>
      <w:r w:rsidR="00776D6B" w:rsidRPr="00776D6B">
        <w:t xml:space="preserve"> guidelines</w:t>
      </w:r>
      <w:r w:rsidR="007105A1" w:rsidRPr="00776D6B">
        <w:rPr>
          <w:noProof/>
          <w:vertAlign w:val="superscript"/>
        </w:rPr>
        <w:t>2</w:t>
      </w:r>
      <w:r w:rsidR="00A85034">
        <w:rPr>
          <w:noProof/>
          <w:vertAlign w:val="superscript"/>
        </w:rPr>
        <w:t>,3</w:t>
      </w:r>
      <w:r w:rsidR="00776D6B">
        <w:t>.</w:t>
      </w:r>
    </w:p>
    <w:p w14:paraId="67572B19" w14:textId="006DDFF2" w:rsidR="00A668E1" w:rsidRDefault="00300BB1" w:rsidP="002D35B2">
      <w:pPr>
        <w:pStyle w:val="ListParagraph"/>
        <w:numPr>
          <w:ilvl w:val="0"/>
          <w:numId w:val="1"/>
        </w:numPr>
      </w:pPr>
      <w:r>
        <w:t xml:space="preserve">Since genetic testing </w:t>
      </w:r>
      <w:r w:rsidR="00153836">
        <w:t>fails to identify 20-30% of</w:t>
      </w:r>
      <w:r w:rsidR="00C1689E">
        <w:t xml:space="preserve"> patients, it cannot </w:t>
      </w:r>
      <w:r w:rsidR="00153836">
        <w:t>exclude a diagnosis</w:t>
      </w:r>
      <w:r w:rsidR="007105A1" w:rsidRPr="007105A1">
        <w:rPr>
          <w:noProof/>
          <w:vertAlign w:val="superscript"/>
        </w:rPr>
        <w:t>2</w:t>
      </w:r>
      <w:r w:rsidR="00C1689E">
        <w:t xml:space="preserve">. Similarly TEM </w:t>
      </w:r>
      <w:r w:rsidR="00153836">
        <w:t>fail</w:t>
      </w:r>
      <w:r w:rsidR="00C1689E">
        <w:t>s</w:t>
      </w:r>
      <w:r w:rsidR="00153836">
        <w:t xml:space="preserve"> to identify 20% of patients</w:t>
      </w:r>
      <w:r w:rsidR="007105A1" w:rsidRPr="007105A1">
        <w:rPr>
          <w:noProof/>
          <w:vertAlign w:val="superscript"/>
        </w:rPr>
        <w:t>2</w:t>
      </w:r>
      <w:r w:rsidR="00153836">
        <w:t>.</w:t>
      </w:r>
      <w:r>
        <w:t xml:space="preserve"> </w:t>
      </w:r>
      <w:r w:rsidR="00A85034">
        <w:t xml:space="preserve">Repeated </w:t>
      </w:r>
      <w:r w:rsidR="005516E3">
        <w:t>HSVA</w:t>
      </w:r>
      <w:r w:rsidR="006F6067">
        <w:t xml:space="preserve"> identifies</w:t>
      </w:r>
      <w:r w:rsidR="00AF6C3D">
        <w:t xml:space="preserve"> patients with dyskinesia</w:t>
      </w:r>
      <w:r w:rsidR="00776D6B">
        <w:t xml:space="preserve"> associated with</w:t>
      </w:r>
      <w:r w:rsidR="006F6067">
        <w:t xml:space="preserve"> normal genetics and TEM. These patients should be</w:t>
      </w:r>
      <w:r w:rsidR="007105A1">
        <w:t xml:space="preserve"> considered</w:t>
      </w:r>
      <w:r w:rsidR="006F6067">
        <w:t xml:space="preserve"> </w:t>
      </w:r>
      <w:r w:rsidR="00AF6C3D">
        <w:t>‘highly likely’</w:t>
      </w:r>
      <w:r w:rsidR="007105A1">
        <w:t xml:space="preserve"> until further diagnostic</w:t>
      </w:r>
      <w:r w:rsidR="00AF6C3D">
        <w:t xml:space="preserve"> advances provide a confirmatory diagnosis</w:t>
      </w:r>
      <w:r w:rsidR="007105A1" w:rsidRPr="007105A1">
        <w:rPr>
          <w:noProof/>
          <w:vertAlign w:val="superscript"/>
        </w:rPr>
        <w:t>2</w:t>
      </w:r>
      <w:r w:rsidR="00AF6C3D">
        <w:t>.</w:t>
      </w:r>
    </w:p>
    <w:p w14:paraId="161D511A" w14:textId="733CC376" w:rsidR="00A668E1" w:rsidRDefault="00FA4895" w:rsidP="002D35B2">
      <w:pPr>
        <w:pStyle w:val="ListParagraph"/>
        <w:numPr>
          <w:ilvl w:val="0"/>
          <w:numId w:val="1"/>
        </w:numPr>
      </w:pPr>
      <w:r>
        <w:t>In the absence of a ‘gold standard’ diagnostic test</w:t>
      </w:r>
      <w:r w:rsidR="00A85034">
        <w:t>,</w:t>
      </w:r>
      <w:r>
        <w:t xml:space="preserve"> we used two imperfect reference standards</w:t>
      </w:r>
      <w:r w:rsidR="000C7988" w:rsidRPr="000C7988">
        <w:rPr>
          <w:noProof/>
          <w:vertAlign w:val="superscript"/>
        </w:rPr>
        <w:t>4,5</w:t>
      </w:r>
      <w:r>
        <w:t xml:space="preserve">. The strengths and limitations of each are clearly described in the manuscript. </w:t>
      </w:r>
    </w:p>
    <w:p w14:paraId="7DBCFEF3" w14:textId="12350302" w:rsidR="002D35B2" w:rsidRDefault="00300BB1" w:rsidP="00521101">
      <w:pPr>
        <w:pStyle w:val="ListParagraph"/>
        <w:numPr>
          <w:ilvl w:val="0"/>
          <w:numId w:val="1"/>
        </w:numPr>
      </w:pPr>
      <w:r>
        <w:t>I</w:t>
      </w:r>
      <w:r w:rsidR="00AF6C3D">
        <w:t xml:space="preserve">n our hands </w:t>
      </w:r>
      <w:r w:rsidR="005516E3">
        <w:t>HSVA</w:t>
      </w:r>
      <w:r w:rsidR="00AF6C3D">
        <w:t xml:space="preserve"> can detect </w:t>
      </w:r>
      <w:r w:rsidR="00AF6C3D" w:rsidRPr="005516E3">
        <w:rPr>
          <w:i/>
          <w:iCs/>
        </w:rPr>
        <w:t>DN</w:t>
      </w:r>
      <w:r w:rsidR="006F6067" w:rsidRPr="005516E3">
        <w:rPr>
          <w:i/>
          <w:iCs/>
        </w:rPr>
        <w:t>AH9</w:t>
      </w:r>
      <w:r w:rsidR="006F6067">
        <w:t xml:space="preserve">, </w:t>
      </w:r>
      <w:r w:rsidR="006F6067" w:rsidRPr="005516E3">
        <w:rPr>
          <w:i/>
          <w:iCs/>
        </w:rPr>
        <w:t>GAS8</w:t>
      </w:r>
      <w:r w:rsidR="006F6067">
        <w:t xml:space="preserve"> and </w:t>
      </w:r>
      <w:r w:rsidR="006F6067" w:rsidRPr="005516E3">
        <w:rPr>
          <w:i/>
          <w:iCs/>
        </w:rPr>
        <w:t>HYDIN</w:t>
      </w:r>
      <w:r w:rsidR="006F6067">
        <w:t xml:space="preserve"> mutations</w:t>
      </w:r>
      <w:r>
        <w:t xml:space="preserve"> (data not shown)</w:t>
      </w:r>
      <w:r w:rsidR="006F6067">
        <w:t>.</w:t>
      </w:r>
      <w:r w:rsidR="00AF6C3D">
        <w:t xml:space="preserve"> </w:t>
      </w:r>
      <w:r w:rsidR="006F6067">
        <w:t>C</w:t>
      </w:r>
      <w:r w:rsidR="00AF6C3D">
        <w:t xml:space="preserve">ontrary to </w:t>
      </w:r>
      <w:r w:rsidR="00BD3699">
        <w:t>Shapiro</w:t>
      </w:r>
      <w:r w:rsidR="00AF6C3D">
        <w:t xml:space="preserve"> et </w:t>
      </w:r>
      <w:proofErr w:type="spellStart"/>
      <w:r w:rsidR="00AF6C3D">
        <w:t>al’s</w:t>
      </w:r>
      <w:proofErr w:type="spellEnd"/>
      <w:r w:rsidR="00AF6C3D">
        <w:t xml:space="preserve"> letter these all have abnormal beat patterns as described in the</w:t>
      </w:r>
      <w:r w:rsidR="007105A1">
        <w:t>ir</w:t>
      </w:r>
      <w:r w:rsidR="00AF6C3D">
        <w:t xml:space="preserve"> original manuscripts. CCNO and MCIDAS are strongly suspected where </w:t>
      </w:r>
      <w:proofErr w:type="spellStart"/>
      <w:r w:rsidR="00AF6C3D">
        <w:t>ciliation</w:t>
      </w:r>
      <w:proofErr w:type="spellEnd"/>
      <w:r w:rsidR="00AF6C3D">
        <w:t xml:space="preserve"> is </w:t>
      </w:r>
      <w:r w:rsidR="00C1689E">
        <w:t xml:space="preserve">repeatedly </w:t>
      </w:r>
      <w:r w:rsidR="00AF6C3D">
        <w:t xml:space="preserve">poor, particularly following culture. We </w:t>
      </w:r>
      <w:r w:rsidR="005516E3">
        <w:t>test</w:t>
      </w:r>
      <w:r w:rsidR="00AF6C3D">
        <w:t xml:space="preserve"> genetics where PCD is suspected following </w:t>
      </w:r>
      <w:r w:rsidR="005516E3">
        <w:t>HSVA</w:t>
      </w:r>
      <w:r w:rsidR="00AF6C3D">
        <w:t xml:space="preserve"> +/- </w:t>
      </w:r>
      <w:proofErr w:type="spellStart"/>
      <w:r w:rsidR="00AF6C3D">
        <w:t>nNO</w:t>
      </w:r>
      <w:proofErr w:type="spellEnd"/>
      <w:r w:rsidR="00AF6C3D">
        <w:t xml:space="preserve">. </w:t>
      </w:r>
    </w:p>
    <w:p w14:paraId="568DAC6F" w14:textId="77777777" w:rsidR="002D35B2" w:rsidRDefault="002D35B2" w:rsidP="00521101"/>
    <w:p w14:paraId="141CF76B" w14:textId="22418306" w:rsidR="00FA4895" w:rsidRPr="00FA4895" w:rsidRDefault="00FA4895" w:rsidP="00FA4895">
      <w:r>
        <w:t>In summary, everyone</w:t>
      </w:r>
      <w:r w:rsidRPr="00FA4895">
        <w:t xml:space="preserve"> agree</w:t>
      </w:r>
      <w:r>
        <w:t>s</w:t>
      </w:r>
      <w:r w:rsidRPr="00FA4895">
        <w:t xml:space="preserve"> that </w:t>
      </w:r>
      <w:r w:rsidR="00776D6B">
        <w:t xml:space="preserve">all </w:t>
      </w:r>
      <w:r w:rsidRPr="00FA4895">
        <w:t>current methods for diagnosing PCD and for assessing diagnostic accuracy are imperfect and require further development and scrutiny</w:t>
      </w:r>
      <w:r w:rsidR="00AF6C3D">
        <w:t>. W</w:t>
      </w:r>
      <w:r>
        <w:t xml:space="preserve">e were </w:t>
      </w:r>
      <w:r w:rsidRPr="00FA4895">
        <w:t>transparent about dia</w:t>
      </w:r>
      <w:r w:rsidR="00AF6C3D">
        <w:t>gnostic and statistical methods</w:t>
      </w:r>
      <w:r w:rsidRPr="00FA4895">
        <w:t xml:space="preserve"> and their limitations, </w:t>
      </w:r>
      <w:r w:rsidR="00300BB1">
        <w:t xml:space="preserve">and confirm </w:t>
      </w:r>
      <w:r w:rsidR="00C1689E">
        <w:t>our approach was valid</w:t>
      </w:r>
      <w:r w:rsidRPr="00FA4895">
        <w:t xml:space="preserve">. </w:t>
      </w:r>
      <w:r>
        <w:t xml:space="preserve">The </w:t>
      </w:r>
      <w:r w:rsidR="00AF6C3D">
        <w:t>study</w:t>
      </w:r>
      <w:r>
        <w:t xml:space="preserve"> is a </w:t>
      </w:r>
      <w:r w:rsidRPr="00FA4895">
        <w:t xml:space="preserve">significant step in the plight to develop an evidence-base to diagnostic testing. Waiting for a ‘gold standard’ will not allow us to move forward in the near future. </w:t>
      </w:r>
    </w:p>
    <w:p w14:paraId="364C7639" w14:textId="77777777" w:rsidR="002D35B2" w:rsidRDefault="002D35B2" w:rsidP="00521101"/>
    <w:p w14:paraId="2E6044F2" w14:textId="77777777" w:rsidR="002D35B2" w:rsidRDefault="002D35B2" w:rsidP="00521101"/>
    <w:p w14:paraId="1ABCDE8A" w14:textId="77777777" w:rsidR="000C7988" w:rsidRDefault="000C7988">
      <w:pPr>
        <w:rPr>
          <w:b/>
        </w:rPr>
      </w:pPr>
      <w:r w:rsidRPr="000C7988">
        <w:rPr>
          <w:b/>
        </w:rPr>
        <w:t>References</w:t>
      </w:r>
    </w:p>
    <w:p w14:paraId="7DE89A2A" w14:textId="77777777" w:rsidR="000C7988" w:rsidRDefault="000C7988">
      <w:pPr>
        <w:rPr>
          <w:b/>
        </w:rPr>
      </w:pPr>
    </w:p>
    <w:p w14:paraId="1F8DC059" w14:textId="239A2C24" w:rsidR="007105A1" w:rsidRPr="007105A1" w:rsidRDefault="007105A1" w:rsidP="0060627E">
      <w:pPr>
        <w:pStyle w:val="EndNoteBibliography"/>
      </w:pPr>
      <w:r w:rsidRPr="007105A1">
        <w:t>1.</w:t>
      </w:r>
      <w:r w:rsidRPr="007105A1">
        <w:tab/>
      </w:r>
      <w:r w:rsidR="0060627E">
        <w:t xml:space="preserve">Rubbo B, Shoemark A, Jackson CL et al. Accuracy of High-Speed Video Analysis to Diagnose Primary Ciliary Dyskinesia. </w:t>
      </w:r>
      <w:r w:rsidR="0060627E" w:rsidRPr="0060627E">
        <w:rPr>
          <w:i/>
        </w:rPr>
        <w:t>Chest</w:t>
      </w:r>
      <w:r w:rsidR="0060627E">
        <w:t xml:space="preserve"> 2019 May;155(5):1008-1017.</w:t>
      </w:r>
    </w:p>
    <w:p w14:paraId="621C135C" w14:textId="178D173B" w:rsidR="007105A1" w:rsidRPr="007105A1" w:rsidRDefault="007105A1" w:rsidP="007105A1">
      <w:pPr>
        <w:pStyle w:val="EndNoteBibliography"/>
      </w:pPr>
      <w:r w:rsidRPr="007105A1">
        <w:t>2.</w:t>
      </w:r>
      <w:r w:rsidRPr="007105A1">
        <w:tab/>
        <w:t xml:space="preserve">Lucas JS, Barbato A, Collins SA, et al. European Respiratory Society guidelines for the diagnosis of primary ciliary dyskinesia. </w:t>
      </w:r>
      <w:r w:rsidR="0060627E">
        <w:rPr>
          <w:i/>
        </w:rPr>
        <w:t>Eur Respir J</w:t>
      </w:r>
      <w:r w:rsidRPr="007105A1">
        <w:t xml:space="preserve"> 2017; </w:t>
      </w:r>
      <w:r w:rsidRPr="007105A1">
        <w:rPr>
          <w:b/>
        </w:rPr>
        <w:t>49</w:t>
      </w:r>
      <w:r w:rsidRPr="007105A1">
        <w:t>(1).</w:t>
      </w:r>
    </w:p>
    <w:p w14:paraId="54AAC0FC" w14:textId="534D830C" w:rsidR="007105A1" w:rsidRPr="007105A1" w:rsidRDefault="007105A1" w:rsidP="007105A1">
      <w:pPr>
        <w:pStyle w:val="EndNoteBibliography"/>
      </w:pPr>
      <w:r w:rsidRPr="007105A1">
        <w:lastRenderedPageBreak/>
        <w:t>3.</w:t>
      </w:r>
      <w:r w:rsidRPr="007105A1">
        <w:tab/>
        <w:t xml:space="preserve">Shapiro AJ, Davis SD, Polineni D, et al. Diagnosis of Primary Ciliary Dyskinesia. An Official American Thoracic Society Clinical Practice Guideline. </w:t>
      </w:r>
      <w:r w:rsidR="007A7947" w:rsidRPr="007A7947">
        <w:rPr>
          <w:i/>
          <w:lang w:val="en-GB"/>
        </w:rPr>
        <w:t>Am J Respir Crit Care Med</w:t>
      </w:r>
      <w:r w:rsidR="007A7947">
        <w:rPr>
          <w:i/>
          <w:lang w:val="en-GB"/>
        </w:rPr>
        <w:t xml:space="preserve"> </w:t>
      </w:r>
      <w:r w:rsidRPr="007105A1">
        <w:t xml:space="preserve">2018; </w:t>
      </w:r>
      <w:r w:rsidRPr="007105A1">
        <w:rPr>
          <w:b/>
        </w:rPr>
        <w:t>197</w:t>
      </w:r>
      <w:r w:rsidRPr="007105A1">
        <w:t>(12): e24-e39.</w:t>
      </w:r>
    </w:p>
    <w:p w14:paraId="028BFA11" w14:textId="0FCD1488" w:rsidR="007105A1" w:rsidRPr="007105A1" w:rsidRDefault="007105A1" w:rsidP="007105A1">
      <w:pPr>
        <w:pStyle w:val="EndNoteBibliography"/>
      </w:pPr>
      <w:r w:rsidRPr="007105A1">
        <w:t>4.</w:t>
      </w:r>
      <w:r w:rsidRPr="007105A1">
        <w:tab/>
        <w:t xml:space="preserve">Reitsma JB, Rutjes AW, Khan KS, Coomarasamy A, Bossuyt PM. A review of solutions for diagnostic accuracy studies with an imperfect or missing reference standard. </w:t>
      </w:r>
      <w:r w:rsidR="007A7947">
        <w:rPr>
          <w:i/>
        </w:rPr>
        <w:t>J Clinical E</w:t>
      </w:r>
      <w:r w:rsidRPr="007105A1">
        <w:rPr>
          <w:i/>
        </w:rPr>
        <w:t>pidemiology</w:t>
      </w:r>
      <w:r w:rsidRPr="007105A1">
        <w:t xml:space="preserve"> 2009; </w:t>
      </w:r>
      <w:r w:rsidRPr="007105A1">
        <w:rPr>
          <w:b/>
        </w:rPr>
        <w:t>62</w:t>
      </w:r>
      <w:r w:rsidRPr="007105A1">
        <w:t>(8): 797-806.</w:t>
      </w:r>
    </w:p>
    <w:p w14:paraId="107D459B" w14:textId="255346DF" w:rsidR="007105A1" w:rsidRPr="007105A1" w:rsidRDefault="007105A1" w:rsidP="007105A1">
      <w:pPr>
        <w:pStyle w:val="EndNoteBibliography"/>
      </w:pPr>
      <w:r w:rsidRPr="007105A1">
        <w:t>5.</w:t>
      </w:r>
      <w:r w:rsidRPr="007105A1">
        <w:tab/>
        <w:t xml:space="preserve">Rutjes AW, Reitsma JB, Coomarasamy A, Khan KS, Bossuyt PM. Evaluation of diagnostic tests when there is no gold standard. A review of methods. </w:t>
      </w:r>
      <w:r w:rsidR="007A7947">
        <w:rPr>
          <w:i/>
        </w:rPr>
        <w:t xml:space="preserve">Health Technology Assessment </w:t>
      </w:r>
      <w:r w:rsidRPr="007105A1">
        <w:t xml:space="preserve">2007; </w:t>
      </w:r>
      <w:r w:rsidRPr="007105A1">
        <w:rPr>
          <w:b/>
        </w:rPr>
        <w:t>11</w:t>
      </w:r>
      <w:r w:rsidRPr="007105A1">
        <w:t>(50): iii, ix-51.</w:t>
      </w:r>
    </w:p>
    <w:p w14:paraId="3E41C265" w14:textId="1B9EED74" w:rsidR="00AF6C3D" w:rsidRPr="000C7988" w:rsidRDefault="00AF6C3D">
      <w:pPr>
        <w:rPr>
          <w:b/>
        </w:rPr>
      </w:pPr>
    </w:p>
    <w:sectPr w:rsidR="00AF6C3D" w:rsidRPr="000C7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C0FD3E" w16cid:durableId="20BD1523"/>
  <w16cid:commentId w16cid:paraId="0736CF05" w16cid:durableId="20BD1524"/>
  <w16cid:commentId w16cid:paraId="08D2FB19" w16cid:durableId="20BD18BD"/>
  <w16cid:commentId w16cid:paraId="1A510C18" w16cid:durableId="20BD15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1406C"/>
    <w:multiLevelType w:val="hybridMultilevel"/>
    <w:tmpl w:val="73A63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9pfwdzpcedx9neza0rpvw9tdxzf0f5tdef9&quot;&gt;PCD july2017-Saved&lt;record-ids&gt;&lt;item&gt;35&lt;/item&gt;&lt;item&gt;638&lt;/item&gt;&lt;item&gt;639&lt;/item&gt;&lt;item&gt;640&lt;/item&gt;&lt;item&gt;678&lt;/item&gt;&lt;/record-ids&gt;&lt;/item&gt;&lt;/Libraries&gt;"/>
  </w:docVars>
  <w:rsids>
    <w:rsidRoot w:val="00521101"/>
    <w:rsid w:val="00087CCC"/>
    <w:rsid w:val="000B3977"/>
    <w:rsid w:val="000C7988"/>
    <w:rsid w:val="001437EB"/>
    <w:rsid w:val="00153836"/>
    <w:rsid w:val="001F29D8"/>
    <w:rsid w:val="00267D71"/>
    <w:rsid w:val="002808EA"/>
    <w:rsid w:val="00294064"/>
    <w:rsid w:val="002D35B2"/>
    <w:rsid w:val="00300BB1"/>
    <w:rsid w:val="003D62EB"/>
    <w:rsid w:val="00521101"/>
    <w:rsid w:val="00525EEC"/>
    <w:rsid w:val="005516E3"/>
    <w:rsid w:val="0060627E"/>
    <w:rsid w:val="00622DDD"/>
    <w:rsid w:val="00646262"/>
    <w:rsid w:val="006F6067"/>
    <w:rsid w:val="007105A1"/>
    <w:rsid w:val="00776D6B"/>
    <w:rsid w:val="007A7947"/>
    <w:rsid w:val="008E1AFB"/>
    <w:rsid w:val="00A22E6A"/>
    <w:rsid w:val="00A256C2"/>
    <w:rsid w:val="00A668E1"/>
    <w:rsid w:val="00A85034"/>
    <w:rsid w:val="00AF6C3D"/>
    <w:rsid w:val="00BA3F07"/>
    <w:rsid w:val="00BB7652"/>
    <w:rsid w:val="00BD0147"/>
    <w:rsid w:val="00BD3699"/>
    <w:rsid w:val="00C1689E"/>
    <w:rsid w:val="00C608F3"/>
    <w:rsid w:val="00C844B8"/>
    <w:rsid w:val="00CA7767"/>
    <w:rsid w:val="00DE7790"/>
    <w:rsid w:val="00E73618"/>
    <w:rsid w:val="00F565CC"/>
    <w:rsid w:val="00F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540D"/>
  <w15:chartTrackingRefBased/>
  <w15:docId w15:val="{D1E3D278-7435-4629-AB35-AED91551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10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5B2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AF6C3D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F6C3D"/>
    <w:rPr>
      <w:rFonts w:ascii="Calibri" w:eastAsia="Times New Roman" w:hAnsi="Calibri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F6C3D"/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F6C3D"/>
    <w:rPr>
      <w:rFonts w:ascii="Calibri" w:eastAsia="Times New Roman" w:hAnsi="Calibri" w:cs="Times New Roman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6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0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06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067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06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J.</dc:creator>
  <cp:keywords/>
  <dc:description/>
  <cp:lastModifiedBy>Lucas J.</cp:lastModifiedBy>
  <cp:revision>8</cp:revision>
  <dcterms:created xsi:type="dcterms:W3CDTF">2019-06-26T09:40:00Z</dcterms:created>
  <dcterms:modified xsi:type="dcterms:W3CDTF">2019-06-29T12:59:00Z</dcterms:modified>
</cp:coreProperties>
</file>