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4F3BC" w14:textId="5031320E" w:rsidR="00CC77C7" w:rsidRPr="001E0157" w:rsidRDefault="00CC77C7" w:rsidP="00241B70">
      <w:pPr>
        <w:tabs>
          <w:tab w:val="left" w:pos="560"/>
        </w:tabs>
        <w:spacing w:line="480" w:lineRule="auto"/>
        <w:rPr>
          <w:b/>
          <w:bCs/>
          <w:sz w:val="24"/>
          <w:szCs w:val="24"/>
        </w:rPr>
      </w:pPr>
      <w:r w:rsidRPr="001E0157">
        <w:rPr>
          <w:b/>
          <w:bCs/>
          <w:sz w:val="24"/>
          <w:szCs w:val="24"/>
        </w:rPr>
        <w:t xml:space="preserve">Metaphor </w:t>
      </w:r>
      <w:r w:rsidR="009527DD">
        <w:rPr>
          <w:b/>
          <w:bCs/>
          <w:sz w:val="24"/>
          <w:szCs w:val="24"/>
        </w:rPr>
        <w:t xml:space="preserve">and Moral </w:t>
      </w:r>
      <w:r w:rsidR="000C1668">
        <w:rPr>
          <w:b/>
          <w:bCs/>
          <w:sz w:val="24"/>
          <w:szCs w:val="24"/>
        </w:rPr>
        <w:t>Plausibility</w:t>
      </w:r>
      <w:r w:rsidRPr="001E0157">
        <w:rPr>
          <w:b/>
          <w:bCs/>
          <w:sz w:val="24"/>
          <w:szCs w:val="24"/>
        </w:rPr>
        <w:t xml:space="preserve"> </w:t>
      </w:r>
      <w:r w:rsidR="009527DD">
        <w:rPr>
          <w:b/>
          <w:bCs/>
          <w:sz w:val="24"/>
          <w:szCs w:val="24"/>
        </w:rPr>
        <w:t xml:space="preserve">in Legal </w:t>
      </w:r>
      <w:r w:rsidR="00241B70">
        <w:rPr>
          <w:b/>
          <w:bCs/>
          <w:sz w:val="24"/>
          <w:szCs w:val="24"/>
        </w:rPr>
        <w:t>Judgment</w:t>
      </w:r>
      <w:r w:rsidR="00241B70">
        <w:rPr>
          <w:b/>
          <w:bCs/>
          <w:sz w:val="24"/>
          <w:szCs w:val="24"/>
        </w:rPr>
        <w:t>:</w:t>
      </w:r>
      <w:r w:rsidR="00241B70" w:rsidRPr="001E0157">
        <w:rPr>
          <w:b/>
          <w:bCs/>
          <w:sz w:val="24"/>
          <w:szCs w:val="24"/>
        </w:rPr>
        <w:t xml:space="preserve"> </w:t>
      </w:r>
      <w:r w:rsidR="00241B70" w:rsidRPr="001E0157">
        <w:rPr>
          <w:b/>
          <w:bCs/>
          <w:sz w:val="24"/>
          <w:szCs w:val="24"/>
        </w:rPr>
        <w:t xml:space="preserve">Constructing Culpability on Fragile Foundations? </w:t>
      </w:r>
    </w:p>
    <w:p w14:paraId="356309C0" w14:textId="01D960B3" w:rsidR="008233C6" w:rsidRPr="001E0157" w:rsidRDefault="008233C6" w:rsidP="00210694">
      <w:pPr>
        <w:tabs>
          <w:tab w:val="left" w:pos="560"/>
        </w:tabs>
        <w:spacing w:line="480" w:lineRule="auto"/>
        <w:rPr>
          <w:b/>
          <w:bCs/>
          <w:sz w:val="24"/>
          <w:szCs w:val="24"/>
        </w:rPr>
      </w:pPr>
      <w:r w:rsidRPr="001E0157">
        <w:rPr>
          <w:b/>
          <w:bCs/>
          <w:sz w:val="24"/>
          <w:szCs w:val="24"/>
        </w:rPr>
        <w:t>Abstract</w:t>
      </w:r>
    </w:p>
    <w:p w14:paraId="223140C2" w14:textId="6BF93A4E" w:rsidR="00E035B2" w:rsidRPr="001E0157" w:rsidRDefault="00142E29" w:rsidP="00BF072F">
      <w:pPr>
        <w:rPr>
          <w:sz w:val="24"/>
          <w:szCs w:val="24"/>
        </w:rPr>
      </w:pPr>
      <w:r>
        <w:rPr>
          <w:sz w:val="24"/>
          <w:szCs w:val="24"/>
        </w:rPr>
        <w:t>T</w:t>
      </w:r>
      <w:r w:rsidR="006641AA">
        <w:rPr>
          <w:sz w:val="24"/>
          <w:szCs w:val="24"/>
        </w:rPr>
        <w:t xml:space="preserve">he struggle </w:t>
      </w:r>
      <w:r>
        <w:rPr>
          <w:sz w:val="24"/>
          <w:szCs w:val="24"/>
        </w:rPr>
        <w:t>for</w:t>
      </w:r>
      <w:r w:rsidR="006641AA">
        <w:rPr>
          <w:sz w:val="24"/>
          <w:szCs w:val="24"/>
        </w:rPr>
        <w:t xml:space="preserve"> </w:t>
      </w:r>
      <w:r w:rsidR="009913F8">
        <w:rPr>
          <w:sz w:val="24"/>
          <w:szCs w:val="24"/>
        </w:rPr>
        <w:t xml:space="preserve">justice </w:t>
      </w:r>
      <w:r>
        <w:rPr>
          <w:sz w:val="24"/>
          <w:szCs w:val="24"/>
        </w:rPr>
        <w:t>is</w:t>
      </w:r>
      <w:r w:rsidR="00827791">
        <w:rPr>
          <w:sz w:val="24"/>
          <w:szCs w:val="24"/>
        </w:rPr>
        <w:t xml:space="preserve"> </w:t>
      </w:r>
      <w:r>
        <w:rPr>
          <w:sz w:val="24"/>
          <w:szCs w:val="24"/>
        </w:rPr>
        <w:t>commonly</w:t>
      </w:r>
      <w:r w:rsidR="009913F8">
        <w:rPr>
          <w:sz w:val="24"/>
          <w:szCs w:val="24"/>
        </w:rPr>
        <w:t xml:space="preserve"> </w:t>
      </w:r>
      <w:r w:rsidR="00827791">
        <w:rPr>
          <w:sz w:val="24"/>
          <w:szCs w:val="24"/>
        </w:rPr>
        <w:t xml:space="preserve">articulated </w:t>
      </w:r>
      <w:r w:rsidR="00AE59F5">
        <w:rPr>
          <w:sz w:val="24"/>
          <w:szCs w:val="24"/>
        </w:rPr>
        <w:t xml:space="preserve">in literature and drama </w:t>
      </w:r>
      <w:r w:rsidR="00827791">
        <w:rPr>
          <w:sz w:val="24"/>
          <w:szCs w:val="24"/>
        </w:rPr>
        <w:t>through metaphors of</w:t>
      </w:r>
      <w:r w:rsidR="009913F8">
        <w:rPr>
          <w:sz w:val="24"/>
          <w:szCs w:val="24"/>
        </w:rPr>
        <w:t xml:space="preserve"> physical </w:t>
      </w:r>
      <w:r w:rsidR="00827791">
        <w:rPr>
          <w:sz w:val="24"/>
          <w:szCs w:val="24"/>
        </w:rPr>
        <w:t xml:space="preserve">encumbrance </w:t>
      </w:r>
      <w:r w:rsidR="00AE59F5">
        <w:rPr>
          <w:sz w:val="24"/>
          <w:szCs w:val="24"/>
        </w:rPr>
        <w:t xml:space="preserve">(cramped, constraining conditions, being entangled and mired) </w:t>
      </w:r>
      <w:r w:rsidR="00827791">
        <w:rPr>
          <w:sz w:val="24"/>
          <w:szCs w:val="24"/>
        </w:rPr>
        <w:t>and escape</w:t>
      </w:r>
      <w:r w:rsidR="00AE59F5">
        <w:rPr>
          <w:sz w:val="24"/>
          <w:szCs w:val="24"/>
        </w:rPr>
        <w:t xml:space="preserve"> (</w:t>
      </w:r>
      <w:r>
        <w:rPr>
          <w:sz w:val="24"/>
          <w:szCs w:val="24"/>
        </w:rPr>
        <w:t xml:space="preserve">e.g. </w:t>
      </w:r>
      <w:r w:rsidR="00AE59F5">
        <w:rPr>
          <w:sz w:val="24"/>
          <w:szCs w:val="24"/>
        </w:rPr>
        <w:t>to open landscapes and a view of the horizon and sky)</w:t>
      </w:r>
      <w:r w:rsidR="009913F8">
        <w:rPr>
          <w:iCs/>
          <w:sz w:val="24"/>
          <w:szCs w:val="24"/>
        </w:rPr>
        <w:t>.</w:t>
      </w:r>
      <w:r w:rsidR="0019132F">
        <w:rPr>
          <w:sz w:val="24"/>
          <w:szCs w:val="24"/>
        </w:rPr>
        <w:t xml:space="preserve"> What is less well known </w:t>
      </w:r>
      <w:r w:rsidR="00455EB3">
        <w:rPr>
          <w:sz w:val="24"/>
          <w:szCs w:val="24"/>
        </w:rPr>
        <w:t xml:space="preserve">or observed </w:t>
      </w:r>
      <w:r w:rsidR="0019132F">
        <w:rPr>
          <w:sz w:val="24"/>
          <w:szCs w:val="24"/>
        </w:rPr>
        <w:t xml:space="preserve">is that </w:t>
      </w:r>
      <w:r w:rsidR="009913F8">
        <w:rPr>
          <w:sz w:val="24"/>
          <w:szCs w:val="24"/>
        </w:rPr>
        <w:t>a</w:t>
      </w:r>
      <w:r w:rsidR="0019132F">
        <w:rPr>
          <w:sz w:val="24"/>
          <w:szCs w:val="24"/>
        </w:rPr>
        <w:t xml:space="preserve"> </w:t>
      </w:r>
      <w:r w:rsidR="009913F8">
        <w:rPr>
          <w:sz w:val="24"/>
          <w:szCs w:val="24"/>
        </w:rPr>
        <w:t>comparable</w:t>
      </w:r>
      <w:r w:rsidR="0019132F">
        <w:rPr>
          <w:sz w:val="24"/>
          <w:szCs w:val="24"/>
        </w:rPr>
        <w:t xml:space="preserve"> </w:t>
      </w:r>
      <w:r w:rsidR="009913F8">
        <w:rPr>
          <w:sz w:val="24"/>
          <w:szCs w:val="24"/>
        </w:rPr>
        <w:t xml:space="preserve">metaphorical </w:t>
      </w:r>
      <w:r w:rsidR="0019132F">
        <w:rPr>
          <w:sz w:val="24"/>
          <w:szCs w:val="24"/>
        </w:rPr>
        <w:t>opposition</w:t>
      </w:r>
      <w:r w:rsidR="009913F8">
        <w:rPr>
          <w:sz w:val="24"/>
          <w:szCs w:val="24"/>
        </w:rPr>
        <w:t xml:space="preserve"> of encumbrance/escape</w:t>
      </w:r>
      <w:r w:rsidR="00A362F7" w:rsidRPr="001E0157">
        <w:rPr>
          <w:sz w:val="24"/>
          <w:szCs w:val="24"/>
        </w:rPr>
        <w:t xml:space="preserve"> </w:t>
      </w:r>
      <w:r w:rsidR="006334D1">
        <w:rPr>
          <w:sz w:val="24"/>
          <w:szCs w:val="24"/>
        </w:rPr>
        <w:t xml:space="preserve">plays an important </w:t>
      </w:r>
      <w:r w:rsidR="00BF072F">
        <w:rPr>
          <w:sz w:val="24"/>
          <w:szCs w:val="24"/>
        </w:rPr>
        <w:t xml:space="preserve">role in </w:t>
      </w:r>
      <w:r w:rsidR="006334D1">
        <w:rPr>
          <w:sz w:val="24"/>
          <w:szCs w:val="24"/>
        </w:rPr>
        <w:t xml:space="preserve">legal </w:t>
      </w:r>
      <w:r w:rsidR="00BF072F">
        <w:rPr>
          <w:sz w:val="24"/>
          <w:szCs w:val="24"/>
        </w:rPr>
        <w:t>language</w:t>
      </w:r>
      <w:r w:rsidR="0019132F">
        <w:rPr>
          <w:sz w:val="24"/>
          <w:szCs w:val="24"/>
        </w:rPr>
        <w:t xml:space="preserve"> too. This article trac</w:t>
      </w:r>
      <w:r w:rsidR="003A10C0">
        <w:rPr>
          <w:sz w:val="24"/>
          <w:szCs w:val="24"/>
        </w:rPr>
        <w:t>es</w:t>
      </w:r>
      <w:r w:rsidR="0019132F">
        <w:rPr>
          <w:sz w:val="24"/>
          <w:szCs w:val="24"/>
        </w:rPr>
        <w:t xml:space="preserve"> the appearance of this metaphor across </w:t>
      </w:r>
      <w:r w:rsidR="0019132F" w:rsidRPr="001E0157">
        <w:rPr>
          <w:sz w:val="24"/>
          <w:szCs w:val="24"/>
        </w:rPr>
        <w:t>some key moments in English criminal law</w:t>
      </w:r>
      <w:r w:rsidR="00BA2949">
        <w:rPr>
          <w:sz w:val="24"/>
          <w:szCs w:val="24"/>
        </w:rPr>
        <w:t xml:space="preserve"> </w:t>
      </w:r>
      <w:r w:rsidR="00455EB3">
        <w:rPr>
          <w:sz w:val="24"/>
          <w:szCs w:val="24"/>
        </w:rPr>
        <w:t xml:space="preserve">in which </w:t>
      </w:r>
      <w:r w:rsidR="00455EB3">
        <w:rPr>
          <w:i/>
          <w:sz w:val="24"/>
          <w:szCs w:val="24"/>
        </w:rPr>
        <w:t>in</w:t>
      </w:r>
      <w:r w:rsidR="00455EB3">
        <w:rPr>
          <w:sz w:val="24"/>
          <w:szCs w:val="24"/>
        </w:rPr>
        <w:t xml:space="preserve">justice is conceptualised </w:t>
      </w:r>
      <w:r w:rsidR="00827791">
        <w:rPr>
          <w:sz w:val="24"/>
          <w:szCs w:val="24"/>
        </w:rPr>
        <w:t xml:space="preserve">metaphorically </w:t>
      </w:r>
      <w:r w:rsidR="00455EB3">
        <w:rPr>
          <w:sz w:val="24"/>
          <w:szCs w:val="24"/>
        </w:rPr>
        <w:t>in terms of being held</w:t>
      </w:r>
      <w:r w:rsidR="00827791">
        <w:rPr>
          <w:sz w:val="24"/>
          <w:szCs w:val="24"/>
        </w:rPr>
        <w:t xml:space="preserve"> up, kept down or back,</w:t>
      </w:r>
      <w:r w:rsidR="00455EB3">
        <w:rPr>
          <w:sz w:val="24"/>
          <w:szCs w:val="24"/>
        </w:rPr>
        <w:t xml:space="preserve"> </w:t>
      </w:r>
      <w:r w:rsidR="00BF072F">
        <w:rPr>
          <w:sz w:val="24"/>
          <w:szCs w:val="24"/>
        </w:rPr>
        <w:t>imp</w:t>
      </w:r>
      <w:bookmarkStart w:id="0" w:name="_GoBack"/>
      <w:bookmarkEnd w:id="0"/>
      <w:r w:rsidR="00BF072F">
        <w:rPr>
          <w:sz w:val="24"/>
          <w:szCs w:val="24"/>
        </w:rPr>
        <w:t>eded</w:t>
      </w:r>
      <w:r w:rsidR="00AE59F5">
        <w:rPr>
          <w:sz w:val="24"/>
          <w:szCs w:val="24"/>
        </w:rPr>
        <w:t>, constrained or contained,</w:t>
      </w:r>
      <w:r w:rsidR="00455EB3">
        <w:rPr>
          <w:sz w:val="24"/>
          <w:szCs w:val="24"/>
        </w:rPr>
        <w:t xml:space="preserve"> an</w:t>
      </w:r>
      <w:r w:rsidR="00BF072F">
        <w:rPr>
          <w:sz w:val="24"/>
          <w:szCs w:val="24"/>
        </w:rPr>
        <w:t>d that achieving a just outcome</w:t>
      </w:r>
      <w:r w:rsidR="00455EB3">
        <w:rPr>
          <w:sz w:val="24"/>
          <w:szCs w:val="24"/>
        </w:rPr>
        <w:t xml:space="preserve"> necessitates </w:t>
      </w:r>
      <w:r w:rsidR="00BF072F">
        <w:rPr>
          <w:sz w:val="24"/>
          <w:szCs w:val="24"/>
        </w:rPr>
        <w:t xml:space="preserve">shaking off the encumbrance and </w:t>
      </w:r>
      <w:r w:rsidR="00455EB3">
        <w:rPr>
          <w:sz w:val="24"/>
          <w:szCs w:val="24"/>
        </w:rPr>
        <w:t>getting free</w:t>
      </w:r>
      <w:r w:rsidR="00BF072F">
        <w:rPr>
          <w:sz w:val="24"/>
          <w:szCs w:val="24"/>
        </w:rPr>
        <w:t>.</w:t>
      </w:r>
      <w:r w:rsidR="00926825">
        <w:rPr>
          <w:sz w:val="24"/>
          <w:szCs w:val="24"/>
        </w:rPr>
        <w:t xml:space="preserve"> The</w:t>
      </w:r>
      <w:r w:rsidR="00AE59F5">
        <w:rPr>
          <w:sz w:val="24"/>
          <w:szCs w:val="24"/>
        </w:rPr>
        <w:t xml:space="preserve"> article argues that analysis of this metaphor establishes an important intersection between literature and law.</w:t>
      </w:r>
      <w:r w:rsidR="003A10C0">
        <w:rPr>
          <w:sz w:val="24"/>
          <w:szCs w:val="24"/>
        </w:rPr>
        <w:t xml:space="preserve"> </w:t>
      </w:r>
      <w:r w:rsidR="00BF072F">
        <w:rPr>
          <w:sz w:val="24"/>
          <w:szCs w:val="24"/>
        </w:rPr>
        <w:t>Following a discussion of the relevant gene</w:t>
      </w:r>
      <w:r w:rsidR="00AE59F5">
        <w:rPr>
          <w:sz w:val="24"/>
          <w:szCs w:val="24"/>
        </w:rPr>
        <w:t>ral themes</w:t>
      </w:r>
      <w:r w:rsidR="00BF072F">
        <w:rPr>
          <w:sz w:val="24"/>
          <w:szCs w:val="24"/>
        </w:rPr>
        <w:t>, t</w:t>
      </w:r>
      <w:r w:rsidR="003A10C0">
        <w:rPr>
          <w:sz w:val="24"/>
          <w:szCs w:val="24"/>
        </w:rPr>
        <w:t>he article</w:t>
      </w:r>
      <w:r w:rsidR="0019132F">
        <w:rPr>
          <w:sz w:val="24"/>
          <w:szCs w:val="24"/>
        </w:rPr>
        <w:t xml:space="preserve"> offers a close reading of a number of </w:t>
      </w:r>
      <w:r w:rsidR="00BF072F">
        <w:rPr>
          <w:sz w:val="24"/>
          <w:szCs w:val="24"/>
        </w:rPr>
        <w:t xml:space="preserve">appellate </w:t>
      </w:r>
      <w:r w:rsidR="0019132F">
        <w:rPr>
          <w:sz w:val="24"/>
          <w:szCs w:val="24"/>
        </w:rPr>
        <w:t>judgments on a r</w:t>
      </w:r>
      <w:r w:rsidR="00BA2949">
        <w:rPr>
          <w:sz w:val="24"/>
          <w:szCs w:val="24"/>
        </w:rPr>
        <w:t>ange of criminal legal issues</w:t>
      </w:r>
      <w:r w:rsidR="00BF072F">
        <w:rPr>
          <w:sz w:val="24"/>
          <w:szCs w:val="24"/>
        </w:rPr>
        <w:t>.</w:t>
      </w:r>
      <w:r w:rsidR="003A10C0">
        <w:rPr>
          <w:sz w:val="24"/>
          <w:szCs w:val="24"/>
        </w:rPr>
        <w:t xml:space="preserve"> </w:t>
      </w:r>
      <w:r w:rsidR="00BF072F">
        <w:rPr>
          <w:sz w:val="24"/>
          <w:szCs w:val="24"/>
        </w:rPr>
        <w:t>Some of these judgments are very well known and concern questions such as</w:t>
      </w:r>
      <w:r w:rsidR="0019132F">
        <w:rPr>
          <w:sz w:val="24"/>
          <w:szCs w:val="24"/>
        </w:rPr>
        <w:t xml:space="preserve"> </w:t>
      </w:r>
      <w:r w:rsidR="003A10C0">
        <w:rPr>
          <w:sz w:val="24"/>
          <w:szCs w:val="24"/>
        </w:rPr>
        <w:t xml:space="preserve">how courts should set standards of </w:t>
      </w:r>
      <w:r w:rsidR="009A536D">
        <w:rPr>
          <w:sz w:val="24"/>
          <w:szCs w:val="24"/>
        </w:rPr>
        <w:t>culpability (</w:t>
      </w:r>
      <w:r w:rsidR="00BF072F">
        <w:rPr>
          <w:sz w:val="24"/>
          <w:szCs w:val="24"/>
        </w:rPr>
        <w:t>e.g. on</w:t>
      </w:r>
      <w:r w:rsidR="009A148A">
        <w:rPr>
          <w:sz w:val="24"/>
          <w:szCs w:val="24"/>
        </w:rPr>
        <w:t xml:space="preserve"> </w:t>
      </w:r>
      <w:r w:rsidR="009A536D">
        <w:rPr>
          <w:sz w:val="24"/>
          <w:szCs w:val="24"/>
        </w:rPr>
        <w:t>dishonesty</w:t>
      </w:r>
      <w:r w:rsidR="009A148A">
        <w:rPr>
          <w:sz w:val="24"/>
          <w:szCs w:val="24"/>
        </w:rPr>
        <w:t xml:space="preserve"> and</w:t>
      </w:r>
      <w:r w:rsidR="00CD0DC7">
        <w:rPr>
          <w:sz w:val="24"/>
          <w:szCs w:val="24"/>
        </w:rPr>
        <w:t xml:space="preserve"> </w:t>
      </w:r>
      <w:r w:rsidR="009A536D">
        <w:rPr>
          <w:sz w:val="24"/>
          <w:szCs w:val="24"/>
        </w:rPr>
        <w:t xml:space="preserve">recklessness) </w:t>
      </w:r>
      <w:r w:rsidR="00DF0E30">
        <w:rPr>
          <w:sz w:val="24"/>
          <w:szCs w:val="24"/>
        </w:rPr>
        <w:t>and</w:t>
      </w:r>
      <w:r w:rsidR="009A536D">
        <w:rPr>
          <w:sz w:val="24"/>
          <w:szCs w:val="24"/>
        </w:rPr>
        <w:t xml:space="preserve"> </w:t>
      </w:r>
      <w:r w:rsidR="009A148A">
        <w:rPr>
          <w:sz w:val="24"/>
          <w:szCs w:val="24"/>
        </w:rPr>
        <w:t xml:space="preserve">assess </w:t>
      </w:r>
      <w:r w:rsidR="00BF072F">
        <w:rPr>
          <w:sz w:val="24"/>
          <w:szCs w:val="24"/>
        </w:rPr>
        <w:t xml:space="preserve">a defendant’s </w:t>
      </w:r>
      <w:r w:rsidR="003A10C0">
        <w:rPr>
          <w:sz w:val="24"/>
          <w:szCs w:val="24"/>
        </w:rPr>
        <w:t>responsibility (</w:t>
      </w:r>
      <w:r w:rsidR="00BF072F">
        <w:rPr>
          <w:sz w:val="24"/>
          <w:szCs w:val="24"/>
        </w:rPr>
        <w:t xml:space="preserve">e.g. </w:t>
      </w:r>
      <w:r w:rsidR="003A10C0">
        <w:rPr>
          <w:sz w:val="24"/>
          <w:szCs w:val="24"/>
        </w:rPr>
        <w:t xml:space="preserve">the availability of ‘excusatory’ </w:t>
      </w:r>
      <w:r w:rsidR="009A536D">
        <w:rPr>
          <w:sz w:val="24"/>
          <w:szCs w:val="24"/>
        </w:rPr>
        <w:t>defences to murder)</w:t>
      </w:r>
      <w:r w:rsidR="00131AE0" w:rsidRPr="001E0157">
        <w:rPr>
          <w:sz w:val="24"/>
          <w:szCs w:val="24"/>
        </w:rPr>
        <w:t>.</w:t>
      </w:r>
      <w:r w:rsidR="009A536D">
        <w:rPr>
          <w:sz w:val="24"/>
          <w:szCs w:val="24"/>
        </w:rPr>
        <w:t xml:space="preserve"> </w:t>
      </w:r>
      <w:r w:rsidR="00926825">
        <w:rPr>
          <w:sz w:val="24"/>
          <w:szCs w:val="24"/>
        </w:rPr>
        <w:t>We seek</w:t>
      </w:r>
      <w:r w:rsidR="00492972">
        <w:rPr>
          <w:sz w:val="24"/>
          <w:szCs w:val="24"/>
        </w:rPr>
        <w:t xml:space="preserve"> to </w:t>
      </w:r>
      <w:r w:rsidR="006334D1">
        <w:rPr>
          <w:sz w:val="24"/>
          <w:szCs w:val="24"/>
        </w:rPr>
        <w:t>throw light on the</w:t>
      </w:r>
      <w:r w:rsidR="00492972">
        <w:rPr>
          <w:sz w:val="24"/>
          <w:szCs w:val="24"/>
        </w:rPr>
        <w:t xml:space="preserve"> </w:t>
      </w:r>
      <w:r w:rsidR="006334D1">
        <w:rPr>
          <w:sz w:val="24"/>
          <w:szCs w:val="24"/>
        </w:rPr>
        <w:t xml:space="preserve">way that the </w:t>
      </w:r>
      <w:r w:rsidR="00492972">
        <w:rPr>
          <w:sz w:val="24"/>
          <w:szCs w:val="24"/>
        </w:rPr>
        <w:t>metaphor</w:t>
      </w:r>
      <w:r w:rsidR="00BF072F">
        <w:rPr>
          <w:sz w:val="24"/>
          <w:szCs w:val="24"/>
        </w:rPr>
        <w:t>s</w:t>
      </w:r>
      <w:r w:rsidR="00BA2949">
        <w:rPr>
          <w:sz w:val="24"/>
          <w:szCs w:val="24"/>
        </w:rPr>
        <w:t xml:space="preserve"> of encumbrance and escape</w:t>
      </w:r>
      <w:r w:rsidR="00BF072F">
        <w:rPr>
          <w:sz w:val="24"/>
          <w:szCs w:val="24"/>
        </w:rPr>
        <w:t xml:space="preserve"> work (or in some cases fail</w:t>
      </w:r>
      <w:r w:rsidR="006334D1">
        <w:rPr>
          <w:sz w:val="24"/>
          <w:szCs w:val="24"/>
        </w:rPr>
        <w:t xml:space="preserve"> to work)</w:t>
      </w:r>
      <w:r w:rsidR="00492972">
        <w:rPr>
          <w:sz w:val="24"/>
          <w:szCs w:val="24"/>
        </w:rPr>
        <w:t xml:space="preserve"> </w:t>
      </w:r>
      <w:r w:rsidR="006334D1">
        <w:rPr>
          <w:sz w:val="24"/>
          <w:szCs w:val="24"/>
        </w:rPr>
        <w:t xml:space="preserve">in legal language, and thereby </w:t>
      </w:r>
      <w:r w:rsidR="00492972">
        <w:rPr>
          <w:sz w:val="24"/>
          <w:szCs w:val="24"/>
        </w:rPr>
        <w:t xml:space="preserve">to advance </w:t>
      </w:r>
      <w:r w:rsidR="00164238" w:rsidRPr="001E0157">
        <w:rPr>
          <w:sz w:val="24"/>
          <w:szCs w:val="24"/>
        </w:rPr>
        <w:t>understanding</w:t>
      </w:r>
      <w:r w:rsidR="00096769" w:rsidRPr="001E0157">
        <w:rPr>
          <w:sz w:val="24"/>
          <w:szCs w:val="24"/>
        </w:rPr>
        <w:t xml:space="preserve"> </w:t>
      </w:r>
      <w:r w:rsidR="00492972">
        <w:rPr>
          <w:sz w:val="24"/>
          <w:szCs w:val="24"/>
        </w:rPr>
        <w:t>of the</w:t>
      </w:r>
      <w:r w:rsidR="00164238" w:rsidRPr="001E0157">
        <w:rPr>
          <w:sz w:val="24"/>
          <w:szCs w:val="24"/>
        </w:rPr>
        <w:t xml:space="preserve"> moral </w:t>
      </w:r>
      <w:r w:rsidR="000C1668">
        <w:rPr>
          <w:sz w:val="24"/>
          <w:szCs w:val="24"/>
        </w:rPr>
        <w:t>intelligibility</w:t>
      </w:r>
      <w:r w:rsidR="00164238" w:rsidRPr="001E0157">
        <w:rPr>
          <w:sz w:val="24"/>
          <w:szCs w:val="24"/>
        </w:rPr>
        <w:t>, persuasiveness and longer</w:t>
      </w:r>
      <w:r w:rsidR="000E77D5" w:rsidRPr="001E0157">
        <w:rPr>
          <w:sz w:val="24"/>
          <w:szCs w:val="24"/>
        </w:rPr>
        <w:t>-</w:t>
      </w:r>
      <w:r w:rsidR="00164238" w:rsidRPr="001E0157">
        <w:rPr>
          <w:sz w:val="24"/>
          <w:szCs w:val="24"/>
        </w:rPr>
        <w:t>term prospects</w:t>
      </w:r>
      <w:r w:rsidR="009A536D">
        <w:rPr>
          <w:sz w:val="24"/>
          <w:szCs w:val="24"/>
        </w:rPr>
        <w:t xml:space="preserve"> </w:t>
      </w:r>
      <w:r w:rsidR="00492972">
        <w:rPr>
          <w:sz w:val="24"/>
          <w:szCs w:val="24"/>
        </w:rPr>
        <w:t xml:space="preserve">of judicial rulings </w:t>
      </w:r>
      <w:r w:rsidR="009A536D">
        <w:rPr>
          <w:sz w:val="24"/>
          <w:szCs w:val="24"/>
        </w:rPr>
        <w:t>as authorities</w:t>
      </w:r>
      <w:r w:rsidR="00164238" w:rsidRPr="001E0157">
        <w:rPr>
          <w:sz w:val="24"/>
          <w:szCs w:val="24"/>
        </w:rPr>
        <w:t>.</w:t>
      </w:r>
    </w:p>
    <w:p w14:paraId="24DA0D09" w14:textId="77777777" w:rsidR="00E035B2" w:rsidRPr="001E0157" w:rsidRDefault="00E035B2" w:rsidP="00E035B2">
      <w:pPr>
        <w:rPr>
          <w:b/>
          <w:bCs/>
          <w:sz w:val="24"/>
          <w:szCs w:val="24"/>
        </w:rPr>
      </w:pPr>
    </w:p>
    <w:p w14:paraId="52870876" w14:textId="57FAA710" w:rsidR="001D2C3A" w:rsidRPr="001E0157" w:rsidRDefault="00935E96" w:rsidP="00210694">
      <w:pPr>
        <w:tabs>
          <w:tab w:val="left" w:pos="560"/>
        </w:tabs>
        <w:spacing w:line="480" w:lineRule="auto"/>
        <w:rPr>
          <w:b/>
          <w:bCs/>
          <w:sz w:val="24"/>
          <w:szCs w:val="24"/>
        </w:rPr>
      </w:pPr>
      <w:r w:rsidRPr="001E0157">
        <w:rPr>
          <w:b/>
          <w:bCs/>
          <w:sz w:val="24"/>
          <w:szCs w:val="24"/>
        </w:rPr>
        <w:t xml:space="preserve">1. </w:t>
      </w:r>
      <w:r w:rsidR="001D2C3A" w:rsidRPr="001E0157">
        <w:rPr>
          <w:b/>
          <w:bCs/>
          <w:sz w:val="24"/>
          <w:szCs w:val="24"/>
        </w:rPr>
        <w:t>Introduction</w:t>
      </w:r>
    </w:p>
    <w:p w14:paraId="4C04D81D" w14:textId="5D3022AA" w:rsidR="00716150" w:rsidRPr="001E0157" w:rsidRDefault="009242D9" w:rsidP="00B94870">
      <w:pPr>
        <w:tabs>
          <w:tab w:val="left" w:pos="560"/>
          <w:tab w:val="left" w:pos="3828"/>
        </w:tabs>
        <w:spacing w:after="0" w:line="480" w:lineRule="auto"/>
        <w:rPr>
          <w:sz w:val="24"/>
          <w:szCs w:val="24"/>
        </w:rPr>
      </w:pPr>
      <w:r w:rsidRPr="001E0157">
        <w:rPr>
          <w:sz w:val="24"/>
          <w:szCs w:val="24"/>
        </w:rPr>
        <w:t>Metaphor</w:t>
      </w:r>
      <w:r w:rsidR="009520FD" w:rsidRPr="001E0157">
        <w:rPr>
          <w:sz w:val="24"/>
          <w:szCs w:val="24"/>
        </w:rPr>
        <w:t>s play</w:t>
      </w:r>
      <w:r w:rsidRPr="001E0157">
        <w:rPr>
          <w:sz w:val="24"/>
          <w:szCs w:val="24"/>
        </w:rPr>
        <w:t xml:space="preserve"> an important role in </w:t>
      </w:r>
      <w:r w:rsidR="009520FD" w:rsidRPr="001E0157">
        <w:rPr>
          <w:sz w:val="24"/>
          <w:szCs w:val="24"/>
        </w:rPr>
        <w:t xml:space="preserve">conceptualising and developing ideas, adopting positions and convincing others of our arguments. It is furthermore a </w:t>
      </w:r>
      <w:r w:rsidR="004D37AA" w:rsidRPr="001E0157">
        <w:rPr>
          <w:sz w:val="24"/>
          <w:szCs w:val="24"/>
        </w:rPr>
        <w:t>matter of broad agreement</w:t>
      </w:r>
      <w:r w:rsidR="00B94870">
        <w:rPr>
          <w:sz w:val="24"/>
          <w:szCs w:val="24"/>
        </w:rPr>
        <w:t xml:space="preserve"> </w:t>
      </w:r>
      <w:r w:rsidR="00622E85" w:rsidRPr="001E0157">
        <w:rPr>
          <w:sz w:val="24"/>
          <w:szCs w:val="24"/>
        </w:rPr>
        <w:t>that</w:t>
      </w:r>
      <w:r w:rsidR="005245F8" w:rsidRPr="001E0157">
        <w:rPr>
          <w:sz w:val="24"/>
          <w:szCs w:val="24"/>
        </w:rPr>
        <w:t xml:space="preserve"> </w:t>
      </w:r>
      <w:r w:rsidR="00B94870">
        <w:rPr>
          <w:sz w:val="24"/>
          <w:szCs w:val="24"/>
        </w:rPr>
        <w:t xml:space="preserve">this holds </w:t>
      </w:r>
      <w:r w:rsidRPr="001E0157">
        <w:rPr>
          <w:sz w:val="24"/>
          <w:szCs w:val="24"/>
        </w:rPr>
        <w:t xml:space="preserve">true </w:t>
      </w:r>
      <w:r w:rsidR="00B94870">
        <w:rPr>
          <w:sz w:val="24"/>
          <w:szCs w:val="24"/>
        </w:rPr>
        <w:t xml:space="preserve">also </w:t>
      </w:r>
      <w:r w:rsidRPr="001E0157">
        <w:rPr>
          <w:sz w:val="24"/>
          <w:szCs w:val="24"/>
        </w:rPr>
        <w:t>for</w:t>
      </w:r>
      <w:r w:rsidR="00B01A58" w:rsidRPr="001E0157">
        <w:rPr>
          <w:sz w:val="24"/>
          <w:szCs w:val="24"/>
        </w:rPr>
        <w:t xml:space="preserve"> </w:t>
      </w:r>
      <w:r w:rsidR="004D37AA" w:rsidRPr="001E0157">
        <w:rPr>
          <w:sz w:val="24"/>
          <w:szCs w:val="24"/>
        </w:rPr>
        <w:t>legal language</w:t>
      </w:r>
      <w:r w:rsidR="00B01A58" w:rsidRPr="001E0157">
        <w:rPr>
          <w:sz w:val="24"/>
          <w:szCs w:val="24"/>
        </w:rPr>
        <w:t>.</w:t>
      </w:r>
      <w:r w:rsidR="00B01A58" w:rsidRPr="004A6696">
        <w:rPr>
          <w:rStyle w:val="FootnoteReference"/>
        </w:rPr>
        <w:footnoteReference w:id="1"/>
      </w:r>
      <w:r w:rsidR="00B01A58" w:rsidRPr="001E0157">
        <w:rPr>
          <w:sz w:val="24"/>
          <w:szCs w:val="24"/>
        </w:rPr>
        <w:t xml:space="preserve"> </w:t>
      </w:r>
      <w:r w:rsidR="004D37AA" w:rsidRPr="001E0157">
        <w:rPr>
          <w:sz w:val="24"/>
          <w:szCs w:val="24"/>
        </w:rPr>
        <w:t>Law</w:t>
      </w:r>
      <w:r w:rsidR="00D76A2D" w:rsidRPr="001E0157">
        <w:rPr>
          <w:sz w:val="24"/>
          <w:szCs w:val="24"/>
        </w:rPr>
        <w:t xml:space="preserve"> </w:t>
      </w:r>
      <w:r w:rsidR="00B01A58" w:rsidRPr="001E0157">
        <w:rPr>
          <w:sz w:val="24"/>
          <w:szCs w:val="24"/>
        </w:rPr>
        <w:t xml:space="preserve">is, after all, </w:t>
      </w:r>
      <w:r w:rsidR="00D76A2D" w:rsidRPr="001E0157">
        <w:rPr>
          <w:sz w:val="24"/>
          <w:szCs w:val="24"/>
        </w:rPr>
        <w:t>replete with abstract</w:t>
      </w:r>
      <w:r w:rsidR="00DC6F1C" w:rsidRPr="001E0157">
        <w:rPr>
          <w:sz w:val="24"/>
          <w:szCs w:val="24"/>
        </w:rPr>
        <w:t xml:space="preserve"> </w:t>
      </w:r>
      <w:r w:rsidR="004D37AA" w:rsidRPr="001E0157">
        <w:rPr>
          <w:sz w:val="24"/>
          <w:szCs w:val="24"/>
        </w:rPr>
        <w:t>principles</w:t>
      </w:r>
      <w:r w:rsidR="00B01A58" w:rsidRPr="001E0157">
        <w:rPr>
          <w:sz w:val="24"/>
          <w:szCs w:val="24"/>
        </w:rPr>
        <w:t xml:space="preserve"> and mechanisms</w:t>
      </w:r>
      <w:r w:rsidR="00B94870">
        <w:rPr>
          <w:sz w:val="24"/>
          <w:szCs w:val="24"/>
        </w:rPr>
        <w:t>, the meaning and application of which</w:t>
      </w:r>
      <w:r w:rsidR="005245F8" w:rsidRPr="001E0157">
        <w:rPr>
          <w:sz w:val="24"/>
          <w:szCs w:val="24"/>
        </w:rPr>
        <w:t xml:space="preserve"> </w:t>
      </w:r>
      <w:r w:rsidR="00B94870">
        <w:rPr>
          <w:sz w:val="24"/>
          <w:szCs w:val="24"/>
        </w:rPr>
        <w:t xml:space="preserve">would remain mysterious and opaque but for the possibility of their </w:t>
      </w:r>
      <w:r w:rsidR="004D37AA" w:rsidRPr="001E0157">
        <w:rPr>
          <w:sz w:val="24"/>
          <w:szCs w:val="24"/>
        </w:rPr>
        <w:t>being conceptualised in terms</w:t>
      </w:r>
      <w:r w:rsidR="00B94870">
        <w:rPr>
          <w:sz w:val="24"/>
          <w:szCs w:val="24"/>
        </w:rPr>
        <w:t xml:space="preserve"> that are more concrete and familiar.</w:t>
      </w:r>
      <w:r w:rsidR="00D76A2D" w:rsidRPr="001E0157">
        <w:rPr>
          <w:sz w:val="24"/>
          <w:szCs w:val="24"/>
        </w:rPr>
        <w:t xml:space="preserve"> </w:t>
      </w:r>
      <w:r w:rsidR="00EF1CA8">
        <w:rPr>
          <w:sz w:val="24"/>
          <w:szCs w:val="24"/>
        </w:rPr>
        <w:t>Like other abstract notions, our comprehen</w:t>
      </w:r>
      <w:r w:rsidR="00B94870">
        <w:rPr>
          <w:sz w:val="24"/>
          <w:szCs w:val="24"/>
        </w:rPr>
        <w:t xml:space="preserve">sion of law and its </w:t>
      </w:r>
      <w:r w:rsidR="00B94870">
        <w:rPr>
          <w:sz w:val="24"/>
          <w:szCs w:val="24"/>
        </w:rPr>
        <w:lastRenderedPageBreak/>
        <w:t>concepts is</w:t>
      </w:r>
      <w:r w:rsidR="00EF1CA8">
        <w:rPr>
          <w:sz w:val="24"/>
          <w:szCs w:val="24"/>
        </w:rPr>
        <w:t xml:space="preserve"> shaped by </w:t>
      </w:r>
      <w:r w:rsidR="00EF1CA8" w:rsidRPr="001E0157">
        <w:rPr>
          <w:sz w:val="24"/>
          <w:szCs w:val="24"/>
        </w:rPr>
        <w:t>metaphor</w:t>
      </w:r>
      <w:r w:rsidR="00B94870">
        <w:rPr>
          <w:sz w:val="24"/>
          <w:szCs w:val="24"/>
        </w:rPr>
        <w:t>ical language</w:t>
      </w:r>
      <w:r w:rsidR="00EF1CA8">
        <w:rPr>
          <w:sz w:val="24"/>
          <w:szCs w:val="24"/>
        </w:rPr>
        <w:t xml:space="preserve"> that</w:t>
      </w:r>
      <w:r w:rsidR="00EF1CA8" w:rsidRPr="001E0157">
        <w:rPr>
          <w:sz w:val="24"/>
          <w:szCs w:val="24"/>
        </w:rPr>
        <w:t xml:space="preserve"> draw</w:t>
      </w:r>
      <w:r w:rsidR="00B94870">
        <w:rPr>
          <w:sz w:val="24"/>
          <w:szCs w:val="24"/>
        </w:rPr>
        <w:t>s</w:t>
      </w:r>
      <w:r w:rsidR="00EF1CA8" w:rsidRPr="001E0157">
        <w:rPr>
          <w:sz w:val="24"/>
          <w:szCs w:val="24"/>
        </w:rPr>
        <w:t xml:space="preserve"> on </w:t>
      </w:r>
      <w:r w:rsidR="00B94870">
        <w:rPr>
          <w:sz w:val="24"/>
          <w:szCs w:val="24"/>
        </w:rPr>
        <w:t>matters of common experience</w:t>
      </w:r>
      <w:r w:rsidR="00EF1CA8">
        <w:rPr>
          <w:sz w:val="24"/>
          <w:szCs w:val="24"/>
        </w:rPr>
        <w:t xml:space="preserve"> – e.g. of our own bodies and </w:t>
      </w:r>
      <w:r w:rsidR="00B94870">
        <w:rPr>
          <w:sz w:val="24"/>
          <w:szCs w:val="24"/>
        </w:rPr>
        <w:t>ou</w:t>
      </w:r>
      <w:r w:rsidR="00874AD4">
        <w:rPr>
          <w:sz w:val="24"/>
          <w:szCs w:val="24"/>
        </w:rPr>
        <w:t>r environment</w:t>
      </w:r>
      <w:r w:rsidR="00EE2092" w:rsidRPr="004A6696">
        <w:rPr>
          <w:rStyle w:val="FootnoteReference"/>
        </w:rPr>
        <w:footnoteReference w:id="2"/>
      </w:r>
      <w:r w:rsidR="00EF1CA8">
        <w:rPr>
          <w:sz w:val="24"/>
          <w:szCs w:val="24"/>
        </w:rPr>
        <w:t xml:space="preserve"> –</w:t>
      </w:r>
      <w:r w:rsidR="00EF1CA8" w:rsidRPr="001E0157">
        <w:rPr>
          <w:sz w:val="24"/>
          <w:szCs w:val="24"/>
        </w:rPr>
        <w:t xml:space="preserve"> </w:t>
      </w:r>
      <w:r w:rsidR="00EF1CA8">
        <w:rPr>
          <w:sz w:val="24"/>
          <w:szCs w:val="24"/>
        </w:rPr>
        <w:t xml:space="preserve">as well as ingrained cultural norms </w:t>
      </w:r>
      <w:r w:rsidR="00EF1CA8" w:rsidRPr="001E0157">
        <w:rPr>
          <w:sz w:val="24"/>
          <w:szCs w:val="24"/>
        </w:rPr>
        <w:t>that</w:t>
      </w:r>
      <w:r w:rsidR="00EF1CA8">
        <w:rPr>
          <w:sz w:val="24"/>
          <w:szCs w:val="24"/>
        </w:rPr>
        <w:t xml:space="preserve"> combine to</w:t>
      </w:r>
      <w:r w:rsidR="00EF1CA8" w:rsidRPr="001E0157">
        <w:rPr>
          <w:sz w:val="24"/>
          <w:szCs w:val="24"/>
        </w:rPr>
        <w:t xml:space="preserve"> ‘structure how we perceive, how we think, and what we do’.</w:t>
      </w:r>
      <w:r w:rsidR="00EF1CA8" w:rsidRPr="004A6696">
        <w:rPr>
          <w:rStyle w:val="FootnoteReference"/>
        </w:rPr>
        <w:footnoteReference w:id="3"/>
      </w:r>
      <w:r w:rsidR="00EF1CA8" w:rsidRPr="001E0157">
        <w:rPr>
          <w:sz w:val="24"/>
          <w:szCs w:val="24"/>
        </w:rPr>
        <w:t xml:space="preserve"> </w:t>
      </w:r>
    </w:p>
    <w:p w14:paraId="14FE8A3A" w14:textId="3ED63E39" w:rsidR="00C86943" w:rsidRDefault="00716150" w:rsidP="007D318B">
      <w:pPr>
        <w:tabs>
          <w:tab w:val="left" w:pos="560"/>
          <w:tab w:val="left" w:pos="3828"/>
        </w:tabs>
        <w:spacing w:after="0" w:line="480" w:lineRule="auto"/>
        <w:rPr>
          <w:sz w:val="24"/>
          <w:szCs w:val="24"/>
        </w:rPr>
      </w:pPr>
      <w:r w:rsidRPr="001E0157">
        <w:rPr>
          <w:sz w:val="24"/>
          <w:szCs w:val="24"/>
        </w:rPr>
        <w:tab/>
      </w:r>
      <w:r w:rsidR="00F47577" w:rsidRPr="001E0157">
        <w:rPr>
          <w:sz w:val="24"/>
          <w:szCs w:val="24"/>
        </w:rPr>
        <w:t>Metaphors can be u</w:t>
      </w:r>
      <w:r w:rsidR="00455EB3">
        <w:rPr>
          <w:sz w:val="24"/>
          <w:szCs w:val="24"/>
        </w:rPr>
        <w:t>sed strategically to achieve particular ends</w:t>
      </w:r>
      <w:r w:rsidR="00F47577" w:rsidRPr="001E0157">
        <w:rPr>
          <w:sz w:val="24"/>
          <w:szCs w:val="24"/>
        </w:rPr>
        <w:t xml:space="preserve">, but </w:t>
      </w:r>
      <w:r w:rsidR="00F831F6">
        <w:rPr>
          <w:sz w:val="24"/>
          <w:szCs w:val="24"/>
        </w:rPr>
        <w:t xml:space="preserve">more importantly </w:t>
      </w:r>
      <w:r w:rsidR="00F47577" w:rsidRPr="001E0157">
        <w:rPr>
          <w:sz w:val="24"/>
          <w:szCs w:val="24"/>
        </w:rPr>
        <w:t xml:space="preserve">they also insinuate themselves in language independently of the </w:t>
      </w:r>
      <w:r w:rsidR="00F831F6">
        <w:rPr>
          <w:sz w:val="24"/>
          <w:szCs w:val="24"/>
        </w:rPr>
        <w:t xml:space="preserve">conscious intentions of particular speakers or writers, </w:t>
      </w:r>
      <w:r w:rsidR="00BA2949">
        <w:rPr>
          <w:sz w:val="24"/>
          <w:szCs w:val="24"/>
        </w:rPr>
        <w:t>and become embedded there by long usage</w:t>
      </w:r>
      <w:r w:rsidR="009520FD" w:rsidRPr="001E0157">
        <w:rPr>
          <w:sz w:val="24"/>
          <w:szCs w:val="24"/>
        </w:rPr>
        <w:t>. T</w:t>
      </w:r>
      <w:r w:rsidR="009242D9" w:rsidRPr="001E0157">
        <w:rPr>
          <w:sz w:val="24"/>
          <w:szCs w:val="24"/>
        </w:rPr>
        <w:t xml:space="preserve">he consequence </w:t>
      </w:r>
      <w:r w:rsidR="009520FD" w:rsidRPr="001E0157">
        <w:rPr>
          <w:sz w:val="24"/>
          <w:szCs w:val="24"/>
        </w:rPr>
        <w:t xml:space="preserve">of this is </w:t>
      </w:r>
      <w:r w:rsidR="00F831F6">
        <w:rPr>
          <w:sz w:val="24"/>
          <w:szCs w:val="24"/>
        </w:rPr>
        <w:t>that</w:t>
      </w:r>
      <w:r w:rsidR="009242D9" w:rsidRPr="001E0157">
        <w:rPr>
          <w:sz w:val="24"/>
          <w:szCs w:val="24"/>
        </w:rPr>
        <w:t xml:space="preserve"> metaphor</w:t>
      </w:r>
      <w:r w:rsidR="00F831F6">
        <w:rPr>
          <w:sz w:val="24"/>
          <w:szCs w:val="24"/>
        </w:rPr>
        <w:t>s</w:t>
      </w:r>
      <w:r w:rsidR="009242D9" w:rsidRPr="001E0157">
        <w:rPr>
          <w:sz w:val="24"/>
          <w:szCs w:val="24"/>
        </w:rPr>
        <w:t xml:space="preserve"> also naturalise and disguise the deeper roots of legal</w:t>
      </w:r>
      <w:r w:rsidR="00F831F6">
        <w:rPr>
          <w:sz w:val="24"/>
          <w:szCs w:val="24"/>
        </w:rPr>
        <w:t xml:space="preserve"> terms and their</w:t>
      </w:r>
      <w:r w:rsidR="009242D9" w:rsidRPr="001E0157">
        <w:rPr>
          <w:sz w:val="24"/>
          <w:szCs w:val="24"/>
        </w:rPr>
        <w:t xml:space="preserve"> meaning</w:t>
      </w:r>
      <w:r w:rsidR="00F831F6">
        <w:rPr>
          <w:sz w:val="24"/>
          <w:szCs w:val="24"/>
        </w:rPr>
        <w:t>s</w:t>
      </w:r>
      <w:r w:rsidR="00C77B71">
        <w:rPr>
          <w:sz w:val="24"/>
          <w:szCs w:val="24"/>
        </w:rPr>
        <w:t>, and the process by which we obser</w:t>
      </w:r>
      <w:r w:rsidR="00B64092">
        <w:rPr>
          <w:sz w:val="24"/>
          <w:szCs w:val="24"/>
        </w:rPr>
        <w:t>ve law (to borrow an expression</w:t>
      </w:r>
      <w:r w:rsidR="00C77B71">
        <w:rPr>
          <w:sz w:val="24"/>
          <w:szCs w:val="24"/>
        </w:rPr>
        <w:t>) ‘wording the world’</w:t>
      </w:r>
      <w:r w:rsidR="009242D9" w:rsidRPr="001E0157">
        <w:rPr>
          <w:sz w:val="24"/>
          <w:szCs w:val="24"/>
        </w:rPr>
        <w:t>.</w:t>
      </w:r>
      <w:r w:rsidR="00C77B71" w:rsidRPr="004A6696">
        <w:rPr>
          <w:rStyle w:val="FootnoteReference"/>
        </w:rPr>
        <w:footnoteReference w:id="4"/>
      </w:r>
      <w:r w:rsidR="00F47577" w:rsidRPr="001E0157">
        <w:rPr>
          <w:sz w:val="24"/>
          <w:szCs w:val="24"/>
        </w:rPr>
        <w:t xml:space="preserve"> </w:t>
      </w:r>
      <w:r w:rsidR="00DF6998" w:rsidRPr="001E0157">
        <w:rPr>
          <w:sz w:val="24"/>
          <w:szCs w:val="24"/>
        </w:rPr>
        <w:t>For this reason, careful examination of the metaphors by which legal pr</w:t>
      </w:r>
      <w:r w:rsidR="00A57820" w:rsidRPr="001E0157">
        <w:rPr>
          <w:sz w:val="24"/>
          <w:szCs w:val="24"/>
        </w:rPr>
        <w:t xml:space="preserve">inciples are conceptualised </w:t>
      </w:r>
      <w:r w:rsidR="00F831F6">
        <w:rPr>
          <w:sz w:val="24"/>
          <w:szCs w:val="24"/>
        </w:rPr>
        <w:t xml:space="preserve">has </w:t>
      </w:r>
      <w:r w:rsidR="00A57820" w:rsidRPr="001E0157">
        <w:rPr>
          <w:sz w:val="24"/>
          <w:szCs w:val="24"/>
        </w:rPr>
        <w:t xml:space="preserve">an </w:t>
      </w:r>
      <w:r w:rsidR="00312C82" w:rsidRPr="001E0157">
        <w:rPr>
          <w:sz w:val="24"/>
          <w:szCs w:val="24"/>
        </w:rPr>
        <w:t xml:space="preserve">important </w:t>
      </w:r>
      <w:r w:rsidR="00F831F6">
        <w:rPr>
          <w:sz w:val="24"/>
          <w:szCs w:val="24"/>
        </w:rPr>
        <w:t>place in the study of</w:t>
      </w:r>
      <w:r w:rsidR="0071049E" w:rsidRPr="001E0157">
        <w:rPr>
          <w:sz w:val="24"/>
          <w:szCs w:val="24"/>
        </w:rPr>
        <w:t xml:space="preserve"> </w:t>
      </w:r>
      <w:r w:rsidR="000911AD" w:rsidRPr="001E0157">
        <w:rPr>
          <w:sz w:val="24"/>
          <w:szCs w:val="24"/>
        </w:rPr>
        <w:t xml:space="preserve">what makes some judgments </w:t>
      </w:r>
      <w:r w:rsidR="00F831F6">
        <w:rPr>
          <w:sz w:val="24"/>
          <w:szCs w:val="24"/>
        </w:rPr>
        <w:t xml:space="preserve">apparently </w:t>
      </w:r>
      <w:r w:rsidR="000911AD" w:rsidRPr="001E0157">
        <w:rPr>
          <w:sz w:val="24"/>
          <w:szCs w:val="24"/>
        </w:rPr>
        <w:t>more persuasive</w:t>
      </w:r>
      <w:r w:rsidR="007B2157">
        <w:rPr>
          <w:sz w:val="24"/>
          <w:szCs w:val="24"/>
        </w:rPr>
        <w:t xml:space="preserve">, more </w:t>
      </w:r>
      <w:r w:rsidR="00B64092">
        <w:rPr>
          <w:sz w:val="24"/>
          <w:szCs w:val="24"/>
        </w:rPr>
        <w:t xml:space="preserve">(for want of a better expression) </w:t>
      </w:r>
      <w:r w:rsidR="007B2157">
        <w:rPr>
          <w:sz w:val="24"/>
          <w:szCs w:val="24"/>
        </w:rPr>
        <w:t>morally plausible,</w:t>
      </w:r>
      <w:r w:rsidR="000911AD" w:rsidRPr="001E0157">
        <w:rPr>
          <w:sz w:val="24"/>
          <w:szCs w:val="24"/>
        </w:rPr>
        <w:t xml:space="preserve"> and</w:t>
      </w:r>
      <w:r w:rsidR="00BA2949">
        <w:rPr>
          <w:sz w:val="24"/>
          <w:szCs w:val="24"/>
        </w:rPr>
        <w:t xml:space="preserve"> potentially</w:t>
      </w:r>
      <w:r w:rsidR="000911AD" w:rsidRPr="001E0157">
        <w:rPr>
          <w:sz w:val="24"/>
          <w:szCs w:val="24"/>
        </w:rPr>
        <w:t xml:space="preserve"> </w:t>
      </w:r>
      <w:r w:rsidR="00BA2949">
        <w:rPr>
          <w:sz w:val="24"/>
          <w:szCs w:val="24"/>
        </w:rPr>
        <w:t xml:space="preserve">also </w:t>
      </w:r>
      <w:r w:rsidR="000911AD" w:rsidRPr="001E0157">
        <w:rPr>
          <w:sz w:val="24"/>
          <w:szCs w:val="24"/>
        </w:rPr>
        <w:t xml:space="preserve">more enduring </w:t>
      </w:r>
      <w:r w:rsidR="007B2157">
        <w:rPr>
          <w:sz w:val="24"/>
          <w:szCs w:val="24"/>
        </w:rPr>
        <w:t xml:space="preserve">as legal authorities </w:t>
      </w:r>
      <w:r w:rsidR="000911AD" w:rsidRPr="001E0157">
        <w:rPr>
          <w:sz w:val="24"/>
          <w:szCs w:val="24"/>
        </w:rPr>
        <w:t>than others</w:t>
      </w:r>
      <w:r w:rsidR="00E64F79">
        <w:rPr>
          <w:sz w:val="24"/>
          <w:szCs w:val="24"/>
        </w:rPr>
        <w:t xml:space="preserve">. </w:t>
      </w:r>
      <w:r w:rsidR="00A16AC3">
        <w:rPr>
          <w:sz w:val="24"/>
          <w:szCs w:val="24"/>
        </w:rPr>
        <w:t xml:space="preserve">This article suggests that </w:t>
      </w:r>
      <w:r w:rsidR="00675C64">
        <w:rPr>
          <w:sz w:val="24"/>
          <w:szCs w:val="24"/>
        </w:rPr>
        <w:t xml:space="preserve">law and legal judgments may be understood in terms of </w:t>
      </w:r>
      <w:r w:rsidR="00B64092">
        <w:rPr>
          <w:sz w:val="24"/>
          <w:szCs w:val="24"/>
        </w:rPr>
        <w:t xml:space="preserve">a </w:t>
      </w:r>
      <w:r w:rsidR="00024004">
        <w:rPr>
          <w:sz w:val="24"/>
          <w:szCs w:val="24"/>
        </w:rPr>
        <w:t>metaphor</w:t>
      </w:r>
      <w:r w:rsidR="00756A0F">
        <w:rPr>
          <w:sz w:val="24"/>
          <w:szCs w:val="24"/>
        </w:rPr>
        <w:t>ical opposition</w:t>
      </w:r>
      <w:r w:rsidR="00024004">
        <w:rPr>
          <w:sz w:val="24"/>
          <w:szCs w:val="24"/>
        </w:rPr>
        <w:t xml:space="preserve"> of encumbrance</w:t>
      </w:r>
      <w:r w:rsidR="00756A0F">
        <w:rPr>
          <w:sz w:val="24"/>
          <w:szCs w:val="24"/>
        </w:rPr>
        <w:t xml:space="preserve"> and </w:t>
      </w:r>
      <w:r w:rsidR="0059643C">
        <w:rPr>
          <w:sz w:val="24"/>
          <w:szCs w:val="24"/>
        </w:rPr>
        <w:t>escape</w:t>
      </w:r>
      <w:r w:rsidR="004A4F06">
        <w:rPr>
          <w:sz w:val="24"/>
          <w:szCs w:val="24"/>
        </w:rPr>
        <w:t xml:space="preserve"> – terms that have always been a familiar and readily observed aspect of literary, but hitherto not </w:t>
      </w:r>
      <w:r w:rsidR="00A840C7">
        <w:rPr>
          <w:sz w:val="24"/>
          <w:szCs w:val="24"/>
        </w:rPr>
        <w:t xml:space="preserve">so much </w:t>
      </w:r>
      <w:r w:rsidR="004A4F06">
        <w:rPr>
          <w:sz w:val="24"/>
          <w:szCs w:val="24"/>
        </w:rPr>
        <w:t>legal, language</w:t>
      </w:r>
      <w:r w:rsidR="00775B0E">
        <w:rPr>
          <w:sz w:val="24"/>
          <w:szCs w:val="24"/>
        </w:rPr>
        <w:t>. In making this argument, we</w:t>
      </w:r>
      <w:r w:rsidR="00455EB3">
        <w:rPr>
          <w:sz w:val="24"/>
          <w:szCs w:val="24"/>
        </w:rPr>
        <w:t xml:space="preserve"> focus on the conceptualisation in legal language of </w:t>
      </w:r>
      <w:r w:rsidR="00775B0E">
        <w:rPr>
          <w:sz w:val="24"/>
          <w:szCs w:val="24"/>
        </w:rPr>
        <w:t xml:space="preserve">ideas that have been key to the development of </w:t>
      </w:r>
      <w:r w:rsidR="00B64092">
        <w:rPr>
          <w:sz w:val="24"/>
          <w:szCs w:val="24"/>
        </w:rPr>
        <w:t xml:space="preserve">the </w:t>
      </w:r>
      <w:r w:rsidR="00775B0E">
        <w:rPr>
          <w:sz w:val="24"/>
          <w:szCs w:val="24"/>
        </w:rPr>
        <w:t xml:space="preserve">criminal law: </w:t>
      </w:r>
      <w:r w:rsidR="00455EB3">
        <w:rPr>
          <w:sz w:val="24"/>
          <w:szCs w:val="24"/>
        </w:rPr>
        <w:t>culpability standards (</w:t>
      </w:r>
      <w:r w:rsidR="00B64092">
        <w:rPr>
          <w:sz w:val="24"/>
          <w:szCs w:val="24"/>
        </w:rPr>
        <w:t xml:space="preserve">e.g. regarding </w:t>
      </w:r>
      <w:r w:rsidR="00455EB3">
        <w:rPr>
          <w:sz w:val="24"/>
          <w:szCs w:val="24"/>
        </w:rPr>
        <w:t xml:space="preserve">dishonesty, recklessness) and assessments of </w:t>
      </w:r>
      <w:r w:rsidR="00B64092">
        <w:rPr>
          <w:sz w:val="24"/>
          <w:szCs w:val="24"/>
        </w:rPr>
        <w:t xml:space="preserve">a defendant’s </w:t>
      </w:r>
      <w:r w:rsidR="00455EB3">
        <w:rPr>
          <w:sz w:val="24"/>
          <w:szCs w:val="24"/>
        </w:rPr>
        <w:t>responsibility (</w:t>
      </w:r>
      <w:r w:rsidR="00B64092">
        <w:rPr>
          <w:sz w:val="24"/>
          <w:szCs w:val="24"/>
        </w:rPr>
        <w:t xml:space="preserve">e.g. </w:t>
      </w:r>
      <w:r w:rsidR="00455EB3">
        <w:rPr>
          <w:sz w:val="24"/>
          <w:szCs w:val="24"/>
        </w:rPr>
        <w:t>excusatory defences)</w:t>
      </w:r>
      <w:r w:rsidR="00C86943">
        <w:rPr>
          <w:sz w:val="24"/>
          <w:szCs w:val="24"/>
        </w:rPr>
        <w:t xml:space="preserve">. </w:t>
      </w:r>
      <w:r w:rsidR="007D318B">
        <w:rPr>
          <w:sz w:val="24"/>
          <w:szCs w:val="24"/>
        </w:rPr>
        <w:t>In numerous works of literature, t</w:t>
      </w:r>
      <w:r w:rsidR="00C86943">
        <w:rPr>
          <w:sz w:val="24"/>
          <w:szCs w:val="24"/>
        </w:rPr>
        <w:t xml:space="preserve">he </w:t>
      </w:r>
      <w:r w:rsidR="00537025">
        <w:rPr>
          <w:sz w:val="24"/>
          <w:szCs w:val="24"/>
        </w:rPr>
        <w:t>relevant metaphorical opposition</w:t>
      </w:r>
      <w:r w:rsidR="00C86943">
        <w:rPr>
          <w:sz w:val="24"/>
          <w:szCs w:val="24"/>
        </w:rPr>
        <w:t xml:space="preserve"> </w:t>
      </w:r>
      <w:r w:rsidR="007D318B">
        <w:rPr>
          <w:sz w:val="24"/>
          <w:szCs w:val="24"/>
        </w:rPr>
        <w:t>helps to frame notions</w:t>
      </w:r>
      <w:r w:rsidR="00BA2949">
        <w:rPr>
          <w:sz w:val="24"/>
          <w:szCs w:val="24"/>
        </w:rPr>
        <w:t xml:space="preserve"> </w:t>
      </w:r>
      <w:r w:rsidR="00BA2949">
        <w:rPr>
          <w:sz w:val="24"/>
          <w:szCs w:val="24"/>
        </w:rPr>
        <w:lastRenderedPageBreak/>
        <w:t>of justice and morality</w:t>
      </w:r>
      <w:r w:rsidR="007D318B">
        <w:rPr>
          <w:sz w:val="24"/>
          <w:szCs w:val="24"/>
        </w:rPr>
        <w:t xml:space="preserve">: </w:t>
      </w:r>
      <w:r w:rsidR="00C86943">
        <w:rPr>
          <w:sz w:val="24"/>
          <w:szCs w:val="24"/>
        </w:rPr>
        <w:t>the experience of</w:t>
      </w:r>
      <w:r w:rsidR="00BA2949">
        <w:rPr>
          <w:sz w:val="24"/>
          <w:szCs w:val="24"/>
        </w:rPr>
        <w:t xml:space="preserve"> being</w:t>
      </w:r>
      <w:r w:rsidR="008C482C">
        <w:rPr>
          <w:sz w:val="24"/>
          <w:szCs w:val="24"/>
        </w:rPr>
        <w:t xml:space="preserve"> cramped, mired, entangled, </w:t>
      </w:r>
      <w:r w:rsidR="00537025">
        <w:rPr>
          <w:sz w:val="24"/>
          <w:szCs w:val="24"/>
        </w:rPr>
        <w:t xml:space="preserve">impeded, </w:t>
      </w:r>
      <w:r w:rsidR="008C482C">
        <w:rPr>
          <w:sz w:val="24"/>
          <w:szCs w:val="24"/>
        </w:rPr>
        <w:t>constrained</w:t>
      </w:r>
      <w:r w:rsidR="00537025">
        <w:rPr>
          <w:sz w:val="24"/>
          <w:szCs w:val="24"/>
        </w:rPr>
        <w:t xml:space="preserve"> and contained</w:t>
      </w:r>
      <w:r w:rsidR="00167F3A">
        <w:rPr>
          <w:sz w:val="24"/>
          <w:szCs w:val="24"/>
        </w:rPr>
        <w:t xml:space="preserve"> by being held back or down,</w:t>
      </w:r>
      <w:r w:rsidR="00167F3A" w:rsidRPr="001E0157">
        <w:rPr>
          <w:sz w:val="24"/>
          <w:szCs w:val="24"/>
        </w:rPr>
        <w:t xml:space="preserve"> </w:t>
      </w:r>
      <w:r w:rsidR="00167F3A">
        <w:rPr>
          <w:sz w:val="24"/>
          <w:szCs w:val="24"/>
        </w:rPr>
        <w:t>perhaps by being stuck inside</w:t>
      </w:r>
      <w:r w:rsidR="009F4B72">
        <w:rPr>
          <w:sz w:val="24"/>
          <w:szCs w:val="24"/>
        </w:rPr>
        <w:t>, behind</w:t>
      </w:r>
      <w:r w:rsidR="00167F3A">
        <w:rPr>
          <w:sz w:val="24"/>
          <w:szCs w:val="24"/>
        </w:rPr>
        <w:t xml:space="preserve"> or under something</w:t>
      </w:r>
      <w:r w:rsidR="009A46E6">
        <w:rPr>
          <w:sz w:val="24"/>
          <w:szCs w:val="24"/>
        </w:rPr>
        <w:t xml:space="preserve">, </w:t>
      </w:r>
      <w:r w:rsidR="00C86943">
        <w:rPr>
          <w:sz w:val="24"/>
          <w:szCs w:val="24"/>
        </w:rPr>
        <w:t xml:space="preserve">with </w:t>
      </w:r>
      <w:r w:rsidR="009A46E6">
        <w:rPr>
          <w:sz w:val="24"/>
          <w:szCs w:val="24"/>
        </w:rPr>
        <w:t>movement and/or vision</w:t>
      </w:r>
      <w:r w:rsidR="00167F3A">
        <w:rPr>
          <w:sz w:val="24"/>
          <w:szCs w:val="24"/>
        </w:rPr>
        <w:t xml:space="preserve"> </w:t>
      </w:r>
      <w:r w:rsidR="00C86943">
        <w:rPr>
          <w:sz w:val="24"/>
          <w:szCs w:val="24"/>
        </w:rPr>
        <w:t xml:space="preserve">blocked, </w:t>
      </w:r>
      <w:r w:rsidR="009F4B72">
        <w:rPr>
          <w:sz w:val="24"/>
          <w:szCs w:val="24"/>
        </w:rPr>
        <w:t>obscure</w:t>
      </w:r>
      <w:r w:rsidR="009A46E6">
        <w:rPr>
          <w:sz w:val="24"/>
          <w:szCs w:val="24"/>
        </w:rPr>
        <w:t>d</w:t>
      </w:r>
      <w:r w:rsidR="00C86943">
        <w:rPr>
          <w:sz w:val="24"/>
          <w:szCs w:val="24"/>
        </w:rPr>
        <w:t xml:space="preserve"> or otherwise</w:t>
      </w:r>
      <w:r w:rsidR="00167F3A">
        <w:rPr>
          <w:sz w:val="24"/>
          <w:szCs w:val="24"/>
        </w:rPr>
        <w:t xml:space="preserve"> restric</w:t>
      </w:r>
      <w:r w:rsidR="009F4B72">
        <w:rPr>
          <w:sz w:val="24"/>
          <w:szCs w:val="24"/>
        </w:rPr>
        <w:t>t</w:t>
      </w:r>
      <w:r w:rsidR="009A46E6">
        <w:rPr>
          <w:sz w:val="24"/>
          <w:szCs w:val="24"/>
        </w:rPr>
        <w:t>ed</w:t>
      </w:r>
      <w:r w:rsidR="00C86943">
        <w:rPr>
          <w:sz w:val="24"/>
          <w:szCs w:val="24"/>
        </w:rPr>
        <w:t xml:space="preserve"> </w:t>
      </w:r>
      <w:r w:rsidR="007D318B">
        <w:rPr>
          <w:sz w:val="24"/>
          <w:szCs w:val="24"/>
        </w:rPr>
        <w:t>being</w:t>
      </w:r>
      <w:r w:rsidR="00C86943">
        <w:rPr>
          <w:sz w:val="24"/>
          <w:szCs w:val="24"/>
        </w:rPr>
        <w:t xml:space="preserve"> associated with injustice</w:t>
      </w:r>
      <w:r w:rsidR="009F4B72">
        <w:rPr>
          <w:sz w:val="24"/>
          <w:szCs w:val="24"/>
        </w:rPr>
        <w:t>.</w:t>
      </w:r>
      <w:r w:rsidR="00024004" w:rsidRPr="001E0157">
        <w:rPr>
          <w:sz w:val="24"/>
          <w:szCs w:val="24"/>
        </w:rPr>
        <w:t xml:space="preserve"> </w:t>
      </w:r>
      <w:r w:rsidR="00C86943">
        <w:rPr>
          <w:sz w:val="24"/>
          <w:szCs w:val="24"/>
        </w:rPr>
        <w:t xml:space="preserve">Conversely </w:t>
      </w:r>
      <w:r w:rsidR="009F4B72">
        <w:rPr>
          <w:sz w:val="24"/>
          <w:szCs w:val="24"/>
        </w:rPr>
        <w:t>the depiction of escape</w:t>
      </w:r>
      <w:r w:rsidR="00024004">
        <w:rPr>
          <w:sz w:val="24"/>
          <w:szCs w:val="24"/>
        </w:rPr>
        <w:t xml:space="preserve"> from </w:t>
      </w:r>
      <w:r w:rsidR="009F4B72">
        <w:rPr>
          <w:sz w:val="24"/>
          <w:szCs w:val="24"/>
        </w:rPr>
        <w:t>gloomy</w:t>
      </w:r>
      <w:r w:rsidR="00F43190">
        <w:rPr>
          <w:sz w:val="24"/>
          <w:szCs w:val="24"/>
        </w:rPr>
        <w:t>, confining</w:t>
      </w:r>
      <w:r w:rsidR="008C482C">
        <w:rPr>
          <w:sz w:val="24"/>
          <w:szCs w:val="24"/>
        </w:rPr>
        <w:t xml:space="preserve"> and constraining</w:t>
      </w:r>
      <w:r w:rsidR="009F4B72">
        <w:rPr>
          <w:sz w:val="24"/>
          <w:szCs w:val="24"/>
        </w:rPr>
        <w:t xml:space="preserve"> conditions </w:t>
      </w:r>
      <w:r w:rsidR="00024004">
        <w:rPr>
          <w:sz w:val="24"/>
          <w:szCs w:val="24"/>
        </w:rPr>
        <w:t xml:space="preserve">– </w:t>
      </w:r>
      <w:r w:rsidR="009F4B72">
        <w:rPr>
          <w:sz w:val="24"/>
          <w:szCs w:val="24"/>
        </w:rPr>
        <w:t xml:space="preserve">to (say) a clear view of </w:t>
      </w:r>
      <w:r w:rsidR="00024004" w:rsidRPr="001E0157">
        <w:rPr>
          <w:sz w:val="24"/>
          <w:szCs w:val="24"/>
        </w:rPr>
        <w:t xml:space="preserve">open skies and </w:t>
      </w:r>
      <w:r w:rsidR="009F4B72">
        <w:rPr>
          <w:sz w:val="24"/>
          <w:szCs w:val="24"/>
        </w:rPr>
        <w:t xml:space="preserve">expansive, uninterrupted </w:t>
      </w:r>
      <w:r w:rsidR="00AD6F8A">
        <w:rPr>
          <w:sz w:val="24"/>
          <w:szCs w:val="24"/>
        </w:rPr>
        <w:t>horizon</w:t>
      </w:r>
      <w:r w:rsidR="009F4B72">
        <w:rPr>
          <w:sz w:val="24"/>
          <w:szCs w:val="24"/>
        </w:rPr>
        <w:t>s</w:t>
      </w:r>
      <w:r w:rsidR="00AD6F8A">
        <w:rPr>
          <w:sz w:val="24"/>
          <w:szCs w:val="24"/>
        </w:rPr>
        <w:t xml:space="preserve"> </w:t>
      </w:r>
      <w:r w:rsidR="00024004">
        <w:rPr>
          <w:sz w:val="24"/>
          <w:szCs w:val="24"/>
        </w:rPr>
        <w:t xml:space="preserve">– often </w:t>
      </w:r>
      <w:r w:rsidR="00024004" w:rsidRPr="001E0157">
        <w:rPr>
          <w:sz w:val="24"/>
          <w:szCs w:val="24"/>
        </w:rPr>
        <w:t>convey</w:t>
      </w:r>
      <w:r w:rsidR="00024004">
        <w:rPr>
          <w:sz w:val="24"/>
          <w:szCs w:val="24"/>
        </w:rPr>
        <w:t>s</w:t>
      </w:r>
      <w:r w:rsidR="00024004" w:rsidRPr="001E0157">
        <w:rPr>
          <w:sz w:val="24"/>
          <w:szCs w:val="24"/>
        </w:rPr>
        <w:t xml:space="preserve"> </w:t>
      </w:r>
      <w:r w:rsidR="00024004">
        <w:rPr>
          <w:sz w:val="24"/>
          <w:szCs w:val="24"/>
        </w:rPr>
        <w:t>the po</w:t>
      </w:r>
      <w:r w:rsidR="00167F3A">
        <w:rPr>
          <w:sz w:val="24"/>
          <w:szCs w:val="24"/>
        </w:rPr>
        <w:t>ssibility of</w:t>
      </w:r>
      <w:r w:rsidR="009F4B72">
        <w:rPr>
          <w:sz w:val="24"/>
          <w:szCs w:val="24"/>
        </w:rPr>
        <w:t xml:space="preserve"> and hope for</w:t>
      </w:r>
      <w:r w:rsidR="00167F3A">
        <w:rPr>
          <w:sz w:val="24"/>
          <w:szCs w:val="24"/>
        </w:rPr>
        <w:t xml:space="preserve"> </w:t>
      </w:r>
      <w:r w:rsidR="009F4B72">
        <w:rPr>
          <w:sz w:val="24"/>
          <w:szCs w:val="24"/>
        </w:rPr>
        <w:t>just</w:t>
      </w:r>
      <w:r w:rsidR="00537025">
        <w:rPr>
          <w:sz w:val="24"/>
          <w:szCs w:val="24"/>
        </w:rPr>
        <w:t>ice</w:t>
      </w:r>
      <w:r w:rsidR="00024004" w:rsidRPr="001E0157">
        <w:rPr>
          <w:sz w:val="24"/>
          <w:szCs w:val="24"/>
        </w:rPr>
        <w:t xml:space="preserve">. </w:t>
      </w:r>
    </w:p>
    <w:p w14:paraId="1012DAC0" w14:textId="0281D588" w:rsidR="003A123D" w:rsidRPr="001E0157" w:rsidRDefault="00C86943" w:rsidP="00133E41">
      <w:pPr>
        <w:tabs>
          <w:tab w:val="left" w:pos="560"/>
          <w:tab w:val="left" w:pos="3828"/>
        </w:tabs>
        <w:spacing w:after="0" w:line="480" w:lineRule="auto"/>
        <w:rPr>
          <w:sz w:val="24"/>
          <w:szCs w:val="24"/>
        </w:rPr>
      </w:pPr>
      <w:r>
        <w:rPr>
          <w:sz w:val="24"/>
          <w:szCs w:val="24"/>
        </w:rPr>
        <w:tab/>
      </w:r>
      <w:r w:rsidR="00DF43D1">
        <w:rPr>
          <w:sz w:val="24"/>
          <w:szCs w:val="24"/>
        </w:rPr>
        <w:t>We should</w:t>
      </w:r>
      <w:r w:rsidR="00ED4D7C">
        <w:rPr>
          <w:sz w:val="24"/>
          <w:szCs w:val="24"/>
        </w:rPr>
        <w:t xml:space="preserve"> be clear at this point that </w:t>
      </w:r>
      <w:r w:rsidR="00653FBD">
        <w:rPr>
          <w:sz w:val="24"/>
          <w:szCs w:val="24"/>
        </w:rPr>
        <w:t xml:space="preserve">our concern here is </w:t>
      </w:r>
      <w:r w:rsidR="00653FBD" w:rsidRPr="00ED4D7C">
        <w:rPr>
          <w:i/>
          <w:iCs/>
          <w:sz w:val="24"/>
          <w:szCs w:val="24"/>
        </w:rPr>
        <w:t>not</w:t>
      </w:r>
      <w:r w:rsidR="00653FBD">
        <w:rPr>
          <w:sz w:val="24"/>
          <w:szCs w:val="24"/>
        </w:rPr>
        <w:t xml:space="preserve"> with</w:t>
      </w:r>
      <w:r w:rsidR="0055722C">
        <w:rPr>
          <w:sz w:val="24"/>
          <w:szCs w:val="24"/>
        </w:rPr>
        <w:t xml:space="preserve"> </w:t>
      </w:r>
      <w:r w:rsidR="00653FBD">
        <w:rPr>
          <w:sz w:val="24"/>
          <w:szCs w:val="24"/>
        </w:rPr>
        <w:t xml:space="preserve">the </w:t>
      </w:r>
      <w:r w:rsidR="007D318B">
        <w:rPr>
          <w:sz w:val="24"/>
          <w:szCs w:val="24"/>
        </w:rPr>
        <w:t xml:space="preserve">justifiability or otherwise of </w:t>
      </w:r>
      <w:r w:rsidR="00F15DCE">
        <w:rPr>
          <w:sz w:val="24"/>
          <w:szCs w:val="24"/>
        </w:rPr>
        <w:t>imprisonment</w:t>
      </w:r>
      <w:r w:rsidR="008F7BC0">
        <w:rPr>
          <w:sz w:val="24"/>
          <w:szCs w:val="24"/>
        </w:rPr>
        <w:t xml:space="preserve"> (which</w:t>
      </w:r>
      <w:r w:rsidR="00A840C7">
        <w:rPr>
          <w:sz w:val="24"/>
          <w:szCs w:val="24"/>
        </w:rPr>
        <w:t xml:space="preserve">, as the chief means by which </w:t>
      </w:r>
      <w:r w:rsidR="00A840C7" w:rsidRPr="00517FC2">
        <w:rPr>
          <w:sz w:val="24"/>
          <w:szCs w:val="24"/>
        </w:rPr>
        <w:t>criminal</w:t>
      </w:r>
      <w:r w:rsidR="00A840C7">
        <w:rPr>
          <w:sz w:val="24"/>
          <w:szCs w:val="24"/>
        </w:rPr>
        <w:t xml:space="preserve"> justice is meted out, is of course a</w:t>
      </w:r>
      <w:r w:rsidR="008F7BC0">
        <w:rPr>
          <w:sz w:val="24"/>
          <w:szCs w:val="24"/>
        </w:rPr>
        <w:t xml:space="preserve"> </w:t>
      </w:r>
      <w:r w:rsidR="008F7BC0" w:rsidRPr="00A840C7">
        <w:rPr>
          <w:i/>
          <w:sz w:val="24"/>
          <w:szCs w:val="24"/>
        </w:rPr>
        <w:t>literal</w:t>
      </w:r>
      <w:r w:rsidR="008F7BC0">
        <w:rPr>
          <w:sz w:val="24"/>
          <w:szCs w:val="24"/>
        </w:rPr>
        <w:t xml:space="preserve"> </w:t>
      </w:r>
      <w:r w:rsidR="00517FC2">
        <w:rPr>
          <w:sz w:val="24"/>
          <w:szCs w:val="24"/>
        </w:rPr>
        <w:t>interpretation of our theme</w:t>
      </w:r>
      <w:r w:rsidR="008F7BC0">
        <w:rPr>
          <w:sz w:val="24"/>
          <w:szCs w:val="24"/>
        </w:rPr>
        <w:t>)</w:t>
      </w:r>
      <w:r w:rsidR="007D318B">
        <w:rPr>
          <w:sz w:val="24"/>
          <w:szCs w:val="24"/>
        </w:rPr>
        <w:t>,</w:t>
      </w:r>
      <w:r w:rsidR="00517FC2" w:rsidRPr="004A6696">
        <w:rPr>
          <w:rStyle w:val="FootnoteReference"/>
        </w:rPr>
        <w:footnoteReference w:id="5"/>
      </w:r>
      <w:r w:rsidR="0055722C">
        <w:rPr>
          <w:sz w:val="24"/>
          <w:szCs w:val="24"/>
        </w:rPr>
        <w:t xml:space="preserve"> but </w:t>
      </w:r>
      <w:r w:rsidR="00F15DCE">
        <w:rPr>
          <w:sz w:val="24"/>
          <w:szCs w:val="24"/>
        </w:rPr>
        <w:t xml:space="preserve">rather </w:t>
      </w:r>
      <w:r w:rsidR="00653FBD">
        <w:rPr>
          <w:sz w:val="24"/>
          <w:szCs w:val="24"/>
        </w:rPr>
        <w:t>with</w:t>
      </w:r>
      <w:r w:rsidR="0055722C">
        <w:rPr>
          <w:sz w:val="24"/>
          <w:szCs w:val="24"/>
        </w:rPr>
        <w:t xml:space="preserve"> </w:t>
      </w:r>
      <w:r w:rsidR="00653FBD">
        <w:rPr>
          <w:sz w:val="24"/>
          <w:szCs w:val="24"/>
        </w:rPr>
        <w:t xml:space="preserve">the way that </w:t>
      </w:r>
      <w:r w:rsidR="00133E41">
        <w:rPr>
          <w:sz w:val="24"/>
          <w:szCs w:val="24"/>
        </w:rPr>
        <w:t>our metaphor</w:t>
      </w:r>
      <w:r w:rsidR="00517FC2">
        <w:rPr>
          <w:sz w:val="24"/>
          <w:szCs w:val="24"/>
        </w:rPr>
        <w:t xml:space="preserve"> </w:t>
      </w:r>
      <w:r w:rsidR="000315CD">
        <w:rPr>
          <w:sz w:val="24"/>
          <w:szCs w:val="24"/>
        </w:rPr>
        <w:t xml:space="preserve">affords </w:t>
      </w:r>
      <w:r w:rsidR="007D318B">
        <w:rPr>
          <w:sz w:val="24"/>
          <w:szCs w:val="24"/>
        </w:rPr>
        <w:t xml:space="preserve">meaning </w:t>
      </w:r>
      <w:r w:rsidR="000315CD">
        <w:rPr>
          <w:sz w:val="24"/>
          <w:szCs w:val="24"/>
        </w:rPr>
        <w:t xml:space="preserve">and plausibility to </w:t>
      </w:r>
      <w:r w:rsidR="00FE56F6">
        <w:rPr>
          <w:sz w:val="24"/>
          <w:szCs w:val="24"/>
        </w:rPr>
        <w:t>attempts to articul</w:t>
      </w:r>
      <w:r w:rsidR="00DF43D1">
        <w:rPr>
          <w:sz w:val="24"/>
          <w:szCs w:val="24"/>
        </w:rPr>
        <w:t>ate the demands of justice more generally</w:t>
      </w:r>
      <w:r w:rsidR="0055722C">
        <w:rPr>
          <w:sz w:val="24"/>
          <w:szCs w:val="24"/>
        </w:rPr>
        <w:t>.</w:t>
      </w:r>
      <w:r w:rsidR="00DF43D1" w:rsidRPr="004A6696">
        <w:rPr>
          <w:rStyle w:val="FootnoteReference"/>
        </w:rPr>
        <w:footnoteReference w:id="6"/>
      </w:r>
      <w:r w:rsidR="00DF43D1">
        <w:rPr>
          <w:sz w:val="24"/>
          <w:szCs w:val="24"/>
        </w:rPr>
        <w:t xml:space="preserve"> Making its appearance in ways that are </w:t>
      </w:r>
      <w:r w:rsidR="00133E41">
        <w:rPr>
          <w:sz w:val="24"/>
          <w:szCs w:val="24"/>
        </w:rPr>
        <w:t>typically</w:t>
      </w:r>
      <w:r w:rsidR="00DF43D1">
        <w:rPr>
          <w:sz w:val="24"/>
          <w:szCs w:val="24"/>
        </w:rPr>
        <w:t xml:space="preserve"> more oblique than in literary texts, w</w:t>
      </w:r>
      <w:r w:rsidR="001E02D2">
        <w:rPr>
          <w:sz w:val="24"/>
          <w:szCs w:val="24"/>
        </w:rPr>
        <w:t>e will observe that it</w:t>
      </w:r>
      <w:r w:rsidR="00DF43D1">
        <w:rPr>
          <w:sz w:val="24"/>
          <w:szCs w:val="24"/>
        </w:rPr>
        <w:t xml:space="preserve"> often takes </w:t>
      </w:r>
      <w:r w:rsidR="00DF43D1" w:rsidRPr="001E0157">
        <w:rPr>
          <w:sz w:val="24"/>
          <w:szCs w:val="24"/>
        </w:rPr>
        <w:t>the form of warnings about</w:t>
      </w:r>
      <w:r w:rsidR="00DF43D1">
        <w:rPr>
          <w:sz w:val="24"/>
          <w:szCs w:val="24"/>
        </w:rPr>
        <w:t xml:space="preserve"> the delivery of justice becoming metaphoric</w:t>
      </w:r>
      <w:r w:rsidR="00FE56F6">
        <w:rPr>
          <w:sz w:val="24"/>
          <w:szCs w:val="24"/>
        </w:rPr>
        <w:t>ally bogged down, entangled</w:t>
      </w:r>
      <w:r w:rsidR="00DF43D1">
        <w:rPr>
          <w:sz w:val="24"/>
          <w:szCs w:val="24"/>
        </w:rPr>
        <w:t>, held up and mired in matters that may be peripheral to that noble end (such as technicalities, terms of art or unsound policies) or even downright dangerous (the moral compromises and failings of particular defendants</w:t>
      </w:r>
      <w:r w:rsidR="00DF43D1">
        <w:rPr>
          <w:i/>
          <w:sz w:val="24"/>
          <w:szCs w:val="24"/>
        </w:rPr>
        <w:t xml:space="preserve"> </w:t>
      </w:r>
      <w:r w:rsidR="00DF43D1">
        <w:rPr>
          <w:sz w:val="24"/>
          <w:szCs w:val="24"/>
        </w:rPr>
        <w:t>to which a court might extend undue and unwise sympathy).</w:t>
      </w:r>
      <w:r w:rsidR="00C77B71">
        <w:rPr>
          <w:sz w:val="24"/>
          <w:szCs w:val="24"/>
        </w:rPr>
        <w:t xml:space="preserve"> </w:t>
      </w:r>
      <w:r w:rsidR="00DF43D1">
        <w:rPr>
          <w:sz w:val="24"/>
          <w:szCs w:val="24"/>
        </w:rPr>
        <w:t xml:space="preserve">An already familiar </w:t>
      </w:r>
      <w:r w:rsidR="008F7BC0">
        <w:rPr>
          <w:sz w:val="24"/>
          <w:szCs w:val="24"/>
        </w:rPr>
        <w:t xml:space="preserve">example </w:t>
      </w:r>
      <w:r w:rsidR="00DF43D1">
        <w:rPr>
          <w:sz w:val="24"/>
          <w:szCs w:val="24"/>
        </w:rPr>
        <w:t>is</w:t>
      </w:r>
      <w:r w:rsidR="0065329A">
        <w:rPr>
          <w:sz w:val="24"/>
          <w:szCs w:val="24"/>
        </w:rPr>
        <w:t xml:space="preserve"> </w:t>
      </w:r>
      <w:r w:rsidR="008F7BC0">
        <w:rPr>
          <w:sz w:val="24"/>
          <w:szCs w:val="24"/>
        </w:rPr>
        <w:t>the fluvial metaphor</w:t>
      </w:r>
      <w:r w:rsidR="00D05BFB">
        <w:rPr>
          <w:sz w:val="24"/>
          <w:szCs w:val="24"/>
        </w:rPr>
        <w:t xml:space="preserve"> of ‘attrition’</w:t>
      </w:r>
      <w:r w:rsidR="008F7BC0">
        <w:rPr>
          <w:sz w:val="24"/>
          <w:szCs w:val="24"/>
        </w:rPr>
        <w:t xml:space="preserve">, </w:t>
      </w:r>
      <w:r w:rsidR="00D05BFB">
        <w:rPr>
          <w:sz w:val="24"/>
          <w:szCs w:val="24"/>
        </w:rPr>
        <w:t xml:space="preserve">used </w:t>
      </w:r>
      <w:r w:rsidR="00A11154">
        <w:rPr>
          <w:sz w:val="24"/>
          <w:szCs w:val="24"/>
        </w:rPr>
        <w:t xml:space="preserve">particularly </w:t>
      </w:r>
      <w:r w:rsidR="00D05BFB">
        <w:rPr>
          <w:sz w:val="24"/>
          <w:szCs w:val="24"/>
        </w:rPr>
        <w:t xml:space="preserve">frequently to refer to the phenomenon of </w:t>
      </w:r>
      <w:r w:rsidR="00DF43D1">
        <w:rPr>
          <w:sz w:val="24"/>
          <w:szCs w:val="24"/>
        </w:rPr>
        <w:t xml:space="preserve">rape </w:t>
      </w:r>
      <w:r w:rsidR="00D05BFB">
        <w:rPr>
          <w:sz w:val="24"/>
          <w:szCs w:val="24"/>
        </w:rPr>
        <w:t xml:space="preserve">trials which, </w:t>
      </w:r>
      <w:r w:rsidR="00023C20">
        <w:rPr>
          <w:sz w:val="24"/>
          <w:szCs w:val="24"/>
        </w:rPr>
        <w:t>like</w:t>
      </w:r>
      <w:r w:rsidR="00D05BFB">
        <w:rPr>
          <w:sz w:val="24"/>
          <w:szCs w:val="24"/>
        </w:rPr>
        <w:t xml:space="preserve"> stone</w:t>
      </w:r>
      <w:r w:rsidR="00023C20">
        <w:rPr>
          <w:sz w:val="24"/>
          <w:szCs w:val="24"/>
        </w:rPr>
        <w:t>s</w:t>
      </w:r>
      <w:r w:rsidR="00D05BFB">
        <w:rPr>
          <w:sz w:val="24"/>
          <w:szCs w:val="24"/>
        </w:rPr>
        <w:t xml:space="preserve"> </w:t>
      </w:r>
      <w:r w:rsidR="00023C20">
        <w:rPr>
          <w:sz w:val="24"/>
          <w:szCs w:val="24"/>
        </w:rPr>
        <w:t>that</w:t>
      </w:r>
      <w:r w:rsidR="00D05BFB">
        <w:rPr>
          <w:sz w:val="24"/>
          <w:szCs w:val="24"/>
        </w:rPr>
        <w:t xml:space="preserve"> for a time </w:t>
      </w:r>
      <w:r w:rsidR="00023C20">
        <w:rPr>
          <w:sz w:val="24"/>
          <w:szCs w:val="24"/>
        </w:rPr>
        <w:t xml:space="preserve">are </w:t>
      </w:r>
      <w:r w:rsidR="00D05BFB">
        <w:rPr>
          <w:sz w:val="24"/>
          <w:szCs w:val="24"/>
        </w:rPr>
        <w:t xml:space="preserve">carried in a river but </w:t>
      </w:r>
      <w:r w:rsidR="00023C20">
        <w:rPr>
          <w:sz w:val="24"/>
          <w:szCs w:val="24"/>
        </w:rPr>
        <w:t xml:space="preserve">finally </w:t>
      </w:r>
      <w:r w:rsidR="00023C20">
        <w:rPr>
          <w:sz w:val="24"/>
          <w:szCs w:val="24"/>
        </w:rPr>
        <w:lastRenderedPageBreak/>
        <w:t>lose</w:t>
      </w:r>
      <w:r w:rsidR="00D05BFB">
        <w:rPr>
          <w:sz w:val="24"/>
          <w:szCs w:val="24"/>
        </w:rPr>
        <w:t xml:space="preserve"> momentum and </w:t>
      </w:r>
      <w:r w:rsidR="00023C20">
        <w:rPr>
          <w:sz w:val="24"/>
          <w:szCs w:val="24"/>
        </w:rPr>
        <w:t>get</w:t>
      </w:r>
      <w:r w:rsidR="00D05BFB">
        <w:rPr>
          <w:sz w:val="24"/>
          <w:szCs w:val="24"/>
        </w:rPr>
        <w:t xml:space="preserve"> stuck on the bed, are </w:t>
      </w:r>
      <w:r w:rsidR="00A11154">
        <w:rPr>
          <w:sz w:val="24"/>
          <w:szCs w:val="24"/>
        </w:rPr>
        <w:t>held up and finally stopped by</w:t>
      </w:r>
      <w:r w:rsidR="0065329A">
        <w:rPr>
          <w:sz w:val="24"/>
          <w:szCs w:val="24"/>
        </w:rPr>
        <w:t xml:space="preserve"> the multiple</w:t>
      </w:r>
      <w:r w:rsidR="00A11154">
        <w:rPr>
          <w:sz w:val="24"/>
          <w:szCs w:val="24"/>
        </w:rPr>
        <w:t xml:space="preserve"> difficulties encountered along its journey between complainant and conviction.</w:t>
      </w:r>
      <w:r w:rsidR="0065329A" w:rsidRPr="004A6696">
        <w:rPr>
          <w:rStyle w:val="FootnoteReference"/>
        </w:rPr>
        <w:footnoteReference w:id="7"/>
      </w:r>
      <w:r w:rsidR="00775B0E">
        <w:rPr>
          <w:sz w:val="24"/>
          <w:szCs w:val="24"/>
        </w:rPr>
        <w:t xml:space="preserve"> </w:t>
      </w:r>
      <w:r w:rsidR="00C77B71">
        <w:rPr>
          <w:sz w:val="24"/>
          <w:szCs w:val="24"/>
        </w:rPr>
        <w:t>We argu</w:t>
      </w:r>
      <w:r w:rsidR="007B2157">
        <w:rPr>
          <w:sz w:val="24"/>
          <w:szCs w:val="24"/>
        </w:rPr>
        <w:t>e that</w:t>
      </w:r>
      <w:r w:rsidR="00C77B71">
        <w:rPr>
          <w:sz w:val="24"/>
          <w:szCs w:val="24"/>
        </w:rPr>
        <w:t xml:space="preserve"> </w:t>
      </w:r>
      <w:r w:rsidR="00A11154">
        <w:rPr>
          <w:sz w:val="24"/>
          <w:szCs w:val="24"/>
        </w:rPr>
        <w:t xml:space="preserve">to focus attention on </w:t>
      </w:r>
      <w:r w:rsidR="00C77B71">
        <w:rPr>
          <w:sz w:val="24"/>
          <w:szCs w:val="24"/>
        </w:rPr>
        <w:t>these</w:t>
      </w:r>
      <w:r w:rsidR="00023C20">
        <w:rPr>
          <w:sz w:val="24"/>
          <w:szCs w:val="24"/>
        </w:rPr>
        <w:t xml:space="preserve"> sorts of</w:t>
      </w:r>
      <w:r w:rsidR="00C77B71">
        <w:rPr>
          <w:sz w:val="24"/>
          <w:szCs w:val="24"/>
        </w:rPr>
        <w:t xml:space="preserve"> </w:t>
      </w:r>
      <w:r w:rsidR="00A11154">
        <w:rPr>
          <w:sz w:val="24"/>
          <w:szCs w:val="24"/>
        </w:rPr>
        <w:t xml:space="preserve">instances of metaphor </w:t>
      </w:r>
      <w:r w:rsidR="00C77B71">
        <w:rPr>
          <w:sz w:val="24"/>
          <w:szCs w:val="24"/>
        </w:rPr>
        <w:t>establish</w:t>
      </w:r>
      <w:r w:rsidR="00A11154">
        <w:rPr>
          <w:sz w:val="24"/>
          <w:szCs w:val="24"/>
        </w:rPr>
        <w:t>es</w:t>
      </w:r>
      <w:r w:rsidR="00775B0E">
        <w:rPr>
          <w:sz w:val="24"/>
          <w:szCs w:val="24"/>
        </w:rPr>
        <w:t xml:space="preserve"> an important intersection between literature and law</w:t>
      </w:r>
      <w:r w:rsidR="007B2157">
        <w:rPr>
          <w:sz w:val="24"/>
          <w:szCs w:val="24"/>
        </w:rPr>
        <w:t xml:space="preserve"> that</w:t>
      </w:r>
      <w:r w:rsidR="00775B0E">
        <w:rPr>
          <w:sz w:val="24"/>
          <w:szCs w:val="24"/>
        </w:rPr>
        <w:t xml:space="preserve"> </w:t>
      </w:r>
      <w:r w:rsidR="004C60FF">
        <w:rPr>
          <w:sz w:val="24"/>
          <w:szCs w:val="24"/>
        </w:rPr>
        <w:t xml:space="preserve">is </w:t>
      </w:r>
      <w:r w:rsidR="00D52641" w:rsidRPr="001E0157">
        <w:rPr>
          <w:sz w:val="24"/>
          <w:szCs w:val="24"/>
        </w:rPr>
        <w:t xml:space="preserve">key to advancing our </w:t>
      </w:r>
      <w:r w:rsidR="00C77B71">
        <w:rPr>
          <w:sz w:val="24"/>
          <w:szCs w:val="24"/>
        </w:rPr>
        <w:t xml:space="preserve">broader </w:t>
      </w:r>
      <w:r w:rsidR="00D52641" w:rsidRPr="001E0157">
        <w:rPr>
          <w:sz w:val="24"/>
          <w:szCs w:val="24"/>
        </w:rPr>
        <w:t xml:space="preserve">understanding of </w:t>
      </w:r>
      <w:r w:rsidR="00C77B71">
        <w:rPr>
          <w:sz w:val="24"/>
          <w:szCs w:val="24"/>
        </w:rPr>
        <w:t xml:space="preserve">legal </w:t>
      </w:r>
      <w:r w:rsidR="007B2157">
        <w:rPr>
          <w:sz w:val="24"/>
          <w:szCs w:val="24"/>
        </w:rPr>
        <w:t>rhetoric and judgments</w:t>
      </w:r>
      <w:r w:rsidR="00C77B71">
        <w:rPr>
          <w:sz w:val="24"/>
          <w:szCs w:val="24"/>
        </w:rPr>
        <w:t>.</w:t>
      </w:r>
    </w:p>
    <w:p w14:paraId="71D055E9" w14:textId="300138C3" w:rsidR="005912FE" w:rsidRPr="001E0157" w:rsidRDefault="003A123D" w:rsidP="00023C20">
      <w:pPr>
        <w:tabs>
          <w:tab w:val="left" w:pos="560"/>
          <w:tab w:val="left" w:pos="3828"/>
        </w:tabs>
        <w:spacing w:after="0" w:line="480" w:lineRule="auto"/>
        <w:rPr>
          <w:sz w:val="24"/>
          <w:szCs w:val="24"/>
        </w:rPr>
      </w:pPr>
      <w:r w:rsidRPr="001E0157">
        <w:rPr>
          <w:sz w:val="24"/>
          <w:szCs w:val="24"/>
        </w:rPr>
        <w:tab/>
      </w:r>
      <w:r w:rsidR="008643B6">
        <w:rPr>
          <w:sz w:val="24"/>
          <w:szCs w:val="24"/>
        </w:rPr>
        <w:t>Before we begin</w:t>
      </w:r>
      <w:r w:rsidR="00320611">
        <w:rPr>
          <w:sz w:val="24"/>
          <w:szCs w:val="24"/>
        </w:rPr>
        <w:t xml:space="preserve"> properly</w:t>
      </w:r>
      <w:r w:rsidR="008643B6">
        <w:rPr>
          <w:sz w:val="24"/>
          <w:szCs w:val="24"/>
        </w:rPr>
        <w:t>, we must pause briefly to acknowledge that t</w:t>
      </w:r>
      <w:r w:rsidR="00C401F1" w:rsidRPr="001E0157">
        <w:rPr>
          <w:sz w:val="24"/>
          <w:szCs w:val="24"/>
        </w:rPr>
        <w:t xml:space="preserve">his approach to bringing metaphorical meanings and their effects to light is not </w:t>
      </w:r>
      <w:r w:rsidR="00590603">
        <w:rPr>
          <w:sz w:val="24"/>
          <w:szCs w:val="24"/>
        </w:rPr>
        <w:t>free of</w:t>
      </w:r>
      <w:r w:rsidR="00C401F1" w:rsidRPr="001E0157">
        <w:rPr>
          <w:sz w:val="24"/>
          <w:szCs w:val="24"/>
        </w:rPr>
        <w:t xml:space="preserve"> </w:t>
      </w:r>
      <w:r w:rsidR="00590603">
        <w:rPr>
          <w:sz w:val="24"/>
          <w:szCs w:val="24"/>
        </w:rPr>
        <w:t>contestation</w:t>
      </w:r>
      <w:r w:rsidR="00C401F1">
        <w:rPr>
          <w:sz w:val="24"/>
          <w:szCs w:val="24"/>
        </w:rPr>
        <w:t xml:space="preserve">, risk and </w:t>
      </w:r>
      <w:r w:rsidR="00C401F1" w:rsidRPr="001E0157">
        <w:rPr>
          <w:sz w:val="24"/>
          <w:szCs w:val="24"/>
        </w:rPr>
        <w:t xml:space="preserve">limitation. </w:t>
      </w:r>
      <w:r w:rsidR="00C401F1">
        <w:rPr>
          <w:sz w:val="24"/>
          <w:szCs w:val="24"/>
        </w:rPr>
        <w:t xml:space="preserve">In the first place, </w:t>
      </w:r>
      <w:r w:rsidR="00590603">
        <w:rPr>
          <w:sz w:val="24"/>
          <w:szCs w:val="24"/>
        </w:rPr>
        <w:t xml:space="preserve">the analysis of law by way of drawing out </w:t>
      </w:r>
      <w:r w:rsidR="006F6A7F">
        <w:rPr>
          <w:sz w:val="24"/>
          <w:szCs w:val="24"/>
        </w:rPr>
        <w:t>comparison</w:t>
      </w:r>
      <w:r w:rsidR="00590603">
        <w:rPr>
          <w:sz w:val="24"/>
          <w:szCs w:val="24"/>
        </w:rPr>
        <w:t>s with works of</w:t>
      </w:r>
      <w:r w:rsidR="006F6A7F" w:rsidRPr="001E0157">
        <w:rPr>
          <w:sz w:val="24"/>
          <w:szCs w:val="24"/>
        </w:rPr>
        <w:t xml:space="preserve"> literature</w:t>
      </w:r>
      <w:r w:rsidR="006F6A7F">
        <w:rPr>
          <w:sz w:val="24"/>
          <w:szCs w:val="24"/>
        </w:rPr>
        <w:t xml:space="preserve"> inevitably </w:t>
      </w:r>
      <w:r w:rsidR="00590603">
        <w:rPr>
          <w:sz w:val="24"/>
          <w:szCs w:val="24"/>
        </w:rPr>
        <w:t xml:space="preserve">invites objections, since there are </w:t>
      </w:r>
      <w:r w:rsidR="00E9572A" w:rsidRPr="001E0157">
        <w:rPr>
          <w:sz w:val="24"/>
          <w:szCs w:val="24"/>
        </w:rPr>
        <w:t xml:space="preserve">important differences between </w:t>
      </w:r>
      <w:r w:rsidR="003F7DC6" w:rsidRPr="001E0157">
        <w:rPr>
          <w:sz w:val="24"/>
          <w:szCs w:val="24"/>
        </w:rPr>
        <w:t>law and literature</w:t>
      </w:r>
      <w:r w:rsidR="006F6A7F">
        <w:rPr>
          <w:sz w:val="24"/>
          <w:szCs w:val="24"/>
        </w:rPr>
        <w:t xml:space="preserve"> that have always bedevilled ‘law and literature’ scholarship</w:t>
      </w:r>
      <w:r w:rsidR="00E9572A" w:rsidRPr="001E0157">
        <w:rPr>
          <w:sz w:val="24"/>
          <w:szCs w:val="24"/>
        </w:rPr>
        <w:t>.</w:t>
      </w:r>
      <w:r w:rsidR="008673CF" w:rsidRPr="004A6696">
        <w:rPr>
          <w:rStyle w:val="FootnoteReference"/>
        </w:rPr>
        <w:footnoteReference w:id="8"/>
      </w:r>
      <w:r w:rsidR="00E9572A" w:rsidRPr="001E0157">
        <w:rPr>
          <w:sz w:val="24"/>
          <w:szCs w:val="24"/>
        </w:rPr>
        <w:t xml:space="preserve"> </w:t>
      </w:r>
      <w:r w:rsidR="005A5906">
        <w:rPr>
          <w:sz w:val="24"/>
          <w:szCs w:val="24"/>
        </w:rPr>
        <w:t>There is no need to re</w:t>
      </w:r>
      <w:r w:rsidR="00F81D4C">
        <w:rPr>
          <w:sz w:val="24"/>
          <w:szCs w:val="24"/>
        </w:rPr>
        <w:t>hearse</w:t>
      </w:r>
      <w:r w:rsidR="005A5906">
        <w:rPr>
          <w:sz w:val="24"/>
          <w:szCs w:val="24"/>
        </w:rPr>
        <w:t xml:space="preserve"> here</w:t>
      </w:r>
      <w:r w:rsidR="00A93E96">
        <w:rPr>
          <w:sz w:val="24"/>
          <w:szCs w:val="24"/>
        </w:rPr>
        <w:t xml:space="preserve"> the var</w:t>
      </w:r>
      <w:r w:rsidR="00F81D4C">
        <w:rPr>
          <w:sz w:val="24"/>
          <w:szCs w:val="24"/>
        </w:rPr>
        <w:t>ious challenges</w:t>
      </w:r>
      <w:r w:rsidR="001775F3">
        <w:rPr>
          <w:sz w:val="24"/>
          <w:szCs w:val="24"/>
        </w:rPr>
        <w:t xml:space="preserve"> that</w:t>
      </w:r>
      <w:r w:rsidR="00F81D4C">
        <w:rPr>
          <w:sz w:val="24"/>
          <w:szCs w:val="24"/>
        </w:rPr>
        <w:t xml:space="preserve"> such differences pose</w:t>
      </w:r>
      <w:r w:rsidR="005A5906">
        <w:rPr>
          <w:sz w:val="24"/>
          <w:szCs w:val="24"/>
        </w:rPr>
        <w:t xml:space="preserve">, </w:t>
      </w:r>
      <w:r w:rsidR="00DE1AC7">
        <w:rPr>
          <w:sz w:val="24"/>
          <w:szCs w:val="24"/>
        </w:rPr>
        <w:t>since these</w:t>
      </w:r>
      <w:r w:rsidR="005A5906">
        <w:rPr>
          <w:sz w:val="24"/>
          <w:szCs w:val="24"/>
        </w:rPr>
        <w:t xml:space="preserve"> have been debated in detail by others and elsewhere</w:t>
      </w:r>
      <w:r w:rsidR="008D08BE">
        <w:rPr>
          <w:sz w:val="24"/>
          <w:szCs w:val="24"/>
        </w:rPr>
        <w:t>.</w:t>
      </w:r>
      <w:r w:rsidR="005A5906" w:rsidRPr="004A6696">
        <w:rPr>
          <w:rStyle w:val="FootnoteReference"/>
        </w:rPr>
        <w:footnoteReference w:id="9"/>
      </w:r>
      <w:r w:rsidR="00023C20">
        <w:rPr>
          <w:sz w:val="24"/>
          <w:szCs w:val="24"/>
        </w:rPr>
        <w:t xml:space="preserve"> It </w:t>
      </w:r>
      <w:r w:rsidR="008D08BE">
        <w:rPr>
          <w:sz w:val="24"/>
          <w:szCs w:val="24"/>
        </w:rPr>
        <w:t xml:space="preserve">is sensible </w:t>
      </w:r>
      <w:r w:rsidR="00320611">
        <w:rPr>
          <w:sz w:val="24"/>
          <w:szCs w:val="24"/>
        </w:rPr>
        <w:t xml:space="preserve">however </w:t>
      </w:r>
      <w:r w:rsidR="008D08BE">
        <w:rPr>
          <w:sz w:val="24"/>
          <w:szCs w:val="24"/>
        </w:rPr>
        <w:t>at least to</w:t>
      </w:r>
      <w:r w:rsidR="002975A5">
        <w:rPr>
          <w:sz w:val="24"/>
          <w:szCs w:val="24"/>
        </w:rPr>
        <w:t xml:space="preserve"> </w:t>
      </w:r>
      <w:r w:rsidR="00F81D4C">
        <w:rPr>
          <w:sz w:val="24"/>
          <w:szCs w:val="24"/>
        </w:rPr>
        <w:t xml:space="preserve">acknowledge </w:t>
      </w:r>
      <w:r w:rsidR="002975A5">
        <w:rPr>
          <w:sz w:val="24"/>
          <w:szCs w:val="24"/>
        </w:rPr>
        <w:t>that</w:t>
      </w:r>
      <w:r w:rsidR="00FE56F6">
        <w:rPr>
          <w:sz w:val="24"/>
          <w:szCs w:val="24"/>
        </w:rPr>
        <w:t xml:space="preserve"> there are indeed d</w:t>
      </w:r>
      <w:r w:rsidR="006817E3">
        <w:rPr>
          <w:sz w:val="24"/>
          <w:szCs w:val="24"/>
        </w:rPr>
        <w:t>ifferences to take into account</w:t>
      </w:r>
      <w:r w:rsidR="00FE56F6">
        <w:rPr>
          <w:sz w:val="24"/>
          <w:szCs w:val="24"/>
        </w:rPr>
        <w:t xml:space="preserve"> in terms of </w:t>
      </w:r>
      <w:r w:rsidR="006817E3">
        <w:rPr>
          <w:sz w:val="24"/>
          <w:szCs w:val="24"/>
        </w:rPr>
        <w:t xml:space="preserve">professional conventions, </w:t>
      </w:r>
      <w:r w:rsidR="00FE56F6">
        <w:rPr>
          <w:sz w:val="24"/>
          <w:szCs w:val="24"/>
        </w:rPr>
        <w:t xml:space="preserve">author </w:t>
      </w:r>
      <w:r w:rsidR="006817E3">
        <w:rPr>
          <w:sz w:val="24"/>
          <w:szCs w:val="24"/>
        </w:rPr>
        <w:t>intention and reader expectation.</w:t>
      </w:r>
      <w:r w:rsidR="00FE56F6">
        <w:rPr>
          <w:sz w:val="24"/>
          <w:szCs w:val="24"/>
        </w:rPr>
        <w:t xml:space="preserve"> </w:t>
      </w:r>
      <w:r w:rsidR="006817E3">
        <w:rPr>
          <w:sz w:val="24"/>
          <w:szCs w:val="24"/>
        </w:rPr>
        <w:t xml:space="preserve">Hence </w:t>
      </w:r>
      <w:r w:rsidR="00FE56F6">
        <w:rPr>
          <w:sz w:val="24"/>
          <w:szCs w:val="24"/>
        </w:rPr>
        <w:t xml:space="preserve">writers and </w:t>
      </w:r>
      <w:r w:rsidR="002975A5">
        <w:rPr>
          <w:sz w:val="24"/>
          <w:szCs w:val="24"/>
        </w:rPr>
        <w:t>reader</w:t>
      </w:r>
      <w:r w:rsidR="00FE56F6">
        <w:rPr>
          <w:sz w:val="24"/>
          <w:szCs w:val="24"/>
        </w:rPr>
        <w:t>s</w:t>
      </w:r>
      <w:r w:rsidR="002975A5">
        <w:rPr>
          <w:sz w:val="24"/>
          <w:szCs w:val="24"/>
        </w:rPr>
        <w:t xml:space="preserve"> </w:t>
      </w:r>
      <w:r w:rsidR="00FE56F6">
        <w:rPr>
          <w:sz w:val="24"/>
          <w:szCs w:val="24"/>
        </w:rPr>
        <w:t>of litera</w:t>
      </w:r>
      <w:r w:rsidR="006817E3">
        <w:rPr>
          <w:sz w:val="24"/>
          <w:szCs w:val="24"/>
        </w:rPr>
        <w:t xml:space="preserve">ry fiction can usually </w:t>
      </w:r>
      <w:r w:rsidR="002975A5">
        <w:rPr>
          <w:sz w:val="24"/>
          <w:szCs w:val="24"/>
        </w:rPr>
        <w:t xml:space="preserve">be </w:t>
      </w:r>
      <w:r w:rsidR="006817E3">
        <w:rPr>
          <w:sz w:val="24"/>
          <w:szCs w:val="24"/>
        </w:rPr>
        <w:t xml:space="preserve">more readily assumed than writers and readers of legal judgments </w:t>
      </w:r>
      <w:r w:rsidR="002975A5">
        <w:rPr>
          <w:sz w:val="24"/>
          <w:szCs w:val="24"/>
        </w:rPr>
        <w:t xml:space="preserve">to </w:t>
      </w:r>
      <w:r w:rsidR="006817E3">
        <w:rPr>
          <w:sz w:val="24"/>
          <w:szCs w:val="24"/>
        </w:rPr>
        <w:t xml:space="preserve">be alert to the </w:t>
      </w:r>
      <w:r w:rsidR="006E0FDB">
        <w:rPr>
          <w:sz w:val="24"/>
          <w:szCs w:val="24"/>
        </w:rPr>
        <w:t>significance of</w:t>
      </w:r>
      <w:r w:rsidR="006817E3">
        <w:rPr>
          <w:sz w:val="24"/>
          <w:szCs w:val="24"/>
        </w:rPr>
        <w:t xml:space="preserve"> </w:t>
      </w:r>
      <w:r w:rsidR="008F33A0">
        <w:rPr>
          <w:sz w:val="24"/>
          <w:szCs w:val="24"/>
        </w:rPr>
        <w:t xml:space="preserve">possible </w:t>
      </w:r>
      <w:r w:rsidR="002975A5">
        <w:rPr>
          <w:sz w:val="24"/>
          <w:szCs w:val="24"/>
        </w:rPr>
        <w:t>figurative meaning</w:t>
      </w:r>
      <w:r w:rsidR="008F33A0">
        <w:rPr>
          <w:sz w:val="24"/>
          <w:szCs w:val="24"/>
        </w:rPr>
        <w:t>s</w:t>
      </w:r>
      <w:r w:rsidR="006E0FDB">
        <w:rPr>
          <w:sz w:val="24"/>
          <w:szCs w:val="24"/>
        </w:rPr>
        <w:t>,</w:t>
      </w:r>
      <w:r w:rsidR="00FE56F6">
        <w:rPr>
          <w:sz w:val="24"/>
          <w:szCs w:val="24"/>
        </w:rPr>
        <w:t xml:space="preserve"> while </w:t>
      </w:r>
      <w:r w:rsidR="006E0FDB">
        <w:rPr>
          <w:sz w:val="24"/>
          <w:szCs w:val="24"/>
        </w:rPr>
        <w:t xml:space="preserve">writers and </w:t>
      </w:r>
      <w:r w:rsidR="00FE56F6">
        <w:rPr>
          <w:sz w:val="24"/>
          <w:szCs w:val="24"/>
        </w:rPr>
        <w:t xml:space="preserve">readers of an </w:t>
      </w:r>
      <w:r w:rsidR="006E0FDB">
        <w:rPr>
          <w:sz w:val="24"/>
          <w:szCs w:val="24"/>
        </w:rPr>
        <w:t>legal</w:t>
      </w:r>
      <w:r w:rsidR="00FE56F6">
        <w:rPr>
          <w:sz w:val="24"/>
          <w:szCs w:val="24"/>
        </w:rPr>
        <w:t xml:space="preserve"> judgment</w:t>
      </w:r>
      <w:r w:rsidR="006E0FDB">
        <w:rPr>
          <w:sz w:val="24"/>
          <w:szCs w:val="24"/>
        </w:rPr>
        <w:t>s</w:t>
      </w:r>
      <w:r w:rsidR="002975A5">
        <w:rPr>
          <w:sz w:val="24"/>
          <w:szCs w:val="24"/>
        </w:rPr>
        <w:t xml:space="preserve"> </w:t>
      </w:r>
      <w:r w:rsidR="002975A5" w:rsidRPr="001E0157">
        <w:rPr>
          <w:sz w:val="24"/>
          <w:szCs w:val="24"/>
        </w:rPr>
        <w:t xml:space="preserve">will </w:t>
      </w:r>
      <w:r w:rsidR="002975A5">
        <w:rPr>
          <w:sz w:val="24"/>
          <w:szCs w:val="24"/>
        </w:rPr>
        <w:t>typically expect</w:t>
      </w:r>
      <w:r w:rsidR="00FE56F6">
        <w:rPr>
          <w:sz w:val="24"/>
          <w:szCs w:val="24"/>
        </w:rPr>
        <w:t xml:space="preserve"> </w:t>
      </w:r>
      <w:r w:rsidR="006E0FDB">
        <w:rPr>
          <w:sz w:val="24"/>
          <w:szCs w:val="24"/>
        </w:rPr>
        <w:t xml:space="preserve">to </w:t>
      </w:r>
      <w:r w:rsidR="008F33A0">
        <w:rPr>
          <w:sz w:val="24"/>
          <w:szCs w:val="24"/>
        </w:rPr>
        <w:t xml:space="preserve">place greater weight on direct, </w:t>
      </w:r>
      <w:r w:rsidR="008F33A0">
        <w:rPr>
          <w:sz w:val="24"/>
          <w:szCs w:val="24"/>
        </w:rPr>
        <w:lastRenderedPageBreak/>
        <w:t xml:space="preserve">explicit and literal meaning </w:t>
      </w:r>
      <w:r w:rsidR="006E0FDB">
        <w:rPr>
          <w:sz w:val="24"/>
          <w:szCs w:val="24"/>
        </w:rPr>
        <w:t>in the articulation of key points</w:t>
      </w:r>
      <w:r w:rsidR="006817E3">
        <w:rPr>
          <w:sz w:val="24"/>
          <w:szCs w:val="24"/>
        </w:rPr>
        <w:t>.</w:t>
      </w:r>
      <w:r w:rsidR="008D08BE" w:rsidRPr="004A6696">
        <w:rPr>
          <w:rStyle w:val="FootnoteReference"/>
        </w:rPr>
        <w:footnoteReference w:id="10"/>
      </w:r>
      <w:r w:rsidR="00181651">
        <w:rPr>
          <w:sz w:val="24"/>
          <w:szCs w:val="24"/>
        </w:rPr>
        <w:t xml:space="preserve"> </w:t>
      </w:r>
      <w:r w:rsidR="00C655D0">
        <w:rPr>
          <w:sz w:val="24"/>
          <w:szCs w:val="24"/>
        </w:rPr>
        <w:t>Insofar as these differences relate to author intention though, they</w:t>
      </w:r>
      <w:r w:rsidR="00023C20">
        <w:rPr>
          <w:sz w:val="24"/>
          <w:szCs w:val="24"/>
        </w:rPr>
        <w:t xml:space="preserve"> </w:t>
      </w:r>
      <w:r w:rsidR="006817E3">
        <w:rPr>
          <w:sz w:val="24"/>
          <w:szCs w:val="24"/>
        </w:rPr>
        <w:t>are</w:t>
      </w:r>
      <w:r w:rsidR="006334D1">
        <w:rPr>
          <w:sz w:val="24"/>
          <w:szCs w:val="24"/>
        </w:rPr>
        <w:t xml:space="preserve"> in any case </w:t>
      </w:r>
      <w:r w:rsidR="008D08BE">
        <w:rPr>
          <w:sz w:val="24"/>
          <w:szCs w:val="24"/>
        </w:rPr>
        <w:t>not of crucial importance here</w:t>
      </w:r>
      <w:r w:rsidR="00C655D0">
        <w:rPr>
          <w:sz w:val="24"/>
          <w:szCs w:val="24"/>
        </w:rPr>
        <w:t>. This is because</w:t>
      </w:r>
      <w:r w:rsidR="008D08BE">
        <w:rPr>
          <w:sz w:val="24"/>
          <w:szCs w:val="24"/>
        </w:rPr>
        <w:t xml:space="preserve"> </w:t>
      </w:r>
      <w:r w:rsidR="007A746D">
        <w:rPr>
          <w:sz w:val="24"/>
          <w:szCs w:val="24"/>
        </w:rPr>
        <w:t xml:space="preserve">our </w:t>
      </w:r>
      <w:r w:rsidR="006817E3">
        <w:rPr>
          <w:sz w:val="24"/>
          <w:szCs w:val="24"/>
        </w:rPr>
        <w:t>analysis of legal texts</w:t>
      </w:r>
      <w:r w:rsidR="008D08BE">
        <w:rPr>
          <w:sz w:val="24"/>
          <w:szCs w:val="24"/>
        </w:rPr>
        <w:t xml:space="preserve"> is </w:t>
      </w:r>
      <w:r w:rsidR="006817E3">
        <w:rPr>
          <w:sz w:val="24"/>
          <w:szCs w:val="24"/>
        </w:rPr>
        <w:t xml:space="preserve">concerned only with </w:t>
      </w:r>
      <w:r w:rsidR="002975A5">
        <w:rPr>
          <w:sz w:val="24"/>
          <w:szCs w:val="24"/>
        </w:rPr>
        <w:t xml:space="preserve">metaphors </w:t>
      </w:r>
      <w:r w:rsidR="00C401F1">
        <w:rPr>
          <w:sz w:val="24"/>
          <w:szCs w:val="24"/>
        </w:rPr>
        <w:t xml:space="preserve">which, being </w:t>
      </w:r>
      <w:r w:rsidR="002975A5" w:rsidRPr="001E0157">
        <w:rPr>
          <w:sz w:val="24"/>
          <w:szCs w:val="24"/>
        </w:rPr>
        <w:t>embedded in language</w:t>
      </w:r>
      <w:r w:rsidR="00C401F1">
        <w:rPr>
          <w:sz w:val="24"/>
          <w:szCs w:val="24"/>
        </w:rPr>
        <w:t>,</w:t>
      </w:r>
      <w:r w:rsidR="002975A5">
        <w:rPr>
          <w:sz w:val="24"/>
          <w:szCs w:val="24"/>
        </w:rPr>
        <w:t xml:space="preserve"> cannot</w:t>
      </w:r>
      <w:r w:rsidR="008D08BE">
        <w:rPr>
          <w:sz w:val="24"/>
          <w:szCs w:val="24"/>
        </w:rPr>
        <w:t xml:space="preserve"> necessarily</w:t>
      </w:r>
      <w:r w:rsidR="002975A5">
        <w:rPr>
          <w:sz w:val="24"/>
          <w:szCs w:val="24"/>
        </w:rPr>
        <w:t xml:space="preserve"> be attributed to the conscious decision of the </w:t>
      </w:r>
      <w:r w:rsidR="00C17ACC">
        <w:rPr>
          <w:sz w:val="24"/>
          <w:szCs w:val="24"/>
        </w:rPr>
        <w:t xml:space="preserve">instant </w:t>
      </w:r>
      <w:r w:rsidR="002975A5">
        <w:rPr>
          <w:sz w:val="24"/>
          <w:szCs w:val="24"/>
        </w:rPr>
        <w:t>language-user.</w:t>
      </w:r>
      <w:r w:rsidR="004C60FF">
        <w:rPr>
          <w:sz w:val="24"/>
          <w:szCs w:val="24"/>
        </w:rPr>
        <w:t xml:space="preserve"> </w:t>
      </w:r>
      <w:r w:rsidR="00C655D0">
        <w:rPr>
          <w:sz w:val="24"/>
          <w:szCs w:val="24"/>
        </w:rPr>
        <w:t>Our</w:t>
      </w:r>
      <w:r w:rsidR="00C401F1">
        <w:rPr>
          <w:sz w:val="24"/>
          <w:szCs w:val="24"/>
        </w:rPr>
        <w:t xml:space="preserve"> analysis focuses on the </w:t>
      </w:r>
      <w:r w:rsidR="008C65DC">
        <w:rPr>
          <w:sz w:val="24"/>
          <w:szCs w:val="24"/>
        </w:rPr>
        <w:t xml:space="preserve">persuasive- and plausibility affording </w:t>
      </w:r>
      <w:r w:rsidR="00C401F1" w:rsidRPr="00023C20">
        <w:rPr>
          <w:i/>
          <w:sz w:val="24"/>
          <w:szCs w:val="24"/>
        </w:rPr>
        <w:t>effects</w:t>
      </w:r>
      <w:r w:rsidR="00C401F1">
        <w:rPr>
          <w:sz w:val="24"/>
          <w:szCs w:val="24"/>
        </w:rPr>
        <w:t xml:space="preserve"> of metaphor in language rather than the </w:t>
      </w:r>
      <w:r w:rsidR="00C401F1" w:rsidRPr="00023C20">
        <w:rPr>
          <w:iCs/>
          <w:sz w:val="24"/>
          <w:szCs w:val="24"/>
        </w:rPr>
        <w:t>intentions</w:t>
      </w:r>
      <w:r w:rsidR="00C401F1">
        <w:rPr>
          <w:i/>
          <w:sz w:val="24"/>
          <w:szCs w:val="24"/>
        </w:rPr>
        <w:t xml:space="preserve"> </w:t>
      </w:r>
      <w:r w:rsidR="00C17ACC">
        <w:rPr>
          <w:iCs/>
          <w:sz w:val="24"/>
          <w:szCs w:val="24"/>
        </w:rPr>
        <w:t>th</w:t>
      </w:r>
      <w:r w:rsidR="006817E3">
        <w:rPr>
          <w:iCs/>
          <w:sz w:val="24"/>
          <w:szCs w:val="24"/>
        </w:rPr>
        <w:t>e judge</w:t>
      </w:r>
      <w:r w:rsidR="00C401F1">
        <w:rPr>
          <w:sz w:val="24"/>
          <w:szCs w:val="24"/>
        </w:rPr>
        <w:t>.</w:t>
      </w:r>
    </w:p>
    <w:p w14:paraId="00FD7B29" w14:textId="4D01EA8A" w:rsidR="006B2467" w:rsidRDefault="00034A08" w:rsidP="00E81AA6">
      <w:pPr>
        <w:tabs>
          <w:tab w:val="left" w:pos="560"/>
          <w:tab w:val="left" w:pos="3828"/>
        </w:tabs>
        <w:spacing w:after="0" w:line="480" w:lineRule="auto"/>
        <w:rPr>
          <w:sz w:val="24"/>
          <w:szCs w:val="24"/>
        </w:rPr>
      </w:pPr>
      <w:r w:rsidRPr="001E0157">
        <w:rPr>
          <w:sz w:val="24"/>
          <w:szCs w:val="24"/>
        </w:rPr>
        <w:tab/>
      </w:r>
      <w:r w:rsidR="00AC0CB0">
        <w:rPr>
          <w:sz w:val="24"/>
          <w:szCs w:val="24"/>
        </w:rPr>
        <w:t>Second</w:t>
      </w:r>
      <w:r w:rsidR="00C24DE9" w:rsidRPr="001E0157">
        <w:rPr>
          <w:sz w:val="24"/>
          <w:szCs w:val="24"/>
        </w:rPr>
        <w:t xml:space="preserve">, </w:t>
      </w:r>
      <w:r w:rsidR="00590603">
        <w:rPr>
          <w:sz w:val="24"/>
          <w:szCs w:val="24"/>
        </w:rPr>
        <w:t xml:space="preserve">accepting that law and literature scholarship can produce important intellectual advances and that metaphors in legal judgments may be analysed independently of judges’ intentions, </w:t>
      </w:r>
      <w:r w:rsidR="006B2467">
        <w:rPr>
          <w:sz w:val="24"/>
          <w:szCs w:val="24"/>
        </w:rPr>
        <w:t xml:space="preserve">it must </w:t>
      </w:r>
      <w:r w:rsidR="008C65DC">
        <w:rPr>
          <w:sz w:val="24"/>
          <w:szCs w:val="24"/>
        </w:rPr>
        <w:t xml:space="preserve">also </w:t>
      </w:r>
      <w:r w:rsidR="006B2467">
        <w:rPr>
          <w:sz w:val="24"/>
          <w:szCs w:val="24"/>
        </w:rPr>
        <w:t xml:space="preserve">be acknowledged that </w:t>
      </w:r>
      <w:r w:rsidR="00415B1D" w:rsidRPr="001E0157">
        <w:rPr>
          <w:sz w:val="24"/>
          <w:szCs w:val="24"/>
        </w:rPr>
        <w:t xml:space="preserve">it is not possible entirely to eliminate doubt or disagreement as to </w:t>
      </w:r>
      <w:r w:rsidR="009E308D">
        <w:rPr>
          <w:sz w:val="24"/>
          <w:szCs w:val="24"/>
        </w:rPr>
        <w:t>precise</w:t>
      </w:r>
      <w:r w:rsidR="006B2467">
        <w:rPr>
          <w:sz w:val="24"/>
          <w:szCs w:val="24"/>
        </w:rPr>
        <w:t>ly</w:t>
      </w:r>
      <w:r w:rsidR="009E308D">
        <w:rPr>
          <w:sz w:val="24"/>
          <w:szCs w:val="24"/>
        </w:rPr>
        <w:t xml:space="preserve"> </w:t>
      </w:r>
      <w:r w:rsidR="006B2467">
        <w:rPr>
          <w:sz w:val="24"/>
          <w:szCs w:val="24"/>
        </w:rPr>
        <w:t xml:space="preserve">what </w:t>
      </w:r>
      <w:r w:rsidR="009E308D">
        <w:rPr>
          <w:sz w:val="24"/>
          <w:szCs w:val="24"/>
        </w:rPr>
        <w:t>metaphor</w:t>
      </w:r>
      <w:r w:rsidR="00C401F1">
        <w:rPr>
          <w:sz w:val="24"/>
          <w:szCs w:val="24"/>
        </w:rPr>
        <w:t xml:space="preserve"> </w:t>
      </w:r>
      <w:r w:rsidR="00C17ACC">
        <w:rPr>
          <w:sz w:val="24"/>
          <w:szCs w:val="24"/>
        </w:rPr>
        <w:t xml:space="preserve">(or what combination of metaphors) </w:t>
      </w:r>
      <w:r w:rsidR="006B2467">
        <w:rPr>
          <w:sz w:val="24"/>
          <w:szCs w:val="24"/>
        </w:rPr>
        <w:t xml:space="preserve">is primarily </w:t>
      </w:r>
      <w:r w:rsidR="00C401F1">
        <w:rPr>
          <w:sz w:val="24"/>
          <w:szCs w:val="24"/>
        </w:rPr>
        <w:t xml:space="preserve">at work in any given </w:t>
      </w:r>
      <w:r w:rsidR="00590603">
        <w:rPr>
          <w:sz w:val="24"/>
          <w:szCs w:val="24"/>
        </w:rPr>
        <w:t xml:space="preserve">legal </w:t>
      </w:r>
      <w:r w:rsidR="008C65DC">
        <w:rPr>
          <w:sz w:val="24"/>
          <w:szCs w:val="24"/>
        </w:rPr>
        <w:t>utterance</w:t>
      </w:r>
      <w:r w:rsidR="004F6F90" w:rsidRPr="001E0157">
        <w:rPr>
          <w:sz w:val="24"/>
          <w:szCs w:val="24"/>
        </w:rPr>
        <w:t>.</w:t>
      </w:r>
      <w:r w:rsidR="009E308D" w:rsidRPr="004A6696">
        <w:rPr>
          <w:rStyle w:val="FootnoteReference"/>
        </w:rPr>
        <w:footnoteReference w:id="11"/>
      </w:r>
      <w:r w:rsidR="004F6F90" w:rsidRPr="001E0157">
        <w:rPr>
          <w:sz w:val="24"/>
          <w:szCs w:val="24"/>
        </w:rPr>
        <w:t xml:space="preserve"> </w:t>
      </w:r>
      <w:r w:rsidR="008E5910">
        <w:rPr>
          <w:sz w:val="24"/>
          <w:szCs w:val="24"/>
        </w:rPr>
        <w:t xml:space="preserve">Although we make the case below that analysis of law alongside literature often suggests a pivotal role for the metaphor of encumbrance/escape, </w:t>
      </w:r>
      <w:r w:rsidR="00C17ACC">
        <w:rPr>
          <w:sz w:val="24"/>
          <w:szCs w:val="24"/>
        </w:rPr>
        <w:t xml:space="preserve">we do not attempt to claim that this has </w:t>
      </w:r>
      <w:r w:rsidR="00C17ACC" w:rsidRPr="006334D1">
        <w:rPr>
          <w:i/>
          <w:sz w:val="24"/>
          <w:szCs w:val="24"/>
        </w:rPr>
        <w:t>universal</w:t>
      </w:r>
      <w:r w:rsidR="00C17ACC">
        <w:rPr>
          <w:sz w:val="24"/>
          <w:szCs w:val="24"/>
        </w:rPr>
        <w:t xml:space="preserve"> or uncontested application.</w:t>
      </w:r>
      <w:r w:rsidR="006334D1">
        <w:rPr>
          <w:sz w:val="24"/>
          <w:szCs w:val="24"/>
        </w:rPr>
        <w:t xml:space="preserve"> At the end of the third section below, we suggest that instances </w:t>
      </w:r>
      <w:r w:rsidR="008A5878">
        <w:rPr>
          <w:sz w:val="24"/>
          <w:szCs w:val="24"/>
        </w:rPr>
        <w:t xml:space="preserve">of </w:t>
      </w:r>
      <w:r w:rsidR="008F33A0">
        <w:rPr>
          <w:sz w:val="24"/>
          <w:szCs w:val="24"/>
        </w:rPr>
        <w:t xml:space="preserve">legal language </w:t>
      </w:r>
      <w:r w:rsidR="008A5878" w:rsidRPr="008A5878">
        <w:rPr>
          <w:i/>
          <w:sz w:val="24"/>
          <w:szCs w:val="24"/>
        </w:rPr>
        <w:t>failing</w:t>
      </w:r>
      <w:r w:rsidR="006334D1">
        <w:rPr>
          <w:sz w:val="24"/>
          <w:szCs w:val="24"/>
        </w:rPr>
        <w:t xml:space="preserve"> </w:t>
      </w:r>
      <w:r w:rsidR="008F33A0">
        <w:rPr>
          <w:sz w:val="24"/>
          <w:szCs w:val="24"/>
        </w:rPr>
        <w:t xml:space="preserve">convincingly </w:t>
      </w:r>
      <w:r w:rsidR="006334D1">
        <w:rPr>
          <w:sz w:val="24"/>
          <w:szCs w:val="24"/>
        </w:rPr>
        <w:t>to achieve moral intelligibility and plausibility</w:t>
      </w:r>
      <w:r w:rsidR="008A5878">
        <w:rPr>
          <w:sz w:val="24"/>
          <w:szCs w:val="24"/>
        </w:rPr>
        <w:t xml:space="preserve"> </w:t>
      </w:r>
      <w:r w:rsidR="006334D1">
        <w:rPr>
          <w:sz w:val="24"/>
          <w:szCs w:val="24"/>
        </w:rPr>
        <w:t xml:space="preserve">may be </w:t>
      </w:r>
      <w:r w:rsidR="008A5878">
        <w:rPr>
          <w:sz w:val="24"/>
          <w:szCs w:val="24"/>
        </w:rPr>
        <w:t>symptomatic of</w:t>
      </w:r>
      <w:r w:rsidR="006334D1">
        <w:rPr>
          <w:sz w:val="24"/>
          <w:szCs w:val="24"/>
        </w:rPr>
        <w:t xml:space="preserve"> the encumbrance/escape metaphor work</w:t>
      </w:r>
      <w:r w:rsidR="008A5878">
        <w:rPr>
          <w:sz w:val="24"/>
          <w:szCs w:val="24"/>
        </w:rPr>
        <w:t>ing</w:t>
      </w:r>
      <w:r w:rsidR="006334D1">
        <w:rPr>
          <w:sz w:val="24"/>
          <w:szCs w:val="24"/>
        </w:rPr>
        <w:t xml:space="preserve"> </w:t>
      </w:r>
      <w:r w:rsidR="006334D1">
        <w:rPr>
          <w:i/>
          <w:sz w:val="24"/>
          <w:szCs w:val="24"/>
        </w:rPr>
        <w:t>against</w:t>
      </w:r>
      <w:r w:rsidR="006334D1">
        <w:rPr>
          <w:sz w:val="24"/>
          <w:szCs w:val="24"/>
        </w:rPr>
        <w:t xml:space="preserve"> the impression that the Court is attempting to convey.</w:t>
      </w:r>
      <w:r w:rsidR="008A5878">
        <w:rPr>
          <w:sz w:val="24"/>
          <w:szCs w:val="24"/>
        </w:rPr>
        <w:t xml:space="preserve"> In addition to this, we must also acknowledge that owing to the inherent fluidity and uncertainty regarding the underlying </w:t>
      </w:r>
      <w:r w:rsidR="00320611">
        <w:rPr>
          <w:sz w:val="24"/>
          <w:szCs w:val="24"/>
        </w:rPr>
        <w:t xml:space="preserve">conceptual </w:t>
      </w:r>
      <w:r w:rsidR="008A5878">
        <w:rPr>
          <w:sz w:val="24"/>
          <w:szCs w:val="24"/>
        </w:rPr>
        <w:t xml:space="preserve">foundations of </w:t>
      </w:r>
      <w:r w:rsidR="00320611">
        <w:rPr>
          <w:sz w:val="24"/>
          <w:szCs w:val="24"/>
        </w:rPr>
        <w:t>judicial opinions</w:t>
      </w:r>
      <w:r w:rsidR="008A5878">
        <w:rPr>
          <w:sz w:val="24"/>
          <w:szCs w:val="24"/>
        </w:rPr>
        <w:t xml:space="preserve">, as well </w:t>
      </w:r>
      <w:r w:rsidR="008C65DC">
        <w:rPr>
          <w:sz w:val="24"/>
          <w:szCs w:val="24"/>
        </w:rPr>
        <w:t xml:space="preserve">as </w:t>
      </w:r>
      <w:r w:rsidR="008A5878">
        <w:rPr>
          <w:sz w:val="24"/>
          <w:szCs w:val="24"/>
        </w:rPr>
        <w:t xml:space="preserve">the </w:t>
      </w:r>
      <w:r w:rsidR="00C17ACC">
        <w:rPr>
          <w:sz w:val="24"/>
          <w:szCs w:val="24"/>
        </w:rPr>
        <w:t xml:space="preserve">necessarily restricted </w:t>
      </w:r>
      <w:r w:rsidR="008A5878">
        <w:rPr>
          <w:sz w:val="24"/>
          <w:szCs w:val="24"/>
        </w:rPr>
        <w:t xml:space="preserve">range of </w:t>
      </w:r>
      <w:r w:rsidR="00C17ACC">
        <w:rPr>
          <w:sz w:val="24"/>
          <w:szCs w:val="24"/>
        </w:rPr>
        <w:t>discipline</w:t>
      </w:r>
      <w:r w:rsidR="008A5878">
        <w:rPr>
          <w:sz w:val="24"/>
          <w:szCs w:val="24"/>
        </w:rPr>
        <w:t xml:space="preserve">s and </w:t>
      </w:r>
      <w:r w:rsidR="008A5878">
        <w:rPr>
          <w:sz w:val="24"/>
          <w:szCs w:val="24"/>
        </w:rPr>
        <w:lastRenderedPageBreak/>
        <w:t xml:space="preserve">actual examples discussed here, </w:t>
      </w:r>
      <w:r w:rsidR="006334D1">
        <w:rPr>
          <w:sz w:val="24"/>
          <w:szCs w:val="24"/>
        </w:rPr>
        <w:t>there are</w:t>
      </w:r>
      <w:r w:rsidR="00C62A76">
        <w:rPr>
          <w:sz w:val="24"/>
          <w:szCs w:val="24"/>
        </w:rPr>
        <w:t xml:space="preserve"> </w:t>
      </w:r>
      <w:r w:rsidR="006334D1">
        <w:rPr>
          <w:sz w:val="24"/>
          <w:szCs w:val="24"/>
        </w:rPr>
        <w:t xml:space="preserve">likely </w:t>
      </w:r>
      <w:r w:rsidR="008E5910">
        <w:rPr>
          <w:sz w:val="24"/>
          <w:szCs w:val="24"/>
        </w:rPr>
        <w:t xml:space="preserve">numerous </w:t>
      </w:r>
      <w:r w:rsidR="006334D1">
        <w:rPr>
          <w:sz w:val="24"/>
          <w:szCs w:val="24"/>
        </w:rPr>
        <w:t>instances in which</w:t>
      </w:r>
      <w:r w:rsidR="00C62A76">
        <w:rPr>
          <w:sz w:val="24"/>
          <w:szCs w:val="24"/>
        </w:rPr>
        <w:t xml:space="preserve"> </w:t>
      </w:r>
      <w:r w:rsidR="00C17ACC">
        <w:rPr>
          <w:sz w:val="24"/>
          <w:szCs w:val="24"/>
        </w:rPr>
        <w:t xml:space="preserve">some </w:t>
      </w:r>
      <w:r w:rsidR="008E5910">
        <w:rPr>
          <w:sz w:val="24"/>
          <w:szCs w:val="24"/>
        </w:rPr>
        <w:t xml:space="preserve">metaphor </w:t>
      </w:r>
      <w:r w:rsidR="00C17ACC">
        <w:rPr>
          <w:sz w:val="24"/>
          <w:szCs w:val="24"/>
        </w:rPr>
        <w:t xml:space="preserve">other than encumbrance/escape may well be </w:t>
      </w:r>
      <w:r w:rsidR="008E5910">
        <w:rPr>
          <w:sz w:val="24"/>
          <w:szCs w:val="24"/>
        </w:rPr>
        <w:t xml:space="preserve">at work </w:t>
      </w:r>
      <w:r w:rsidR="00C17ACC">
        <w:rPr>
          <w:sz w:val="24"/>
          <w:szCs w:val="24"/>
        </w:rPr>
        <w:t>either in addition or instead.</w:t>
      </w:r>
      <w:r w:rsidR="008A5878">
        <w:rPr>
          <w:sz w:val="24"/>
          <w:szCs w:val="24"/>
        </w:rPr>
        <w:t xml:space="preserve"> </w:t>
      </w:r>
      <w:r w:rsidR="008F33A0">
        <w:rPr>
          <w:sz w:val="24"/>
          <w:szCs w:val="24"/>
        </w:rPr>
        <w:t xml:space="preserve">In both such instances, </w:t>
      </w:r>
      <w:r w:rsidR="00E81AA6">
        <w:rPr>
          <w:sz w:val="24"/>
          <w:szCs w:val="24"/>
        </w:rPr>
        <w:t>it may be that our metaphor may nonetheless have a role to play in considering the success or failure of the arguments made</w:t>
      </w:r>
      <w:r w:rsidR="008F33A0">
        <w:rPr>
          <w:sz w:val="24"/>
          <w:szCs w:val="24"/>
        </w:rPr>
        <w:t>, and we use sources relating to the partial defence of loss of control in murder cases (and the issue of parliament’s</w:t>
      </w:r>
      <w:r w:rsidR="008A5878">
        <w:rPr>
          <w:sz w:val="24"/>
          <w:szCs w:val="24"/>
        </w:rPr>
        <w:t xml:space="preserve"> exclusion of ‘sexual infidelity’ as a qualifying trigger for th</w:t>
      </w:r>
      <w:r w:rsidR="008F33A0">
        <w:rPr>
          <w:sz w:val="24"/>
          <w:szCs w:val="24"/>
        </w:rPr>
        <w:t>at</w:t>
      </w:r>
      <w:r w:rsidR="008A5878">
        <w:rPr>
          <w:sz w:val="24"/>
          <w:szCs w:val="24"/>
        </w:rPr>
        <w:t xml:space="preserve"> defence</w:t>
      </w:r>
      <w:r w:rsidR="008F33A0">
        <w:rPr>
          <w:sz w:val="24"/>
          <w:szCs w:val="24"/>
        </w:rPr>
        <w:t>)</w:t>
      </w:r>
      <w:r w:rsidR="008A5878">
        <w:rPr>
          <w:sz w:val="24"/>
          <w:szCs w:val="24"/>
        </w:rPr>
        <w:t xml:space="preserve"> </w:t>
      </w:r>
      <w:r w:rsidR="008F33A0">
        <w:rPr>
          <w:sz w:val="24"/>
          <w:szCs w:val="24"/>
        </w:rPr>
        <w:t>to illustrate this</w:t>
      </w:r>
      <w:r w:rsidR="008A5878">
        <w:rPr>
          <w:sz w:val="24"/>
          <w:szCs w:val="24"/>
        </w:rPr>
        <w:t>.</w:t>
      </w:r>
    </w:p>
    <w:p w14:paraId="701D8EFB" w14:textId="49EFECBD" w:rsidR="007D5BBE" w:rsidRPr="001E0157" w:rsidRDefault="006B2467" w:rsidP="00362396">
      <w:pPr>
        <w:tabs>
          <w:tab w:val="left" w:pos="560"/>
          <w:tab w:val="left" w:pos="3828"/>
        </w:tabs>
        <w:spacing w:after="0" w:line="480" w:lineRule="auto"/>
        <w:rPr>
          <w:sz w:val="24"/>
          <w:szCs w:val="24"/>
        </w:rPr>
      </w:pPr>
      <w:r>
        <w:rPr>
          <w:sz w:val="24"/>
          <w:szCs w:val="24"/>
        </w:rPr>
        <w:tab/>
      </w:r>
      <w:r w:rsidR="008E5910">
        <w:rPr>
          <w:sz w:val="24"/>
          <w:szCs w:val="24"/>
        </w:rPr>
        <w:t>The</w:t>
      </w:r>
      <w:r w:rsidR="005B1F3C">
        <w:rPr>
          <w:sz w:val="24"/>
          <w:szCs w:val="24"/>
        </w:rPr>
        <w:t>s</w:t>
      </w:r>
      <w:r w:rsidR="008E5910">
        <w:rPr>
          <w:sz w:val="24"/>
          <w:szCs w:val="24"/>
        </w:rPr>
        <w:t>e</w:t>
      </w:r>
      <w:r w:rsidR="005B1F3C">
        <w:rPr>
          <w:sz w:val="24"/>
          <w:szCs w:val="24"/>
        </w:rPr>
        <w:t xml:space="preserve"> is</w:t>
      </w:r>
      <w:r w:rsidR="008E5910">
        <w:rPr>
          <w:sz w:val="24"/>
          <w:szCs w:val="24"/>
        </w:rPr>
        <w:t>sues</w:t>
      </w:r>
      <w:r w:rsidR="00C62A76">
        <w:rPr>
          <w:sz w:val="24"/>
          <w:szCs w:val="24"/>
        </w:rPr>
        <w:t xml:space="preserve"> </w:t>
      </w:r>
      <w:r w:rsidR="00B17266">
        <w:rPr>
          <w:sz w:val="24"/>
          <w:szCs w:val="24"/>
        </w:rPr>
        <w:t xml:space="preserve">do </w:t>
      </w:r>
      <w:r w:rsidR="008A5878">
        <w:rPr>
          <w:sz w:val="24"/>
          <w:szCs w:val="24"/>
        </w:rPr>
        <w:t>not</w:t>
      </w:r>
      <w:r w:rsidR="00B17266">
        <w:rPr>
          <w:sz w:val="24"/>
          <w:szCs w:val="24"/>
        </w:rPr>
        <w:t xml:space="preserve">, we </w:t>
      </w:r>
      <w:r w:rsidR="00E81AA6">
        <w:rPr>
          <w:sz w:val="24"/>
          <w:szCs w:val="24"/>
        </w:rPr>
        <w:t>think</w:t>
      </w:r>
      <w:r w:rsidR="00B17266">
        <w:rPr>
          <w:sz w:val="24"/>
          <w:szCs w:val="24"/>
        </w:rPr>
        <w:t>,</w:t>
      </w:r>
      <w:r w:rsidR="008A5878">
        <w:rPr>
          <w:sz w:val="24"/>
          <w:szCs w:val="24"/>
        </w:rPr>
        <w:t xml:space="preserve"> </w:t>
      </w:r>
      <w:r w:rsidR="00B17266">
        <w:rPr>
          <w:sz w:val="24"/>
          <w:szCs w:val="24"/>
        </w:rPr>
        <w:t xml:space="preserve">pose </w:t>
      </w:r>
      <w:r w:rsidR="008A5878">
        <w:rPr>
          <w:sz w:val="24"/>
          <w:szCs w:val="24"/>
        </w:rPr>
        <w:t xml:space="preserve">major difficulties, </w:t>
      </w:r>
      <w:r w:rsidR="00B17266">
        <w:rPr>
          <w:sz w:val="24"/>
          <w:szCs w:val="24"/>
        </w:rPr>
        <w:t xml:space="preserve">and </w:t>
      </w:r>
      <w:r w:rsidR="008A5878">
        <w:rPr>
          <w:sz w:val="24"/>
          <w:szCs w:val="24"/>
        </w:rPr>
        <w:t xml:space="preserve">are </w:t>
      </w:r>
      <w:r w:rsidR="00C62A76">
        <w:rPr>
          <w:sz w:val="24"/>
          <w:szCs w:val="24"/>
        </w:rPr>
        <w:t xml:space="preserve">raised here </w:t>
      </w:r>
      <w:r w:rsidR="00E1789A">
        <w:rPr>
          <w:sz w:val="24"/>
          <w:szCs w:val="24"/>
        </w:rPr>
        <w:t xml:space="preserve">rather </w:t>
      </w:r>
      <w:r w:rsidR="00B17266">
        <w:rPr>
          <w:sz w:val="24"/>
          <w:szCs w:val="24"/>
        </w:rPr>
        <w:t xml:space="preserve">as a preliminary </w:t>
      </w:r>
      <w:r w:rsidR="00C62A76">
        <w:rPr>
          <w:sz w:val="24"/>
          <w:szCs w:val="24"/>
        </w:rPr>
        <w:t>acknowledge</w:t>
      </w:r>
      <w:r w:rsidR="00B17266">
        <w:rPr>
          <w:sz w:val="24"/>
          <w:szCs w:val="24"/>
        </w:rPr>
        <w:t>ment of</w:t>
      </w:r>
      <w:r w:rsidR="00C62A76">
        <w:rPr>
          <w:sz w:val="24"/>
          <w:szCs w:val="24"/>
        </w:rPr>
        <w:t xml:space="preserve"> inevitable </w:t>
      </w:r>
      <w:r w:rsidR="00C862D0">
        <w:rPr>
          <w:sz w:val="24"/>
          <w:szCs w:val="24"/>
        </w:rPr>
        <w:t xml:space="preserve">objections </w:t>
      </w:r>
      <w:r w:rsidR="00B17266">
        <w:rPr>
          <w:sz w:val="24"/>
          <w:szCs w:val="24"/>
        </w:rPr>
        <w:t xml:space="preserve">to </w:t>
      </w:r>
      <w:r w:rsidR="00C862D0">
        <w:rPr>
          <w:sz w:val="24"/>
          <w:szCs w:val="24"/>
        </w:rPr>
        <w:t xml:space="preserve">and </w:t>
      </w:r>
      <w:r w:rsidR="00C62A76">
        <w:rPr>
          <w:sz w:val="24"/>
          <w:szCs w:val="24"/>
        </w:rPr>
        <w:t xml:space="preserve">limitations of </w:t>
      </w:r>
      <w:r w:rsidR="00E1789A">
        <w:rPr>
          <w:sz w:val="24"/>
          <w:szCs w:val="24"/>
        </w:rPr>
        <w:t>our approach</w:t>
      </w:r>
      <w:r w:rsidR="00C62A76">
        <w:rPr>
          <w:sz w:val="24"/>
          <w:szCs w:val="24"/>
        </w:rPr>
        <w:t xml:space="preserve">. </w:t>
      </w:r>
      <w:r w:rsidR="00E1789A">
        <w:rPr>
          <w:sz w:val="24"/>
          <w:szCs w:val="24"/>
        </w:rPr>
        <w:t>This article, and l</w:t>
      </w:r>
      <w:r w:rsidR="00C62A76">
        <w:rPr>
          <w:sz w:val="24"/>
          <w:szCs w:val="24"/>
        </w:rPr>
        <w:t xml:space="preserve">aw and humanities scholarship </w:t>
      </w:r>
      <w:r w:rsidR="00E1789A">
        <w:rPr>
          <w:sz w:val="24"/>
          <w:szCs w:val="24"/>
        </w:rPr>
        <w:t xml:space="preserve">more broadly, </w:t>
      </w:r>
      <w:r w:rsidR="005B1F3C">
        <w:rPr>
          <w:sz w:val="24"/>
          <w:szCs w:val="24"/>
        </w:rPr>
        <w:t xml:space="preserve">proceeds on the basis that </w:t>
      </w:r>
      <w:r w:rsidR="00E1789A">
        <w:rPr>
          <w:sz w:val="24"/>
          <w:szCs w:val="24"/>
        </w:rPr>
        <w:t>advancing an argument does not require us to foreclose all possibility</w:t>
      </w:r>
      <w:r w:rsidR="00C62A76">
        <w:rPr>
          <w:sz w:val="24"/>
          <w:szCs w:val="24"/>
        </w:rPr>
        <w:t xml:space="preserve"> for </w:t>
      </w:r>
      <w:r w:rsidR="005B1F3C">
        <w:rPr>
          <w:sz w:val="24"/>
          <w:szCs w:val="24"/>
        </w:rPr>
        <w:t>contestation</w:t>
      </w:r>
      <w:r w:rsidR="00C62A76">
        <w:rPr>
          <w:sz w:val="24"/>
          <w:szCs w:val="24"/>
        </w:rPr>
        <w:t xml:space="preserve"> and re-reading</w:t>
      </w:r>
      <w:r w:rsidR="00E1789A">
        <w:rPr>
          <w:sz w:val="24"/>
          <w:szCs w:val="24"/>
        </w:rPr>
        <w:t xml:space="preserve">, which to the contrary </w:t>
      </w:r>
      <w:r w:rsidR="00E81AA6">
        <w:rPr>
          <w:sz w:val="24"/>
          <w:szCs w:val="24"/>
        </w:rPr>
        <w:t xml:space="preserve">are all </w:t>
      </w:r>
      <w:r w:rsidR="005B1F3C">
        <w:rPr>
          <w:sz w:val="24"/>
          <w:szCs w:val="24"/>
        </w:rPr>
        <w:t xml:space="preserve">part of </w:t>
      </w:r>
      <w:r w:rsidR="00362396">
        <w:rPr>
          <w:sz w:val="24"/>
          <w:szCs w:val="24"/>
        </w:rPr>
        <w:t>on</w:t>
      </w:r>
      <w:r w:rsidR="00C655D0">
        <w:rPr>
          <w:sz w:val="24"/>
          <w:szCs w:val="24"/>
        </w:rPr>
        <w:t>-</w:t>
      </w:r>
      <w:r w:rsidR="00362396">
        <w:rPr>
          <w:sz w:val="24"/>
          <w:szCs w:val="24"/>
        </w:rPr>
        <w:t xml:space="preserve">going efforts imaginatively to </w:t>
      </w:r>
      <w:r w:rsidR="008E5910">
        <w:rPr>
          <w:sz w:val="24"/>
          <w:szCs w:val="24"/>
        </w:rPr>
        <w:t>sophisticat</w:t>
      </w:r>
      <w:r w:rsidR="00362396">
        <w:rPr>
          <w:sz w:val="24"/>
          <w:szCs w:val="24"/>
        </w:rPr>
        <w:t>e</w:t>
      </w:r>
      <w:r w:rsidR="001B5386">
        <w:rPr>
          <w:sz w:val="24"/>
          <w:szCs w:val="24"/>
        </w:rPr>
        <w:t xml:space="preserve"> </w:t>
      </w:r>
      <w:r w:rsidR="005B1F3C">
        <w:rPr>
          <w:sz w:val="24"/>
          <w:szCs w:val="24"/>
        </w:rPr>
        <w:t>our understanding of law</w:t>
      </w:r>
      <w:r w:rsidR="001B5386">
        <w:rPr>
          <w:sz w:val="24"/>
          <w:szCs w:val="24"/>
        </w:rPr>
        <w:t xml:space="preserve"> and legal language</w:t>
      </w:r>
      <w:r w:rsidR="00362396">
        <w:rPr>
          <w:sz w:val="24"/>
          <w:szCs w:val="24"/>
        </w:rPr>
        <w:t>.</w:t>
      </w:r>
      <w:r>
        <w:rPr>
          <w:sz w:val="24"/>
          <w:szCs w:val="24"/>
        </w:rPr>
        <w:t xml:space="preserve"> </w:t>
      </w:r>
      <w:r w:rsidR="007056ED">
        <w:rPr>
          <w:sz w:val="24"/>
          <w:szCs w:val="24"/>
        </w:rPr>
        <w:t>With this ethos in mind, t</w:t>
      </w:r>
      <w:r w:rsidR="00635BC0" w:rsidRPr="001E0157">
        <w:rPr>
          <w:sz w:val="24"/>
          <w:szCs w:val="24"/>
        </w:rPr>
        <w:t>h</w:t>
      </w:r>
      <w:r w:rsidR="007056ED">
        <w:rPr>
          <w:sz w:val="24"/>
          <w:szCs w:val="24"/>
        </w:rPr>
        <w:t>e</w:t>
      </w:r>
      <w:r w:rsidR="00635BC0" w:rsidRPr="001E0157">
        <w:rPr>
          <w:sz w:val="24"/>
          <w:szCs w:val="24"/>
        </w:rPr>
        <w:t xml:space="preserve"> article</w:t>
      </w:r>
      <w:r w:rsidR="00DD68DF" w:rsidRPr="001E0157">
        <w:rPr>
          <w:sz w:val="24"/>
          <w:szCs w:val="24"/>
        </w:rPr>
        <w:t xml:space="preserve"> presents its</w:t>
      </w:r>
      <w:r w:rsidR="00052E8B" w:rsidRPr="001E0157">
        <w:rPr>
          <w:sz w:val="24"/>
          <w:szCs w:val="24"/>
        </w:rPr>
        <w:t xml:space="preserve"> main thesis </w:t>
      </w:r>
      <w:r w:rsidR="00C655D0">
        <w:rPr>
          <w:sz w:val="24"/>
          <w:szCs w:val="24"/>
        </w:rPr>
        <w:t xml:space="preserve">below, beginning with </w:t>
      </w:r>
      <w:r w:rsidR="00052E8B" w:rsidRPr="001E0157">
        <w:rPr>
          <w:sz w:val="24"/>
          <w:szCs w:val="24"/>
        </w:rPr>
        <w:t>a review of</w:t>
      </w:r>
      <w:r w:rsidR="00ED1A88" w:rsidRPr="001E0157">
        <w:rPr>
          <w:sz w:val="24"/>
          <w:szCs w:val="24"/>
        </w:rPr>
        <w:t xml:space="preserve"> </w:t>
      </w:r>
      <w:r w:rsidR="00C24793" w:rsidRPr="001E0157">
        <w:rPr>
          <w:sz w:val="24"/>
          <w:szCs w:val="24"/>
        </w:rPr>
        <w:t xml:space="preserve">the </w:t>
      </w:r>
      <w:r w:rsidR="005B1F3C">
        <w:rPr>
          <w:sz w:val="24"/>
          <w:szCs w:val="24"/>
        </w:rPr>
        <w:t xml:space="preserve">encumbrance/escape </w:t>
      </w:r>
      <w:r w:rsidR="00C24793" w:rsidRPr="001E0157">
        <w:rPr>
          <w:sz w:val="24"/>
          <w:szCs w:val="24"/>
        </w:rPr>
        <w:t xml:space="preserve">metaphor in </w:t>
      </w:r>
      <w:r w:rsidR="00C62A76">
        <w:rPr>
          <w:sz w:val="24"/>
          <w:szCs w:val="24"/>
        </w:rPr>
        <w:t>literature</w:t>
      </w:r>
      <w:r w:rsidR="00C655D0">
        <w:rPr>
          <w:sz w:val="24"/>
          <w:szCs w:val="24"/>
        </w:rPr>
        <w:t>, culture and legal discourse generally</w:t>
      </w:r>
      <w:r w:rsidR="00381A6E">
        <w:rPr>
          <w:sz w:val="24"/>
          <w:szCs w:val="24"/>
        </w:rPr>
        <w:t xml:space="preserve"> (section 2)</w:t>
      </w:r>
      <w:r w:rsidR="00C62A76">
        <w:rPr>
          <w:sz w:val="24"/>
          <w:szCs w:val="24"/>
        </w:rPr>
        <w:t xml:space="preserve">, </w:t>
      </w:r>
      <w:r w:rsidR="00C655D0">
        <w:rPr>
          <w:sz w:val="24"/>
          <w:szCs w:val="24"/>
        </w:rPr>
        <w:t xml:space="preserve">and then </w:t>
      </w:r>
      <w:r w:rsidR="00C62A76">
        <w:rPr>
          <w:sz w:val="24"/>
          <w:szCs w:val="24"/>
        </w:rPr>
        <w:t xml:space="preserve">followed by a </w:t>
      </w:r>
      <w:r w:rsidR="00C655D0">
        <w:rPr>
          <w:sz w:val="24"/>
          <w:szCs w:val="24"/>
        </w:rPr>
        <w:t xml:space="preserve">close examination of some key moments in the recent history of criminal </w:t>
      </w:r>
      <w:r w:rsidR="00C655D0" w:rsidRPr="001E0157">
        <w:rPr>
          <w:sz w:val="24"/>
          <w:szCs w:val="24"/>
        </w:rPr>
        <w:t>l</w:t>
      </w:r>
      <w:r w:rsidR="00C655D0">
        <w:rPr>
          <w:sz w:val="24"/>
          <w:szCs w:val="24"/>
        </w:rPr>
        <w:t>aw, identifying particular judgments in which we find evidence of the metaphor at work</w:t>
      </w:r>
      <w:r w:rsidR="00381A6E">
        <w:rPr>
          <w:sz w:val="24"/>
          <w:szCs w:val="24"/>
        </w:rPr>
        <w:t xml:space="preserve"> (section 3)</w:t>
      </w:r>
      <w:r w:rsidR="00C655D0">
        <w:rPr>
          <w:sz w:val="24"/>
          <w:szCs w:val="24"/>
        </w:rPr>
        <w:t>.</w:t>
      </w:r>
      <w:r w:rsidR="003E05B4" w:rsidRPr="001E0157">
        <w:rPr>
          <w:sz w:val="24"/>
          <w:szCs w:val="24"/>
        </w:rPr>
        <w:t xml:space="preserve"> </w:t>
      </w:r>
    </w:p>
    <w:p w14:paraId="1FFC5A66" w14:textId="77777777" w:rsidR="00653359" w:rsidRPr="001E0157" w:rsidRDefault="00653359" w:rsidP="00210694">
      <w:pPr>
        <w:tabs>
          <w:tab w:val="left" w:pos="560"/>
          <w:tab w:val="left" w:pos="3828"/>
        </w:tabs>
        <w:spacing w:after="0" w:line="480" w:lineRule="auto"/>
        <w:rPr>
          <w:sz w:val="24"/>
          <w:szCs w:val="24"/>
        </w:rPr>
      </w:pPr>
    </w:p>
    <w:p w14:paraId="2F24CA41" w14:textId="36D0E736" w:rsidR="00653359" w:rsidRPr="001E0157" w:rsidRDefault="00653359" w:rsidP="00835286">
      <w:pPr>
        <w:tabs>
          <w:tab w:val="left" w:pos="560"/>
          <w:tab w:val="left" w:pos="3828"/>
        </w:tabs>
        <w:spacing w:after="0" w:line="480" w:lineRule="auto"/>
        <w:rPr>
          <w:b/>
          <w:bCs/>
          <w:sz w:val="24"/>
          <w:szCs w:val="24"/>
        </w:rPr>
      </w:pPr>
      <w:r w:rsidRPr="001E0157">
        <w:rPr>
          <w:b/>
          <w:bCs/>
          <w:sz w:val="24"/>
          <w:szCs w:val="24"/>
        </w:rPr>
        <w:t xml:space="preserve">2. </w:t>
      </w:r>
      <w:r w:rsidR="00835286">
        <w:rPr>
          <w:b/>
          <w:bCs/>
          <w:sz w:val="24"/>
          <w:szCs w:val="24"/>
        </w:rPr>
        <w:t>Encumbrance/escape as a living</w:t>
      </w:r>
      <w:r w:rsidRPr="001E0157">
        <w:rPr>
          <w:b/>
          <w:bCs/>
          <w:sz w:val="24"/>
          <w:szCs w:val="24"/>
        </w:rPr>
        <w:t xml:space="preserve"> metaphor in </w:t>
      </w:r>
      <w:r w:rsidR="00FB7FCA" w:rsidRPr="001E0157">
        <w:rPr>
          <w:b/>
          <w:bCs/>
          <w:sz w:val="24"/>
          <w:szCs w:val="24"/>
        </w:rPr>
        <w:t>law and literature</w:t>
      </w:r>
    </w:p>
    <w:p w14:paraId="316FF93B" w14:textId="77777777" w:rsidR="00653359" w:rsidRPr="001E0157" w:rsidRDefault="00653359" w:rsidP="00210694">
      <w:pPr>
        <w:tabs>
          <w:tab w:val="left" w:pos="560"/>
          <w:tab w:val="left" w:pos="3828"/>
        </w:tabs>
        <w:spacing w:after="0" w:line="480" w:lineRule="auto"/>
        <w:rPr>
          <w:sz w:val="24"/>
          <w:szCs w:val="24"/>
        </w:rPr>
      </w:pPr>
    </w:p>
    <w:p w14:paraId="369D23A3" w14:textId="39EF82E1" w:rsidR="008F3C51" w:rsidRPr="001E0157" w:rsidRDefault="004E4ECB" w:rsidP="00A24C60">
      <w:pPr>
        <w:tabs>
          <w:tab w:val="left" w:pos="560"/>
          <w:tab w:val="left" w:pos="3828"/>
        </w:tabs>
        <w:spacing w:after="0" w:line="480" w:lineRule="auto"/>
        <w:rPr>
          <w:sz w:val="24"/>
          <w:szCs w:val="24"/>
        </w:rPr>
      </w:pPr>
      <w:r w:rsidRPr="001E0157">
        <w:rPr>
          <w:sz w:val="24"/>
          <w:szCs w:val="24"/>
        </w:rPr>
        <w:t>Lakoff and Jo</w:t>
      </w:r>
      <w:r w:rsidR="00CC236E" w:rsidRPr="001E0157">
        <w:rPr>
          <w:sz w:val="24"/>
          <w:szCs w:val="24"/>
        </w:rPr>
        <w:t>hnson</w:t>
      </w:r>
      <w:r w:rsidR="00825F74" w:rsidRPr="001E0157">
        <w:rPr>
          <w:sz w:val="24"/>
          <w:szCs w:val="24"/>
        </w:rPr>
        <w:t xml:space="preserve"> observ</w:t>
      </w:r>
      <w:r w:rsidR="000A6A31">
        <w:rPr>
          <w:sz w:val="24"/>
          <w:szCs w:val="24"/>
        </w:rPr>
        <w:t>e</w:t>
      </w:r>
      <w:r w:rsidR="00825F74" w:rsidRPr="001E0157">
        <w:rPr>
          <w:sz w:val="24"/>
          <w:szCs w:val="24"/>
        </w:rPr>
        <w:t xml:space="preserve"> that </w:t>
      </w:r>
      <w:r w:rsidR="00695FC3" w:rsidRPr="001E0157">
        <w:rPr>
          <w:sz w:val="24"/>
          <w:szCs w:val="24"/>
        </w:rPr>
        <w:t xml:space="preserve">the </w:t>
      </w:r>
      <w:r w:rsidR="00825F74" w:rsidRPr="001E0157">
        <w:rPr>
          <w:sz w:val="24"/>
          <w:szCs w:val="24"/>
        </w:rPr>
        <w:t xml:space="preserve">metaphors ‘we live by’ (i.e. those that </w:t>
      </w:r>
      <w:r w:rsidR="00226840" w:rsidRPr="001E0157">
        <w:rPr>
          <w:sz w:val="24"/>
          <w:szCs w:val="24"/>
        </w:rPr>
        <w:t>shape our conceptual world</w:t>
      </w:r>
      <w:r w:rsidR="00695FC3" w:rsidRPr="001E0157">
        <w:rPr>
          <w:sz w:val="24"/>
          <w:szCs w:val="24"/>
        </w:rPr>
        <w:t>)</w:t>
      </w:r>
      <w:r w:rsidR="00825F74" w:rsidRPr="001E0157">
        <w:rPr>
          <w:sz w:val="24"/>
          <w:szCs w:val="24"/>
        </w:rPr>
        <w:t xml:space="preserve"> are those that are grounded in collective experience and culture</w:t>
      </w:r>
      <w:r w:rsidR="00CC236E" w:rsidRPr="001E0157">
        <w:rPr>
          <w:sz w:val="24"/>
          <w:szCs w:val="24"/>
        </w:rPr>
        <w:t>.</w:t>
      </w:r>
      <w:r w:rsidR="00CC236E" w:rsidRPr="004A6696">
        <w:rPr>
          <w:rStyle w:val="FootnoteReference"/>
        </w:rPr>
        <w:footnoteReference w:id="12"/>
      </w:r>
      <w:r w:rsidR="00CC236E" w:rsidRPr="001E0157">
        <w:rPr>
          <w:sz w:val="24"/>
          <w:szCs w:val="24"/>
        </w:rPr>
        <w:t xml:space="preserve"> </w:t>
      </w:r>
      <w:r w:rsidR="000A6A31">
        <w:rPr>
          <w:sz w:val="24"/>
          <w:szCs w:val="24"/>
        </w:rPr>
        <w:t>Thus</w:t>
      </w:r>
      <w:r w:rsidR="000853FE">
        <w:rPr>
          <w:sz w:val="24"/>
          <w:szCs w:val="24"/>
        </w:rPr>
        <w:t xml:space="preserve"> </w:t>
      </w:r>
      <w:r w:rsidR="000853FE">
        <w:rPr>
          <w:sz w:val="24"/>
          <w:szCs w:val="24"/>
        </w:rPr>
        <w:lastRenderedPageBreak/>
        <w:t xml:space="preserve">the language </w:t>
      </w:r>
      <w:r w:rsidR="00667392">
        <w:rPr>
          <w:sz w:val="24"/>
          <w:szCs w:val="24"/>
        </w:rPr>
        <w:t xml:space="preserve">available </w:t>
      </w:r>
      <w:r w:rsidR="000853FE">
        <w:rPr>
          <w:sz w:val="24"/>
          <w:szCs w:val="24"/>
        </w:rPr>
        <w:t xml:space="preserve">to </w:t>
      </w:r>
      <w:r w:rsidR="00667392">
        <w:rPr>
          <w:sz w:val="24"/>
          <w:szCs w:val="24"/>
        </w:rPr>
        <w:t>us fo</w:t>
      </w:r>
      <w:r w:rsidR="000853FE">
        <w:rPr>
          <w:sz w:val="24"/>
          <w:szCs w:val="24"/>
        </w:rPr>
        <w:t>r dealing in</w:t>
      </w:r>
      <w:r w:rsidR="000A6A31">
        <w:rPr>
          <w:sz w:val="24"/>
          <w:szCs w:val="24"/>
        </w:rPr>
        <w:t xml:space="preserve"> evaluati</w:t>
      </w:r>
      <w:r w:rsidR="000853FE">
        <w:rPr>
          <w:sz w:val="24"/>
          <w:szCs w:val="24"/>
        </w:rPr>
        <w:t xml:space="preserve">ve and normative judgements commonly </w:t>
      </w:r>
      <w:r w:rsidR="000A6A31">
        <w:rPr>
          <w:sz w:val="24"/>
          <w:szCs w:val="24"/>
        </w:rPr>
        <w:t xml:space="preserve">draws on facts </w:t>
      </w:r>
      <w:r w:rsidR="000853FE">
        <w:rPr>
          <w:sz w:val="24"/>
          <w:szCs w:val="24"/>
        </w:rPr>
        <w:t xml:space="preserve">such as </w:t>
      </w:r>
      <w:r w:rsidR="000A6A31">
        <w:rPr>
          <w:sz w:val="24"/>
          <w:szCs w:val="24"/>
        </w:rPr>
        <w:t xml:space="preserve">that human beings are creatures who </w:t>
      </w:r>
      <w:r w:rsidR="00B361A1">
        <w:rPr>
          <w:sz w:val="24"/>
          <w:szCs w:val="24"/>
        </w:rPr>
        <w:t xml:space="preserve">tend to </w:t>
      </w:r>
      <w:r w:rsidR="000853FE">
        <w:rPr>
          <w:sz w:val="24"/>
          <w:szCs w:val="24"/>
        </w:rPr>
        <w:t xml:space="preserve">(for example) </w:t>
      </w:r>
      <w:r w:rsidR="000A6A31">
        <w:rPr>
          <w:sz w:val="24"/>
          <w:szCs w:val="24"/>
        </w:rPr>
        <w:t>stand upright</w:t>
      </w:r>
      <w:r w:rsidR="000853FE">
        <w:rPr>
          <w:sz w:val="24"/>
          <w:szCs w:val="24"/>
        </w:rPr>
        <w:t xml:space="preserve">, live </w:t>
      </w:r>
      <w:r w:rsidR="00B361A1">
        <w:rPr>
          <w:sz w:val="24"/>
          <w:szCs w:val="24"/>
        </w:rPr>
        <w:t>in built structures</w:t>
      </w:r>
      <w:r w:rsidR="000853FE">
        <w:rPr>
          <w:sz w:val="24"/>
          <w:szCs w:val="24"/>
        </w:rPr>
        <w:t xml:space="preserve"> </w:t>
      </w:r>
      <w:r w:rsidR="00C862D0">
        <w:rPr>
          <w:sz w:val="24"/>
          <w:szCs w:val="24"/>
        </w:rPr>
        <w:t xml:space="preserve">that are </w:t>
      </w:r>
      <w:r w:rsidR="000853FE" w:rsidRPr="000853FE">
        <w:rPr>
          <w:sz w:val="24"/>
          <w:szCs w:val="24"/>
        </w:rPr>
        <w:t xml:space="preserve">independent of </w:t>
      </w:r>
      <w:r w:rsidR="00CB255F">
        <w:rPr>
          <w:sz w:val="24"/>
          <w:szCs w:val="24"/>
        </w:rPr>
        <w:t xml:space="preserve">(but attached to) </w:t>
      </w:r>
      <w:r w:rsidR="000853FE" w:rsidRPr="000853FE">
        <w:rPr>
          <w:sz w:val="24"/>
          <w:szCs w:val="24"/>
        </w:rPr>
        <w:t xml:space="preserve">the natural environment and who experience </w:t>
      </w:r>
      <w:r w:rsidR="000853FE">
        <w:rPr>
          <w:sz w:val="24"/>
          <w:szCs w:val="24"/>
        </w:rPr>
        <w:t xml:space="preserve">the world (including </w:t>
      </w:r>
      <w:r w:rsidR="000853FE" w:rsidRPr="000853FE">
        <w:rPr>
          <w:sz w:val="24"/>
          <w:szCs w:val="24"/>
        </w:rPr>
        <w:t>our own bodies</w:t>
      </w:r>
      <w:r w:rsidR="000853FE">
        <w:rPr>
          <w:sz w:val="24"/>
          <w:szCs w:val="24"/>
        </w:rPr>
        <w:t>)</w:t>
      </w:r>
      <w:r w:rsidR="000853FE" w:rsidRPr="000853FE">
        <w:rPr>
          <w:sz w:val="24"/>
          <w:szCs w:val="24"/>
        </w:rPr>
        <w:t xml:space="preserve"> as entities bounded by</w:t>
      </w:r>
      <w:r w:rsidR="00A03D55">
        <w:rPr>
          <w:sz w:val="24"/>
          <w:szCs w:val="24"/>
        </w:rPr>
        <w:t>/contained within</w:t>
      </w:r>
      <w:r w:rsidR="000853FE" w:rsidRPr="000853FE">
        <w:rPr>
          <w:sz w:val="24"/>
          <w:szCs w:val="24"/>
        </w:rPr>
        <w:t xml:space="preserve"> </w:t>
      </w:r>
      <w:r w:rsidR="0008092A">
        <w:rPr>
          <w:sz w:val="24"/>
          <w:szCs w:val="24"/>
        </w:rPr>
        <w:t>borders</w:t>
      </w:r>
      <w:r w:rsidR="000853FE">
        <w:rPr>
          <w:sz w:val="24"/>
          <w:szCs w:val="24"/>
        </w:rPr>
        <w:t xml:space="preserve"> or</w:t>
      </w:r>
      <w:r w:rsidR="000853FE" w:rsidRPr="000853FE">
        <w:rPr>
          <w:sz w:val="24"/>
          <w:szCs w:val="24"/>
        </w:rPr>
        <w:t xml:space="preserve"> surface</w:t>
      </w:r>
      <w:r w:rsidR="000853FE">
        <w:rPr>
          <w:sz w:val="24"/>
          <w:szCs w:val="24"/>
        </w:rPr>
        <w:t>s.</w:t>
      </w:r>
      <w:r w:rsidR="00080AA4" w:rsidRPr="004A6696">
        <w:rPr>
          <w:rStyle w:val="FootnoteReference"/>
        </w:rPr>
        <w:footnoteReference w:id="13"/>
      </w:r>
      <w:r w:rsidR="000853FE">
        <w:rPr>
          <w:sz w:val="24"/>
          <w:szCs w:val="24"/>
        </w:rPr>
        <w:t xml:space="preserve"> These experiences </w:t>
      </w:r>
      <w:r w:rsidR="004759D8">
        <w:rPr>
          <w:sz w:val="24"/>
          <w:szCs w:val="24"/>
        </w:rPr>
        <w:t xml:space="preserve">and cultural conditions </w:t>
      </w:r>
      <w:r w:rsidR="0016301E">
        <w:rPr>
          <w:sz w:val="24"/>
          <w:szCs w:val="24"/>
        </w:rPr>
        <w:t xml:space="preserve">allow us to make sense </w:t>
      </w:r>
      <w:r w:rsidR="00B361A1">
        <w:rPr>
          <w:sz w:val="24"/>
          <w:szCs w:val="24"/>
        </w:rPr>
        <w:t xml:space="preserve">therefore </w:t>
      </w:r>
      <w:r w:rsidR="0016301E">
        <w:rPr>
          <w:sz w:val="24"/>
          <w:szCs w:val="24"/>
        </w:rPr>
        <w:t>of</w:t>
      </w:r>
      <w:r w:rsidR="000853FE">
        <w:rPr>
          <w:sz w:val="24"/>
          <w:szCs w:val="24"/>
        </w:rPr>
        <w:t xml:space="preserve"> evaluative metaphors that re</w:t>
      </w:r>
      <w:r w:rsidR="00B361A1">
        <w:rPr>
          <w:sz w:val="24"/>
          <w:szCs w:val="24"/>
        </w:rPr>
        <w:t>late</w:t>
      </w:r>
      <w:r w:rsidR="00A03D55">
        <w:rPr>
          <w:sz w:val="24"/>
          <w:szCs w:val="24"/>
        </w:rPr>
        <w:t xml:space="preserve"> respectively</w:t>
      </w:r>
      <w:r w:rsidR="000853FE">
        <w:rPr>
          <w:sz w:val="24"/>
          <w:szCs w:val="24"/>
        </w:rPr>
        <w:t xml:space="preserve"> to </w:t>
      </w:r>
      <w:r w:rsidR="000853FE">
        <w:rPr>
          <w:i/>
          <w:iCs/>
          <w:sz w:val="24"/>
          <w:szCs w:val="24"/>
        </w:rPr>
        <w:t>orientation</w:t>
      </w:r>
      <w:r w:rsidR="000853FE">
        <w:rPr>
          <w:sz w:val="24"/>
          <w:szCs w:val="24"/>
        </w:rPr>
        <w:t xml:space="preserve"> (a</w:t>
      </w:r>
      <w:r w:rsidR="0016301E">
        <w:rPr>
          <w:sz w:val="24"/>
          <w:szCs w:val="24"/>
        </w:rPr>
        <w:t xml:space="preserve"> speech might be described as ‘uplifting’ or ‘aspirational’</w:t>
      </w:r>
      <w:r w:rsidR="000853FE">
        <w:rPr>
          <w:sz w:val="24"/>
          <w:szCs w:val="24"/>
        </w:rPr>
        <w:t xml:space="preserve"> </w:t>
      </w:r>
      <w:r w:rsidR="0016301E">
        <w:rPr>
          <w:sz w:val="24"/>
          <w:szCs w:val="24"/>
        </w:rPr>
        <w:t xml:space="preserve">or criticised for resorting to </w:t>
      </w:r>
      <w:r w:rsidR="000853FE" w:rsidRPr="009631B0">
        <w:rPr>
          <w:sz w:val="24"/>
          <w:szCs w:val="24"/>
        </w:rPr>
        <w:t xml:space="preserve">‘underhanded’ </w:t>
      </w:r>
      <w:r w:rsidR="00B361A1" w:rsidRPr="009631B0">
        <w:rPr>
          <w:sz w:val="24"/>
          <w:szCs w:val="24"/>
        </w:rPr>
        <w:t>tactics</w:t>
      </w:r>
      <w:r w:rsidR="000853FE" w:rsidRPr="009631B0">
        <w:rPr>
          <w:sz w:val="24"/>
          <w:szCs w:val="24"/>
        </w:rPr>
        <w:t>),</w:t>
      </w:r>
      <w:r w:rsidR="0016301E" w:rsidRPr="009631B0">
        <w:rPr>
          <w:sz w:val="24"/>
          <w:szCs w:val="24"/>
        </w:rPr>
        <w:t xml:space="preserve"> to</w:t>
      </w:r>
      <w:r w:rsidR="000853FE" w:rsidRPr="009631B0">
        <w:rPr>
          <w:sz w:val="24"/>
          <w:szCs w:val="24"/>
        </w:rPr>
        <w:t xml:space="preserve"> </w:t>
      </w:r>
      <w:r w:rsidR="000853FE" w:rsidRPr="009631B0">
        <w:rPr>
          <w:i/>
          <w:iCs/>
          <w:sz w:val="24"/>
          <w:szCs w:val="24"/>
        </w:rPr>
        <w:t>buildings</w:t>
      </w:r>
      <w:r w:rsidR="000853FE" w:rsidRPr="009631B0">
        <w:rPr>
          <w:sz w:val="24"/>
          <w:szCs w:val="24"/>
        </w:rPr>
        <w:t xml:space="preserve"> (</w:t>
      </w:r>
      <w:r w:rsidR="0016301E" w:rsidRPr="009631B0">
        <w:rPr>
          <w:sz w:val="24"/>
          <w:szCs w:val="24"/>
        </w:rPr>
        <w:t>and we have already noted that a legal judgment’s ‘foundations’</w:t>
      </w:r>
      <w:r w:rsidR="000853FE" w:rsidRPr="009631B0">
        <w:rPr>
          <w:sz w:val="24"/>
          <w:szCs w:val="24"/>
        </w:rPr>
        <w:t xml:space="preserve"> may be </w:t>
      </w:r>
      <w:r w:rsidR="0016301E" w:rsidRPr="009631B0">
        <w:rPr>
          <w:sz w:val="24"/>
          <w:szCs w:val="24"/>
        </w:rPr>
        <w:t xml:space="preserve">described as </w:t>
      </w:r>
      <w:r w:rsidR="000853FE" w:rsidRPr="009631B0">
        <w:rPr>
          <w:sz w:val="24"/>
          <w:szCs w:val="24"/>
        </w:rPr>
        <w:t>‘solid’</w:t>
      </w:r>
      <w:r w:rsidR="0016301E" w:rsidRPr="009631B0">
        <w:rPr>
          <w:sz w:val="24"/>
          <w:szCs w:val="24"/>
        </w:rPr>
        <w:t xml:space="preserve"> or ‘shaky’</w:t>
      </w:r>
      <w:r w:rsidR="000853FE" w:rsidRPr="009631B0">
        <w:rPr>
          <w:sz w:val="24"/>
          <w:szCs w:val="24"/>
        </w:rPr>
        <w:t>)</w:t>
      </w:r>
      <w:r w:rsidR="0016301E" w:rsidRPr="009631B0">
        <w:rPr>
          <w:sz w:val="24"/>
          <w:szCs w:val="24"/>
        </w:rPr>
        <w:t xml:space="preserve">, to </w:t>
      </w:r>
      <w:r w:rsidR="0016301E" w:rsidRPr="009631B0">
        <w:rPr>
          <w:i/>
          <w:iCs/>
          <w:sz w:val="24"/>
          <w:szCs w:val="24"/>
        </w:rPr>
        <w:t>containers</w:t>
      </w:r>
      <w:r w:rsidR="000853FE" w:rsidRPr="009631B0">
        <w:rPr>
          <w:sz w:val="24"/>
          <w:szCs w:val="24"/>
        </w:rPr>
        <w:t xml:space="preserve"> </w:t>
      </w:r>
      <w:r w:rsidR="0016301E" w:rsidRPr="009631B0">
        <w:rPr>
          <w:sz w:val="24"/>
          <w:szCs w:val="24"/>
        </w:rPr>
        <w:t>(an argument might be</w:t>
      </w:r>
      <w:r w:rsidR="00606D97">
        <w:rPr>
          <w:sz w:val="24"/>
          <w:szCs w:val="24"/>
        </w:rPr>
        <w:t xml:space="preserve"> ‘impregnable’,</w:t>
      </w:r>
      <w:r w:rsidR="0016301E" w:rsidRPr="009631B0">
        <w:rPr>
          <w:sz w:val="24"/>
          <w:szCs w:val="24"/>
        </w:rPr>
        <w:t xml:space="preserve"> </w:t>
      </w:r>
      <w:r w:rsidR="00606D97">
        <w:rPr>
          <w:sz w:val="24"/>
          <w:szCs w:val="24"/>
        </w:rPr>
        <w:t xml:space="preserve">or be </w:t>
      </w:r>
      <w:r w:rsidR="0016301E" w:rsidRPr="009631B0">
        <w:rPr>
          <w:sz w:val="24"/>
          <w:szCs w:val="24"/>
        </w:rPr>
        <w:t xml:space="preserve">full or devoid of ‘substance’), </w:t>
      </w:r>
      <w:r w:rsidR="0008092A" w:rsidRPr="009631B0">
        <w:rPr>
          <w:i/>
          <w:iCs/>
          <w:sz w:val="24"/>
          <w:szCs w:val="24"/>
        </w:rPr>
        <w:t>movement/journeys</w:t>
      </w:r>
      <w:r w:rsidR="0008092A" w:rsidRPr="009631B0">
        <w:rPr>
          <w:sz w:val="24"/>
          <w:szCs w:val="24"/>
        </w:rPr>
        <w:t xml:space="preserve"> (a reform agenda might be </w:t>
      </w:r>
      <w:r w:rsidR="004759D8">
        <w:rPr>
          <w:sz w:val="24"/>
          <w:szCs w:val="24"/>
        </w:rPr>
        <w:t xml:space="preserve">‘making </w:t>
      </w:r>
      <w:r w:rsidR="0008092A" w:rsidRPr="009631B0">
        <w:rPr>
          <w:sz w:val="24"/>
          <w:szCs w:val="24"/>
        </w:rPr>
        <w:t xml:space="preserve">progress’, </w:t>
      </w:r>
      <w:r w:rsidR="004759D8">
        <w:rPr>
          <w:sz w:val="24"/>
          <w:szCs w:val="24"/>
        </w:rPr>
        <w:t xml:space="preserve">‘getting </w:t>
      </w:r>
      <w:r w:rsidR="0008092A" w:rsidRPr="009631B0">
        <w:rPr>
          <w:sz w:val="24"/>
          <w:szCs w:val="24"/>
        </w:rPr>
        <w:t>stuck’, going down the ‘wrong track’, etc.)</w:t>
      </w:r>
      <w:r w:rsidR="0016301E" w:rsidRPr="009631B0">
        <w:rPr>
          <w:sz w:val="24"/>
          <w:szCs w:val="24"/>
        </w:rPr>
        <w:t xml:space="preserve"> </w:t>
      </w:r>
      <w:r w:rsidR="000853FE" w:rsidRPr="009631B0">
        <w:rPr>
          <w:sz w:val="24"/>
          <w:szCs w:val="24"/>
        </w:rPr>
        <w:t>and</w:t>
      </w:r>
      <w:r w:rsidR="0008092A" w:rsidRPr="009631B0">
        <w:rPr>
          <w:sz w:val="24"/>
          <w:szCs w:val="24"/>
        </w:rPr>
        <w:t xml:space="preserve"> doubtless numerous others besides.</w:t>
      </w:r>
      <w:r w:rsidR="00B361A1" w:rsidRPr="004A6696">
        <w:rPr>
          <w:rStyle w:val="FootnoteReference"/>
        </w:rPr>
        <w:footnoteReference w:id="14"/>
      </w:r>
      <w:r w:rsidR="000853FE" w:rsidRPr="009631B0">
        <w:rPr>
          <w:sz w:val="24"/>
          <w:szCs w:val="24"/>
        </w:rPr>
        <w:t xml:space="preserve"> </w:t>
      </w:r>
      <w:r w:rsidR="00667392">
        <w:rPr>
          <w:sz w:val="24"/>
          <w:szCs w:val="24"/>
        </w:rPr>
        <w:t>Our suggestion is that</w:t>
      </w:r>
      <w:r w:rsidR="00E8479B">
        <w:rPr>
          <w:sz w:val="24"/>
          <w:szCs w:val="24"/>
        </w:rPr>
        <w:t xml:space="preserve"> in literature and law,</w:t>
      </w:r>
      <w:r w:rsidR="00667392">
        <w:rPr>
          <w:sz w:val="24"/>
          <w:szCs w:val="24"/>
        </w:rPr>
        <w:t xml:space="preserve"> the opposition of </w:t>
      </w:r>
      <w:r w:rsidR="00507880" w:rsidRPr="00A24C60">
        <w:rPr>
          <w:sz w:val="24"/>
          <w:szCs w:val="24"/>
        </w:rPr>
        <w:t>encumbrance/escape</w:t>
      </w:r>
      <w:r w:rsidR="00507880">
        <w:rPr>
          <w:sz w:val="24"/>
          <w:szCs w:val="24"/>
        </w:rPr>
        <w:t xml:space="preserve"> </w:t>
      </w:r>
      <w:r w:rsidR="00A24C60">
        <w:rPr>
          <w:sz w:val="24"/>
          <w:szCs w:val="24"/>
        </w:rPr>
        <w:t>typically combines some or all of these as its component elements, but that it is also a</w:t>
      </w:r>
      <w:r w:rsidR="00E8479B">
        <w:rPr>
          <w:sz w:val="24"/>
          <w:szCs w:val="24"/>
        </w:rPr>
        <w:t xml:space="preserve"> ‘living’</w:t>
      </w:r>
      <w:r w:rsidR="00507880">
        <w:rPr>
          <w:sz w:val="24"/>
          <w:szCs w:val="24"/>
        </w:rPr>
        <w:t xml:space="preserve"> metaphor in </w:t>
      </w:r>
      <w:r w:rsidR="00E8479B">
        <w:rPr>
          <w:sz w:val="24"/>
          <w:szCs w:val="24"/>
        </w:rPr>
        <w:t>its own right</w:t>
      </w:r>
      <w:r w:rsidR="00A24C60">
        <w:rPr>
          <w:sz w:val="24"/>
          <w:szCs w:val="24"/>
        </w:rPr>
        <w:t>. We argue that n</w:t>
      </w:r>
      <w:r w:rsidR="00E8479B">
        <w:rPr>
          <w:sz w:val="24"/>
          <w:szCs w:val="24"/>
        </w:rPr>
        <w:t xml:space="preserve">otions of justice and injustice are </w:t>
      </w:r>
      <w:r w:rsidR="00A24C60">
        <w:rPr>
          <w:sz w:val="24"/>
          <w:szCs w:val="24"/>
        </w:rPr>
        <w:t xml:space="preserve">accordingly </w:t>
      </w:r>
      <w:r w:rsidR="00E8479B">
        <w:rPr>
          <w:sz w:val="24"/>
          <w:szCs w:val="24"/>
        </w:rPr>
        <w:t xml:space="preserve">conveyed </w:t>
      </w:r>
      <w:r w:rsidR="00AB7674">
        <w:rPr>
          <w:sz w:val="24"/>
          <w:szCs w:val="24"/>
        </w:rPr>
        <w:t>in terms of</w:t>
      </w:r>
      <w:r w:rsidR="00507880">
        <w:rPr>
          <w:sz w:val="24"/>
          <w:szCs w:val="24"/>
        </w:rPr>
        <w:t xml:space="preserve"> </w:t>
      </w:r>
      <w:r w:rsidR="00AB7674">
        <w:rPr>
          <w:sz w:val="24"/>
          <w:szCs w:val="24"/>
        </w:rPr>
        <w:t xml:space="preserve">the possibility of </w:t>
      </w:r>
      <w:r w:rsidR="00667392">
        <w:rPr>
          <w:sz w:val="24"/>
          <w:szCs w:val="24"/>
        </w:rPr>
        <w:t xml:space="preserve">(and obstacles to) </w:t>
      </w:r>
      <w:r w:rsidR="00507880">
        <w:rPr>
          <w:sz w:val="24"/>
          <w:szCs w:val="24"/>
        </w:rPr>
        <w:t>movement</w:t>
      </w:r>
      <w:r w:rsidR="00667392">
        <w:rPr>
          <w:sz w:val="24"/>
          <w:szCs w:val="24"/>
        </w:rPr>
        <w:t xml:space="preserve"> and of </w:t>
      </w:r>
      <w:r w:rsidR="00404C1F">
        <w:rPr>
          <w:sz w:val="24"/>
          <w:szCs w:val="24"/>
        </w:rPr>
        <w:t xml:space="preserve">a </w:t>
      </w:r>
      <w:r w:rsidR="00667392">
        <w:rPr>
          <w:sz w:val="24"/>
          <w:szCs w:val="24"/>
        </w:rPr>
        <w:t>setting apart</w:t>
      </w:r>
      <w:r w:rsidR="00404C1F">
        <w:rPr>
          <w:sz w:val="24"/>
          <w:szCs w:val="24"/>
        </w:rPr>
        <w:t xml:space="preserve"> from impediment</w:t>
      </w:r>
      <w:r w:rsidR="00AB7674">
        <w:rPr>
          <w:sz w:val="24"/>
          <w:szCs w:val="24"/>
        </w:rPr>
        <w:t>.</w:t>
      </w:r>
    </w:p>
    <w:p w14:paraId="01A0F9AF" w14:textId="053AA0C2" w:rsidR="00A94E4F" w:rsidRDefault="00404C1F" w:rsidP="00A24C60">
      <w:pPr>
        <w:tabs>
          <w:tab w:val="left" w:pos="560"/>
          <w:tab w:val="left" w:pos="3828"/>
        </w:tabs>
        <w:spacing w:after="0" w:line="480" w:lineRule="auto"/>
        <w:rPr>
          <w:sz w:val="24"/>
          <w:szCs w:val="24"/>
        </w:rPr>
      </w:pPr>
      <w:r>
        <w:rPr>
          <w:sz w:val="24"/>
          <w:szCs w:val="24"/>
        </w:rPr>
        <w:tab/>
      </w:r>
      <w:r w:rsidR="00A24C60">
        <w:rPr>
          <w:sz w:val="24"/>
          <w:szCs w:val="24"/>
        </w:rPr>
        <w:t>Let us therefore consider some ways in which encumbrance/escape combines orientation, container and buildings metaphors. A</w:t>
      </w:r>
      <w:r w:rsidR="00CB255F">
        <w:rPr>
          <w:sz w:val="24"/>
          <w:szCs w:val="24"/>
        </w:rPr>
        <w:t xml:space="preserve">lthough we observe that ‘up’ and ‘out’ will often align positively with </w:t>
      </w:r>
      <w:r w:rsidR="00CB255F" w:rsidRPr="00CB255F">
        <w:rPr>
          <w:i/>
          <w:iCs/>
          <w:sz w:val="24"/>
          <w:szCs w:val="24"/>
        </w:rPr>
        <w:t>escape</w:t>
      </w:r>
      <w:r w:rsidR="00CB255F">
        <w:rPr>
          <w:sz w:val="24"/>
          <w:szCs w:val="24"/>
        </w:rPr>
        <w:t xml:space="preserve"> (and hence with justice) and ‘down’ and ‘in’ more negatively with encumbrance (and hence with injustice), the opposite can sometimes also be true and the text in question not necessarily any less intelligible for that.</w:t>
      </w:r>
      <w:r w:rsidR="009631B0">
        <w:rPr>
          <w:sz w:val="24"/>
          <w:szCs w:val="24"/>
        </w:rPr>
        <w:t xml:space="preserve"> </w:t>
      </w:r>
      <w:r w:rsidR="00CB255F">
        <w:rPr>
          <w:sz w:val="24"/>
          <w:szCs w:val="24"/>
        </w:rPr>
        <w:t xml:space="preserve">So for instance, </w:t>
      </w:r>
      <w:r w:rsidR="00C83792">
        <w:rPr>
          <w:sz w:val="24"/>
          <w:szCs w:val="24"/>
        </w:rPr>
        <w:t xml:space="preserve">metaphors for </w:t>
      </w:r>
      <w:r w:rsidR="009631B0">
        <w:rPr>
          <w:sz w:val="24"/>
          <w:szCs w:val="24"/>
        </w:rPr>
        <w:t>‘</w:t>
      </w:r>
      <w:r w:rsidR="00CB255F">
        <w:rPr>
          <w:sz w:val="24"/>
          <w:szCs w:val="24"/>
        </w:rPr>
        <w:t>d</w:t>
      </w:r>
      <w:r w:rsidR="009631B0">
        <w:rPr>
          <w:sz w:val="24"/>
          <w:szCs w:val="24"/>
        </w:rPr>
        <w:t>own’</w:t>
      </w:r>
      <w:r>
        <w:rPr>
          <w:sz w:val="24"/>
          <w:szCs w:val="24"/>
        </w:rPr>
        <w:t xml:space="preserve"> </w:t>
      </w:r>
      <w:r w:rsidR="00CB255F">
        <w:rPr>
          <w:sz w:val="24"/>
          <w:szCs w:val="24"/>
        </w:rPr>
        <w:t>will very often</w:t>
      </w:r>
      <w:r w:rsidR="00486096">
        <w:rPr>
          <w:sz w:val="24"/>
          <w:szCs w:val="24"/>
        </w:rPr>
        <w:t xml:space="preserve"> </w:t>
      </w:r>
      <w:r w:rsidR="00CB255F">
        <w:rPr>
          <w:sz w:val="24"/>
          <w:szCs w:val="24"/>
        </w:rPr>
        <w:t>signify</w:t>
      </w:r>
      <w:r w:rsidR="007A5B3B">
        <w:rPr>
          <w:sz w:val="24"/>
          <w:szCs w:val="24"/>
        </w:rPr>
        <w:t xml:space="preserve"> pejoratively</w:t>
      </w:r>
      <w:r w:rsidR="009631B0">
        <w:rPr>
          <w:sz w:val="24"/>
          <w:szCs w:val="24"/>
        </w:rPr>
        <w:t xml:space="preserve"> </w:t>
      </w:r>
      <w:r w:rsidR="00CB255F">
        <w:rPr>
          <w:sz w:val="24"/>
          <w:szCs w:val="24"/>
        </w:rPr>
        <w:t>in terms</w:t>
      </w:r>
      <w:r w:rsidR="009631B0">
        <w:rPr>
          <w:sz w:val="24"/>
          <w:szCs w:val="24"/>
        </w:rPr>
        <w:t xml:space="preserve"> of being </w:t>
      </w:r>
      <w:r w:rsidR="00CB255F">
        <w:rPr>
          <w:sz w:val="24"/>
          <w:szCs w:val="24"/>
        </w:rPr>
        <w:t xml:space="preserve">trapped, covered </w:t>
      </w:r>
      <w:r w:rsidR="00CB255F">
        <w:rPr>
          <w:sz w:val="24"/>
          <w:szCs w:val="24"/>
        </w:rPr>
        <w:lastRenderedPageBreak/>
        <w:t>or</w:t>
      </w:r>
      <w:r w:rsidR="00DD2655">
        <w:rPr>
          <w:sz w:val="24"/>
          <w:szCs w:val="24"/>
        </w:rPr>
        <w:t xml:space="preserve"> obscured</w:t>
      </w:r>
      <w:r>
        <w:rPr>
          <w:sz w:val="24"/>
          <w:szCs w:val="24"/>
        </w:rPr>
        <w:t>, bu</w:t>
      </w:r>
      <w:r w:rsidR="00C83792">
        <w:rPr>
          <w:sz w:val="24"/>
          <w:szCs w:val="24"/>
        </w:rPr>
        <w:t>t in other contexts</w:t>
      </w:r>
      <w:r>
        <w:rPr>
          <w:sz w:val="24"/>
          <w:szCs w:val="24"/>
        </w:rPr>
        <w:t xml:space="preserve"> may connote the opposite</w:t>
      </w:r>
      <w:r w:rsidR="00C83792">
        <w:rPr>
          <w:sz w:val="24"/>
          <w:szCs w:val="24"/>
        </w:rPr>
        <w:t xml:space="preserve"> (say, in circumstances where modesty is called for)</w:t>
      </w:r>
      <w:r>
        <w:rPr>
          <w:sz w:val="24"/>
          <w:szCs w:val="24"/>
        </w:rPr>
        <w:t>; t</w:t>
      </w:r>
      <w:r w:rsidR="00DD2655">
        <w:rPr>
          <w:sz w:val="24"/>
          <w:szCs w:val="24"/>
        </w:rPr>
        <w:t xml:space="preserve">he possibility of </w:t>
      </w:r>
      <w:r w:rsidR="003C4112" w:rsidRPr="003C4112">
        <w:rPr>
          <w:i/>
          <w:iCs/>
          <w:sz w:val="24"/>
          <w:szCs w:val="24"/>
        </w:rPr>
        <w:t xml:space="preserve">building </w:t>
      </w:r>
      <w:r w:rsidR="009631B0" w:rsidRPr="003C4112">
        <w:rPr>
          <w:i/>
          <w:iCs/>
          <w:sz w:val="24"/>
          <w:szCs w:val="24"/>
        </w:rPr>
        <w:t>up</w:t>
      </w:r>
      <w:r w:rsidR="009631B0">
        <w:rPr>
          <w:sz w:val="24"/>
          <w:szCs w:val="24"/>
        </w:rPr>
        <w:t xml:space="preserve"> </w:t>
      </w:r>
      <w:r w:rsidR="00DD2655">
        <w:rPr>
          <w:sz w:val="24"/>
          <w:szCs w:val="24"/>
        </w:rPr>
        <w:t xml:space="preserve">signals </w:t>
      </w:r>
      <w:r>
        <w:rPr>
          <w:sz w:val="24"/>
          <w:szCs w:val="24"/>
        </w:rPr>
        <w:t xml:space="preserve">ambition, aspiration and </w:t>
      </w:r>
      <w:r w:rsidR="00DD2655">
        <w:rPr>
          <w:sz w:val="24"/>
          <w:szCs w:val="24"/>
        </w:rPr>
        <w:t>a</w:t>
      </w:r>
      <w:r w:rsidR="00C83792">
        <w:rPr>
          <w:sz w:val="24"/>
          <w:szCs w:val="24"/>
        </w:rPr>
        <w:t>n heroic</w:t>
      </w:r>
      <w:r w:rsidR="00DD2655">
        <w:rPr>
          <w:sz w:val="24"/>
          <w:szCs w:val="24"/>
        </w:rPr>
        <w:t xml:space="preserve"> rebellion against gravity</w:t>
      </w:r>
      <w:r>
        <w:rPr>
          <w:sz w:val="24"/>
          <w:szCs w:val="24"/>
        </w:rPr>
        <w:t xml:space="preserve">, although again a focus </w:t>
      </w:r>
      <w:r w:rsidR="00CB255F" w:rsidRPr="00CB255F">
        <w:rPr>
          <w:i/>
          <w:iCs/>
          <w:sz w:val="24"/>
          <w:szCs w:val="24"/>
        </w:rPr>
        <w:t>down</w:t>
      </w:r>
      <w:r w:rsidR="00CB255F">
        <w:rPr>
          <w:sz w:val="24"/>
          <w:szCs w:val="24"/>
        </w:rPr>
        <w:t xml:space="preserve"> </w:t>
      </w:r>
      <w:r>
        <w:rPr>
          <w:sz w:val="24"/>
          <w:szCs w:val="24"/>
        </w:rPr>
        <w:t xml:space="preserve">on what </w:t>
      </w:r>
      <w:r>
        <w:rPr>
          <w:i/>
          <w:sz w:val="24"/>
          <w:szCs w:val="24"/>
        </w:rPr>
        <w:t>underlies</w:t>
      </w:r>
      <w:r>
        <w:rPr>
          <w:sz w:val="24"/>
          <w:szCs w:val="24"/>
        </w:rPr>
        <w:t xml:space="preserve"> a building can also signify positively in terms of connectedness, sensitivity to context and a sense of realism; container metaphors signify in terms of the desirability of </w:t>
      </w:r>
      <w:r w:rsidR="00486096" w:rsidRPr="00404C1F">
        <w:rPr>
          <w:i/>
          <w:sz w:val="24"/>
          <w:szCs w:val="24"/>
        </w:rPr>
        <w:t>getting out</w:t>
      </w:r>
      <w:r w:rsidR="00DD2655" w:rsidRPr="00404C1F">
        <w:rPr>
          <w:i/>
          <w:sz w:val="24"/>
          <w:szCs w:val="24"/>
        </w:rPr>
        <w:t xml:space="preserve"> of</w:t>
      </w:r>
      <w:r w:rsidR="00DD2655">
        <w:rPr>
          <w:sz w:val="24"/>
          <w:szCs w:val="24"/>
        </w:rPr>
        <w:t xml:space="preserve"> </w:t>
      </w:r>
      <w:r w:rsidR="00D01479">
        <w:rPr>
          <w:sz w:val="24"/>
          <w:szCs w:val="24"/>
        </w:rPr>
        <w:t>a</w:t>
      </w:r>
      <w:r w:rsidR="00DD2655">
        <w:rPr>
          <w:sz w:val="24"/>
          <w:szCs w:val="24"/>
        </w:rPr>
        <w:t xml:space="preserve"> </w:t>
      </w:r>
      <w:r w:rsidR="00CD7929">
        <w:rPr>
          <w:sz w:val="24"/>
          <w:szCs w:val="24"/>
        </w:rPr>
        <w:t>constraining situation</w:t>
      </w:r>
      <w:r>
        <w:rPr>
          <w:sz w:val="24"/>
          <w:szCs w:val="24"/>
        </w:rPr>
        <w:t xml:space="preserve"> but once more </w:t>
      </w:r>
      <w:r w:rsidR="00CB255F">
        <w:rPr>
          <w:sz w:val="24"/>
          <w:szCs w:val="24"/>
        </w:rPr>
        <w:t xml:space="preserve">being ‘outside’ </w:t>
      </w:r>
      <w:r>
        <w:rPr>
          <w:sz w:val="24"/>
          <w:szCs w:val="24"/>
        </w:rPr>
        <w:t xml:space="preserve">may </w:t>
      </w:r>
      <w:r w:rsidR="00CB255F">
        <w:rPr>
          <w:sz w:val="24"/>
          <w:szCs w:val="24"/>
        </w:rPr>
        <w:t xml:space="preserve">alternatively </w:t>
      </w:r>
      <w:r>
        <w:rPr>
          <w:sz w:val="24"/>
          <w:szCs w:val="24"/>
        </w:rPr>
        <w:t xml:space="preserve">signify negatively in terms of being </w:t>
      </w:r>
      <w:r w:rsidRPr="00404C1F">
        <w:rPr>
          <w:sz w:val="24"/>
          <w:szCs w:val="24"/>
        </w:rPr>
        <w:t>excluded</w:t>
      </w:r>
      <w:r>
        <w:rPr>
          <w:sz w:val="24"/>
          <w:szCs w:val="24"/>
        </w:rPr>
        <w:t xml:space="preserve"> or marginalised</w:t>
      </w:r>
      <w:r w:rsidR="007A5B3B">
        <w:rPr>
          <w:sz w:val="24"/>
          <w:szCs w:val="24"/>
        </w:rPr>
        <w:t xml:space="preserve">. </w:t>
      </w:r>
      <w:r>
        <w:rPr>
          <w:sz w:val="24"/>
          <w:szCs w:val="24"/>
        </w:rPr>
        <w:t>Therefore, the particular way around we find these metaphorical oppositions depend</w:t>
      </w:r>
      <w:r w:rsidR="00CB255F">
        <w:rPr>
          <w:sz w:val="24"/>
          <w:szCs w:val="24"/>
        </w:rPr>
        <w:t>s</w:t>
      </w:r>
      <w:r>
        <w:rPr>
          <w:sz w:val="24"/>
          <w:szCs w:val="24"/>
        </w:rPr>
        <w:t xml:space="preserve"> </w:t>
      </w:r>
      <w:r w:rsidR="00CB255F">
        <w:rPr>
          <w:sz w:val="24"/>
          <w:szCs w:val="24"/>
        </w:rPr>
        <w:t>largely on the particular sort</w:t>
      </w:r>
      <w:r>
        <w:rPr>
          <w:sz w:val="24"/>
          <w:szCs w:val="24"/>
        </w:rPr>
        <w:t xml:space="preserve"> of experience they draw on in any given instance. </w:t>
      </w:r>
      <w:r w:rsidR="00CB255F">
        <w:rPr>
          <w:sz w:val="24"/>
          <w:szCs w:val="24"/>
        </w:rPr>
        <w:t>In any case</w:t>
      </w:r>
      <w:r w:rsidR="00A94E4F">
        <w:rPr>
          <w:sz w:val="24"/>
          <w:szCs w:val="24"/>
        </w:rPr>
        <w:t xml:space="preserve">, </w:t>
      </w:r>
      <w:r w:rsidR="001254A2">
        <w:rPr>
          <w:sz w:val="24"/>
          <w:szCs w:val="24"/>
        </w:rPr>
        <w:t xml:space="preserve">they </w:t>
      </w:r>
      <w:r w:rsidR="00A94E4F">
        <w:rPr>
          <w:sz w:val="24"/>
          <w:szCs w:val="24"/>
        </w:rPr>
        <w:t xml:space="preserve">all </w:t>
      </w:r>
      <w:r w:rsidR="005E2EBE">
        <w:rPr>
          <w:sz w:val="24"/>
          <w:szCs w:val="24"/>
        </w:rPr>
        <w:t xml:space="preserve">implicitly prioritise the possibility of </w:t>
      </w:r>
      <w:r w:rsidR="00D01479">
        <w:rPr>
          <w:sz w:val="24"/>
          <w:szCs w:val="24"/>
        </w:rPr>
        <w:t>movement</w:t>
      </w:r>
      <w:r w:rsidR="005E2EBE">
        <w:rPr>
          <w:sz w:val="24"/>
          <w:szCs w:val="24"/>
        </w:rPr>
        <w:t xml:space="preserve"> as the actor desires, </w:t>
      </w:r>
      <w:r w:rsidR="00A94E4F">
        <w:rPr>
          <w:sz w:val="24"/>
          <w:szCs w:val="24"/>
        </w:rPr>
        <w:t xml:space="preserve">and </w:t>
      </w:r>
      <w:r w:rsidR="005E2EBE">
        <w:rPr>
          <w:sz w:val="24"/>
          <w:szCs w:val="24"/>
        </w:rPr>
        <w:t xml:space="preserve">in opposition to forced </w:t>
      </w:r>
      <w:r w:rsidR="00486096">
        <w:rPr>
          <w:sz w:val="24"/>
          <w:szCs w:val="24"/>
        </w:rPr>
        <w:t>inertia</w:t>
      </w:r>
      <w:r w:rsidR="005E2EBE">
        <w:rPr>
          <w:sz w:val="24"/>
          <w:szCs w:val="24"/>
        </w:rPr>
        <w:t xml:space="preserve"> and</w:t>
      </w:r>
      <w:r w:rsidR="00D01479">
        <w:rPr>
          <w:sz w:val="24"/>
          <w:szCs w:val="24"/>
        </w:rPr>
        <w:t xml:space="preserve"> force</w:t>
      </w:r>
      <w:r w:rsidR="007A5B3B">
        <w:rPr>
          <w:sz w:val="24"/>
          <w:szCs w:val="24"/>
        </w:rPr>
        <w:t xml:space="preserve">s that </w:t>
      </w:r>
      <w:r w:rsidR="00420343">
        <w:rPr>
          <w:sz w:val="24"/>
          <w:szCs w:val="24"/>
        </w:rPr>
        <w:t xml:space="preserve">in some sense </w:t>
      </w:r>
      <w:r w:rsidR="007A5B3B">
        <w:rPr>
          <w:sz w:val="24"/>
          <w:szCs w:val="24"/>
        </w:rPr>
        <w:t>constrain, weigh</w:t>
      </w:r>
      <w:r w:rsidR="001254A2">
        <w:rPr>
          <w:sz w:val="24"/>
          <w:szCs w:val="24"/>
        </w:rPr>
        <w:t xml:space="preserve">, oppress </w:t>
      </w:r>
      <w:r w:rsidR="007A5B3B">
        <w:rPr>
          <w:sz w:val="24"/>
          <w:szCs w:val="24"/>
        </w:rPr>
        <w:t>or drag</w:t>
      </w:r>
      <w:r w:rsidR="00D01479">
        <w:rPr>
          <w:sz w:val="24"/>
          <w:szCs w:val="24"/>
        </w:rPr>
        <w:t>.</w:t>
      </w:r>
    </w:p>
    <w:p w14:paraId="276269D6" w14:textId="77777777" w:rsidR="00A94E4F" w:rsidRDefault="00A94E4F" w:rsidP="00ED6844">
      <w:pPr>
        <w:tabs>
          <w:tab w:val="left" w:pos="560"/>
          <w:tab w:val="left" w:pos="3828"/>
        </w:tabs>
        <w:spacing w:after="0" w:line="480" w:lineRule="auto"/>
        <w:rPr>
          <w:sz w:val="24"/>
          <w:szCs w:val="24"/>
        </w:rPr>
      </w:pPr>
    </w:p>
    <w:p w14:paraId="041EEC4B" w14:textId="6432672C" w:rsidR="00A94E4F" w:rsidRPr="00A94E4F" w:rsidRDefault="00A94E4F" w:rsidP="00ED6844">
      <w:pPr>
        <w:tabs>
          <w:tab w:val="left" w:pos="560"/>
          <w:tab w:val="left" w:pos="3828"/>
        </w:tabs>
        <w:spacing w:after="0" w:line="480" w:lineRule="auto"/>
        <w:rPr>
          <w:i/>
          <w:sz w:val="24"/>
          <w:szCs w:val="24"/>
        </w:rPr>
      </w:pPr>
      <w:r>
        <w:rPr>
          <w:i/>
          <w:sz w:val="24"/>
          <w:szCs w:val="24"/>
        </w:rPr>
        <w:t xml:space="preserve">2.1. Encumbrance/escape as a </w:t>
      </w:r>
      <w:r w:rsidRPr="00B12989">
        <w:rPr>
          <w:i/>
          <w:sz w:val="24"/>
          <w:szCs w:val="24"/>
        </w:rPr>
        <w:t xml:space="preserve">living literary </w:t>
      </w:r>
      <w:r w:rsidR="00B12989" w:rsidRPr="00B12989">
        <w:rPr>
          <w:i/>
          <w:sz w:val="24"/>
          <w:szCs w:val="24"/>
        </w:rPr>
        <w:t>and</w:t>
      </w:r>
      <w:r w:rsidR="00B12989">
        <w:rPr>
          <w:i/>
          <w:sz w:val="24"/>
          <w:szCs w:val="24"/>
        </w:rPr>
        <w:t xml:space="preserve"> cultural </w:t>
      </w:r>
      <w:r>
        <w:rPr>
          <w:i/>
          <w:sz w:val="24"/>
          <w:szCs w:val="24"/>
        </w:rPr>
        <w:t>metaphor</w:t>
      </w:r>
    </w:p>
    <w:p w14:paraId="089CD834" w14:textId="77777777" w:rsidR="00A94E4F" w:rsidRDefault="00A94E4F" w:rsidP="00ED6844">
      <w:pPr>
        <w:tabs>
          <w:tab w:val="left" w:pos="560"/>
          <w:tab w:val="left" w:pos="3828"/>
        </w:tabs>
        <w:spacing w:after="0" w:line="480" w:lineRule="auto"/>
        <w:rPr>
          <w:sz w:val="24"/>
          <w:szCs w:val="24"/>
        </w:rPr>
      </w:pPr>
    </w:p>
    <w:p w14:paraId="1B8C0EC2" w14:textId="2F461966" w:rsidR="00B264AF" w:rsidRDefault="00A94E4F" w:rsidP="00114ED2">
      <w:pPr>
        <w:tabs>
          <w:tab w:val="left" w:pos="560"/>
          <w:tab w:val="left" w:pos="3828"/>
        </w:tabs>
        <w:spacing w:after="0" w:line="480" w:lineRule="auto"/>
        <w:rPr>
          <w:sz w:val="24"/>
          <w:szCs w:val="24"/>
        </w:rPr>
      </w:pPr>
      <w:r>
        <w:rPr>
          <w:sz w:val="24"/>
          <w:szCs w:val="24"/>
        </w:rPr>
        <w:t xml:space="preserve">Understanding metaphors of justice in literature </w:t>
      </w:r>
      <w:r w:rsidR="00B12989">
        <w:rPr>
          <w:sz w:val="24"/>
          <w:szCs w:val="24"/>
        </w:rPr>
        <w:t xml:space="preserve">and culture </w:t>
      </w:r>
      <w:r>
        <w:rPr>
          <w:sz w:val="24"/>
          <w:szCs w:val="24"/>
        </w:rPr>
        <w:t xml:space="preserve">requires us in the first place to </w:t>
      </w:r>
      <w:r w:rsidR="00D45031">
        <w:rPr>
          <w:sz w:val="24"/>
          <w:szCs w:val="24"/>
        </w:rPr>
        <w:t xml:space="preserve">observe </w:t>
      </w:r>
      <w:r w:rsidR="00142E29">
        <w:rPr>
          <w:sz w:val="24"/>
          <w:szCs w:val="24"/>
        </w:rPr>
        <w:t>how</w:t>
      </w:r>
      <w:r>
        <w:rPr>
          <w:sz w:val="24"/>
          <w:szCs w:val="24"/>
        </w:rPr>
        <w:t xml:space="preserve"> broader evaluative and moral n</w:t>
      </w:r>
      <w:r w:rsidR="005E2EBE">
        <w:rPr>
          <w:sz w:val="24"/>
          <w:szCs w:val="24"/>
        </w:rPr>
        <w:t>otions of freedom, hope and possibility</w:t>
      </w:r>
      <w:r w:rsidR="00142E29">
        <w:rPr>
          <w:sz w:val="24"/>
          <w:szCs w:val="24"/>
        </w:rPr>
        <w:t xml:space="preserve"> are conceptualised</w:t>
      </w:r>
      <w:r>
        <w:rPr>
          <w:sz w:val="24"/>
          <w:szCs w:val="24"/>
        </w:rPr>
        <w:t>. These</w:t>
      </w:r>
      <w:r w:rsidR="005E2EBE">
        <w:rPr>
          <w:sz w:val="24"/>
          <w:szCs w:val="24"/>
        </w:rPr>
        <w:t xml:space="preserve"> </w:t>
      </w:r>
      <w:r w:rsidR="00142E29">
        <w:rPr>
          <w:sz w:val="24"/>
          <w:szCs w:val="24"/>
        </w:rPr>
        <w:t xml:space="preserve">concepts </w:t>
      </w:r>
      <w:r w:rsidR="005E2EBE">
        <w:rPr>
          <w:sz w:val="24"/>
          <w:szCs w:val="24"/>
        </w:rPr>
        <w:t xml:space="preserve">have traditionally been </w:t>
      </w:r>
      <w:r w:rsidR="003A0F21">
        <w:rPr>
          <w:sz w:val="24"/>
          <w:szCs w:val="24"/>
        </w:rPr>
        <w:t>associated with</w:t>
      </w:r>
      <w:r w:rsidR="005E2EBE">
        <w:rPr>
          <w:sz w:val="24"/>
          <w:szCs w:val="24"/>
        </w:rPr>
        <w:t xml:space="preserve"> </w:t>
      </w:r>
      <w:r w:rsidR="00BE4092">
        <w:rPr>
          <w:sz w:val="24"/>
          <w:szCs w:val="24"/>
        </w:rPr>
        <w:t xml:space="preserve">natural phenomena such as </w:t>
      </w:r>
      <w:r w:rsidR="005E2EBE">
        <w:rPr>
          <w:sz w:val="24"/>
          <w:szCs w:val="24"/>
        </w:rPr>
        <w:t>the</w:t>
      </w:r>
      <w:r w:rsidR="00852C44">
        <w:rPr>
          <w:sz w:val="24"/>
          <w:szCs w:val="24"/>
        </w:rPr>
        <w:t xml:space="preserve"> </w:t>
      </w:r>
      <w:r w:rsidR="00852C44" w:rsidRPr="00D45031">
        <w:rPr>
          <w:sz w:val="24"/>
          <w:szCs w:val="24"/>
        </w:rPr>
        <w:t>sky</w:t>
      </w:r>
      <w:r w:rsidR="00A74EF2">
        <w:rPr>
          <w:sz w:val="24"/>
          <w:szCs w:val="24"/>
        </w:rPr>
        <w:t xml:space="preserve"> </w:t>
      </w:r>
      <w:r w:rsidR="005E2EBE">
        <w:rPr>
          <w:sz w:val="24"/>
          <w:szCs w:val="24"/>
        </w:rPr>
        <w:t xml:space="preserve">(in the possibility of movement through three </w:t>
      </w:r>
      <w:r w:rsidR="00553A5A">
        <w:rPr>
          <w:sz w:val="24"/>
          <w:szCs w:val="24"/>
        </w:rPr>
        <w:t>dimensions</w:t>
      </w:r>
      <w:r w:rsidR="005E2EBE">
        <w:rPr>
          <w:sz w:val="24"/>
          <w:szCs w:val="24"/>
        </w:rPr>
        <w:t xml:space="preserve">) </w:t>
      </w:r>
      <w:r w:rsidR="00A74EF2">
        <w:rPr>
          <w:sz w:val="24"/>
          <w:szCs w:val="24"/>
        </w:rPr>
        <w:t xml:space="preserve">and the </w:t>
      </w:r>
      <w:r w:rsidR="00A74EF2" w:rsidRPr="00D45031">
        <w:rPr>
          <w:sz w:val="24"/>
          <w:szCs w:val="24"/>
        </w:rPr>
        <w:t>horizon</w:t>
      </w:r>
      <w:r w:rsidR="00142E29">
        <w:rPr>
          <w:sz w:val="24"/>
          <w:szCs w:val="24"/>
        </w:rPr>
        <w:t xml:space="preserve"> </w:t>
      </w:r>
      <w:r w:rsidR="004D006B">
        <w:rPr>
          <w:sz w:val="24"/>
          <w:szCs w:val="24"/>
        </w:rPr>
        <w:t>as the visual limit of the experienced world</w:t>
      </w:r>
      <w:r w:rsidR="00553A5A">
        <w:rPr>
          <w:sz w:val="24"/>
          <w:szCs w:val="24"/>
        </w:rPr>
        <w:t xml:space="preserve"> and</w:t>
      </w:r>
      <w:r w:rsidR="00D45031">
        <w:rPr>
          <w:sz w:val="24"/>
          <w:szCs w:val="24"/>
        </w:rPr>
        <w:t>, in the east,</w:t>
      </w:r>
      <w:r w:rsidR="00553A5A">
        <w:rPr>
          <w:sz w:val="24"/>
          <w:szCs w:val="24"/>
        </w:rPr>
        <w:t xml:space="preserve"> the location of the rising sun</w:t>
      </w:r>
      <w:r w:rsidR="00852C44">
        <w:rPr>
          <w:sz w:val="24"/>
          <w:szCs w:val="24"/>
        </w:rPr>
        <w:t xml:space="preserve">. </w:t>
      </w:r>
      <w:r w:rsidR="00553A5A">
        <w:rPr>
          <w:sz w:val="24"/>
          <w:szCs w:val="24"/>
        </w:rPr>
        <w:t>Th</w:t>
      </w:r>
      <w:r w:rsidR="00BE4092">
        <w:rPr>
          <w:sz w:val="24"/>
          <w:szCs w:val="24"/>
        </w:rPr>
        <w:t xml:space="preserve">is </w:t>
      </w:r>
      <w:r w:rsidR="00142E29">
        <w:rPr>
          <w:sz w:val="24"/>
          <w:szCs w:val="24"/>
        </w:rPr>
        <w:t xml:space="preserve">particular </w:t>
      </w:r>
      <w:r w:rsidR="00BE4092">
        <w:rPr>
          <w:sz w:val="24"/>
          <w:szCs w:val="24"/>
        </w:rPr>
        <w:t xml:space="preserve">marriage of the abstract and </w:t>
      </w:r>
      <w:r w:rsidR="00142E29">
        <w:rPr>
          <w:sz w:val="24"/>
          <w:szCs w:val="24"/>
        </w:rPr>
        <w:t xml:space="preserve">the </w:t>
      </w:r>
      <w:r w:rsidR="00BE4092">
        <w:rPr>
          <w:sz w:val="24"/>
          <w:szCs w:val="24"/>
        </w:rPr>
        <w:t xml:space="preserve">physical </w:t>
      </w:r>
      <w:r w:rsidR="00F94152">
        <w:rPr>
          <w:sz w:val="24"/>
          <w:szCs w:val="24"/>
        </w:rPr>
        <w:t xml:space="preserve">is </w:t>
      </w:r>
      <w:r w:rsidR="00AC25BA">
        <w:rPr>
          <w:sz w:val="24"/>
          <w:szCs w:val="24"/>
        </w:rPr>
        <w:t xml:space="preserve">traceable </w:t>
      </w:r>
      <w:r w:rsidR="00BE4092">
        <w:rPr>
          <w:sz w:val="24"/>
          <w:szCs w:val="24"/>
        </w:rPr>
        <w:t xml:space="preserve">in western culture </w:t>
      </w:r>
      <w:r w:rsidR="00AC25BA">
        <w:rPr>
          <w:sz w:val="24"/>
          <w:szCs w:val="24"/>
        </w:rPr>
        <w:t>at least as far as</w:t>
      </w:r>
      <w:r w:rsidR="005B3038">
        <w:rPr>
          <w:sz w:val="24"/>
          <w:szCs w:val="24"/>
        </w:rPr>
        <w:t xml:space="preserve"> the </w:t>
      </w:r>
      <w:r w:rsidR="007F10AF">
        <w:rPr>
          <w:sz w:val="24"/>
          <w:szCs w:val="24"/>
        </w:rPr>
        <w:t>sky-god of the Palaeolithic age</w:t>
      </w:r>
      <w:r w:rsidR="0019338F" w:rsidRPr="004A6696">
        <w:rPr>
          <w:rStyle w:val="FootnoteReference"/>
        </w:rPr>
        <w:footnoteReference w:id="15"/>
      </w:r>
      <w:r w:rsidR="00F94152">
        <w:rPr>
          <w:sz w:val="24"/>
          <w:szCs w:val="24"/>
        </w:rPr>
        <w:t>; it</w:t>
      </w:r>
      <w:r w:rsidR="00553A5A">
        <w:rPr>
          <w:sz w:val="24"/>
          <w:szCs w:val="24"/>
        </w:rPr>
        <w:t xml:space="preserve"> </w:t>
      </w:r>
      <w:r w:rsidR="00AC25BA">
        <w:rPr>
          <w:sz w:val="24"/>
          <w:szCs w:val="24"/>
        </w:rPr>
        <w:t xml:space="preserve">dominated </w:t>
      </w:r>
      <w:r w:rsidR="00A74EF2">
        <w:rPr>
          <w:sz w:val="24"/>
          <w:szCs w:val="24"/>
        </w:rPr>
        <w:t xml:space="preserve">medieval </w:t>
      </w:r>
      <w:r w:rsidR="00AC25BA">
        <w:rPr>
          <w:sz w:val="24"/>
          <w:szCs w:val="24"/>
        </w:rPr>
        <w:t>thought</w:t>
      </w:r>
      <w:r w:rsidR="00F94152">
        <w:rPr>
          <w:sz w:val="24"/>
          <w:szCs w:val="24"/>
        </w:rPr>
        <w:t xml:space="preserve">, as </w:t>
      </w:r>
      <w:r w:rsidR="004D006B">
        <w:rPr>
          <w:sz w:val="24"/>
          <w:szCs w:val="24"/>
        </w:rPr>
        <w:t xml:space="preserve">mapped out in the </w:t>
      </w:r>
      <w:r w:rsidR="00114ED2">
        <w:rPr>
          <w:sz w:val="24"/>
          <w:szCs w:val="24"/>
        </w:rPr>
        <w:t xml:space="preserve">vertical </w:t>
      </w:r>
      <w:r w:rsidR="00A74EF2">
        <w:rPr>
          <w:sz w:val="24"/>
          <w:szCs w:val="24"/>
        </w:rPr>
        <w:t>s</w:t>
      </w:r>
      <w:r w:rsidR="004D006B">
        <w:rPr>
          <w:sz w:val="24"/>
          <w:szCs w:val="24"/>
        </w:rPr>
        <w:t>tructure of</w:t>
      </w:r>
      <w:r w:rsidR="005B3038">
        <w:rPr>
          <w:sz w:val="24"/>
          <w:szCs w:val="24"/>
        </w:rPr>
        <w:t xml:space="preserve"> </w:t>
      </w:r>
      <w:r w:rsidR="00BE4092">
        <w:rPr>
          <w:sz w:val="24"/>
          <w:szCs w:val="24"/>
        </w:rPr>
        <w:t>earth</w:t>
      </w:r>
      <w:r w:rsidR="00114ED2">
        <w:rPr>
          <w:sz w:val="24"/>
          <w:szCs w:val="24"/>
        </w:rPr>
        <w:t xml:space="preserve"> and</w:t>
      </w:r>
      <w:r w:rsidR="00BE4092">
        <w:rPr>
          <w:sz w:val="24"/>
          <w:szCs w:val="24"/>
        </w:rPr>
        <w:t xml:space="preserve"> Heaven depicted in </w:t>
      </w:r>
      <w:r w:rsidR="0019338F">
        <w:rPr>
          <w:sz w:val="24"/>
          <w:szCs w:val="24"/>
        </w:rPr>
        <w:t xml:space="preserve">Dante’s </w:t>
      </w:r>
      <w:r w:rsidR="0019338F">
        <w:rPr>
          <w:i/>
          <w:iCs/>
          <w:sz w:val="24"/>
          <w:szCs w:val="24"/>
        </w:rPr>
        <w:t xml:space="preserve">The Divine </w:t>
      </w:r>
      <w:r w:rsidR="0019338F">
        <w:rPr>
          <w:i/>
          <w:iCs/>
          <w:sz w:val="24"/>
          <w:szCs w:val="24"/>
        </w:rPr>
        <w:lastRenderedPageBreak/>
        <w:t>Comedy</w:t>
      </w:r>
      <w:r w:rsidR="0019338F" w:rsidRPr="004A6696">
        <w:rPr>
          <w:rStyle w:val="FootnoteReference"/>
        </w:rPr>
        <w:footnoteReference w:id="16"/>
      </w:r>
      <w:r w:rsidR="0019338F">
        <w:rPr>
          <w:i/>
          <w:iCs/>
          <w:sz w:val="24"/>
          <w:szCs w:val="24"/>
        </w:rPr>
        <w:t xml:space="preserve"> </w:t>
      </w:r>
      <w:r w:rsidR="00F94152">
        <w:rPr>
          <w:iCs/>
          <w:sz w:val="24"/>
          <w:szCs w:val="24"/>
        </w:rPr>
        <w:t xml:space="preserve">and </w:t>
      </w:r>
      <w:r>
        <w:rPr>
          <w:iCs/>
          <w:sz w:val="24"/>
          <w:szCs w:val="24"/>
        </w:rPr>
        <w:t xml:space="preserve">is </w:t>
      </w:r>
      <w:r w:rsidR="00F94152">
        <w:rPr>
          <w:iCs/>
          <w:sz w:val="24"/>
          <w:szCs w:val="24"/>
        </w:rPr>
        <w:t xml:space="preserve">reflected </w:t>
      </w:r>
      <w:r w:rsidR="00BE4092">
        <w:rPr>
          <w:iCs/>
          <w:sz w:val="24"/>
          <w:szCs w:val="24"/>
        </w:rPr>
        <w:t xml:space="preserve">also </w:t>
      </w:r>
      <w:r w:rsidR="003A0F21">
        <w:rPr>
          <w:iCs/>
          <w:sz w:val="24"/>
          <w:szCs w:val="24"/>
        </w:rPr>
        <w:t xml:space="preserve">in </w:t>
      </w:r>
      <w:r w:rsidR="00F94152">
        <w:rPr>
          <w:iCs/>
          <w:sz w:val="24"/>
          <w:szCs w:val="24"/>
        </w:rPr>
        <w:t>gothic</w:t>
      </w:r>
      <w:r w:rsidR="00BE4092">
        <w:rPr>
          <w:iCs/>
          <w:sz w:val="24"/>
          <w:szCs w:val="24"/>
        </w:rPr>
        <w:t xml:space="preserve"> ecclesiastical </w:t>
      </w:r>
      <w:r w:rsidR="00F94152">
        <w:rPr>
          <w:iCs/>
          <w:sz w:val="24"/>
          <w:szCs w:val="24"/>
        </w:rPr>
        <w:t>architectur</w:t>
      </w:r>
      <w:r w:rsidR="00114ED2">
        <w:rPr>
          <w:iCs/>
          <w:sz w:val="24"/>
          <w:szCs w:val="24"/>
        </w:rPr>
        <w:t>e with</w:t>
      </w:r>
      <w:r w:rsidR="00F94152">
        <w:rPr>
          <w:iCs/>
          <w:sz w:val="24"/>
          <w:szCs w:val="24"/>
        </w:rPr>
        <w:t xml:space="preserve"> </w:t>
      </w:r>
      <w:r w:rsidR="0019338F">
        <w:rPr>
          <w:sz w:val="24"/>
          <w:szCs w:val="24"/>
        </w:rPr>
        <w:t>spires soaring</w:t>
      </w:r>
      <w:r w:rsidR="0019338F" w:rsidRPr="001E0157">
        <w:rPr>
          <w:sz w:val="24"/>
          <w:szCs w:val="24"/>
        </w:rPr>
        <w:t xml:space="preserve"> precipitously skyward and </w:t>
      </w:r>
      <w:r w:rsidR="00114ED2">
        <w:rPr>
          <w:sz w:val="24"/>
          <w:szCs w:val="24"/>
        </w:rPr>
        <w:t xml:space="preserve">grand east </w:t>
      </w:r>
      <w:r w:rsidR="0019338F" w:rsidRPr="001E0157">
        <w:rPr>
          <w:sz w:val="24"/>
          <w:szCs w:val="24"/>
        </w:rPr>
        <w:t>windows</w:t>
      </w:r>
      <w:r w:rsidR="00A93213">
        <w:rPr>
          <w:sz w:val="24"/>
          <w:szCs w:val="24"/>
        </w:rPr>
        <w:t>.</w:t>
      </w:r>
      <w:r w:rsidR="0019338F" w:rsidRPr="004A6696">
        <w:rPr>
          <w:rStyle w:val="FootnoteReference"/>
        </w:rPr>
        <w:footnoteReference w:id="17"/>
      </w:r>
      <w:r w:rsidR="00F94152">
        <w:rPr>
          <w:sz w:val="24"/>
          <w:szCs w:val="24"/>
        </w:rPr>
        <w:t xml:space="preserve"> </w:t>
      </w:r>
      <w:r w:rsidR="00A93213">
        <w:rPr>
          <w:sz w:val="24"/>
          <w:szCs w:val="24"/>
        </w:rPr>
        <w:t>M</w:t>
      </w:r>
      <w:r w:rsidR="00F94152">
        <w:rPr>
          <w:sz w:val="24"/>
          <w:szCs w:val="24"/>
        </w:rPr>
        <w:t>odern idiom</w:t>
      </w:r>
      <w:r w:rsidR="00931798">
        <w:rPr>
          <w:sz w:val="24"/>
          <w:szCs w:val="24"/>
        </w:rPr>
        <w:t xml:space="preserve">s in which we </w:t>
      </w:r>
      <w:r w:rsidR="00F94152">
        <w:rPr>
          <w:sz w:val="24"/>
          <w:szCs w:val="24"/>
        </w:rPr>
        <w:t>speak of ‘new hori</w:t>
      </w:r>
      <w:r w:rsidR="00931798">
        <w:rPr>
          <w:sz w:val="24"/>
          <w:szCs w:val="24"/>
        </w:rPr>
        <w:t xml:space="preserve">zons’, a ‘new dawn’, ‘brilliant’ ideas and ‘blue-sky’ thinking derive intelligibility from </w:t>
      </w:r>
      <w:r w:rsidR="003A0F21">
        <w:rPr>
          <w:sz w:val="24"/>
          <w:szCs w:val="24"/>
        </w:rPr>
        <w:t>comparable</w:t>
      </w:r>
      <w:r w:rsidR="00931798">
        <w:rPr>
          <w:sz w:val="24"/>
          <w:szCs w:val="24"/>
        </w:rPr>
        <w:t xml:space="preserve"> associations.</w:t>
      </w:r>
    </w:p>
    <w:p w14:paraId="5CB7C832" w14:textId="401ED8B3" w:rsidR="00B12989" w:rsidRPr="001E0157" w:rsidRDefault="00B264AF" w:rsidP="00A93BF1">
      <w:pPr>
        <w:tabs>
          <w:tab w:val="left" w:pos="560"/>
          <w:tab w:val="left" w:pos="3828"/>
        </w:tabs>
        <w:spacing w:after="0" w:line="480" w:lineRule="auto"/>
        <w:rPr>
          <w:sz w:val="24"/>
          <w:szCs w:val="24"/>
        </w:rPr>
      </w:pPr>
      <w:r>
        <w:rPr>
          <w:sz w:val="24"/>
          <w:szCs w:val="24"/>
        </w:rPr>
        <w:tab/>
      </w:r>
      <w:r w:rsidR="00B12989">
        <w:rPr>
          <w:sz w:val="24"/>
          <w:szCs w:val="24"/>
        </w:rPr>
        <w:t xml:space="preserve">The same symbolic repertoire relating to the sky and </w:t>
      </w:r>
      <w:r w:rsidR="00142E29">
        <w:rPr>
          <w:sz w:val="24"/>
          <w:szCs w:val="24"/>
        </w:rPr>
        <w:t xml:space="preserve">to </w:t>
      </w:r>
      <w:r w:rsidR="00B12989">
        <w:rPr>
          <w:sz w:val="24"/>
          <w:szCs w:val="24"/>
        </w:rPr>
        <w:t xml:space="preserve">light has found its way also into </w:t>
      </w:r>
      <w:r w:rsidR="00B12989">
        <w:rPr>
          <w:i/>
          <w:sz w:val="24"/>
          <w:szCs w:val="24"/>
        </w:rPr>
        <w:t>legal</w:t>
      </w:r>
      <w:r w:rsidR="00B12989">
        <w:rPr>
          <w:sz w:val="24"/>
          <w:szCs w:val="24"/>
        </w:rPr>
        <w:t xml:space="preserve"> architecture, and </w:t>
      </w:r>
      <w:r w:rsidR="00A93213">
        <w:rPr>
          <w:sz w:val="24"/>
          <w:szCs w:val="24"/>
        </w:rPr>
        <w:t xml:space="preserve">is </w:t>
      </w:r>
      <w:r w:rsidR="00A93213" w:rsidRPr="001E0157">
        <w:rPr>
          <w:sz w:val="24"/>
          <w:szCs w:val="24"/>
        </w:rPr>
        <w:t>reflected in</w:t>
      </w:r>
      <w:r w:rsidR="00A93213">
        <w:rPr>
          <w:sz w:val="24"/>
          <w:szCs w:val="24"/>
        </w:rPr>
        <w:t xml:space="preserve"> the various epochs of that ‘staging’ of legal hearings, trials and judgments.</w:t>
      </w:r>
      <w:r w:rsidR="00B12989" w:rsidRPr="004A6696">
        <w:rPr>
          <w:rStyle w:val="FootnoteReference"/>
        </w:rPr>
        <w:footnoteReference w:id="18"/>
      </w:r>
      <w:r w:rsidR="00B12989">
        <w:rPr>
          <w:sz w:val="24"/>
          <w:szCs w:val="24"/>
        </w:rPr>
        <w:t xml:space="preserve"> For example, communities </w:t>
      </w:r>
      <w:r w:rsidR="00B12989" w:rsidRPr="001E0157">
        <w:rPr>
          <w:sz w:val="24"/>
          <w:szCs w:val="24"/>
        </w:rPr>
        <w:t xml:space="preserve">of ancient Britain </w:t>
      </w:r>
      <w:r w:rsidR="00B12989">
        <w:rPr>
          <w:sz w:val="24"/>
          <w:szCs w:val="24"/>
        </w:rPr>
        <w:t>seem to have interpreted the importance of light an openness literally, with courts</w:t>
      </w:r>
      <w:r w:rsidR="00B12989" w:rsidRPr="001E0157">
        <w:rPr>
          <w:sz w:val="24"/>
          <w:szCs w:val="24"/>
        </w:rPr>
        <w:t xml:space="preserve"> believed to have </w:t>
      </w:r>
      <w:r w:rsidR="00B12989">
        <w:rPr>
          <w:sz w:val="24"/>
          <w:szCs w:val="24"/>
        </w:rPr>
        <w:t>been</w:t>
      </w:r>
      <w:r w:rsidR="00B12989" w:rsidRPr="001E0157">
        <w:rPr>
          <w:sz w:val="24"/>
          <w:szCs w:val="24"/>
        </w:rPr>
        <w:t xml:space="preserve"> conducted outside, sometimes on a hill or near a tall tree – ‘in the sight of God. … literally as well as metaphorically “open”...’.</w:t>
      </w:r>
      <w:r w:rsidR="00B12989" w:rsidRPr="004A6696">
        <w:rPr>
          <w:rStyle w:val="FootnoteReference"/>
        </w:rPr>
        <w:footnoteReference w:id="19"/>
      </w:r>
      <w:r w:rsidR="00B12989" w:rsidRPr="001E0157">
        <w:rPr>
          <w:sz w:val="24"/>
          <w:szCs w:val="24"/>
        </w:rPr>
        <w:t xml:space="preserve"> </w:t>
      </w:r>
      <w:r w:rsidR="00B12989">
        <w:rPr>
          <w:sz w:val="24"/>
          <w:szCs w:val="24"/>
        </w:rPr>
        <w:t>T</w:t>
      </w:r>
      <w:r w:rsidR="00B12989" w:rsidRPr="001E0157">
        <w:rPr>
          <w:sz w:val="24"/>
          <w:szCs w:val="24"/>
        </w:rPr>
        <w:t xml:space="preserve">raditional ‘Greek revival’ </w:t>
      </w:r>
      <w:r w:rsidR="00B12989">
        <w:rPr>
          <w:sz w:val="24"/>
          <w:szCs w:val="24"/>
        </w:rPr>
        <w:t xml:space="preserve">law buildings </w:t>
      </w:r>
      <w:r w:rsidR="00B12989" w:rsidRPr="001E0157">
        <w:rPr>
          <w:sz w:val="24"/>
          <w:szCs w:val="24"/>
        </w:rPr>
        <w:t xml:space="preserve">of the newly independent United States were </w:t>
      </w:r>
      <w:r w:rsidR="00A93BF1">
        <w:rPr>
          <w:sz w:val="24"/>
          <w:szCs w:val="24"/>
        </w:rPr>
        <w:t xml:space="preserve">in their turn </w:t>
      </w:r>
      <w:r w:rsidR="00B12989" w:rsidRPr="001E0157">
        <w:rPr>
          <w:sz w:val="24"/>
          <w:szCs w:val="24"/>
        </w:rPr>
        <w:t>designed to reflect the ‘openness and lightness’ of the foundational values of democracy and republicanism.</w:t>
      </w:r>
      <w:r w:rsidR="00B12989" w:rsidRPr="004A6696">
        <w:rPr>
          <w:rStyle w:val="FootnoteReference"/>
        </w:rPr>
        <w:footnoteReference w:id="20"/>
      </w:r>
      <w:r w:rsidR="00B12989" w:rsidRPr="001E0157">
        <w:rPr>
          <w:sz w:val="24"/>
          <w:szCs w:val="24"/>
        </w:rPr>
        <w:t xml:space="preserve"> More recently, the simultaneously literal and symbolic </w:t>
      </w:r>
      <w:r w:rsidR="00B12989" w:rsidRPr="001E0157">
        <w:rPr>
          <w:i/>
          <w:iCs/>
          <w:sz w:val="24"/>
          <w:szCs w:val="24"/>
        </w:rPr>
        <w:t>transparency</w:t>
      </w:r>
      <w:r w:rsidR="00B12989" w:rsidRPr="001E0157">
        <w:rPr>
          <w:sz w:val="24"/>
          <w:szCs w:val="24"/>
        </w:rPr>
        <w:t xml:space="preserve"> of the spectacular glass-walled modern palaces of justice in Europe and Asia goes some way to recreating the impact and ambition of the high gothic era </w:t>
      </w:r>
      <w:r w:rsidR="00B12989">
        <w:rPr>
          <w:sz w:val="24"/>
          <w:szCs w:val="24"/>
        </w:rPr>
        <w:t>cathedral</w:t>
      </w:r>
      <w:r w:rsidR="00B12989" w:rsidRPr="001E0157">
        <w:rPr>
          <w:sz w:val="24"/>
          <w:szCs w:val="24"/>
        </w:rPr>
        <w:t xml:space="preserve"> architects in their expression of </w:t>
      </w:r>
      <w:r w:rsidR="00B12989">
        <w:rPr>
          <w:sz w:val="24"/>
          <w:szCs w:val="24"/>
        </w:rPr>
        <w:t>the</w:t>
      </w:r>
      <w:r w:rsidR="00B12989" w:rsidRPr="001E0157">
        <w:rPr>
          <w:sz w:val="24"/>
          <w:szCs w:val="24"/>
        </w:rPr>
        <w:t xml:space="preserve"> </w:t>
      </w:r>
      <w:r w:rsidR="00B12989">
        <w:rPr>
          <w:sz w:val="24"/>
          <w:szCs w:val="24"/>
        </w:rPr>
        <w:t>desire to signify beyond earthly constraints and compromises to higher ideals</w:t>
      </w:r>
      <w:r w:rsidR="00B12989" w:rsidRPr="001E0157">
        <w:rPr>
          <w:sz w:val="24"/>
          <w:szCs w:val="24"/>
        </w:rPr>
        <w:t>.</w:t>
      </w:r>
      <w:r w:rsidR="00B12989" w:rsidRPr="004A6696">
        <w:rPr>
          <w:rStyle w:val="FootnoteReference"/>
        </w:rPr>
        <w:footnoteReference w:id="21"/>
      </w:r>
      <w:r w:rsidR="00B12989" w:rsidRPr="001E0157">
        <w:rPr>
          <w:sz w:val="24"/>
          <w:szCs w:val="24"/>
        </w:rPr>
        <w:t xml:space="preserve"> Inside courtrooms today, we may </w:t>
      </w:r>
      <w:r w:rsidR="00B12989" w:rsidRPr="001E0157">
        <w:rPr>
          <w:sz w:val="24"/>
          <w:szCs w:val="24"/>
        </w:rPr>
        <w:lastRenderedPageBreak/>
        <w:t>typically find a separation between its highest official and others: the judge’s bench occupying an elevated position,</w:t>
      </w:r>
      <w:r w:rsidR="00B12989" w:rsidRPr="004A6696">
        <w:rPr>
          <w:rStyle w:val="FootnoteReference"/>
        </w:rPr>
        <w:footnoteReference w:id="22"/>
      </w:r>
      <w:r w:rsidR="00B12989" w:rsidRPr="001E0157">
        <w:rPr>
          <w:sz w:val="24"/>
          <w:szCs w:val="24"/>
        </w:rPr>
        <w:t xml:space="preserve"> contrasting with the lowly, subterranean location of the defendant in the cells below the court, and who must ascend a staircase to enter the dock.</w:t>
      </w:r>
      <w:r w:rsidR="00B12989" w:rsidRPr="004A6696">
        <w:rPr>
          <w:rStyle w:val="FootnoteReference"/>
        </w:rPr>
        <w:footnoteReference w:id="23"/>
      </w:r>
      <w:r w:rsidR="00B12989" w:rsidRPr="001E0157">
        <w:rPr>
          <w:sz w:val="24"/>
          <w:szCs w:val="24"/>
        </w:rPr>
        <w:t xml:space="preserve"> </w:t>
      </w:r>
      <w:r w:rsidR="00B12989">
        <w:rPr>
          <w:sz w:val="24"/>
          <w:szCs w:val="24"/>
        </w:rPr>
        <w:t xml:space="preserve">The relative positions of the judge and the accused – high versus low as well as free versus constrained and light versus dark – reflect orientation and container metaphors, but most importantly signify an opposition between freedom from and encumbrance by corrupting and compromising influences. Even although he may eventually be acquitted, the prisoner is for the duration of the trial encumbered by the suspicion of having acted </w:t>
      </w:r>
      <w:r w:rsidR="00B12989" w:rsidRPr="00D8537C">
        <w:rPr>
          <w:i/>
          <w:sz w:val="24"/>
          <w:szCs w:val="24"/>
        </w:rPr>
        <w:t>under</w:t>
      </w:r>
      <w:r w:rsidR="00B12989">
        <w:rPr>
          <w:sz w:val="24"/>
          <w:szCs w:val="24"/>
        </w:rPr>
        <w:t xml:space="preserve"> the sway of and </w:t>
      </w:r>
      <w:r w:rsidR="00B12989" w:rsidRPr="00D8537C">
        <w:rPr>
          <w:i/>
          <w:sz w:val="24"/>
          <w:szCs w:val="24"/>
        </w:rPr>
        <w:t>in</w:t>
      </w:r>
      <w:r w:rsidR="00B12989">
        <w:rPr>
          <w:sz w:val="24"/>
          <w:szCs w:val="24"/>
        </w:rPr>
        <w:t xml:space="preserve"> thrall to such factors, while the judge </w:t>
      </w:r>
      <w:r w:rsidR="00EE47F5">
        <w:rPr>
          <w:sz w:val="24"/>
          <w:szCs w:val="24"/>
        </w:rPr>
        <w:t xml:space="preserve">speaks with the authority of the law because she at all times </w:t>
      </w:r>
      <w:r w:rsidR="00B12989">
        <w:rPr>
          <w:sz w:val="24"/>
          <w:szCs w:val="24"/>
        </w:rPr>
        <w:t>remains free of and above them.</w:t>
      </w:r>
      <w:r w:rsidR="00123A02" w:rsidRPr="004A6696">
        <w:rPr>
          <w:rStyle w:val="FootnoteReference"/>
        </w:rPr>
        <w:footnoteReference w:id="24"/>
      </w:r>
    </w:p>
    <w:p w14:paraId="07F18136" w14:textId="3293853A" w:rsidR="00DE5A2A" w:rsidRPr="004D006B" w:rsidRDefault="00B12989" w:rsidP="00133E41">
      <w:pPr>
        <w:tabs>
          <w:tab w:val="left" w:pos="560"/>
          <w:tab w:val="left" w:pos="3828"/>
        </w:tabs>
        <w:spacing w:after="0" w:line="480" w:lineRule="auto"/>
        <w:rPr>
          <w:sz w:val="24"/>
          <w:szCs w:val="24"/>
        </w:rPr>
      </w:pPr>
      <w:r>
        <w:rPr>
          <w:sz w:val="24"/>
          <w:szCs w:val="24"/>
        </w:rPr>
        <w:tab/>
        <w:t xml:space="preserve">Turning now to literature, </w:t>
      </w:r>
      <w:r w:rsidR="00300308">
        <w:rPr>
          <w:sz w:val="24"/>
          <w:szCs w:val="24"/>
        </w:rPr>
        <w:t xml:space="preserve">the first thing to emphasise is that there are </w:t>
      </w:r>
      <w:r w:rsidR="00041021" w:rsidRPr="00300308">
        <w:rPr>
          <w:i/>
          <w:sz w:val="24"/>
          <w:szCs w:val="24"/>
        </w:rPr>
        <w:t>innumerable</w:t>
      </w:r>
      <w:r w:rsidR="00041021">
        <w:rPr>
          <w:sz w:val="24"/>
          <w:szCs w:val="24"/>
        </w:rPr>
        <w:t xml:space="preserve"> instances of the </w:t>
      </w:r>
      <w:r w:rsidR="00E819C6">
        <w:rPr>
          <w:sz w:val="24"/>
          <w:szCs w:val="24"/>
        </w:rPr>
        <w:t>metaphor of encumbrance/escape that emerge from prior associations of the sky with notions of freedom, hope and possibility</w:t>
      </w:r>
      <w:r w:rsidR="00260F5D">
        <w:rPr>
          <w:sz w:val="24"/>
          <w:szCs w:val="24"/>
        </w:rPr>
        <w:t>. W</w:t>
      </w:r>
      <w:r w:rsidR="00E819C6">
        <w:rPr>
          <w:sz w:val="24"/>
          <w:szCs w:val="24"/>
        </w:rPr>
        <w:t xml:space="preserve">e cannot </w:t>
      </w:r>
      <w:r w:rsidR="00260F5D">
        <w:rPr>
          <w:sz w:val="24"/>
          <w:szCs w:val="24"/>
        </w:rPr>
        <w:t xml:space="preserve">possibly </w:t>
      </w:r>
      <w:r w:rsidR="00E819C6">
        <w:rPr>
          <w:sz w:val="24"/>
          <w:szCs w:val="24"/>
        </w:rPr>
        <w:t xml:space="preserve">hope to do </w:t>
      </w:r>
      <w:r w:rsidR="00260F5D">
        <w:rPr>
          <w:sz w:val="24"/>
          <w:szCs w:val="24"/>
        </w:rPr>
        <w:t>justice to the subject, either in terms of the range of examples or the detail in which we can discuss them</w:t>
      </w:r>
      <w:r w:rsidR="00E819C6">
        <w:rPr>
          <w:sz w:val="24"/>
          <w:szCs w:val="24"/>
        </w:rPr>
        <w:t xml:space="preserve"> in the limited </w:t>
      </w:r>
      <w:r w:rsidR="00260F5D">
        <w:rPr>
          <w:sz w:val="24"/>
          <w:szCs w:val="24"/>
        </w:rPr>
        <w:t>space allowed here</w:t>
      </w:r>
      <w:r w:rsidR="00E819C6">
        <w:rPr>
          <w:sz w:val="24"/>
          <w:szCs w:val="24"/>
        </w:rPr>
        <w:t xml:space="preserve">. </w:t>
      </w:r>
      <w:r w:rsidR="00260F5D">
        <w:rPr>
          <w:sz w:val="24"/>
          <w:szCs w:val="24"/>
        </w:rPr>
        <w:t>Let us nonetheless provide a</w:t>
      </w:r>
      <w:r w:rsidR="002F7265">
        <w:rPr>
          <w:sz w:val="24"/>
          <w:szCs w:val="24"/>
        </w:rPr>
        <w:t>t least a</w:t>
      </w:r>
      <w:r w:rsidR="00260F5D">
        <w:rPr>
          <w:sz w:val="24"/>
          <w:szCs w:val="24"/>
        </w:rPr>
        <w:t xml:space="preserve"> taste, which will in any case help us advance to the analysis of legal language in the next section. </w:t>
      </w:r>
      <w:r w:rsidR="00776873">
        <w:rPr>
          <w:sz w:val="24"/>
          <w:szCs w:val="24"/>
        </w:rPr>
        <w:t>In</w:t>
      </w:r>
      <w:r w:rsidR="0017268F">
        <w:rPr>
          <w:sz w:val="24"/>
          <w:szCs w:val="24"/>
        </w:rPr>
        <w:t xml:space="preserve"> </w:t>
      </w:r>
      <w:r w:rsidR="003A0F21">
        <w:rPr>
          <w:sz w:val="24"/>
          <w:szCs w:val="24"/>
        </w:rPr>
        <w:t xml:space="preserve">William Golding’s </w:t>
      </w:r>
      <w:r w:rsidR="0017268F">
        <w:rPr>
          <w:sz w:val="24"/>
          <w:szCs w:val="24"/>
        </w:rPr>
        <w:t xml:space="preserve">twentieth century </w:t>
      </w:r>
      <w:r w:rsidR="003A0F21">
        <w:rPr>
          <w:sz w:val="24"/>
          <w:szCs w:val="24"/>
        </w:rPr>
        <w:t xml:space="preserve">novel </w:t>
      </w:r>
      <w:r w:rsidR="003A0F21">
        <w:rPr>
          <w:i/>
          <w:sz w:val="24"/>
          <w:szCs w:val="24"/>
        </w:rPr>
        <w:t>The Spire</w:t>
      </w:r>
      <w:r w:rsidR="00776873">
        <w:rPr>
          <w:sz w:val="24"/>
          <w:szCs w:val="24"/>
        </w:rPr>
        <w:t xml:space="preserve">, a Dean </w:t>
      </w:r>
      <w:r w:rsidR="0015198C">
        <w:rPr>
          <w:sz w:val="24"/>
          <w:szCs w:val="24"/>
        </w:rPr>
        <w:t xml:space="preserve">desires to have constructed atop his cathedral a magnificent spire, despite widespread anxieties about the stability of </w:t>
      </w:r>
      <w:r w:rsidR="0015198C">
        <w:rPr>
          <w:sz w:val="24"/>
          <w:szCs w:val="24"/>
        </w:rPr>
        <w:lastRenderedPageBreak/>
        <w:t>that building’s foundations.</w:t>
      </w:r>
      <w:r w:rsidR="0015198C" w:rsidRPr="004A6696">
        <w:rPr>
          <w:rStyle w:val="FootnoteReference"/>
        </w:rPr>
        <w:footnoteReference w:id="25"/>
      </w:r>
      <w:r w:rsidR="0015198C" w:rsidRPr="001E0157">
        <w:rPr>
          <w:sz w:val="24"/>
          <w:szCs w:val="24"/>
        </w:rPr>
        <w:t xml:space="preserve"> </w:t>
      </w:r>
      <w:r w:rsidR="0015198C">
        <w:rPr>
          <w:sz w:val="24"/>
          <w:szCs w:val="24"/>
        </w:rPr>
        <w:t xml:space="preserve">Dean Jocelyn </w:t>
      </w:r>
      <w:r w:rsidR="0015198C" w:rsidRPr="001E0157">
        <w:rPr>
          <w:sz w:val="24"/>
          <w:szCs w:val="24"/>
        </w:rPr>
        <w:t>envies and identifies with the birds</w:t>
      </w:r>
      <w:r w:rsidR="0015198C">
        <w:rPr>
          <w:sz w:val="24"/>
          <w:szCs w:val="24"/>
        </w:rPr>
        <w:t xml:space="preserve"> flying about the highest reaches of the structure</w:t>
      </w:r>
      <w:r w:rsidR="0015198C" w:rsidRPr="001E0157">
        <w:rPr>
          <w:sz w:val="24"/>
          <w:szCs w:val="24"/>
        </w:rPr>
        <w:t>, ‘free in a world of branches and the liberty of wings’,</w:t>
      </w:r>
      <w:r w:rsidR="0015198C">
        <w:rPr>
          <w:sz w:val="24"/>
          <w:szCs w:val="24"/>
        </w:rPr>
        <w:t xml:space="preserve"> and</w:t>
      </w:r>
      <w:r w:rsidR="0015198C" w:rsidRPr="001E0157">
        <w:rPr>
          <w:sz w:val="24"/>
          <w:szCs w:val="24"/>
        </w:rPr>
        <w:t xml:space="preserve"> lament</w:t>
      </w:r>
      <w:r w:rsidR="0015198C">
        <w:rPr>
          <w:sz w:val="24"/>
          <w:szCs w:val="24"/>
        </w:rPr>
        <w:t>s</w:t>
      </w:r>
      <w:r w:rsidR="0015198C" w:rsidRPr="001E0157">
        <w:rPr>
          <w:sz w:val="24"/>
          <w:szCs w:val="24"/>
        </w:rPr>
        <w:t xml:space="preserve"> that </w:t>
      </w:r>
      <w:r w:rsidR="0015198C">
        <w:rPr>
          <w:sz w:val="24"/>
          <w:szCs w:val="24"/>
        </w:rPr>
        <w:t>down below, people are by contrast</w:t>
      </w:r>
      <w:r w:rsidR="0015198C" w:rsidRPr="001E0157">
        <w:rPr>
          <w:sz w:val="24"/>
          <w:szCs w:val="24"/>
        </w:rPr>
        <w:t xml:space="preserve"> ‘so shackled, crawling over the earth’.</w:t>
      </w:r>
      <w:r w:rsidR="0015198C" w:rsidRPr="004A6696">
        <w:rPr>
          <w:rStyle w:val="FootnoteReference"/>
        </w:rPr>
        <w:footnoteReference w:id="26"/>
      </w:r>
      <w:r w:rsidR="0015198C" w:rsidRPr="001E0157">
        <w:rPr>
          <w:sz w:val="24"/>
          <w:szCs w:val="24"/>
        </w:rPr>
        <w:t xml:space="preserve"> </w:t>
      </w:r>
      <w:r w:rsidR="003A0F21">
        <w:rPr>
          <w:sz w:val="24"/>
          <w:szCs w:val="24"/>
        </w:rPr>
        <w:t>In the nineteenth century</w:t>
      </w:r>
      <w:r w:rsidR="00F94152">
        <w:rPr>
          <w:sz w:val="24"/>
          <w:szCs w:val="24"/>
        </w:rPr>
        <w:t>,</w:t>
      </w:r>
      <w:r w:rsidR="00F54704">
        <w:rPr>
          <w:sz w:val="24"/>
          <w:szCs w:val="24"/>
        </w:rPr>
        <w:t xml:space="preserve"> Dickens </w:t>
      </w:r>
      <w:r w:rsidR="003900D7">
        <w:rPr>
          <w:sz w:val="24"/>
          <w:szCs w:val="24"/>
        </w:rPr>
        <w:t xml:space="preserve">used such an approach </w:t>
      </w:r>
      <w:r w:rsidR="00041021">
        <w:rPr>
          <w:sz w:val="24"/>
          <w:szCs w:val="24"/>
        </w:rPr>
        <w:t xml:space="preserve">on a number of occasions to convey </w:t>
      </w:r>
      <w:r w:rsidR="0015198C">
        <w:rPr>
          <w:sz w:val="24"/>
          <w:szCs w:val="24"/>
        </w:rPr>
        <w:t>a</w:t>
      </w:r>
      <w:r w:rsidR="00326B4C">
        <w:rPr>
          <w:sz w:val="24"/>
          <w:szCs w:val="24"/>
        </w:rPr>
        <w:t xml:space="preserve"> sense of freedom</w:t>
      </w:r>
      <w:r w:rsidR="0015198C">
        <w:rPr>
          <w:sz w:val="24"/>
          <w:szCs w:val="24"/>
        </w:rPr>
        <w:t>,</w:t>
      </w:r>
      <w:r w:rsidR="00326B4C">
        <w:rPr>
          <w:sz w:val="24"/>
          <w:szCs w:val="24"/>
        </w:rPr>
        <w:t xml:space="preserve"> </w:t>
      </w:r>
      <w:r w:rsidR="00041021">
        <w:rPr>
          <w:sz w:val="24"/>
          <w:szCs w:val="24"/>
        </w:rPr>
        <w:t>possibility</w:t>
      </w:r>
      <w:r w:rsidR="0015198C">
        <w:rPr>
          <w:sz w:val="24"/>
          <w:szCs w:val="24"/>
        </w:rPr>
        <w:t xml:space="preserve"> and hope</w:t>
      </w:r>
      <w:r w:rsidR="00041021">
        <w:rPr>
          <w:sz w:val="24"/>
          <w:szCs w:val="24"/>
        </w:rPr>
        <w:t>. David</w:t>
      </w:r>
      <w:r w:rsidR="00326B4C" w:rsidRPr="001E0157">
        <w:rPr>
          <w:sz w:val="24"/>
          <w:szCs w:val="24"/>
        </w:rPr>
        <w:t xml:space="preserve"> </w:t>
      </w:r>
      <w:r w:rsidR="00326B4C">
        <w:rPr>
          <w:sz w:val="24"/>
          <w:szCs w:val="24"/>
        </w:rPr>
        <w:t>Copperfield</w:t>
      </w:r>
      <w:r w:rsidR="003900D7">
        <w:rPr>
          <w:sz w:val="24"/>
          <w:szCs w:val="24"/>
        </w:rPr>
        <w:t>’s happy recollections of</w:t>
      </w:r>
      <w:r w:rsidR="00326B4C">
        <w:rPr>
          <w:sz w:val="24"/>
          <w:szCs w:val="24"/>
        </w:rPr>
        <w:t xml:space="preserve"> </w:t>
      </w:r>
      <w:r w:rsidR="003900D7">
        <w:rPr>
          <w:sz w:val="24"/>
          <w:szCs w:val="24"/>
        </w:rPr>
        <w:t xml:space="preserve">the simple and wholesome Peggotty family are indistinguishable from his impressions of </w:t>
      </w:r>
      <w:r w:rsidR="00326B4C" w:rsidRPr="001E0157">
        <w:rPr>
          <w:sz w:val="24"/>
          <w:szCs w:val="24"/>
        </w:rPr>
        <w:t xml:space="preserve">the open landscape </w:t>
      </w:r>
      <w:r w:rsidR="003900D7">
        <w:rPr>
          <w:sz w:val="24"/>
          <w:szCs w:val="24"/>
        </w:rPr>
        <w:t>of the Suffolk coast on which they live</w:t>
      </w:r>
      <w:r w:rsidR="00326B4C">
        <w:rPr>
          <w:sz w:val="24"/>
          <w:szCs w:val="24"/>
        </w:rPr>
        <w:t xml:space="preserve">, and to which </w:t>
      </w:r>
      <w:r w:rsidR="00F94152">
        <w:rPr>
          <w:sz w:val="24"/>
          <w:szCs w:val="24"/>
        </w:rPr>
        <w:t>he</w:t>
      </w:r>
      <w:r w:rsidR="00326B4C">
        <w:rPr>
          <w:sz w:val="24"/>
          <w:szCs w:val="24"/>
        </w:rPr>
        <w:t xml:space="preserve"> recalls briefly escaping from the prison-like existence at home with </w:t>
      </w:r>
      <w:r w:rsidR="00133E41">
        <w:rPr>
          <w:sz w:val="24"/>
          <w:szCs w:val="24"/>
        </w:rPr>
        <w:t>his</w:t>
      </w:r>
      <w:r w:rsidR="00326B4C">
        <w:rPr>
          <w:sz w:val="24"/>
          <w:szCs w:val="24"/>
        </w:rPr>
        <w:t xml:space="preserve"> tyrannically ‘firm’ </w:t>
      </w:r>
      <w:r w:rsidR="00133E41">
        <w:rPr>
          <w:sz w:val="24"/>
          <w:szCs w:val="24"/>
        </w:rPr>
        <w:t xml:space="preserve">stepfather </w:t>
      </w:r>
      <w:r w:rsidR="00326B4C">
        <w:rPr>
          <w:sz w:val="24"/>
          <w:szCs w:val="24"/>
        </w:rPr>
        <w:t>Mr Murdstone: ‘</w:t>
      </w:r>
      <w:r w:rsidR="00326B4C" w:rsidRPr="001E0157">
        <w:rPr>
          <w:sz w:val="24"/>
          <w:szCs w:val="24"/>
        </w:rPr>
        <w:t>I have never seen such sunlight as on those bright April afternoons… I have never beheld such sky, such water, such glorified shi</w:t>
      </w:r>
      <w:r w:rsidR="00326B4C">
        <w:rPr>
          <w:sz w:val="24"/>
          <w:szCs w:val="24"/>
        </w:rPr>
        <w:t>ps sailing away into golden air’.</w:t>
      </w:r>
      <w:r w:rsidR="00326B4C" w:rsidRPr="004A6696">
        <w:rPr>
          <w:rStyle w:val="FootnoteReference"/>
        </w:rPr>
        <w:footnoteReference w:id="27"/>
      </w:r>
      <w:r w:rsidR="004D006B">
        <w:rPr>
          <w:sz w:val="24"/>
          <w:szCs w:val="24"/>
        </w:rPr>
        <w:t xml:space="preserve"> </w:t>
      </w:r>
      <w:r w:rsidR="00A94E4F">
        <w:rPr>
          <w:sz w:val="24"/>
          <w:szCs w:val="24"/>
        </w:rPr>
        <w:t>I</w:t>
      </w:r>
      <w:r w:rsidR="00E34D13">
        <w:rPr>
          <w:sz w:val="24"/>
          <w:szCs w:val="24"/>
        </w:rPr>
        <w:t>n</w:t>
      </w:r>
      <w:r w:rsidR="004D006B">
        <w:rPr>
          <w:sz w:val="24"/>
          <w:szCs w:val="24"/>
        </w:rPr>
        <w:t xml:space="preserve"> </w:t>
      </w:r>
      <w:r w:rsidR="004D006B">
        <w:rPr>
          <w:i/>
          <w:iCs/>
          <w:sz w:val="24"/>
          <w:szCs w:val="24"/>
        </w:rPr>
        <w:t>Jude the Obscure</w:t>
      </w:r>
      <w:r w:rsidR="00E34D13">
        <w:rPr>
          <w:sz w:val="24"/>
          <w:szCs w:val="24"/>
        </w:rPr>
        <w:t>,</w:t>
      </w:r>
      <w:r w:rsidR="004D006B">
        <w:rPr>
          <w:sz w:val="24"/>
          <w:szCs w:val="24"/>
        </w:rPr>
        <w:t xml:space="preserve"> </w:t>
      </w:r>
      <w:r w:rsidR="00F94152">
        <w:rPr>
          <w:sz w:val="24"/>
          <w:szCs w:val="24"/>
        </w:rPr>
        <w:t xml:space="preserve">Hardy’s depiction of </w:t>
      </w:r>
      <w:r w:rsidR="003C7E77">
        <w:rPr>
          <w:sz w:val="24"/>
          <w:szCs w:val="24"/>
        </w:rPr>
        <w:t xml:space="preserve">the </w:t>
      </w:r>
      <w:r w:rsidR="004D006B">
        <w:rPr>
          <w:sz w:val="24"/>
          <w:szCs w:val="24"/>
        </w:rPr>
        <w:t>youthful Jude</w:t>
      </w:r>
      <w:r w:rsidR="00F94152">
        <w:rPr>
          <w:sz w:val="24"/>
          <w:szCs w:val="24"/>
        </w:rPr>
        <w:t xml:space="preserve"> climbing</w:t>
      </w:r>
      <w:r w:rsidR="003C7E77">
        <w:rPr>
          <w:sz w:val="24"/>
          <w:szCs w:val="24"/>
        </w:rPr>
        <w:t xml:space="preserve"> </w:t>
      </w:r>
      <w:r w:rsidR="004D006B">
        <w:rPr>
          <w:sz w:val="24"/>
          <w:szCs w:val="24"/>
        </w:rPr>
        <w:t xml:space="preserve">onto a barn roof to view the faraway </w:t>
      </w:r>
      <w:r w:rsidR="00E34D13">
        <w:rPr>
          <w:sz w:val="24"/>
          <w:szCs w:val="24"/>
        </w:rPr>
        <w:t>spires of Christ</w:t>
      </w:r>
      <w:r w:rsidR="00776873">
        <w:rPr>
          <w:sz w:val="24"/>
          <w:szCs w:val="24"/>
        </w:rPr>
        <w:t>minster</w:t>
      </w:r>
      <w:r w:rsidR="003C7E77">
        <w:rPr>
          <w:sz w:val="24"/>
          <w:szCs w:val="24"/>
        </w:rPr>
        <w:t xml:space="preserve"> </w:t>
      </w:r>
      <w:r w:rsidR="00776873">
        <w:rPr>
          <w:sz w:val="24"/>
          <w:szCs w:val="24"/>
        </w:rPr>
        <w:t>visible</w:t>
      </w:r>
      <w:r w:rsidR="00E34D13">
        <w:rPr>
          <w:sz w:val="24"/>
          <w:szCs w:val="24"/>
        </w:rPr>
        <w:t xml:space="preserve"> in the setting sun </w:t>
      </w:r>
      <w:r w:rsidR="00776873">
        <w:rPr>
          <w:sz w:val="24"/>
          <w:szCs w:val="24"/>
        </w:rPr>
        <w:t>(</w:t>
      </w:r>
      <w:r w:rsidR="00E34D13">
        <w:rPr>
          <w:sz w:val="24"/>
          <w:szCs w:val="24"/>
        </w:rPr>
        <w:t>‘</w:t>
      </w:r>
      <w:r w:rsidR="00E34D13" w:rsidRPr="00E34D13">
        <w:rPr>
          <w:sz w:val="24"/>
          <w:szCs w:val="24"/>
        </w:rPr>
        <w:t>points of light like the topaz</w:t>
      </w:r>
      <w:r w:rsidR="00E34D13">
        <w:rPr>
          <w:sz w:val="24"/>
          <w:szCs w:val="24"/>
        </w:rPr>
        <w:t>’</w:t>
      </w:r>
      <w:r w:rsidR="00776873">
        <w:rPr>
          <w:sz w:val="24"/>
          <w:szCs w:val="24"/>
        </w:rPr>
        <w:t xml:space="preserve"> gleamed’)</w:t>
      </w:r>
      <w:r w:rsidR="00E34D13">
        <w:rPr>
          <w:sz w:val="24"/>
          <w:szCs w:val="24"/>
        </w:rPr>
        <w:t>,</w:t>
      </w:r>
      <w:r w:rsidR="003C7E77">
        <w:rPr>
          <w:sz w:val="24"/>
          <w:szCs w:val="24"/>
        </w:rPr>
        <w:t xml:space="preserve"> is</w:t>
      </w:r>
      <w:r w:rsidR="00E34D13">
        <w:rPr>
          <w:sz w:val="24"/>
          <w:szCs w:val="24"/>
        </w:rPr>
        <w:t xml:space="preserve"> </w:t>
      </w:r>
      <w:r w:rsidR="003900D7">
        <w:rPr>
          <w:sz w:val="24"/>
          <w:szCs w:val="24"/>
        </w:rPr>
        <w:t xml:space="preserve">similarly </w:t>
      </w:r>
      <w:r w:rsidR="00E34D13">
        <w:rPr>
          <w:sz w:val="24"/>
          <w:szCs w:val="24"/>
        </w:rPr>
        <w:t>powerful</w:t>
      </w:r>
      <w:r w:rsidR="003C7E77">
        <w:rPr>
          <w:sz w:val="24"/>
          <w:szCs w:val="24"/>
        </w:rPr>
        <w:t>ly</w:t>
      </w:r>
      <w:r w:rsidR="00E34D13">
        <w:rPr>
          <w:sz w:val="24"/>
          <w:szCs w:val="24"/>
        </w:rPr>
        <w:t xml:space="preserve"> symbol</w:t>
      </w:r>
      <w:r w:rsidR="003C7E77">
        <w:rPr>
          <w:sz w:val="24"/>
          <w:szCs w:val="24"/>
        </w:rPr>
        <w:t>ic</w:t>
      </w:r>
      <w:r w:rsidR="00E34D13">
        <w:rPr>
          <w:sz w:val="24"/>
          <w:szCs w:val="24"/>
        </w:rPr>
        <w:t xml:space="preserve"> of his hopes of intellectual</w:t>
      </w:r>
      <w:r w:rsidR="00BE4092">
        <w:rPr>
          <w:sz w:val="24"/>
          <w:szCs w:val="24"/>
        </w:rPr>
        <w:t>, moral</w:t>
      </w:r>
      <w:r w:rsidR="00E34D13">
        <w:rPr>
          <w:sz w:val="24"/>
          <w:szCs w:val="24"/>
        </w:rPr>
        <w:t xml:space="preserve"> and spiritual freedom.</w:t>
      </w:r>
      <w:r w:rsidR="00EB39CA" w:rsidRPr="004A6696">
        <w:rPr>
          <w:rStyle w:val="FootnoteReference"/>
        </w:rPr>
        <w:footnoteReference w:id="28"/>
      </w:r>
    </w:p>
    <w:p w14:paraId="560F16AD" w14:textId="10CD8841" w:rsidR="008B4587" w:rsidRDefault="0089798A" w:rsidP="008B4587">
      <w:pPr>
        <w:tabs>
          <w:tab w:val="left" w:pos="560"/>
          <w:tab w:val="left" w:pos="3828"/>
        </w:tabs>
        <w:spacing w:after="0" w:line="480" w:lineRule="auto"/>
        <w:rPr>
          <w:sz w:val="24"/>
          <w:szCs w:val="24"/>
        </w:rPr>
      </w:pPr>
      <w:r w:rsidRPr="001E0157">
        <w:rPr>
          <w:sz w:val="24"/>
          <w:szCs w:val="24"/>
        </w:rPr>
        <w:tab/>
      </w:r>
      <w:r w:rsidR="00910E89">
        <w:rPr>
          <w:sz w:val="24"/>
          <w:szCs w:val="24"/>
        </w:rPr>
        <w:t xml:space="preserve">Conversely, </w:t>
      </w:r>
      <w:r w:rsidR="00933D6C">
        <w:rPr>
          <w:sz w:val="24"/>
          <w:szCs w:val="24"/>
        </w:rPr>
        <w:t xml:space="preserve">literature affords numerous examples of moral and spiritual failure and the frustration of hopes conceived in terms of </w:t>
      </w:r>
      <w:r w:rsidR="008B4587">
        <w:rPr>
          <w:sz w:val="24"/>
          <w:szCs w:val="24"/>
        </w:rPr>
        <w:t xml:space="preserve">a failure to avoid or escape from </w:t>
      </w:r>
      <w:r w:rsidR="00C83792">
        <w:rPr>
          <w:sz w:val="24"/>
          <w:szCs w:val="24"/>
        </w:rPr>
        <w:t xml:space="preserve">a </w:t>
      </w:r>
      <w:r w:rsidR="00910E89">
        <w:rPr>
          <w:sz w:val="24"/>
          <w:szCs w:val="24"/>
        </w:rPr>
        <w:t xml:space="preserve">physical </w:t>
      </w:r>
      <w:r w:rsidR="00933D6C">
        <w:rPr>
          <w:sz w:val="24"/>
          <w:szCs w:val="24"/>
        </w:rPr>
        <w:t>encumbrance</w:t>
      </w:r>
      <w:r w:rsidR="00C83792">
        <w:rPr>
          <w:sz w:val="24"/>
          <w:szCs w:val="24"/>
        </w:rPr>
        <w:t xml:space="preserve"> that holds one back or down</w:t>
      </w:r>
      <w:r w:rsidR="008B4587">
        <w:rPr>
          <w:sz w:val="24"/>
          <w:szCs w:val="24"/>
        </w:rPr>
        <w:t>.</w:t>
      </w:r>
      <w:r w:rsidR="00933D6C">
        <w:rPr>
          <w:sz w:val="24"/>
          <w:szCs w:val="24"/>
        </w:rPr>
        <w:t xml:space="preserve"> </w:t>
      </w:r>
      <w:r w:rsidR="008B4587">
        <w:rPr>
          <w:sz w:val="24"/>
          <w:szCs w:val="24"/>
        </w:rPr>
        <w:t xml:space="preserve">Beginning once more with Golding’s </w:t>
      </w:r>
      <w:r w:rsidR="008B4587">
        <w:rPr>
          <w:i/>
          <w:sz w:val="24"/>
          <w:szCs w:val="24"/>
        </w:rPr>
        <w:t>The Spire</w:t>
      </w:r>
      <w:r w:rsidR="008B4587">
        <w:rPr>
          <w:sz w:val="24"/>
          <w:szCs w:val="24"/>
        </w:rPr>
        <w:t>, Dean Jocelyn’s determinedly ‘upward’ ambition for hi</w:t>
      </w:r>
      <w:r w:rsidR="00C83792">
        <w:rPr>
          <w:sz w:val="24"/>
          <w:szCs w:val="24"/>
        </w:rPr>
        <w:t>s</w:t>
      </w:r>
      <w:r w:rsidR="008B4587">
        <w:rPr>
          <w:sz w:val="24"/>
          <w:szCs w:val="24"/>
        </w:rPr>
        <w:t xml:space="preserve"> </w:t>
      </w:r>
      <w:r w:rsidR="00C83792">
        <w:rPr>
          <w:sz w:val="24"/>
          <w:szCs w:val="24"/>
        </w:rPr>
        <w:t xml:space="preserve">building </w:t>
      </w:r>
      <w:r w:rsidR="008B4587">
        <w:rPr>
          <w:sz w:val="24"/>
          <w:szCs w:val="24"/>
        </w:rPr>
        <w:t xml:space="preserve">project must contend the ominously contrasting signs. His master builder </w:t>
      </w:r>
      <w:r w:rsidR="008B4587" w:rsidRPr="001E0157">
        <w:rPr>
          <w:sz w:val="24"/>
          <w:szCs w:val="24"/>
        </w:rPr>
        <w:t>urges his employer to join him in ‘looking down’ at the ground</w:t>
      </w:r>
      <w:r w:rsidR="008B4587" w:rsidRPr="004A6696">
        <w:rPr>
          <w:rStyle w:val="FootnoteReference"/>
        </w:rPr>
        <w:footnoteReference w:id="29"/>
      </w:r>
      <w:r w:rsidR="008B4587" w:rsidRPr="001E0157">
        <w:rPr>
          <w:sz w:val="24"/>
          <w:szCs w:val="24"/>
        </w:rPr>
        <w:t xml:space="preserve"> </w:t>
      </w:r>
      <w:r w:rsidR="008B4587">
        <w:rPr>
          <w:sz w:val="24"/>
          <w:szCs w:val="24"/>
        </w:rPr>
        <w:t xml:space="preserve">where instead of the firm </w:t>
      </w:r>
      <w:r w:rsidR="008B4587" w:rsidRPr="001E0157">
        <w:rPr>
          <w:sz w:val="24"/>
          <w:szCs w:val="24"/>
        </w:rPr>
        <w:t xml:space="preserve">foundations </w:t>
      </w:r>
      <w:r w:rsidR="008B4587">
        <w:rPr>
          <w:sz w:val="24"/>
          <w:szCs w:val="24"/>
        </w:rPr>
        <w:t>that ought to be there</w:t>
      </w:r>
      <w:r w:rsidR="008B4587" w:rsidRPr="001E0157">
        <w:rPr>
          <w:sz w:val="24"/>
          <w:szCs w:val="24"/>
        </w:rPr>
        <w:t xml:space="preserve">, </w:t>
      </w:r>
      <w:r w:rsidR="008B4587">
        <w:rPr>
          <w:sz w:val="24"/>
          <w:szCs w:val="24"/>
        </w:rPr>
        <w:t xml:space="preserve">we find the earth </w:t>
      </w:r>
      <w:r w:rsidR="008B4587" w:rsidRPr="001E0157">
        <w:rPr>
          <w:sz w:val="24"/>
          <w:szCs w:val="24"/>
        </w:rPr>
        <w:t>disturbingly ‘moving like porridg</w:t>
      </w:r>
      <w:r w:rsidR="008B4587">
        <w:rPr>
          <w:sz w:val="24"/>
          <w:szCs w:val="24"/>
        </w:rPr>
        <w:t xml:space="preserve">e coming to the boil in a pot […] </w:t>
      </w:r>
      <w:r w:rsidR="008B4587" w:rsidRPr="001E0157">
        <w:rPr>
          <w:sz w:val="24"/>
          <w:szCs w:val="24"/>
        </w:rPr>
        <w:t xml:space="preserve">turning, seething’ </w:t>
      </w:r>
      <w:r w:rsidR="008B4587" w:rsidRPr="001E0157">
        <w:rPr>
          <w:sz w:val="24"/>
          <w:szCs w:val="24"/>
        </w:rPr>
        <w:lastRenderedPageBreak/>
        <w:t>with instability, like ‘the roof of hell’.</w:t>
      </w:r>
      <w:r w:rsidR="008B4587" w:rsidRPr="004A6696">
        <w:rPr>
          <w:rStyle w:val="FootnoteReference"/>
        </w:rPr>
        <w:footnoteReference w:id="30"/>
      </w:r>
      <w:r w:rsidR="008B4587" w:rsidRPr="001E0157">
        <w:rPr>
          <w:sz w:val="24"/>
          <w:szCs w:val="24"/>
        </w:rPr>
        <w:t xml:space="preserve"> </w:t>
      </w:r>
      <w:r w:rsidR="008B4587">
        <w:rPr>
          <w:sz w:val="24"/>
          <w:szCs w:val="24"/>
        </w:rPr>
        <w:t>Jocelyn later experiences</w:t>
      </w:r>
      <w:r w:rsidR="008B4587" w:rsidRPr="001E0157">
        <w:rPr>
          <w:sz w:val="24"/>
          <w:szCs w:val="24"/>
        </w:rPr>
        <w:t xml:space="preserve"> a premonitory dream in which, like his ill-fated spire-building project, he imagines himself </w:t>
      </w:r>
      <w:r w:rsidR="008B4587">
        <w:rPr>
          <w:sz w:val="24"/>
          <w:szCs w:val="24"/>
        </w:rPr>
        <w:t xml:space="preserve">lying on his back and </w:t>
      </w:r>
      <w:r w:rsidR="008B4587" w:rsidRPr="001E0157">
        <w:rPr>
          <w:sz w:val="24"/>
          <w:szCs w:val="24"/>
        </w:rPr>
        <w:t>sinking down into and being swallowed up by the treacherously boggy ground</w:t>
      </w:r>
      <w:r w:rsidR="008B4587">
        <w:rPr>
          <w:sz w:val="24"/>
          <w:szCs w:val="24"/>
        </w:rPr>
        <w:t xml:space="preserve"> on which his cathedral is built</w:t>
      </w:r>
      <w:r w:rsidR="008B4587" w:rsidRPr="001E0157">
        <w:rPr>
          <w:sz w:val="24"/>
          <w:szCs w:val="24"/>
        </w:rPr>
        <w:t>.</w:t>
      </w:r>
      <w:r w:rsidR="008B4587" w:rsidRPr="004A6696">
        <w:rPr>
          <w:rStyle w:val="FootnoteReference"/>
        </w:rPr>
        <w:footnoteReference w:id="31"/>
      </w:r>
      <w:r w:rsidR="008B4587" w:rsidRPr="001E0157">
        <w:rPr>
          <w:sz w:val="24"/>
          <w:szCs w:val="24"/>
        </w:rPr>
        <w:t xml:space="preserve"> </w:t>
      </w:r>
      <w:r w:rsidR="008B4587">
        <w:rPr>
          <w:sz w:val="24"/>
          <w:szCs w:val="24"/>
        </w:rPr>
        <w:t xml:space="preserve">The overarching theme of the story then nicely combines the threats of earthward collapse (buildings and orientation), failure to progress (movement) and being swallowed (containers), which all lend dramatic and moral intelligibility to Jocelyn himself eventually being compromised by moral entanglement and personal breakdown. </w:t>
      </w:r>
    </w:p>
    <w:p w14:paraId="2787825D" w14:textId="6DF0C3E3" w:rsidR="008B4587" w:rsidRPr="002A18EB" w:rsidRDefault="008B4587" w:rsidP="003900D7">
      <w:pPr>
        <w:tabs>
          <w:tab w:val="left" w:pos="560"/>
          <w:tab w:val="left" w:pos="3828"/>
        </w:tabs>
        <w:spacing w:after="0" w:line="480" w:lineRule="auto"/>
        <w:rPr>
          <w:sz w:val="24"/>
          <w:szCs w:val="24"/>
        </w:rPr>
      </w:pPr>
      <w:r>
        <w:rPr>
          <w:sz w:val="24"/>
          <w:szCs w:val="24"/>
        </w:rPr>
        <w:tab/>
        <w:t>Other twentieth century novels provide similar illustrations of the point. George Batailles’</w:t>
      </w:r>
      <w:r>
        <w:rPr>
          <w:rStyle w:val="text"/>
          <w:sz w:val="24"/>
          <w:szCs w:val="24"/>
        </w:rPr>
        <w:t xml:space="preserve"> grimly erotic novella </w:t>
      </w:r>
      <w:r>
        <w:rPr>
          <w:rStyle w:val="text"/>
          <w:i/>
          <w:iCs/>
          <w:sz w:val="24"/>
          <w:szCs w:val="24"/>
        </w:rPr>
        <w:t>Story of the Eye</w:t>
      </w:r>
      <w:r>
        <w:rPr>
          <w:rStyle w:val="text"/>
          <w:sz w:val="24"/>
          <w:szCs w:val="24"/>
        </w:rPr>
        <w:t xml:space="preserve"> </w:t>
      </w:r>
      <w:r w:rsidRPr="001E0157">
        <w:rPr>
          <w:rStyle w:val="text"/>
          <w:sz w:val="24"/>
          <w:szCs w:val="24"/>
        </w:rPr>
        <w:t>imagine</w:t>
      </w:r>
      <w:r>
        <w:rPr>
          <w:rStyle w:val="text"/>
          <w:sz w:val="24"/>
          <w:szCs w:val="24"/>
        </w:rPr>
        <w:t>s</w:t>
      </w:r>
      <w:r w:rsidRPr="001E0157">
        <w:rPr>
          <w:rStyle w:val="text"/>
          <w:sz w:val="24"/>
          <w:szCs w:val="24"/>
        </w:rPr>
        <w:t xml:space="preserve"> </w:t>
      </w:r>
      <w:r>
        <w:rPr>
          <w:rStyle w:val="text"/>
          <w:sz w:val="24"/>
          <w:szCs w:val="24"/>
        </w:rPr>
        <w:t>the</w:t>
      </w:r>
      <w:r w:rsidRPr="001E0157">
        <w:rPr>
          <w:rStyle w:val="text"/>
          <w:sz w:val="24"/>
          <w:szCs w:val="24"/>
        </w:rPr>
        <w:t xml:space="preserve"> </w:t>
      </w:r>
      <w:r>
        <w:rPr>
          <w:rStyle w:val="text"/>
          <w:sz w:val="24"/>
          <w:szCs w:val="24"/>
        </w:rPr>
        <w:t>hopelessly</w:t>
      </w:r>
      <w:r w:rsidRPr="001E0157">
        <w:rPr>
          <w:rStyle w:val="text"/>
          <w:sz w:val="24"/>
          <w:szCs w:val="24"/>
        </w:rPr>
        <w:t xml:space="preserve"> degrading </w:t>
      </w:r>
      <w:r>
        <w:rPr>
          <w:rStyle w:val="text"/>
          <w:sz w:val="24"/>
          <w:szCs w:val="24"/>
        </w:rPr>
        <w:t>fate of</w:t>
      </w:r>
      <w:r w:rsidRPr="001E0157">
        <w:rPr>
          <w:rStyle w:val="text"/>
          <w:sz w:val="24"/>
          <w:szCs w:val="24"/>
        </w:rPr>
        <w:t xml:space="preserve"> a particularly unfortunate prostitute </w:t>
      </w:r>
      <w:r w:rsidR="008E19B9">
        <w:rPr>
          <w:rStyle w:val="text"/>
          <w:sz w:val="24"/>
          <w:szCs w:val="24"/>
        </w:rPr>
        <w:t>who is</w:t>
      </w:r>
      <w:r w:rsidRPr="001E0157">
        <w:rPr>
          <w:rStyle w:val="text"/>
          <w:sz w:val="24"/>
          <w:szCs w:val="24"/>
        </w:rPr>
        <w:t xml:space="preserve"> locked in</w:t>
      </w:r>
      <w:r>
        <w:rPr>
          <w:rStyle w:val="text"/>
          <w:sz w:val="24"/>
          <w:szCs w:val="24"/>
        </w:rPr>
        <w:t>side</w:t>
      </w:r>
      <w:r w:rsidRPr="001E0157">
        <w:rPr>
          <w:rStyle w:val="text"/>
          <w:sz w:val="24"/>
          <w:szCs w:val="24"/>
        </w:rPr>
        <w:t xml:space="preserve"> a ‘cramped, windowless pig-sty’ for a man’s sadistic sexual enjoyment, and to collapse ‘under the bellies of the grunting swine’.</w:t>
      </w:r>
      <w:r w:rsidRPr="004A6696">
        <w:rPr>
          <w:rStyle w:val="FootnoteReference"/>
        </w:rPr>
        <w:footnoteReference w:id="32"/>
      </w:r>
      <w:r w:rsidRPr="001E0157">
        <w:rPr>
          <w:rStyle w:val="text"/>
          <w:sz w:val="24"/>
          <w:szCs w:val="24"/>
        </w:rPr>
        <w:t xml:space="preserve"> </w:t>
      </w:r>
      <w:r>
        <w:rPr>
          <w:rStyle w:val="text"/>
          <w:sz w:val="24"/>
          <w:szCs w:val="24"/>
        </w:rPr>
        <w:t xml:space="preserve">Being shut up and held down in darkness from which there can be no hope of escape appropriately stages her abuse and mistreatment. Likewise J. G. Ballard’s novel </w:t>
      </w:r>
      <w:r>
        <w:rPr>
          <w:rStyle w:val="text"/>
          <w:i/>
          <w:sz w:val="24"/>
          <w:szCs w:val="24"/>
        </w:rPr>
        <w:t xml:space="preserve">Concrete Island </w:t>
      </w:r>
      <w:r>
        <w:rPr>
          <w:rStyle w:val="text"/>
          <w:sz w:val="24"/>
          <w:szCs w:val="24"/>
        </w:rPr>
        <w:t>depicts a man who, after losing control of his car that skids down an embankment, finds himself permanently trapped on a traffic island: an area of grass entirely closed off from the world by three intersecting motorways which obscure the horizon in all directions, which thereafter constitutes his entire world and future.</w:t>
      </w:r>
      <w:r w:rsidRPr="004A6696">
        <w:rPr>
          <w:rStyle w:val="FootnoteReference"/>
        </w:rPr>
        <w:footnoteReference w:id="33"/>
      </w:r>
    </w:p>
    <w:p w14:paraId="55FE2871" w14:textId="40F547A1" w:rsidR="00DB265C" w:rsidRDefault="008B4587" w:rsidP="00ED6844">
      <w:pPr>
        <w:tabs>
          <w:tab w:val="left" w:pos="560"/>
          <w:tab w:val="left" w:pos="3828"/>
        </w:tabs>
        <w:spacing w:after="0" w:line="480" w:lineRule="auto"/>
        <w:rPr>
          <w:sz w:val="24"/>
          <w:szCs w:val="24"/>
        </w:rPr>
      </w:pPr>
      <w:r>
        <w:rPr>
          <w:sz w:val="24"/>
          <w:szCs w:val="24"/>
        </w:rPr>
        <w:tab/>
      </w:r>
      <w:r w:rsidR="0007060E">
        <w:rPr>
          <w:sz w:val="24"/>
          <w:szCs w:val="24"/>
        </w:rPr>
        <w:t>Elsewhere we find</w:t>
      </w:r>
      <w:r>
        <w:rPr>
          <w:sz w:val="24"/>
          <w:szCs w:val="24"/>
        </w:rPr>
        <w:t xml:space="preserve"> the same sense of encumbrance </w:t>
      </w:r>
      <w:r w:rsidR="0007060E">
        <w:rPr>
          <w:sz w:val="24"/>
          <w:szCs w:val="24"/>
        </w:rPr>
        <w:t xml:space="preserve">conveyed </w:t>
      </w:r>
      <w:r>
        <w:rPr>
          <w:sz w:val="24"/>
          <w:szCs w:val="24"/>
        </w:rPr>
        <w:t xml:space="preserve">in terms of the dangers of becoming attached to a corrupting or diverting entity that one is unable to get free of. </w:t>
      </w:r>
      <w:r w:rsidR="008E19B9">
        <w:rPr>
          <w:sz w:val="24"/>
          <w:szCs w:val="24"/>
        </w:rPr>
        <w:t>I</w:t>
      </w:r>
      <w:r>
        <w:rPr>
          <w:sz w:val="24"/>
          <w:szCs w:val="24"/>
        </w:rPr>
        <w:t xml:space="preserve">n </w:t>
      </w:r>
      <w:r w:rsidR="00016B69" w:rsidRPr="001E0157">
        <w:rPr>
          <w:i/>
          <w:sz w:val="24"/>
          <w:szCs w:val="24"/>
        </w:rPr>
        <w:t>David Copperfield</w:t>
      </w:r>
      <w:r w:rsidR="008E19B9">
        <w:rPr>
          <w:sz w:val="24"/>
          <w:szCs w:val="24"/>
        </w:rPr>
        <w:t xml:space="preserve">, </w:t>
      </w:r>
      <w:r w:rsidR="003D6F30">
        <w:rPr>
          <w:sz w:val="24"/>
          <w:szCs w:val="24"/>
        </w:rPr>
        <w:t>Uriah Heep</w:t>
      </w:r>
      <w:r w:rsidR="008E19B9">
        <w:rPr>
          <w:sz w:val="24"/>
          <w:szCs w:val="24"/>
        </w:rPr>
        <w:t xml:space="preserve"> is the</w:t>
      </w:r>
      <w:r w:rsidR="002D658D">
        <w:rPr>
          <w:sz w:val="24"/>
          <w:szCs w:val="24"/>
        </w:rPr>
        <w:t xml:space="preserve"> </w:t>
      </w:r>
      <w:r w:rsidR="00A94E4F">
        <w:rPr>
          <w:sz w:val="24"/>
          <w:szCs w:val="24"/>
        </w:rPr>
        <w:t xml:space="preserve">the creepy and wan young clerk </w:t>
      </w:r>
      <w:r w:rsidR="002D658D">
        <w:rPr>
          <w:sz w:val="24"/>
          <w:szCs w:val="24"/>
        </w:rPr>
        <w:t xml:space="preserve">who uses his </w:t>
      </w:r>
      <w:r w:rsidR="00081972">
        <w:rPr>
          <w:sz w:val="24"/>
          <w:szCs w:val="24"/>
        </w:rPr>
        <w:t>cynical persona as ‘the umblest person going’</w:t>
      </w:r>
      <w:r w:rsidR="003D6F30" w:rsidRPr="004A6696">
        <w:rPr>
          <w:rStyle w:val="FootnoteReference"/>
        </w:rPr>
        <w:footnoteReference w:id="34"/>
      </w:r>
      <w:r w:rsidR="003D6F30" w:rsidRPr="001E0157">
        <w:rPr>
          <w:sz w:val="24"/>
          <w:szCs w:val="24"/>
        </w:rPr>
        <w:t xml:space="preserve"> </w:t>
      </w:r>
      <w:r w:rsidR="002D658D">
        <w:rPr>
          <w:sz w:val="24"/>
          <w:szCs w:val="24"/>
        </w:rPr>
        <w:t xml:space="preserve">to </w:t>
      </w:r>
      <w:r w:rsidR="00A94E4F">
        <w:rPr>
          <w:sz w:val="24"/>
          <w:szCs w:val="24"/>
        </w:rPr>
        <w:t>attach himself</w:t>
      </w:r>
      <w:r w:rsidR="0019338F">
        <w:rPr>
          <w:sz w:val="24"/>
          <w:szCs w:val="24"/>
        </w:rPr>
        <w:t xml:space="preserve"> to </w:t>
      </w:r>
      <w:r w:rsidR="00B34C49">
        <w:rPr>
          <w:sz w:val="24"/>
          <w:szCs w:val="24"/>
        </w:rPr>
        <w:t>others</w:t>
      </w:r>
      <w:r w:rsidR="0007060E">
        <w:rPr>
          <w:sz w:val="24"/>
          <w:szCs w:val="24"/>
        </w:rPr>
        <w:t xml:space="preserve"> in order to exploit and </w:t>
      </w:r>
      <w:r w:rsidR="00B34C49">
        <w:rPr>
          <w:sz w:val="24"/>
          <w:szCs w:val="24"/>
        </w:rPr>
        <w:lastRenderedPageBreak/>
        <w:t xml:space="preserve">potentially </w:t>
      </w:r>
      <w:r w:rsidR="0007060E">
        <w:rPr>
          <w:sz w:val="24"/>
          <w:szCs w:val="24"/>
        </w:rPr>
        <w:t xml:space="preserve">ruin them. Under his influence, </w:t>
      </w:r>
      <w:r w:rsidR="0019338F">
        <w:rPr>
          <w:sz w:val="24"/>
          <w:szCs w:val="24"/>
        </w:rPr>
        <w:t xml:space="preserve">the initially eminent and </w:t>
      </w:r>
      <w:r w:rsidR="006A0DC8">
        <w:rPr>
          <w:sz w:val="24"/>
          <w:szCs w:val="24"/>
        </w:rPr>
        <w:t>upstanding</w:t>
      </w:r>
      <w:r w:rsidR="0019338F">
        <w:rPr>
          <w:sz w:val="24"/>
          <w:szCs w:val="24"/>
        </w:rPr>
        <w:t xml:space="preserve"> </w:t>
      </w:r>
      <w:r w:rsidR="0007060E">
        <w:rPr>
          <w:sz w:val="24"/>
          <w:szCs w:val="24"/>
        </w:rPr>
        <w:t>lawyer Mr Whickfield becomes i</w:t>
      </w:r>
      <w:r w:rsidR="00AD6F8A">
        <w:rPr>
          <w:sz w:val="24"/>
          <w:szCs w:val="24"/>
        </w:rPr>
        <w:t>ncreasingly crumpled and defeated</w:t>
      </w:r>
      <w:r w:rsidR="00B34C49">
        <w:rPr>
          <w:sz w:val="24"/>
          <w:szCs w:val="24"/>
        </w:rPr>
        <w:t>,</w:t>
      </w:r>
      <w:r w:rsidR="0007060E">
        <w:rPr>
          <w:sz w:val="24"/>
          <w:szCs w:val="24"/>
        </w:rPr>
        <w:t xml:space="preserve"> and becomes</w:t>
      </w:r>
      <w:r w:rsidR="002D658D">
        <w:rPr>
          <w:sz w:val="24"/>
          <w:szCs w:val="24"/>
        </w:rPr>
        <w:t xml:space="preserve"> </w:t>
      </w:r>
      <w:r w:rsidR="008B7FCC">
        <w:rPr>
          <w:sz w:val="24"/>
          <w:szCs w:val="24"/>
        </w:rPr>
        <w:t>implicate</w:t>
      </w:r>
      <w:r w:rsidR="0007060E">
        <w:rPr>
          <w:sz w:val="24"/>
          <w:szCs w:val="24"/>
        </w:rPr>
        <w:t>d</w:t>
      </w:r>
      <w:r w:rsidR="008B7FCC">
        <w:rPr>
          <w:sz w:val="24"/>
          <w:szCs w:val="24"/>
        </w:rPr>
        <w:t xml:space="preserve"> in </w:t>
      </w:r>
      <w:r w:rsidR="0007060E">
        <w:rPr>
          <w:sz w:val="24"/>
          <w:szCs w:val="24"/>
        </w:rPr>
        <w:t xml:space="preserve">Heep’s </w:t>
      </w:r>
      <w:r w:rsidR="008B7FCC">
        <w:rPr>
          <w:sz w:val="24"/>
          <w:szCs w:val="24"/>
        </w:rPr>
        <w:t>fraud</w:t>
      </w:r>
      <w:r w:rsidR="0007060E">
        <w:rPr>
          <w:sz w:val="24"/>
          <w:szCs w:val="24"/>
        </w:rPr>
        <w:t>ulent practice</w:t>
      </w:r>
      <w:r w:rsidR="00B34C49">
        <w:rPr>
          <w:sz w:val="24"/>
          <w:szCs w:val="24"/>
        </w:rPr>
        <w:t>s</w:t>
      </w:r>
      <w:r w:rsidR="008B7FCC">
        <w:rPr>
          <w:sz w:val="24"/>
          <w:szCs w:val="24"/>
        </w:rPr>
        <w:t>.</w:t>
      </w:r>
      <w:r w:rsidR="00C207FA" w:rsidRPr="001E0157">
        <w:rPr>
          <w:sz w:val="24"/>
          <w:szCs w:val="24"/>
        </w:rPr>
        <w:t xml:space="preserve"> </w:t>
      </w:r>
      <w:r w:rsidR="00933D6C">
        <w:rPr>
          <w:sz w:val="24"/>
          <w:szCs w:val="24"/>
        </w:rPr>
        <w:t xml:space="preserve">Elsewhere, we find the danger of being so diverted from the ‘right path’ by a corrupting attachment </w:t>
      </w:r>
      <w:r w:rsidR="0017268F">
        <w:rPr>
          <w:sz w:val="24"/>
          <w:szCs w:val="24"/>
        </w:rPr>
        <w:t>expressed in</w:t>
      </w:r>
      <w:r w:rsidR="007777E1">
        <w:rPr>
          <w:sz w:val="24"/>
          <w:szCs w:val="24"/>
        </w:rPr>
        <w:t xml:space="preserve"> the </w:t>
      </w:r>
      <w:r w:rsidR="0017268F">
        <w:rPr>
          <w:sz w:val="24"/>
          <w:szCs w:val="24"/>
        </w:rPr>
        <w:t xml:space="preserve">thoughts of </w:t>
      </w:r>
      <w:r w:rsidR="002F7265">
        <w:rPr>
          <w:sz w:val="24"/>
          <w:szCs w:val="24"/>
        </w:rPr>
        <w:t xml:space="preserve">Alexei Alexandrovich </w:t>
      </w:r>
      <w:r w:rsidR="00A94E4F">
        <w:rPr>
          <w:sz w:val="24"/>
          <w:szCs w:val="24"/>
        </w:rPr>
        <w:t xml:space="preserve">Karenin </w:t>
      </w:r>
      <w:r w:rsidR="00A471D0">
        <w:rPr>
          <w:sz w:val="24"/>
          <w:szCs w:val="24"/>
        </w:rPr>
        <w:t xml:space="preserve">– </w:t>
      </w:r>
      <w:r w:rsidR="00B34C49">
        <w:rPr>
          <w:sz w:val="24"/>
          <w:szCs w:val="24"/>
        </w:rPr>
        <w:t xml:space="preserve">the high-ranking public official and cuckold </w:t>
      </w:r>
      <w:r w:rsidR="00A471D0">
        <w:rPr>
          <w:sz w:val="24"/>
          <w:szCs w:val="24"/>
        </w:rPr>
        <w:t xml:space="preserve">of Tolstoy’s </w:t>
      </w:r>
      <w:r w:rsidR="00A471D0">
        <w:rPr>
          <w:i/>
          <w:sz w:val="24"/>
          <w:szCs w:val="24"/>
        </w:rPr>
        <w:t>Anna Karenina</w:t>
      </w:r>
      <w:r w:rsidR="00A471D0">
        <w:rPr>
          <w:sz w:val="24"/>
          <w:szCs w:val="24"/>
        </w:rPr>
        <w:t xml:space="preserve"> – </w:t>
      </w:r>
      <w:r w:rsidR="00A94E4F">
        <w:rPr>
          <w:sz w:val="24"/>
          <w:szCs w:val="24"/>
        </w:rPr>
        <w:t>wh</w:t>
      </w:r>
      <w:r w:rsidR="00B34C49">
        <w:rPr>
          <w:sz w:val="24"/>
          <w:szCs w:val="24"/>
        </w:rPr>
        <w:t>o</w:t>
      </w:r>
      <w:r w:rsidR="00A94E4F">
        <w:rPr>
          <w:sz w:val="24"/>
          <w:szCs w:val="24"/>
        </w:rPr>
        <w:t xml:space="preserve"> determine</w:t>
      </w:r>
      <w:r w:rsidR="006A0DC8">
        <w:rPr>
          <w:sz w:val="24"/>
          <w:szCs w:val="24"/>
        </w:rPr>
        <w:t>s</w:t>
      </w:r>
      <w:r w:rsidR="00A94E4F">
        <w:rPr>
          <w:sz w:val="24"/>
          <w:szCs w:val="24"/>
        </w:rPr>
        <w:t xml:space="preserve"> that </w:t>
      </w:r>
      <w:r w:rsidR="007777E1">
        <w:rPr>
          <w:sz w:val="24"/>
          <w:szCs w:val="24"/>
        </w:rPr>
        <w:t xml:space="preserve">in order ‘to continue on </w:t>
      </w:r>
      <w:r w:rsidR="00A94E4F">
        <w:rPr>
          <w:sz w:val="24"/>
          <w:szCs w:val="24"/>
        </w:rPr>
        <w:t xml:space="preserve">his </w:t>
      </w:r>
      <w:r w:rsidR="007777E1">
        <w:rPr>
          <w:sz w:val="24"/>
          <w:szCs w:val="24"/>
        </w:rPr>
        <w:t xml:space="preserve">path of active, honest and useful life’ he must find ‘the best, most decent … most </w:t>
      </w:r>
      <w:r w:rsidR="007777E1">
        <w:rPr>
          <w:i/>
          <w:sz w:val="24"/>
          <w:szCs w:val="24"/>
        </w:rPr>
        <w:t>just</w:t>
      </w:r>
      <w:r w:rsidR="00C83792">
        <w:rPr>
          <w:sz w:val="24"/>
          <w:szCs w:val="24"/>
        </w:rPr>
        <w:t xml:space="preserve"> way [to] </w:t>
      </w:r>
      <w:r w:rsidR="007777E1">
        <w:rPr>
          <w:sz w:val="24"/>
          <w:szCs w:val="24"/>
        </w:rPr>
        <w:t xml:space="preserve">shake off … the </w:t>
      </w:r>
      <w:r w:rsidR="007777E1" w:rsidRPr="002F7265">
        <w:rPr>
          <w:i/>
          <w:sz w:val="24"/>
          <w:szCs w:val="24"/>
        </w:rPr>
        <w:t>mud</w:t>
      </w:r>
      <w:r w:rsidR="007777E1">
        <w:rPr>
          <w:sz w:val="24"/>
          <w:szCs w:val="24"/>
        </w:rPr>
        <w:t xml:space="preserve"> </w:t>
      </w:r>
      <w:r w:rsidR="00F5400C">
        <w:rPr>
          <w:sz w:val="24"/>
          <w:szCs w:val="24"/>
        </w:rPr>
        <w:t xml:space="preserve">she </w:t>
      </w:r>
      <w:r w:rsidR="007777E1">
        <w:rPr>
          <w:sz w:val="24"/>
          <w:szCs w:val="24"/>
        </w:rPr>
        <w:t>[his wife A</w:t>
      </w:r>
      <w:r w:rsidR="00F5400C">
        <w:rPr>
          <w:sz w:val="24"/>
          <w:szCs w:val="24"/>
        </w:rPr>
        <w:t>nna, by her illicit love affair</w:t>
      </w:r>
      <w:r w:rsidR="007777E1">
        <w:rPr>
          <w:sz w:val="24"/>
          <w:szCs w:val="24"/>
        </w:rPr>
        <w:t>] had spattered on him in her fall.’</w:t>
      </w:r>
      <w:r w:rsidR="007777E1" w:rsidRPr="004A6696">
        <w:rPr>
          <w:rStyle w:val="FootnoteReference"/>
        </w:rPr>
        <w:footnoteReference w:id="35"/>
      </w:r>
      <w:r w:rsidR="00B97395">
        <w:rPr>
          <w:sz w:val="24"/>
          <w:szCs w:val="24"/>
        </w:rPr>
        <w:t xml:space="preserve"> </w:t>
      </w:r>
      <w:r w:rsidR="00933D6C">
        <w:rPr>
          <w:sz w:val="24"/>
          <w:szCs w:val="24"/>
        </w:rPr>
        <w:t>I</w:t>
      </w:r>
      <w:r w:rsidR="00B97395">
        <w:rPr>
          <w:sz w:val="24"/>
          <w:szCs w:val="24"/>
        </w:rPr>
        <w:t xml:space="preserve">t is in essence the same order of </w:t>
      </w:r>
      <w:r w:rsidR="006A0DC8">
        <w:rPr>
          <w:sz w:val="24"/>
          <w:szCs w:val="24"/>
        </w:rPr>
        <w:t>metaphor</w:t>
      </w:r>
      <w:r w:rsidR="002D658D">
        <w:rPr>
          <w:sz w:val="24"/>
          <w:szCs w:val="24"/>
        </w:rPr>
        <w:t xml:space="preserve"> </w:t>
      </w:r>
      <w:r w:rsidR="00B97395">
        <w:rPr>
          <w:sz w:val="24"/>
          <w:szCs w:val="24"/>
        </w:rPr>
        <w:t>that</w:t>
      </w:r>
      <w:r w:rsidR="00EA018A">
        <w:rPr>
          <w:sz w:val="24"/>
          <w:szCs w:val="24"/>
        </w:rPr>
        <w:t xml:space="preserve"> Dante</w:t>
      </w:r>
      <w:r w:rsidR="00B97395">
        <w:rPr>
          <w:sz w:val="24"/>
          <w:szCs w:val="24"/>
        </w:rPr>
        <w:t xml:space="preserve"> puts to use in the opening of his </w:t>
      </w:r>
      <w:r w:rsidR="0003750F">
        <w:rPr>
          <w:sz w:val="24"/>
          <w:szCs w:val="24"/>
        </w:rPr>
        <w:t>‘</w:t>
      </w:r>
      <w:r w:rsidR="0013156E">
        <w:rPr>
          <w:sz w:val="24"/>
          <w:szCs w:val="24"/>
        </w:rPr>
        <w:t>Inferno</w:t>
      </w:r>
      <w:r w:rsidR="0003750F">
        <w:rPr>
          <w:sz w:val="24"/>
          <w:szCs w:val="24"/>
        </w:rPr>
        <w:t>’</w:t>
      </w:r>
      <w:r w:rsidR="00B97395">
        <w:rPr>
          <w:sz w:val="24"/>
          <w:szCs w:val="24"/>
        </w:rPr>
        <w:t>, in which his narrator describes</w:t>
      </w:r>
      <w:r w:rsidR="002D658D">
        <w:rPr>
          <w:sz w:val="24"/>
          <w:szCs w:val="24"/>
        </w:rPr>
        <w:t xml:space="preserve"> </w:t>
      </w:r>
      <w:r w:rsidR="00B97395">
        <w:rPr>
          <w:sz w:val="24"/>
          <w:szCs w:val="24"/>
        </w:rPr>
        <w:t xml:space="preserve">his moral decline in terms of </w:t>
      </w:r>
      <w:r w:rsidR="001A45C7" w:rsidRPr="001E0157">
        <w:rPr>
          <w:sz w:val="24"/>
          <w:szCs w:val="24"/>
        </w:rPr>
        <w:t xml:space="preserve">having </w:t>
      </w:r>
      <w:r w:rsidR="00A85C04" w:rsidRPr="001E0157">
        <w:rPr>
          <w:sz w:val="24"/>
          <w:szCs w:val="24"/>
        </w:rPr>
        <w:t>wander</w:t>
      </w:r>
      <w:r w:rsidR="001A45C7" w:rsidRPr="001E0157">
        <w:rPr>
          <w:sz w:val="24"/>
          <w:szCs w:val="24"/>
        </w:rPr>
        <w:t>ed</w:t>
      </w:r>
      <w:r w:rsidR="00A97C8F">
        <w:rPr>
          <w:sz w:val="24"/>
          <w:szCs w:val="24"/>
        </w:rPr>
        <w:t xml:space="preserve"> </w:t>
      </w:r>
      <w:r w:rsidR="00933D6C">
        <w:rPr>
          <w:sz w:val="24"/>
          <w:szCs w:val="24"/>
        </w:rPr>
        <w:t xml:space="preserve">off from the path and </w:t>
      </w:r>
      <w:r w:rsidR="00A97C8F">
        <w:rPr>
          <w:sz w:val="24"/>
          <w:szCs w:val="24"/>
        </w:rPr>
        <w:t>into ‘</w:t>
      </w:r>
      <w:r w:rsidR="00A85C04" w:rsidRPr="001E0157">
        <w:rPr>
          <w:sz w:val="24"/>
          <w:szCs w:val="24"/>
        </w:rPr>
        <w:t xml:space="preserve">a </w:t>
      </w:r>
      <w:r w:rsidR="00EA440D" w:rsidRPr="001E0157">
        <w:rPr>
          <w:sz w:val="24"/>
          <w:szCs w:val="24"/>
        </w:rPr>
        <w:t>dark</w:t>
      </w:r>
      <w:r w:rsidR="00A97C8F">
        <w:rPr>
          <w:sz w:val="24"/>
          <w:szCs w:val="24"/>
        </w:rPr>
        <w:t xml:space="preserve"> wood’</w:t>
      </w:r>
      <w:r w:rsidR="00A85C04" w:rsidRPr="004A6696">
        <w:rPr>
          <w:rStyle w:val="FootnoteReference"/>
        </w:rPr>
        <w:footnoteReference w:id="36"/>
      </w:r>
      <w:r w:rsidR="00A85C04" w:rsidRPr="001E0157">
        <w:rPr>
          <w:sz w:val="24"/>
          <w:szCs w:val="24"/>
        </w:rPr>
        <w:t xml:space="preserve"> </w:t>
      </w:r>
      <w:r w:rsidR="008B7FCC">
        <w:rPr>
          <w:sz w:val="24"/>
          <w:szCs w:val="24"/>
        </w:rPr>
        <w:t xml:space="preserve">and </w:t>
      </w:r>
      <w:r w:rsidR="00B97395">
        <w:rPr>
          <w:sz w:val="24"/>
          <w:szCs w:val="24"/>
        </w:rPr>
        <w:t>requiring the as</w:t>
      </w:r>
      <w:r w:rsidR="00B34C49">
        <w:rPr>
          <w:sz w:val="24"/>
          <w:szCs w:val="24"/>
        </w:rPr>
        <w:t xml:space="preserve">sistance of the spirit of Virgil </w:t>
      </w:r>
      <w:r w:rsidR="00B97395">
        <w:rPr>
          <w:sz w:val="24"/>
          <w:szCs w:val="24"/>
        </w:rPr>
        <w:t xml:space="preserve">to steer him </w:t>
      </w:r>
      <w:r w:rsidR="008B7FCC">
        <w:rPr>
          <w:sz w:val="24"/>
          <w:szCs w:val="24"/>
        </w:rPr>
        <w:t>f</w:t>
      </w:r>
      <w:r w:rsidR="0013156E">
        <w:rPr>
          <w:sz w:val="24"/>
          <w:szCs w:val="24"/>
        </w:rPr>
        <w:t>rom that unpromising start</w:t>
      </w:r>
      <w:r w:rsidR="00A471D0">
        <w:rPr>
          <w:sz w:val="24"/>
          <w:szCs w:val="24"/>
        </w:rPr>
        <w:t xml:space="preserve"> on his redemptive journey</w:t>
      </w:r>
      <w:r w:rsidR="00B97395">
        <w:rPr>
          <w:sz w:val="24"/>
          <w:szCs w:val="24"/>
        </w:rPr>
        <w:t>.</w:t>
      </w:r>
      <w:r w:rsidR="006B66C7" w:rsidRPr="004A6696">
        <w:rPr>
          <w:rStyle w:val="FootnoteReference"/>
        </w:rPr>
        <w:footnoteReference w:id="37"/>
      </w:r>
      <w:r w:rsidR="00A85C04" w:rsidRPr="001E0157">
        <w:rPr>
          <w:sz w:val="24"/>
          <w:szCs w:val="24"/>
        </w:rPr>
        <w:t xml:space="preserve"> </w:t>
      </w:r>
    </w:p>
    <w:p w14:paraId="346A4035" w14:textId="52C12D24" w:rsidR="00253EDC" w:rsidRDefault="00B97395" w:rsidP="00F54704">
      <w:pPr>
        <w:tabs>
          <w:tab w:val="left" w:pos="560"/>
          <w:tab w:val="left" w:pos="3828"/>
        </w:tabs>
        <w:spacing w:after="0" w:line="480" w:lineRule="auto"/>
        <w:rPr>
          <w:sz w:val="24"/>
          <w:szCs w:val="24"/>
        </w:rPr>
      </w:pPr>
      <w:r>
        <w:rPr>
          <w:sz w:val="24"/>
          <w:szCs w:val="24"/>
        </w:rPr>
        <w:tab/>
      </w:r>
      <w:bookmarkStart w:id="1" w:name="3.3.54"/>
      <w:r>
        <w:rPr>
          <w:sz w:val="24"/>
          <w:szCs w:val="24"/>
        </w:rPr>
        <w:t xml:space="preserve">Moving from these general observations of ideas about hope, possibility and </w:t>
      </w:r>
      <w:r w:rsidR="0093395E">
        <w:rPr>
          <w:sz w:val="24"/>
          <w:szCs w:val="24"/>
        </w:rPr>
        <w:t>morality</w:t>
      </w:r>
      <w:r>
        <w:rPr>
          <w:sz w:val="24"/>
          <w:szCs w:val="24"/>
        </w:rPr>
        <w:t xml:space="preserve"> </w:t>
      </w:r>
      <w:r w:rsidR="0093395E">
        <w:rPr>
          <w:sz w:val="24"/>
          <w:szCs w:val="24"/>
        </w:rPr>
        <w:t xml:space="preserve">to ones </w:t>
      </w:r>
      <w:r>
        <w:rPr>
          <w:sz w:val="24"/>
          <w:szCs w:val="24"/>
        </w:rPr>
        <w:t>more specifically relating to justice, we find that literature affords plenty of examples of the absence of justice as a grip or a trap, and a holding back or holding down. Shakespeare draws on this</w:t>
      </w:r>
      <w:r w:rsidR="000F3C04">
        <w:rPr>
          <w:sz w:val="24"/>
          <w:szCs w:val="24"/>
        </w:rPr>
        <w:t xml:space="preserve"> </w:t>
      </w:r>
      <w:r w:rsidR="00253EDC">
        <w:rPr>
          <w:sz w:val="24"/>
          <w:szCs w:val="24"/>
        </w:rPr>
        <w:t xml:space="preserve">metaphor in </w:t>
      </w:r>
      <w:r w:rsidR="00253EDC">
        <w:rPr>
          <w:i/>
          <w:iCs/>
          <w:sz w:val="24"/>
          <w:szCs w:val="24"/>
        </w:rPr>
        <w:t>Hamlet</w:t>
      </w:r>
      <w:r>
        <w:rPr>
          <w:iCs/>
          <w:sz w:val="24"/>
          <w:szCs w:val="24"/>
        </w:rPr>
        <w:t xml:space="preserve"> </w:t>
      </w:r>
      <w:r w:rsidR="00253EDC">
        <w:rPr>
          <w:sz w:val="24"/>
          <w:szCs w:val="24"/>
        </w:rPr>
        <w:t xml:space="preserve">in the self-analysis of the murderer Claudius, who admits that he can never be </w:t>
      </w:r>
      <w:r w:rsidR="00A471D0">
        <w:rPr>
          <w:sz w:val="24"/>
          <w:szCs w:val="24"/>
        </w:rPr>
        <w:t xml:space="preserve">truly </w:t>
      </w:r>
      <w:r w:rsidR="00253EDC">
        <w:rPr>
          <w:sz w:val="24"/>
          <w:szCs w:val="24"/>
        </w:rPr>
        <w:t xml:space="preserve">forgiven for his foul deed because </w:t>
      </w:r>
      <w:r w:rsidR="00A97C8F">
        <w:rPr>
          <w:sz w:val="24"/>
          <w:szCs w:val="24"/>
        </w:rPr>
        <w:t xml:space="preserve">he </w:t>
      </w:r>
      <w:r w:rsidR="00253EDC">
        <w:rPr>
          <w:sz w:val="24"/>
          <w:szCs w:val="24"/>
        </w:rPr>
        <w:t xml:space="preserve">is unable to </w:t>
      </w:r>
      <w:r w:rsidR="00F54704">
        <w:rPr>
          <w:sz w:val="24"/>
          <w:szCs w:val="24"/>
        </w:rPr>
        <w:t xml:space="preserve">free himself of </w:t>
      </w:r>
      <w:r w:rsidR="00253EDC">
        <w:rPr>
          <w:sz w:val="24"/>
          <w:szCs w:val="24"/>
        </w:rPr>
        <w:t xml:space="preserve">the fruits won by his </w:t>
      </w:r>
      <w:r w:rsidR="00A471D0">
        <w:rPr>
          <w:sz w:val="24"/>
          <w:szCs w:val="24"/>
        </w:rPr>
        <w:t>crime</w:t>
      </w:r>
      <w:r w:rsidR="00253EDC">
        <w:rPr>
          <w:sz w:val="24"/>
          <w:szCs w:val="24"/>
        </w:rPr>
        <w:t xml:space="preserve">: </w:t>
      </w:r>
    </w:p>
    <w:p w14:paraId="240866DB" w14:textId="77777777" w:rsidR="00253EDC" w:rsidRDefault="00253EDC" w:rsidP="00253EDC">
      <w:pPr>
        <w:tabs>
          <w:tab w:val="left" w:pos="560"/>
          <w:tab w:val="left" w:pos="3828"/>
        </w:tabs>
        <w:spacing w:after="0" w:line="480" w:lineRule="auto"/>
      </w:pPr>
    </w:p>
    <w:p w14:paraId="77993CD3" w14:textId="1DEEF75E" w:rsidR="00253EDC" w:rsidRPr="00EB2B05" w:rsidRDefault="00253EDC" w:rsidP="00253EDC">
      <w:pPr>
        <w:tabs>
          <w:tab w:val="left" w:pos="560"/>
          <w:tab w:val="left" w:pos="3828"/>
        </w:tabs>
        <w:spacing w:after="0" w:line="480" w:lineRule="auto"/>
        <w:ind w:left="560" w:firstLine="574"/>
        <w:rPr>
          <w:sz w:val="24"/>
          <w:szCs w:val="24"/>
        </w:rPr>
      </w:pPr>
      <w:r w:rsidRPr="00EB2B05">
        <w:rPr>
          <w:sz w:val="24"/>
          <w:szCs w:val="24"/>
        </w:rPr>
        <w:t>But, O, what form of prayer</w:t>
      </w:r>
      <w:bookmarkEnd w:id="1"/>
      <w:r w:rsidRPr="00EB2B05">
        <w:rPr>
          <w:sz w:val="24"/>
          <w:szCs w:val="24"/>
        </w:rPr>
        <w:br/>
      </w:r>
      <w:bookmarkStart w:id="2" w:name="3.3.55"/>
      <w:r w:rsidRPr="00EB2B05">
        <w:rPr>
          <w:sz w:val="24"/>
          <w:szCs w:val="24"/>
        </w:rPr>
        <w:t>Can serve my turn? 'Forgive me my foul murder'?</w:t>
      </w:r>
      <w:bookmarkEnd w:id="2"/>
      <w:r w:rsidRPr="00EB2B05">
        <w:rPr>
          <w:sz w:val="24"/>
          <w:szCs w:val="24"/>
        </w:rPr>
        <w:br/>
      </w:r>
      <w:bookmarkStart w:id="3" w:name="3.3.56"/>
      <w:r w:rsidRPr="00EB2B05">
        <w:rPr>
          <w:sz w:val="24"/>
          <w:szCs w:val="24"/>
        </w:rPr>
        <w:lastRenderedPageBreak/>
        <w:t>That cann</w:t>
      </w:r>
      <w:r w:rsidR="0029637D">
        <w:rPr>
          <w:sz w:val="24"/>
          <w:szCs w:val="24"/>
        </w:rPr>
        <w:t>ot be; since I am still possesse</w:t>
      </w:r>
      <w:r w:rsidRPr="00EB2B05">
        <w:rPr>
          <w:sz w:val="24"/>
          <w:szCs w:val="24"/>
        </w:rPr>
        <w:t>d</w:t>
      </w:r>
      <w:bookmarkEnd w:id="3"/>
      <w:r w:rsidRPr="00EB2B05">
        <w:rPr>
          <w:sz w:val="24"/>
          <w:szCs w:val="24"/>
        </w:rPr>
        <w:br/>
      </w:r>
      <w:bookmarkStart w:id="4" w:name="3.3.57"/>
      <w:r w:rsidRPr="00EB2B05">
        <w:rPr>
          <w:sz w:val="24"/>
          <w:szCs w:val="24"/>
        </w:rPr>
        <w:t>Of those effects for which I did the murder</w:t>
      </w:r>
      <w:bookmarkEnd w:id="4"/>
      <w:r w:rsidR="0029637D">
        <w:rPr>
          <w:sz w:val="24"/>
          <w:szCs w:val="24"/>
        </w:rPr>
        <w:t>—</w:t>
      </w:r>
      <w:r w:rsidRPr="00EB2B05">
        <w:rPr>
          <w:sz w:val="24"/>
          <w:szCs w:val="24"/>
        </w:rPr>
        <w:br/>
      </w:r>
      <w:bookmarkStart w:id="5" w:name="3.3.58"/>
      <w:r w:rsidRPr="00EB2B05">
        <w:rPr>
          <w:sz w:val="24"/>
          <w:szCs w:val="24"/>
        </w:rPr>
        <w:t>My crown, mine own ambition and my queen.</w:t>
      </w:r>
      <w:bookmarkEnd w:id="5"/>
      <w:r w:rsidRPr="00EB2B05">
        <w:rPr>
          <w:sz w:val="24"/>
          <w:szCs w:val="24"/>
        </w:rPr>
        <w:t xml:space="preserve"> …</w:t>
      </w:r>
    </w:p>
    <w:p w14:paraId="49F7AC1D" w14:textId="65A7A77A" w:rsidR="00253EDC" w:rsidRPr="00EB2B05" w:rsidRDefault="00253EDC" w:rsidP="00253EDC">
      <w:pPr>
        <w:tabs>
          <w:tab w:val="left" w:pos="560"/>
          <w:tab w:val="left" w:pos="3828"/>
        </w:tabs>
        <w:spacing w:after="0" w:line="480" w:lineRule="auto"/>
        <w:ind w:left="560"/>
        <w:rPr>
          <w:sz w:val="24"/>
          <w:szCs w:val="24"/>
        </w:rPr>
      </w:pPr>
      <w:bookmarkStart w:id="6" w:name="3.3.70"/>
      <w:r w:rsidRPr="00EB2B05">
        <w:rPr>
          <w:sz w:val="24"/>
          <w:szCs w:val="24"/>
        </w:rPr>
        <w:t>O wretched state! O bosom black as death!</w:t>
      </w:r>
      <w:bookmarkEnd w:id="6"/>
      <w:r w:rsidRPr="00EB2B05">
        <w:rPr>
          <w:sz w:val="24"/>
          <w:szCs w:val="24"/>
        </w:rPr>
        <w:br/>
      </w:r>
      <w:bookmarkStart w:id="7" w:name="3.3.71"/>
      <w:r w:rsidRPr="00EB2B05">
        <w:rPr>
          <w:sz w:val="24"/>
          <w:szCs w:val="24"/>
        </w:rPr>
        <w:t>O lime</w:t>
      </w:r>
      <w:r w:rsidR="0029637D">
        <w:rPr>
          <w:sz w:val="24"/>
          <w:szCs w:val="24"/>
        </w:rPr>
        <w:t>d soul</w:t>
      </w:r>
      <w:r w:rsidRPr="00EB2B05">
        <w:rPr>
          <w:sz w:val="24"/>
          <w:szCs w:val="24"/>
        </w:rPr>
        <w:t xml:space="preserve"> that, struggling to be free,</w:t>
      </w:r>
      <w:bookmarkEnd w:id="7"/>
      <w:r w:rsidRPr="00EB2B05">
        <w:rPr>
          <w:sz w:val="24"/>
          <w:szCs w:val="24"/>
        </w:rPr>
        <w:br/>
      </w:r>
      <w:bookmarkStart w:id="8" w:name="3.3.72"/>
      <w:r w:rsidRPr="00EB2B05">
        <w:rPr>
          <w:sz w:val="24"/>
          <w:szCs w:val="24"/>
        </w:rPr>
        <w:t>Art more engaged!</w:t>
      </w:r>
      <w:bookmarkEnd w:id="8"/>
      <w:r w:rsidR="00B127B1">
        <w:rPr>
          <w:sz w:val="24"/>
          <w:szCs w:val="24"/>
        </w:rPr>
        <w:t xml:space="preserve"> …</w:t>
      </w:r>
      <w:r w:rsidR="002D658D" w:rsidRPr="004A6696">
        <w:rPr>
          <w:rStyle w:val="FootnoteReference"/>
        </w:rPr>
        <w:footnoteReference w:id="38"/>
      </w:r>
    </w:p>
    <w:p w14:paraId="3E02BA0F" w14:textId="77777777" w:rsidR="00253EDC" w:rsidRDefault="00253EDC" w:rsidP="00253EDC">
      <w:pPr>
        <w:tabs>
          <w:tab w:val="left" w:pos="560"/>
          <w:tab w:val="left" w:pos="3828"/>
        </w:tabs>
        <w:spacing w:after="0" w:line="480" w:lineRule="auto"/>
        <w:rPr>
          <w:sz w:val="24"/>
          <w:szCs w:val="24"/>
        </w:rPr>
      </w:pPr>
    </w:p>
    <w:p w14:paraId="6C16991C" w14:textId="77777777" w:rsidR="00326B4C" w:rsidRDefault="00253EDC" w:rsidP="0003750F">
      <w:pPr>
        <w:tabs>
          <w:tab w:val="left" w:pos="560"/>
          <w:tab w:val="left" w:pos="3828"/>
        </w:tabs>
        <w:spacing w:after="0" w:line="480" w:lineRule="auto"/>
        <w:rPr>
          <w:sz w:val="24"/>
          <w:szCs w:val="24"/>
        </w:rPr>
      </w:pPr>
      <w:r>
        <w:rPr>
          <w:sz w:val="24"/>
          <w:szCs w:val="24"/>
        </w:rPr>
        <w:t xml:space="preserve">The imagery of a soul in lime and ‘struggling to be free’ </w:t>
      </w:r>
      <w:r w:rsidR="00CA029D">
        <w:rPr>
          <w:sz w:val="24"/>
          <w:szCs w:val="24"/>
        </w:rPr>
        <w:t>vividly</w:t>
      </w:r>
      <w:r w:rsidR="00E5133B">
        <w:rPr>
          <w:sz w:val="24"/>
          <w:szCs w:val="24"/>
        </w:rPr>
        <w:t xml:space="preserve"> illu</w:t>
      </w:r>
      <w:r w:rsidR="00CA029D">
        <w:rPr>
          <w:sz w:val="24"/>
          <w:szCs w:val="24"/>
        </w:rPr>
        <w:t>strates</w:t>
      </w:r>
      <w:r w:rsidR="00A97C8F">
        <w:rPr>
          <w:sz w:val="24"/>
          <w:szCs w:val="24"/>
        </w:rPr>
        <w:t xml:space="preserve"> the conceptual metaphor of</w:t>
      </w:r>
      <w:r w:rsidR="00E5133B">
        <w:rPr>
          <w:sz w:val="24"/>
          <w:szCs w:val="24"/>
        </w:rPr>
        <w:t xml:space="preserve"> a barrier to justice that we find in encumbrance</w:t>
      </w:r>
      <w:r>
        <w:rPr>
          <w:sz w:val="24"/>
          <w:szCs w:val="24"/>
        </w:rPr>
        <w:t xml:space="preserve">. Claudius still possesses ‘those effects’, but at the same time they crucially still possess </w:t>
      </w:r>
      <w:r w:rsidRPr="00253EDC">
        <w:rPr>
          <w:i/>
          <w:iCs/>
          <w:sz w:val="24"/>
          <w:szCs w:val="24"/>
        </w:rPr>
        <w:t>him</w:t>
      </w:r>
      <w:r>
        <w:rPr>
          <w:sz w:val="24"/>
          <w:szCs w:val="24"/>
        </w:rPr>
        <w:t xml:space="preserve"> since giving them up (and thereby rendering his ‘foul murder’ materially fruitless) is impossible for him.</w:t>
      </w:r>
      <w:r w:rsidR="008B7FCC">
        <w:rPr>
          <w:sz w:val="24"/>
          <w:szCs w:val="24"/>
        </w:rPr>
        <w:t xml:space="preserve"> </w:t>
      </w:r>
    </w:p>
    <w:p w14:paraId="03326D32" w14:textId="0797AF55" w:rsidR="00D55B7D" w:rsidRDefault="00326B4C" w:rsidP="00133E41">
      <w:pPr>
        <w:tabs>
          <w:tab w:val="left" w:pos="560"/>
          <w:tab w:val="left" w:pos="3828"/>
        </w:tabs>
        <w:spacing w:after="0" w:line="480" w:lineRule="auto"/>
        <w:rPr>
          <w:sz w:val="24"/>
          <w:szCs w:val="24"/>
        </w:rPr>
      </w:pPr>
      <w:r>
        <w:rPr>
          <w:sz w:val="24"/>
          <w:szCs w:val="24"/>
        </w:rPr>
        <w:tab/>
      </w:r>
      <w:r w:rsidR="0093395E">
        <w:rPr>
          <w:sz w:val="24"/>
          <w:szCs w:val="24"/>
        </w:rPr>
        <w:t xml:space="preserve">Where we </w:t>
      </w:r>
      <w:r w:rsidR="00D21FC9">
        <w:rPr>
          <w:sz w:val="24"/>
          <w:szCs w:val="24"/>
        </w:rPr>
        <w:t xml:space="preserve">perceive </w:t>
      </w:r>
      <w:r w:rsidR="0093395E">
        <w:rPr>
          <w:sz w:val="24"/>
          <w:szCs w:val="24"/>
        </w:rPr>
        <w:t xml:space="preserve">vindictiveness </w:t>
      </w:r>
      <w:r w:rsidR="00D21FC9">
        <w:rPr>
          <w:sz w:val="24"/>
          <w:szCs w:val="24"/>
        </w:rPr>
        <w:t xml:space="preserve">or revenge </w:t>
      </w:r>
      <w:r w:rsidR="0093395E">
        <w:rPr>
          <w:sz w:val="24"/>
          <w:szCs w:val="24"/>
        </w:rPr>
        <w:t xml:space="preserve">dressed up as justice </w:t>
      </w:r>
      <w:r w:rsidR="00D21FC9">
        <w:rPr>
          <w:sz w:val="24"/>
          <w:szCs w:val="24"/>
        </w:rPr>
        <w:t xml:space="preserve">(and thus as an instance of </w:t>
      </w:r>
      <w:r w:rsidR="00D21FC9">
        <w:rPr>
          <w:i/>
          <w:sz w:val="24"/>
          <w:szCs w:val="24"/>
        </w:rPr>
        <w:t>in</w:t>
      </w:r>
      <w:r w:rsidR="00D21FC9">
        <w:rPr>
          <w:sz w:val="24"/>
          <w:szCs w:val="24"/>
        </w:rPr>
        <w:t xml:space="preserve">justice) </w:t>
      </w:r>
      <w:r w:rsidR="0093395E">
        <w:rPr>
          <w:sz w:val="24"/>
          <w:szCs w:val="24"/>
        </w:rPr>
        <w:t>we also find the appearance of the encumbrance metaphor.</w:t>
      </w:r>
      <w:r w:rsidR="007777E1">
        <w:rPr>
          <w:sz w:val="24"/>
          <w:szCs w:val="24"/>
        </w:rPr>
        <w:t xml:space="preserve"> </w:t>
      </w:r>
      <w:r w:rsidR="008A18D9">
        <w:rPr>
          <w:sz w:val="24"/>
          <w:szCs w:val="24"/>
        </w:rPr>
        <w:t xml:space="preserve">To satisfy his jealousy (but at the same time also to uphold moral and religious norms), </w:t>
      </w:r>
      <w:r w:rsidR="00B127B1">
        <w:rPr>
          <w:sz w:val="24"/>
          <w:szCs w:val="24"/>
        </w:rPr>
        <w:t>Alexei Alexandrovich Ka</w:t>
      </w:r>
      <w:r w:rsidR="007777E1">
        <w:rPr>
          <w:sz w:val="24"/>
          <w:szCs w:val="24"/>
        </w:rPr>
        <w:t>renin</w:t>
      </w:r>
      <w:r w:rsidR="008A18D9">
        <w:rPr>
          <w:sz w:val="24"/>
          <w:szCs w:val="24"/>
        </w:rPr>
        <w:t xml:space="preserve"> decides that </w:t>
      </w:r>
      <w:r w:rsidR="0093395E">
        <w:rPr>
          <w:sz w:val="24"/>
          <w:szCs w:val="24"/>
        </w:rPr>
        <w:t xml:space="preserve">‘justice’ </w:t>
      </w:r>
      <w:r w:rsidR="008A18D9">
        <w:rPr>
          <w:sz w:val="24"/>
          <w:szCs w:val="24"/>
        </w:rPr>
        <w:t xml:space="preserve">following </w:t>
      </w:r>
      <w:r w:rsidR="0093395E">
        <w:rPr>
          <w:sz w:val="24"/>
          <w:szCs w:val="24"/>
        </w:rPr>
        <w:t>his wife’s ‘crime’</w:t>
      </w:r>
      <w:r w:rsidR="00D21FC9">
        <w:rPr>
          <w:sz w:val="24"/>
          <w:szCs w:val="24"/>
        </w:rPr>
        <w:t xml:space="preserve"> in </w:t>
      </w:r>
      <w:r w:rsidR="00D21FC9">
        <w:rPr>
          <w:i/>
          <w:sz w:val="24"/>
          <w:szCs w:val="24"/>
        </w:rPr>
        <w:t>Anna K</w:t>
      </w:r>
      <w:r w:rsidR="00B127B1">
        <w:rPr>
          <w:i/>
          <w:sz w:val="24"/>
          <w:szCs w:val="24"/>
        </w:rPr>
        <w:t>are</w:t>
      </w:r>
      <w:r w:rsidR="00D21FC9">
        <w:rPr>
          <w:i/>
          <w:sz w:val="24"/>
          <w:szCs w:val="24"/>
        </w:rPr>
        <w:t>nina</w:t>
      </w:r>
      <w:r w:rsidR="0093395E">
        <w:rPr>
          <w:sz w:val="24"/>
          <w:szCs w:val="24"/>
        </w:rPr>
        <w:t xml:space="preserve"> </w:t>
      </w:r>
      <w:r w:rsidR="008A18D9">
        <w:rPr>
          <w:sz w:val="24"/>
          <w:szCs w:val="24"/>
        </w:rPr>
        <w:t>requires that she should</w:t>
      </w:r>
      <w:r w:rsidR="00D21FC9">
        <w:rPr>
          <w:sz w:val="24"/>
          <w:szCs w:val="24"/>
        </w:rPr>
        <w:t xml:space="preserve"> suffer</w:t>
      </w:r>
      <w:r w:rsidR="008A18D9">
        <w:rPr>
          <w:sz w:val="24"/>
          <w:szCs w:val="24"/>
        </w:rPr>
        <w:t>, and that this should mean</w:t>
      </w:r>
      <w:r w:rsidR="00D21FC9">
        <w:rPr>
          <w:sz w:val="24"/>
          <w:szCs w:val="24"/>
        </w:rPr>
        <w:t xml:space="preserve"> not divorcing her but </w:t>
      </w:r>
      <w:r w:rsidR="0093395E">
        <w:rPr>
          <w:sz w:val="24"/>
          <w:szCs w:val="24"/>
        </w:rPr>
        <w:t>compelling her to stay tethered to him in l</w:t>
      </w:r>
      <w:r w:rsidR="00D21FC9">
        <w:rPr>
          <w:sz w:val="24"/>
          <w:szCs w:val="24"/>
        </w:rPr>
        <w:t>oveless marriage.</w:t>
      </w:r>
      <w:r w:rsidR="00D21FC9" w:rsidRPr="004A6696">
        <w:rPr>
          <w:rStyle w:val="FootnoteReference"/>
        </w:rPr>
        <w:footnoteReference w:id="39"/>
      </w:r>
      <w:r w:rsidR="00C62BAF">
        <w:rPr>
          <w:sz w:val="24"/>
          <w:szCs w:val="24"/>
        </w:rPr>
        <w:t xml:space="preserve"> </w:t>
      </w:r>
      <w:r w:rsidR="008A18D9">
        <w:rPr>
          <w:sz w:val="24"/>
          <w:szCs w:val="24"/>
        </w:rPr>
        <w:t>A</w:t>
      </w:r>
      <w:r w:rsidR="0027019E">
        <w:rPr>
          <w:sz w:val="24"/>
          <w:szCs w:val="24"/>
        </w:rPr>
        <w:t xml:space="preserve"> more extreme example</w:t>
      </w:r>
      <w:r w:rsidR="008A18D9">
        <w:rPr>
          <w:sz w:val="24"/>
          <w:szCs w:val="24"/>
        </w:rPr>
        <w:t xml:space="preserve"> is </w:t>
      </w:r>
      <w:r w:rsidR="008A18D9">
        <w:rPr>
          <w:i/>
          <w:sz w:val="24"/>
          <w:szCs w:val="24"/>
        </w:rPr>
        <w:t>Oliver Twist</w:t>
      </w:r>
      <w:r w:rsidR="0027019E">
        <w:rPr>
          <w:sz w:val="24"/>
          <w:szCs w:val="24"/>
        </w:rPr>
        <w:t xml:space="preserve">, </w:t>
      </w:r>
      <w:r w:rsidR="008A18D9">
        <w:rPr>
          <w:sz w:val="24"/>
          <w:szCs w:val="24"/>
        </w:rPr>
        <w:t xml:space="preserve">in which </w:t>
      </w:r>
      <w:r w:rsidR="00C62BAF">
        <w:rPr>
          <w:sz w:val="24"/>
          <w:szCs w:val="24"/>
        </w:rPr>
        <w:t xml:space="preserve">Dickens conveys a sense of injustice as a blocking or restraining of one who desires to be free </w:t>
      </w:r>
      <w:r w:rsidR="008A18D9">
        <w:rPr>
          <w:sz w:val="24"/>
          <w:szCs w:val="24"/>
        </w:rPr>
        <w:t>by</w:t>
      </w:r>
      <w:r w:rsidR="00C62BAF">
        <w:rPr>
          <w:sz w:val="24"/>
          <w:szCs w:val="24"/>
        </w:rPr>
        <w:t xml:space="preserve"> the death of the young prostitute </w:t>
      </w:r>
      <w:r w:rsidR="008A18D9">
        <w:rPr>
          <w:sz w:val="24"/>
          <w:szCs w:val="24"/>
        </w:rPr>
        <w:t>Nancy</w:t>
      </w:r>
      <w:r w:rsidR="00C62BAF">
        <w:rPr>
          <w:i/>
          <w:sz w:val="24"/>
          <w:szCs w:val="24"/>
        </w:rPr>
        <w:t>.</w:t>
      </w:r>
      <w:r w:rsidR="00C62BAF">
        <w:rPr>
          <w:sz w:val="24"/>
          <w:szCs w:val="24"/>
        </w:rPr>
        <w:t xml:space="preserve"> In a line that might equally have been spoken by Anna Karenina</w:t>
      </w:r>
      <w:r w:rsidR="008A18D9">
        <w:rPr>
          <w:sz w:val="24"/>
          <w:szCs w:val="24"/>
        </w:rPr>
        <w:t xml:space="preserve"> upon receiving her husband’s demand </w:t>
      </w:r>
      <w:r w:rsidR="00133E41">
        <w:rPr>
          <w:sz w:val="24"/>
          <w:szCs w:val="24"/>
        </w:rPr>
        <w:t>to continue to observe outward decorum</w:t>
      </w:r>
      <w:r w:rsidR="00C62BAF">
        <w:rPr>
          <w:sz w:val="24"/>
          <w:szCs w:val="24"/>
        </w:rPr>
        <w:t>, Nancy despairs that she is</w:t>
      </w:r>
      <w:r w:rsidR="008B7FCC">
        <w:rPr>
          <w:sz w:val="24"/>
          <w:szCs w:val="24"/>
        </w:rPr>
        <w:t xml:space="preserve"> ‘</w:t>
      </w:r>
      <w:r w:rsidR="00EB2B05" w:rsidRPr="00EB2B05">
        <w:rPr>
          <w:sz w:val="24"/>
          <w:szCs w:val="24"/>
        </w:rPr>
        <w:t xml:space="preserve">chained to my old life. I loathe and hate it </w:t>
      </w:r>
      <w:r w:rsidR="00EB2B05" w:rsidRPr="00EB2B05">
        <w:rPr>
          <w:sz w:val="24"/>
          <w:szCs w:val="24"/>
        </w:rPr>
        <w:lastRenderedPageBreak/>
        <w:t>now, but I cannot leave it. I must have gone too far to turn back</w:t>
      </w:r>
      <w:r w:rsidR="008B7FCC">
        <w:rPr>
          <w:sz w:val="24"/>
          <w:szCs w:val="24"/>
        </w:rPr>
        <w:t>’</w:t>
      </w:r>
      <w:r w:rsidR="0003750F">
        <w:rPr>
          <w:sz w:val="24"/>
          <w:szCs w:val="24"/>
        </w:rPr>
        <w:t>.</w:t>
      </w:r>
      <w:r w:rsidR="001751A4" w:rsidRPr="004A6696">
        <w:rPr>
          <w:rStyle w:val="FootnoteReference"/>
        </w:rPr>
        <w:footnoteReference w:id="40"/>
      </w:r>
      <w:r w:rsidR="008B7FCC">
        <w:rPr>
          <w:sz w:val="24"/>
          <w:szCs w:val="24"/>
        </w:rPr>
        <w:t xml:space="preserve"> </w:t>
      </w:r>
      <w:r w:rsidR="0003750F">
        <w:rPr>
          <w:sz w:val="24"/>
          <w:szCs w:val="24"/>
        </w:rPr>
        <w:t>In t</w:t>
      </w:r>
      <w:r w:rsidR="00D55B7D">
        <w:rPr>
          <w:sz w:val="24"/>
          <w:szCs w:val="24"/>
        </w:rPr>
        <w:t xml:space="preserve">he terrible scene that </w:t>
      </w:r>
      <w:r w:rsidR="00C62BAF">
        <w:rPr>
          <w:sz w:val="24"/>
          <w:szCs w:val="24"/>
        </w:rPr>
        <w:t xml:space="preserve">follows, in which </w:t>
      </w:r>
      <w:r w:rsidR="00EB2B05">
        <w:rPr>
          <w:sz w:val="24"/>
          <w:szCs w:val="24"/>
        </w:rPr>
        <w:t xml:space="preserve">Sikes beats </w:t>
      </w:r>
      <w:r w:rsidR="00D55B7D">
        <w:rPr>
          <w:sz w:val="24"/>
          <w:szCs w:val="24"/>
        </w:rPr>
        <w:t xml:space="preserve">Nancy to death for </w:t>
      </w:r>
      <w:r w:rsidR="00EB2B05">
        <w:rPr>
          <w:sz w:val="24"/>
          <w:szCs w:val="24"/>
        </w:rPr>
        <w:t>her indiscretion</w:t>
      </w:r>
      <w:r w:rsidR="00D55B7D">
        <w:rPr>
          <w:sz w:val="24"/>
          <w:szCs w:val="24"/>
        </w:rPr>
        <w:t xml:space="preserve">, </w:t>
      </w:r>
      <w:r w:rsidR="00EB2B05">
        <w:rPr>
          <w:sz w:val="24"/>
          <w:szCs w:val="24"/>
        </w:rPr>
        <w:t>the murderer</w:t>
      </w:r>
      <w:r w:rsidR="00D55B7D">
        <w:rPr>
          <w:sz w:val="24"/>
          <w:szCs w:val="24"/>
        </w:rPr>
        <w:t xml:space="preserve"> </w:t>
      </w:r>
      <w:r w:rsidR="008A18D9">
        <w:rPr>
          <w:sz w:val="24"/>
          <w:szCs w:val="24"/>
        </w:rPr>
        <w:t xml:space="preserve">shuts </w:t>
      </w:r>
      <w:r w:rsidR="00D55B7D">
        <w:rPr>
          <w:sz w:val="24"/>
          <w:szCs w:val="24"/>
        </w:rPr>
        <w:t xml:space="preserve">out the dawn, symbolically </w:t>
      </w:r>
      <w:r w:rsidR="00F54704">
        <w:rPr>
          <w:sz w:val="24"/>
          <w:szCs w:val="24"/>
        </w:rPr>
        <w:t xml:space="preserve">extending the night </w:t>
      </w:r>
      <w:r w:rsidR="00D55B7D">
        <w:rPr>
          <w:sz w:val="24"/>
          <w:szCs w:val="24"/>
        </w:rPr>
        <w:t>and thus</w:t>
      </w:r>
      <w:r w:rsidR="008A18D9">
        <w:rPr>
          <w:sz w:val="24"/>
          <w:szCs w:val="24"/>
        </w:rPr>
        <w:t xml:space="preserve"> shutting</w:t>
      </w:r>
      <w:r w:rsidR="00D55B7D">
        <w:rPr>
          <w:sz w:val="24"/>
          <w:szCs w:val="24"/>
        </w:rPr>
        <w:t xml:space="preserve"> Nancy</w:t>
      </w:r>
      <w:r w:rsidR="008A18D9">
        <w:rPr>
          <w:sz w:val="24"/>
          <w:szCs w:val="24"/>
        </w:rPr>
        <w:t xml:space="preserve"> off</w:t>
      </w:r>
      <w:r w:rsidR="00D55B7D">
        <w:rPr>
          <w:sz w:val="24"/>
          <w:szCs w:val="24"/>
        </w:rPr>
        <w:t xml:space="preserve"> from hope of a just outcome</w:t>
      </w:r>
      <w:r w:rsidR="00EB2B05">
        <w:rPr>
          <w:sz w:val="24"/>
          <w:szCs w:val="24"/>
        </w:rPr>
        <w:t>: ‘</w:t>
      </w:r>
      <w:r w:rsidR="00EB2B05" w:rsidRPr="00D55B7D">
        <w:rPr>
          <w:sz w:val="24"/>
          <w:szCs w:val="24"/>
        </w:rPr>
        <w:t>Seeing the faint light of early day without, the girl rose to undraw the curtain.</w:t>
      </w:r>
      <w:r w:rsidR="00EB2B05">
        <w:rPr>
          <w:sz w:val="24"/>
          <w:szCs w:val="24"/>
        </w:rPr>
        <w:t xml:space="preserve"> </w:t>
      </w:r>
      <w:r w:rsidR="0013156E">
        <w:rPr>
          <w:sz w:val="24"/>
          <w:szCs w:val="24"/>
        </w:rPr>
        <w:t>“Let it be,”</w:t>
      </w:r>
      <w:r w:rsidR="00EB2B05" w:rsidRPr="00D55B7D">
        <w:rPr>
          <w:sz w:val="24"/>
          <w:szCs w:val="24"/>
        </w:rPr>
        <w:t xml:space="preserve"> said Sikes, </w:t>
      </w:r>
      <w:r w:rsidR="0013156E">
        <w:rPr>
          <w:sz w:val="24"/>
          <w:szCs w:val="24"/>
        </w:rPr>
        <w:t>thrusting his hand before her. “</w:t>
      </w:r>
      <w:r w:rsidR="00EB2B05" w:rsidRPr="00D55B7D">
        <w:rPr>
          <w:sz w:val="24"/>
          <w:szCs w:val="24"/>
        </w:rPr>
        <w:t>There's enoug</w:t>
      </w:r>
      <w:r w:rsidR="0013156E">
        <w:rPr>
          <w:sz w:val="24"/>
          <w:szCs w:val="24"/>
        </w:rPr>
        <w:t>h light for wot I've got to do.”’</w:t>
      </w:r>
      <w:r w:rsidR="005B0A60" w:rsidRPr="004A6696">
        <w:rPr>
          <w:rStyle w:val="FootnoteReference"/>
        </w:rPr>
        <w:footnoteReference w:id="41"/>
      </w:r>
      <w:r w:rsidR="00253EDC">
        <w:rPr>
          <w:sz w:val="24"/>
          <w:szCs w:val="24"/>
        </w:rPr>
        <w:t xml:space="preserve"> </w:t>
      </w:r>
      <w:r w:rsidR="00D55B7D">
        <w:rPr>
          <w:sz w:val="24"/>
          <w:szCs w:val="24"/>
        </w:rPr>
        <w:t xml:space="preserve">In this way, the </w:t>
      </w:r>
      <w:r w:rsidR="00B66395">
        <w:rPr>
          <w:sz w:val="24"/>
          <w:szCs w:val="24"/>
        </w:rPr>
        <w:t xml:space="preserve">sense of injustice encoded in </w:t>
      </w:r>
      <w:r w:rsidR="00D55B7D">
        <w:rPr>
          <w:sz w:val="24"/>
          <w:szCs w:val="24"/>
        </w:rPr>
        <w:t>Nancy</w:t>
      </w:r>
      <w:r w:rsidR="00B66395">
        <w:rPr>
          <w:sz w:val="24"/>
          <w:szCs w:val="24"/>
        </w:rPr>
        <w:t>’s death scene</w:t>
      </w:r>
      <w:r w:rsidR="00D55B7D">
        <w:rPr>
          <w:sz w:val="24"/>
          <w:szCs w:val="24"/>
        </w:rPr>
        <w:t xml:space="preserve"> is </w:t>
      </w:r>
      <w:r w:rsidR="00B66395">
        <w:rPr>
          <w:sz w:val="24"/>
          <w:szCs w:val="24"/>
        </w:rPr>
        <w:t>heightened in</w:t>
      </w:r>
      <w:r w:rsidR="0013156E">
        <w:rPr>
          <w:sz w:val="24"/>
          <w:szCs w:val="24"/>
        </w:rPr>
        <w:t xml:space="preserve"> </w:t>
      </w:r>
      <w:r w:rsidR="0003750F">
        <w:rPr>
          <w:sz w:val="24"/>
          <w:szCs w:val="24"/>
        </w:rPr>
        <w:t>Sikes’s closing it</w:t>
      </w:r>
      <w:r w:rsidR="0013156E">
        <w:rPr>
          <w:sz w:val="24"/>
          <w:szCs w:val="24"/>
        </w:rPr>
        <w:t xml:space="preserve"> off</w:t>
      </w:r>
      <w:r w:rsidR="0003750F">
        <w:rPr>
          <w:sz w:val="24"/>
          <w:szCs w:val="24"/>
        </w:rPr>
        <w:t xml:space="preserve"> </w:t>
      </w:r>
      <w:r w:rsidR="00D914EA">
        <w:rPr>
          <w:sz w:val="24"/>
          <w:szCs w:val="24"/>
        </w:rPr>
        <w:t xml:space="preserve">from </w:t>
      </w:r>
      <w:r w:rsidR="00EB2B05">
        <w:rPr>
          <w:sz w:val="24"/>
          <w:szCs w:val="24"/>
        </w:rPr>
        <w:t>the coming day. Only a</w:t>
      </w:r>
      <w:r w:rsidR="006A0DC8">
        <w:rPr>
          <w:sz w:val="24"/>
          <w:szCs w:val="24"/>
        </w:rPr>
        <w:t xml:space="preserve">fter the murder is done does </w:t>
      </w:r>
      <w:r w:rsidR="0003750F">
        <w:rPr>
          <w:sz w:val="24"/>
          <w:szCs w:val="24"/>
        </w:rPr>
        <w:t>the sun’s</w:t>
      </w:r>
      <w:r w:rsidR="00EB2B05">
        <w:rPr>
          <w:sz w:val="24"/>
          <w:szCs w:val="24"/>
        </w:rPr>
        <w:t xml:space="preserve"> </w:t>
      </w:r>
      <w:r w:rsidR="006A0DC8">
        <w:rPr>
          <w:sz w:val="24"/>
          <w:szCs w:val="24"/>
        </w:rPr>
        <w:t xml:space="preserve">equalising </w:t>
      </w:r>
      <w:r w:rsidR="00EB2B05">
        <w:rPr>
          <w:sz w:val="24"/>
          <w:szCs w:val="24"/>
        </w:rPr>
        <w:t xml:space="preserve">light – and </w:t>
      </w:r>
      <w:r w:rsidR="006A0DC8">
        <w:rPr>
          <w:sz w:val="24"/>
          <w:szCs w:val="24"/>
        </w:rPr>
        <w:t xml:space="preserve">with it </w:t>
      </w:r>
      <w:r w:rsidR="00EB2B05">
        <w:rPr>
          <w:sz w:val="24"/>
          <w:szCs w:val="24"/>
        </w:rPr>
        <w:t xml:space="preserve">the possibility of </w:t>
      </w:r>
      <w:r w:rsidR="0013156E">
        <w:rPr>
          <w:sz w:val="24"/>
          <w:szCs w:val="24"/>
        </w:rPr>
        <w:t>retribution</w:t>
      </w:r>
      <w:r w:rsidR="00EB2B05">
        <w:rPr>
          <w:sz w:val="24"/>
          <w:szCs w:val="24"/>
        </w:rPr>
        <w:t xml:space="preserve"> – </w:t>
      </w:r>
      <w:r w:rsidR="00D55B7D">
        <w:rPr>
          <w:sz w:val="24"/>
          <w:szCs w:val="24"/>
        </w:rPr>
        <w:t xml:space="preserve">find a way </w:t>
      </w:r>
      <w:r w:rsidR="00EB2B05">
        <w:rPr>
          <w:sz w:val="24"/>
          <w:szCs w:val="24"/>
        </w:rPr>
        <w:t xml:space="preserve">back </w:t>
      </w:r>
      <w:r w:rsidR="00D55B7D">
        <w:rPr>
          <w:sz w:val="24"/>
          <w:szCs w:val="24"/>
        </w:rPr>
        <w:t>in</w:t>
      </w:r>
      <w:r w:rsidR="00F5400C">
        <w:rPr>
          <w:sz w:val="24"/>
          <w:szCs w:val="24"/>
        </w:rPr>
        <w:t xml:space="preserve">, and too late for Nancy, the </w:t>
      </w:r>
      <w:r w:rsidR="00D914EA">
        <w:rPr>
          <w:sz w:val="24"/>
          <w:szCs w:val="24"/>
        </w:rPr>
        <w:t>scene can finally</w:t>
      </w:r>
      <w:r w:rsidR="00F5400C">
        <w:rPr>
          <w:sz w:val="24"/>
          <w:szCs w:val="24"/>
        </w:rPr>
        <w:t xml:space="preserve"> escape </w:t>
      </w:r>
      <w:r w:rsidR="00D914EA">
        <w:rPr>
          <w:sz w:val="24"/>
          <w:szCs w:val="24"/>
        </w:rPr>
        <w:t>that unnaturally long night</w:t>
      </w:r>
      <w:r w:rsidR="00D55B7D">
        <w:rPr>
          <w:sz w:val="24"/>
          <w:szCs w:val="24"/>
        </w:rPr>
        <w:t xml:space="preserve">: </w:t>
      </w:r>
    </w:p>
    <w:p w14:paraId="7F987558" w14:textId="77777777" w:rsidR="00D55B7D" w:rsidRDefault="00D55B7D" w:rsidP="00B72E82">
      <w:pPr>
        <w:tabs>
          <w:tab w:val="left" w:pos="560"/>
          <w:tab w:val="left" w:pos="3828"/>
        </w:tabs>
        <w:spacing w:after="0" w:line="480" w:lineRule="auto"/>
        <w:rPr>
          <w:sz w:val="24"/>
          <w:szCs w:val="24"/>
        </w:rPr>
      </w:pPr>
    </w:p>
    <w:p w14:paraId="34C7856D" w14:textId="3A3C46B7" w:rsidR="00D55B7D" w:rsidRDefault="00D55B7D" w:rsidP="00EB2B05">
      <w:pPr>
        <w:tabs>
          <w:tab w:val="left" w:pos="560"/>
          <w:tab w:val="left" w:pos="3828"/>
        </w:tabs>
        <w:spacing w:after="0" w:line="480" w:lineRule="auto"/>
        <w:ind w:left="560"/>
        <w:rPr>
          <w:sz w:val="24"/>
          <w:szCs w:val="24"/>
        </w:rPr>
      </w:pPr>
      <w:r w:rsidRPr="00D55B7D">
        <w:rPr>
          <w:sz w:val="24"/>
          <w:szCs w:val="24"/>
        </w:rPr>
        <w:t>The sun—the bright sun, that brings back, not light alone, but new life, and hope, and freshness to man—burst upon the crowded city in clear and radiant glory. Through costly-coloured glass and paper-mended window, through cathedral dome and rotten crevice, it shed its equal ray. It lighted up the room where the murdered woman lay. It did. He tried to shut it out, but it would stream in. If the sight had been a ghastly one in the dull morning, what was it, now, in all that brilliant light!</w:t>
      </w:r>
      <w:r w:rsidR="00B66395" w:rsidRPr="004A6696">
        <w:rPr>
          <w:rStyle w:val="FootnoteReference"/>
        </w:rPr>
        <w:footnoteReference w:id="42"/>
      </w:r>
      <w:r w:rsidR="00EB2B05">
        <w:rPr>
          <w:sz w:val="24"/>
          <w:szCs w:val="24"/>
        </w:rPr>
        <w:t xml:space="preserve"> </w:t>
      </w:r>
    </w:p>
    <w:p w14:paraId="16DABC90" w14:textId="77777777" w:rsidR="00D55B7D" w:rsidRDefault="00D55B7D" w:rsidP="00B72E82">
      <w:pPr>
        <w:tabs>
          <w:tab w:val="left" w:pos="560"/>
          <w:tab w:val="left" w:pos="3828"/>
        </w:tabs>
        <w:spacing w:after="0" w:line="480" w:lineRule="auto"/>
        <w:rPr>
          <w:sz w:val="24"/>
          <w:szCs w:val="24"/>
        </w:rPr>
      </w:pPr>
    </w:p>
    <w:p w14:paraId="1919BD25" w14:textId="6D8EAF1C" w:rsidR="000A7AEC" w:rsidRDefault="000A7AEC" w:rsidP="00D914EA">
      <w:pPr>
        <w:tabs>
          <w:tab w:val="left" w:pos="560"/>
          <w:tab w:val="left" w:pos="3828"/>
        </w:tabs>
        <w:spacing w:after="0" w:line="480" w:lineRule="auto"/>
        <w:rPr>
          <w:sz w:val="24"/>
          <w:szCs w:val="24"/>
        </w:rPr>
      </w:pPr>
      <w:r>
        <w:rPr>
          <w:sz w:val="24"/>
          <w:szCs w:val="24"/>
        </w:rPr>
        <w:tab/>
      </w:r>
      <w:r>
        <w:rPr>
          <w:rStyle w:val="text"/>
          <w:sz w:val="24"/>
          <w:szCs w:val="24"/>
        </w:rPr>
        <w:t>As</w:t>
      </w:r>
      <w:r>
        <w:rPr>
          <w:sz w:val="24"/>
          <w:szCs w:val="24"/>
        </w:rPr>
        <w:t xml:space="preserve"> </w:t>
      </w:r>
      <w:r w:rsidRPr="001E0157">
        <w:rPr>
          <w:sz w:val="24"/>
          <w:szCs w:val="24"/>
        </w:rPr>
        <w:t>depictions</w:t>
      </w:r>
      <w:r>
        <w:rPr>
          <w:sz w:val="24"/>
          <w:szCs w:val="24"/>
        </w:rPr>
        <w:t xml:space="preserve"> of moral failure </w:t>
      </w:r>
      <w:r w:rsidR="00603227">
        <w:rPr>
          <w:sz w:val="24"/>
          <w:szCs w:val="24"/>
        </w:rPr>
        <w:t xml:space="preserve">and barriers to justice </w:t>
      </w:r>
      <w:r>
        <w:rPr>
          <w:sz w:val="24"/>
          <w:szCs w:val="24"/>
        </w:rPr>
        <w:t xml:space="preserve">then, each of these </w:t>
      </w:r>
      <w:r w:rsidR="00536B90">
        <w:rPr>
          <w:sz w:val="24"/>
          <w:szCs w:val="24"/>
        </w:rPr>
        <w:t xml:space="preserve">scenes </w:t>
      </w:r>
      <w:r>
        <w:rPr>
          <w:sz w:val="24"/>
          <w:szCs w:val="24"/>
        </w:rPr>
        <w:t xml:space="preserve">find their conceptual </w:t>
      </w:r>
      <w:r w:rsidR="006814E1">
        <w:rPr>
          <w:sz w:val="24"/>
          <w:szCs w:val="24"/>
        </w:rPr>
        <w:t xml:space="preserve">intelligibility </w:t>
      </w:r>
      <w:r>
        <w:rPr>
          <w:sz w:val="24"/>
          <w:szCs w:val="24"/>
        </w:rPr>
        <w:t>and plausibility in ter</w:t>
      </w:r>
      <w:r w:rsidR="0013156E">
        <w:rPr>
          <w:sz w:val="24"/>
          <w:szCs w:val="24"/>
        </w:rPr>
        <w:t>ms of the unifying metaphor of impediment, grip, movement arrested by</w:t>
      </w:r>
      <w:r>
        <w:rPr>
          <w:sz w:val="24"/>
          <w:szCs w:val="24"/>
        </w:rPr>
        <w:t xml:space="preserve"> being </w:t>
      </w:r>
      <w:r w:rsidR="00536B90">
        <w:rPr>
          <w:sz w:val="24"/>
          <w:szCs w:val="24"/>
        </w:rPr>
        <w:t xml:space="preserve">variously </w:t>
      </w:r>
      <w:r>
        <w:rPr>
          <w:sz w:val="24"/>
          <w:szCs w:val="24"/>
        </w:rPr>
        <w:t>held back</w:t>
      </w:r>
      <w:r w:rsidR="00D914EA">
        <w:rPr>
          <w:sz w:val="24"/>
          <w:szCs w:val="24"/>
        </w:rPr>
        <w:t xml:space="preserve"> or down, shut away, locked up, entangled </w:t>
      </w:r>
      <w:r>
        <w:rPr>
          <w:sz w:val="24"/>
          <w:szCs w:val="24"/>
        </w:rPr>
        <w:t xml:space="preserve">and </w:t>
      </w:r>
      <w:r w:rsidR="00536B90">
        <w:rPr>
          <w:sz w:val="24"/>
          <w:szCs w:val="24"/>
        </w:rPr>
        <w:t>mired</w:t>
      </w:r>
      <w:r w:rsidRPr="001E0157">
        <w:rPr>
          <w:sz w:val="24"/>
          <w:szCs w:val="24"/>
        </w:rPr>
        <w:t>.</w:t>
      </w:r>
      <w:r w:rsidR="00660C51">
        <w:rPr>
          <w:sz w:val="24"/>
          <w:szCs w:val="24"/>
        </w:rPr>
        <w:t xml:space="preserve"> It is fairly clear </w:t>
      </w:r>
      <w:r w:rsidR="00660C51" w:rsidRPr="001E0157">
        <w:rPr>
          <w:sz w:val="24"/>
          <w:szCs w:val="24"/>
        </w:rPr>
        <w:t>therefore t</w:t>
      </w:r>
      <w:r w:rsidR="00660C51">
        <w:rPr>
          <w:sz w:val="24"/>
          <w:szCs w:val="24"/>
        </w:rPr>
        <w:t xml:space="preserve">hat encumbrance/escape is </w:t>
      </w:r>
      <w:r w:rsidR="00660C51">
        <w:rPr>
          <w:sz w:val="24"/>
          <w:szCs w:val="24"/>
        </w:rPr>
        <w:lastRenderedPageBreak/>
        <w:t xml:space="preserve">indeed </w:t>
      </w:r>
      <w:r w:rsidR="00660C51" w:rsidRPr="001E0157">
        <w:rPr>
          <w:sz w:val="24"/>
          <w:szCs w:val="24"/>
        </w:rPr>
        <w:t xml:space="preserve">a ‘living’ metaphor in </w:t>
      </w:r>
      <w:r w:rsidR="00536B90">
        <w:rPr>
          <w:sz w:val="24"/>
          <w:szCs w:val="24"/>
        </w:rPr>
        <w:t>literature, and provides a wealth of associations with notions of justice</w:t>
      </w:r>
      <w:r w:rsidR="00660C51">
        <w:rPr>
          <w:sz w:val="24"/>
          <w:szCs w:val="24"/>
        </w:rPr>
        <w:t>.</w:t>
      </w:r>
    </w:p>
    <w:p w14:paraId="19FD2846" w14:textId="77777777" w:rsidR="00835286" w:rsidRDefault="00835286" w:rsidP="000A7AEC">
      <w:pPr>
        <w:tabs>
          <w:tab w:val="left" w:pos="560"/>
          <w:tab w:val="left" w:pos="3828"/>
        </w:tabs>
        <w:spacing w:after="0" w:line="480" w:lineRule="auto"/>
        <w:rPr>
          <w:sz w:val="24"/>
          <w:szCs w:val="24"/>
        </w:rPr>
      </w:pPr>
    </w:p>
    <w:p w14:paraId="0D0ACB4C" w14:textId="5D38A2DD" w:rsidR="00835286" w:rsidRPr="00835286" w:rsidRDefault="002F7265" w:rsidP="000A7AEC">
      <w:pPr>
        <w:tabs>
          <w:tab w:val="left" w:pos="560"/>
          <w:tab w:val="left" w:pos="3828"/>
        </w:tabs>
        <w:spacing w:after="0" w:line="480" w:lineRule="auto"/>
        <w:rPr>
          <w:i/>
          <w:iCs/>
          <w:sz w:val="24"/>
          <w:szCs w:val="24"/>
        </w:rPr>
      </w:pPr>
      <w:r>
        <w:rPr>
          <w:i/>
          <w:iCs/>
          <w:sz w:val="24"/>
          <w:szCs w:val="24"/>
        </w:rPr>
        <w:t xml:space="preserve">2.2. </w:t>
      </w:r>
      <w:r w:rsidR="00835286">
        <w:rPr>
          <w:i/>
          <w:iCs/>
          <w:sz w:val="24"/>
          <w:szCs w:val="24"/>
        </w:rPr>
        <w:t xml:space="preserve">Encumbrance/escape as a living metaphor </w:t>
      </w:r>
      <w:r w:rsidR="00CF471B">
        <w:rPr>
          <w:i/>
          <w:iCs/>
          <w:sz w:val="24"/>
          <w:szCs w:val="24"/>
        </w:rPr>
        <w:t xml:space="preserve">in legal language </w:t>
      </w:r>
    </w:p>
    <w:p w14:paraId="1FFECCFD" w14:textId="77777777" w:rsidR="00835286" w:rsidRPr="001E0157" w:rsidRDefault="00835286" w:rsidP="000A7AEC">
      <w:pPr>
        <w:tabs>
          <w:tab w:val="left" w:pos="560"/>
          <w:tab w:val="left" w:pos="3828"/>
        </w:tabs>
        <w:spacing w:after="0" w:line="480" w:lineRule="auto"/>
        <w:rPr>
          <w:sz w:val="24"/>
          <w:szCs w:val="24"/>
        </w:rPr>
      </w:pPr>
    </w:p>
    <w:p w14:paraId="7F760AFE" w14:textId="422AC03A" w:rsidR="00CC1B0A" w:rsidRDefault="00D914EA" w:rsidP="00D914EA">
      <w:pPr>
        <w:tabs>
          <w:tab w:val="left" w:pos="560"/>
          <w:tab w:val="left" w:pos="3828"/>
        </w:tabs>
        <w:spacing w:after="0" w:line="480" w:lineRule="auto"/>
        <w:rPr>
          <w:sz w:val="24"/>
          <w:szCs w:val="24"/>
        </w:rPr>
      </w:pPr>
      <w:r>
        <w:rPr>
          <w:sz w:val="24"/>
          <w:szCs w:val="24"/>
        </w:rPr>
        <w:t>Having outlined the encumbrance/escape a</w:t>
      </w:r>
      <w:r w:rsidR="0027019E">
        <w:rPr>
          <w:sz w:val="24"/>
          <w:szCs w:val="24"/>
        </w:rPr>
        <w:t xml:space="preserve">s a living metaphor </w:t>
      </w:r>
      <w:r>
        <w:rPr>
          <w:sz w:val="24"/>
          <w:szCs w:val="24"/>
        </w:rPr>
        <w:t xml:space="preserve">for a range of evaluative ideas that include morality and justice in literature and culture, the task now is to consider its role </w:t>
      </w:r>
      <w:r w:rsidR="008F3C51" w:rsidRPr="001E0157">
        <w:rPr>
          <w:sz w:val="24"/>
          <w:szCs w:val="24"/>
        </w:rPr>
        <w:t xml:space="preserve">in </w:t>
      </w:r>
      <w:r w:rsidR="00DE5A2A" w:rsidRPr="001E0157">
        <w:rPr>
          <w:sz w:val="24"/>
          <w:szCs w:val="24"/>
        </w:rPr>
        <w:t>legal</w:t>
      </w:r>
      <w:r w:rsidR="00DE5A2A" w:rsidRPr="001E0157">
        <w:rPr>
          <w:i/>
          <w:iCs/>
          <w:sz w:val="24"/>
          <w:szCs w:val="24"/>
        </w:rPr>
        <w:t xml:space="preserve"> </w:t>
      </w:r>
      <w:r>
        <w:rPr>
          <w:sz w:val="24"/>
          <w:szCs w:val="24"/>
        </w:rPr>
        <w:t>language</w:t>
      </w:r>
      <w:r w:rsidR="00660C51">
        <w:rPr>
          <w:sz w:val="24"/>
          <w:szCs w:val="24"/>
        </w:rPr>
        <w:t>.</w:t>
      </w:r>
      <w:r w:rsidR="008F3C51" w:rsidRPr="001E0157">
        <w:rPr>
          <w:sz w:val="24"/>
          <w:szCs w:val="24"/>
        </w:rPr>
        <w:t xml:space="preserve"> </w:t>
      </w:r>
      <w:r w:rsidR="00390DCE">
        <w:rPr>
          <w:sz w:val="24"/>
          <w:szCs w:val="24"/>
        </w:rPr>
        <w:t>S</w:t>
      </w:r>
      <w:r w:rsidR="009250D3">
        <w:rPr>
          <w:sz w:val="24"/>
          <w:szCs w:val="24"/>
        </w:rPr>
        <w:t>cholarship</w:t>
      </w:r>
      <w:r w:rsidR="00C05E8E">
        <w:rPr>
          <w:sz w:val="24"/>
          <w:szCs w:val="24"/>
        </w:rPr>
        <w:t xml:space="preserve"> </w:t>
      </w:r>
      <w:r w:rsidR="00390DCE">
        <w:rPr>
          <w:sz w:val="24"/>
          <w:szCs w:val="24"/>
        </w:rPr>
        <w:t>that has addressed metaphors underpinning legal concepts seems generally to have focused on those metaphors that we have</w:t>
      </w:r>
      <w:r w:rsidR="00660C51">
        <w:rPr>
          <w:sz w:val="24"/>
          <w:szCs w:val="24"/>
        </w:rPr>
        <w:t xml:space="preserve"> identified here as </w:t>
      </w:r>
      <w:r w:rsidR="00390DCE">
        <w:rPr>
          <w:sz w:val="24"/>
          <w:szCs w:val="24"/>
        </w:rPr>
        <w:t xml:space="preserve">its </w:t>
      </w:r>
      <w:r w:rsidR="00660C51">
        <w:rPr>
          <w:sz w:val="24"/>
          <w:szCs w:val="24"/>
        </w:rPr>
        <w:t>component elements</w:t>
      </w:r>
      <w:r w:rsidR="00390DCE">
        <w:rPr>
          <w:sz w:val="24"/>
          <w:szCs w:val="24"/>
        </w:rPr>
        <w:t>, but without hitherto relating this explicitly to encumbrance/escape</w:t>
      </w:r>
      <w:r w:rsidR="00396496">
        <w:rPr>
          <w:sz w:val="24"/>
          <w:szCs w:val="24"/>
        </w:rPr>
        <w:t xml:space="preserve">. </w:t>
      </w:r>
      <w:r w:rsidR="009250D3">
        <w:rPr>
          <w:sz w:val="24"/>
          <w:szCs w:val="24"/>
        </w:rPr>
        <w:t xml:space="preserve">For example, </w:t>
      </w:r>
      <w:r w:rsidR="009250D3" w:rsidRPr="001E0157">
        <w:rPr>
          <w:sz w:val="24"/>
          <w:szCs w:val="24"/>
        </w:rPr>
        <w:t xml:space="preserve">Philipopoulous-Mihalopoulous </w:t>
      </w:r>
      <w:r w:rsidR="009250D3">
        <w:rPr>
          <w:sz w:val="24"/>
          <w:szCs w:val="24"/>
        </w:rPr>
        <w:t xml:space="preserve">describes </w:t>
      </w:r>
      <w:r w:rsidR="00F36A33" w:rsidRPr="001E0157">
        <w:rPr>
          <w:sz w:val="24"/>
          <w:szCs w:val="24"/>
        </w:rPr>
        <w:t xml:space="preserve">familiar </w:t>
      </w:r>
      <w:r w:rsidR="0027019E">
        <w:rPr>
          <w:i/>
          <w:sz w:val="24"/>
          <w:szCs w:val="24"/>
        </w:rPr>
        <w:t xml:space="preserve">orientation </w:t>
      </w:r>
      <w:r w:rsidR="0092286D" w:rsidRPr="001E0157">
        <w:rPr>
          <w:sz w:val="24"/>
          <w:szCs w:val="24"/>
        </w:rPr>
        <w:t>metaphor</w:t>
      </w:r>
      <w:r w:rsidR="001A29B0" w:rsidRPr="001E0157">
        <w:rPr>
          <w:sz w:val="24"/>
          <w:szCs w:val="24"/>
        </w:rPr>
        <w:t>s such as</w:t>
      </w:r>
      <w:r w:rsidR="0092286D" w:rsidRPr="001E0157">
        <w:rPr>
          <w:sz w:val="24"/>
          <w:szCs w:val="24"/>
        </w:rPr>
        <w:t xml:space="preserve"> </w:t>
      </w:r>
      <w:r w:rsidR="00151DAD">
        <w:rPr>
          <w:sz w:val="24"/>
          <w:szCs w:val="24"/>
        </w:rPr>
        <w:t xml:space="preserve">legal </w:t>
      </w:r>
      <w:r w:rsidR="0092286D" w:rsidRPr="001E0157">
        <w:rPr>
          <w:sz w:val="24"/>
          <w:szCs w:val="24"/>
        </w:rPr>
        <w:t>‘standing’</w:t>
      </w:r>
      <w:r w:rsidR="00151DAD">
        <w:rPr>
          <w:sz w:val="24"/>
          <w:szCs w:val="24"/>
        </w:rPr>
        <w:t>, which by e</w:t>
      </w:r>
      <w:r w:rsidR="0014787F" w:rsidRPr="001E0157">
        <w:rPr>
          <w:sz w:val="24"/>
          <w:szCs w:val="24"/>
        </w:rPr>
        <w:t xml:space="preserve">voking </w:t>
      </w:r>
      <w:r w:rsidR="00151DAD">
        <w:rPr>
          <w:sz w:val="24"/>
          <w:szCs w:val="24"/>
        </w:rPr>
        <w:t xml:space="preserve">and with implicit approval </w:t>
      </w:r>
      <w:r w:rsidR="00390DCE">
        <w:rPr>
          <w:sz w:val="24"/>
          <w:szCs w:val="24"/>
        </w:rPr>
        <w:t xml:space="preserve">for </w:t>
      </w:r>
      <w:r w:rsidR="0014787F" w:rsidRPr="001E0157">
        <w:rPr>
          <w:sz w:val="24"/>
          <w:szCs w:val="24"/>
        </w:rPr>
        <w:t xml:space="preserve">(as </w:t>
      </w:r>
      <w:r w:rsidR="00390DCE">
        <w:rPr>
          <w:sz w:val="24"/>
          <w:szCs w:val="24"/>
        </w:rPr>
        <w:t xml:space="preserve">he </w:t>
      </w:r>
      <w:r w:rsidR="0014787F" w:rsidRPr="001E0157">
        <w:rPr>
          <w:sz w:val="24"/>
          <w:szCs w:val="24"/>
        </w:rPr>
        <w:t xml:space="preserve">has put it) </w:t>
      </w:r>
      <w:r w:rsidR="00483438" w:rsidRPr="001E0157">
        <w:rPr>
          <w:sz w:val="24"/>
          <w:szCs w:val="24"/>
        </w:rPr>
        <w:t>‘</w:t>
      </w:r>
      <w:r w:rsidR="0092286D" w:rsidRPr="001E0157">
        <w:rPr>
          <w:sz w:val="24"/>
          <w:szCs w:val="24"/>
        </w:rPr>
        <w:t xml:space="preserve">an erect </w:t>
      </w:r>
      <w:r w:rsidR="00811201" w:rsidRPr="001E0157">
        <w:rPr>
          <w:sz w:val="24"/>
          <w:szCs w:val="24"/>
        </w:rPr>
        <w:t>…</w:t>
      </w:r>
      <w:r w:rsidR="0092286D" w:rsidRPr="001E0157">
        <w:rPr>
          <w:sz w:val="24"/>
          <w:szCs w:val="24"/>
        </w:rPr>
        <w:t xml:space="preserve"> posture </w:t>
      </w:r>
      <w:r w:rsidR="00811201" w:rsidRPr="001E0157">
        <w:rPr>
          <w:sz w:val="24"/>
          <w:szCs w:val="24"/>
        </w:rPr>
        <w:t>…</w:t>
      </w:r>
      <w:r w:rsidR="0092286D" w:rsidRPr="001E0157">
        <w:rPr>
          <w:sz w:val="24"/>
          <w:szCs w:val="24"/>
        </w:rPr>
        <w:t xml:space="preserve"> before the court, despite the fact that one might be burdened by the carry</w:t>
      </w:r>
      <w:r w:rsidR="0014787F" w:rsidRPr="001E0157">
        <w:rPr>
          <w:sz w:val="24"/>
          <w:szCs w:val="24"/>
        </w:rPr>
        <w:t>ing of a right or an obligation’</w:t>
      </w:r>
      <w:r w:rsidR="0092286D" w:rsidRPr="004A6696">
        <w:rPr>
          <w:rStyle w:val="FootnoteReference"/>
        </w:rPr>
        <w:footnoteReference w:id="43"/>
      </w:r>
      <w:r w:rsidR="0014787F" w:rsidRPr="001E0157">
        <w:rPr>
          <w:sz w:val="24"/>
          <w:szCs w:val="24"/>
        </w:rPr>
        <w:t xml:space="preserve"> </w:t>
      </w:r>
      <w:r w:rsidR="00022772">
        <w:rPr>
          <w:sz w:val="24"/>
          <w:szCs w:val="24"/>
        </w:rPr>
        <w:t xml:space="preserve">associates the gaining of law’s </w:t>
      </w:r>
      <w:r w:rsidR="00151DAD">
        <w:rPr>
          <w:sz w:val="24"/>
          <w:szCs w:val="24"/>
        </w:rPr>
        <w:t xml:space="preserve">attention </w:t>
      </w:r>
      <w:r w:rsidR="00022772">
        <w:rPr>
          <w:sz w:val="24"/>
          <w:szCs w:val="24"/>
        </w:rPr>
        <w:t xml:space="preserve">with </w:t>
      </w:r>
      <w:r w:rsidR="009250D3">
        <w:rPr>
          <w:sz w:val="24"/>
          <w:szCs w:val="24"/>
        </w:rPr>
        <w:t xml:space="preserve">orienting oneself vertically </w:t>
      </w:r>
      <w:r w:rsidR="00022772">
        <w:rPr>
          <w:sz w:val="24"/>
          <w:szCs w:val="24"/>
        </w:rPr>
        <w:t xml:space="preserve">and </w:t>
      </w:r>
      <w:r w:rsidR="009250D3">
        <w:rPr>
          <w:sz w:val="24"/>
          <w:szCs w:val="24"/>
        </w:rPr>
        <w:t xml:space="preserve">as such </w:t>
      </w:r>
      <w:r w:rsidR="00022772">
        <w:rPr>
          <w:sz w:val="24"/>
          <w:szCs w:val="24"/>
        </w:rPr>
        <w:t>against the physical downward constraint of gravity</w:t>
      </w:r>
      <w:r w:rsidR="0014787F" w:rsidRPr="001E0157">
        <w:rPr>
          <w:sz w:val="24"/>
          <w:szCs w:val="24"/>
        </w:rPr>
        <w:t>.</w:t>
      </w:r>
      <w:r w:rsidR="00840533" w:rsidRPr="001E0157">
        <w:rPr>
          <w:sz w:val="24"/>
          <w:szCs w:val="24"/>
        </w:rPr>
        <w:t xml:space="preserve"> </w:t>
      </w:r>
      <w:r w:rsidR="00CF471B">
        <w:rPr>
          <w:sz w:val="24"/>
          <w:szCs w:val="24"/>
        </w:rPr>
        <w:t xml:space="preserve">Secondly, </w:t>
      </w:r>
      <w:r w:rsidR="00396496" w:rsidRPr="001E0157">
        <w:rPr>
          <w:sz w:val="24"/>
          <w:szCs w:val="24"/>
        </w:rPr>
        <w:t>Nicola Lacey</w:t>
      </w:r>
      <w:r w:rsidR="00CF471B">
        <w:rPr>
          <w:sz w:val="24"/>
          <w:szCs w:val="24"/>
        </w:rPr>
        <w:t xml:space="preserve"> proposes</w:t>
      </w:r>
      <w:r w:rsidR="00396496" w:rsidRPr="001E0157">
        <w:rPr>
          <w:iCs/>
          <w:sz w:val="24"/>
          <w:szCs w:val="24"/>
        </w:rPr>
        <w:t xml:space="preserve"> </w:t>
      </w:r>
      <w:r w:rsidR="00CF471B">
        <w:rPr>
          <w:iCs/>
          <w:sz w:val="24"/>
          <w:szCs w:val="24"/>
        </w:rPr>
        <w:t>‘</w:t>
      </w:r>
      <w:r w:rsidR="000A799D">
        <w:rPr>
          <w:iCs/>
          <w:sz w:val="24"/>
          <w:szCs w:val="24"/>
        </w:rPr>
        <w:t>proportionality</w:t>
      </w:r>
      <w:r w:rsidR="00CF471B">
        <w:rPr>
          <w:iCs/>
          <w:sz w:val="24"/>
          <w:szCs w:val="24"/>
        </w:rPr>
        <w:t>’</w:t>
      </w:r>
      <w:r w:rsidR="000A799D">
        <w:rPr>
          <w:iCs/>
          <w:sz w:val="24"/>
          <w:szCs w:val="24"/>
        </w:rPr>
        <w:t xml:space="preserve"> </w:t>
      </w:r>
      <w:r w:rsidR="00CF471B">
        <w:rPr>
          <w:iCs/>
          <w:sz w:val="24"/>
          <w:szCs w:val="24"/>
        </w:rPr>
        <w:t>a</w:t>
      </w:r>
      <w:r w:rsidR="000A799D">
        <w:rPr>
          <w:iCs/>
          <w:sz w:val="24"/>
          <w:szCs w:val="24"/>
        </w:rPr>
        <w:t xml:space="preserve">s a metaphor </w:t>
      </w:r>
      <w:r w:rsidR="00CF471B">
        <w:rPr>
          <w:iCs/>
          <w:sz w:val="24"/>
          <w:szCs w:val="24"/>
        </w:rPr>
        <w:t>underpinning</w:t>
      </w:r>
      <w:r w:rsidR="00844B95">
        <w:rPr>
          <w:iCs/>
          <w:sz w:val="24"/>
          <w:szCs w:val="24"/>
        </w:rPr>
        <w:t xml:space="preserve"> </w:t>
      </w:r>
      <w:r w:rsidR="00CF471B">
        <w:rPr>
          <w:iCs/>
          <w:sz w:val="24"/>
          <w:szCs w:val="24"/>
        </w:rPr>
        <w:t xml:space="preserve">law’s claim to legitimacy across </w:t>
      </w:r>
      <w:r w:rsidR="00844B95">
        <w:rPr>
          <w:iCs/>
          <w:sz w:val="24"/>
          <w:szCs w:val="24"/>
        </w:rPr>
        <w:t xml:space="preserve">range of criminal, civil, constitutional and commercial </w:t>
      </w:r>
      <w:r w:rsidR="006E38EB">
        <w:rPr>
          <w:iCs/>
          <w:sz w:val="24"/>
          <w:szCs w:val="24"/>
        </w:rPr>
        <w:t>issues</w:t>
      </w:r>
      <w:r w:rsidR="00CF471B">
        <w:rPr>
          <w:iCs/>
          <w:sz w:val="24"/>
          <w:szCs w:val="24"/>
        </w:rPr>
        <w:t xml:space="preserve">, </w:t>
      </w:r>
      <w:r w:rsidR="000A799D">
        <w:rPr>
          <w:sz w:val="24"/>
          <w:szCs w:val="24"/>
        </w:rPr>
        <w:t xml:space="preserve">in terms of </w:t>
      </w:r>
      <w:r w:rsidR="009250D3">
        <w:rPr>
          <w:sz w:val="24"/>
          <w:szCs w:val="24"/>
        </w:rPr>
        <w:t xml:space="preserve">measuring </w:t>
      </w:r>
      <w:r w:rsidR="000A799D">
        <w:rPr>
          <w:sz w:val="24"/>
          <w:szCs w:val="24"/>
        </w:rPr>
        <w:t>the</w:t>
      </w:r>
      <w:r w:rsidR="00396496" w:rsidRPr="001E0157">
        <w:rPr>
          <w:sz w:val="24"/>
          <w:szCs w:val="24"/>
        </w:rPr>
        <w:t xml:space="preserve"> ‘right amount’</w:t>
      </w:r>
      <w:r w:rsidR="009250D3">
        <w:rPr>
          <w:sz w:val="24"/>
          <w:szCs w:val="24"/>
        </w:rPr>
        <w:t xml:space="preserve"> on a figurative scale</w:t>
      </w:r>
      <w:r w:rsidR="00844B95">
        <w:rPr>
          <w:sz w:val="24"/>
          <w:szCs w:val="24"/>
        </w:rPr>
        <w:t>.</w:t>
      </w:r>
      <w:r w:rsidR="00396496" w:rsidRPr="004A6696">
        <w:rPr>
          <w:rStyle w:val="FootnoteReference"/>
        </w:rPr>
        <w:footnoteReference w:id="44"/>
      </w:r>
      <w:r w:rsidR="00396496" w:rsidRPr="001E0157">
        <w:rPr>
          <w:sz w:val="24"/>
          <w:szCs w:val="24"/>
        </w:rPr>
        <w:t xml:space="preserve"> </w:t>
      </w:r>
      <w:r w:rsidR="002F7265">
        <w:rPr>
          <w:sz w:val="24"/>
          <w:szCs w:val="24"/>
        </w:rPr>
        <w:t>In one sense this</w:t>
      </w:r>
      <w:r w:rsidR="001710D9">
        <w:rPr>
          <w:sz w:val="24"/>
          <w:szCs w:val="24"/>
        </w:rPr>
        <w:t xml:space="preserve"> is</w:t>
      </w:r>
      <w:r w:rsidR="006E38EB">
        <w:rPr>
          <w:sz w:val="24"/>
          <w:szCs w:val="24"/>
        </w:rPr>
        <w:t xml:space="preserve"> </w:t>
      </w:r>
      <w:r w:rsidR="001710D9">
        <w:rPr>
          <w:sz w:val="24"/>
          <w:szCs w:val="24"/>
        </w:rPr>
        <w:t xml:space="preserve">a </w:t>
      </w:r>
      <w:r w:rsidR="006E38EB">
        <w:rPr>
          <w:sz w:val="24"/>
          <w:szCs w:val="24"/>
        </w:rPr>
        <w:t>metaphor of o</w:t>
      </w:r>
      <w:r w:rsidR="009250D3">
        <w:rPr>
          <w:sz w:val="24"/>
          <w:szCs w:val="24"/>
        </w:rPr>
        <w:t>rientation</w:t>
      </w:r>
      <w:r w:rsidR="006E38EB">
        <w:rPr>
          <w:sz w:val="24"/>
          <w:szCs w:val="24"/>
        </w:rPr>
        <w:t xml:space="preserve"> and movement (i.e. how far along a horizontal scale should we push a particular marker to achieve the right balance); it is also one of containers (the question of determining an ‘amount’ of a relevant abstract legal concept to be weighed against another). </w:t>
      </w:r>
    </w:p>
    <w:p w14:paraId="114ADF79" w14:textId="0B6638F1" w:rsidR="00396496" w:rsidRDefault="00CC1B0A" w:rsidP="00F2527E">
      <w:pPr>
        <w:tabs>
          <w:tab w:val="left" w:pos="560"/>
          <w:tab w:val="left" w:pos="3828"/>
        </w:tabs>
        <w:spacing w:after="0" w:line="480" w:lineRule="auto"/>
        <w:rPr>
          <w:sz w:val="24"/>
          <w:szCs w:val="24"/>
        </w:rPr>
      </w:pPr>
      <w:r>
        <w:rPr>
          <w:sz w:val="24"/>
          <w:szCs w:val="24"/>
        </w:rPr>
        <w:lastRenderedPageBreak/>
        <w:tab/>
      </w:r>
      <w:r w:rsidR="009722E0">
        <w:rPr>
          <w:sz w:val="24"/>
          <w:szCs w:val="24"/>
        </w:rPr>
        <w:t>‘Container’ metaphors are identifiable in legal discourse</w:t>
      </w:r>
      <w:r w:rsidR="003424E4">
        <w:rPr>
          <w:sz w:val="24"/>
          <w:szCs w:val="24"/>
        </w:rPr>
        <w:t xml:space="preserve"> too, in which legal concepts and ideas are conceptualised in terms of bounded space. Our own </w:t>
      </w:r>
      <w:r w:rsidR="009722E0">
        <w:rPr>
          <w:sz w:val="24"/>
          <w:szCs w:val="24"/>
        </w:rPr>
        <w:t xml:space="preserve">body </w:t>
      </w:r>
      <w:r w:rsidR="003424E4">
        <w:rPr>
          <w:sz w:val="24"/>
          <w:szCs w:val="24"/>
        </w:rPr>
        <w:t xml:space="preserve">being a container in this sense </w:t>
      </w:r>
      <w:r w:rsidR="002F7265">
        <w:rPr>
          <w:sz w:val="24"/>
          <w:szCs w:val="24"/>
        </w:rPr>
        <w:t>(</w:t>
      </w:r>
      <w:r w:rsidR="009722E0">
        <w:rPr>
          <w:sz w:val="24"/>
          <w:szCs w:val="24"/>
        </w:rPr>
        <w:t>as an example of an enti</w:t>
      </w:r>
      <w:r w:rsidR="003424E4">
        <w:rPr>
          <w:sz w:val="24"/>
          <w:szCs w:val="24"/>
        </w:rPr>
        <w:t>ty enclosed and separated from the world by the</w:t>
      </w:r>
      <w:r w:rsidR="002F7265">
        <w:rPr>
          <w:sz w:val="24"/>
          <w:szCs w:val="24"/>
        </w:rPr>
        <w:t xml:space="preserve"> surface</w:t>
      </w:r>
      <w:r w:rsidR="003424E4">
        <w:rPr>
          <w:sz w:val="24"/>
          <w:szCs w:val="24"/>
        </w:rPr>
        <w:t xml:space="preserve"> of the skin</w:t>
      </w:r>
      <w:r w:rsidR="002F7265">
        <w:rPr>
          <w:sz w:val="24"/>
          <w:szCs w:val="24"/>
        </w:rPr>
        <w:t>)</w:t>
      </w:r>
      <w:r w:rsidR="003424E4">
        <w:rPr>
          <w:sz w:val="24"/>
          <w:szCs w:val="24"/>
        </w:rPr>
        <w:t>,</w:t>
      </w:r>
      <w:r w:rsidR="003424E4" w:rsidRPr="004A6696">
        <w:rPr>
          <w:rStyle w:val="FootnoteReference"/>
        </w:rPr>
        <w:footnoteReference w:id="45"/>
      </w:r>
      <w:r w:rsidR="003424E4">
        <w:rPr>
          <w:sz w:val="24"/>
          <w:szCs w:val="24"/>
        </w:rPr>
        <w:t xml:space="preserve"> we might think of </w:t>
      </w:r>
      <w:r w:rsidR="009722E0">
        <w:rPr>
          <w:sz w:val="24"/>
          <w:szCs w:val="24"/>
        </w:rPr>
        <w:t>metaphor</w:t>
      </w:r>
      <w:r w:rsidR="002F7265">
        <w:rPr>
          <w:sz w:val="24"/>
          <w:szCs w:val="24"/>
        </w:rPr>
        <w:t>s</w:t>
      </w:r>
      <w:r w:rsidR="009722E0">
        <w:rPr>
          <w:sz w:val="24"/>
          <w:szCs w:val="24"/>
        </w:rPr>
        <w:t xml:space="preserve"> </w:t>
      </w:r>
      <w:r w:rsidR="002F7265">
        <w:rPr>
          <w:sz w:val="24"/>
          <w:szCs w:val="24"/>
        </w:rPr>
        <w:t>such as</w:t>
      </w:r>
      <w:r w:rsidR="009722E0">
        <w:rPr>
          <w:sz w:val="24"/>
          <w:szCs w:val="24"/>
        </w:rPr>
        <w:t xml:space="preserve"> the ‘body of law’ or the ‘limbs’ of a legal test</w:t>
      </w:r>
      <w:r w:rsidR="003424E4">
        <w:rPr>
          <w:sz w:val="24"/>
          <w:szCs w:val="24"/>
        </w:rPr>
        <w:t xml:space="preserve"> as container metaphors</w:t>
      </w:r>
      <w:r w:rsidR="009722E0">
        <w:rPr>
          <w:sz w:val="24"/>
          <w:szCs w:val="24"/>
        </w:rPr>
        <w:t>. Consider</w:t>
      </w:r>
      <w:r w:rsidR="003424E4">
        <w:rPr>
          <w:sz w:val="24"/>
          <w:szCs w:val="24"/>
        </w:rPr>
        <w:t xml:space="preserve"> also </w:t>
      </w:r>
      <w:r w:rsidR="009722E0">
        <w:rPr>
          <w:sz w:val="24"/>
          <w:szCs w:val="24"/>
        </w:rPr>
        <w:t>socio-legal and c</w:t>
      </w:r>
      <w:r w:rsidR="00011E04">
        <w:rPr>
          <w:sz w:val="24"/>
          <w:szCs w:val="24"/>
        </w:rPr>
        <w:t>riminolog</w:t>
      </w:r>
      <w:r w:rsidR="009722E0">
        <w:rPr>
          <w:sz w:val="24"/>
          <w:szCs w:val="24"/>
        </w:rPr>
        <w:t xml:space="preserve">ical research </w:t>
      </w:r>
      <w:r w:rsidR="006E38EB">
        <w:rPr>
          <w:sz w:val="24"/>
          <w:szCs w:val="24"/>
        </w:rPr>
        <w:t xml:space="preserve">that </w:t>
      </w:r>
      <w:r w:rsidR="009722E0">
        <w:rPr>
          <w:sz w:val="24"/>
          <w:szCs w:val="24"/>
        </w:rPr>
        <w:t xml:space="preserve">seeks </w:t>
      </w:r>
      <w:r w:rsidR="00011E04">
        <w:rPr>
          <w:sz w:val="24"/>
          <w:szCs w:val="24"/>
        </w:rPr>
        <w:t xml:space="preserve">to </w:t>
      </w:r>
      <w:r w:rsidR="009722E0">
        <w:rPr>
          <w:sz w:val="24"/>
          <w:szCs w:val="24"/>
        </w:rPr>
        <w:t xml:space="preserve">understand how </w:t>
      </w:r>
      <w:r w:rsidR="00396496">
        <w:rPr>
          <w:sz w:val="24"/>
          <w:szCs w:val="24"/>
        </w:rPr>
        <w:t xml:space="preserve">fear of crime </w:t>
      </w:r>
      <w:r w:rsidR="009722E0">
        <w:rPr>
          <w:sz w:val="24"/>
          <w:szCs w:val="24"/>
        </w:rPr>
        <w:t>differs across different urban environments</w:t>
      </w:r>
      <w:r w:rsidR="00011E04">
        <w:rPr>
          <w:sz w:val="24"/>
          <w:szCs w:val="24"/>
        </w:rPr>
        <w:t>. Researchers have observed</w:t>
      </w:r>
      <w:r w:rsidR="00396496">
        <w:rPr>
          <w:sz w:val="24"/>
          <w:szCs w:val="24"/>
        </w:rPr>
        <w:t xml:space="preserve"> </w:t>
      </w:r>
      <w:r w:rsidR="00011E04">
        <w:rPr>
          <w:sz w:val="24"/>
          <w:szCs w:val="24"/>
        </w:rPr>
        <w:t xml:space="preserve">that </w:t>
      </w:r>
      <w:r w:rsidR="00396496">
        <w:rPr>
          <w:sz w:val="24"/>
          <w:szCs w:val="24"/>
        </w:rPr>
        <w:t xml:space="preserve">anxieties about urban areas </w:t>
      </w:r>
      <w:r w:rsidR="00011E04">
        <w:rPr>
          <w:sz w:val="24"/>
          <w:szCs w:val="24"/>
        </w:rPr>
        <w:t xml:space="preserve">such as bridges, underpasses, parks and parking lots are associated with the tendency of those ‘liminal’ spaces to render the </w:t>
      </w:r>
      <w:r w:rsidR="00396496">
        <w:rPr>
          <w:sz w:val="24"/>
          <w:szCs w:val="24"/>
        </w:rPr>
        <w:t>boundar</w:t>
      </w:r>
      <w:r w:rsidR="00011E04">
        <w:rPr>
          <w:sz w:val="24"/>
          <w:szCs w:val="24"/>
        </w:rPr>
        <w:t xml:space="preserve">y around each particular neighbourhood </w:t>
      </w:r>
      <w:r w:rsidR="00396496">
        <w:rPr>
          <w:sz w:val="24"/>
          <w:szCs w:val="24"/>
        </w:rPr>
        <w:t>indistinct</w:t>
      </w:r>
      <w:r w:rsidR="00011E04">
        <w:rPr>
          <w:sz w:val="24"/>
          <w:szCs w:val="24"/>
        </w:rPr>
        <w:t xml:space="preserve">. </w:t>
      </w:r>
      <w:r w:rsidR="004C0FBF">
        <w:rPr>
          <w:sz w:val="24"/>
          <w:szCs w:val="24"/>
        </w:rPr>
        <w:t xml:space="preserve">Our experience of boundaries that are </w:t>
      </w:r>
      <w:r w:rsidR="004C0FBF">
        <w:rPr>
          <w:i/>
          <w:sz w:val="24"/>
          <w:szCs w:val="24"/>
        </w:rPr>
        <w:t>in</w:t>
      </w:r>
      <w:r w:rsidR="004C0FBF">
        <w:rPr>
          <w:sz w:val="24"/>
          <w:szCs w:val="24"/>
        </w:rPr>
        <w:t>distinct can be unsettling precisely because we are used to thinking of security in terms of bounded spaces</w:t>
      </w:r>
      <w:r w:rsidR="003424E4">
        <w:rPr>
          <w:sz w:val="24"/>
          <w:szCs w:val="24"/>
        </w:rPr>
        <w:t>, and the rupture of boundaries by extension with the rupture of</w:t>
      </w:r>
      <w:r w:rsidR="004C0FBF">
        <w:rPr>
          <w:sz w:val="24"/>
          <w:szCs w:val="24"/>
        </w:rPr>
        <w:t xml:space="preserve"> </w:t>
      </w:r>
      <w:r w:rsidR="003424E4">
        <w:rPr>
          <w:sz w:val="24"/>
          <w:szCs w:val="24"/>
        </w:rPr>
        <w:t>our own skin</w:t>
      </w:r>
      <w:r w:rsidR="004C0FBF">
        <w:rPr>
          <w:sz w:val="24"/>
          <w:szCs w:val="24"/>
        </w:rPr>
        <w:t>.</w:t>
      </w:r>
      <w:r w:rsidR="00396496">
        <w:rPr>
          <w:sz w:val="24"/>
          <w:szCs w:val="24"/>
        </w:rPr>
        <w:t xml:space="preserve"> </w:t>
      </w:r>
      <w:r w:rsidR="004C0FBF">
        <w:rPr>
          <w:sz w:val="24"/>
          <w:szCs w:val="24"/>
        </w:rPr>
        <w:t>To encounter a rupture in an important boundary, particularly if this results in the creation of a</w:t>
      </w:r>
      <w:r w:rsidR="00EF1CA8">
        <w:rPr>
          <w:sz w:val="24"/>
          <w:szCs w:val="24"/>
        </w:rPr>
        <w:t>n</w:t>
      </w:r>
      <w:r w:rsidR="004C0FBF">
        <w:rPr>
          <w:sz w:val="24"/>
          <w:szCs w:val="24"/>
        </w:rPr>
        <w:t xml:space="preserve"> area that is closed off from general observation causes a two-fold jarring with the underling container metaphor, since we simultaneously experience </w:t>
      </w:r>
      <w:r w:rsidR="00D7058A">
        <w:rPr>
          <w:sz w:val="24"/>
          <w:szCs w:val="24"/>
        </w:rPr>
        <w:t xml:space="preserve">both </w:t>
      </w:r>
      <w:r w:rsidR="004C0FBF">
        <w:rPr>
          <w:sz w:val="24"/>
          <w:szCs w:val="24"/>
        </w:rPr>
        <w:t xml:space="preserve">the rupturing of the container in which we </w:t>
      </w:r>
      <w:r w:rsidR="003424E4">
        <w:rPr>
          <w:sz w:val="24"/>
          <w:szCs w:val="24"/>
        </w:rPr>
        <w:t xml:space="preserve">want to think of ourselves as </w:t>
      </w:r>
      <w:r w:rsidR="004C0FBF">
        <w:rPr>
          <w:sz w:val="24"/>
          <w:szCs w:val="24"/>
        </w:rPr>
        <w:t xml:space="preserve">secure </w:t>
      </w:r>
      <w:r w:rsidR="003424E4">
        <w:rPr>
          <w:sz w:val="24"/>
          <w:szCs w:val="24"/>
        </w:rPr>
        <w:t xml:space="preserve">and implicitly associate with our own skin </w:t>
      </w:r>
      <w:r w:rsidR="004C0FBF">
        <w:rPr>
          <w:sz w:val="24"/>
          <w:szCs w:val="24"/>
        </w:rPr>
        <w:t>(</w:t>
      </w:r>
      <w:r w:rsidR="003424E4">
        <w:rPr>
          <w:sz w:val="24"/>
          <w:szCs w:val="24"/>
        </w:rPr>
        <w:t xml:space="preserve">i.e. </w:t>
      </w:r>
      <w:r w:rsidR="00AF5810">
        <w:rPr>
          <w:sz w:val="24"/>
          <w:szCs w:val="24"/>
        </w:rPr>
        <w:t>our</w:t>
      </w:r>
      <w:r w:rsidR="003424E4">
        <w:rPr>
          <w:sz w:val="24"/>
          <w:szCs w:val="24"/>
        </w:rPr>
        <w:t xml:space="preserve"> </w:t>
      </w:r>
      <w:r w:rsidR="004C0FBF">
        <w:rPr>
          <w:sz w:val="24"/>
          <w:szCs w:val="24"/>
        </w:rPr>
        <w:t>neighbourhood) and also the fee</w:t>
      </w:r>
      <w:r w:rsidR="00AF5810">
        <w:rPr>
          <w:sz w:val="24"/>
          <w:szCs w:val="24"/>
        </w:rPr>
        <w:t>ling of</w:t>
      </w:r>
      <w:r w:rsidR="00D7058A">
        <w:rPr>
          <w:sz w:val="24"/>
          <w:szCs w:val="24"/>
        </w:rPr>
        <w:t xml:space="preserve"> being trapped in another </w:t>
      </w:r>
      <w:r w:rsidR="004C0FBF">
        <w:rPr>
          <w:sz w:val="24"/>
          <w:szCs w:val="24"/>
        </w:rPr>
        <w:t>(e.g. the stretch of bridge, subway, park, etc.</w:t>
      </w:r>
      <w:r w:rsidR="00D7058A">
        <w:rPr>
          <w:sz w:val="24"/>
          <w:szCs w:val="24"/>
        </w:rPr>
        <w:t>) that is</w:t>
      </w:r>
      <w:r w:rsidR="004C0FBF">
        <w:rPr>
          <w:sz w:val="24"/>
          <w:szCs w:val="24"/>
        </w:rPr>
        <w:t xml:space="preserve"> effectively</w:t>
      </w:r>
      <w:r w:rsidR="00011E04">
        <w:rPr>
          <w:sz w:val="24"/>
          <w:szCs w:val="24"/>
        </w:rPr>
        <w:t xml:space="preserve"> </w:t>
      </w:r>
      <w:r w:rsidR="00D7058A">
        <w:rPr>
          <w:sz w:val="24"/>
          <w:szCs w:val="24"/>
        </w:rPr>
        <w:t>cut-off</w:t>
      </w:r>
      <w:r w:rsidR="00011E04">
        <w:rPr>
          <w:sz w:val="24"/>
          <w:szCs w:val="24"/>
        </w:rPr>
        <w:t xml:space="preserve"> </w:t>
      </w:r>
      <w:r w:rsidR="004C0FBF">
        <w:rPr>
          <w:sz w:val="24"/>
          <w:szCs w:val="24"/>
        </w:rPr>
        <w:t>from the world</w:t>
      </w:r>
      <w:r w:rsidR="00D7058A">
        <w:rPr>
          <w:sz w:val="24"/>
          <w:szCs w:val="24"/>
        </w:rPr>
        <w:t xml:space="preserve"> and thus potentially dangerous</w:t>
      </w:r>
      <w:r w:rsidR="00011E04">
        <w:rPr>
          <w:sz w:val="24"/>
          <w:szCs w:val="24"/>
        </w:rPr>
        <w:t>.</w:t>
      </w:r>
      <w:r w:rsidR="00396496" w:rsidRPr="004A6696">
        <w:rPr>
          <w:rStyle w:val="FootnoteReference"/>
        </w:rPr>
        <w:footnoteReference w:id="46"/>
      </w:r>
    </w:p>
    <w:p w14:paraId="7176DA9D" w14:textId="11167326" w:rsidR="008F3C51" w:rsidRPr="001E0157" w:rsidRDefault="00396496" w:rsidP="00E115E1">
      <w:pPr>
        <w:tabs>
          <w:tab w:val="left" w:pos="560"/>
          <w:tab w:val="left" w:pos="3828"/>
        </w:tabs>
        <w:spacing w:after="0" w:line="480" w:lineRule="auto"/>
        <w:rPr>
          <w:sz w:val="24"/>
          <w:szCs w:val="24"/>
        </w:rPr>
      </w:pPr>
      <w:r>
        <w:rPr>
          <w:sz w:val="24"/>
          <w:szCs w:val="24"/>
        </w:rPr>
        <w:tab/>
      </w:r>
      <w:r w:rsidR="002F7265">
        <w:rPr>
          <w:sz w:val="24"/>
          <w:szCs w:val="24"/>
        </w:rPr>
        <w:t>‘</w:t>
      </w:r>
      <w:r w:rsidR="009722E0">
        <w:rPr>
          <w:sz w:val="24"/>
          <w:szCs w:val="24"/>
        </w:rPr>
        <w:t>Building</w:t>
      </w:r>
      <w:r w:rsidR="002F7265">
        <w:rPr>
          <w:sz w:val="24"/>
          <w:szCs w:val="24"/>
        </w:rPr>
        <w:t>’</w:t>
      </w:r>
      <w:r w:rsidR="009722E0">
        <w:rPr>
          <w:sz w:val="24"/>
          <w:szCs w:val="24"/>
        </w:rPr>
        <w:t xml:space="preserve"> metaphors are also a familiar</w:t>
      </w:r>
      <w:r w:rsidR="00EF1CA8">
        <w:rPr>
          <w:sz w:val="24"/>
          <w:szCs w:val="24"/>
        </w:rPr>
        <w:t xml:space="preserve"> aspect of legal language, and legal sources commonly draw on aspects of the </w:t>
      </w:r>
      <w:r w:rsidR="00EF1CA8" w:rsidRPr="001E0157">
        <w:rPr>
          <w:sz w:val="24"/>
          <w:szCs w:val="24"/>
        </w:rPr>
        <w:t xml:space="preserve">built </w:t>
      </w:r>
      <w:r w:rsidR="00EF1CA8">
        <w:rPr>
          <w:sz w:val="24"/>
          <w:szCs w:val="24"/>
        </w:rPr>
        <w:t xml:space="preserve">environment in order to conceptualise ideas such as </w:t>
      </w:r>
      <w:r w:rsidR="00EF1CA8" w:rsidRPr="001E0157">
        <w:rPr>
          <w:sz w:val="24"/>
          <w:szCs w:val="24"/>
        </w:rPr>
        <w:t>law’s ‘boundaries’</w:t>
      </w:r>
      <w:r w:rsidR="00EF1CA8">
        <w:rPr>
          <w:sz w:val="24"/>
          <w:szCs w:val="24"/>
        </w:rPr>
        <w:t xml:space="preserve">, its </w:t>
      </w:r>
      <w:r w:rsidR="00EF1CA8" w:rsidRPr="001E0157">
        <w:rPr>
          <w:sz w:val="24"/>
          <w:szCs w:val="24"/>
        </w:rPr>
        <w:t xml:space="preserve">‘foundations’ and the ‘premises’ and ‘constructions’ of its </w:t>
      </w:r>
      <w:r w:rsidR="00EF1CA8" w:rsidRPr="001E0157">
        <w:rPr>
          <w:sz w:val="24"/>
          <w:szCs w:val="24"/>
        </w:rPr>
        <w:lastRenderedPageBreak/>
        <w:t>arguments).</w:t>
      </w:r>
      <w:r w:rsidR="00EF1CA8" w:rsidRPr="004A6696">
        <w:rPr>
          <w:rStyle w:val="FootnoteReference"/>
        </w:rPr>
        <w:footnoteReference w:id="47"/>
      </w:r>
      <w:r w:rsidR="00B12989">
        <w:rPr>
          <w:sz w:val="24"/>
          <w:szCs w:val="24"/>
        </w:rPr>
        <w:t xml:space="preserve"> </w:t>
      </w:r>
      <w:r w:rsidR="00300308">
        <w:rPr>
          <w:sz w:val="24"/>
          <w:szCs w:val="24"/>
        </w:rPr>
        <w:t>B</w:t>
      </w:r>
      <w:r w:rsidR="00B12989">
        <w:rPr>
          <w:sz w:val="24"/>
          <w:szCs w:val="24"/>
        </w:rPr>
        <w:t>uildings metaphors</w:t>
      </w:r>
      <w:r w:rsidR="00300308">
        <w:rPr>
          <w:sz w:val="24"/>
          <w:szCs w:val="24"/>
        </w:rPr>
        <w:t xml:space="preserve">, </w:t>
      </w:r>
      <w:r w:rsidR="00657572">
        <w:rPr>
          <w:sz w:val="24"/>
          <w:szCs w:val="24"/>
        </w:rPr>
        <w:t xml:space="preserve">and especially metaphors of building </w:t>
      </w:r>
      <w:r w:rsidR="00657572">
        <w:rPr>
          <w:i/>
          <w:sz w:val="24"/>
          <w:szCs w:val="24"/>
        </w:rPr>
        <w:t>up</w:t>
      </w:r>
      <w:r w:rsidR="00300308">
        <w:rPr>
          <w:sz w:val="24"/>
          <w:szCs w:val="24"/>
        </w:rPr>
        <w:t>,</w:t>
      </w:r>
      <w:r w:rsidR="00B12989">
        <w:rPr>
          <w:sz w:val="24"/>
          <w:szCs w:val="24"/>
        </w:rPr>
        <w:t xml:space="preserve"> </w:t>
      </w:r>
      <w:r w:rsidR="00300308">
        <w:rPr>
          <w:sz w:val="24"/>
          <w:szCs w:val="24"/>
        </w:rPr>
        <w:t>convey a sense of incremental movement away from the constraints, limitations, and fetters of the earth and its gravitational pull.</w:t>
      </w:r>
      <w:r w:rsidR="001C52E8" w:rsidRPr="004A6696">
        <w:rPr>
          <w:rStyle w:val="FootnoteReference"/>
        </w:rPr>
        <w:footnoteReference w:id="48"/>
      </w:r>
      <w:r w:rsidR="008F3C51" w:rsidRPr="001E0157">
        <w:rPr>
          <w:sz w:val="24"/>
          <w:szCs w:val="24"/>
        </w:rPr>
        <w:t xml:space="preserve"> </w:t>
      </w:r>
      <w:r w:rsidR="00620300">
        <w:rPr>
          <w:sz w:val="24"/>
          <w:szCs w:val="24"/>
        </w:rPr>
        <w:t xml:space="preserve">It is often possible to detect this is in textbooks on law that </w:t>
      </w:r>
      <w:r w:rsidR="00CA180F">
        <w:rPr>
          <w:sz w:val="24"/>
          <w:szCs w:val="24"/>
        </w:rPr>
        <w:t>(</w:t>
      </w:r>
      <w:r w:rsidR="00620300" w:rsidRPr="001E0157">
        <w:rPr>
          <w:sz w:val="24"/>
          <w:szCs w:val="24"/>
        </w:rPr>
        <w:t>consciously or unconsciously</w:t>
      </w:r>
      <w:r w:rsidR="00CA180F">
        <w:rPr>
          <w:sz w:val="24"/>
          <w:szCs w:val="24"/>
        </w:rPr>
        <w:t>)</w:t>
      </w:r>
      <w:r w:rsidR="00620300">
        <w:rPr>
          <w:sz w:val="24"/>
          <w:szCs w:val="24"/>
        </w:rPr>
        <w:t xml:space="preserve"> invoke building metaphors </w:t>
      </w:r>
      <w:r w:rsidR="00941D4E" w:rsidRPr="001E0157">
        <w:rPr>
          <w:sz w:val="24"/>
          <w:szCs w:val="24"/>
        </w:rPr>
        <w:t xml:space="preserve">for </w:t>
      </w:r>
      <w:r w:rsidR="00620300">
        <w:rPr>
          <w:sz w:val="24"/>
          <w:szCs w:val="24"/>
        </w:rPr>
        <w:t>their explanatory</w:t>
      </w:r>
      <w:r w:rsidR="00941D4E" w:rsidRPr="001E0157">
        <w:rPr>
          <w:sz w:val="24"/>
          <w:szCs w:val="24"/>
        </w:rPr>
        <w:t xml:space="preserve"> framework</w:t>
      </w:r>
      <w:r w:rsidR="008F3C51" w:rsidRPr="001E0157">
        <w:rPr>
          <w:sz w:val="24"/>
          <w:szCs w:val="24"/>
        </w:rPr>
        <w:t xml:space="preserve">. </w:t>
      </w:r>
      <w:r w:rsidR="00BA1459" w:rsidRPr="001E0157">
        <w:rPr>
          <w:sz w:val="24"/>
          <w:szCs w:val="24"/>
        </w:rPr>
        <w:t xml:space="preserve">For example, Michael Zander </w:t>
      </w:r>
      <w:r w:rsidR="001C52E8" w:rsidRPr="001E0157">
        <w:rPr>
          <w:sz w:val="24"/>
          <w:szCs w:val="24"/>
        </w:rPr>
        <w:t xml:space="preserve">in his </w:t>
      </w:r>
      <w:r w:rsidR="00620300">
        <w:rPr>
          <w:sz w:val="24"/>
          <w:szCs w:val="24"/>
        </w:rPr>
        <w:t xml:space="preserve">introductory </w:t>
      </w:r>
      <w:r w:rsidR="001C52E8" w:rsidRPr="001E0157">
        <w:rPr>
          <w:sz w:val="24"/>
          <w:szCs w:val="24"/>
        </w:rPr>
        <w:t xml:space="preserve">textbook </w:t>
      </w:r>
      <w:r w:rsidR="00BA1459" w:rsidRPr="001E0157">
        <w:rPr>
          <w:sz w:val="24"/>
          <w:szCs w:val="24"/>
        </w:rPr>
        <w:t xml:space="preserve">describes the </w:t>
      </w:r>
      <w:r w:rsidR="00BA1459" w:rsidRPr="001E0157">
        <w:rPr>
          <w:i/>
          <w:iCs/>
          <w:sz w:val="24"/>
          <w:szCs w:val="24"/>
        </w:rPr>
        <w:t>ratio decidendi</w:t>
      </w:r>
      <w:r w:rsidR="00CE3BD2">
        <w:rPr>
          <w:sz w:val="24"/>
          <w:szCs w:val="24"/>
        </w:rPr>
        <w:t xml:space="preserve"> of a case as its ‘central core of meaning’</w:t>
      </w:r>
      <w:r w:rsidR="00BA1459" w:rsidRPr="001E0157">
        <w:rPr>
          <w:sz w:val="24"/>
          <w:szCs w:val="24"/>
        </w:rPr>
        <w:t xml:space="preserve">, as distinct from </w:t>
      </w:r>
      <w:r w:rsidR="00BA1459" w:rsidRPr="001E0157">
        <w:rPr>
          <w:i/>
          <w:iCs/>
          <w:sz w:val="24"/>
          <w:szCs w:val="24"/>
        </w:rPr>
        <w:t>obiter dicta</w:t>
      </w:r>
      <w:r w:rsidR="00CE3BD2">
        <w:rPr>
          <w:sz w:val="24"/>
          <w:szCs w:val="24"/>
        </w:rPr>
        <w:t xml:space="preserve"> which is ‘</w:t>
      </w:r>
      <w:r w:rsidR="00BA1459" w:rsidRPr="001E0157">
        <w:rPr>
          <w:sz w:val="24"/>
          <w:szCs w:val="24"/>
        </w:rPr>
        <w:t>more peripheral</w:t>
      </w:r>
      <w:r w:rsidR="00CE3BD2">
        <w:rPr>
          <w:sz w:val="24"/>
          <w:szCs w:val="24"/>
        </w:rPr>
        <w:t>’</w:t>
      </w:r>
      <w:r w:rsidR="00BA1459" w:rsidRPr="001E0157">
        <w:rPr>
          <w:sz w:val="24"/>
          <w:szCs w:val="24"/>
        </w:rPr>
        <w:t>.</w:t>
      </w:r>
      <w:r w:rsidR="00BA1459" w:rsidRPr="004A6696">
        <w:rPr>
          <w:rStyle w:val="FootnoteReference"/>
        </w:rPr>
        <w:footnoteReference w:id="49"/>
      </w:r>
      <w:r w:rsidR="008F3C51" w:rsidRPr="001E0157">
        <w:rPr>
          <w:sz w:val="24"/>
          <w:szCs w:val="24"/>
        </w:rPr>
        <w:t xml:space="preserve"> </w:t>
      </w:r>
      <w:r w:rsidR="001C52E8" w:rsidRPr="001E0157">
        <w:rPr>
          <w:sz w:val="24"/>
          <w:szCs w:val="24"/>
        </w:rPr>
        <w:t xml:space="preserve">This metaphorical scheme of a </w:t>
      </w:r>
      <w:r w:rsidR="00FE4F1F" w:rsidRPr="001E0157">
        <w:rPr>
          <w:sz w:val="24"/>
          <w:szCs w:val="24"/>
        </w:rPr>
        <w:t xml:space="preserve">core and </w:t>
      </w:r>
      <w:r w:rsidR="001C52E8" w:rsidRPr="001E0157">
        <w:rPr>
          <w:sz w:val="24"/>
          <w:szCs w:val="24"/>
        </w:rPr>
        <w:t xml:space="preserve">its </w:t>
      </w:r>
      <w:r w:rsidR="00FE4F1F" w:rsidRPr="001E0157">
        <w:rPr>
          <w:sz w:val="24"/>
          <w:szCs w:val="24"/>
        </w:rPr>
        <w:t xml:space="preserve">periphery </w:t>
      </w:r>
      <w:r w:rsidR="001C52E8" w:rsidRPr="001E0157">
        <w:rPr>
          <w:sz w:val="24"/>
          <w:szCs w:val="24"/>
        </w:rPr>
        <w:t>is</w:t>
      </w:r>
      <w:r w:rsidR="00356443" w:rsidRPr="001E0157">
        <w:rPr>
          <w:sz w:val="24"/>
          <w:szCs w:val="24"/>
        </w:rPr>
        <w:t xml:space="preserve"> an apt way in which to conceive how only a particular part of a case serves as precedent for future cases, </w:t>
      </w:r>
      <w:r w:rsidR="001C52E8" w:rsidRPr="001E0157">
        <w:rPr>
          <w:sz w:val="24"/>
          <w:szCs w:val="24"/>
        </w:rPr>
        <w:t>calling</w:t>
      </w:r>
      <w:r w:rsidR="00FE4F1F" w:rsidRPr="001E0157">
        <w:rPr>
          <w:sz w:val="24"/>
          <w:szCs w:val="24"/>
        </w:rPr>
        <w:t xml:space="preserve"> to mind</w:t>
      </w:r>
      <w:r w:rsidR="001C52E8" w:rsidRPr="001E0157">
        <w:rPr>
          <w:sz w:val="24"/>
          <w:szCs w:val="24"/>
        </w:rPr>
        <w:t>, as it does,</w:t>
      </w:r>
      <w:r w:rsidR="00FE4F1F" w:rsidRPr="001E0157">
        <w:rPr>
          <w:sz w:val="24"/>
          <w:szCs w:val="24"/>
        </w:rPr>
        <w:t xml:space="preserve"> </w:t>
      </w:r>
      <w:r w:rsidR="001C52E8" w:rsidRPr="001E0157">
        <w:rPr>
          <w:sz w:val="24"/>
          <w:szCs w:val="24"/>
        </w:rPr>
        <w:t>a plot of land designated for urban development, at the centre of which is first erected a</w:t>
      </w:r>
      <w:r w:rsidR="008F3C51" w:rsidRPr="001E0157">
        <w:rPr>
          <w:sz w:val="24"/>
          <w:szCs w:val="24"/>
        </w:rPr>
        <w:t xml:space="preserve"> </w:t>
      </w:r>
      <w:r w:rsidR="001C52E8" w:rsidRPr="001E0157">
        <w:rPr>
          <w:sz w:val="24"/>
          <w:szCs w:val="24"/>
        </w:rPr>
        <w:t xml:space="preserve">column of </w:t>
      </w:r>
      <w:r w:rsidR="00FE4F1F" w:rsidRPr="001E0157">
        <w:rPr>
          <w:sz w:val="24"/>
          <w:szCs w:val="24"/>
        </w:rPr>
        <w:t xml:space="preserve">concrete and steel </w:t>
      </w:r>
      <w:r w:rsidR="001C52E8" w:rsidRPr="001E0157">
        <w:rPr>
          <w:sz w:val="24"/>
          <w:szCs w:val="24"/>
        </w:rPr>
        <w:t xml:space="preserve">suitable for supporting the stacked floors </w:t>
      </w:r>
      <w:r w:rsidR="00E115E1">
        <w:rPr>
          <w:sz w:val="24"/>
          <w:szCs w:val="24"/>
        </w:rPr>
        <w:t>that will perform the defiance of gravity</w:t>
      </w:r>
      <w:r w:rsidR="00356443" w:rsidRPr="001E0157">
        <w:rPr>
          <w:sz w:val="24"/>
          <w:szCs w:val="24"/>
        </w:rPr>
        <w:t>, and around which there is a</w:t>
      </w:r>
      <w:r w:rsidR="001C52E8" w:rsidRPr="001E0157">
        <w:rPr>
          <w:sz w:val="24"/>
          <w:szCs w:val="24"/>
        </w:rPr>
        <w:t xml:space="preserve"> garden area</w:t>
      </w:r>
      <w:r w:rsidR="00356443" w:rsidRPr="001E0157">
        <w:rPr>
          <w:sz w:val="24"/>
          <w:szCs w:val="24"/>
        </w:rPr>
        <w:t xml:space="preserve"> </w:t>
      </w:r>
      <w:r w:rsidR="002B6C41">
        <w:rPr>
          <w:sz w:val="24"/>
          <w:szCs w:val="24"/>
        </w:rPr>
        <w:t>in which</w:t>
      </w:r>
      <w:r w:rsidR="00E115E1">
        <w:rPr>
          <w:sz w:val="24"/>
          <w:szCs w:val="24"/>
        </w:rPr>
        <w:t xml:space="preserve"> one </w:t>
      </w:r>
      <w:r w:rsidR="002B6C41">
        <w:rPr>
          <w:sz w:val="24"/>
          <w:szCs w:val="24"/>
        </w:rPr>
        <w:t>must remain</w:t>
      </w:r>
      <w:r w:rsidR="00356443" w:rsidRPr="001E0157">
        <w:rPr>
          <w:sz w:val="24"/>
          <w:szCs w:val="24"/>
        </w:rPr>
        <w:t xml:space="preserve"> </w:t>
      </w:r>
      <w:r w:rsidR="00E115E1">
        <w:rPr>
          <w:sz w:val="24"/>
          <w:szCs w:val="24"/>
        </w:rPr>
        <w:t>tethered to the earth</w:t>
      </w:r>
      <w:r w:rsidR="008F3C51" w:rsidRPr="001E0157">
        <w:rPr>
          <w:sz w:val="24"/>
          <w:szCs w:val="24"/>
        </w:rPr>
        <w:t xml:space="preserve">. </w:t>
      </w:r>
    </w:p>
    <w:p w14:paraId="1A00488E" w14:textId="6F4CF469" w:rsidR="00567F2B" w:rsidRDefault="008F3C51" w:rsidP="002D3A94">
      <w:pPr>
        <w:tabs>
          <w:tab w:val="left" w:pos="560"/>
          <w:tab w:val="left" w:pos="3828"/>
        </w:tabs>
        <w:spacing w:after="0" w:line="480" w:lineRule="auto"/>
        <w:rPr>
          <w:sz w:val="24"/>
          <w:szCs w:val="24"/>
        </w:rPr>
      </w:pPr>
      <w:r w:rsidRPr="001E0157">
        <w:rPr>
          <w:sz w:val="24"/>
          <w:szCs w:val="24"/>
        </w:rPr>
        <w:tab/>
      </w:r>
      <w:r w:rsidR="00006E60">
        <w:rPr>
          <w:sz w:val="24"/>
          <w:szCs w:val="24"/>
        </w:rPr>
        <w:t xml:space="preserve">If </w:t>
      </w:r>
      <w:r w:rsidR="004B75D7">
        <w:rPr>
          <w:sz w:val="24"/>
          <w:szCs w:val="24"/>
        </w:rPr>
        <w:t>legal precedent</w:t>
      </w:r>
      <w:r w:rsidR="00006E60">
        <w:rPr>
          <w:sz w:val="24"/>
          <w:szCs w:val="24"/>
        </w:rPr>
        <w:t xml:space="preserve"> is indeed a high-rise building, supported by its ‘central core’ </w:t>
      </w:r>
      <w:r w:rsidR="004B75D7">
        <w:rPr>
          <w:sz w:val="24"/>
          <w:szCs w:val="24"/>
        </w:rPr>
        <w:t xml:space="preserve">of </w:t>
      </w:r>
      <w:r w:rsidR="004B75D7">
        <w:rPr>
          <w:i/>
          <w:sz w:val="24"/>
          <w:szCs w:val="24"/>
        </w:rPr>
        <w:t>ratio</w:t>
      </w:r>
      <w:r w:rsidR="004B75D7">
        <w:rPr>
          <w:sz w:val="24"/>
          <w:szCs w:val="24"/>
        </w:rPr>
        <w:t xml:space="preserve"> </w:t>
      </w:r>
      <w:r w:rsidR="00006E60">
        <w:rPr>
          <w:sz w:val="24"/>
          <w:szCs w:val="24"/>
        </w:rPr>
        <w:t>and surrounded by its low-lying periphery</w:t>
      </w:r>
      <w:r w:rsidR="004B75D7">
        <w:rPr>
          <w:sz w:val="24"/>
          <w:szCs w:val="24"/>
        </w:rPr>
        <w:t xml:space="preserve"> of </w:t>
      </w:r>
      <w:r w:rsidR="004B75D7" w:rsidRPr="004B75D7">
        <w:rPr>
          <w:i/>
          <w:sz w:val="24"/>
          <w:szCs w:val="24"/>
        </w:rPr>
        <w:t>dicta</w:t>
      </w:r>
      <w:r w:rsidR="00006E60">
        <w:rPr>
          <w:sz w:val="24"/>
          <w:szCs w:val="24"/>
        </w:rPr>
        <w:t xml:space="preserve">, then it is only to be expected that its critics (who want to call into question </w:t>
      </w:r>
      <w:r w:rsidR="004B75D7">
        <w:rPr>
          <w:sz w:val="24"/>
          <w:szCs w:val="24"/>
        </w:rPr>
        <w:t xml:space="preserve">such </w:t>
      </w:r>
      <w:r w:rsidR="00273044" w:rsidRPr="001E0157">
        <w:rPr>
          <w:sz w:val="24"/>
          <w:szCs w:val="24"/>
        </w:rPr>
        <w:t xml:space="preserve">authority-transmitting </w:t>
      </w:r>
      <w:r w:rsidR="004D5F89" w:rsidRPr="001E0157">
        <w:rPr>
          <w:sz w:val="24"/>
          <w:szCs w:val="24"/>
        </w:rPr>
        <w:t>mechanisms</w:t>
      </w:r>
      <w:r w:rsidR="00006E60">
        <w:rPr>
          <w:sz w:val="24"/>
          <w:szCs w:val="24"/>
        </w:rPr>
        <w:t>) should seek to</w:t>
      </w:r>
      <w:r w:rsidRPr="001E0157">
        <w:rPr>
          <w:sz w:val="24"/>
          <w:szCs w:val="24"/>
        </w:rPr>
        <w:t xml:space="preserve"> </w:t>
      </w:r>
      <w:r w:rsidR="00840533" w:rsidRPr="00006E60">
        <w:rPr>
          <w:iCs/>
          <w:sz w:val="24"/>
          <w:szCs w:val="24"/>
        </w:rPr>
        <w:t>undermine</w:t>
      </w:r>
      <w:r w:rsidR="00840533" w:rsidRPr="001E0157">
        <w:rPr>
          <w:sz w:val="24"/>
          <w:szCs w:val="24"/>
        </w:rPr>
        <w:t xml:space="preserve"> </w:t>
      </w:r>
      <w:r w:rsidR="00006E60">
        <w:rPr>
          <w:sz w:val="24"/>
          <w:szCs w:val="24"/>
        </w:rPr>
        <w:t xml:space="preserve">its </w:t>
      </w:r>
      <w:r w:rsidR="008A2208">
        <w:rPr>
          <w:sz w:val="24"/>
          <w:szCs w:val="24"/>
        </w:rPr>
        <w:t xml:space="preserve">figurative foundations and </w:t>
      </w:r>
      <w:r w:rsidR="00006E60">
        <w:rPr>
          <w:sz w:val="24"/>
          <w:szCs w:val="24"/>
        </w:rPr>
        <w:t xml:space="preserve">weaken the load-bearing capacity of that core. </w:t>
      </w:r>
      <w:r w:rsidRPr="001E0157">
        <w:rPr>
          <w:sz w:val="24"/>
          <w:szCs w:val="24"/>
        </w:rPr>
        <w:t>Marco Wan object</w:t>
      </w:r>
      <w:r w:rsidR="00AA5552" w:rsidRPr="001E0157">
        <w:rPr>
          <w:sz w:val="24"/>
          <w:szCs w:val="24"/>
        </w:rPr>
        <w:t xml:space="preserve">s </w:t>
      </w:r>
      <w:r w:rsidR="00006E60">
        <w:rPr>
          <w:sz w:val="24"/>
          <w:szCs w:val="24"/>
        </w:rPr>
        <w:t xml:space="preserve">to the idea of </w:t>
      </w:r>
      <w:r w:rsidR="00006E60" w:rsidRPr="004B75D7">
        <w:rPr>
          <w:i/>
          <w:sz w:val="24"/>
          <w:szCs w:val="24"/>
        </w:rPr>
        <w:t>ratio</w:t>
      </w:r>
      <w:r w:rsidR="00006E60">
        <w:rPr>
          <w:sz w:val="24"/>
          <w:szCs w:val="24"/>
        </w:rPr>
        <w:t xml:space="preserve"> as a case’s ‘central core’ </w:t>
      </w:r>
      <w:r w:rsidR="004B75D7">
        <w:rPr>
          <w:sz w:val="24"/>
          <w:szCs w:val="24"/>
        </w:rPr>
        <w:t xml:space="preserve">on the basis that this </w:t>
      </w:r>
      <w:r w:rsidR="004B75D7" w:rsidRPr="004B75D7">
        <w:rPr>
          <w:sz w:val="24"/>
          <w:szCs w:val="24"/>
        </w:rPr>
        <w:t>denigrat</w:t>
      </w:r>
      <w:r w:rsidR="004B75D7">
        <w:rPr>
          <w:sz w:val="24"/>
          <w:szCs w:val="24"/>
        </w:rPr>
        <w:t>es</w:t>
      </w:r>
      <w:r w:rsidR="004B75D7" w:rsidRPr="004B75D7">
        <w:rPr>
          <w:sz w:val="24"/>
          <w:szCs w:val="24"/>
        </w:rPr>
        <w:t xml:space="preserve"> other potentially interesting aspects of a case.</w:t>
      </w:r>
      <w:r w:rsidR="00A16706" w:rsidRPr="004A6696">
        <w:rPr>
          <w:rStyle w:val="FootnoteReference"/>
        </w:rPr>
        <w:footnoteReference w:id="50"/>
      </w:r>
      <w:r w:rsidR="00A16706" w:rsidRPr="001E0157">
        <w:rPr>
          <w:sz w:val="24"/>
          <w:szCs w:val="24"/>
        </w:rPr>
        <w:t xml:space="preserve"> </w:t>
      </w:r>
      <w:r w:rsidR="00AB094B">
        <w:rPr>
          <w:sz w:val="24"/>
          <w:szCs w:val="24"/>
        </w:rPr>
        <w:t xml:space="preserve">In this way, law and humanities scholarship first draws attention to legal metaphors, and then offers reasons why other (potentially entirely different) metaphors might be more appropriate or preferable. </w:t>
      </w:r>
      <w:r w:rsidR="00E80F35">
        <w:rPr>
          <w:sz w:val="24"/>
          <w:szCs w:val="24"/>
        </w:rPr>
        <w:t xml:space="preserve">Sticking with the example of the legal case, </w:t>
      </w:r>
      <w:r w:rsidR="000C2C4F">
        <w:rPr>
          <w:sz w:val="24"/>
          <w:szCs w:val="24"/>
        </w:rPr>
        <w:t xml:space="preserve">critical analysis that </w:t>
      </w:r>
      <w:r w:rsidR="00AB094B">
        <w:rPr>
          <w:sz w:val="24"/>
          <w:szCs w:val="24"/>
        </w:rPr>
        <w:t>identif</w:t>
      </w:r>
      <w:r w:rsidR="000C2C4F">
        <w:rPr>
          <w:sz w:val="24"/>
          <w:szCs w:val="24"/>
        </w:rPr>
        <w:t>ies</w:t>
      </w:r>
      <w:r w:rsidR="00AB094B">
        <w:rPr>
          <w:sz w:val="24"/>
          <w:szCs w:val="24"/>
        </w:rPr>
        <w:t xml:space="preserve"> instances in which </w:t>
      </w:r>
      <w:r w:rsidR="00AB094B">
        <w:rPr>
          <w:i/>
          <w:sz w:val="24"/>
          <w:szCs w:val="24"/>
        </w:rPr>
        <w:t>ratio</w:t>
      </w:r>
      <w:r w:rsidR="00AB094B">
        <w:rPr>
          <w:sz w:val="24"/>
          <w:szCs w:val="24"/>
        </w:rPr>
        <w:t xml:space="preserve"> </w:t>
      </w:r>
      <w:r w:rsidR="00AB094B">
        <w:rPr>
          <w:sz w:val="24"/>
          <w:szCs w:val="24"/>
        </w:rPr>
        <w:lastRenderedPageBreak/>
        <w:t xml:space="preserve">fails to </w:t>
      </w:r>
      <w:r w:rsidR="00A10CCC">
        <w:rPr>
          <w:sz w:val="24"/>
          <w:szCs w:val="24"/>
        </w:rPr>
        <w:t xml:space="preserve">earn its special distinction </w:t>
      </w:r>
      <w:r w:rsidR="00E80F35">
        <w:rPr>
          <w:sz w:val="24"/>
          <w:szCs w:val="24"/>
        </w:rPr>
        <w:t xml:space="preserve">may </w:t>
      </w:r>
      <w:r w:rsidR="00A02C98">
        <w:rPr>
          <w:sz w:val="24"/>
          <w:szCs w:val="24"/>
        </w:rPr>
        <w:t>therefore articulate</w:t>
      </w:r>
      <w:r w:rsidR="000C2C4F">
        <w:rPr>
          <w:sz w:val="24"/>
          <w:szCs w:val="24"/>
        </w:rPr>
        <w:t xml:space="preserve"> </w:t>
      </w:r>
      <w:r w:rsidR="00A02C98">
        <w:rPr>
          <w:sz w:val="24"/>
          <w:szCs w:val="24"/>
        </w:rPr>
        <w:t>an</w:t>
      </w:r>
      <w:r w:rsidR="00AB094B">
        <w:rPr>
          <w:sz w:val="24"/>
          <w:szCs w:val="24"/>
        </w:rPr>
        <w:t xml:space="preserve"> explanatory framework </w:t>
      </w:r>
      <w:r w:rsidR="00A02C98">
        <w:rPr>
          <w:sz w:val="24"/>
          <w:szCs w:val="24"/>
        </w:rPr>
        <w:t>that jettisons notions of</w:t>
      </w:r>
      <w:r w:rsidR="000C2C4F">
        <w:rPr>
          <w:sz w:val="24"/>
          <w:szCs w:val="24"/>
        </w:rPr>
        <w:t xml:space="preserve"> secure foundations</w:t>
      </w:r>
      <w:r w:rsidR="00AB094B">
        <w:rPr>
          <w:sz w:val="24"/>
          <w:szCs w:val="24"/>
        </w:rPr>
        <w:t xml:space="preserve"> supporting a stable and steadily growing structure</w:t>
      </w:r>
      <w:r w:rsidR="000C2C4F">
        <w:rPr>
          <w:sz w:val="24"/>
          <w:szCs w:val="24"/>
        </w:rPr>
        <w:t xml:space="preserve"> with</w:t>
      </w:r>
      <w:r w:rsidR="00F75BF4">
        <w:rPr>
          <w:sz w:val="24"/>
          <w:szCs w:val="24"/>
        </w:rPr>
        <w:t xml:space="preserve"> </w:t>
      </w:r>
      <w:r w:rsidR="00A02C98">
        <w:rPr>
          <w:sz w:val="24"/>
          <w:szCs w:val="24"/>
        </w:rPr>
        <w:t>those</w:t>
      </w:r>
      <w:r w:rsidR="00F75BF4">
        <w:rPr>
          <w:sz w:val="24"/>
          <w:szCs w:val="24"/>
        </w:rPr>
        <w:t xml:space="preserve"> of ‘slippage’ and </w:t>
      </w:r>
      <w:r w:rsidR="00F426CC">
        <w:rPr>
          <w:sz w:val="24"/>
          <w:szCs w:val="24"/>
        </w:rPr>
        <w:t>‘subsistence’.</w:t>
      </w:r>
      <w:r w:rsidR="00356443" w:rsidRPr="004A6696">
        <w:rPr>
          <w:rStyle w:val="FootnoteReference"/>
        </w:rPr>
        <w:footnoteReference w:id="51"/>
      </w:r>
      <w:r w:rsidR="004914AF" w:rsidRPr="001E0157">
        <w:rPr>
          <w:sz w:val="24"/>
          <w:szCs w:val="24"/>
        </w:rPr>
        <w:t xml:space="preserve"> </w:t>
      </w:r>
      <w:r w:rsidR="002D3A94">
        <w:rPr>
          <w:sz w:val="24"/>
          <w:szCs w:val="24"/>
        </w:rPr>
        <w:t>As any common lawyer will acknowledge,</w:t>
      </w:r>
      <w:r w:rsidR="00A02C98">
        <w:rPr>
          <w:sz w:val="24"/>
          <w:szCs w:val="24"/>
        </w:rPr>
        <w:t xml:space="preserve"> </w:t>
      </w:r>
      <w:r w:rsidR="00A02C98">
        <w:rPr>
          <w:i/>
          <w:sz w:val="24"/>
          <w:szCs w:val="24"/>
        </w:rPr>
        <w:t>ratio</w:t>
      </w:r>
      <w:r w:rsidR="00A02C98">
        <w:rPr>
          <w:sz w:val="24"/>
          <w:szCs w:val="24"/>
        </w:rPr>
        <w:t xml:space="preserve"> and </w:t>
      </w:r>
      <w:r w:rsidR="00A02C98">
        <w:rPr>
          <w:i/>
          <w:sz w:val="24"/>
          <w:szCs w:val="24"/>
        </w:rPr>
        <w:t>obiter</w:t>
      </w:r>
      <w:r w:rsidR="00A02C98">
        <w:rPr>
          <w:sz w:val="24"/>
          <w:szCs w:val="24"/>
        </w:rPr>
        <w:t xml:space="preserve"> are not always obviously distinct</w:t>
      </w:r>
      <w:r w:rsidR="002D3A94">
        <w:rPr>
          <w:sz w:val="24"/>
          <w:szCs w:val="24"/>
        </w:rPr>
        <w:t>, and for at least two reasons</w:t>
      </w:r>
      <w:r w:rsidR="00A02C98">
        <w:rPr>
          <w:sz w:val="24"/>
          <w:szCs w:val="24"/>
        </w:rPr>
        <w:t xml:space="preserve">. </w:t>
      </w:r>
      <w:r w:rsidR="002D3A94">
        <w:rPr>
          <w:sz w:val="24"/>
          <w:szCs w:val="24"/>
        </w:rPr>
        <w:t>First, and p</w:t>
      </w:r>
      <w:r w:rsidR="000E133B">
        <w:rPr>
          <w:sz w:val="24"/>
          <w:szCs w:val="24"/>
        </w:rPr>
        <w:t xml:space="preserve">articularly in the older (i.e. House of Lords) appeals in which reasons given by different judges for agreeing with the majority opinion might vary considerably, difficulties can arise </w:t>
      </w:r>
      <w:r w:rsidR="00A02C98">
        <w:rPr>
          <w:sz w:val="24"/>
          <w:szCs w:val="24"/>
        </w:rPr>
        <w:t xml:space="preserve">in </w:t>
      </w:r>
      <w:r w:rsidR="000E133B">
        <w:rPr>
          <w:sz w:val="24"/>
          <w:szCs w:val="24"/>
        </w:rPr>
        <w:t>discerning precisely which parts of the judgment is binding</w:t>
      </w:r>
      <w:r w:rsidR="00A02C98">
        <w:rPr>
          <w:sz w:val="24"/>
          <w:szCs w:val="24"/>
        </w:rPr>
        <w:t xml:space="preserve"> and which is not</w:t>
      </w:r>
      <w:r w:rsidR="000E133B">
        <w:rPr>
          <w:sz w:val="24"/>
          <w:szCs w:val="24"/>
        </w:rPr>
        <w:t>. T</w:t>
      </w:r>
      <w:r w:rsidR="00A02C98">
        <w:rPr>
          <w:sz w:val="24"/>
          <w:szCs w:val="24"/>
        </w:rPr>
        <w:t xml:space="preserve">here is the further problem that </w:t>
      </w:r>
      <w:r w:rsidR="00A02C98">
        <w:rPr>
          <w:i/>
          <w:sz w:val="24"/>
          <w:szCs w:val="24"/>
        </w:rPr>
        <w:t>obiter dicta</w:t>
      </w:r>
      <w:r w:rsidR="00A02C98">
        <w:rPr>
          <w:sz w:val="24"/>
          <w:szCs w:val="24"/>
        </w:rPr>
        <w:t xml:space="preserve"> can sometimes be treated </w:t>
      </w:r>
      <w:r w:rsidR="00A02C98" w:rsidRPr="00E80F35">
        <w:rPr>
          <w:i/>
          <w:sz w:val="24"/>
          <w:szCs w:val="24"/>
        </w:rPr>
        <w:t>as if</w:t>
      </w:r>
      <w:r w:rsidR="00A02C98">
        <w:rPr>
          <w:sz w:val="24"/>
          <w:szCs w:val="24"/>
        </w:rPr>
        <w:t xml:space="preserve"> it were authoritative (as in the first case we analyse below)</w:t>
      </w:r>
      <w:r w:rsidR="000E133B">
        <w:rPr>
          <w:sz w:val="24"/>
          <w:szCs w:val="24"/>
        </w:rPr>
        <w:t xml:space="preserve">. Both of these problems </w:t>
      </w:r>
      <w:r w:rsidR="00A02C98">
        <w:rPr>
          <w:sz w:val="24"/>
          <w:szCs w:val="24"/>
        </w:rPr>
        <w:t>effectively creat</w:t>
      </w:r>
      <w:r w:rsidR="000E133B">
        <w:rPr>
          <w:sz w:val="24"/>
          <w:szCs w:val="24"/>
        </w:rPr>
        <w:t>e</w:t>
      </w:r>
      <w:r w:rsidR="00A02C98">
        <w:rPr>
          <w:sz w:val="24"/>
          <w:szCs w:val="24"/>
        </w:rPr>
        <w:t xml:space="preserve"> </w:t>
      </w:r>
      <w:r w:rsidR="000E133B">
        <w:rPr>
          <w:sz w:val="24"/>
          <w:szCs w:val="24"/>
        </w:rPr>
        <w:t>the potential for uncertain</w:t>
      </w:r>
      <w:r w:rsidR="00A02C98">
        <w:rPr>
          <w:sz w:val="24"/>
          <w:szCs w:val="24"/>
        </w:rPr>
        <w:t xml:space="preserve"> component</w:t>
      </w:r>
      <w:r w:rsidR="000E133B">
        <w:rPr>
          <w:sz w:val="24"/>
          <w:szCs w:val="24"/>
        </w:rPr>
        <w:t>s</w:t>
      </w:r>
      <w:r w:rsidR="00A02C98">
        <w:rPr>
          <w:sz w:val="24"/>
          <w:szCs w:val="24"/>
        </w:rPr>
        <w:t xml:space="preserve"> in the</w:t>
      </w:r>
      <w:r w:rsidR="000E133B">
        <w:rPr>
          <w:sz w:val="24"/>
          <w:szCs w:val="24"/>
        </w:rPr>
        <w:t xml:space="preserve"> structure making up the relevant ‘line’ of authority</w:t>
      </w:r>
      <w:r w:rsidR="00A02C98">
        <w:rPr>
          <w:sz w:val="24"/>
          <w:szCs w:val="24"/>
        </w:rPr>
        <w:t>.</w:t>
      </w:r>
      <w:r w:rsidR="00567F2B">
        <w:rPr>
          <w:sz w:val="24"/>
          <w:szCs w:val="24"/>
        </w:rPr>
        <w:t xml:space="preserve"> </w:t>
      </w:r>
      <w:r w:rsidR="000E133B">
        <w:rPr>
          <w:sz w:val="24"/>
          <w:szCs w:val="24"/>
        </w:rPr>
        <w:t xml:space="preserve">The logical conclusion of critical commentary that seeks in this way to </w:t>
      </w:r>
      <w:r w:rsidR="00910E89">
        <w:rPr>
          <w:sz w:val="24"/>
          <w:szCs w:val="24"/>
        </w:rPr>
        <w:t>undermine</w:t>
      </w:r>
      <w:r w:rsidR="00DE3E4B">
        <w:rPr>
          <w:sz w:val="24"/>
          <w:szCs w:val="24"/>
        </w:rPr>
        <w:t xml:space="preserve"> legal certainties by way of the building metaphor is that those apparent certainties are in danger of ‘collapse’, and that people who come into contact with law may </w:t>
      </w:r>
      <w:r w:rsidR="00567F2B">
        <w:rPr>
          <w:sz w:val="24"/>
          <w:szCs w:val="24"/>
        </w:rPr>
        <w:t xml:space="preserve">(like the unfortunate Richard Carstone of </w:t>
      </w:r>
      <w:r w:rsidR="00567F2B">
        <w:rPr>
          <w:i/>
          <w:sz w:val="24"/>
          <w:szCs w:val="24"/>
        </w:rPr>
        <w:t>Bleak House</w:t>
      </w:r>
      <w:r w:rsidR="00567F2B">
        <w:rPr>
          <w:sz w:val="24"/>
          <w:szCs w:val="24"/>
        </w:rPr>
        <w:t xml:space="preserve">, whose doomed and increasingly desperate hope for a favourable outcome to </w:t>
      </w:r>
      <w:r w:rsidR="00567F2B">
        <w:rPr>
          <w:i/>
          <w:sz w:val="24"/>
          <w:szCs w:val="24"/>
        </w:rPr>
        <w:t>Jarndyce v Jarndyce</w:t>
      </w:r>
      <w:r w:rsidR="00567F2B">
        <w:rPr>
          <w:sz w:val="24"/>
          <w:szCs w:val="24"/>
        </w:rPr>
        <w:t xml:space="preserve"> sees him to an early grave) b</w:t>
      </w:r>
      <w:r w:rsidR="00910E89">
        <w:rPr>
          <w:sz w:val="24"/>
          <w:szCs w:val="24"/>
        </w:rPr>
        <w:t xml:space="preserve">e in danger of being </w:t>
      </w:r>
      <w:r w:rsidR="00DE3E4B" w:rsidRPr="00910E89">
        <w:rPr>
          <w:i/>
          <w:sz w:val="24"/>
          <w:szCs w:val="24"/>
        </w:rPr>
        <w:t>buried</w:t>
      </w:r>
      <w:r w:rsidR="00DE3E4B">
        <w:rPr>
          <w:sz w:val="24"/>
          <w:szCs w:val="24"/>
        </w:rPr>
        <w:t>.</w:t>
      </w:r>
      <w:r w:rsidR="00DE3E4B" w:rsidRPr="004A6696">
        <w:rPr>
          <w:rStyle w:val="FootnoteReference"/>
        </w:rPr>
        <w:footnoteReference w:id="52"/>
      </w:r>
      <w:r w:rsidR="00DE3E4B">
        <w:rPr>
          <w:sz w:val="24"/>
          <w:szCs w:val="24"/>
        </w:rPr>
        <w:t xml:space="preserve"> </w:t>
      </w:r>
      <w:r w:rsidR="007C122F">
        <w:rPr>
          <w:sz w:val="24"/>
          <w:szCs w:val="24"/>
        </w:rPr>
        <w:t xml:space="preserve">We would see </w:t>
      </w:r>
      <w:r w:rsidR="00A3189B">
        <w:rPr>
          <w:sz w:val="24"/>
          <w:szCs w:val="24"/>
        </w:rPr>
        <w:t>Mulcahy</w:t>
      </w:r>
      <w:r w:rsidR="007C122F">
        <w:rPr>
          <w:sz w:val="24"/>
          <w:szCs w:val="24"/>
        </w:rPr>
        <w:t xml:space="preserve">’s criticisms of </w:t>
      </w:r>
      <w:r w:rsidR="007C122F" w:rsidRPr="001E0157">
        <w:rPr>
          <w:sz w:val="24"/>
          <w:szCs w:val="24"/>
        </w:rPr>
        <w:t xml:space="preserve">courtroom architecture </w:t>
      </w:r>
      <w:r w:rsidR="007C122F">
        <w:rPr>
          <w:sz w:val="24"/>
          <w:szCs w:val="24"/>
        </w:rPr>
        <w:t>as</w:t>
      </w:r>
      <w:r w:rsidR="007C122F" w:rsidRPr="001E0157">
        <w:rPr>
          <w:sz w:val="24"/>
          <w:szCs w:val="24"/>
        </w:rPr>
        <w:t xml:space="preserve"> enfolding </w:t>
      </w:r>
      <w:r w:rsidR="007C122F">
        <w:rPr>
          <w:sz w:val="24"/>
          <w:szCs w:val="24"/>
        </w:rPr>
        <w:t xml:space="preserve">the </w:t>
      </w:r>
      <w:r w:rsidR="007C122F" w:rsidRPr="001E0157">
        <w:rPr>
          <w:sz w:val="24"/>
          <w:szCs w:val="24"/>
        </w:rPr>
        <w:t xml:space="preserve">legal process </w:t>
      </w:r>
      <w:r w:rsidR="007C122F" w:rsidRPr="001E0157">
        <w:rPr>
          <w:i/>
          <w:sz w:val="24"/>
          <w:szCs w:val="24"/>
        </w:rPr>
        <w:t>inside</w:t>
      </w:r>
      <w:r w:rsidR="007C122F" w:rsidRPr="001E0157">
        <w:rPr>
          <w:sz w:val="24"/>
          <w:szCs w:val="24"/>
        </w:rPr>
        <w:t xml:space="preserve"> walls, </w:t>
      </w:r>
      <w:r w:rsidR="007C122F" w:rsidRPr="001E0157">
        <w:rPr>
          <w:i/>
          <w:sz w:val="24"/>
          <w:szCs w:val="24"/>
        </w:rPr>
        <w:t>under</w:t>
      </w:r>
      <w:r w:rsidR="007C122F" w:rsidRPr="001E0157">
        <w:rPr>
          <w:sz w:val="24"/>
          <w:szCs w:val="24"/>
        </w:rPr>
        <w:t xml:space="preserve"> roofs and </w:t>
      </w:r>
      <w:r w:rsidR="007C122F" w:rsidRPr="001E0157">
        <w:rPr>
          <w:i/>
          <w:sz w:val="24"/>
          <w:szCs w:val="24"/>
        </w:rPr>
        <w:t>behind</w:t>
      </w:r>
      <w:r w:rsidR="007C122F" w:rsidRPr="001E0157">
        <w:rPr>
          <w:sz w:val="24"/>
          <w:szCs w:val="24"/>
        </w:rPr>
        <w:t xml:space="preserve"> barriers </w:t>
      </w:r>
      <w:r w:rsidR="007C122F">
        <w:rPr>
          <w:sz w:val="24"/>
          <w:szCs w:val="24"/>
        </w:rPr>
        <w:t>as drawing</w:t>
      </w:r>
      <w:r w:rsidR="00A3189B" w:rsidRPr="001E0157">
        <w:rPr>
          <w:sz w:val="24"/>
          <w:szCs w:val="24"/>
        </w:rPr>
        <w:t xml:space="preserve"> on th</w:t>
      </w:r>
      <w:r w:rsidR="007C122F">
        <w:rPr>
          <w:sz w:val="24"/>
          <w:szCs w:val="24"/>
        </w:rPr>
        <w:t>is</w:t>
      </w:r>
      <w:r w:rsidR="00A3189B" w:rsidRPr="001E0157">
        <w:rPr>
          <w:sz w:val="24"/>
          <w:szCs w:val="24"/>
        </w:rPr>
        <w:t xml:space="preserve"> same metaphor</w:t>
      </w:r>
      <w:r w:rsidR="007C122F">
        <w:rPr>
          <w:sz w:val="24"/>
          <w:szCs w:val="24"/>
        </w:rPr>
        <w:t xml:space="preserve"> of </w:t>
      </w:r>
      <w:r w:rsidR="007C122F" w:rsidRPr="007C122F">
        <w:rPr>
          <w:i/>
          <w:sz w:val="24"/>
          <w:szCs w:val="24"/>
        </w:rPr>
        <w:t>burial</w:t>
      </w:r>
      <w:r w:rsidR="007C122F">
        <w:rPr>
          <w:i/>
          <w:sz w:val="24"/>
          <w:szCs w:val="24"/>
        </w:rPr>
        <w:t xml:space="preserve"> </w:t>
      </w:r>
      <w:r w:rsidR="007C122F">
        <w:rPr>
          <w:sz w:val="24"/>
          <w:szCs w:val="24"/>
        </w:rPr>
        <w:t>by the law</w:t>
      </w:r>
      <w:r w:rsidR="00A3189B">
        <w:rPr>
          <w:sz w:val="24"/>
          <w:szCs w:val="24"/>
        </w:rPr>
        <w:t>.</w:t>
      </w:r>
    </w:p>
    <w:p w14:paraId="77ADB84C" w14:textId="6F978274" w:rsidR="008F3C51" w:rsidRPr="001E0157" w:rsidRDefault="00567F2B" w:rsidP="00081972">
      <w:pPr>
        <w:tabs>
          <w:tab w:val="left" w:pos="560"/>
          <w:tab w:val="left" w:pos="3828"/>
        </w:tabs>
        <w:spacing w:after="0" w:line="480" w:lineRule="auto"/>
        <w:rPr>
          <w:sz w:val="24"/>
          <w:szCs w:val="24"/>
        </w:rPr>
      </w:pPr>
      <w:r>
        <w:rPr>
          <w:sz w:val="24"/>
          <w:szCs w:val="24"/>
        </w:rPr>
        <w:tab/>
        <w:t xml:space="preserve">At one level then, all of these </w:t>
      </w:r>
      <w:r w:rsidR="00A3189B">
        <w:rPr>
          <w:sz w:val="24"/>
          <w:szCs w:val="24"/>
        </w:rPr>
        <w:t xml:space="preserve">strands </w:t>
      </w:r>
      <w:r w:rsidR="00334A19">
        <w:rPr>
          <w:sz w:val="24"/>
          <w:szCs w:val="24"/>
        </w:rPr>
        <w:t>are suggestive of a multiplicity</w:t>
      </w:r>
      <w:r>
        <w:rPr>
          <w:sz w:val="24"/>
          <w:szCs w:val="24"/>
        </w:rPr>
        <w:t xml:space="preserve"> of different metaphors</w:t>
      </w:r>
      <w:r w:rsidR="007C122F">
        <w:rPr>
          <w:sz w:val="24"/>
          <w:szCs w:val="24"/>
        </w:rPr>
        <w:t>,</w:t>
      </w:r>
      <w:r>
        <w:rPr>
          <w:sz w:val="24"/>
          <w:szCs w:val="24"/>
        </w:rPr>
        <w:t xml:space="preserve"> which in combination provide </w:t>
      </w:r>
      <w:r w:rsidR="0057308B">
        <w:rPr>
          <w:sz w:val="24"/>
          <w:szCs w:val="24"/>
        </w:rPr>
        <w:t xml:space="preserve">various </w:t>
      </w:r>
      <w:r w:rsidR="00334A19">
        <w:rPr>
          <w:sz w:val="24"/>
          <w:szCs w:val="24"/>
        </w:rPr>
        <w:t>means by which law’s values</w:t>
      </w:r>
      <w:r w:rsidR="007C122F">
        <w:rPr>
          <w:sz w:val="24"/>
          <w:szCs w:val="24"/>
        </w:rPr>
        <w:t xml:space="preserve"> </w:t>
      </w:r>
      <w:r w:rsidR="00334A19">
        <w:rPr>
          <w:sz w:val="24"/>
          <w:szCs w:val="24"/>
        </w:rPr>
        <w:t xml:space="preserve">can be conceptualised </w:t>
      </w:r>
      <w:r w:rsidR="007C122F">
        <w:rPr>
          <w:sz w:val="24"/>
          <w:szCs w:val="24"/>
        </w:rPr>
        <w:t xml:space="preserve">and evaluated </w:t>
      </w:r>
      <w:r w:rsidR="00334A19">
        <w:rPr>
          <w:sz w:val="24"/>
          <w:szCs w:val="24"/>
        </w:rPr>
        <w:t xml:space="preserve">meaningfully. Without denying that multiplicity however, we want to suggest </w:t>
      </w:r>
      <w:r w:rsidR="0057308B">
        <w:rPr>
          <w:sz w:val="24"/>
          <w:szCs w:val="24"/>
        </w:rPr>
        <w:t xml:space="preserve">here </w:t>
      </w:r>
      <w:r w:rsidR="00334A19">
        <w:rPr>
          <w:sz w:val="24"/>
          <w:szCs w:val="24"/>
        </w:rPr>
        <w:t xml:space="preserve">that we gain further insight on the role of metaphor in legal language </w:t>
      </w:r>
      <w:r w:rsidR="00334A19">
        <w:rPr>
          <w:sz w:val="24"/>
          <w:szCs w:val="24"/>
        </w:rPr>
        <w:lastRenderedPageBreak/>
        <w:t>by identifying what it is that underlies them. We have so far identified metaphors relating to orientation, containers and buildings. Our suggestion is that underlying these particular metaphors, and what allows them to do their important work in affording moral intelligibility and plausibility is a broader</w:t>
      </w:r>
      <w:r w:rsidR="00A02C98">
        <w:rPr>
          <w:sz w:val="24"/>
          <w:szCs w:val="24"/>
        </w:rPr>
        <w:t xml:space="preserve"> metaphor</w:t>
      </w:r>
      <w:r w:rsidR="002F7265">
        <w:rPr>
          <w:sz w:val="24"/>
          <w:szCs w:val="24"/>
        </w:rPr>
        <w:t>ical opposition</w:t>
      </w:r>
      <w:r w:rsidR="00A02C98">
        <w:rPr>
          <w:sz w:val="24"/>
          <w:szCs w:val="24"/>
        </w:rPr>
        <w:t xml:space="preserve"> of encumbrance/escape. </w:t>
      </w:r>
      <w:r w:rsidR="00334A19">
        <w:rPr>
          <w:sz w:val="24"/>
          <w:szCs w:val="24"/>
        </w:rPr>
        <w:t xml:space="preserve">For example, </w:t>
      </w:r>
      <w:r w:rsidR="007C122F">
        <w:rPr>
          <w:sz w:val="24"/>
          <w:szCs w:val="24"/>
        </w:rPr>
        <w:t xml:space="preserve">when Zander refers to </w:t>
      </w:r>
      <w:r w:rsidR="007C122F">
        <w:rPr>
          <w:i/>
          <w:sz w:val="24"/>
          <w:szCs w:val="24"/>
        </w:rPr>
        <w:t>ratio</w:t>
      </w:r>
      <w:r w:rsidR="007C122F">
        <w:rPr>
          <w:sz w:val="24"/>
          <w:szCs w:val="24"/>
        </w:rPr>
        <w:t xml:space="preserve"> as a ‘central core of meaning’, he immediately follows this up (and in the same sentence) with an alternative metaphor – ‘its sharpest cutting edge’.</w:t>
      </w:r>
      <w:r w:rsidR="002D3A94">
        <w:rPr>
          <w:rStyle w:val="FootnoteReference"/>
          <w:sz w:val="24"/>
          <w:szCs w:val="24"/>
        </w:rPr>
        <w:footnoteReference w:id="53"/>
      </w:r>
      <w:r w:rsidR="00EF4C03">
        <w:rPr>
          <w:sz w:val="24"/>
          <w:szCs w:val="24"/>
        </w:rPr>
        <w:t xml:space="preserve"> It is clear from this that the quality of </w:t>
      </w:r>
      <w:r w:rsidR="00EF4C03">
        <w:rPr>
          <w:i/>
          <w:sz w:val="24"/>
          <w:szCs w:val="24"/>
        </w:rPr>
        <w:t>ratio</w:t>
      </w:r>
      <w:r w:rsidR="00EF4C03">
        <w:rPr>
          <w:sz w:val="24"/>
          <w:szCs w:val="24"/>
        </w:rPr>
        <w:t xml:space="preserve"> that Zander is trying to emphasise its capacity to effect</w:t>
      </w:r>
      <w:r w:rsidR="0057308B">
        <w:rPr>
          <w:sz w:val="24"/>
          <w:szCs w:val="24"/>
        </w:rPr>
        <w:t xml:space="preserve"> </w:t>
      </w:r>
      <w:r w:rsidR="0057308B">
        <w:rPr>
          <w:i/>
          <w:sz w:val="24"/>
          <w:szCs w:val="24"/>
        </w:rPr>
        <w:t xml:space="preserve">movement </w:t>
      </w:r>
      <w:r w:rsidR="00EF4C03">
        <w:rPr>
          <w:sz w:val="24"/>
          <w:szCs w:val="24"/>
        </w:rPr>
        <w:t xml:space="preserve">and a </w:t>
      </w:r>
      <w:r w:rsidR="00EF4C03">
        <w:rPr>
          <w:i/>
          <w:sz w:val="24"/>
          <w:szCs w:val="24"/>
        </w:rPr>
        <w:t xml:space="preserve">transport </w:t>
      </w:r>
      <w:r w:rsidR="00EF4C03">
        <w:rPr>
          <w:sz w:val="24"/>
          <w:szCs w:val="24"/>
        </w:rPr>
        <w:t xml:space="preserve">of legal authority through time, a purpose for which </w:t>
      </w:r>
      <w:r w:rsidR="0057308B">
        <w:rPr>
          <w:sz w:val="24"/>
          <w:szCs w:val="24"/>
        </w:rPr>
        <w:t xml:space="preserve">the building metaphor doesn’t quite cut it. </w:t>
      </w:r>
      <w:r w:rsidR="00EF4C03">
        <w:rPr>
          <w:sz w:val="24"/>
          <w:szCs w:val="24"/>
        </w:rPr>
        <w:t>W</w:t>
      </w:r>
      <w:r w:rsidR="0057308B">
        <w:rPr>
          <w:sz w:val="24"/>
          <w:szCs w:val="24"/>
        </w:rPr>
        <w:t xml:space="preserve">e observe </w:t>
      </w:r>
      <w:r w:rsidR="00EF4C03">
        <w:rPr>
          <w:sz w:val="24"/>
          <w:szCs w:val="24"/>
        </w:rPr>
        <w:t xml:space="preserve">similarly </w:t>
      </w:r>
      <w:r w:rsidR="0057308B">
        <w:rPr>
          <w:sz w:val="24"/>
          <w:szCs w:val="24"/>
        </w:rPr>
        <w:t xml:space="preserve">that </w:t>
      </w:r>
      <w:r w:rsidR="00A3189B">
        <w:rPr>
          <w:sz w:val="24"/>
          <w:szCs w:val="24"/>
        </w:rPr>
        <w:t xml:space="preserve">the distinguishing feature of </w:t>
      </w:r>
      <w:r w:rsidR="00A3189B">
        <w:rPr>
          <w:i/>
          <w:sz w:val="24"/>
          <w:szCs w:val="24"/>
        </w:rPr>
        <w:t>Jarndyce v Jarndyce</w:t>
      </w:r>
      <w:r w:rsidR="00A3189B">
        <w:rPr>
          <w:sz w:val="24"/>
          <w:szCs w:val="24"/>
        </w:rPr>
        <w:t xml:space="preserve"> is that it effectively </w:t>
      </w:r>
      <w:r w:rsidR="00A3189B" w:rsidRPr="0057308B">
        <w:rPr>
          <w:i/>
          <w:sz w:val="24"/>
          <w:szCs w:val="24"/>
        </w:rPr>
        <w:t>goes nowhere</w:t>
      </w:r>
      <w:r w:rsidR="00A3189B">
        <w:rPr>
          <w:sz w:val="24"/>
          <w:szCs w:val="24"/>
        </w:rPr>
        <w:t xml:space="preserve"> and </w:t>
      </w:r>
      <w:r w:rsidR="00EF4C03">
        <w:rPr>
          <w:sz w:val="24"/>
          <w:szCs w:val="24"/>
        </w:rPr>
        <w:t xml:space="preserve">(leaving aside a livelihood for vampiric lawyers like Mr Vholes) </w:t>
      </w:r>
      <w:r w:rsidR="00A3189B">
        <w:rPr>
          <w:sz w:val="24"/>
          <w:szCs w:val="24"/>
        </w:rPr>
        <w:t>creates no new possibilities</w:t>
      </w:r>
      <w:r w:rsidR="00EF4C03">
        <w:rPr>
          <w:sz w:val="24"/>
          <w:szCs w:val="24"/>
        </w:rPr>
        <w:t xml:space="preserve">, but only frustration, exhaustion and defeated hopes – all outcomes associated with </w:t>
      </w:r>
      <w:r w:rsidR="00E91307">
        <w:rPr>
          <w:sz w:val="24"/>
          <w:szCs w:val="24"/>
        </w:rPr>
        <w:t xml:space="preserve">the failure of justice in the terms of </w:t>
      </w:r>
      <w:r w:rsidR="00EF4C03">
        <w:rPr>
          <w:sz w:val="24"/>
          <w:szCs w:val="24"/>
        </w:rPr>
        <w:t>encumbrance</w:t>
      </w:r>
      <w:r w:rsidR="00A3189B">
        <w:rPr>
          <w:sz w:val="24"/>
          <w:szCs w:val="24"/>
        </w:rPr>
        <w:t xml:space="preserve">. Mulcahy’s </w:t>
      </w:r>
      <w:r w:rsidR="0057308B">
        <w:rPr>
          <w:sz w:val="24"/>
          <w:szCs w:val="24"/>
        </w:rPr>
        <w:t xml:space="preserve">critical </w:t>
      </w:r>
      <w:r w:rsidR="004B7232">
        <w:rPr>
          <w:sz w:val="24"/>
          <w:szCs w:val="24"/>
        </w:rPr>
        <w:t xml:space="preserve">account of legal </w:t>
      </w:r>
      <w:r w:rsidR="00A3189B">
        <w:rPr>
          <w:sz w:val="24"/>
          <w:szCs w:val="24"/>
        </w:rPr>
        <w:t>spaces</w:t>
      </w:r>
      <w:r w:rsidR="004B7232">
        <w:rPr>
          <w:sz w:val="24"/>
          <w:szCs w:val="24"/>
        </w:rPr>
        <w:t xml:space="preserve"> </w:t>
      </w:r>
      <w:r w:rsidR="00A3189B">
        <w:rPr>
          <w:sz w:val="24"/>
          <w:szCs w:val="24"/>
        </w:rPr>
        <w:t xml:space="preserve">being gradually </w:t>
      </w:r>
      <w:r w:rsidR="005E2B46">
        <w:rPr>
          <w:sz w:val="24"/>
          <w:szCs w:val="24"/>
        </w:rPr>
        <w:t xml:space="preserve">walled in and roofed over </w:t>
      </w:r>
      <w:r w:rsidR="004B7232">
        <w:rPr>
          <w:sz w:val="24"/>
          <w:szCs w:val="24"/>
        </w:rPr>
        <w:t xml:space="preserve">is </w:t>
      </w:r>
      <w:r w:rsidR="005E2B46">
        <w:rPr>
          <w:sz w:val="24"/>
          <w:szCs w:val="24"/>
        </w:rPr>
        <w:t xml:space="preserve">likewise </w:t>
      </w:r>
      <w:r w:rsidR="004B7232">
        <w:rPr>
          <w:sz w:val="24"/>
          <w:szCs w:val="24"/>
        </w:rPr>
        <w:t xml:space="preserve">strongly suggestive of </w:t>
      </w:r>
      <w:r w:rsidR="009D7BE4">
        <w:rPr>
          <w:sz w:val="24"/>
          <w:szCs w:val="24"/>
        </w:rPr>
        <w:t xml:space="preserve">the </w:t>
      </w:r>
      <w:r w:rsidR="004B7232">
        <w:rPr>
          <w:sz w:val="24"/>
          <w:szCs w:val="24"/>
        </w:rPr>
        <w:t>inhibition</w:t>
      </w:r>
      <w:r w:rsidR="009D7BE4">
        <w:rPr>
          <w:sz w:val="24"/>
          <w:szCs w:val="24"/>
        </w:rPr>
        <w:t xml:space="preserve"> and the stifling </w:t>
      </w:r>
      <w:r w:rsidR="004B7232">
        <w:rPr>
          <w:sz w:val="24"/>
          <w:szCs w:val="24"/>
        </w:rPr>
        <w:t>of growth</w:t>
      </w:r>
      <w:r w:rsidR="009D7BE4">
        <w:rPr>
          <w:sz w:val="24"/>
          <w:szCs w:val="24"/>
        </w:rPr>
        <w:t xml:space="preserve"> and</w:t>
      </w:r>
      <w:r w:rsidR="004B7232">
        <w:rPr>
          <w:sz w:val="24"/>
          <w:szCs w:val="24"/>
        </w:rPr>
        <w:t xml:space="preserve"> </w:t>
      </w:r>
      <w:r w:rsidR="00E33B62" w:rsidRPr="001E0157">
        <w:rPr>
          <w:sz w:val="24"/>
          <w:szCs w:val="24"/>
        </w:rPr>
        <w:t>movement</w:t>
      </w:r>
      <w:r w:rsidR="004B7232">
        <w:rPr>
          <w:sz w:val="24"/>
          <w:szCs w:val="24"/>
        </w:rPr>
        <w:t xml:space="preserve">, </w:t>
      </w:r>
      <w:r w:rsidR="00CA2410" w:rsidRPr="001E0157">
        <w:rPr>
          <w:sz w:val="24"/>
          <w:szCs w:val="24"/>
        </w:rPr>
        <w:t xml:space="preserve">undermining law’s symbolic aspiration </w:t>
      </w:r>
      <w:r w:rsidR="00E33B62" w:rsidRPr="001E0157">
        <w:rPr>
          <w:sz w:val="24"/>
          <w:szCs w:val="24"/>
        </w:rPr>
        <w:t>towards light and openness.</w:t>
      </w:r>
      <w:r w:rsidR="00E33B62" w:rsidRPr="004A6696">
        <w:rPr>
          <w:rStyle w:val="FootnoteReference"/>
        </w:rPr>
        <w:footnoteReference w:id="54"/>
      </w:r>
    </w:p>
    <w:p w14:paraId="17C94D20" w14:textId="77777777" w:rsidR="00356443" w:rsidRPr="001E0157" w:rsidRDefault="00356443" w:rsidP="00210694">
      <w:pPr>
        <w:tabs>
          <w:tab w:val="left" w:pos="560"/>
          <w:tab w:val="left" w:pos="3828"/>
        </w:tabs>
        <w:spacing w:after="0" w:line="480" w:lineRule="auto"/>
        <w:rPr>
          <w:sz w:val="24"/>
          <w:szCs w:val="24"/>
        </w:rPr>
      </w:pPr>
    </w:p>
    <w:p w14:paraId="3FD25843" w14:textId="24A1C25D" w:rsidR="004B689F" w:rsidRPr="001E0157" w:rsidRDefault="00653359" w:rsidP="00210694">
      <w:pPr>
        <w:tabs>
          <w:tab w:val="left" w:pos="560"/>
          <w:tab w:val="left" w:pos="3828"/>
        </w:tabs>
        <w:spacing w:after="0" w:line="480" w:lineRule="auto"/>
        <w:rPr>
          <w:b/>
          <w:bCs/>
          <w:sz w:val="24"/>
          <w:szCs w:val="24"/>
        </w:rPr>
      </w:pPr>
      <w:r w:rsidRPr="001E0157">
        <w:rPr>
          <w:b/>
          <w:bCs/>
          <w:sz w:val="24"/>
          <w:szCs w:val="24"/>
        </w:rPr>
        <w:t>3</w:t>
      </w:r>
      <w:r w:rsidR="00D00525" w:rsidRPr="001E0157">
        <w:rPr>
          <w:b/>
          <w:bCs/>
          <w:sz w:val="24"/>
          <w:szCs w:val="24"/>
        </w:rPr>
        <w:t>.</w:t>
      </w:r>
      <w:r w:rsidR="00811CE2" w:rsidRPr="001E0157">
        <w:rPr>
          <w:b/>
          <w:bCs/>
          <w:sz w:val="24"/>
          <w:szCs w:val="24"/>
        </w:rPr>
        <w:t xml:space="preserve"> </w:t>
      </w:r>
      <w:r w:rsidR="003E61BB" w:rsidRPr="001E0157">
        <w:rPr>
          <w:b/>
          <w:bCs/>
          <w:sz w:val="24"/>
          <w:szCs w:val="24"/>
        </w:rPr>
        <w:t>T</w:t>
      </w:r>
      <w:r w:rsidR="0055479B">
        <w:rPr>
          <w:b/>
          <w:bCs/>
          <w:sz w:val="24"/>
          <w:szCs w:val="24"/>
        </w:rPr>
        <w:t>he encumbrance/escape</w:t>
      </w:r>
      <w:r w:rsidR="006433D6" w:rsidRPr="001E0157">
        <w:rPr>
          <w:b/>
          <w:bCs/>
          <w:sz w:val="24"/>
          <w:szCs w:val="24"/>
        </w:rPr>
        <w:t xml:space="preserve"> metaphor</w:t>
      </w:r>
      <w:r w:rsidR="00FF5010" w:rsidRPr="001E0157">
        <w:rPr>
          <w:b/>
          <w:bCs/>
          <w:sz w:val="24"/>
          <w:szCs w:val="24"/>
        </w:rPr>
        <w:t xml:space="preserve"> </w:t>
      </w:r>
      <w:r w:rsidR="006D28A9" w:rsidRPr="001E0157">
        <w:rPr>
          <w:b/>
          <w:bCs/>
          <w:sz w:val="24"/>
          <w:szCs w:val="24"/>
        </w:rPr>
        <w:t xml:space="preserve">in </w:t>
      </w:r>
      <w:r w:rsidR="006433D6" w:rsidRPr="001E0157">
        <w:rPr>
          <w:b/>
          <w:bCs/>
          <w:sz w:val="24"/>
          <w:szCs w:val="24"/>
        </w:rPr>
        <w:t xml:space="preserve">the language of </w:t>
      </w:r>
      <w:r w:rsidR="006D28A9" w:rsidRPr="001E0157">
        <w:rPr>
          <w:b/>
          <w:bCs/>
          <w:sz w:val="24"/>
          <w:szCs w:val="24"/>
        </w:rPr>
        <w:t xml:space="preserve">criminal </w:t>
      </w:r>
      <w:r w:rsidR="00A97164" w:rsidRPr="001E0157">
        <w:rPr>
          <w:b/>
          <w:bCs/>
          <w:sz w:val="24"/>
          <w:szCs w:val="24"/>
        </w:rPr>
        <w:t xml:space="preserve">legal </w:t>
      </w:r>
      <w:r w:rsidR="006433D6" w:rsidRPr="001E0157">
        <w:rPr>
          <w:b/>
          <w:bCs/>
          <w:sz w:val="24"/>
          <w:szCs w:val="24"/>
        </w:rPr>
        <w:t>judgments</w:t>
      </w:r>
    </w:p>
    <w:p w14:paraId="0390C717" w14:textId="77777777" w:rsidR="004B689F" w:rsidRPr="001E0157" w:rsidRDefault="004B689F" w:rsidP="00210694">
      <w:pPr>
        <w:tabs>
          <w:tab w:val="left" w:pos="560"/>
          <w:tab w:val="left" w:pos="3828"/>
        </w:tabs>
        <w:spacing w:after="0" w:line="480" w:lineRule="auto"/>
        <w:rPr>
          <w:b/>
          <w:bCs/>
          <w:sz w:val="24"/>
          <w:szCs w:val="24"/>
        </w:rPr>
      </w:pPr>
    </w:p>
    <w:p w14:paraId="1E62127A" w14:textId="314B6327" w:rsidR="00811CE2" w:rsidRPr="001E0157" w:rsidRDefault="00A9572A" w:rsidP="00E91307">
      <w:pPr>
        <w:tabs>
          <w:tab w:val="left" w:pos="560"/>
          <w:tab w:val="left" w:pos="3828"/>
        </w:tabs>
        <w:spacing w:after="0" w:line="480" w:lineRule="auto"/>
        <w:rPr>
          <w:sz w:val="24"/>
          <w:szCs w:val="24"/>
        </w:rPr>
      </w:pPr>
      <w:r>
        <w:rPr>
          <w:sz w:val="24"/>
          <w:szCs w:val="24"/>
        </w:rPr>
        <w:t>Let</w:t>
      </w:r>
      <w:r w:rsidR="00811CE2" w:rsidRPr="001E0157">
        <w:rPr>
          <w:sz w:val="24"/>
          <w:szCs w:val="24"/>
        </w:rPr>
        <w:t xml:space="preserve"> us </w:t>
      </w:r>
      <w:r w:rsidR="00F852F5" w:rsidRPr="001E0157">
        <w:rPr>
          <w:sz w:val="24"/>
          <w:szCs w:val="24"/>
        </w:rPr>
        <w:t xml:space="preserve">now </w:t>
      </w:r>
      <w:r w:rsidR="009A148A">
        <w:rPr>
          <w:sz w:val="24"/>
          <w:szCs w:val="24"/>
        </w:rPr>
        <w:t>turn</w:t>
      </w:r>
      <w:r>
        <w:rPr>
          <w:sz w:val="24"/>
          <w:szCs w:val="24"/>
        </w:rPr>
        <w:t xml:space="preserve"> </w:t>
      </w:r>
      <w:r w:rsidR="002F7265">
        <w:rPr>
          <w:sz w:val="24"/>
          <w:szCs w:val="24"/>
        </w:rPr>
        <w:t xml:space="preserve">finally </w:t>
      </w:r>
      <w:r w:rsidR="00F852F5" w:rsidRPr="001E0157">
        <w:rPr>
          <w:sz w:val="24"/>
          <w:szCs w:val="24"/>
        </w:rPr>
        <w:t xml:space="preserve">to </w:t>
      </w:r>
      <w:r w:rsidR="00941D4E" w:rsidRPr="001E0157">
        <w:rPr>
          <w:sz w:val="24"/>
          <w:szCs w:val="24"/>
        </w:rPr>
        <w:t>some specific</w:t>
      </w:r>
      <w:r w:rsidR="00984B86" w:rsidRPr="001E0157">
        <w:rPr>
          <w:sz w:val="24"/>
          <w:szCs w:val="24"/>
        </w:rPr>
        <w:t xml:space="preserve"> criminal legal developments</w:t>
      </w:r>
      <w:r w:rsidR="003A10C0">
        <w:rPr>
          <w:sz w:val="24"/>
          <w:szCs w:val="24"/>
        </w:rPr>
        <w:t>, and consider what the conceptualisation of the relevant principles in legal language owes to notions of encumbrance/escape</w:t>
      </w:r>
      <w:r w:rsidR="003A10C0" w:rsidRPr="001E0157">
        <w:rPr>
          <w:sz w:val="24"/>
          <w:szCs w:val="24"/>
        </w:rPr>
        <w:t>.</w:t>
      </w:r>
      <w:r w:rsidR="00415C5D" w:rsidRPr="001E0157">
        <w:rPr>
          <w:sz w:val="24"/>
          <w:szCs w:val="24"/>
        </w:rPr>
        <w:t xml:space="preserve"> </w:t>
      </w:r>
      <w:r w:rsidR="00984B86" w:rsidRPr="001E0157">
        <w:rPr>
          <w:sz w:val="24"/>
          <w:szCs w:val="24"/>
        </w:rPr>
        <w:t xml:space="preserve">The discussion </w:t>
      </w:r>
      <w:r w:rsidR="00052E8B" w:rsidRPr="001E0157">
        <w:rPr>
          <w:sz w:val="24"/>
          <w:szCs w:val="24"/>
        </w:rPr>
        <w:t>below</w:t>
      </w:r>
      <w:r w:rsidR="003A10C0">
        <w:rPr>
          <w:sz w:val="24"/>
          <w:szCs w:val="24"/>
        </w:rPr>
        <w:t xml:space="preserve"> focuses on how the appearance of this </w:t>
      </w:r>
      <w:r w:rsidR="003A10C0">
        <w:rPr>
          <w:sz w:val="24"/>
          <w:szCs w:val="24"/>
        </w:rPr>
        <w:lastRenderedPageBreak/>
        <w:t>metaphor affects the persuasiveness and moral intelligibility of legal language</w:t>
      </w:r>
      <w:r w:rsidR="009A148A">
        <w:rPr>
          <w:sz w:val="24"/>
          <w:szCs w:val="24"/>
        </w:rPr>
        <w:t>, considering judgments on</w:t>
      </w:r>
      <w:r w:rsidR="009A148A" w:rsidRPr="009A148A">
        <w:rPr>
          <w:sz w:val="24"/>
          <w:szCs w:val="24"/>
        </w:rPr>
        <w:t xml:space="preserve"> </w:t>
      </w:r>
      <w:r w:rsidR="009A148A">
        <w:rPr>
          <w:sz w:val="24"/>
          <w:szCs w:val="24"/>
        </w:rPr>
        <w:t>how culpability standards should be set (</w:t>
      </w:r>
      <w:r w:rsidR="00E91307">
        <w:rPr>
          <w:sz w:val="24"/>
          <w:szCs w:val="24"/>
        </w:rPr>
        <w:t xml:space="preserve">primarily </w:t>
      </w:r>
      <w:r w:rsidR="009A148A">
        <w:rPr>
          <w:sz w:val="24"/>
          <w:szCs w:val="24"/>
        </w:rPr>
        <w:t>dishonesty</w:t>
      </w:r>
      <w:r w:rsidR="00E91307">
        <w:rPr>
          <w:sz w:val="24"/>
          <w:szCs w:val="24"/>
        </w:rPr>
        <w:t xml:space="preserve"> and </w:t>
      </w:r>
      <w:r w:rsidR="009A148A">
        <w:rPr>
          <w:sz w:val="24"/>
          <w:szCs w:val="24"/>
        </w:rPr>
        <w:t xml:space="preserve">recklessness) and </w:t>
      </w:r>
      <w:r w:rsidR="00E91307">
        <w:rPr>
          <w:sz w:val="24"/>
          <w:szCs w:val="24"/>
        </w:rPr>
        <w:t xml:space="preserve">how a defendant’s </w:t>
      </w:r>
      <w:r w:rsidR="009A148A">
        <w:rPr>
          <w:sz w:val="24"/>
          <w:szCs w:val="24"/>
        </w:rPr>
        <w:t>responsibility</w:t>
      </w:r>
      <w:r w:rsidR="00E91307">
        <w:rPr>
          <w:sz w:val="24"/>
          <w:szCs w:val="24"/>
        </w:rPr>
        <w:t xml:space="preserve"> should be assessed</w:t>
      </w:r>
      <w:r w:rsidR="009A148A" w:rsidRPr="001E0157">
        <w:rPr>
          <w:sz w:val="24"/>
          <w:szCs w:val="24"/>
        </w:rPr>
        <w:t>.</w:t>
      </w:r>
      <w:r w:rsidR="003A10C0">
        <w:rPr>
          <w:sz w:val="24"/>
          <w:szCs w:val="24"/>
        </w:rPr>
        <w:t xml:space="preserve"> </w:t>
      </w:r>
      <w:r w:rsidR="00913648">
        <w:rPr>
          <w:sz w:val="24"/>
          <w:szCs w:val="24"/>
        </w:rPr>
        <w:t xml:space="preserve">The aim here is to demonstrate that the significance of the metaphor as a basis for conceptualising normative ideas goes well beyond a literary or dramatic device, penetrating deeply into legal language too. </w:t>
      </w:r>
    </w:p>
    <w:p w14:paraId="385FE49D" w14:textId="77777777" w:rsidR="00A724B3" w:rsidRPr="001E0157" w:rsidRDefault="00A724B3" w:rsidP="00210694">
      <w:pPr>
        <w:tabs>
          <w:tab w:val="left" w:pos="560"/>
          <w:tab w:val="left" w:pos="3828"/>
        </w:tabs>
        <w:spacing w:after="0" w:line="480" w:lineRule="auto"/>
        <w:rPr>
          <w:sz w:val="24"/>
          <w:szCs w:val="24"/>
        </w:rPr>
      </w:pPr>
    </w:p>
    <w:p w14:paraId="00711AFC" w14:textId="20ABACBF" w:rsidR="00A724B3" w:rsidRPr="001E0157" w:rsidRDefault="00A724B3" w:rsidP="00D40417">
      <w:pPr>
        <w:tabs>
          <w:tab w:val="left" w:pos="560"/>
          <w:tab w:val="left" w:pos="3828"/>
        </w:tabs>
        <w:spacing w:after="0" w:line="480" w:lineRule="auto"/>
        <w:rPr>
          <w:i/>
          <w:iCs/>
          <w:sz w:val="24"/>
          <w:szCs w:val="24"/>
        </w:rPr>
      </w:pPr>
      <w:r w:rsidRPr="001E0157">
        <w:rPr>
          <w:i/>
          <w:iCs/>
          <w:sz w:val="24"/>
          <w:szCs w:val="24"/>
        </w:rPr>
        <w:t xml:space="preserve">3.1. </w:t>
      </w:r>
      <w:r w:rsidR="00D40417" w:rsidRPr="001E0157">
        <w:rPr>
          <w:i/>
          <w:iCs/>
          <w:sz w:val="24"/>
          <w:szCs w:val="24"/>
        </w:rPr>
        <w:t>Assessing culpability objectively</w:t>
      </w:r>
      <w:r w:rsidR="00CA180F">
        <w:rPr>
          <w:i/>
          <w:iCs/>
          <w:sz w:val="24"/>
          <w:szCs w:val="24"/>
        </w:rPr>
        <w:t>: shaking off the mud of her fall</w:t>
      </w:r>
    </w:p>
    <w:p w14:paraId="336B97C8" w14:textId="77777777" w:rsidR="00811CE2" w:rsidRPr="001E0157" w:rsidRDefault="00811CE2" w:rsidP="00210694">
      <w:pPr>
        <w:tabs>
          <w:tab w:val="left" w:pos="560"/>
          <w:tab w:val="left" w:pos="3828"/>
        </w:tabs>
        <w:spacing w:after="0" w:line="480" w:lineRule="auto"/>
        <w:rPr>
          <w:sz w:val="24"/>
          <w:szCs w:val="24"/>
        </w:rPr>
      </w:pPr>
    </w:p>
    <w:p w14:paraId="47ECB417" w14:textId="33B3BF00" w:rsidR="0033623A" w:rsidRPr="001E0157" w:rsidRDefault="005B3034" w:rsidP="0049762F">
      <w:pPr>
        <w:spacing w:line="480" w:lineRule="auto"/>
        <w:rPr>
          <w:sz w:val="24"/>
          <w:szCs w:val="24"/>
        </w:rPr>
      </w:pPr>
      <w:r w:rsidRPr="001E0157">
        <w:rPr>
          <w:sz w:val="24"/>
          <w:szCs w:val="24"/>
        </w:rPr>
        <w:t xml:space="preserve">In a ranging, ambitious </w:t>
      </w:r>
      <w:r w:rsidR="00315034" w:rsidRPr="001E0157">
        <w:rPr>
          <w:sz w:val="24"/>
          <w:szCs w:val="24"/>
        </w:rPr>
        <w:t>speech</w:t>
      </w:r>
      <w:r w:rsidR="00D40417" w:rsidRPr="001E0157">
        <w:rPr>
          <w:sz w:val="24"/>
          <w:szCs w:val="24"/>
        </w:rPr>
        <w:t xml:space="preserve"> that strayed</w:t>
      </w:r>
      <w:r w:rsidRPr="001E0157">
        <w:rPr>
          <w:sz w:val="24"/>
          <w:szCs w:val="24"/>
        </w:rPr>
        <w:t xml:space="preserve"> some way beyond the particular civil law question at hand</w:t>
      </w:r>
      <w:r w:rsidR="00952F7D" w:rsidRPr="001E0157">
        <w:rPr>
          <w:sz w:val="24"/>
          <w:szCs w:val="24"/>
        </w:rPr>
        <w:t xml:space="preserve"> (whether </w:t>
      </w:r>
      <w:r w:rsidR="009D7BE4">
        <w:rPr>
          <w:sz w:val="24"/>
          <w:szCs w:val="24"/>
        </w:rPr>
        <w:t xml:space="preserve">or not </w:t>
      </w:r>
      <w:r w:rsidR="00952F7D" w:rsidRPr="001E0157">
        <w:rPr>
          <w:sz w:val="24"/>
          <w:szCs w:val="24"/>
        </w:rPr>
        <w:t>a casino gambler was entitled to his winnings in light of his alleged cheating)</w:t>
      </w:r>
      <w:r w:rsidRPr="001E0157">
        <w:rPr>
          <w:sz w:val="24"/>
          <w:szCs w:val="24"/>
        </w:rPr>
        <w:t xml:space="preserve">, </w:t>
      </w:r>
      <w:r w:rsidR="00952F7D" w:rsidRPr="001E0157">
        <w:rPr>
          <w:sz w:val="24"/>
          <w:szCs w:val="24"/>
        </w:rPr>
        <w:t xml:space="preserve">the </w:t>
      </w:r>
      <w:r w:rsidR="00544F32" w:rsidRPr="001E0157">
        <w:rPr>
          <w:sz w:val="24"/>
          <w:szCs w:val="24"/>
        </w:rPr>
        <w:t xml:space="preserve">Supreme Court </w:t>
      </w:r>
      <w:r w:rsidR="00952F7D" w:rsidRPr="001E0157">
        <w:rPr>
          <w:sz w:val="24"/>
          <w:szCs w:val="24"/>
        </w:rPr>
        <w:t>i</w:t>
      </w:r>
      <w:r w:rsidR="00315034" w:rsidRPr="001E0157">
        <w:rPr>
          <w:sz w:val="24"/>
          <w:szCs w:val="24"/>
        </w:rPr>
        <w:t xml:space="preserve">n </w:t>
      </w:r>
      <w:r w:rsidR="00315034" w:rsidRPr="001E0157">
        <w:rPr>
          <w:i/>
          <w:iCs/>
          <w:sz w:val="24"/>
          <w:szCs w:val="24"/>
        </w:rPr>
        <w:t>Ivey</w:t>
      </w:r>
      <w:r w:rsidR="0006467C" w:rsidRPr="004A6696">
        <w:rPr>
          <w:rStyle w:val="FootnoteReference"/>
        </w:rPr>
        <w:footnoteReference w:id="55"/>
      </w:r>
      <w:r w:rsidR="00315034" w:rsidRPr="001E0157">
        <w:rPr>
          <w:sz w:val="24"/>
          <w:szCs w:val="24"/>
        </w:rPr>
        <w:t xml:space="preserve"> </w:t>
      </w:r>
      <w:r w:rsidR="00952F7D" w:rsidRPr="001E0157">
        <w:rPr>
          <w:sz w:val="24"/>
          <w:szCs w:val="24"/>
        </w:rPr>
        <w:t xml:space="preserve">announced that the established </w:t>
      </w:r>
      <w:r w:rsidR="00D40417" w:rsidRPr="001E0157">
        <w:rPr>
          <w:sz w:val="24"/>
          <w:szCs w:val="24"/>
        </w:rPr>
        <w:t xml:space="preserve">two-part </w:t>
      </w:r>
      <w:r w:rsidR="00952F7D" w:rsidRPr="001E0157">
        <w:rPr>
          <w:sz w:val="24"/>
          <w:szCs w:val="24"/>
        </w:rPr>
        <w:t xml:space="preserve">test for dishonesty laid down in </w:t>
      </w:r>
      <w:r w:rsidR="00952F7D" w:rsidRPr="001E0157">
        <w:rPr>
          <w:i/>
          <w:iCs/>
          <w:sz w:val="24"/>
          <w:szCs w:val="24"/>
        </w:rPr>
        <w:t>Ghosh</w:t>
      </w:r>
      <w:r w:rsidR="007B2864" w:rsidRPr="004A6696">
        <w:rPr>
          <w:rStyle w:val="FootnoteReference"/>
        </w:rPr>
        <w:footnoteReference w:id="56"/>
      </w:r>
      <w:r w:rsidR="00952F7D" w:rsidRPr="001E0157">
        <w:rPr>
          <w:sz w:val="24"/>
          <w:szCs w:val="24"/>
        </w:rPr>
        <w:t xml:space="preserve"> was </w:t>
      </w:r>
      <w:r w:rsidR="00D40417" w:rsidRPr="001E0157">
        <w:rPr>
          <w:sz w:val="24"/>
          <w:szCs w:val="24"/>
        </w:rPr>
        <w:t xml:space="preserve">unduly complicated, </w:t>
      </w:r>
      <w:r w:rsidR="00952F7D" w:rsidRPr="001E0157">
        <w:rPr>
          <w:sz w:val="24"/>
          <w:szCs w:val="24"/>
        </w:rPr>
        <w:t>wrong</w:t>
      </w:r>
      <w:r w:rsidR="00D40417" w:rsidRPr="001E0157">
        <w:rPr>
          <w:sz w:val="24"/>
          <w:szCs w:val="24"/>
        </w:rPr>
        <w:t xml:space="preserve"> in principle</w:t>
      </w:r>
      <w:r w:rsidR="00952F7D" w:rsidRPr="001E0157">
        <w:rPr>
          <w:sz w:val="24"/>
          <w:szCs w:val="24"/>
        </w:rPr>
        <w:t xml:space="preserve"> and </w:t>
      </w:r>
      <w:r w:rsidR="00D40417" w:rsidRPr="001E0157">
        <w:rPr>
          <w:sz w:val="24"/>
          <w:szCs w:val="24"/>
        </w:rPr>
        <w:t xml:space="preserve">should </w:t>
      </w:r>
      <w:r w:rsidR="00A657A3" w:rsidRPr="001E0157">
        <w:rPr>
          <w:sz w:val="24"/>
          <w:szCs w:val="24"/>
        </w:rPr>
        <w:t>no longer be used</w:t>
      </w:r>
      <w:r w:rsidR="00952F7D" w:rsidRPr="001E0157">
        <w:rPr>
          <w:sz w:val="24"/>
          <w:szCs w:val="24"/>
        </w:rPr>
        <w:t xml:space="preserve">. In </w:t>
      </w:r>
      <w:r w:rsidR="00952F7D" w:rsidRPr="001E0157">
        <w:rPr>
          <w:i/>
          <w:iCs/>
          <w:sz w:val="24"/>
          <w:szCs w:val="24"/>
        </w:rPr>
        <w:t>Ghosh</w:t>
      </w:r>
      <w:r w:rsidR="00952F7D" w:rsidRPr="001E0157">
        <w:rPr>
          <w:sz w:val="24"/>
          <w:szCs w:val="24"/>
        </w:rPr>
        <w:t xml:space="preserve"> the </w:t>
      </w:r>
      <w:r w:rsidR="00A657A3" w:rsidRPr="001E0157">
        <w:rPr>
          <w:sz w:val="24"/>
          <w:szCs w:val="24"/>
        </w:rPr>
        <w:t>Court of Appeal</w:t>
      </w:r>
      <w:r w:rsidR="00952F7D" w:rsidRPr="001E0157">
        <w:rPr>
          <w:i/>
          <w:iCs/>
          <w:sz w:val="24"/>
          <w:szCs w:val="24"/>
        </w:rPr>
        <w:t xml:space="preserve"> </w:t>
      </w:r>
      <w:r w:rsidR="00952F7D" w:rsidRPr="001E0157">
        <w:rPr>
          <w:sz w:val="24"/>
          <w:szCs w:val="24"/>
        </w:rPr>
        <w:t xml:space="preserve">had </w:t>
      </w:r>
      <w:r w:rsidR="00214F08">
        <w:rPr>
          <w:sz w:val="24"/>
          <w:szCs w:val="24"/>
        </w:rPr>
        <w:t>decided that</w:t>
      </w:r>
      <w:r w:rsidR="00A657A3" w:rsidRPr="001E0157">
        <w:rPr>
          <w:sz w:val="24"/>
          <w:szCs w:val="24"/>
        </w:rPr>
        <w:t xml:space="preserve"> </w:t>
      </w:r>
      <w:r w:rsidR="00214F08">
        <w:rPr>
          <w:sz w:val="24"/>
          <w:szCs w:val="24"/>
        </w:rPr>
        <w:t xml:space="preserve">a finding of dishonesty for the purposes of the Theft Act 1968 required the </w:t>
      </w:r>
      <w:r w:rsidR="00A657A3" w:rsidRPr="001E0157">
        <w:rPr>
          <w:sz w:val="24"/>
          <w:szCs w:val="24"/>
        </w:rPr>
        <w:t>defendant</w:t>
      </w:r>
      <w:r w:rsidR="00952F7D" w:rsidRPr="001E0157">
        <w:rPr>
          <w:sz w:val="24"/>
          <w:szCs w:val="24"/>
        </w:rPr>
        <w:t xml:space="preserve"> </w:t>
      </w:r>
      <w:r w:rsidR="00214F08">
        <w:rPr>
          <w:sz w:val="24"/>
          <w:szCs w:val="24"/>
        </w:rPr>
        <w:t xml:space="preserve">to be proved </w:t>
      </w:r>
      <w:r w:rsidR="00952F7D" w:rsidRPr="001E0157">
        <w:rPr>
          <w:sz w:val="24"/>
          <w:szCs w:val="24"/>
        </w:rPr>
        <w:t xml:space="preserve">to have </w:t>
      </w:r>
      <w:r w:rsidR="00952F7D" w:rsidRPr="001E0157">
        <w:rPr>
          <w:i/>
          <w:iCs/>
          <w:sz w:val="24"/>
          <w:szCs w:val="24"/>
        </w:rPr>
        <w:t>known</w:t>
      </w:r>
      <w:r w:rsidR="00952F7D" w:rsidRPr="001E0157">
        <w:rPr>
          <w:sz w:val="24"/>
          <w:szCs w:val="24"/>
        </w:rPr>
        <w:t xml:space="preserve"> that his actions were dishonest by </w:t>
      </w:r>
      <w:r w:rsidR="00A657A3" w:rsidRPr="001E0157">
        <w:rPr>
          <w:sz w:val="24"/>
          <w:szCs w:val="24"/>
        </w:rPr>
        <w:t>the</w:t>
      </w:r>
      <w:r w:rsidR="00952F7D" w:rsidRPr="001E0157">
        <w:rPr>
          <w:sz w:val="24"/>
          <w:szCs w:val="24"/>
        </w:rPr>
        <w:t xml:space="preserve"> standards</w:t>
      </w:r>
      <w:r w:rsidR="00214F08">
        <w:rPr>
          <w:sz w:val="24"/>
          <w:szCs w:val="24"/>
        </w:rPr>
        <w:t xml:space="preserve"> of reasonable and honest people</w:t>
      </w:r>
      <w:r w:rsidR="00952F7D" w:rsidRPr="001E0157">
        <w:rPr>
          <w:sz w:val="24"/>
          <w:szCs w:val="24"/>
        </w:rPr>
        <w:t xml:space="preserve">; </w:t>
      </w:r>
      <w:r w:rsidR="0033623A">
        <w:rPr>
          <w:sz w:val="24"/>
          <w:szCs w:val="24"/>
        </w:rPr>
        <w:t xml:space="preserve">Lord Hughes in </w:t>
      </w:r>
      <w:r w:rsidR="00952F7D" w:rsidRPr="001E0157">
        <w:rPr>
          <w:sz w:val="24"/>
          <w:szCs w:val="24"/>
        </w:rPr>
        <w:t xml:space="preserve">the Supreme Court in </w:t>
      </w:r>
      <w:r w:rsidR="00952F7D" w:rsidRPr="001E0157">
        <w:rPr>
          <w:i/>
          <w:iCs/>
          <w:sz w:val="24"/>
          <w:szCs w:val="24"/>
        </w:rPr>
        <w:t>Ivey</w:t>
      </w:r>
      <w:r w:rsidR="00952F7D" w:rsidRPr="001E0157">
        <w:rPr>
          <w:sz w:val="24"/>
          <w:szCs w:val="24"/>
        </w:rPr>
        <w:t xml:space="preserve"> ruled that such knowledge is unnecessary.</w:t>
      </w:r>
      <w:r w:rsidR="00D363FB" w:rsidRPr="004A6696">
        <w:rPr>
          <w:rStyle w:val="FootnoteReference"/>
        </w:rPr>
        <w:footnoteReference w:id="57"/>
      </w:r>
      <w:r w:rsidR="00F150F9" w:rsidRPr="001E0157">
        <w:rPr>
          <w:sz w:val="24"/>
          <w:szCs w:val="24"/>
        </w:rPr>
        <w:t xml:space="preserve"> </w:t>
      </w:r>
      <w:r w:rsidR="004C1003" w:rsidRPr="001E0157">
        <w:rPr>
          <w:sz w:val="24"/>
          <w:szCs w:val="24"/>
        </w:rPr>
        <w:t>Others have observed that t</w:t>
      </w:r>
      <w:r w:rsidR="0033623A">
        <w:rPr>
          <w:sz w:val="24"/>
          <w:szCs w:val="24"/>
        </w:rPr>
        <w:t xml:space="preserve">he </w:t>
      </w:r>
      <w:r w:rsidR="00D363FB" w:rsidRPr="001E0157">
        <w:rPr>
          <w:sz w:val="24"/>
          <w:szCs w:val="24"/>
        </w:rPr>
        <w:t>issue</w:t>
      </w:r>
      <w:r w:rsidR="00F150F9" w:rsidRPr="001E0157">
        <w:rPr>
          <w:sz w:val="24"/>
          <w:szCs w:val="24"/>
        </w:rPr>
        <w:t xml:space="preserve"> </w:t>
      </w:r>
      <w:r w:rsidR="0033623A">
        <w:rPr>
          <w:sz w:val="24"/>
          <w:szCs w:val="24"/>
        </w:rPr>
        <w:t xml:space="preserve">this raises is primarily one </w:t>
      </w:r>
      <w:r w:rsidR="00F150F9" w:rsidRPr="001E0157">
        <w:rPr>
          <w:sz w:val="24"/>
          <w:szCs w:val="24"/>
        </w:rPr>
        <w:t>about process</w:t>
      </w:r>
      <w:r w:rsidR="004C1003" w:rsidRPr="001E0157">
        <w:rPr>
          <w:sz w:val="24"/>
          <w:szCs w:val="24"/>
        </w:rPr>
        <w:t>, that is to say</w:t>
      </w:r>
      <w:r w:rsidR="0033623A">
        <w:rPr>
          <w:sz w:val="24"/>
          <w:szCs w:val="24"/>
        </w:rPr>
        <w:t>:</w:t>
      </w:r>
      <w:r w:rsidR="00D363FB" w:rsidRPr="001E0157">
        <w:rPr>
          <w:sz w:val="24"/>
          <w:szCs w:val="24"/>
        </w:rPr>
        <w:t xml:space="preserve"> whether lower criminal courts will </w:t>
      </w:r>
      <w:r w:rsidR="00A657A3" w:rsidRPr="001E0157">
        <w:rPr>
          <w:sz w:val="24"/>
          <w:szCs w:val="24"/>
        </w:rPr>
        <w:t xml:space="preserve">actually </w:t>
      </w:r>
      <w:r w:rsidR="00D363FB" w:rsidRPr="001E0157">
        <w:rPr>
          <w:sz w:val="24"/>
          <w:szCs w:val="24"/>
        </w:rPr>
        <w:t xml:space="preserve">follow </w:t>
      </w:r>
      <w:r w:rsidR="00D363FB" w:rsidRPr="001E0157">
        <w:rPr>
          <w:i/>
          <w:iCs/>
          <w:sz w:val="24"/>
          <w:szCs w:val="24"/>
        </w:rPr>
        <w:t>Ivey</w:t>
      </w:r>
      <w:r w:rsidR="00D363FB" w:rsidRPr="001E0157">
        <w:rPr>
          <w:sz w:val="24"/>
          <w:szCs w:val="24"/>
        </w:rPr>
        <w:t xml:space="preserve"> </w:t>
      </w:r>
      <w:r w:rsidR="004C1003" w:rsidRPr="001E0157">
        <w:rPr>
          <w:sz w:val="24"/>
          <w:szCs w:val="24"/>
        </w:rPr>
        <w:t xml:space="preserve">notwithstanding its remarks about </w:t>
      </w:r>
      <w:r w:rsidR="004C1003" w:rsidRPr="001E0157">
        <w:rPr>
          <w:i/>
          <w:iCs/>
          <w:sz w:val="24"/>
          <w:szCs w:val="24"/>
        </w:rPr>
        <w:t>Ghosh</w:t>
      </w:r>
      <w:r w:rsidR="004C1003" w:rsidRPr="001E0157">
        <w:rPr>
          <w:sz w:val="24"/>
          <w:szCs w:val="24"/>
        </w:rPr>
        <w:t xml:space="preserve"> are strictly </w:t>
      </w:r>
      <w:r w:rsidR="004C1003" w:rsidRPr="001E0157">
        <w:rPr>
          <w:i/>
          <w:iCs/>
          <w:sz w:val="24"/>
          <w:szCs w:val="24"/>
        </w:rPr>
        <w:t>obiter</w:t>
      </w:r>
      <w:r w:rsidR="004C1003" w:rsidRPr="001E0157">
        <w:rPr>
          <w:sz w:val="24"/>
          <w:szCs w:val="24"/>
        </w:rPr>
        <w:t>.</w:t>
      </w:r>
      <w:r w:rsidR="004C1003" w:rsidRPr="004A6696">
        <w:rPr>
          <w:rStyle w:val="FootnoteReference"/>
        </w:rPr>
        <w:footnoteReference w:id="58"/>
      </w:r>
      <w:r w:rsidR="00D363FB" w:rsidRPr="001E0157">
        <w:rPr>
          <w:sz w:val="24"/>
          <w:szCs w:val="24"/>
        </w:rPr>
        <w:t xml:space="preserve"> </w:t>
      </w:r>
      <w:r w:rsidR="0033623A">
        <w:rPr>
          <w:sz w:val="24"/>
          <w:szCs w:val="24"/>
        </w:rPr>
        <w:t xml:space="preserve">But we can also understand this in the metaphorical terms discussed above: </w:t>
      </w:r>
      <w:r w:rsidR="008409A2" w:rsidRPr="001E0157">
        <w:rPr>
          <w:sz w:val="24"/>
          <w:szCs w:val="24"/>
        </w:rPr>
        <w:t>c</w:t>
      </w:r>
      <w:r w:rsidR="00D363FB" w:rsidRPr="001E0157">
        <w:rPr>
          <w:sz w:val="24"/>
          <w:szCs w:val="24"/>
        </w:rPr>
        <w:t xml:space="preserve">an Lord Hughes hope for his judgment to ‘stand’, given that </w:t>
      </w:r>
      <w:r w:rsidR="004C1003" w:rsidRPr="001E0157">
        <w:rPr>
          <w:sz w:val="24"/>
          <w:szCs w:val="24"/>
        </w:rPr>
        <w:t xml:space="preserve">his </w:t>
      </w:r>
      <w:r w:rsidR="00A657A3" w:rsidRPr="001E0157">
        <w:rPr>
          <w:sz w:val="24"/>
          <w:szCs w:val="24"/>
        </w:rPr>
        <w:t>judgment</w:t>
      </w:r>
      <w:r w:rsidR="004C1003" w:rsidRPr="001E0157">
        <w:rPr>
          <w:sz w:val="24"/>
          <w:szCs w:val="24"/>
        </w:rPr>
        <w:t xml:space="preserve"> exhorts</w:t>
      </w:r>
      <w:r w:rsidR="00D363FB" w:rsidRPr="001E0157">
        <w:rPr>
          <w:sz w:val="24"/>
          <w:szCs w:val="24"/>
        </w:rPr>
        <w:t xml:space="preserve"> the lower </w:t>
      </w:r>
      <w:r w:rsidR="00D363FB" w:rsidRPr="001E0157">
        <w:rPr>
          <w:sz w:val="24"/>
          <w:szCs w:val="24"/>
        </w:rPr>
        <w:lastRenderedPageBreak/>
        <w:t xml:space="preserve">courts to build up a </w:t>
      </w:r>
      <w:r w:rsidR="008409A2" w:rsidRPr="001E0157">
        <w:rPr>
          <w:sz w:val="24"/>
          <w:szCs w:val="24"/>
        </w:rPr>
        <w:t xml:space="preserve">new </w:t>
      </w:r>
      <w:r w:rsidR="00D363FB" w:rsidRPr="001E0157">
        <w:rPr>
          <w:sz w:val="24"/>
          <w:szCs w:val="24"/>
        </w:rPr>
        <w:t xml:space="preserve">legal structure based not on </w:t>
      </w:r>
      <w:r w:rsidR="0033623A">
        <w:rPr>
          <w:sz w:val="24"/>
          <w:szCs w:val="24"/>
        </w:rPr>
        <w:t>the</w:t>
      </w:r>
      <w:r w:rsidR="008409A2" w:rsidRPr="001E0157">
        <w:rPr>
          <w:sz w:val="24"/>
          <w:szCs w:val="24"/>
        </w:rPr>
        <w:t xml:space="preserve"> solid</w:t>
      </w:r>
      <w:r w:rsidR="00D363FB" w:rsidRPr="001E0157">
        <w:rPr>
          <w:sz w:val="24"/>
          <w:szCs w:val="24"/>
        </w:rPr>
        <w:t xml:space="preserve"> </w:t>
      </w:r>
      <w:r w:rsidR="00D363FB" w:rsidRPr="001E0157">
        <w:rPr>
          <w:i/>
          <w:iCs/>
          <w:sz w:val="24"/>
          <w:szCs w:val="24"/>
        </w:rPr>
        <w:t>central core</w:t>
      </w:r>
      <w:r w:rsidR="00D363FB" w:rsidRPr="001E0157">
        <w:rPr>
          <w:sz w:val="24"/>
          <w:szCs w:val="24"/>
        </w:rPr>
        <w:t xml:space="preserve"> </w:t>
      </w:r>
      <w:r w:rsidR="0033623A">
        <w:rPr>
          <w:sz w:val="24"/>
          <w:szCs w:val="24"/>
        </w:rPr>
        <w:t xml:space="preserve">of the judgment </w:t>
      </w:r>
      <w:r w:rsidR="004C1003" w:rsidRPr="001E0157">
        <w:rPr>
          <w:sz w:val="24"/>
          <w:szCs w:val="24"/>
        </w:rPr>
        <w:t>(</w:t>
      </w:r>
      <w:r w:rsidR="000301D6">
        <w:rPr>
          <w:sz w:val="24"/>
          <w:szCs w:val="24"/>
        </w:rPr>
        <w:t xml:space="preserve">i.e. </w:t>
      </w:r>
      <w:r w:rsidR="000301D6">
        <w:rPr>
          <w:i/>
          <w:iCs/>
          <w:sz w:val="24"/>
          <w:szCs w:val="24"/>
        </w:rPr>
        <w:t>ratio</w:t>
      </w:r>
      <w:r w:rsidR="000301D6" w:rsidRPr="000301D6">
        <w:rPr>
          <w:sz w:val="24"/>
          <w:szCs w:val="24"/>
        </w:rPr>
        <w:t>)</w:t>
      </w:r>
      <w:r w:rsidR="001C3B72" w:rsidRPr="001E0157">
        <w:rPr>
          <w:sz w:val="24"/>
          <w:szCs w:val="24"/>
        </w:rPr>
        <w:t xml:space="preserve"> </w:t>
      </w:r>
      <w:r w:rsidR="00D363FB" w:rsidRPr="001E0157">
        <w:rPr>
          <w:sz w:val="24"/>
          <w:szCs w:val="24"/>
        </w:rPr>
        <w:t xml:space="preserve">but on ground that is </w:t>
      </w:r>
      <w:r w:rsidR="00D363FB" w:rsidRPr="001E0157">
        <w:rPr>
          <w:i/>
          <w:iCs/>
          <w:sz w:val="24"/>
          <w:szCs w:val="24"/>
        </w:rPr>
        <w:t>more peripheral</w:t>
      </w:r>
      <w:r w:rsidR="00D363FB" w:rsidRPr="001E0157">
        <w:rPr>
          <w:sz w:val="24"/>
          <w:szCs w:val="24"/>
        </w:rPr>
        <w:t xml:space="preserve"> and not designed to bear such weight?</w:t>
      </w:r>
      <w:r w:rsidR="000301D6">
        <w:rPr>
          <w:sz w:val="24"/>
          <w:szCs w:val="24"/>
        </w:rPr>
        <w:t xml:space="preserve"> </w:t>
      </w:r>
    </w:p>
    <w:p w14:paraId="483F7BCE" w14:textId="51A612D6" w:rsidR="009A4054" w:rsidRDefault="00952F7D" w:rsidP="00CB5B54">
      <w:pPr>
        <w:spacing w:line="480" w:lineRule="auto"/>
        <w:ind w:firstLine="720"/>
        <w:rPr>
          <w:sz w:val="24"/>
          <w:szCs w:val="24"/>
        </w:rPr>
      </w:pPr>
      <w:r w:rsidRPr="001E0157">
        <w:rPr>
          <w:sz w:val="24"/>
          <w:szCs w:val="24"/>
        </w:rPr>
        <w:t xml:space="preserve">In giving reasons for </w:t>
      </w:r>
      <w:r w:rsidR="001C3B72" w:rsidRPr="001E0157">
        <w:rPr>
          <w:sz w:val="24"/>
          <w:szCs w:val="24"/>
        </w:rPr>
        <w:t>insisting on the ch</w:t>
      </w:r>
      <w:r w:rsidR="00A657A3" w:rsidRPr="001E0157">
        <w:rPr>
          <w:sz w:val="24"/>
          <w:szCs w:val="24"/>
        </w:rPr>
        <w:t>ange to the test for dishonesty he</w:t>
      </w:r>
      <w:r w:rsidR="001C3B72" w:rsidRPr="001E0157">
        <w:rPr>
          <w:sz w:val="24"/>
          <w:szCs w:val="24"/>
        </w:rPr>
        <w:t xml:space="preserve"> favours</w:t>
      </w:r>
      <w:r w:rsidRPr="001E0157">
        <w:rPr>
          <w:sz w:val="24"/>
          <w:szCs w:val="24"/>
        </w:rPr>
        <w:t xml:space="preserve">, Lord Hughes </w:t>
      </w:r>
      <w:r w:rsidR="009A4054" w:rsidRPr="001E0157">
        <w:rPr>
          <w:sz w:val="24"/>
          <w:szCs w:val="24"/>
        </w:rPr>
        <w:t xml:space="preserve">directly addresses the </w:t>
      </w:r>
      <w:r w:rsidR="009A4054" w:rsidRPr="0033623A">
        <w:rPr>
          <w:iCs/>
          <w:sz w:val="24"/>
          <w:szCs w:val="24"/>
        </w:rPr>
        <w:t>normative</w:t>
      </w:r>
      <w:r w:rsidR="009A4054" w:rsidRPr="001E0157">
        <w:rPr>
          <w:sz w:val="24"/>
          <w:szCs w:val="24"/>
        </w:rPr>
        <w:t xml:space="preserve"> question of </w:t>
      </w:r>
      <w:r w:rsidR="00977D95" w:rsidRPr="001E0157">
        <w:rPr>
          <w:sz w:val="24"/>
          <w:szCs w:val="24"/>
        </w:rPr>
        <w:t xml:space="preserve">whose </w:t>
      </w:r>
      <w:r w:rsidR="009A4054" w:rsidRPr="001E0157">
        <w:rPr>
          <w:sz w:val="24"/>
          <w:szCs w:val="24"/>
        </w:rPr>
        <w:t xml:space="preserve">standards the law represents, and whose it does not: </w:t>
      </w:r>
    </w:p>
    <w:p w14:paraId="03D591EF" w14:textId="77777777" w:rsidR="0033623A" w:rsidRPr="001E0157" w:rsidRDefault="0033623A" w:rsidP="00CB5B54">
      <w:pPr>
        <w:spacing w:line="480" w:lineRule="auto"/>
        <w:ind w:firstLine="720"/>
        <w:rPr>
          <w:sz w:val="24"/>
          <w:szCs w:val="24"/>
        </w:rPr>
      </w:pPr>
    </w:p>
    <w:p w14:paraId="467D6940" w14:textId="7D776006" w:rsidR="00811CE2" w:rsidRPr="001E0157" w:rsidRDefault="009A4054" w:rsidP="00210694">
      <w:pPr>
        <w:spacing w:line="480" w:lineRule="auto"/>
        <w:ind w:left="720"/>
        <w:rPr>
          <w:sz w:val="24"/>
          <w:szCs w:val="24"/>
        </w:rPr>
      </w:pPr>
      <w:r w:rsidRPr="001E0157">
        <w:rPr>
          <w:sz w:val="24"/>
          <w:szCs w:val="24"/>
        </w:rPr>
        <w:t>The law does not, in principle, excuse those whose standards are criminal by the benchmarks set by society, nor ought it to do so. On the contrary, it is an important, even crucial, function of the criminal law to determine what is criminal and what is not; its purpose is to set the standards of behaviour which are acceptable.</w:t>
      </w:r>
      <w:r w:rsidR="008440D5" w:rsidRPr="004A6696">
        <w:rPr>
          <w:rStyle w:val="FootnoteReference"/>
        </w:rPr>
        <w:footnoteReference w:id="59"/>
      </w:r>
    </w:p>
    <w:p w14:paraId="334C247D" w14:textId="77777777" w:rsidR="0033623A" w:rsidRDefault="0033623A" w:rsidP="00EC0D3D">
      <w:pPr>
        <w:spacing w:line="480" w:lineRule="auto"/>
        <w:rPr>
          <w:sz w:val="24"/>
          <w:szCs w:val="24"/>
        </w:rPr>
      </w:pPr>
    </w:p>
    <w:p w14:paraId="0AAF5C6A" w14:textId="490BCE23" w:rsidR="00C07074" w:rsidRPr="001E0157" w:rsidRDefault="009A4054" w:rsidP="0049762F">
      <w:pPr>
        <w:spacing w:line="480" w:lineRule="auto"/>
        <w:rPr>
          <w:sz w:val="24"/>
          <w:szCs w:val="24"/>
        </w:rPr>
      </w:pPr>
      <w:r w:rsidRPr="001E0157">
        <w:rPr>
          <w:sz w:val="24"/>
          <w:szCs w:val="24"/>
        </w:rPr>
        <w:t>At one level this i</w:t>
      </w:r>
      <w:r w:rsidR="0033623A">
        <w:rPr>
          <w:sz w:val="24"/>
          <w:szCs w:val="24"/>
        </w:rPr>
        <w:t>s simply to state what should in any case</w:t>
      </w:r>
      <w:r w:rsidRPr="001E0157">
        <w:rPr>
          <w:sz w:val="24"/>
          <w:szCs w:val="24"/>
        </w:rPr>
        <w:t xml:space="preserve"> be </w:t>
      </w:r>
      <w:r w:rsidR="0033623A">
        <w:rPr>
          <w:sz w:val="24"/>
          <w:szCs w:val="24"/>
        </w:rPr>
        <w:t>obvious</w:t>
      </w:r>
      <w:r w:rsidRPr="001E0157">
        <w:rPr>
          <w:sz w:val="24"/>
          <w:szCs w:val="24"/>
        </w:rPr>
        <w:t>: nobod</w:t>
      </w:r>
      <w:r w:rsidR="0049762F">
        <w:rPr>
          <w:sz w:val="24"/>
          <w:szCs w:val="24"/>
        </w:rPr>
        <w:t>y would expect law to tolerate</w:t>
      </w:r>
      <w:r w:rsidRPr="001E0157">
        <w:rPr>
          <w:sz w:val="24"/>
          <w:szCs w:val="24"/>
        </w:rPr>
        <w:t xml:space="preserve"> </w:t>
      </w:r>
      <w:r w:rsidR="00EC0D3D" w:rsidRPr="001E0157">
        <w:rPr>
          <w:sz w:val="24"/>
          <w:szCs w:val="24"/>
        </w:rPr>
        <w:t>behaviour</w:t>
      </w:r>
      <w:r w:rsidRPr="001E0157">
        <w:rPr>
          <w:sz w:val="24"/>
          <w:szCs w:val="24"/>
        </w:rPr>
        <w:t xml:space="preserve"> </w:t>
      </w:r>
      <w:r w:rsidRPr="001E0157">
        <w:rPr>
          <w:i/>
          <w:iCs/>
          <w:sz w:val="24"/>
          <w:szCs w:val="24"/>
        </w:rPr>
        <w:t>merely</w:t>
      </w:r>
      <w:r w:rsidR="009C4F70" w:rsidRPr="001E0157">
        <w:rPr>
          <w:sz w:val="24"/>
          <w:szCs w:val="24"/>
        </w:rPr>
        <w:t xml:space="preserve"> on the ground</w:t>
      </w:r>
      <w:r w:rsidRPr="001E0157">
        <w:rPr>
          <w:sz w:val="24"/>
          <w:szCs w:val="24"/>
        </w:rPr>
        <w:t xml:space="preserve"> that </w:t>
      </w:r>
      <w:r w:rsidR="00EC0D3D" w:rsidRPr="001E0157">
        <w:rPr>
          <w:sz w:val="24"/>
          <w:szCs w:val="24"/>
        </w:rPr>
        <w:t>t</w:t>
      </w:r>
      <w:r w:rsidRPr="001E0157">
        <w:rPr>
          <w:sz w:val="24"/>
          <w:szCs w:val="24"/>
        </w:rPr>
        <w:t xml:space="preserve">he </w:t>
      </w:r>
      <w:r w:rsidR="00EC0D3D" w:rsidRPr="001E0157">
        <w:rPr>
          <w:sz w:val="24"/>
          <w:szCs w:val="24"/>
        </w:rPr>
        <w:t>ac</w:t>
      </w:r>
      <w:r w:rsidRPr="001E0157">
        <w:rPr>
          <w:sz w:val="24"/>
          <w:szCs w:val="24"/>
        </w:rPr>
        <w:t>t</w:t>
      </w:r>
      <w:r w:rsidR="00EC0D3D" w:rsidRPr="001E0157">
        <w:rPr>
          <w:sz w:val="24"/>
          <w:szCs w:val="24"/>
        </w:rPr>
        <w:t>or</w:t>
      </w:r>
      <w:r w:rsidRPr="001E0157">
        <w:rPr>
          <w:sz w:val="24"/>
          <w:szCs w:val="24"/>
        </w:rPr>
        <w:t xml:space="preserve"> </w:t>
      </w:r>
      <w:r w:rsidR="00EC0D3D" w:rsidRPr="001E0157">
        <w:rPr>
          <w:sz w:val="24"/>
          <w:szCs w:val="24"/>
        </w:rPr>
        <w:t>lives by</w:t>
      </w:r>
      <w:r w:rsidRPr="001E0157">
        <w:rPr>
          <w:sz w:val="24"/>
          <w:szCs w:val="24"/>
        </w:rPr>
        <w:t xml:space="preserve"> different (and lower) </w:t>
      </w:r>
      <w:r w:rsidR="0033623A">
        <w:rPr>
          <w:sz w:val="24"/>
          <w:szCs w:val="24"/>
        </w:rPr>
        <w:t xml:space="preserve">moral </w:t>
      </w:r>
      <w:r w:rsidRPr="001E0157">
        <w:rPr>
          <w:sz w:val="24"/>
          <w:szCs w:val="24"/>
        </w:rPr>
        <w:t xml:space="preserve">standards than </w:t>
      </w:r>
      <w:r w:rsidR="0033623A">
        <w:rPr>
          <w:sz w:val="24"/>
          <w:szCs w:val="24"/>
        </w:rPr>
        <w:t>‘reasonable and honest people’</w:t>
      </w:r>
      <w:r w:rsidRPr="001E0157">
        <w:rPr>
          <w:sz w:val="24"/>
          <w:szCs w:val="24"/>
        </w:rPr>
        <w:t xml:space="preserve">. </w:t>
      </w:r>
      <w:r w:rsidR="00544F32" w:rsidRPr="001E0157">
        <w:rPr>
          <w:sz w:val="24"/>
          <w:szCs w:val="24"/>
        </w:rPr>
        <w:t>T</w:t>
      </w:r>
      <w:r w:rsidRPr="001E0157">
        <w:rPr>
          <w:sz w:val="24"/>
          <w:szCs w:val="24"/>
        </w:rPr>
        <w:t xml:space="preserve">he necessity for Lord Hughes’ statement of the apparently obvious </w:t>
      </w:r>
      <w:r w:rsidR="00A51E3F" w:rsidRPr="001E0157">
        <w:rPr>
          <w:sz w:val="24"/>
          <w:szCs w:val="24"/>
        </w:rPr>
        <w:t xml:space="preserve">becomes clearer when he addresses what he regards as the central weakness of the then established </w:t>
      </w:r>
      <w:r w:rsidR="00A51E3F" w:rsidRPr="001E0157">
        <w:rPr>
          <w:i/>
          <w:iCs/>
          <w:sz w:val="24"/>
          <w:szCs w:val="24"/>
        </w:rPr>
        <w:t>Ghosh</w:t>
      </w:r>
      <w:r w:rsidR="00A51E3F" w:rsidRPr="001E0157">
        <w:rPr>
          <w:sz w:val="24"/>
          <w:szCs w:val="24"/>
        </w:rPr>
        <w:t xml:space="preserve"> test of dishonesty.</w:t>
      </w:r>
      <w:r w:rsidR="0033623A">
        <w:rPr>
          <w:sz w:val="24"/>
          <w:szCs w:val="24"/>
        </w:rPr>
        <w:t xml:space="preserve"> </w:t>
      </w:r>
      <w:r w:rsidR="00952F7D" w:rsidRPr="001E0157">
        <w:rPr>
          <w:sz w:val="24"/>
          <w:szCs w:val="24"/>
        </w:rPr>
        <w:t>For the</w:t>
      </w:r>
      <w:r w:rsidR="00EC0D3D" w:rsidRPr="001E0157">
        <w:rPr>
          <w:sz w:val="24"/>
          <w:szCs w:val="24"/>
        </w:rPr>
        <w:t xml:space="preserve"> Court of Appeal in</w:t>
      </w:r>
      <w:r w:rsidR="00952F7D" w:rsidRPr="001E0157">
        <w:rPr>
          <w:sz w:val="24"/>
          <w:szCs w:val="24"/>
        </w:rPr>
        <w:t xml:space="preserve"> </w:t>
      </w:r>
      <w:r w:rsidR="00952F7D" w:rsidRPr="001E0157">
        <w:rPr>
          <w:i/>
          <w:iCs/>
          <w:sz w:val="24"/>
          <w:szCs w:val="24"/>
        </w:rPr>
        <w:t>Ghosh</w:t>
      </w:r>
      <w:r w:rsidR="00952F7D" w:rsidRPr="001E0157">
        <w:rPr>
          <w:sz w:val="24"/>
          <w:szCs w:val="24"/>
        </w:rPr>
        <w:t>, e</w:t>
      </w:r>
      <w:r w:rsidR="00A51E3F" w:rsidRPr="001E0157">
        <w:rPr>
          <w:sz w:val="24"/>
          <w:szCs w:val="24"/>
        </w:rPr>
        <w:t xml:space="preserve">ven </w:t>
      </w:r>
      <w:r w:rsidR="00EC0D3D" w:rsidRPr="001E0157">
        <w:rPr>
          <w:sz w:val="24"/>
          <w:szCs w:val="24"/>
        </w:rPr>
        <w:t xml:space="preserve">if </w:t>
      </w:r>
      <w:r w:rsidR="00800D92">
        <w:rPr>
          <w:sz w:val="24"/>
          <w:szCs w:val="24"/>
        </w:rPr>
        <w:t>the defendant</w:t>
      </w:r>
      <w:r w:rsidR="00977D95" w:rsidRPr="001E0157">
        <w:rPr>
          <w:sz w:val="24"/>
          <w:szCs w:val="24"/>
        </w:rPr>
        <w:t>’s</w:t>
      </w:r>
      <w:r w:rsidR="00A51E3F" w:rsidRPr="001E0157">
        <w:rPr>
          <w:sz w:val="24"/>
          <w:szCs w:val="24"/>
        </w:rPr>
        <w:t xml:space="preserve"> personal opinion </w:t>
      </w:r>
      <w:r w:rsidR="00977D95" w:rsidRPr="001E0157">
        <w:rPr>
          <w:sz w:val="24"/>
          <w:szCs w:val="24"/>
        </w:rPr>
        <w:t xml:space="preserve">might be </w:t>
      </w:r>
      <w:r w:rsidR="00A51E3F" w:rsidRPr="001E0157">
        <w:rPr>
          <w:sz w:val="24"/>
          <w:szCs w:val="24"/>
        </w:rPr>
        <w:t>at odds with those ordinary standards (be they ‘Robin Hood’ or an ‘ardent anti-vivisectionist’ removing animals from cages)</w:t>
      </w:r>
      <w:r w:rsidR="00977D95" w:rsidRPr="001E0157">
        <w:rPr>
          <w:sz w:val="24"/>
          <w:szCs w:val="24"/>
        </w:rPr>
        <w:t>,</w:t>
      </w:r>
      <w:r w:rsidR="00A51E3F" w:rsidRPr="001E0157">
        <w:rPr>
          <w:sz w:val="24"/>
          <w:szCs w:val="24"/>
        </w:rPr>
        <w:t xml:space="preserve"> a jury sh</w:t>
      </w:r>
      <w:r w:rsidR="00977D95" w:rsidRPr="001E0157">
        <w:rPr>
          <w:sz w:val="24"/>
          <w:szCs w:val="24"/>
        </w:rPr>
        <w:t>ould have no problem convicting,</w:t>
      </w:r>
      <w:r w:rsidR="00CB5B54">
        <w:rPr>
          <w:sz w:val="24"/>
          <w:szCs w:val="24"/>
        </w:rPr>
        <w:t xml:space="preserve"> ‘</w:t>
      </w:r>
      <w:r w:rsidR="00A51E3F" w:rsidRPr="001E0157">
        <w:rPr>
          <w:sz w:val="24"/>
          <w:szCs w:val="24"/>
        </w:rPr>
        <w:t>because they</w:t>
      </w:r>
      <w:r w:rsidR="00977D95" w:rsidRPr="001E0157">
        <w:rPr>
          <w:sz w:val="24"/>
          <w:szCs w:val="24"/>
        </w:rPr>
        <w:t xml:space="preserve"> [i.e. D]</w:t>
      </w:r>
      <w:r w:rsidR="00A51E3F" w:rsidRPr="001E0157">
        <w:rPr>
          <w:sz w:val="24"/>
          <w:szCs w:val="24"/>
        </w:rPr>
        <w:t xml:space="preserve"> know that ordinary people would consider</w:t>
      </w:r>
      <w:r w:rsidR="00CB5B54">
        <w:rPr>
          <w:sz w:val="24"/>
          <w:szCs w:val="24"/>
        </w:rPr>
        <w:t xml:space="preserve"> these actions to be dishonest.’</w:t>
      </w:r>
      <w:r w:rsidR="008440D5" w:rsidRPr="004A6696">
        <w:rPr>
          <w:rStyle w:val="FootnoteReference"/>
        </w:rPr>
        <w:footnoteReference w:id="60"/>
      </w:r>
      <w:r w:rsidR="00D44AE3" w:rsidRPr="001E0157">
        <w:rPr>
          <w:sz w:val="24"/>
          <w:szCs w:val="24"/>
        </w:rPr>
        <w:t xml:space="preserve"> Whether this is true or not in any given case is a matter of fact for the jury</w:t>
      </w:r>
      <w:r w:rsidR="0033623A">
        <w:rPr>
          <w:sz w:val="24"/>
          <w:szCs w:val="24"/>
        </w:rPr>
        <w:t>; p</w:t>
      </w:r>
      <w:r w:rsidR="00C07074" w:rsidRPr="001E0157">
        <w:rPr>
          <w:sz w:val="24"/>
          <w:szCs w:val="24"/>
        </w:rPr>
        <w:t>rovided the j</w:t>
      </w:r>
      <w:r w:rsidR="00B9295C" w:rsidRPr="001E0157">
        <w:rPr>
          <w:sz w:val="24"/>
          <w:szCs w:val="24"/>
        </w:rPr>
        <w:t>ury do make that finding</w:t>
      </w:r>
      <w:r w:rsidR="00C07074" w:rsidRPr="001E0157">
        <w:rPr>
          <w:sz w:val="24"/>
          <w:szCs w:val="24"/>
        </w:rPr>
        <w:t xml:space="preserve">, and </w:t>
      </w:r>
      <w:r w:rsidR="00C07074" w:rsidRPr="001E0157">
        <w:rPr>
          <w:sz w:val="24"/>
          <w:szCs w:val="24"/>
        </w:rPr>
        <w:lastRenderedPageBreak/>
        <w:t>furthermore agree that the behaviour at issue offends the general and ordinary societal standards that they collectively represent, there ought indeed be no issue about those</w:t>
      </w:r>
      <w:r w:rsidR="00800D92">
        <w:rPr>
          <w:sz w:val="24"/>
          <w:szCs w:val="24"/>
        </w:rPr>
        <w:t xml:space="preserve"> standards being undermined by the defendant</w:t>
      </w:r>
      <w:r w:rsidR="00C07074" w:rsidRPr="001E0157">
        <w:rPr>
          <w:sz w:val="24"/>
          <w:szCs w:val="24"/>
        </w:rPr>
        <w:t xml:space="preserve">’s </w:t>
      </w:r>
      <w:r w:rsidR="0033623A">
        <w:rPr>
          <w:sz w:val="24"/>
          <w:szCs w:val="24"/>
        </w:rPr>
        <w:t>deviation from them</w:t>
      </w:r>
      <w:r w:rsidR="00C07074" w:rsidRPr="001E0157">
        <w:rPr>
          <w:sz w:val="24"/>
          <w:szCs w:val="24"/>
        </w:rPr>
        <w:t>. But Lord Hughes construes this as one not about facts but logical necessity</w:t>
      </w:r>
      <w:r w:rsidR="003B7834">
        <w:rPr>
          <w:sz w:val="24"/>
          <w:szCs w:val="24"/>
        </w:rPr>
        <w:t>,</w:t>
      </w:r>
      <w:r w:rsidR="00C07074" w:rsidRPr="001E0157">
        <w:rPr>
          <w:sz w:val="24"/>
          <w:szCs w:val="24"/>
        </w:rPr>
        <w:t xml:space="preserve"> and as something that</w:t>
      </w:r>
      <w:r w:rsidR="00CB5B54">
        <w:rPr>
          <w:sz w:val="24"/>
          <w:szCs w:val="24"/>
        </w:rPr>
        <w:t xml:space="preserve"> goes beyond the jury’s remit. ‘Even if this were correct’</w:t>
      </w:r>
      <w:r w:rsidR="00C07074" w:rsidRPr="001E0157">
        <w:rPr>
          <w:sz w:val="24"/>
          <w:szCs w:val="24"/>
        </w:rPr>
        <w:t>, worries his Lordship</w:t>
      </w:r>
      <w:r w:rsidR="00A657A3" w:rsidRPr="001E0157">
        <w:rPr>
          <w:sz w:val="24"/>
          <w:szCs w:val="24"/>
        </w:rPr>
        <w:t xml:space="preserve"> (referring to the assurances given by Lord Lane </w:t>
      </w:r>
      <w:r w:rsidR="0033623A">
        <w:rPr>
          <w:sz w:val="24"/>
          <w:szCs w:val="24"/>
        </w:rPr>
        <w:t xml:space="preserve">CJ </w:t>
      </w:r>
      <w:r w:rsidR="00A657A3" w:rsidRPr="001E0157">
        <w:rPr>
          <w:sz w:val="24"/>
          <w:szCs w:val="24"/>
        </w:rPr>
        <w:t xml:space="preserve">in </w:t>
      </w:r>
      <w:r w:rsidR="00A657A3" w:rsidRPr="001E0157">
        <w:rPr>
          <w:i/>
          <w:iCs/>
          <w:sz w:val="24"/>
          <w:szCs w:val="24"/>
        </w:rPr>
        <w:t>Ghosh</w:t>
      </w:r>
      <w:r w:rsidR="00A657A3" w:rsidRPr="001E0157">
        <w:rPr>
          <w:sz w:val="24"/>
          <w:szCs w:val="24"/>
        </w:rPr>
        <w:t>)</w:t>
      </w:r>
      <w:r w:rsidR="00C07074" w:rsidRPr="001E0157">
        <w:rPr>
          <w:sz w:val="24"/>
          <w:szCs w:val="24"/>
        </w:rPr>
        <w:t xml:space="preserve">: </w:t>
      </w:r>
    </w:p>
    <w:p w14:paraId="0478FE3E" w14:textId="51891366" w:rsidR="009A4054" w:rsidRPr="001E0157" w:rsidRDefault="00C07074" w:rsidP="00210694">
      <w:pPr>
        <w:spacing w:line="480" w:lineRule="auto"/>
        <w:ind w:left="720"/>
        <w:rPr>
          <w:sz w:val="24"/>
          <w:szCs w:val="24"/>
        </w:rPr>
      </w:pPr>
      <w:r w:rsidRPr="001E0157">
        <w:rPr>
          <w:sz w:val="24"/>
          <w:szCs w:val="24"/>
        </w:rPr>
        <w:t xml:space="preserve">…it would still mean that the defendant who thinks that stealing from a bookmaker is not dishonest (as in </w:t>
      </w:r>
      <w:r w:rsidRPr="001E0157">
        <w:rPr>
          <w:i/>
          <w:iCs/>
          <w:sz w:val="24"/>
          <w:szCs w:val="24"/>
        </w:rPr>
        <w:t>R v Gilks</w:t>
      </w:r>
      <w:r w:rsidRPr="001E0157">
        <w:rPr>
          <w:sz w:val="24"/>
          <w:szCs w:val="24"/>
        </w:rPr>
        <w:t xml:space="preserve"> [1972] 1 WLR 1341 - see para 73 below) is entitled to be acquitted. It is no answer to say that he will be convicted if he realised that ordinary honest people would think that stealing from a bookmaker is dishonest, </w:t>
      </w:r>
      <w:r w:rsidRPr="001E0157">
        <w:rPr>
          <w:i/>
          <w:iCs/>
          <w:sz w:val="24"/>
          <w:szCs w:val="24"/>
        </w:rPr>
        <w:t>for by definition he does not realise this</w:t>
      </w:r>
      <w:r w:rsidR="00CB5B54">
        <w:rPr>
          <w:sz w:val="24"/>
          <w:szCs w:val="24"/>
        </w:rPr>
        <w:t>.</w:t>
      </w:r>
      <w:r w:rsidR="008440D5" w:rsidRPr="004A6696">
        <w:rPr>
          <w:rStyle w:val="FootnoteReference"/>
        </w:rPr>
        <w:footnoteReference w:id="61"/>
      </w:r>
    </w:p>
    <w:p w14:paraId="18377A37" w14:textId="1605F5FD" w:rsidR="004932EC" w:rsidRPr="001E0157" w:rsidRDefault="00C51A60" w:rsidP="000E34AB">
      <w:pPr>
        <w:spacing w:line="480" w:lineRule="auto"/>
        <w:rPr>
          <w:sz w:val="24"/>
          <w:szCs w:val="24"/>
        </w:rPr>
      </w:pPr>
      <w:r w:rsidRPr="001E0157">
        <w:rPr>
          <w:sz w:val="24"/>
          <w:szCs w:val="24"/>
        </w:rPr>
        <w:t xml:space="preserve">There are </w:t>
      </w:r>
      <w:r w:rsidR="00CB5B54">
        <w:rPr>
          <w:sz w:val="24"/>
          <w:szCs w:val="24"/>
        </w:rPr>
        <w:t>at least two</w:t>
      </w:r>
      <w:r w:rsidRPr="001E0157">
        <w:rPr>
          <w:sz w:val="24"/>
          <w:szCs w:val="24"/>
        </w:rPr>
        <w:t xml:space="preserve"> way</w:t>
      </w:r>
      <w:r w:rsidR="00544F32" w:rsidRPr="001E0157">
        <w:rPr>
          <w:sz w:val="24"/>
          <w:szCs w:val="24"/>
        </w:rPr>
        <w:t>s in which we might construe this passage</w:t>
      </w:r>
      <w:r w:rsidR="007827A2">
        <w:rPr>
          <w:sz w:val="24"/>
          <w:szCs w:val="24"/>
        </w:rPr>
        <w:t>, both of which invoke the encumbrance/escape metaphor</w:t>
      </w:r>
      <w:r w:rsidRPr="001E0157">
        <w:rPr>
          <w:sz w:val="24"/>
          <w:szCs w:val="24"/>
        </w:rPr>
        <w:t xml:space="preserve">. </w:t>
      </w:r>
      <w:r w:rsidR="007827A2">
        <w:rPr>
          <w:sz w:val="24"/>
          <w:szCs w:val="24"/>
        </w:rPr>
        <w:t>In the first place</w:t>
      </w:r>
      <w:r w:rsidR="0049762F">
        <w:rPr>
          <w:sz w:val="24"/>
          <w:szCs w:val="24"/>
        </w:rPr>
        <w:t>,</w:t>
      </w:r>
      <w:r w:rsidRPr="001E0157">
        <w:rPr>
          <w:sz w:val="24"/>
          <w:szCs w:val="24"/>
        </w:rPr>
        <w:t xml:space="preserve"> </w:t>
      </w:r>
      <w:r w:rsidR="00544F32" w:rsidRPr="001E0157">
        <w:rPr>
          <w:sz w:val="24"/>
          <w:szCs w:val="24"/>
        </w:rPr>
        <w:t xml:space="preserve">it </w:t>
      </w:r>
      <w:r w:rsidR="0049762F">
        <w:rPr>
          <w:sz w:val="24"/>
          <w:szCs w:val="24"/>
        </w:rPr>
        <w:t>i</w:t>
      </w:r>
      <w:r w:rsidRPr="001E0157">
        <w:rPr>
          <w:sz w:val="24"/>
          <w:szCs w:val="24"/>
        </w:rPr>
        <w:t xml:space="preserve">s an example of the very familiar judicial appeal to the value of </w:t>
      </w:r>
      <w:r w:rsidRPr="007827A2">
        <w:rPr>
          <w:sz w:val="24"/>
          <w:szCs w:val="24"/>
        </w:rPr>
        <w:t>simplicity</w:t>
      </w:r>
      <w:r w:rsidRPr="001E0157">
        <w:rPr>
          <w:sz w:val="24"/>
          <w:szCs w:val="24"/>
        </w:rPr>
        <w:t xml:space="preserve">, and </w:t>
      </w:r>
      <w:r w:rsidR="007827A2">
        <w:rPr>
          <w:sz w:val="24"/>
          <w:szCs w:val="24"/>
        </w:rPr>
        <w:t xml:space="preserve">of </w:t>
      </w:r>
      <w:r w:rsidRPr="001E0157">
        <w:rPr>
          <w:sz w:val="24"/>
          <w:szCs w:val="24"/>
        </w:rPr>
        <w:t xml:space="preserve">not </w:t>
      </w:r>
      <w:r w:rsidR="007827A2">
        <w:rPr>
          <w:sz w:val="24"/>
          <w:szCs w:val="24"/>
        </w:rPr>
        <w:t>burdening juries with t</w:t>
      </w:r>
      <w:r w:rsidRPr="001E0157">
        <w:rPr>
          <w:sz w:val="24"/>
          <w:szCs w:val="24"/>
        </w:rPr>
        <w:t xml:space="preserve">echnical legal artifice </w:t>
      </w:r>
      <w:r w:rsidR="007827A2">
        <w:rPr>
          <w:sz w:val="24"/>
          <w:szCs w:val="24"/>
        </w:rPr>
        <w:t xml:space="preserve">that can impede justice by placing a barrier between them and their </w:t>
      </w:r>
      <w:r w:rsidR="0049762F">
        <w:rPr>
          <w:sz w:val="24"/>
          <w:szCs w:val="24"/>
        </w:rPr>
        <w:t>reaching a</w:t>
      </w:r>
      <w:r w:rsidR="00A657A3" w:rsidRPr="001E0157">
        <w:rPr>
          <w:sz w:val="24"/>
          <w:szCs w:val="24"/>
        </w:rPr>
        <w:t xml:space="preserve"> </w:t>
      </w:r>
      <w:r w:rsidR="0049762F">
        <w:rPr>
          <w:sz w:val="24"/>
          <w:szCs w:val="24"/>
        </w:rPr>
        <w:t xml:space="preserve">(guilty) </w:t>
      </w:r>
      <w:r w:rsidR="00A657A3" w:rsidRPr="001E0157">
        <w:rPr>
          <w:sz w:val="24"/>
          <w:szCs w:val="24"/>
        </w:rPr>
        <w:t>verdict.</w:t>
      </w:r>
      <w:r w:rsidR="00A657A3" w:rsidRPr="004A6696">
        <w:rPr>
          <w:rStyle w:val="FootnoteReference"/>
        </w:rPr>
        <w:footnoteReference w:id="62"/>
      </w:r>
      <w:r w:rsidR="007827A2">
        <w:rPr>
          <w:sz w:val="24"/>
          <w:szCs w:val="24"/>
        </w:rPr>
        <w:t xml:space="preserve"> But </w:t>
      </w:r>
      <w:r w:rsidR="00385153">
        <w:rPr>
          <w:sz w:val="24"/>
          <w:szCs w:val="24"/>
        </w:rPr>
        <w:t xml:space="preserve">elsewhere, </w:t>
      </w:r>
      <w:r w:rsidR="00175FC4" w:rsidRPr="001E0157">
        <w:rPr>
          <w:sz w:val="24"/>
          <w:szCs w:val="24"/>
        </w:rPr>
        <w:t>Lord Hughes</w:t>
      </w:r>
      <w:r w:rsidR="00807A36" w:rsidRPr="001E0157">
        <w:rPr>
          <w:sz w:val="24"/>
          <w:szCs w:val="24"/>
        </w:rPr>
        <w:t xml:space="preserve"> </w:t>
      </w:r>
      <w:r w:rsidR="009823BF" w:rsidRPr="001E0157">
        <w:rPr>
          <w:sz w:val="24"/>
          <w:szCs w:val="24"/>
        </w:rPr>
        <w:t>seems to suggest that</w:t>
      </w:r>
      <w:r w:rsidR="00175FC4" w:rsidRPr="001E0157">
        <w:rPr>
          <w:sz w:val="24"/>
          <w:szCs w:val="24"/>
        </w:rPr>
        <w:t xml:space="preserve"> the</w:t>
      </w:r>
      <w:r w:rsidR="00C1133F" w:rsidRPr="001E0157">
        <w:rPr>
          <w:sz w:val="24"/>
          <w:szCs w:val="24"/>
        </w:rPr>
        <w:t xml:space="preserve"> problem of</w:t>
      </w:r>
      <w:r w:rsidR="00175FC4" w:rsidRPr="001E0157">
        <w:rPr>
          <w:sz w:val="24"/>
          <w:szCs w:val="24"/>
        </w:rPr>
        <w:t xml:space="preserve"> </w:t>
      </w:r>
      <w:r w:rsidR="00175FC4" w:rsidRPr="001E0157">
        <w:rPr>
          <w:i/>
          <w:iCs/>
          <w:sz w:val="24"/>
          <w:szCs w:val="24"/>
        </w:rPr>
        <w:t>Ghosh</w:t>
      </w:r>
      <w:r w:rsidR="00175FC4" w:rsidRPr="001E0157">
        <w:rPr>
          <w:sz w:val="24"/>
          <w:szCs w:val="24"/>
        </w:rPr>
        <w:t xml:space="preserve"> </w:t>
      </w:r>
      <w:r w:rsidR="00C1133F" w:rsidRPr="001E0157">
        <w:rPr>
          <w:sz w:val="24"/>
          <w:szCs w:val="24"/>
        </w:rPr>
        <w:t xml:space="preserve">may be </w:t>
      </w:r>
      <w:r w:rsidR="00385153">
        <w:rPr>
          <w:sz w:val="24"/>
          <w:szCs w:val="24"/>
        </w:rPr>
        <w:t xml:space="preserve">much </w:t>
      </w:r>
      <w:r w:rsidR="00C1133F" w:rsidRPr="001E0157">
        <w:rPr>
          <w:sz w:val="24"/>
          <w:szCs w:val="24"/>
        </w:rPr>
        <w:t xml:space="preserve">more serious than that, and </w:t>
      </w:r>
      <w:r w:rsidR="00385153">
        <w:rPr>
          <w:sz w:val="24"/>
          <w:szCs w:val="24"/>
        </w:rPr>
        <w:t>that the</w:t>
      </w:r>
      <w:r w:rsidR="000E34AB">
        <w:rPr>
          <w:sz w:val="24"/>
          <w:szCs w:val="24"/>
        </w:rPr>
        <w:t xml:space="preserve"> inclusion of a subjective aspect in the</w:t>
      </w:r>
      <w:r w:rsidR="00385153">
        <w:rPr>
          <w:sz w:val="24"/>
          <w:szCs w:val="24"/>
        </w:rPr>
        <w:t xml:space="preserve"> </w:t>
      </w:r>
      <w:r w:rsidR="00385153">
        <w:rPr>
          <w:i/>
          <w:iCs/>
          <w:sz w:val="24"/>
          <w:szCs w:val="24"/>
        </w:rPr>
        <w:t>Ghosh</w:t>
      </w:r>
      <w:r w:rsidR="00385153">
        <w:rPr>
          <w:sz w:val="24"/>
          <w:szCs w:val="24"/>
        </w:rPr>
        <w:t xml:space="preserve"> </w:t>
      </w:r>
      <w:r w:rsidR="000E34AB">
        <w:rPr>
          <w:sz w:val="24"/>
          <w:szCs w:val="24"/>
        </w:rPr>
        <w:t xml:space="preserve">test </w:t>
      </w:r>
      <w:r w:rsidR="00385153">
        <w:rPr>
          <w:sz w:val="24"/>
          <w:szCs w:val="24"/>
        </w:rPr>
        <w:t xml:space="preserve">may be allowing </w:t>
      </w:r>
      <w:r w:rsidR="00175FC4" w:rsidRPr="001E0157">
        <w:rPr>
          <w:sz w:val="24"/>
          <w:szCs w:val="24"/>
        </w:rPr>
        <w:t>law</w:t>
      </w:r>
      <w:r w:rsidR="00C1133F" w:rsidRPr="001E0157">
        <w:rPr>
          <w:sz w:val="24"/>
          <w:szCs w:val="24"/>
        </w:rPr>
        <w:t>’s</w:t>
      </w:r>
      <w:r w:rsidR="00175FC4" w:rsidRPr="001E0157">
        <w:rPr>
          <w:sz w:val="24"/>
          <w:szCs w:val="24"/>
        </w:rPr>
        <w:t xml:space="preserve"> s</w:t>
      </w:r>
      <w:r w:rsidR="00056C34" w:rsidRPr="001E0157">
        <w:rPr>
          <w:sz w:val="24"/>
          <w:szCs w:val="24"/>
        </w:rPr>
        <w:t xml:space="preserve">pecial </w:t>
      </w:r>
      <w:r w:rsidR="00385153">
        <w:rPr>
          <w:sz w:val="24"/>
          <w:szCs w:val="24"/>
        </w:rPr>
        <w:t xml:space="preserve">role as the setter of culpability </w:t>
      </w:r>
      <w:r w:rsidR="00056C34" w:rsidRPr="001E0157">
        <w:rPr>
          <w:sz w:val="24"/>
          <w:szCs w:val="24"/>
        </w:rPr>
        <w:t>standard</w:t>
      </w:r>
      <w:r w:rsidR="00385153">
        <w:rPr>
          <w:sz w:val="24"/>
          <w:szCs w:val="24"/>
        </w:rPr>
        <w:t>s to</w:t>
      </w:r>
      <w:r w:rsidR="00175FC4" w:rsidRPr="001E0157">
        <w:rPr>
          <w:sz w:val="24"/>
          <w:szCs w:val="24"/>
        </w:rPr>
        <w:t xml:space="preserve"> be </w:t>
      </w:r>
      <w:r w:rsidR="00C1133F" w:rsidRPr="001E0157">
        <w:rPr>
          <w:sz w:val="24"/>
          <w:szCs w:val="24"/>
        </w:rPr>
        <w:t>compromised</w:t>
      </w:r>
      <w:r w:rsidR="00385153">
        <w:rPr>
          <w:sz w:val="24"/>
          <w:szCs w:val="24"/>
        </w:rPr>
        <w:t xml:space="preserve">. </w:t>
      </w:r>
      <w:r w:rsidR="00001B23">
        <w:rPr>
          <w:sz w:val="24"/>
          <w:szCs w:val="24"/>
        </w:rPr>
        <w:t xml:space="preserve">In the earlier case of </w:t>
      </w:r>
      <w:r w:rsidR="00001B23">
        <w:rPr>
          <w:i/>
          <w:sz w:val="24"/>
          <w:szCs w:val="24"/>
        </w:rPr>
        <w:t>Gilks</w:t>
      </w:r>
      <w:r w:rsidR="00001B23">
        <w:rPr>
          <w:sz w:val="24"/>
          <w:szCs w:val="24"/>
        </w:rPr>
        <w:t xml:space="preserve"> that Lord Hughes refers to, Mr </w:t>
      </w:r>
      <w:r w:rsidR="00006397" w:rsidRPr="001E0157">
        <w:rPr>
          <w:sz w:val="24"/>
          <w:szCs w:val="24"/>
        </w:rPr>
        <w:t>Gilks’ defence had been that it was not dishonest for him to withhold £100 mistakenly given to</w:t>
      </w:r>
      <w:r w:rsidR="00494607">
        <w:rPr>
          <w:sz w:val="24"/>
          <w:szCs w:val="24"/>
        </w:rPr>
        <w:t xml:space="preserve"> him by a bookmaker, because ‘bookmakers were fair game’</w:t>
      </w:r>
      <w:r w:rsidR="00001B23">
        <w:rPr>
          <w:sz w:val="24"/>
          <w:szCs w:val="24"/>
        </w:rPr>
        <w:t>.</w:t>
      </w:r>
      <w:r w:rsidR="00001B23" w:rsidRPr="004A6696">
        <w:rPr>
          <w:rStyle w:val="FootnoteReference"/>
        </w:rPr>
        <w:footnoteReference w:id="63"/>
      </w:r>
      <w:r w:rsidR="00006397" w:rsidRPr="001E0157">
        <w:rPr>
          <w:sz w:val="24"/>
          <w:szCs w:val="24"/>
        </w:rPr>
        <w:t xml:space="preserve"> Although </w:t>
      </w:r>
      <w:r w:rsidR="00433F89" w:rsidRPr="001E0157">
        <w:rPr>
          <w:sz w:val="24"/>
          <w:szCs w:val="24"/>
        </w:rPr>
        <w:t>Gilks’s</w:t>
      </w:r>
      <w:r w:rsidR="00006397" w:rsidRPr="001E0157">
        <w:rPr>
          <w:sz w:val="24"/>
          <w:szCs w:val="24"/>
        </w:rPr>
        <w:t xml:space="preserve"> appeal was rejected, </w:t>
      </w:r>
      <w:r w:rsidR="00006397" w:rsidRPr="001E0157">
        <w:rPr>
          <w:sz w:val="24"/>
          <w:szCs w:val="24"/>
        </w:rPr>
        <w:lastRenderedPageBreak/>
        <w:t>the C</w:t>
      </w:r>
      <w:r w:rsidR="00C1133F" w:rsidRPr="001E0157">
        <w:rPr>
          <w:sz w:val="24"/>
          <w:szCs w:val="24"/>
        </w:rPr>
        <w:t>ourt of Appeal</w:t>
      </w:r>
      <w:r w:rsidR="00006397" w:rsidRPr="001E0157">
        <w:rPr>
          <w:sz w:val="24"/>
          <w:szCs w:val="24"/>
        </w:rPr>
        <w:t xml:space="preserve"> nonetheless approved the trial judge’s </w:t>
      </w:r>
      <w:r w:rsidR="00494607">
        <w:rPr>
          <w:sz w:val="24"/>
          <w:szCs w:val="24"/>
        </w:rPr>
        <w:t>direction that the jury should ‘</w:t>
      </w:r>
      <w:r w:rsidR="00006397" w:rsidRPr="001E0157">
        <w:rPr>
          <w:sz w:val="24"/>
          <w:szCs w:val="24"/>
        </w:rPr>
        <w:t>put itself in his shoes and ask itself whether he had thought he was</w:t>
      </w:r>
      <w:r w:rsidR="00494607">
        <w:rPr>
          <w:sz w:val="24"/>
          <w:szCs w:val="24"/>
        </w:rPr>
        <w:t xml:space="preserve"> acting honestly or dishonestly’</w:t>
      </w:r>
      <w:r w:rsidR="00006397" w:rsidRPr="001E0157">
        <w:rPr>
          <w:sz w:val="24"/>
          <w:szCs w:val="24"/>
        </w:rPr>
        <w:t>. F</w:t>
      </w:r>
      <w:r w:rsidR="00175FC4" w:rsidRPr="001E0157">
        <w:rPr>
          <w:sz w:val="24"/>
          <w:szCs w:val="24"/>
        </w:rPr>
        <w:t>or Lord Hughes,</w:t>
      </w:r>
      <w:r w:rsidR="00006397" w:rsidRPr="001E0157">
        <w:rPr>
          <w:sz w:val="24"/>
          <w:szCs w:val="24"/>
        </w:rPr>
        <w:t xml:space="preserve"> this makes </w:t>
      </w:r>
      <w:r w:rsidR="00006397" w:rsidRPr="001E0157">
        <w:rPr>
          <w:i/>
          <w:iCs/>
          <w:sz w:val="24"/>
          <w:szCs w:val="24"/>
        </w:rPr>
        <w:t xml:space="preserve">Gilks </w:t>
      </w:r>
      <w:r w:rsidR="00494607">
        <w:rPr>
          <w:sz w:val="24"/>
          <w:szCs w:val="24"/>
        </w:rPr>
        <w:t>a ‘powerful demonstration’ of the ‘perils’</w:t>
      </w:r>
      <w:r w:rsidR="00006397" w:rsidRPr="001E0157">
        <w:rPr>
          <w:sz w:val="24"/>
          <w:szCs w:val="24"/>
        </w:rPr>
        <w:t xml:space="preserve"> of construing dishonesty subjectively</w:t>
      </w:r>
      <w:r w:rsidR="00001B23">
        <w:rPr>
          <w:sz w:val="24"/>
          <w:szCs w:val="24"/>
        </w:rPr>
        <w:t>,</w:t>
      </w:r>
      <w:r w:rsidR="00001B23" w:rsidRPr="004A6696">
        <w:rPr>
          <w:rStyle w:val="FootnoteReference"/>
        </w:rPr>
        <w:footnoteReference w:id="64"/>
      </w:r>
      <w:r w:rsidR="00006397" w:rsidRPr="001E0157">
        <w:rPr>
          <w:sz w:val="24"/>
          <w:szCs w:val="24"/>
        </w:rPr>
        <w:t xml:space="preserve"> and hence of the</w:t>
      </w:r>
      <w:r w:rsidR="00175FC4" w:rsidRPr="001E0157">
        <w:rPr>
          <w:sz w:val="24"/>
          <w:szCs w:val="24"/>
        </w:rPr>
        <w:t xml:space="preserve"> second </w:t>
      </w:r>
      <w:r w:rsidR="00006397" w:rsidRPr="001E0157">
        <w:rPr>
          <w:sz w:val="24"/>
          <w:szCs w:val="24"/>
        </w:rPr>
        <w:t xml:space="preserve">limb </w:t>
      </w:r>
      <w:r w:rsidR="00175FC4" w:rsidRPr="001E0157">
        <w:rPr>
          <w:sz w:val="24"/>
          <w:szCs w:val="24"/>
        </w:rPr>
        <w:t xml:space="preserve">of the </w:t>
      </w:r>
      <w:r w:rsidR="00175FC4" w:rsidRPr="001E0157">
        <w:rPr>
          <w:i/>
          <w:iCs/>
          <w:sz w:val="24"/>
          <w:szCs w:val="24"/>
        </w:rPr>
        <w:t>Ghosh</w:t>
      </w:r>
      <w:r w:rsidR="00175FC4" w:rsidRPr="001E0157">
        <w:rPr>
          <w:sz w:val="24"/>
          <w:szCs w:val="24"/>
        </w:rPr>
        <w:t xml:space="preserve"> test</w:t>
      </w:r>
      <w:r w:rsidR="00006397" w:rsidRPr="001E0157">
        <w:rPr>
          <w:sz w:val="24"/>
          <w:szCs w:val="24"/>
        </w:rPr>
        <w:t>:</w:t>
      </w:r>
      <w:r w:rsidR="00175FC4" w:rsidRPr="001E0157">
        <w:rPr>
          <w:sz w:val="24"/>
          <w:szCs w:val="24"/>
        </w:rPr>
        <w:t xml:space="preserve"> </w:t>
      </w:r>
      <w:r w:rsidR="00494607">
        <w:rPr>
          <w:sz w:val="24"/>
          <w:szCs w:val="24"/>
        </w:rPr>
        <w:t>‘</w:t>
      </w:r>
      <w:r w:rsidR="00175FC4" w:rsidRPr="001E0157">
        <w:rPr>
          <w:sz w:val="24"/>
          <w:szCs w:val="24"/>
        </w:rPr>
        <w:t>that the less the defendant’s standards conform to what society in general expects, the less likely he is to be held criminall</w:t>
      </w:r>
      <w:r w:rsidR="00006397" w:rsidRPr="001E0157">
        <w:rPr>
          <w:sz w:val="24"/>
          <w:szCs w:val="24"/>
        </w:rPr>
        <w:t>y responsible for his behaviour</w:t>
      </w:r>
      <w:r w:rsidR="00494607">
        <w:rPr>
          <w:sz w:val="24"/>
          <w:szCs w:val="24"/>
        </w:rPr>
        <w:t>’</w:t>
      </w:r>
      <w:r w:rsidR="00001B23">
        <w:rPr>
          <w:sz w:val="24"/>
          <w:szCs w:val="24"/>
        </w:rPr>
        <w:t>.</w:t>
      </w:r>
      <w:r w:rsidR="00001B23" w:rsidRPr="004A6696">
        <w:rPr>
          <w:rStyle w:val="FootnoteReference"/>
        </w:rPr>
        <w:footnoteReference w:id="65"/>
      </w:r>
      <w:r w:rsidR="00175FC4" w:rsidRPr="001E0157">
        <w:rPr>
          <w:sz w:val="24"/>
          <w:szCs w:val="24"/>
        </w:rPr>
        <w:t xml:space="preserve"> </w:t>
      </w:r>
      <w:r w:rsidR="00C1133F" w:rsidRPr="001E0157">
        <w:rPr>
          <w:sz w:val="24"/>
          <w:szCs w:val="24"/>
        </w:rPr>
        <w:t xml:space="preserve">The implications of what Lord Hughes is saying here are quite dramatic, since he appears to envision a situation in which grubby moral relativists like Gilks are permitted to invade and usurp law’s special position as setter of </w:t>
      </w:r>
      <w:r w:rsidR="00F32F30">
        <w:rPr>
          <w:sz w:val="24"/>
          <w:szCs w:val="24"/>
        </w:rPr>
        <w:t xml:space="preserve">culpability </w:t>
      </w:r>
      <w:r w:rsidR="00C1133F" w:rsidRPr="001E0157">
        <w:rPr>
          <w:sz w:val="24"/>
          <w:szCs w:val="24"/>
        </w:rPr>
        <w:t>standards, dragging the latter down to the lowest common denominator.</w:t>
      </w:r>
    </w:p>
    <w:p w14:paraId="43E37B62" w14:textId="7EE1A506" w:rsidR="00C07074" w:rsidRPr="001E0157" w:rsidRDefault="00F32F30" w:rsidP="00FD1316">
      <w:pPr>
        <w:spacing w:line="480" w:lineRule="auto"/>
        <w:ind w:firstLine="720"/>
        <w:rPr>
          <w:sz w:val="24"/>
          <w:szCs w:val="24"/>
        </w:rPr>
      </w:pPr>
      <w:r>
        <w:rPr>
          <w:sz w:val="24"/>
          <w:szCs w:val="24"/>
        </w:rPr>
        <w:t>T</w:t>
      </w:r>
      <w:r w:rsidR="00164B7A" w:rsidRPr="001E0157">
        <w:rPr>
          <w:sz w:val="24"/>
          <w:szCs w:val="24"/>
        </w:rPr>
        <w:t xml:space="preserve">he </w:t>
      </w:r>
      <w:r w:rsidR="00494607">
        <w:rPr>
          <w:sz w:val="24"/>
          <w:szCs w:val="24"/>
        </w:rPr>
        <w:t>encumbrance/escape</w:t>
      </w:r>
      <w:r w:rsidR="00164B7A" w:rsidRPr="001E0157">
        <w:rPr>
          <w:sz w:val="24"/>
          <w:szCs w:val="24"/>
        </w:rPr>
        <w:t xml:space="preserve"> metaphor </w:t>
      </w:r>
      <w:r>
        <w:rPr>
          <w:sz w:val="24"/>
          <w:szCs w:val="24"/>
        </w:rPr>
        <w:t xml:space="preserve">makes its appearance in the </w:t>
      </w:r>
      <w:r>
        <w:rPr>
          <w:i/>
          <w:sz w:val="24"/>
          <w:szCs w:val="24"/>
        </w:rPr>
        <w:t>Ivey</w:t>
      </w:r>
      <w:r>
        <w:rPr>
          <w:sz w:val="24"/>
          <w:szCs w:val="24"/>
        </w:rPr>
        <w:t xml:space="preserve"> judgment therefore, not only in the very direct form of </w:t>
      </w:r>
      <w:r w:rsidR="00041FEE">
        <w:rPr>
          <w:sz w:val="24"/>
          <w:szCs w:val="24"/>
        </w:rPr>
        <w:t xml:space="preserve">practically simplifying legal principles in order to remove obstructions </w:t>
      </w:r>
      <w:r>
        <w:rPr>
          <w:sz w:val="24"/>
          <w:szCs w:val="24"/>
        </w:rPr>
        <w:t>and imped</w:t>
      </w:r>
      <w:r w:rsidR="00041FEE">
        <w:rPr>
          <w:sz w:val="24"/>
          <w:szCs w:val="24"/>
        </w:rPr>
        <w:t xml:space="preserve">iments to </w:t>
      </w:r>
      <w:r>
        <w:rPr>
          <w:sz w:val="24"/>
          <w:szCs w:val="24"/>
        </w:rPr>
        <w:t>convict</w:t>
      </w:r>
      <w:r w:rsidR="00041FEE">
        <w:rPr>
          <w:sz w:val="24"/>
          <w:szCs w:val="24"/>
        </w:rPr>
        <w:t>ion</w:t>
      </w:r>
      <w:r>
        <w:rPr>
          <w:sz w:val="24"/>
          <w:szCs w:val="24"/>
        </w:rPr>
        <w:t xml:space="preserve">, but also in the more oblique and deeper </w:t>
      </w:r>
      <w:r w:rsidR="00041FEE">
        <w:rPr>
          <w:sz w:val="24"/>
          <w:szCs w:val="24"/>
        </w:rPr>
        <w:t>sense</w:t>
      </w:r>
      <w:r>
        <w:rPr>
          <w:sz w:val="24"/>
          <w:szCs w:val="24"/>
        </w:rPr>
        <w:t xml:space="preserve"> of law</w:t>
      </w:r>
      <w:r w:rsidR="00041FEE">
        <w:rPr>
          <w:sz w:val="24"/>
          <w:szCs w:val="24"/>
        </w:rPr>
        <w:t xml:space="preserve"> asserting and</w:t>
      </w:r>
      <w:r>
        <w:rPr>
          <w:sz w:val="24"/>
          <w:szCs w:val="24"/>
        </w:rPr>
        <w:t xml:space="preserve"> </w:t>
      </w:r>
      <w:r w:rsidR="00041FEE">
        <w:rPr>
          <w:sz w:val="24"/>
          <w:szCs w:val="24"/>
        </w:rPr>
        <w:t>insisting on</w:t>
      </w:r>
      <w:r>
        <w:rPr>
          <w:sz w:val="24"/>
          <w:szCs w:val="24"/>
        </w:rPr>
        <w:t xml:space="preserve"> its ability to set normative standards</w:t>
      </w:r>
      <w:r w:rsidR="00041FEE">
        <w:rPr>
          <w:sz w:val="24"/>
          <w:szCs w:val="24"/>
        </w:rPr>
        <w:t xml:space="preserve"> on culpability and to be uncoupled from elements that would exert moral drag or constraint. </w:t>
      </w:r>
      <w:r w:rsidR="00494607">
        <w:rPr>
          <w:sz w:val="24"/>
          <w:szCs w:val="24"/>
        </w:rPr>
        <w:t xml:space="preserve">Reinforcing this picture of encumbrance/escape as the relevant organising metaphor is </w:t>
      </w:r>
      <w:r w:rsidR="00312E48" w:rsidRPr="001E0157">
        <w:rPr>
          <w:sz w:val="24"/>
          <w:szCs w:val="24"/>
        </w:rPr>
        <w:t>the observation that</w:t>
      </w:r>
      <w:r w:rsidR="00494607">
        <w:rPr>
          <w:sz w:val="24"/>
          <w:szCs w:val="24"/>
        </w:rPr>
        <w:t>,</w:t>
      </w:r>
      <w:r w:rsidR="00312E48" w:rsidRPr="001E0157">
        <w:rPr>
          <w:sz w:val="24"/>
          <w:szCs w:val="24"/>
        </w:rPr>
        <w:t xml:space="preserve"> </w:t>
      </w:r>
      <w:r w:rsidR="006D6174" w:rsidRPr="001E0157">
        <w:rPr>
          <w:sz w:val="24"/>
          <w:szCs w:val="24"/>
        </w:rPr>
        <w:t xml:space="preserve">of all the cases that his Lordship could have cited </w:t>
      </w:r>
      <w:r w:rsidR="00312E48" w:rsidRPr="001E0157">
        <w:rPr>
          <w:sz w:val="24"/>
          <w:szCs w:val="24"/>
        </w:rPr>
        <w:t xml:space="preserve">to exemplify the preferred approach </w:t>
      </w:r>
      <w:r w:rsidR="006D6174" w:rsidRPr="001E0157">
        <w:rPr>
          <w:sz w:val="24"/>
          <w:szCs w:val="24"/>
        </w:rPr>
        <w:t>to instructing juries on the meaning of dishonesty</w:t>
      </w:r>
      <w:r w:rsidR="00865561" w:rsidRPr="001E0157">
        <w:rPr>
          <w:sz w:val="24"/>
          <w:szCs w:val="24"/>
        </w:rPr>
        <w:t xml:space="preserve">, </w:t>
      </w:r>
      <w:r w:rsidR="00B767B0">
        <w:rPr>
          <w:sz w:val="24"/>
          <w:szCs w:val="24"/>
        </w:rPr>
        <w:t>he chose</w:t>
      </w:r>
      <w:r w:rsidR="00312E48" w:rsidRPr="001E0157">
        <w:rPr>
          <w:sz w:val="24"/>
          <w:szCs w:val="24"/>
        </w:rPr>
        <w:t xml:space="preserve"> </w:t>
      </w:r>
      <w:r w:rsidR="00175FC4" w:rsidRPr="001E0157">
        <w:rPr>
          <w:i/>
          <w:iCs/>
          <w:sz w:val="24"/>
          <w:szCs w:val="24"/>
        </w:rPr>
        <w:t>Rostron</w:t>
      </w:r>
      <w:r w:rsidR="00312E48" w:rsidRPr="001E0157">
        <w:rPr>
          <w:i/>
          <w:iCs/>
          <w:sz w:val="24"/>
          <w:szCs w:val="24"/>
        </w:rPr>
        <w:t>.</w:t>
      </w:r>
      <w:r w:rsidR="00C272A4" w:rsidRPr="004A6696">
        <w:rPr>
          <w:rStyle w:val="FootnoteReference"/>
        </w:rPr>
        <w:footnoteReference w:id="66"/>
      </w:r>
      <w:r w:rsidR="00312E48" w:rsidRPr="001E0157">
        <w:rPr>
          <w:sz w:val="24"/>
          <w:szCs w:val="24"/>
        </w:rPr>
        <w:t xml:space="preserve"> </w:t>
      </w:r>
      <w:r w:rsidR="00312E48" w:rsidRPr="001E0157">
        <w:rPr>
          <w:i/>
          <w:iCs/>
          <w:sz w:val="24"/>
          <w:szCs w:val="24"/>
        </w:rPr>
        <w:t>Rostron</w:t>
      </w:r>
      <w:r w:rsidR="00494607">
        <w:rPr>
          <w:sz w:val="24"/>
          <w:szCs w:val="24"/>
        </w:rPr>
        <w:t>, as Lord Hughes takes the trouble to explain,</w:t>
      </w:r>
      <w:r w:rsidR="00312E48" w:rsidRPr="001E0157">
        <w:rPr>
          <w:sz w:val="24"/>
          <w:szCs w:val="24"/>
        </w:rPr>
        <w:t xml:space="preserve"> is </w:t>
      </w:r>
      <w:r w:rsidR="006D6174" w:rsidRPr="001E0157">
        <w:rPr>
          <w:sz w:val="24"/>
          <w:szCs w:val="24"/>
        </w:rPr>
        <w:t>the case involving</w:t>
      </w:r>
      <w:r w:rsidR="00494607">
        <w:rPr>
          <w:sz w:val="24"/>
          <w:szCs w:val="24"/>
        </w:rPr>
        <w:t xml:space="preserve"> ‘</w:t>
      </w:r>
      <w:r w:rsidR="005D1437" w:rsidRPr="001E0157">
        <w:rPr>
          <w:sz w:val="24"/>
          <w:szCs w:val="24"/>
        </w:rPr>
        <w:t xml:space="preserve">the removal of golf balls at night from the bottom of </w:t>
      </w:r>
      <w:r w:rsidR="00494607">
        <w:rPr>
          <w:sz w:val="24"/>
          <w:szCs w:val="24"/>
        </w:rPr>
        <w:t>a lake on a private golf course’</w:t>
      </w:r>
      <w:r w:rsidR="008F7941" w:rsidRPr="004A6696">
        <w:rPr>
          <w:rStyle w:val="FootnoteReference"/>
        </w:rPr>
        <w:footnoteReference w:id="67"/>
      </w:r>
      <w:r w:rsidR="00F56B0C" w:rsidRPr="001E0157">
        <w:rPr>
          <w:sz w:val="24"/>
          <w:szCs w:val="24"/>
        </w:rPr>
        <w:t xml:space="preserve"> </w:t>
      </w:r>
      <w:r w:rsidR="003B7834">
        <w:rPr>
          <w:sz w:val="24"/>
          <w:szCs w:val="24"/>
        </w:rPr>
        <w:t>and so</w:t>
      </w:r>
      <w:r w:rsidR="00312E48" w:rsidRPr="001E0157">
        <w:rPr>
          <w:sz w:val="24"/>
          <w:szCs w:val="24"/>
        </w:rPr>
        <w:t xml:space="preserve"> constitutes </w:t>
      </w:r>
      <w:r w:rsidR="005D1437" w:rsidRPr="001E0157">
        <w:rPr>
          <w:sz w:val="24"/>
          <w:szCs w:val="24"/>
        </w:rPr>
        <w:t>a</w:t>
      </w:r>
      <w:r w:rsidR="00494607">
        <w:rPr>
          <w:sz w:val="24"/>
          <w:szCs w:val="24"/>
        </w:rPr>
        <w:t>n image that stands as an apt</w:t>
      </w:r>
      <w:r w:rsidR="00312E48" w:rsidRPr="001E0157">
        <w:rPr>
          <w:sz w:val="24"/>
          <w:szCs w:val="24"/>
        </w:rPr>
        <w:t xml:space="preserve"> </w:t>
      </w:r>
      <w:r w:rsidR="00D14CBB" w:rsidRPr="001E0157">
        <w:rPr>
          <w:sz w:val="24"/>
          <w:szCs w:val="24"/>
        </w:rPr>
        <w:t xml:space="preserve">metaphor </w:t>
      </w:r>
      <w:r w:rsidR="005D1437" w:rsidRPr="001E0157">
        <w:rPr>
          <w:sz w:val="24"/>
          <w:szCs w:val="24"/>
        </w:rPr>
        <w:t xml:space="preserve">for the </w:t>
      </w:r>
      <w:r w:rsidR="005D1437" w:rsidRPr="00B767B0">
        <w:rPr>
          <w:iCs/>
          <w:sz w:val="24"/>
          <w:szCs w:val="24"/>
        </w:rPr>
        <w:t>normative</w:t>
      </w:r>
      <w:r w:rsidR="005D1437" w:rsidRPr="001E0157">
        <w:rPr>
          <w:sz w:val="24"/>
          <w:szCs w:val="24"/>
        </w:rPr>
        <w:t xml:space="preserve"> risk </w:t>
      </w:r>
      <w:r w:rsidR="00EC0D3D" w:rsidRPr="001E0157">
        <w:rPr>
          <w:sz w:val="24"/>
          <w:szCs w:val="24"/>
        </w:rPr>
        <w:t xml:space="preserve">(as Lord Hughes saw it) </w:t>
      </w:r>
      <w:r w:rsidR="005D1437" w:rsidRPr="001E0157">
        <w:rPr>
          <w:sz w:val="24"/>
          <w:szCs w:val="24"/>
        </w:rPr>
        <w:lastRenderedPageBreak/>
        <w:t xml:space="preserve">represented by </w:t>
      </w:r>
      <w:r w:rsidR="005D1437" w:rsidRPr="001E0157">
        <w:rPr>
          <w:i/>
          <w:iCs/>
          <w:sz w:val="24"/>
          <w:szCs w:val="24"/>
        </w:rPr>
        <w:t>Gilks</w:t>
      </w:r>
      <w:r w:rsidR="008F7941" w:rsidRPr="004A6696">
        <w:rPr>
          <w:rStyle w:val="FootnoteReference"/>
        </w:rPr>
        <w:footnoteReference w:id="68"/>
      </w:r>
      <w:r w:rsidR="005D1437" w:rsidRPr="001E0157">
        <w:rPr>
          <w:sz w:val="24"/>
          <w:szCs w:val="24"/>
        </w:rPr>
        <w:t>: that of being</w:t>
      </w:r>
      <w:r w:rsidR="00494607">
        <w:rPr>
          <w:sz w:val="24"/>
          <w:szCs w:val="24"/>
        </w:rPr>
        <w:t xml:space="preserve"> in the decidedly undignified position of being</w:t>
      </w:r>
      <w:r w:rsidR="005D1437" w:rsidRPr="001E0157">
        <w:rPr>
          <w:sz w:val="24"/>
          <w:szCs w:val="24"/>
        </w:rPr>
        <w:t xml:space="preserve"> </w:t>
      </w:r>
      <w:r w:rsidR="00494607">
        <w:rPr>
          <w:sz w:val="24"/>
          <w:szCs w:val="24"/>
        </w:rPr>
        <w:t>mired, swamped and submerged</w:t>
      </w:r>
      <w:r w:rsidR="00EC0D3D" w:rsidRPr="001E0157">
        <w:rPr>
          <w:sz w:val="24"/>
          <w:szCs w:val="24"/>
        </w:rPr>
        <w:t>.</w:t>
      </w:r>
      <w:r w:rsidR="006F4690" w:rsidRPr="001E0157">
        <w:rPr>
          <w:sz w:val="24"/>
          <w:szCs w:val="24"/>
        </w:rPr>
        <w:t xml:space="preserve"> </w:t>
      </w:r>
      <w:r w:rsidR="00494607">
        <w:rPr>
          <w:sz w:val="24"/>
          <w:szCs w:val="24"/>
        </w:rPr>
        <w:t xml:space="preserve">It may not have been </w:t>
      </w:r>
      <w:r w:rsidR="00312E48" w:rsidRPr="001E0157">
        <w:rPr>
          <w:sz w:val="24"/>
          <w:szCs w:val="24"/>
        </w:rPr>
        <w:t>Lord Hughes</w:t>
      </w:r>
      <w:r w:rsidR="00494607">
        <w:rPr>
          <w:sz w:val="24"/>
          <w:szCs w:val="24"/>
        </w:rPr>
        <w:t>’s intention to convey as much</w:t>
      </w:r>
      <w:r w:rsidR="00312E48" w:rsidRPr="001E0157">
        <w:rPr>
          <w:sz w:val="24"/>
          <w:szCs w:val="24"/>
        </w:rPr>
        <w:t xml:space="preserve"> by his choice of words or legal authority</w:t>
      </w:r>
      <w:r w:rsidR="00714C7F" w:rsidRPr="001E0157">
        <w:rPr>
          <w:sz w:val="24"/>
          <w:szCs w:val="24"/>
        </w:rPr>
        <w:t>,</w:t>
      </w:r>
      <w:r w:rsidR="00312E48" w:rsidRPr="001E0157">
        <w:rPr>
          <w:sz w:val="24"/>
          <w:szCs w:val="24"/>
        </w:rPr>
        <w:t xml:space="preserve"> but </w:t>
      </w:r>
      <w:r w:rsidR="00494607">
        <w:rPr>
          <w:sz w:val="24"/>
          <w:szCs w:val="24"/>
        </w:rPr>
        <w:t xml:space="preserve">it is undoubtedly </w:t>
      </w:r>
      <w:r w:rsidR="00312E48" w:rsidRPr="001E0157">
        <w:rPr>
          <w:sz w:val="24"/>
          <w:szCs w:val="24"/>
        </w:rPr>
        <w:t xml:space="preserve">the </w:t>
      </w:r>
      <w:r w:rsidR="00312E48" w:rsidRPr="001E0157">
        <w:rPr>
          <w:i/>
          <w:iCs/>
          <w:sz w:val="24"/>
          <w:szCs w:val="24"/>
        </w:rPr>
        <w:t>effect</w:t>
      </w:r>
      <w:r w:rsidR="00494607">
        <w:rPr>
          <w:sz w:val="24"/>
          <w:szCs w:val="24"/>
        </w:rPr>
        <w:t xml:space="preserve"> of these choices. The latter is the most important consideration for us, since it is </w:t>
      </w:r>
      <w:r w:rsidR="00A35F70">
        <w:rPr>
          <w:sz w:val="24"/>
          <w:szCs w:val="24"/>
        </w:rPr>
        <w:t xml:space="preserve">this that ensures that </w:t>
      </w:r>
      <w:r w:rsidR="00A35F70">
        <w:rPr>
          <w:i/>
          <w:iCs/>
          <w:sz w:val="24"/>
          <w:szCs w:val="24"/>
        </w:rPr>
        <w:t>Ivey</w:t>
      </w:r>
      <w:r w:rsidR="00A35F70">
        <w:rPr>
          <w:sz w:val="24"/>
          <w:szCs w:val="24"/>
        </w:rPr>
        <w:t xml:space="preserve"> achieves moral </w:t>
      </w:r>
      <w:r w:rsidR="00B767B0">
        <w:rPr>
          <w:sz w:val="24"/>
          <w:szCs w:val="24"/>
        </w:rPr>
        <w:t xml:space="preserve">intelligibility and </w:t>
      </w:r>
      <w:r w:rsidR="006814E1">
        <w:rPr>
          <w:sz w:val="24"/>
          <w:szCs w:val="24"/>
        </w:rPr>
        <w:t>plausibility</w:t>
      </w:r>
      <w:r w:rsidR="00B767B0">
        <w:rPr>
          <w:sz w:val="24"/>
          <w:szCs w:val="24"/>
        </w:rPr>
        <w:t>. We might speculate further</w:t>
      </w:r>
      <w:r w:rsidR="00A35F70">
        <w:rPr>
          <w:sz w:val="24"/>
          <w:szCs w:val="24"/>
        </w:rPr>
        <w:t xml:space="preserve"> that</w:t>
      </w:r>
      <w:r w:rsidR="00B767B0">
        <w:rPr>
          <w:sz w:val="24"/>
          <w:szCs w:val="24"/>
        </w:rPr>
        <w:t xml:space="preserve"> this quality</w:t>
      </w:r>
      <w:r w:rsidR="00A35F70">
        <w:rPr>
          <w:sz w:val="24"/>
          <w:szCs w:val="24"/>
        </w:rPr>
        <w:t xml:space="preserve"> </w:t>
      </w:r>
      <w:r w:rsidR="00FD1316">
        <w:rPr>
          <w:sz w:val="24"/>
          <w:szCs w:val="24"/>
        </w:rPr>
        <w:t>may</w:t>
      </w:r>
      <w:r w:rsidR="00C7688D">
        <w:rPr>
          <w:sz w:val="24"/>
          <w:szCs w:val="24"/>
        </w:rPr>
        <w:t xml:space="preserve"> </w:t>
      </w:r>
      <w:r w:rsidR="00FD1316">
        <w:rPr>
          <w:sz w:val="24"/>
          <w:szCs w:val="24"/>
        </w:rPr>
        <w:t xml:space="preserve">also </w:t>
      </w:r>
      <w:r w:rsidR="000E34AB">
        <w:rPr>
          <w:sz w:val="24"/>
          <w:szCs w:val="24"/>
        </w:rPr>
        <w:t xml:space="preserve">turn out to </w:t>
      </w:r>
      <w:r w:rsidR="00A35F70">
        <w:rPr>
          <w:sz w:val="24"/>
          <w:szCs w:val="24"/>
        </w:rPr>
        <w:t xml:space="preserve">be </w:t>
      </w:r>
      <w:r w:rsidR="00C7688D">
        <w:rPr>
          <w:sz w:val="24"/>
          <w:szCs w:val="24"/>
        </w:rPr>
        <w:t xml:space="preserve">an important aspect of </w:t>
      </w:r>
      <w:r w:rsidR="00A35F70">
        <w:rPr>
          <w:sz w:val="24"/>
          <w:szCs w:val="24"/>
        </w:rPr>
        <w:t xml:space="preserve">its longevity as an </w:t>
      </w:r>
      <w:r w:rsidR="00C7688D">
        <w:rPr>
          <w:sz w:val="24"/>
          <w:szCs w:val="24"/>
        </w:rPr>
        <w:t>authority</w:t>
      </w:r>
      <w:r w:rsidR="00B767B0">
        <w:rPr>
          <w:sz w:val="24"/>
          <w:szCs w:val="24"/>
        </w:rPr>
        <w:t>, although it is beyond the scope of this article to establish as much</w:t>
      </w:r>
      <w:r w:rsidR="00A35F70">
        <w:rPr>
          <w:sz w:val="24"/>
          <w:szCs w:val="24"/>
        </w:rPr>
        <w:t>.</w:t>
      </w:r>
      <w:r w:rsidR="00297CE6" w:rsidRPr="001E0157">
        <w:rPr>
          <w:sz w:val="24"/>
          <w:szCs w:val="24"/>
        </w:rPr>
        <w:t xml:space="preserve"> </w:t>
      </w:r>
    </w:p>
    <w:p w14:paraId="6EF8A94E" w14:textId="6CB6819E" w:rsidR="006A0C57" w:rsidRDefault="00315034" w:rsidP="00FD7B88">
      <w:pPr>
        <w:tabs>
          <w:tab w:val="left" w:pos="560"/>
          <w:tab w:val="left" w:pos="3828"/>
        </w:tabs>
        <w:spacing w:after="0" w:line="480" w:lineRule="auto"/>
        <w:rPr>
          <w:sz w:val="24"/>
          <w:szCs w:val="24"/>
        </w:rPr>
      </w:pPr>
      <w:r w:rsidRPr="001E0157">
        <w:rPr>
          <w:sz w:val="24"/>
          <w:szCs w:val="24"/>
        </w:rPr>
        <w:tab/>
      </w:r>
      <w:r w:rsidR="006A0C57">
        <w:rPr>
          <w:sz w:val="24"/>
          <w:szCs w:val="24"/>
        </w:rPr>
        <w:t xml:space="preserve">From this point, </w:t>
      </w:r>
      <w:r w:rsidR="002C04EE">
        <w:rPr>
          <w:sz w:val="24"/>
          <w:szCs w:val="24"/>
        </w:rPr>
        <w:t>we move on to</w:t>
      </w:r>
      <w:r w:rsidR="006A0C57">
        <w:rPr>
          <w:sz w:val="24"/>
          <w:szCs w:val="24"/>
        </w:rPr>
        <w:t xml:space="preserve"> </w:t>
      </w:r>
      <w:r w:rsidR="002C04EE">
        <w:rPr>
          <w:sz w:val="24"/>
          <w:szCs w:val="24"/>
        </w:rPr>
        <w:t xml:space="preserve">show </w:t>
      </w:r>
      <w:r w:rsidR="006A0C57">
        <w:rPr>
          <w:sz w:val="24"/>
          <w:szCs w:val="24"/>
        </w:rPr>
        <w:t xml:space="preserve">how the appearance of encumbrance/escape as an organising metaphor in appellate rulings has a broader application, although this is in no way to </w:t>
      </w:r>
      <w:r w:rsidR="002C04EE">
        <w:rPr>
          <w:sz w:val="24"/>
          <w:szCs w:val="24"/>
        </w:rPr>
        <w:t>suggest</w:t>
      </w:r>
      <w:r w:rsidR="006A0C57">
        <w:rPr>
          <w:sz w:val="24"/>
          <w:szCs w:val="24"/>
        </w:rPr>
        <w:t xml:space="preserve"> it </w:t>
      </w:r>
      <w:r w:rsidR="009037C3">
        <w:rPr>
          <w:sz w:val="24"/>
          <w:szCs w:val="24"/>
        </w:rPr>
        <w:t xml:space="preserve">as </w:t>
      </w:r>
      <w:r w:rsidR="006A0C57">
        <w:rPr>
          <w:sz w:val="24"/>
          <w:szCs w:val="24"/>
        </w:rPr>
        <w:t xml:space="preserve">anything like a </w:t>
      </w:r>
      <w:r w:rsidR="009037C3">
        <w:rPr>
          <w:i/>
          <w:iCs/>
          <w:sz w:val="24"/>
          <w:szCs w:val="24"/>
        </w:rPr>
        <w:t>general</w:t>
      </w:r>
      <w:r w:rsidR="006A0C57">
        <w:rPr>
          <w:i/>
          <w:iCs/>
          <w:sz w:val="24"/>
          <w:szCs w:val="24"/>
        </w:rPr>
        <w:t xml:space="preserve"> </w:t>
      </w:r>
      <w:r w:rsidR="006A0C57" w:rsidRPr="002C04EE">
        <w:rPr>
          <w:iCs/>
          <w:sz w:val="24"/>
          <w:szCs w:val="24"/>
        </w:rPr>
        <w:t>rule, since our aim here is not so ambitious</w:t>
      </w:r>
      <w:r w:rsidR="006A0C57">
        <w:rPr>
          <w:i/>
          <w:iCs/>
          <w:sz w:val="24"/>
          <w:szCs w:val="24"/>
        </w:rPr>
        <w:t xml:space="preserve">. </w:t>
      </w:r>
      <w:r w:rsidR="009037C3">
        <w:rPr>
          <w:sz w:val="24"/>
          <w:szCs w:val="24"/>
        </w:rPr>
        <w:t xml:space="preserve">What can be demonstrated </w:t>
      </w:r>
      <w:r w:rsidR="009439F4">
        <w:rPr>
          <w:sz w:val="24"/>
          <w:szCs w:val="24"/>
        </w:rPr>
        <w:t xml:space="preserve">here </w:t>
      </w:r>
      <w:r w:rsidR="006A0C57">
        <w:rPr>
          <w:sz w:val="24"/>
          <w:szCs w:val="24"/>
        </w:rPr>
        <w:t xml:space="preserve">is </w:t>
      </w:r>
      <w:r w:rsidR="009037C3">
        <w:rPr>
          <w:sz w:val="24"/>
          <w:szCs w:val="24"/>
        </w:rPr>
        <w:t xml:space="preserve">that the </w:t>
      </w:r>
      <w:r w:rsidR="006814E1">
        <w:rPr>
          <w:sz w:val="24"/>
          <w:szCs w:val="24"/>
        </w:rPr>
        <w:t>plausibility</w:t>
      </w:r>
      <w:r w:rsidR="009037C3">
        <w:rPr>
          <w:sz w:val="24"/>
          <w:szCs w:val="24"/>
        </w:rPr>
        <w:t xml:space="preserve"> afforded </w:t>
      </w:r>
      <w:r w:rsidR="006A0C57">
        <w:rPr>
          <w:sz w:val="24"/>
          <w:szCs w:val="24"/>
        </w:rPr>
        <w:t xml:space="preserve">to legal language </w:t>
      </w:r>
      <w:r w:rsidR="009037C3">
        <w:rPr>
          <w:sz w:val="24"/>
          <w:szCs w:val="24"/>
        </w:rPr>
        <w:t xml:space="preserve">by this metaphor is </w:t>
      </w:r>
      <w:r w:rsidR="006A0C57">
        <w:rPr>
          <w:sz w:val="24"/>
          <w:szCs w:val="24"/>
        </w:rPr>
        <w:t>certainly not confined to a single case, and</w:t>
      </w:r>
      <w:r w:rsidR="0070127D">
        <w:rPr>
          <w:sz w:val="24"/>
          <w:szCs w:val="24"/>
        </w:rPr>
        <w:t xml:space="preserve"> that for a start,</w:t>
      </w:r>
      <w:r w:rsidR="006A0C57">
        <w:rPr>
          <w:sz w:val="24"/>
          <w:szCs w:val="24"/>
        </w:rPr>
        <w:t xml:space="preserve"> </w:t>
      </w:r>
      <w:r w:rsidR="00297CE6" w:rsidRPr="001E0157">
        <w:rPr>
          <w:sz w:val="24"/>
          <w:szCs w:val="24"/>
        </w:rPr>
        <w:t xml:space="preserve">other judgments </w:t>
      </w:r>
      <w:r w:rsidR="0070127D">
        <w:rPr>
          <w:sz w:val="24"/>
          <w:szCs w:val="24"/>
        </w:rPr>
        <w:t xml:space="preserve">favouring </w:t>
      </w:r>
      <w:r w:rsidR="00297CE6" w:rsidRPr="001E0157">
        <w:rPr>
          <w:sz w:val="24"/>
          <w:szCs w:val="24"/>
        </w:rPr>
        <w:t>‘objective’ assessments of culpability</w:t>
      </w:r>
      <w:r w:rsidR="006A0C57">
        <w:rPr>
          <w:sz w:val="24"/>
          <w:szCs w:val="24"/>
        </w:rPr>
        <w:t xml:space="preserve"> provide </w:t>
      </w:r>
      <w:r w:rsidR="0070127D">
        <w:rPr>
          <w:sz w:val="24"/>
          <w:szCs w:val="24"/>
        </w:rPr>
        <w:t xml:space="preserve">further </w:t>
      </w:r>
      <w:r w:rsidR="006A0C57">
        <w:rPr>
          <w:sz w:val="24"/>
          <w:szCs w:val="24"/>
        </w:rPr>
        <w:t>examples</w:t>
      </w:r>
      <w:r w:rsidR="00297CE6" w:rsidRPr="001E0157">
        <w:rPr>
          <w:sz w:val="24"/>
          <w:szCs w:val="24"/>
        </w:rPr>
        <w:t xml:space="preserve">. </w:t>
      </w:r>
      <w:r w:rsidR="006A0C57">
        <w:rPr>
          <w:sz w:val="24"/>
          <w:szCs w:val="24"/>
        </w:rPr>
        <w:t>I</w:t>
      </w:r>
      <w:r w:rsidR="00297CE6" w:rsidRPr="001E0157">
        <w:rPr>
          <w:sz w:val="24"/>
          <w:szCs w:val="24"/>
        </w:rPr>
        <w:t>n</w:t>
      </w:r>
      <w:r w:rsidR="009439F4">
        <w:rPr>
          <w:sz w:val="24"/>
          <w:szCs w:val="24"/>
        </w:rPr>
        <w:t xml:space="preserve"> </w:t>
      </w:r>
      <w:r w:rsidR="009439F4">
        <w:rPr>
          <w:i/>
          <w:iCs/>
          <w:sz w:val="24"/>
          <w:szCs w:val="24"/>
        </w:rPr>
        <w:t>B</w:t>
      </w:r>
      <w:r w:rsidR="0006467C" w:rsidRPr="004A6696">
        <w:rPr>
          <w:rStyle w:val="FootnoteReference"/>
        </w:rPr>
        <w:footnoteReference w:id="69"/>
      </w:r>
      <w:r w:rsidR="00297CE6" w:rsidRPr="001E0157">
        <w:rPr>
          <w:sz w:val="24"/>
          <w:szCs w:val="24"/>
        </w:rPr>
        <w:t xml:space="preserve"> </w:t>
      </w:r>
      <w:r w:rsidR="009439F4">
        <w:rPr>
          <w:sz w:val="24"/>
          <w:szCs w:val="24"/>
        </w:rPr>
        <w:t>(</w:t>
      </w:r>
      <w:r w:rsidR="00297CE6" w:rsidRPr="001E0157">
        <w:rPr>
          <w:sz w:val="24"/>
          <w:szCs w:val="24"/>
        </w:rPr>
        <w:t xml:space="preserve">concerning the rape of a woman by her </w:t>
      </w:r>
      <w:r w:rsidR="00436937" w:rsidRPr="001E0157">
        <w:rPr>
          <w:sz w:val="24"/>
          <w:szCs w:val="24"/>
        </w:rPr>
        <w:t xml:space="preserve">male </w:t>
      </w:r>
      <w:r w:rsidR="00297CE6" w:rsidRPr="001E0157">
        <w:rPr>
          <w:sz w:val="24"/>
          <w:szCs w:val="24"/>
        </w:rPr>
        <w:t>partner</w:t>
      </w:r>
      <w:r w:rsidR="009439F4">
        <w:rPr>
          <w:sz w:val="24"/>
          <w:szCs w:val="24"/>
        </w:rPr>
        <w:t>)</w:t>
      </w:r>
      <w:r w:rsidR="00297CE6" w:rsidRPr="001E0157">
        <w:rPr>
          <w:sz w:val="24"/>
          <w:szCs w:val="24"/>
        </w:rPr>
        <w:t xml:space="preserve"> the then Lord Justice Hughes</w:t>
      </w:r>
      <w:r w:rsidR="00A02B6C" w:rsidRPr="001E0157">
        <w:rPr>
          <w:sz w:val="24"/>
          <w:szCs w:val="24"/>
        </w:rPr>
        <w:t xml:space="preserve"> held that </w:t>
      </w:r>
      <w:r w:rsidR="005B2DB5" w:rsidRPr="001E0157">
        <w:rPr>
          <w:sz w:val="24"/>
          <w:szCs w:val="24"/>
        </w:rPr>
        <w:t>when as</w:t>
      </w:r>
      <w:r w:rsidR="00297CE6" w:rsidRPr="001E0157">
        <w:rPr>
          <w:sz w:val="24"/>
          <w:szCs w:val="24"/>
        </w:rPr>
        <w:t>sessing the reasonableness of the defendant’s</w:t>
      </w:r>
      <w:r w:rsidR="005B2DB5" w:rsidRPr="001E0157">
        <w:rPr>
          <w:sz w:val="24"/>
          <w:szCs w:val="24"/>
        </w:rPr>
        <w:t xml:space="preserve"> </w:t>
      </w:r>
      <w:r w:rsidR="00297CE6" w:rsidRPr="001E0157">
        <w:rPr>
          <w:sz w:val="24"/>
          <w:szCs w:val="24"/>
        </w:rPr>
        <w:t xml:space="preserve">erroneous </w:t>
      </w:r>
      <w:r w:rsidR="005B2DB5" w:rsidRPr="001E0157">
        <w:rPr>
          <w:sz w:val="24"/>
          <w:szCs w:val="24"/>
        </w:rPr>
        <w:t>belief</w:t>
      </w:r>
      <w:r w:rsidR="00297CE6" w:rsidRPr="001E0157">
        <w:rPr>
          <w:sz w:val="24"/>
          <w:szCs w:val="24"/>
        </w:rPr>
        <w:t xml:space="preserve"> in the victim’s consent</w:t>
      </w:r>
      <w:r w:rsidR="00436937" w:rsidRPr="001E0157">
        <w:rPr>
          <w:sz w:val="24"/>
          <w:szCs w:val="24"/>
        </w:rPr>
        <w:t xml:space="preserve"> for the purposes of s.1(2) of the Sexual Offences Act 2003</w:t>
      </w:r>
      <w:r w:rsidR="005B2DB5" w:rsidRPr="001E0157">
        <w:rPr>
          <w:sz w:val="24"/>
          <w:szCs w:val="24"/>
        </w:rPr>
        <w:t>, juri</w:t>
      </w:r>
      <w:r w:rsidR="00436937" w:rsidRPr="001E0157">
        <w:rPr>
          <w:sz w:val="24"/>
          <w:szCs w:val="24"/>
        </w:rPr>
        <w:t>es are not permitted to take his</w:t>
      </w:r>
      <w:r w:rsidR="005B2DB5" w:rsidRPr="001E0157">
        <w:rPr>
          <w:sz w:val="24"/>
          <w:szCs w:val="24"/>
        </w:rPr>
        <w:t xml:space="preserve"> mental illness </w:t>
      </w:r>
      <w:r w:rsidR="006A0C57">
        <w:rPr>
          <w:sz w:val="24"/>
          <w:szCs w:val="24"/>
        </w:rPr>
        <w:t xml:space="preserve">(schizophrenia in this case) </w:t>
      </w:r>
      <w:r w:rsidR="005B2DB5" w:rsidRPr="001E0157">
        <w:rPr>
          <w:sz w:val="24"/>
          <w:szCs w:val="24"/>
        </w:rPr>
        <w:t xml:space="preserve">into account. </w:t>
      </w:r>
      <w:r w:rsidR="00F26A72" w:rsidRPr="001E0157">
        <w:rPr>
          <w:sz w:val="24"/>
          <w:szCs w:val="24"/>
        </w:rPr>
        <w:t xml:space="preserve">Enlisting support for </w:t>
      </w:r>
      <w:r w:rsidR="00800D92">
        <w:rPr>
          <w:sz w:val="24"/>
          <w:szCs w:val="24"/>
        </w:rPr>
        <w:t>t</w:t>
      </w:r>
      <w:r w:rsidR="00F26A72" w:rsidRPr="001E0157">
        <w:rPr>
          <w:sz w:val="24"/>
          <w:szCs w:val="24"/>
        </w:rPr>
        <w:t xml:space="preserve">his </w:t>
      </w:r>
      <w:r w:rsidR="00C82D45" w:rsidRPr="001E0157">
        <w:rPr>
          <w:sz w:val="24"/>
          <w:szCs w:val="24"/>
        </w:rPr>
        <w:t>view</w:t>
      </w:r>
      <w:r w:rsidR="00F26A72" w:rsidRPr="001E0157">
        <w:rPr>
          <w:sz w:val="24"/>
          <w:szCs w:val="24"/>
        </w:rPr>
        <w:t xml:space="preserve">, Hughes LJ </w:t>
      </w:r>
      <w:r w:rsidR="00436937" w:rsidRPr="001E0157">
        <w:rPr>
          <w:sz w:val="24"/>
          <w:szCs w:val="24"/>
        </w:rPr>
        <w:t>makes a thematic sideways step, observing that in</w:t>
      </w:r>
      <w:r w:rsidR="00A35F70">
        <w:rPr>
          <w:sz w:val="24"/>
          <w:szCs w:val="24"/>
        </w:rPr>
        <w:t xml:space="preserve"> ‘</w:t>
      </w:r>
      <w:r w:rsidR="00432DBF" w:rsidRPr="001E0157">
        <w:rPr>
          <w:sz w:val="24"/>
          <w:szCs w:val="24"/>
        </w:rPr>
        <w:t xml:space="preserve">the slightly different context of </w:t>
      </w:r>
      <w:r w:rsidR="009439F4">
        <w:rPr>
          <w:sz w:val="24"/>
          <w:szCs w:val="24"/>
        </w:rPr>
        <w:t>provocation’</w:t>
      </w:r>
      <w:r w:rsidR="006A0C57" w:rsidRPr="004A6696">
        <w:rPr>
          <w:rStyle w:val="FootnoteReference"/>
        </w:rPr>
        <w:footnoteReference w:id="70"/>
      </w:r>
      <w:r w:rsidR="00432DBF" w:rsidRPr="001E0157">
        <w:rPr>
          <w:sz w:val="24"/>
          <w:szCs w:val="24"/>
        </w:rPr>
        <w:t xml:space="preserve"> </w:t>
      </w:r>
      <w:r w:rsidR="00A35F70">
        <w:rPr>
          <w:sz w:val="24"/>
          <w:szCs w:val="24"/>
        </w:rPr>
        <w:t>the ‘</w:t>
      </w:r>
      <w:r w:rsidR="00432DBF" w:rsidRPr="001E0157">
        <w:rPr>
          <w:sz w:val="24"/>
          <w:szCs w:val="24"/>
        </w:rPr>
        <w:t>concept</w:t>
      </w:r>
      <w:r w:rsidR="00A35F70">
        <w:rPr>
          <w:sz w:val="24"/>
          <w:szCs w:val="24"/>
        </w:rPr>
        <w:t>’ of ‘a reasonable glue sniffer’</w:t>
      </w:r>
      <w:r w:rsidR="00F26A72" w:rsidRPr="001E0157">
        <w:rPr>
          <w:sz w:val="24"/>
          <w:szCs w:val="24"/>
        </w:rPr>
        <w:t xml:space="preserve"> </w:t>
      </w:r>
      <w:r w:rsidR="00432DBF" w:rsidRPr="001E0157">
        <w:rPr>
          <w:sz w:val="24"/>
          <w:szCs w:val="24"/>
        </w:rPr>
        <w:t xml:space="preserve">(referred to in </w:t>
      </w:r>
      <w:r w:rsidR="00432DBF" w:rsidRPr="001E0157">
        <w:rPr>
          <w:i/>
          <w:sz w:val="24"/>
          <w:szCs w:val="24"/>
        </w:rPr>
        <w:t>Morhall</w:t>
      </w:r>
      <w:r w:rsidR="00166394" w:rsidRPr="004A6696">
        <w:rPr>
          <w:rStyle w:val="FootnoteReference"/>
        </w:rPr>
        <w:footnoteReference w:id="71"/>
      </w:r>
      <w:r w:rsidR="00A35F70">
        <w:rPr>
          <w:sz w:val="24"/>
          <w:szCs w:val="24"/>
        </w:rPr>
        <w:t>) ‘</w:t>
      </w:r>
      <w:r w:rsidR="00432DBF" w:rsidRPr="001E0157">
        <w:rPr>
          <w:sz w:val="24"/>
          <w:szCs w:val="24"/>
        </w:rPr>
        <w:t>undoubtedly proved unworkable</w:t>
      </w:r>
      <w:r w:rsidR="00A35F70">
        <w:rPr>
          <w:sz w:val="24"/>
          <w:szCs w:val="24"/>
        </w:rPr>
        <w:t>, as well as wrong in principle’</w:t>
      </w:r>
      <w:r w:rsidR="006A0C57">
        <w:rPr>
          <w:sz w:val="24"/>
          <w:szCs w:val="24"/>
        </w:rPr>
        <w:t>.</w:t>
      </w:r>
      <w:r w:rsidR="006A0C57" w:rsidRPr="004A6696">
        <w:rPr>
          <w:rStyle w:val="FootnoteReference"/>
        </w:rPr>
        <w:footnoteReference w:id="72"/>
      </w:r>
      <w:r w:rsidR="00432DBF" w:rsidRPr="001E0157">
        <w:rPr>
          <w:sz w:val="24"/>
          <w:szCs w:val="24"/>
        </w:rPr>
        <w:t xml:space="preserve"> </w:t>
      </w:r>
      <w:r w:rsidR="0070127D">
        <w:rPr>
          <w:sz w:val="24"/>
          <w:szCs w:val="24"/>
        </w:rPr>
        <w:t>T</w:t>
      </w:r>
      <w:r w:rsidR="00436937" w:rsidRPr="001E0157">
        <w:rPr>
          <w:sz w:val="24"/>
          <w:szCs w:val="24"/>
        </w:rPr>
        <w:t>he unworkability of this ‘concept’, claims Hughes</w:t>
      </w:r>
      <w:r w:rsidR="006A0C57">
        <w:rPr>
          <w:sz w:val="24"/>
          <w:szCs w:val="24"/>
        </w:rPr>
        <w:t xml:space="preserve"> LJ</w:t>
      </w:r>
      <w:r w:rsidR="00436937" w:rsidRPr="001E0157">
        <w:rPr>
          <w:sz w:val="24"/>
          <w:szCs w:val="24"/>
        </w:rPr>
        <w:t xml:space="preserve">, </w:t>
      </w:r>
      <w:r w:rsidR="0070127D">
        <w:rPr>
          <w:sz w:val="24"/>
          <w:szCs w:val="24"/>
        </w:rPr>
        <w:t xml:space="preserve">is </w:t>
      </w:r>
      <w:r w:rsidR="00022775">
        <w:rPr>
          <w:sz w:val="24"/>
          <w:szCs w:val="24"/>
        </w:rPr>
        <w:t>underlined</w:t>
      </w:r>
      <w:r w:rsidR="0070127D">
        <w:rPr>
          <w:sz w:val="24"/>
          <w:szCs w:val="24"/>
        </w:rPr>
        <w:t xml:space="preserve"> by</w:t>
      </w:r>
      <w:r w:rsidR="00436937" w:rsidRPr="001E0157">
        <w:rPr>
          <w:sz w:val="24"/>
          <w:szCs w:val="24"/>
        </w:rPr>
        <w:t xml:space="preserve"> Parliament’s decision to exclude all </w:t>
      </w:r>
      <w:r w:rsidR="00436937" w:rsidRPr="001E0157">
        <w:rPr>
          <w:sz w:val="24"/>
          <w:szCs w:val="24"/>
        </w:rPr>
        <w:lastRenderedPageBreak/>
        <w:t>characteristics</w:t>
      </w:r>
      <w:r w:rsidR="00436937" w:rsidRPr="001E0157">
        <w:rPr>
          <w:i/>
          <w:iCs/>
          <w:sz w:val="24"/>
          <w:szCs w:val="24"/>
        </w:rPr>
        <w:t xml:space="preserve"> </w:t>
      </w:r>
      <w:r w:rsidR="009439F4">
        <w:rPr>
          <w:sz w:val="24"/>
          <w:szCs w:val="24"/>
        </w:rPr>
        <w:t>‘</w:t>
      </w:r>
      <w:r w:rsidR="00800D92">
        <w:rPr>
          <w:sz w:val="24"/>
          <w:szCs w:val="24"/>
        </w:rPr>
        <w:t>which bear on [the defendant</w:t>
      </w:r>
      <w:r w:rsidR="00436937" w:rsidRPr="001E0157">
        <w:rPr>
          <w:sz w:val="24"/>
          <w:szCs w:val="24"/>
        </w:rPr>
        <w:t>’s] capacity f</w:t>
      </w:r>
      <w:r w:rsidR="009439F4">
        <w:rPr>
          <w:sz w:val="24"/>
          <w:szCs w:val="24"/>
        </w:rPr>
        <w:t>or tolerance and self-restraint’</w:t>
      </w:r>
      <w:r w:rsidR="00436937" w:rsidRPr="001E0157">
        <w:rPr>
          <w:sz w:val="24"/>
          <w:szCs w:val="24"/>
        </w:rPr>
        <w:t xml:space="preserve"> when </w:t>
      </w:r>
      <w:r w:rsidR="00800D92">
        <w:rPr>
          <w:sz w:val="24"/>
          <w:szCs w:val="24"/>
        </w:rPr>
        <w:t xml:space="preserve">in 2009 </w:t>
      </w:r>
      <w:r w:rsidR="00436937" w:rsidRPr="001E0157">
        <w:rPr>
          <w:sz w:val="24"/>
          <w:szCs w:val="24"/>
        </w:rPr>
        <w:t xml:space="preserve">they came to abolish the defence of provocation and replace it with </w:t>
      </w:r>
      <w:r w:rsidR="00800D92">
        <w:rPr>
          <w:sz w:val="24"/>
          <w:szCs w:val="24"/>
        </w:rPr>
        <w:t>the statutory defence of ‘</w:t>
      </w:r>
      <w:r w:rsidR="00436937" w:rsidRPr="001E0157">
        <w:rPr>
          <w:sz w:val="24"/>
          <w:szCs w:val="24"/>
        </w:rPr>
        <w:t>loss of control</w:t>
      </w:r>
      <w:r w:rsidR="00800D92">
        <w:rPr>
          <w:sz w:val="24"/>
          <w:szCs w:val="24"/>
        </w:rPr>
        <w:t>’</w:t>
      </w:r>
      <w:r w:rsidR="006A0C57">
        <w:rPr>
          <w:sz w:val="24"/>
          <w:szCs w:val="24"/>
        </w:rPr>
        <w:t>.</w:t>
      </w:r>
      <w:r w:rsidR="006A0C57" w:rsidRPr="004A6696">
        <w:rPr>
          <w:rStyle w:val="FootnoteReference"/>
        </w:rPr>
        <w:footnoteReference w:id="73"/>
      </w:r>
      <w:r w:rsidR="00436937" w:rsidRPr="001E0157">
        <w:rPr>
          <w:sz w:val="24"/>
          <w:szCs w:val="24"/>
        </w:rPr>
        <w:t xml:space="preserve"> </w:t>
      </w:r>
    </w:p>
    <w:p w14:paraId="769C976D" w14:textId="38CEA214" w:rsidR="00B264AF" w:rsidRDefault="006A0C57" w:rsidP="00FD7B88">
      <w:pPr>
        <w:tabs>
          <w:tab w:val="left" w:pos="560"/>
          <w:tab w:val="left" w:pos="3828"/>
        </w:tabs>
        <w:spacing w:after="0" w:line="480" w:lineRule="auto"/>
        <w:rPr>
          <w:sz w:val="24"/>
          <w:szCs w:val="24"/>
        </w:rPr>
      </w:pPr>
      <w:r>
        <w:rPr>
          <w:sz w:val="24"/>
          <w:szCs w:val="24"/>
        </w:rPr>
        <w:tab/>
      </w:r>
      <w:r w:rsidR="00A67A3F" w:rsidRPr="001E0157">
        <w:rPr>
          <w:sz w:val="24"/>
          <w:szCs w:val="24"/>
        </w:rPr>
        <w:t>The</w:t>
      </w:r>
      <w:r w:rsidR="00436937" w:rsidRPr="001E0157">
        <w:rPr>
          <w:sz w:val="24"/>
          <w:szCs w:val="24"/>
        </w:rPr>
        <w:t>s</w:t>
      </w:r>
      <w:r w:rsidR="00A67A3F" w:rsidRPr="001E0157">
        <w:rPr>
          <w:sz w:val="24"/>
          <w:szCs w:val="24"/>
        </w:rPr>
        <w:t>e comments by Hughes LJ are</w:t>
      </w:r>
      <w:r w:rsidR="00436937" w:rsidRPr="001E0157">
        <w:rPr>
          <w:sz w:val="24"/>
          <w:szCs w:val="24"/>
        </w:rPr>
        <w:t xml:space="preserve"> </w:t>
      </w:r>
      <w:r w:rsidR="00A67A3F" w:rsidRPr="001E0157">
        <w:rPr>
          <w:sz w:val="24"/>
          <w:szCs w:val="24"/>
        </w:rPr>
        <w:t xml:space="preserve">in one sense very </w:t>
      </w:r>
      <w:r w:rsidR="00436937" w:rsidRPr="001E0157">
        <w:rPr>
          <w:sz w:val="24"/>
          <w:szCs w:val="24"/>
        </w:rPr>
        <w:t>mysterious</w:t>
      </w:r>
      <w:r w:rsidR="00A30085" w:rsidRPr="001E0157">
        <w:rPr>
          <w:sz w:val="24"/>
          <w:szCs w:val="24"/>
        </w:rPr>
        <w:t>, sin</w:t>
      </w:r>
      <w:r w:rsidR="00A67A3F" w:rsidRPr="001E0157">
        <w:rPr>
          <w:sz w:val="24"/>
          <w:szCs w:val="24"/>
        </w:rPr>
        <w:t>c</w:t>
      </w:r>
      <w:r>
        <w:rPr>
          <w:sz w:val="24"/>
          <w:szCs w:val="24"/>
        </w:rPr>
        <w:t>e they mischaracterise both the</w:t>
      </w:r>
      <w:r w:rsidR="00A67A3F" w:rsidRPr="001E0157">
        <w:rPr>
          <w:sz w:val="24"/>
          <w:szCs w:val="24"/>
        </w:rPr>
        <w:t xml:space="preserve"> House of Lords</w:t>
      </w:r>
      <w:r>
        <w:rPr>
          <w:sz w:val="24"/>
          <w:szCs w:val="24"/>
        </w:rPr>
        <w:t>’ ruling</w:t>
      </w:r>
      <w:r w:rsidR="00A67A3F" w:rsidRPr="001E0157">
        <w:rPr>
          <w:sz w:val="24"/>
          <w:szCs w:val="24"/>
        </w:rPr>
        <w:t xml:space="preserve"> in </w:t>
      </w:r>
      <w:r w:rsidR="00A67A3F" w:rsidRPr="001E0157">
        <w:rPr>
          <w:i/>
          <w:iCs/>
          <w:sz w:val="24"/>
          <w:szCs w:val="24"/>
        </w:rPr>
        <w:t>Morhall</w:t>
      </w:r>
      <w:r w:rsidR="0070127D">
        <w:rPr>
          <w:sz w:val="24"/>
          <w:szCs w:val="24"/>
        </w:rPr>
        <w:t xml:space="preserve"> </w:t>
      </w:r>
      <w:r w:rsidR="0070127D" w:rsidRPr="0070127D">
        <w:rPr>
          <w:iCs/>
          <w:sz w:val="24"/>
          <w:szCs w:val="24"/>
        </w:rPr>
        <w:t>and</w:t>
      </w:r>
      <w:r w:rsidR="0070127D" w:rsidRPr="001E0157">
        <w:rPr>
          <w:sz w:val="24"/>
          <w:szCs w:val="24"/>
        </w:rPr>
        <w:t xml:space="preserve"> </w:t>
      </w:r>
      <w:r w:rsidR="0070127D">
        <w:rPr>
          <w:sz w:val="24"/>
          <w:szCs w:val="24"/>
        </w:rPr>
        <w:t xml:space="preserve">also </w:t>
      </w:r>
      <w:r w:rsidR="0070127D" w:rsidRPr="001E0157">
        <w:rPr>
          <w:sz w:val="24"/>
          <w:szCs w:val="24"/>
        </w:rPr>
        <w:t xml:space="preserve">the loss of control defence </w:t>
      </w:r>
      <w:r w:rsidR="0070127D">
        <w:rPr>
          <w:sz w:val="24"/>
          <w:szCs w:val="24"/>
        </w:rPr>
        <w:t xml:space="preserve">to murder. In the case of </w:t>
      </w:r>
      <w:r w:rsidR="0070127D" w:rsidRPr="0070127D">
        <w:rPr>
          <w:i/>
          <w:sz w:val="24"/>
          <w:szCs w:val="24"/>
        </w:rPr>
        <w:t>Morhall</w:t>
      </w:r>
      <w:r w:rsidR="0070127D">
        <w:rPr>
          <w:sz w:val="24"/>
          <w:szCs w:val="24"/>
        </w:rPr>
        <w:t xml:space="preserve">, the House of Lords </w:t>
      </w:r>
      <w:r>
        <w:rPr>
          <w:sz w:val="24"/>
          <w:szCs w:val="24"/>
        </w:rPr>
        <w:t xml:space="preserve">never </w:t>
      </w:r>
      <w:r w:rsidR="0070127D">
        <w:rPr>
          <w:sz w:val="24"/>
          <w:szCs w:val="24"/>
        </w:rPr>
        <w:t xml:space="preserve">actually </w:t>
      </w:r>
      <w:r>
        <w:rPr>
          <w:sz w:val="24"/>
          <w:szCs w:val="24"/>
        </w:rPr>
        <w:t xml:space="preserve">proposed </w:t>
      </w:r>
      <w:r w:rsidR="0070127D">
        <w:rPr>
          <w:sz w:val="24"/>
          <w:szCs w:val="24"/>
        </w:rPr>
        <w:t xml:space="preserve">the </w:t>
      </w:r>
      <w:r>
        <w:rPr>
          <w:sz w:val="24"/>
          <w:szCs w:val="24"/>
        </w:rPr>
        <w:t>‘reasonable glue-sniffer’ as a ‘</w:t>
      </w:r>
      <w:r w:rsidRPr="0070127D">
        <w:rPr>
          <w:i/>
          <w:sz w:val="24"/>
          <w:szCs w:val="24"/>
        </w:rPr>
        <w:t>concept</w:t>
      </w:r>
      <w:r>
        <w:rPr>
          <w:sz w:val="24"/>
          <w:szCs w:val="24"/>
        </w:rPr>
        <w:t>’</w:t>
      </w:r>
      <w:r w:rsidR="00E33195">
        <w:rPr>
          <w:sz w:val="24"/>
          <w:szCs w:val="24"/>
        </w:rPr>
        <w:t xml:space="preserve"> in the </w:t>
      </w:r>
      <w:r w:rsidR="00B264AF">
        <w:rPr>
          <w:sz w:val="24"/>
          <w:szCs w:val="24"/>
        </w:rPr>
        <w:t xml:space="preserve">systematic </w:t>
      </w:r>
      <w:r w:rsidR="00E33195">
        <w:rPr>
          <w:sz w:val="24"/>
          <w:szCs w:val="24"/>
        </w:rPr>
        <w:t xml:space="preserve">way that Hughes LJ </w:t>
      </w:r>
      <w:r w:rsidR="00B264AF">
        <w:rPr>
          <w:sz w:val="24"/>
          <w:szCs w:val="24"/>
        </w:rPr>
        <w:t xml:space="preserve">seems to </w:t>
      </w:r>
      <w:r w:rsidR="00E33195">
        <w:rPr>
          <w:sz w:val="24"/>
          <w:szCs w:val="24"/>
        </w:rPr>
        <w:t>impl</w:t>
      </w:r>
      <w:r w:rsidR="00B264AF">
        <w:rPr>
          <w:sz w:val="24"/>
          <w:szCs w:val="24"/>
        </w:rPr>
        <w:t>y</w:t>
      </w:r>
      <w:r w:rsidR="00E33195">
        <w:rPr>
          <w:sz w:val="24"/>
          <w:szCs w:val="24"/>
        </w:rPr>
        <w:t>. Rather</w:t>
      </w:r>
      <w:r w:rsidR="00FD7B88">
        <w:rPr>
          <w:sz w:val="24"/>
          <w:szCs w:val="24"/>
        </w:rPr>
        <w:t>,</w:t>
      </w:r>
      <w:r w:rsidR="00E33195">
        <w:rPr>
          <w:sz w:val="24"/>
          <w:szCs w:val="24"/>
        </w:rPr>
        <w:t xml:space="preserve"> that</w:t>
      </w:r>
      <w:r w:rsidR="00FD7B88">
        <w:rPr>
          <w:sz w:val="24"/>
          <w:szCs w:val="24"/>
        </w:rPr>
        <w:t xml:space="preserve"> earlier</w:t>
      </w:r>
      <w:r w:rsidR="00E33195">
        <w:rPr>
          <w:sz w:val="24"/>
          <w:szCs w:val="24"/>
        </w:rPr>
        <w:t xml:space="preserve"> court</w:t>
      </w:r>
      <w:r w:rsidR="0070127D">
        <w:rPr>
          <w:sz w:val="24"/>
          <w:szCs w:val="24"/>
        </w:rPr>
        <w:t xml:space="preserve"> referred to such a person because the defendant </w:t>
      </w:r>
      <w:r w:rsidR="00E33195">
        <w:rPr>
          <w:sz w:val="24"/>
          <w:szCs w:val="24"/>
        </w:rPr>
        <w:t>Morhall</w:t>
      </w:r>
      <w:r w:rsidR="0070127D">
        <w:rPr>
          <w:sz w:val="24"/>
          <w:szCs w:val="24"/>
        </w:rPr>
        <w:t xml:space="preserve"> happened to be a glue-sniffer, the relevant point of law (which </w:t>
      </w:r>
      <w:r w:rsidR="00DB3FE2">
        <w:rPr>
          <w:sz w:val="24"/>
          <w:szCs w:val="24"/>
        </w:rPr>
        <w:t xml:space="preserve">also </w:t>
      </w:r>
      <w:r w:rsidR="00D247A4">
        <w:rPr>
          <w:sz w:val="24"/>
          <w:szCs w:val="24"/>
        </w:rPr>
        <w:t>continues to apply under the new loss of control defence</w:t>
      </w:r>
      <w:r w:rsidR="0070127D">
        <w:rPr>
          <w:sz w:val="24"/>
          <w:szCs w:val="24"/>
        </w:rPr>
        <w:t>) being</w:t>
      </w:r>
      <w:r>
        <w:rPr>
          <w:sz w:val="24"/>
          <w:szCs w:val="24"/>
        </w:rPr>
        <w:t xml:space="preserve"> that </w:t>
      </w:r>
      <w:r w:rsidR="0070127D">
        <w:rPr>
          <w:sz w:val="24"/>
          <w:szCs w:val="24"/>
        </w:rPr>
        <w:t>the</w:t>
      </w:r>
      <w:r>
        <w:rPr>
          <w:sz w:val="24"/>
          <w:szCs w:val="24"/>
        </w:rPr>
        <w:t xml:space="preserve"> jury </w:t>
      </w:r>
      <w:r w:rsidR="00E33195">
        <w:rPr>
          <w:sz w:val="24"/>
          <w:szCs w:val="24"/>
        </w:rPr>
        <w:t xml:space="preserve">should </w:t>
      </w:r>
      <w:r w:rsidR="00A67A3F" w:rsidRPr="001E0157">
        <w:rPr>
          <w:sz w:val="24"/>
          <w:szCs w:val="24"/>
        </w:rPr>
        <w:t xml:space="preserve">take into account </w:t>
      </w:r>
      <w:r>
        <w:rPr>
          <w:sz w:val="24"/>
          <w:szCs w:val="24"/>
        </w:rPr>
        <w:t xml:space="preserve">all </w:t>
      </w:r>
      <w:r w:rsidR="00A67A3F" w:rsidRPr="001E0157">
        <w:rPr>
          <w:sz w:val="24"/>
          <w:szCs w:val="24"/>
        </w:rPr>
        <w:t xml:space="preserve">characteristics of </w:t>
      </w:r>
      <w:r w:rsidR="00DB3FE2">
        <w:rPr>
          <w:sz w:val="24"/>
          <w:szCs w:val="24"/>
        </w:rPr>
        <w:t>the defendant</w:t>
      </w:r>
      <w:r>
        <w:rPr>
          <w:sz w:val="24"/>
          <w:szCs w:val="24"/>
        </w:rPr>
        <w:t xml:space="preserve"> that were</w:t>
      </w:r>
      <w:r w:rsidR="00A67A3F" w:rsidRPr="001E0157">
        <w:rPr>
          <w:sz w:val="24"/>
          <w:szCs w:val="24"/>
        </w:rPr>
        <w:t xml:space="preserve"> relevant to the gravity of provo</w:t>
      </w:r>
      <w:r w:rsidR="00E33195">
        <w:rPr>
          <w:sz w:val="24"/>
          <w:szCs w:val="24"/>
        </w:rPr>
        <w:t xml:space="preserve">cation aimed at </w:t>
      </w:r>
      <w:r w:rsidR="00DB3FE2">
        <w:rPr>
          <w:sz w:val="24"/>
          <w:szCs w:val="24"/>
        </w:rPr>
        <w:t>him</w:t>
      </w:r>
      <w:r w:rsidR="00FD7B88">
        <w:rPr>
          <w:sz w:val="24"/>
          <w:szCs w:val="24"/>
        </w:rPr>
        <w:t>. This makes sense</w:t>
      </w:r>
      <w:r w:rsidR="0070127D">
        <w:rPr>
          <w:sz w:val="24"/>
          <w:szCs w:val="24"/>
        </w:rPr>
        <w:t xml:space="preserve"> since taunt</w:t>
      </w:r>
      <w:r w:rsidR="008268AF">
        <w:rPr>
          <w:sz w:val="24"/>
          <w:szCs w:val="24"/>
        </w:rPr>
        <w:t>s about having a glue-</w:t>
      </w:r>
      <w:r w:rsidR="0070127D">
        <w:rPr>
          <w:sz w:val="24"/>
          <w:szCs w:val="24"/>
        </w:rPr>
        <w:t xml:space="preserve">sniffing habit </w:t>
      </w:r>
      <w:r w:rsidR="008268AF">
        <w:rPr>
          <w:sz w:val="24"/>
          <w:szCs w:val="24"/>
        </w:rPr>
        <w:t>are indeed</w:t>
      </w:r>
      <w:r w:rsidR="0070127D">
        <w:rPr>
          <w:sz w:val="24"/>
          <w:szCs w:val="24"/>
        </w:rPr>
        <w:t xml:space="preserve"> </w:t>
      </w:r>
      <w:r w:rsidR="00FD7B88">
        <w:rPr>
          <w:sz w:val="24"/>
          <w:szCs w:val="24"/>
        </w:rPr>
        <w:t>more</w:t>
      </w:r>
      <w:r w:rsidR="008268AF">
        <w:rPr>
          <w:sz w:val="24"/>
          <w:szCs w:val="24"/>
        </w:rPr>
        <w:t xml:space="preserve"> </w:t>
      </w:r>
      <w:r w:rsidR="0070127D">
        <w:rPr>
          <w:sz w:val="24"/>
          <w:szCs w:val="24"/>
        </w:rPr>
        <w:t xml:space="preserve">likely to be perceived as </w:t>
      </w:r>
      <w:r w:rsidR="00FD7B88">
        <w:rPr>
          <w:sz w:val="24"/>
          <w:szCs w:val="24"/>
        </w:rPr>
        <w:t xml:space="preserve">acutely </w:t>
      </w:r>
      <w:r w:rsidR="0070127D">
        <w:rPr>
          <w:sz w:val="24"/>
          <w:szCs w:val="24"/>
        </w:rPr>
        <w:t xml:space="preserve">grave </w:t>
      </w:r>
      <w:r w:rsidR="00FD7B88">
        <w:rPr>
          <w:sz w:val="24"/>
          <w:szCs w:val="24"/>
        </w:rPr>
        <w:t>and provocative</w:t>
      </w:r>
      <w:r w:rsidR="00DB3FE2">
        <w:rPr>
          <w:sz w:val="24"/>
          <w:szCs w:val="24"/>
        </w:rPr>
        <w:t xml:space="preserve"> by </w:t>
      </w:r>
      <w:r w:rsidR="008268AF">
        <w:rPr>
          <w:sz w:val="24"/>
          <w:szCs w:val="24"/>
        </w:rPr>
        <w:t xml:space="preserve">a </w:t>
      </w:r>
      <w:r w:rsidR="0070127D">
        <w:rPr>
          <w:sz w:val="24"/>
          <w:szCs w:val="24"/>
        </w:rPr>
        <w:t xml:space="preserve">person who </w:t>
      </w:r>
      <w:r w:rsidR="00FD7B88">
        <w:rPr>
          <w:sz w:val="24"/>
          <w:szCs w:val="24"/>
        </w:rPr>
        <w:t>has</w:t>
      </w:r>
      <w:r w:rsidR="008268AF">
        <w:rPr>
          <w:sz w:val="24"/>
          <w:szCs w:val="24"/>
        </w:rPr>
        <w:t xml:space="preserve"> such a habit</w:t>
      </w:r>
      <w:r w:rsidR="00FD7B88">
        <w:rPr>
          <w:sz w:val="24"/>
          <w:szCs w:val="24"/>
        </w:rPr>
        <w:t xml:space="preserve"> than one who does not</w:t>
      </w:r>
      <w:r w:rsidR="0070127D">
        <w:rPr>
          <w:sz w:val="24"/>
          <w:szCs w:val="24"/>
        </w:rPr>
        <w:t xml:space="preserve">! </w:t>
      </w:r>
      <w:r w:rsidR="00E33195">
        <w:rPr>
          <w:sz w:val="24"/>
          <w:szCs w:val="24"/>
        </w:rPr>
        <w:t>Further</w:t>
      </w:r>
      <w:r w:rsidR="008268AF">
        <w:rPr>
          <w:sz w:val="24"/>
          <w:szCs w:val="24"/>
        </w:rPr>
        <w:t>more</w:t>
      </w:r>
      <w:r w:rsidR="00E33195">
        <w:rPr>
          <w:sz w:val="24"/>
          <w:szCs w:val="24"/>
        </w:rPr>
        <w:t xml:space="preserve">, </w:t>
      </w:r>
      <w:r w:rsidR="008268AF">
        <w:rPr>
          <w:sz w:val="24"/>
          <w:szCs w:val="24"/>
        </w:rPr>
        <w:t xml:space="preserve">and again contrary to Hughes LJ’s assessment, </w:t>
      </w:r>
      <w:r w:rsidR="0070127D">
        <w:rPr>
          <w:sz w:val="24"/>
          <w:szCs w:val="24"/>
        </w:rPr>
        <w:t xml:space="preserve">the </w:t>
      </w:r>
      <w:r w:rsidR="00E33195">
        <w:rPr>
          <w:sz w:val="24"/>
          <w:szCs w:val="24"/>
        </w:rPr>
        <w:t xml:space="preserve">statute creating the new </w:t>
      </w:r>
      <w:r w:rsidR="00DB3FE2">
        <w:rPr>
          <w:sz w:val="24"/>
          <w:szCs w:val="24"/>
        </w:rPr>
        <w:t xml:space="preserve">partial </w:t>
      </w:r>
      <w:r w:rsidR="00E33195">
        <w:rPr>
          <w:sz w:val="24"/>
          <w:szCs w:val="24"/>
        </w:rPr>
        <w:t xml:space="preserve">defence of </w:t>
      </w:r>
      <w:r w:rsidR="0070127D">
        <w:rPr>
          <w:sz w:val="24"/>
          <w:szCs w:val="24"/>
        </w:rPr>
        <w:t xml:space="preserve">loss of control </w:t>
      </w:r>
      <w:r w:rsidR="00E33195">
        <w:rPr>
          <w:sz w:val="24"/>
          <w:szCs w:val="24"/>
        </w:rPr>
        <w:t>(</w:t>
      </w:r>
      <w:r w:rsidR="0070127D">
        <w:rPr>
          <w:sz w:val="24"/>
          <w:szCs w:val="24"/>
        </w:rPr>
        <w:t>that replaced provocation after 2009</w:t>
      </w:r>
      <w:r w:rsidR="00E33195">
        <w:rPr>
          <w:sz w:val="24"/>
          <w:szCs w:val="24"/>
        </w:rPr>
        <w:t xml:space="preserve">) does </w:t>
      </w:r>
      <w:r w:rsidR="00E33195" w:rsidRPr="00E33195">
        <w:rPr>
          <w:i/>
          <w:sz w:val="24"/>
          <w:szCs w:val="24"/>
        </w:rPr>
        <w:t>not</w:t>
      </w:r>
      <w:r w:rsidR="00E33195">
        <w:rPr>
          <w:sz w:val="24"/>
          <w:szCs w:val="24"/>
        </w:rPr>
        <w:t xml:space="preserve"> </w:t>
      </w:r>
      <w:r w:rsidR="00B264AF">
        <w:rPr>
          <w:sz w:val="24"/>
          <w:szCs w:val="24"/>
        </w:rPr>
        <w:t xml:space="preserve">require juries to </w:t>
      </w:r>
      <w:r w:rsidR="00E33195">
        <w:rPr>
          <w:sz w:val="24"/>
          <w:szCs w:val="24"/>
        </w:rPr>
        <w:t xml:space="preserve">exclude from </w:t>
      </w:r>
      <w:r w:rsidR="00B264AF">
        <w:rPr>
          <w:sz w:val="24"/>
          <w:szCs w:val="24"/>
        </w:rPr>
        <w:t>c</w:t>
      </w:r>
      <w:r w:rsidR="00E33195">
        <w:rPr>
          <w:sz w:val="24"/>
          <w:szCs w:val="24"/>
        </w:rPr>
        <w:t xml:space="preserve">onsideration </w:t>
      </w:r>
      <w:r w:rsidR="00E33195" w:rsidRPr="008268AF">
        <w:rPr>
          <w:i/>
          <w:sz w:val="24"/>
          <w:szCs w:val="24"/>
        </w:rPr>
        <w:t>all</w:t>
      </w:r>
      <w:r w:rsidR="00E33195">
        <w:rPr>
          <w:sz w:val="24"/>
          <w:szCs w:val="24"/>
        </w:rPr>
        <w:t xml:space="preserve"> characteristics bearing on </w:t>
      </w:r>
      <w:r w:rsidR="00B264AF">
        <w:rPr>
          <w:sz w:val="24"/>
          <w:szCs w:val="24"/>
        </w:rPr>
        <w:t xml:space="preserve">the defendant’s own capacity for </w:t>
      </w:r>
      <w:r w:rsidR="00E33195">
        <w:rPr>
          <w:sz w:val="24"/>
          <w:szCs w:val="24"/>
        </w:rPr>
        <w:t>tolerance and self-restraint</w:t>
      </w:r>
      <w:r w:rsidR="00B264AF">
        <w:rPr>
          <w:sz w:val="24"/>
          <w:szCs w:val="24"/>
        </w:rPr>
        <w:t>. Rather, and to the contrary, it requires them to</w:t>
      </w:r>
      <w:r w:rsidR="008268AF">
        <w:rPr>
          <w:sz w:val="24"/>
          <w:szCs w:val="24"/>
        </w:rPr>
        <w:t xml:space="preserve"> </w:t>
      </w:r>
      <w:r w:rsidR="008268AF">
        <w:rPr>
          <w:i/>
          <w:sz w:val="24"/>
          <w:szCs w:val="24"/>
        </w:rPr>
        <w:t>include</w:t>
      </w:r>
      <w:r w:rsidR="008268AF">
        <w:rPr>
          <w:sz w:val="24"/>
          <w:szCs w:val="24"/>
        </w:rPr>
        <w:t xml:space="preserve"> all of the defendant’s circumstances with the exception of</w:t>
      </w:r>
      <w:r w:rsidR="00A67A3F" w:rsidRPr="001E0157">
        <w:rPr>
          <w:sz w:val="24"/>
          <w:szCs w:val="24"/>
        </w:rPr>
        <w:t xml:space="preserve"> those characteristics of the defendant that bear </w:t>
      </w:r>
      <w:r w:rsidR="00A67A3F" w:rsidRPr="001E0157">
        <w:rPr>
          <w:i/>
          <w:iCs/>
          <w:sz w:val="24"/>
          <w:szCs w:val="24"/>
        </w:rPr>
        <w:t>only</w:t>
      </w:r>
      <w:r w:rsidR="00A67A3F" w:rsidRPr="001E0157">
        <w:rPr>
          <w:sz w:val="24"/>
          <w:szCs w:val="24"/>
        </w:rPr>
        <w:t xml:space="preserve"> on </w:t>
      </w:r>
      <w:r w:rsidR="00E33195">
        <w:rPr>
          <w:sz w:val="24"/>
          <w:szCs w:val="24"/>
        </w:rPr>
        <w:t>t</w:t>
      </w:r>
      <w:r w:rsidR="00A67A3F" w:rsidRPr="001E0157">
        <w:rPr>
          <w:sz w:val="24"/>
          <w:szCs w:val="24"/>
        </w:rPr>
        <w:t>his capacity).</w:t>
      </w:r>
      <w:r w:rsidR="00A30085" w:rsidRPr="004A6696">
        <w:rPr>
          <w:rStyle w:val="FootnoteReference"/>
        </w:rPr>
        <w:footnoteReference w:id="74"/>
      </w:r>
      <w:r w:rsidR="00436937" w:rsidRPr="001E0157">
        <w:rPr>
          <w:sz w:val="24"/>
          <w:szCs w:val="24"/>
        </w:rPr>
        <w:t xml:space="preserve"> </w:t>
      </w:r>
    </w:p>
    <w:p w14:paraId="406A54EC" w14:textId="4D4AC23A" w:rsidR="00870D16" w:rsidRPr="001E0157" w:rsidRDefault="00B264AF" w:rsidP="006814E1">
      <w:pPr>
        <w:tabs>
          <w:tab w:val="left" w:pos="560"/>
          <w:tab w:val="left" w:pos="3828"/>
        </w:tabs>
        <w:spacing w:after="0" w:line="480" w:lineRule="auto"/>
        <w:rPr>
          <w:sz w:val="24"/>
          <w:szCs w:val="24"/>
        </w:rPr>
      </w:pPr>
      <w:r>
        <w:rPr>
          <w:sz w:val="24"/>
          <w:szCs w:val="24"/>
        </w:rPr>
        <w:tab/>
      </w:r>
      <w:r w:rsidR="00A67A3F" w:rsidRPr="001E0157">
        <w:rPr>
          <w:sz w:val="24"/>
          <w:szCs w:val="24"/>
        </w:rPr>
        <w:t>In other words</w:t>
      </w:r>
      <w:r w:rsidR="00E33195">
        <w:rPr>
          <w:sz w:val="24"/>
          <w:szCs w:val="24"/>
        </w:rPr>
        <w:t xml:space="preserve"> therefore</w:t>
      </w:r>
      <w:r w:rsidR="00A67A3F" w:rsidRPr="001E0157">
        <w:rPr>
          <w:sz w:val="24"/>
          <w:szCs w:val="24"/>
        </w:rPr>
        <w:t>, Hughes LJ’s comments on pro</w:t>
      </w:r>
      <w:r w:rsidR="00E33195">
        <w:rPr>
          <w:sz w:val="24"/>
          <w:szCs w:val="24"/>
        </w:rPr>
        <w:t xml:space="preserve">vocation and loss of control mischaracterise the law and are </w:t>
      </w:r>
      <w:r w:rsidR="00DB3FE2">
        <w:rPr>
          <w:sz w:val="24"/>
          <w:szCs w:val="24"/>
        </w:rPr>
        <w:t xml:space="preserve">thus </w:t>
      </w:r>
      <w:r w:rsidR="00A67A3F" w:rsidRPr="001E0157">
        <w:rPr>
          <w:sz w:val="24"/>
          <w:szCs w:val="24"/>
        </w:rPr>
        <w:t xml:space="preserve">explicable </w:t>
      </w:r>
      <w:r w:rsidR="00A67A3F" w:rsidRPr="001E0157">
        <w:rPr>
          <w:i/>
          <w:iCs/>
          <w:sz w:val="24"/>
          <w:szCs w:val="24"/>
        </w:rPr>
        <w:t>only</w:t>
      </w:r>
      <w:r w:rsidR="00A67A3F" w:rsidRPr="001E0157">
        <w:rPr>
          <w:sz w:val="24"/>
          <w:szCs w:val="24"/>
        </w:rPr>
        <w:t xml:space="preserve"> in terms of </w:t>
      </w:r>
      <w:r w:rsidR="008268AF">
        <w:rPr>
          <w:sz w:val="24"/>
          <w:szCs w:val="24"/>
        </w:rPr>
        <w:t>t</w:t>
      </w:r>
      <w:r w:rsidR="00E33195">
        <w:rPr>
          <w:sz w:val="24"/>
          <w:szCs w:val="24"/>
        </w:rPr>
        <w:t xml:space="preserve">he broader principle </w:t>
      </w:r>
      <w:r w:rsidR="00DB3FE2">
        <w:rPr>
          <w:sz w:val="24"/>
          <w:szCs w:val="24"/>
        </w:rPr>
        <w:lastRenderedPageBreak/>
        <w:t xml:space="preserve">apparently </w:t>
      </w:r>
      <w:r w:rsidR="00E33195">
        <w:rPr>
          <w:sz w:val="24"/>
          <w:szCs w:val="24"/>
        </w:rPr>
        <w:t xml:space="preserve">at stake, namely that </w:t>
      </w:r>
      <w:r w:rsidR="00F148F8">
        <w:rPr>
          <w:sz w:val="24"/>
          <w:szCs w:val="24"/>
        </w:rPr>
        <w:t xml:space="preserve">where </w:t>
      </w:r>
      <w:r w:rsidR="008268AF">
        <w:rPr>
          <w:sz w:val="24"/>
          <w:szCs w:val="24"/>
        </w:rPr>
        <w:t xml:space="preserve">the </w:t>
      </w:r>
      <w:r w:rsidR="00F148F8">
        <w:rPr>
          <w:sz w:val="24"/>
          <w:szCs w:val="24"/>
        </w:rPr>
        <w:t xml:space="preserve">criminal law has set a particular normative standard of culpability, this standard cannot be allowed to be undermined by </w:t>
      </w:r>
      <w:r w:rsidR="00E33195">
        <w:rPr>
          <w:sz w:val="24"/>
          <w:szCs w:val="24"/>
        </w:rPr>
        <w:t>a person</w:t>
      </w:r>
      <w:r w:rsidR="00F148F8">
        <w:rPr>
          <w:sz w:val="24"/>
          <w:szCs w:val="24"/>
        </w:rPr>
        <w:t>’s</w:t>
      </w:r>
      <w:r w:rsidR="00E33195">
        <w:rPr>
          <w:sz w:val="24"/>
          <w:szCs w:val="24"/>
        </w:rPr>
        <w:t xml:space="preserve"> </w:t>
      </w:r>
      <w:r w:rsidR="00DB3FE2">
        <w:rPr>
          <w:sz w:val="24"/>
          <w:szCs w:val="24"/>
        </w:rPr>
        <w:t>own personal failure to avoid falling foul of it</w:t>
      </w:r>
      <w:r w:rsidR="008268AF">
        <w:rPr>
          <w:sz w:val="24"/>
          <w:szCs w:val="24"/>
        </w:rPr>
        <w:t xml:space="preserve">, be </w:t>
      </w:r>
      <w:r w:rsidR="00DB3FE2">
        <w:rPr>
          <w:sz w:val="24"/>
          <w:szCs w:val="24"/>
        </w:rPr>
        <w:t xml:space="preserve">it </w:t>
      </w:r>
      <w:r w:rsidR="008268AF">
        <w:rPr>
          <w:sz w:val="24"/>
          <w:szCs w:val="24"/>
        </w:rPr>
        <w:t xml:space="preserve">because of their addiction to substances (as in </w:t>
      </w:r>
      <w:r w:rsidR="008268AF">
        <w:rPr>
          <w:i/>
          <w:sz w:val="24"/>
          <w:szCs w:val="24"/>
        </w:rPr>
        <w:t>Morhall</w:t>
      </w:r>
      <w:r w:rsidR="008268AF">
        <w:rPr>
          <w:sz w:val="24"/>
          <w:szCs w:val="24"/>
        </w:rPr>
        <w:t>), mental illness (</w:t>
      </w:r>
      <w:r w:rsidR="008268AF">
        <w:rPr>
          <w:i/>
          <w:sz w:val="24"/>
          <w:szCs w:val="24"/>
        </w:rPr>
        <w:t>B</w:t>
      </w:r>
      <w:r>
        <w:rPr>
          <w:sz w:val="24"/>
          <w:szCs w:val="24"/>
        </w:rPr>
        <w:t>) or personal</w:t>
      </w:r>
      <w:r w:rsidR="008268AF">
        <w:rPr>
          <w:sz w:val="24"/>
          <w:szCs w:val="24"/>
        </w:rPr>
        <w:t xml:space="preserve"> </w:t>
      </w:r>
      <w:r>
        <w:rPr>
          <w:sz w:val="24"/>
          <w:szCs w:val="24"/>
        </w:rPr>
        <w:t>attitudes</w:t>
      </w:r>
      <w:r w:rsidR="008268AF">
        <w:rPr>
          <w:sz w:val="24"/>
          <w:szCs w:val="24"/>
        </w:rPr>
        <w:t xml:space="preserve"> (</w:t>
      </w:r>
      <w:r w:rsidR="008268AF">
        <w:rPr>
          <w:i/>
          <w:sz w:val="24"/>
          <w:szCs w:val="24"/>
        </w:rPr>
        <w:t>Ivey</w:t>
      </w:r>
      <w:r w:rsidR="00DB3FE2">
        <w:rPr>
          <w:sz w:val="24"/>
          <w:szCs w:val="24"/>
        </w:rPr>
        <w:t>). What Hughes LJ</w:t>
      </w:r>
      <w:r w:rsidR="00FD7B88">
        <w:rPr>
          <w:sz w:val="24"/>
          <w:szCs w:val="24"/>
        </w:rPr>
        <w:t xml:space="preserve"> (and, later, Lord Hughes)</w:t>
      </w:r>
      <w:r w:rsidR="00DB3FE2">
        <w:rPr>
          <w:sz w:val="24"/>
          <w:szCs w:val="24"/>
        </w:rPr>
        <w:t xml:space="preserve"> is articulating then is the danger that law may be prevented from</w:t>
      </w:r>
      <w:r w:rsidR="008268AF">
        <w:rPr>
          <w:sz w:val="24"/>
          <w:szCs w:val="24"/>
        </w:rPr>
        <w:t xml:space="preserve"> achieving justice </w:t>
      </w:r>
      <w:r w:rsidR="00A50A00">
        <w:rPr>
          <w:sz w:val="24"/>
          <w:szCs w:val="24"/>
        </w:rPr>
        <w:t xml:space="preserve">if courts </w:t>
      </w:r>
      <w:r w:rsidR="009439F4">
        <w:rPr>
          <w:sz w:val="24"/>
          <w:szCs w:val="24"/>
        </w:rPr>
        <w:t xml:space="preserve">fail to ensure that </w:t>
      </w:r>
      <w:r w:rsidR="00A50A00">
        <w:rPr>
          <w:sz w:val="24"/>
          <w:szCs w:val="24"/>
        </w:rPr>
        <w:t>it can</w:t>
      </w:r>
      <w:r w:rsidR="009439F4">
        <w:rPr>
          <w:sz w:val="24"/>
          <w:szCs w:val="24"/>
        </w:rPr>
        <w:t xml:space="preserve"> remains free </w:t>
      </w:r>
      <w:r w:rsidR="008268AF">
        <w:rPr>
          <w:sz w:val="24"/>
          <w:szCs w:val="24"/>
        </w:rPr>
        <w:t>f</w:t>
      </w:r>
      <w:r w:rsidR="00A50A00">
        <w:rPr>
          <w:sz w:val="24"/>
          <w:szCs w:val="24"/>
        </w:rPr>
        <w:t>rom</w:t>
      </w:r>
      <w:r w:rsidR="008268AF">
        <w:rPr>
          <w:sz w:val="24"/>
          <w:szCs w:val="24"/>
        </w:rPr>
        <w:t xml:space="preserve"> the sorts of moral and intellectual constraints that encumber defendants</w:t>
      </w:r>
      <w:r w:rsidR="001E1F80" w:rsidRPr="001E0157">
        <w:rPr>
          <w:sz w:val="24"/>
          <w:szCs w:val="24"/>
        </w:rPr>
        <w:t>.</w:t>
      </w:r>
    </w:p>
    <w:p w14:paraId="1EEC01BD" w14:textId="41AAC47E" w:rsidR="00D2328B" w:rsidRDefault="00AA5AD6" w:rsidP="00FD7B88">
      <w:pPr>
        <w:tabs>
          <w:tab w:val="left" w:pos="560"/>
          <w:tab w:val="left" w:pos="3828"/>
        </w:tabs>
        <w:spacing w:after="0" w:line="480" w:lineRule="auto"/>
        <w:rPr>
          <w:sz w:val="24"/>
          <w:szCs w:val="24"/>
        </w:rPr>
      </w:pPr>
      <w:r w:rsidRPr="001E0157">
        <w:rPr>
          <w:sz w:val="24"/>
          <w:szCs w:val="24"/>
        </w:rPr>
        <w:tab/>
      </w:r>
      <w:r w:rsidR="00A50A00">
        <w:rPr>
          <w:sz w:val="24"/>
          <w:szCs w:val="24"/>
        </w:rPr>
        <w:t>Going</w:t>
      </w:r>
      <w:r w:rsidR="000234AE" w:rsidRPr="001E0157">
        <w:rPr>
          <w:sz w:val="24"/>
          <w:szCs w:val="24"/>
        </w:rPr>
        <w:t xml:space="preserve"> further back in criminal legal history, Lord Hailsham’s judgment in </w:t>
      </w:r>
      <w:r w:rsidR="000234AE" w:rsidRPr="001E0157">
        <w:rPr>
          <w:i/>
          <w:iCs/>
          <w:sz w:val="24"/>
          <w:szCs w:val="24"/>
        </w:rPr>
        <w:t>Howe</w:t>
      </w:r>
      <w:r w:rsidR="0006467C" w:rsidRPr="004A6696">
        <w:rPr>
          <w:rStyle w:val="FootnoteReference"/>
        </w:rPr>
        <w:footnoteReference w:id="75"/>
      </w:r>
      <w:r w:rsidR="000234AE" w:rsidRPr="001E0157">
        <w:rPr>
          <w:i/>
          <w:iCs/>
          <w:sz w:val="24"/>
          <w:szCs w:val="24"/>
        </w:rPr>
        <w:t xml:space="preserve"> </w:t>
      </w:r>
      <w:r w:rsidR="00B31363">
        <w:rPr>
          <w:sz w:val="24"/>
          <w:szCs w:val="24"/>
        </w:rPr>
        <w:t xml:space="preserve">provides </w:t>
      </w:r>
      <w:r w:rsidR="00FD7B88">
        <w:rPr>
          <w:sz w:val="24"/>
          <w:szCs w:val="24"/>
        </w:rPr>
        <w:t>more</w:t>
      </w:r>
      <w:r w:rsidR="00B31363">
        <w:rPr>
          <w:sz w:val="24"/>
          <w:szCs w:val="24"/>
        </w:rPr>
        <w:t xml:space="preserve"> information about the significance of the encumbrance/escape metaphor. Lord Hailsham’s speech in that case </w:t>
      </w:r>
      <w:r w:rsidR="000234AE" w:rsidRPr="001E0157">
        <w:rPr>
          <w:sz w:val="24"/>
          <w:szCs w:val="24"/>
        </w:rPr>
        <w:t>is well known for its unyielding, uncompromising hardness on the question of the availability of d</w:t>
      </w:r>
      <w:r w:rsidR="00901E3B" w:rsidRPr="001E0157">
        <w:rPr>
          <w:sz w:val="24"/>
          <w:szCs w:val="24"/>
        </w:rPr>
        <w:t>uress as a defence to murder</w:t>
      </w:r>
      <w:r w:rsidR="000234AE" w:rsidRPr="001E0157">
        <w:rPr>
          <w:sz w:val="24"/>
          <w:szCs w:val="24"/>
        </w:rPr>
        <w:t xml:space="preserve">. The argument </w:t>
      </w:r>
      <w:r w:rsidR="00901E3B" w:rsidRPr="001E0157">
        <w:rPr>
          <w:sz w:val="24"/>
          <w:szCs w:val="24"/>
        </w:rPr>
        <w:t>against Lord Hailsham’s position i</w:t>
      </w:r>
      <w:r w:rsidR="000234AE" w:rsidRPr="001E0157">
        <w:rPr>
          <w:sz w:val="24"/>
          <w:szCs w:val="24"/>
        </w:rPr>
        <w:t>s</w:t>
      </w:r>
      <w:r w:rsidR="00800D92">
        <w:rPr>
          <w:sz w:val="24"/>
          <w:szCs w:val="24"/>
        </w:rPr>
        <w:t xml:space="preserve"> that denying the defence to a defendant </w:t>
      </w:r>
      <w:r w:rsidR="000234AE" w:rsidRPr="001E0157">
        <w:rPr>
          <w:sz w:val="24"/>
          <w:szCs w:val="24"/>
        </w:rPr>
        <w:t>who was genuinely and reasonably compelled by threats of deat</w:t>
      </w:r>
      <w:r w:rsidR="00800D92">
        <w:rPr>
          <w:sz w:val="24"/>
          <w:szCs w:val="24"/>
        </w:rPr>
        <w:t>h or serious vi</w:t>
      </w:r>
      <w:r w:rsidR="00B31363">
        <w:rPr>
          <w:sz w:val="24"/>
          <w:szCs w:val="24"/>
        </w:rPr>
        <w:t>olence would be to require him ‘</w:t>
      </w:r>
      <w:r w:rsidR="000234AE" w:rsidRPr="001E0157">
        <w:rPr>
          <w:sz w:val="24"/>
          <w:szCs w:val="24"/>
        </w:rPr>
        <w:t>to comply with a higher standard than that demanded o</w:t>
      </w:r>
      <w:r w:rsidR="00A05F4D" w:rsidRPr="001E0157">
        <w:rPr>
          <w:sz w:val="24"/>
          <w:szCs w:val="24"/>
        </w:rPr>
        <w:t>f the average perso</w:t>
      </w:r>
      <w:r w:rsidR="00B31363">
        <w:rPr>
          <w:sz w:val="24"/>
          <w:szCs w:val="24"/>
        </w:rPr>
        <w:t>n’</w:t>
      </w:r>
      <w:r w:rsidR="00A05F4D" w:rsidRPr="001E0157">
        <w:rPr>
          <w:sz w:val="24"/>
          <w:szCs w:val="24"/>
        </w:rPr>
        <w:t>.</w:t>
      </w:r>
      <w:r w:rsidR="00256DEF" w:rsidRPr="004A6696">
        <w:rPr>
          <w:rStyle w:val="FootnoteReference"/>
        </w:rPr>
        <w:footnoteReference w:id="76"/>
      </w:r>
      <w:r w:rsidR="000234AE" w:rsidRPr="001E0157">
        <w:rPr>
          <w:sz w:val="24"/>
          <w:szCs w:val="24"/>
        </w:rPr>
        <w:t xml:space="preserve"> Lord Hailsham dispatched this argument by in</w:t>
      </w:r>
      <w:r w:rsidR="00B31363">
        <w:rPr>
          <w:sz w:val="24"/>
          <w:szCs w:val="24"/>
        </w:rPr>
        <w:t>sisting that, to the contrary, ‘</w:t>
      </w:r>
      <w:r w:rsidR="000234AE" w:rsidRPr="001E0157">
        <w:rPr>
          <w:sz w:val="24"/>
          <w:szCs w:val="24"/>
        </w:rPr>
        <w:t xml:space="preserve">acts of heroism [may indeed be expected from] ordinary human beings of </w:t>
      </w:r>
      <w:r w:rsidR="00B31363">
        <w:rPr>
          <w:sz w:val="24"/>
          <w:szCs w:val="24"/>
        </w:rPr>
        <w:t>no more than ordinary fortitude’</w:t>
      </w:r>
      <w:r w:rsidR="000234AE" w:rsidRPr="001E0157">
        <w:rPr>
          <w:sz w:val="24"/>
          <w:szCs w:val="24"/>
        </w:rPr>
        <w:t>,</w:t>
      </w:r>
      <w:r w:rsidR="00B31363">
        <w:rPr>
          <w:sz w:val="24"/>
          <w:szCs w:val="24"/>
        </w:rPr>
        <w:t xml:space="preserve"> and that he himself has known ‘too many’</w:t>
      </w:r>
      <w:r w:rsidR="000234AE" w:rsidRPr="001E0157">
        <w:rPr>
          <w:sz w:val="24"/>
          <w:szCs w:val="24"/>
        </w:rPr>
        <w:t xml:space="preserve"> exampl</w:t>
      </w:r>
      <w:r w:rsidR="00A05F4D" w:rsidRPr="001E0157">
        <w:rPr>
          <w:sz w:val="24"/>
          <w:szCs w:val="24"/>
        </w:rPr>
        <w:t>es</w:t>
      </w:r>
      <w:r w:rsidR="00846E51">
        <w:rPr>
          <w:sz w:val="24"/>
          <w:szCs w:val="24"/>
        </w:rPr>
        <w:t>.</w:t>
      </w:r>
      <w:r w:rsidR="00846E51" w:rsidRPr="004A6696">
        <w:rPr>
          <w:rStyle w:val="FootnoteReference"/>
        </w:rPr>
        <w:footnoteReference w:id="77"/>
      </w:r>
      <w:r w:rsidR="00A05F4D" w:rsidRPr="001E0157">
        <w:rPr>
          <w:sz w:val="24"/>
          <w:szCs w:val="24"/>
        </w:rPr>
        <w:t xml:space="preserve"> </w:t>
      </w:r>
      <w:r w:rsidR="00A70EF5" w:rsidRPr="001E0157">
        <w:rPr>
          <w:sz w:val="24"/>
          <w:szCs w:val="24"/>
        </w:rPr>
        <w:t>This image of self-sacrifice, conspicuously at odds with the usually more realistic expectatio</w:t>
      </w:r>
      <w:r w:rsidR="003A3EA2">
        <w:rPr>
          <w:sz w:val="24"/>
          <w:szCs w:val="24"/>
        </w:rPr>
        <w:t>ns placed on the ‘reasonable person</w:t>
      </w:r>
      <w:r w:rsidR="00A70EF5" w:rsidRPr="001E0157">
        <w:rPr>
          <w:sz w:val="24"/>
          <w:szCs w:val="24"/>
        </w:rPr>
        <w:t xml:space="preserve">’ of law, echoes instead the Homeric ideal of an almost divine equanimity in the face of </w:t>
      </w:r>
      <w:r w:rsidR="00030454" w:rsidRPr="001E0157">
        <w:rPr>
          <w:sz w:val="24"/>
          <w:szCs w:val="24"/>
        </w:rPr>
        <w:t>pain, humiliation and death</w:t>
      </w:r>
      <w:r w:rsidR="00EB044F">
        <w:rPr>
          <w:sz w:val="24"/>
          <w:szCs w:val="24"/>
        </w:rPr>
        <w:t>. This is</w:t>
      </w:r>
      <w:r w:rsidR="00030454" w:rsidRPr="001E0157">
        <w:rPr>
          <w:sz w:val="24"/>
          <w:szCs w:val="24"/>
        </w:rPr>
        <w:t xml:space="preserve"> a projection </w:t>
      </w:r>
      <w:r w:rsidR="00846E51">
        <w:rPr>
          <w:sz w:val="24"/>
          <w:szCs w:val="24"/>
        </w:rPr>
        <w:t xml:space="preserve">that flies so free of </w:t>
      </w:r>
      <w:r w:rsidR="00EB044F">
        <w:rPr>
          <w:sz w:val="24"/>
          <w:szCs w:val="24"/>
        </w:rPr>
        <w:t xml:space="preserve">‘ordinary’ standards </w:t>
      </w:r>
      <w:r w:rsidR="00846E51">
        <w:rPr>
          <w:sz w:val="24"/>
          <w:szCs w:val="24"/>
        </w:rPr>
        <w:t>as to risk</w:t>
      </w:r>
      <w:r w:rsidR="00030454" w:rsidRPr="001E0157">
        <w:rPr>
          <w:sz w:val="24"/>
          <w:szCs w:val="24"/>
        </w:rPr>
        <w:t xml:space="preserve"> losing contact with earth altogether.</w:t>
      </w:r>
      <w:r w:rsidR="00EB044F">
        <w:rPr>
          <w:sz w:val="24"/>
          <w:szCs w:val="24"/>
        </w:rPr>
        <w:t xml:space="preserve"> The parallel might be drawn closer still. </w:t>
      </w:r>
      <w:r w:rsidR="00EB044F">
        <w:rPr>
          <w:sz w:val="24"/>
          <w:szCs w:val="24"/>
        </w:rPr>
        <w:lastRenderedPageBreak/>
        <w:t>Readers who are familiar with Homeric epics will recall that when Hector, champion of Troy and ‘tamer of horses’, faces up finally</w:t>
      </w:r>
      <w:r w:rsidR="00D2328B">
        <w:rPr>
          <w:sz w:val="24"/>
          <w:szCs w:val="24"/>
        </w:rPr>
        <w:t xml:space="preserve"> and (for him) fatally</w:t>
      </w:r>
      <w:r w:rsidR="00EB044F">
        <w:rPr>
          <w:sz w:val="24"/>
          <w:szCs w:val="24"/>
        </w:rPr>
        <w:t xml:space="preserve"> to the god-like Achilles, he </w:t>
      </w:r>
      <w:r w:rsidR="00D2328B">
        <w:rPr>
          <w:sz w:val="24"/>
          <w:szCs w:val="24"/>
        </w:rPr>
        <w:t>refers to</w:t>
      </w:r>
      <w:r w:rsidR="00EB044F">
        <w:rPr>
          <w:sz w:val="24"/>
          <w:szCs w:val="24"/>
        </w:rPr>
        <w:t xml:space="preserve"> himself not only </w:t>
      </w:r>
      <w:r w:rsidR="00D2328B">
        <w:rPr>
          <w:sz w:val="24"/>
          <w:szCs w:val="24"/>
        </w:rPr>
        <w:t xml:space="preserve">as </w:t>
      </w:r>
      <w:r w:rsidR="00EB044F">
        <w:rPr>
          <w:sz w:val="24"/>
          <w:szCs w:val="24"/>
        </w:rPr>
        <w:t>sacrificing hi</w:t>
      </w:r>
      <w:r w:rsidR="00D2328B">
        <w:rPr>
          <w:sz w:val="24"/>
          <w:szCs w:val="24"/>
        </w:rPr>
        <w:t xml:space="preserve">s </w:t>
      </w:r>
      <w:r w:rsidR="00EB044F">
        <w:rPr>
          <w:sz w:val="24"/>
          <w:szCs w:val="24"/>
        </w:rPr>
        <w:t xml:space="preserve">life for his city, but also (crucially) </w:t>
      </w:r>
      <w:r w:rsidR="00D2328B">
        <w:rPr>
          <w:sz w:val="24"/>
          <w:szCs w:val="24"/>
        </w:rPr>
        <w:t xml:space="preserve">as </w:t>
      </w:r>
      <w:r w:rsidR="00EB044F" w:rsidRPr="00D2328B">
        <w:rPr>
          <w:i/>
          <w:iCs/>
          <w:sz w:val="24"/>
          <w:szCs w:val="24"/>
        </w:rPr>
        <w:t xml:space="preserve">transcending </w:t>
      </w:r>
      <w:r w:rsidR="00EB044F" w:rsidRPr="0088457F">
        <w:rPr>
          <w:sz w:val="24"/>
          <w:szCs w:val="24"/>
        </w:rPr>
        <w:t xml:space="preserve">the confines of </w:t>
      </w:r>
      <w:r w:rsidR="00D2328B" w:rsidRPr="0088457F">
        <w:rPr>
          <w:sz w:val="24"/>
          <w:szCs w:val="24"/>
        </w:rPr>
        <w:t xml:space="preserve">a </w:t>
      </w:r>
      <w:r w:rsidR="008060F3">
        <w:rPr>
          <w:sz w:val="24"/>
          <w:szCs w:val="24"/>
        </w:rPr>
        <w:t xml:space="preserve">biographical or </w:t>
      </w:r>
      <w:r w:rsidR="00EB044F" w:rsidRPr="0088457F">
        <w:rPr>
          <w:sz w:val="24"/>
          <w:szCs w:val="24"/>
        </w:rPr>
        <w:t>local story</w:t>
      </w:r>
      <w:r w:rsidR="00D2328B">
        <w:rPr>
          <w:sz w:val="24"/>
          <w:szCs w:val="24"/>
        </w:rPr>
        <w:t xml:space="preserve">, which of course he does thanks to Homer’s </w:t>
      </w:r>
      <w:r w:rsidR="00D2328B">
        <w:rPr>
          <w:i/>
          <w:iCs/>
          <w:sz w:val="24"/>
          <w:szCs w:val="24"/>
        </w:rPr>
        <w:t>Illiad</w:t>
      </w:r>
      <w:r w:rsidR="00D2328B">
        <w:rPr>
          <w:sz w:val="24"/>
          <w:szCs w:val="24"/>
        </w:rPr>
        <w:t>:</w:t>
      </w:r>
      <w:r w:rsidR="00EB044F">
        <w:rPr>
          <w:sz w:val="24"/>
          <w:szCs w:val="24"/>
        </w:rPr>
        <w:t xml:space="preserve"> </w:t>
      </w:r>
    </w:p>
    <w:p w14:paraId="45F5E454" w14:textId="77777777" w:rsidR="00D2328B" w:rsidRDefault="00D2328B" w:rsidP="00D2328B">
      <w:pPr>
        <w:tabs>
          <w:tab w:val="left" w:pos="560"/>
          <w:tab w:val="left" w:pos="3828"/>
        </w:tabs>
        <w:spacing w:after="0" w:line="480" w:lineRule="auto"/>
        <w:rPr>
          <w:sz w:val="24"/>
          <w:szCs w:val="24"/>
        </w:rPr>
      </w:pPr>
    </w:p>
    <w:p w14:paraId="1E434798" w14:textId="77777777" w:rsidR="00A77BC2" w:rsidRDefault="00D2328B" w:rsidP="00D2328B">
      <w:pPr>
        <w:tabs>
          <w:tab w:val="left" w:pos="560"/>
          <w:tab w:val="left" w:pos="3828"/>
        </w:tabs>
        <w:spacing w:after="0" w:line="480" w:lineRule="auto"/>
        <w:ind w:left="560"/>
        <w:rPr>
          <w:sz w:val="24"/>
          <w:szCs w:val="24"/>
        </w:rPr>
      </w:pPr>
      <w:r w:rsidRPr="00D2328B">
        <w:rPr>
          <w:sz w:val="24"/>
          <w:szCs w:val="24"/>
        </w:rPr>
        <w:t xml:space="preserve">All comfortless he stands: then, with a sigh, </w:t>
      </w:r>
    </w:p>
    <w:p w14:paraId="7023E884" w14:textId="737FB285" w:rsidR="00A77BC2" w:rsidRDefault="00A77BC2" w:rsidP="00D2328B">
      <w:pPr>
        <w:tabs>
          <w:tab w:val="left" w:pos="560"/>
          <w:tab w:val="left" w:pos="3828"/>
        </w:tabs>
        <w:spacing w:after="0" w:line="480" w:lineRule="auto"/>
        <w:ind w:left="560"/>
        <w:rPr>
          <w:sz w:val="24"/>
          <w:szCs w:val="24"/>
        </w:rPr>
      </w:pPr>
      <w:r>
        <w:rPr>
          <w:sz w:val="24"/>
          <w:szCs w:val="24"/>
        </w:rPr>
        <w:t>‘</w:t>
      </w:r>
      <w:r w:rsidR="00D2328B" w:rsidRPr="00D2328B">
        <w:rPr>
          <w:sz w:val="24"/>
          <w:szCs w:val="24"/>
        </w:rPr>
        <w:t>Tis so—heaven will</w:t>
      </w:r>
      <w:r>
        <w:rPr>
          <w:sz w:val="24"/>
          <w:szCs w:val="24"/>
        </w:rPr>
        <w:t xml:space="preserve">s it, and my hour is nigh! […] </w:t>
      </w:r>
    </w:p>
    <w:p w14:paraId="7CA47D74" w14:textId="77777777" w:rsidR="00A77BC2" w:rsidRDefault="00D2328B" w:rsidP="00D2328B">
      <w:pPr>
        <w:tabs>
          <w:tab w:val="left" w:pos="560"/>
          <w:tab w:val="left" w:pos="3828"/>
        </w:tabs>
        <w:spacing w:after="0" w:line="480" w:lineRule="auto"/>
        <w:ind w:left="560"/>
        <w:rPr>
          <w:sz w:val="24"/>
          <w:szCs w:val="24"/>
        </w:rPr>
      </w:pPr>
      <w:r w:rsidRPr="00D2328B">
        <w:rPr>
          <w:sz w:val="24"/>
          <w:szCs w:val="24"/>
        </w:rPr>
        <w:t xml:space="preserve">Yet in a mighty deed I shall expire, </w:t>
      </w:r>
    </w:p>
    <w:p w14:paraId="1882B501" w14:textId="2E2224BF" w:rsidR="00A70EF5" w:rsidRPr="00D2328B" w:rsidRDefault="00D2328B" w:rsidP="00D2328B">
      <w:pPr>
        <w:tabs>
          <w:tab w:val="left" w:pos="560"/>
          <w:tab w:val="left" w:pos="3828"/>
        </w:tabs>
        <w:spacing w:after="0" w:line="480" w:lineRule="auto"/>
        <w:ind w:left="560"/>
        <w:rPr>
          <w:sz w:val="24"/>
          <w:szCs w:val="24"/>
        </w:rPr>
      </w:pPr>
      <w:r w:rsidRPr="00D2328B">
        <w:rPr>
          <w:sz w:val="24"/>
          <w:szCs w:val="24"/>
        </w:rPr>
        <w:t>Let future ages hear it, and admire!</w:t>
      </w:r>
      <w:r w:rsidR="00A77BC2">
        <w:rPr>
          <w:sz w:val="24"/>
          <w:szCs w:val="24"/>
        </w:rPr>
        <w:t>’</w:t>
      </w:r>
      <w:r w:rsidR="00A70EF5" w:rsidRPr="004A6696">
        <w:rPr>
          <w:rStyle w:val="FootnoteReference"/>
        </w:rPr>
        <w:footnoteReference w:id="78"/>
      </w:r>
    </w:p>
    <w:p w14:paraId="6FB8CEF8" w14:textId="77777777" w:rsidR="00D2328B" w:rsidRPr="001E0157" w:rsidRDefault="00D2328B" w:rsidP="00D2328B">
      <w:pPr>
        <w:tabs>
          <w:tab w:val="left" w:pos="560"/>
          <w:tab w:val="left" w:pos="3828"/>
        </w:tabs>
        <w:spacing w:after="0" w:line="480" w:lineRule="auto"/>
        <w:rPr>
          <w:sz w:val="24"/>
          <w:szCs w:val="24"/>
        </w:rPr>
      </w:pPr>
    </w:p>
    <w:p w14:paraId="276EA428" w14:textId="5628CF91" w:rsidR="006D28A9" w:rsidRDefault="000234AE" w:rsidP="005E1F2D">
      <w:pPr>
        <w:tabs>
          <w:tab w:val="left" w:pos="560"/>
          <w:tab w:val="left" w:pos="3828"/>
        </w:tabs>
        <w:spacing w:after="0" w:line="480" w:lineRule="auto"/>
        <w:rPr>
          <w:sz w:val="24"/>
          <w:szCs w:val="24"/>
        </w:rPr>
      </w:pPr>
      <w:r w:rsidRPr="001E0157">
        <w:rPr>
          <w:sz w:val="24"/>
          <w:szCs w:val="24"/>
        </w:rPr>
        <w:tab/>
      </w:r>
      <w:r w:rsidR="0045629B" w:rsidRPr="001E0157">
        <w:rPr>
          <w:sz w:val="24"/>
          <w:szCs w:val="24"/>
        </w:rPr>
        <w:t>Notwithstanding obvious</w:t>
      </w:r>
      <w:r w:rsidR="00B73788" w:rsidRPr="001E0157">
        <w:rPr>
          <w:sz w:val="24"/>
          <w:szCs w:val="24"/>
        </w:rPr>
        <w:t xml:space="preserve"> differences, </w:t>
      </w:r>
      <w:r w:rsidR="00A05F4D" w:rsidRPr="001E0157">
        <w:rPr>
          <w:i/>
          <w:iCs/>
          <w:sz w:val="24"/>
          <w:szCs w:val="24"/>
        </w:rPr>
        <w:t>Howe</w:t>
      </w:r>
      <w:r w:rsidRPr="001E0157">
        <w:rPr>
          <w:sz w:val="24"/>
          <w:szCs w:val="24"/>
        </w:rPr>
        <w:t xml:space="preserve"> bear</w:t>
      </w:r>
      <w:r w:rsidR="00A05F4D" w:rsidRPr="001E0157">
        <w:rPr>
          <w:sz w:val="24"/>
          <w:szCs w:val="24"/>
        </w:rPr>
        <w:t>s</w:t>
      </w:r>
      <w:r w:rsidRPr="001E0157">
        <w:rPr>
          <w:sz w:val="24"/>
          <w:szCs w:val="24"/>
        </w:rPr>
        <w:t xml:space="preserve"> comparison</w:t>
      </w:r>
      <w:r w:rsidR="00A05F4D" w:rsidRPr="001E0157">
        <w:rPr>
          <w:sz w:val="24"/>
          <w:szCs w:val="24"/>
        </w:rPr>
        <w:t xml:space="preserve"> with </w:t>
      </w:r>
      <w:r w:rsidR="00A05F4D" w:rsidRPr="001E0157">
        <w:rPr>
          <w:i/>
          <w:iCs/>
          <w:sz w:val="24"/>
          <w:szCs w:val="24"/>
        </w:rPr>
        <w:t>Ivey</w:t>
      </w:r>
      <w:r w:rsidR="00A05F4D" w:rsidRPr="001E0157">
        <w:rPr>
          <w:sz w:val="24"/>
          <w:szCs w:val="24"/>
        </w:rPr>
        <w:t xml:space="preserve"> and with </w:t>
      </w:r>
      <w:r w:rsidR="00A05F4D" w:rsidRPr="001E0157">
        <w:rPr>
          <w:i/>
          <w:iCs/>
          <w:sz w:val="24"/>
          <w:szCs w:val="24"/>
        </w:rPr>
        <w:t>B</w:t>
      </w:r>
      <w:r w:rsidRPr="001E0157">
        <w:rPr>
          <w:sz w:val="24"/>
          <w:szCs w:val="24"/>
        </w:rPr>
        <w:t xml:space="preserve"> because the overriding concern of Lord Hailsham’s </w:t>
      </w:r>
      <w:r w:rsidR="003A3EA2">
        <w:rPr>
          <w:sz w:val="24"/>
          <w:szCs w:val="24"/>
        </w:rPr>
        <w:t>speech</w:t>
      </w:r>
      <w:r w:rsidRPr="001E0157">
        <w:rPr>
          <w:sz w:val="24"/>
          <w:szCs w:val="24"/>
        </w:rPr>
        <w:t xml:space="preserve"> is that </w:t>
      </w:r>
      <w:r w:rsidR="00030454" w:rsidRPr="001E0157">
        <w:rPr>
          <w:sz w:val="24"/>
          <w:szCs w:val="24"/>
        </w:rPr>
        <w:t xml:space="preserve">law must </w:t>
      </w:r>
      <w:r w:rsidR="00D2328B">
        <w:rPr>
          <w:sz w:val="24"/>
          <w:szCs w:val="24"/>
        </w:rPr>
        <w:t>be free</w:t>
      </w:r>
      <w:r w:rsidR="003A3EA2">
        <w:rPr>
          <w:sz w:val="24"/>
          <w:szCs w:val="24"/>
        </w:rPr>
        <w:t xml:space="preserve"> from </w:t>
      </w:r>
      <w:r w:rsidR="00005861">
        <w:rPr>
          <w:sz w:val="24"/>
          <w:szCs w:val="24"/>
        </w:rPr>
        <w:t xml:space="preserve">the fetters </w:t>
      </w:r>
      <w:r w:rsidR="00D2328B">
        <w:rPr>
          <w:sz w:val="24"/>
          <w:szCs w:val="24"/>
        </w:rPr>
        <w:t>of ordinary moral</w:t>
      </w:r>
      <w:r w:rsidR="00005861">
        <w:rPr>
          <w:sz w:val="24"/>
          <w:szCs w:val="24"/>
        </w:rPr>
        <w:t xml:space="preserve"> limitations and </w:t>
      </w:r>
      <w:r w:rsidR="00D2328B">
        <w:rPr>
          <w:sz w:val="24"/>
          <w:szCs w:val="24"/>
        </w:rPr>
        <w:t>compromises</w:t>
      </w:r>
      <w:r w:rsidR="003B7834">
        <w:rPr>
          <w:sz w:val="24"/>
          <w:szCs w:val="24"/>
        </w:rPr>
        <w:t>, and</w:t>
      </w:r>
      <w:r w:rsidR="00030454" w:rsidRPr="001E0157">
        <w:rPr>
          <w:sz w:val="24"/>
          <w:szCs w:val="24"/>
        </w:rPr>
        <w:t xml:space="preserve"> </w:t>
      </w:r>
      <w:r w:rsidR="00005861">
        <w:rPr>
          <w:sz w:val="24"/>
          <w:szCs w:val="24"/>
        </w:rPr>
        <w:t xml:space="preserve">must be </w:t>
      </w:r>
      <w:r w:rsidR="00D2328B">
        <w:rPr>
          <w:sz w:val="24"/>
          <w:szCs w:val="24"/>
        </w:rPr>
        <w:t>allowed to fulfil its special role as</w:t>
      </w:r>
      <w:r w:rsidR="00030454" w:rsidRPr="001E0157">
        <w:rPr>
          <w:sz w:val="24"/>
          <w:szCs w:val="24"/>
        </w:rPr>
        <w:t xml:space="preserve"> </w:t>
      </w:r>
      <w:r w:rsidR="00030454" w:rsidRPr="00D2328B">
        <w:rPr>
          <w:i/>
          <w:iCs/>
          <w:sz w:val="24"/>
          <w:szCs w:val="24"/>
        </w:rPr>
        <w:t>set</w:t>
      </w:r>
      <w:r w:rsidR="00D2328B" w:rsidRPr="00D2328B">
        <w:rPr>
          <w:i/>
          <w:iCs/>
          <w:sz w:val="24"/>
          <w:szCs w:val="24"/>
        </w:rPr>
        <w:t>ter</w:t>
      </w:r>
      <w:r w:rsidR="00A05F4D" w:rsidRPr="001E0157">
        <w:rPr>
          <w:sz w:val="24"/>
          <w:szCs w:val="24"/>
        </w:rPr>
        <w:t xml:space="preserve"> </w:t>
      </w:r>
      <w:r w:rsidR="00005861">
        <w:rPr>
          <w:sz w:val="24"/>
          <w:szCs w:val="24"/>
        </w:rPr>
        <w:t xml:space="preserve">of </w:t>
      </w:r>
      <w:r w:rsidR="00A05F4D" w:rsidRPr="001E0157">
        <w:rPr>
          <w:sz w:val="24"/>
          <w:szCs w:val="24"/>
        </w:rPr>
        <w:t xml:space="preserve">the </w:t>
      </w:r>
      <w:r w:rsidR="00005861">
        <w:rPr>
          <w:sz w:val="24"/>
          <w:szCs w:val="24"/>
        </w:rPr>
        <w:t xml:space="preserve">normative </w:t>
      </w:r>
      <w:r w:rsidR="00A05F4D" w:rsidRPr="001E0157">
        <w:rPr>
          <w:sz w:val="24"/>
          <w:szCs w:val="24"/>
        </w:rPr>
        <w:t>standard to be enforced</w:t>
      </w:r>
      <w:r w:rsidR="00B73788" w:rsidRPr="001E0157">
        <w:rPr>
          <w:sz w:val="24"/>
          <w:szCs w:val="24"/>
        </w:rPr>
        <w:t>. I</w:t>
      </w:r>
      <w:r w:rsidR="00A05F4D" w:rsidRPr="001E0157">
        <w:rPr>
          <w:sz w:val="24"/>
          <w:szCs w:val="24"/>
        </w:rPr>
        <w:t>n maintaining this position</w:t>
      </w:r>
      <w:r w:rsidR="00B73788" w:rsidRPr="001E0157">
        <w:rPr>
          <w:sz w:val="24"/>
          <w:szCs w:val="24"/>
        </w:rPr>
        <w:t>, law</w:t>
      </w:r>
      <w:r w:rsidR="00A05F4D" w:rsidRPr="001E0157">
        <w:rPr>
          <w:sz w:val="24"/>
          <w:szCs w:val="24"/>
        </w:rPr>
        <w:t xml:space="preserve"> cannot afford be seen to identify with one </w:t>
      </w:r>
      <w:r w:rsidRPr="001E0157">
        <w:rPr>
          <w:sz w:val="24"/>
          <w:szCs w:val="24"/>
        </w:rPr>
        <w:t>so morally c</w:t>
      </w:r>
      <w:r w:rsidR="00005861">
        <w:rPr>
          <w:sz w:val="24"/>
          <w:szCs w:val="24"/>
        </w:rPr>
        <w:t>ompromised</w:t>
      </w:r>
      <w:r w:rsidR="0045629B" w:rsidRPr="001E0157">
        <w:rPr>
          <w:sz w:val="24"/>
          <w:szCs w:val="24"/>
        </w:rPr>
        <w:t xml:space="preserve"> that they would </w:t>
      </w:r>
      <w:r w:rsidR="00005861">
        <w:rPr>
          <w:sz w:val="24"/>
          <w:szCs w:val="24"/>
        </w:rPr>
        <w:t xml:space="preserve">(in this example) </w:t>
      </w:r>
      <w:r w:rsidR="0045629B" w:rsidRPr="001E0157">
        <w:rPr>
          <w:sz w:val="24"/>
          <w:szCs w:val="24"/>
        </w:rPr>
        <w:t xml:space="preserve">decide to </w:t>
      </w:r>
      <w:r w:rsidRPr="001E0157">
        <w:rPr>
          <w:sz w:val="24"/>
          <w:szCs w:val="24"/>
        </w:rPr>
        <w:t xml:space="preserve">violate the sanctity of human life. The crucial matter is </w:t>
      </w:r>
      <w:r w:rsidR="00A05F4D" w:rsidRPr="001E0157">
        <w:rPr>
          <w:sz w:val="24"/>
          <w:szCs w:val="24"/>
        </w:rPr>
        <w:t xml:space="preserve">not whether it is </w:t>
      </w:r>
      <w:r w:rsidR="00A05F4D" w:rsidRPr="001E0157">
        <w:rPr>
          <w:i/>
          <w:iCs/>
          <w:sz w:val="24"/>
          <w:szCs w:val="24"/>
        </w:rPr>
        <w:t>realistic</w:t>
      </w:r>
      <w:r w:rsidR="00A05F4D" w:rsidRPr="001E0157">
        <w:rPr>
          <w:sz w:val="24"/>
          <w:szCs w:val="24"/>
        </w:rPr>
        <w:t xml:space="preserve"> to expect a person to uphold that standard in the relevant circumstances</w:t>
      </w:r>
      <w:r w:rsidR="00B73788" w:rsidRPr="001E0157">
        <w:rPr>
          <w:sz w:val="24"/>
          <w:szCs w:val="24"/>
        </w:rPr>
        <w:t>, but</w:t>
      </w:r>
      <w:r w:rsidR="00A05F4D" w:rsidRPr="001E0157">
        <w:rPr>
          <w:sz w:val="24"/>
          <w:szCs w:val="24"/>
        </w:rPr>
        <w:t xml:space="preserve"> </w:t>
      </w:r>
      <w:r w:rsidRPr="001E0157">
        <w:rPr>
          <w:sz w:val="24"/>
          <w:szCs w:val="24"/>
        </w:rPr>
        <w:t xml:space="preserve">rather that </w:t>
      </w:r>
      <w:r w:rsidR="00B73788" w:rsidRPr="001E0157">
        <w:rPr>
          <w:sz w:val="24"/>
          <w:szCs w:val="24"/>
        </w:rPr>
        <w:t xml:space="preserve">law’s status </w:t>
      </w:r>
      <w:r w:rsidRPr="001E0157">
        <w:rPr>
          <w:sz w:val="24"/>
          <w:szCs w:val="24"/>
        </w:rPr>
        <w:t>is not subject to the same</w:t>
      </w:r>
      <w:r w:rsidR="00B73788" w:rsidRPr="001E0157">
        <w:rPr>
          <w:sz w:val="24"/>
          <w:szCs w:val="24"/>
        </w:rPr>
        <w:t xml:space="preserve"> compromises that entangle such a person</w:t>
      </w:r>
      <w:r w:rsidRPr="001E0157">
        <w:rPr>
          <w:sz w:val="24"/>
          <w:szCs w:val="24"/>
        </w:rPr>
        <w:t>.</w:t>
      </w:r>
      <w:r w:rsidR="00B73788" w:rsidRPr="001E0157">
        <w:rPr>
          <w:sz w:val="24"/>
          <w:szCs w:val="24"/>
        </w:rPr>
        <w:t xml:space="preserve"> </w:t>
      </w:r>
      <w:r w:rsidR="007C0499">
        <w:rPr>
          <w:sz w:val="24"/>
          <w:szCs w:val="24"/>
        </w:rPr>
        <w:t>We saw above</w:t>
      </w:r>
      <w:r w:rsidR="00796D7F">
        <w:rPr>
          <w:sz w:val="24"/>
          <w:szCs w:val="24"/>
        </w:rPr>
        <w:t xml:space="preserve"> how </w:t>
      </w:r>
      <w:r w:rsidR="00DD4EEB" w:rsidRPr="001E0157">
        <w:rPr>
          <w:sz w:val="24"/>
          <w:szCs w:val="24"/>
        </w:rPr>
        <w:t>the</w:t>
      </w:r>
      <w:r w:rsidR="007C0499">
        <w:rPr>
          <w:sz w:val="24"/>
          <w:szCs w:val="24"/>
        </w:rPr>
        <w:t xml:space="preserve"> legal problem of testing for dishonesty</w:t>
      </w:r>
      <w:r w:rsidR="00DD4EEB" w:rsidRPr="001E0157">
        <w:rPr>
          <w:sz w:val="24"/>
          <w:szCs w:val="24"/>
        </w:rPr>
        <w:t xml:space="preserve"> </w:t>
      </w:r>
      <w:r w:rsidR="00796D7F">
        <w:rPr>
          <w:sz w:val="24"/>
          <w:szCs w:val="24"/>
        </w:rPr>
        <w:t>may be seen as</w:t>
      </w:r>
      <w:r w:rsidR="007C0499">
        <w:rPr>
          <w:sz w:val="24"/>
          <w:szCs w:val="24"/>
        </w:rPr>
        <w:t xml:space="preserve"> </w:t>
      </w:r>
      <w:r w:rsidR="00796D7F">
        <w:rPr>
          <w:sz w:val="24"/>
          <w:szCs w:val="24"/>
        </w:rPr>
        <w:t xml:space="preserve">being </w:t>
      </w:r>
      <w:r w:rsidR="007C0499">
        <w:rPr>
          <w:sz w:val="24"/>
          <w:szCs w:val="24"/>
        </w:rPr>
        <w:t xml:space="preserve">conceptualised </w:t>
      </w:r>
      <w:r w:rsidR="005E1F2D">
        <w:rPr>
          <w:sz w:val="24"/>
          <w:szCs w:val="24"/>
        </w:rPr>
        <w:t>by way of the metaphor of escaping from</w:t>
      </w:r>
      <w:r w:rsidR="00796D7F">
        <w:rPr>
          <w:sz w:val="24"/>
          <w:szCs w:val="24"/>
        </w:rPr>
        <w:t xml:space="preserve"> an encumbrance </w:t>
      </w:r>
      <w:r w:rsidR="005E1F2D">
        <w:rPr>
          <w:sz w:val="24"/>
          <w:szCs w:val="24"/>
        </w:rPr>
        <w:t xml:space="preserve">(the latter </w:t>
      </w:r>
      <w:r w:rsidR="007C0499">
        <w:rPr>
          <w:sz w:val="24"/>
          <w:szCs w:val="24"/>
        </w:rPr>
        <w:t xml:space="preserve">we </w:t>
      </w:r>
      <w:r w:rsidR="005E1F2D">
        <w:rPr>
          <w:sz w:val="24"/>
          <w:szCs w:val="24"/>
        </w:rPr>
        <w:t xml:space="preserve">furthermore </w:t>
      </w:r>
      <w:r w:rsidR="00796D7F">
        <w:rPr>
          <w:sz w:val="24"/>
          <w:szCs w:val="24"/>
        </w:rPr>
        <w:t>imagined</w:t>
      </w:r>
      <w:r w:rsidR="007C0499">
        <w:rPr>
          <w:sz w:val="24"/>
          <w:szCs w:val="24"/>
        </w:rPr>
        <w:t xml:space="preserve"> </w:t>
      </w:r>
      <w:r w:rsidR="005E1F2D">
        <w:rPr>
          <w:sz w:val="24"/>
          <w:szCs w:val="24"/>
        </w:rPr>
        <w:t>as</w:t>
      </w:r>
      <w:r w:rsidR="007C0499">
        <w:rPr>
          <w:sz w:val="24"/>
          <w:szCs w:val="24"/>
        </w:rPr>
        <w:t xml:space="preserve"> submersion in </w:t>
      </w:r>
      <w:r w:rsidR="00796D7F">
        <w:rPr>
          <w:sz w:val="24"/>
          <w:szCs w:val="24"/>
        </w:rPr>
        <w:t>a</w:t>
      </w:r>
      <w:r w:rsidR="007C0499">
        <w:rPr>
          <w:sz w:val="24"/>
          <w:szCs w:val="24"/>
        </w:rPr>
        <w:t xml:space="preserve"> dark pond</w:t>
      </w:r>
      <w:r w:rsidR="005E1F2D">
        <w:rPr>
          <w:sz w:val="24"/>
          <w:szCs w:val="24"/>
        </w:rPr>
        <w:t>,</w:t>
      </w:r>
      <w:r w:rsidR="00796D7F">
        <w:rPr>
          <w:sz w:val="24"/>
          <w:szCs w:val="24"/>
        </w:rPr>
        <w:t xml:space="preserve"> following the train of Lord Hughes’s reference to </w:t>
      </w:r>
      <w:r w:rsidR="00796D7F">
        <w:rPr>
          <w:i/>
          <w:iCs/>
          <w:sz w:val="24"/>
          <w:szCs w:val="24"/>
        </w:rPr>
        <w:t>Rostron</w:t>
      </w:r>
      <w:r w:rsidR="005E1F2D">
        <w:rPr>
          <w:sz w:val="24"/>
          <w:szCs w:val="24"/>
        </w:rPr>
        <w:t>)</w:t>
      </w:r>
      <w:r w:rsidR="00796D7F">
        <w:rPr>
          <w:sz w:val="24"/>
          <w:szCs w:val="24"/>
        </w:rPr>
        <w:t>.</w:t>
      </w:r>
      <w:r w:rsidR="00DD4EEB" w:rsidRPr="001E0157">
        <w:rPr>
          <w:sz w:val="24"/>
          <w:szCs w:val="24"/>
        </w:rPr>
        <w:t xml:space="preserve"> </w:t>
      </w:r>
      <w:r w:rsidR="00796D7F">
        <w:rPr>
          <w:sz w:val="24"/>
          <w:szCs w:val="24"/>
        </w:rPr>
        <w:t xml:space="preserve">We may observe, similarly, that </w:t>
      </w:r>
      <w:r w:rsidRPr="001E0157">
        <w:rPr>
          <w:sz w:val="24"/>
          <w:szCs w:val="24"/>
        </w:rPr>
        <w:t xml:space="preserve">Lord Hailsham’s disapproving </w:t>
      </w:r>
      <w:r w:rsidRPr="001E0157">
        <w:rPr>
          <w:sz w:val="24"/>
          <w:szCs w:val="24"/>
        </w:rPr>
        <w:lastRenderedPageBreak/>
        <w:t>reference</w:t>
      </w:r>
      <w:r w:rsidR="00796D7F">
        <w:rPr>
          <w:sz w:val="24"/>
          <w:szCs w:val="24"/>
        </w:rPr>
        <w:t xml:space="preserve"> in </w:t>
      </w:r>
      <w:r w:rsidR="00796D7F">
        <w:rPr>
          <w:i/>
          <w:iCs/>
          <w:sz w:val="24"/>
          <w:szCs w:val="24"/>
        </w:rPr>
        <w:t>Howe</w:t>
      </w:r>
      <w:r w:rsidRPr="001E0157">
        <w:rPr>
          <w:sz w:val="24"/>
          <w:szCs w:val="24"/>
        </w:rPr>
        <w:t xml:space="preserve"> to law casting ‘the cloak of its protection upon the coward and the p</w:t>
      </w:r>
      <w:r w:rsidR="00FB4294" w:rsidRPr="001E0157">
        <w:rPr>
          <w:sz w:val="24"/>
          <w:szCs w:val="24"/>
        </w:rPr>
        <w:t>altroon’</w:t>
      </w:r>
      <w:r w:rsidR="00796D7F" w:rsidRPr="004A6696">
        <w:rPr>
          <w:rStyle w:val="FootnoteReference"/>
        </w:rPr>
        <w:footnoteReference w:id="79"/>
      </w:r>
      <w:r w:rsidR="00FB4294" w:rsidRPr="001E0157">
        <w:rPr>
          <w:sz w:val="24"/>
          <w:szCs w:val="24"/>
        </w:rPr>
        <w:t xml:space="preserve"> invokes </w:t>
      </w:r>
      <w:r w:rsidR="00796D7F">
        <w:rPr>
          <w:sz w:val="24"/>
          <w:szCs w:val="24"/>
        </w:rPr>
        <w:t xml:space="preserve">comparable imagery for cautionary purposes, since here too we are invited to agree with his lordship that what is beneath that cloak is </w:t>
      </w:r>
      <w:r w:rsidR="00DB5EEB">
        <w:rPr>
          <w:sz w:val="24"/>
          <w:szCs w:val="24"/>
        </w:rPr>
        <w:t xml:space="preserve">also </w:t>
      </w:r>
      <w:r w:rsidR="00796D7F" w:rsidRPr="00DB5EEB">
        <w:rPr>
          <w:i/>
          <w:iCs/>
          <w:sz w:val="24"/>
          <w:szCs w:val="24"/>
        </w:rPr>
        <w:t>beneath law’s rightful atten</w:t>
      </w:r>
      <w:r w:rsidR="00DB5EEB" w:rsidRPr="00DB5EEB">
        <w:rPr>
          <w:i/>
          <w:iCs/>
          <w:sz w:val="24"/>
          <w:szCs w:val="24"/>
        </w:rPr>
        <w:t>tion</w:t>
      </w:r>
      <w:r w:rsidR="00DB5EEB">
        <w:rPr>
          <w:sz w:val="24"/>
          <w:szCs w:val="24"/>
        </w:rPr>
        <w:t>, implying that to confer such protection law would in a sense be going in the wrong direction: stooping unduly low when it ought instead be striving to a higher normative level.</w:t>
      </w:r>
      <w:r w:rsidR="00005861">
        <w:rPr>
          <w:sz w:val="24"/>
          <w:szCs w:val="24"/>
        </w:rPr>
        <w:t xml:space="preserve"> </w:t>
      </w:r>
      <w:r w:rsidR="005E1F2D">
        <w:rPr>
          <w:sz w:val="24"/>
          <w:szCs w:val="24"/>
        </w:rPr>
        <w:t>A</w:t>
      </w:r>
      <w:r w:rsidR="00005861">
        <w:rPr>
          <w:sz w:val="24"/>
          <w:szCs w:val="24"/>
        </w:rPr>
        <w:t xml:space="preserve">s such </w:t>
      </w:r>
      <w:r w:rsidR="00005861">
        <w:rPr>
          <w:i/>
          <w:sz w:val="24"/>
          <w:szCs w:val="24"/>
        </w:rPr>
        <w:t xml:space="preserve">Howe </w:t>
      </w:r>
      <w:r w:rsidR="00005861">
        <w:rPr>
          <w:sz w:val="24"/>
          <w:szCs w:val="24"/>
        </w:rPr>
        <w:t xml:space="preserve">shares this quality with the other judgments considered so far in terms of how it achieves </w:t>
      </w:r>
      <w:r w:rsidR="005E1F2D">
        <w:rPr>
          <w:sz w:val="24"/>
          <w:szCs w:val="24"/>
        </w:rPr>
        <w:t>its persuasive effect</w:t>
      </w:r>
      <w:r w:rsidR="00005861" w:rsidRPr="001E0157">
        <w:rPr>
          <w:sz w:val="24"/>
          <w:szCs w:val="24"/>
        </w:rPr>
        <w:t>.</w:t>
      </w:r>
    </w:p>
    <w:p w14:paraId="3763A4AF" w14:textId="77777777" w:rsidR="009C28B0" w:rsidRPr="001E0157" w:rsidRDefault="009C28B0" w:rsidP="00210694">
      <w:pPr>
        <w:tabs>
          <w:tab w:val="left" w:pos="560"/>
          <w:tab w:val="left" w:pos="3828"/>
        </w:tabs>
        <w:spacing w:after="0" w:line="480" w:lineRule="auto"/>
        <w:rPr>
          <w:sz w:val="24"/>
          <w:szCs w:val="24"/>
        </w:rPr>
      </w:pPr>
    </w:p>
    <w:p w14:paraId="3BB4842E" w14:textId="11603A84" w:rsidR="004B689F" w:rsidRPr="001E0157" w:rsidRDefault="00D6574C" w:rsidP="005864BF">
      <w:pPr>
        <w:tabs>
          <w:tab w:val="left" w:pos="560"/>
          <w:tab w:val="left" w:pos="3828"/>
        </w:tabs>
        <w:spacing w:after="0" w:line="480" w:lineRule="auto"/>
        <w:rPr>
          <w:i/>
          <w:iCs/>
          <w:sz w:val="24"/>
          <w:szCs w:val="24"/>
        </w:rPr>
      </w:pPr>
      <w:r w:rsidRPr="001E0157">
        <w:rPr>
          <w:i/>
          <w:iCs/>
          <w:sz w:val="24"/>
          <w:szCs w:val="24"/>
        </w:rPr>
        <w:t>3</w:t>
      </w:r>
      <w:r w:rsidR="00A97164" w:rsidRPr="001E0157">
        <w:rPr>
          <w:i/>
          <w:iCs/>
          <w:sz w:val="24"/>
          <w:szCs w:val="24"/>
        </w:rPr>
        <w:t>.2. Retreating</w:t>
      </w:r>
      <w:r w:rsidR="00B40FD8" w:rsidRPr="001E0157">
        <w:rPr>
          <w:i/>
          <w:iCs/>
          <w:sz w:val="24"/>
          <w:szCs w:val="24"/>
        </w:rPr>
        <w:t xml:space="preserve"> from the objective</w:t>
      </w:r>
      <w:r w:rsidR="009C28B0">
        <w:rPr>
          <w:i/>
          <w:iCs/>
          <w:sz w:val="24"/>
          <w:szCs w:val="24"/>
        </w:rPr>
        <w:t xml:space="preserve"> but not from </w:t>
      </w:r>
      <w:r w:rsidR="005864BF">
        <w:rPr>
          <w:i/>
          <w:iCs/>
          <w:sz w:val="24"/>
          <w:szCs w:val="24"/>
        </w:rPr>
        <w:t>the encumbrance/escape metaphor</w:t>
      </w:r>
    </w:p>
    <w:p w14:paraId="173FA271" w14:textId="77777777" w:rsidR="004B689F" w:rsidRPr="001E0157" w:rsidRDefault="004B689F" w:rsidP="00210694">
      <w:pPr>
        <w:tabs>
          <w:tab w:val="left" w:pos="560"/>
          <w:tab w:val="left" w:pos="3828"/>
        </w:tabs>
        <w:spacing w:after="0" w:line="480" w:lineRule="auto"/>
        <w:rPr>
          <w:sz w:val="24"/>
          <w:szCs w:val="24"/>
        </w:rPr>
      </w:pPr>
    </w:p>
    <w:p w14:paraId="11C04CE6" w14:textId="142DE0A3" w:rsidR="009D1F15" w:rsidRDefault="00005B25" w:rsidP="003C7CFD">
      <w:pPr>
        <w:tabs>
          <w:tab w:val="left" w:pos="560"/>
          <w:tab w:val="left" w:pos="3828"/>
        </w:tabs>
        <w:spacing w:after="0" w:line="480" w:lineRule="auto"/>
        <w:rPr>
          <w:sz w:val="24"/>
          <w:szCs w:val="24"/>
        </w:rPr>
      </w:pPr>
      <w:r>
        <w:rPr>
          <w:sz w:val="24"/>
          <w:szCs w:val="24"/>
        </w:rPr>
        <w:t>E</w:t>
      </w:r>
      <w:r w:rsidR="005864BF">
        <w:rPr>
          <w:sz w:val="24"/>
          <w:szCs w:val="24"/>
        </w:rPr>
        <w:t>ncumbrance</w:t>
      </w:r>
      <w:r w:rsidR="00383A6A">
        <w:rPr>
          <w:sz w:val="24"/>
          <w:szCs w:val="24"/>
        </w:rPr>
        <w:t>/escape</w:t>
      </w:r>
      <w:r w:rsidR="00E25148" w:rsidRPr="001E0157">
        <w:rPr>
          <w:sz w:val="24"/>
          <w:szCs w:val="24"/>
        </w:rPr>
        <w:t xml:space="preserve"> </w:t>
      </w:r>
      <w:r>
        <w:rPr>
          <w:sz w:val="24"/>
          <w:szCs w:val="24"/>
        </w:rPr>
        <w:t>as the organising metaphor is</w:t>
      </w:r>
      <w:r w:rsidR="00BE5AB5">
        <w:rPr>
          <w:sz w:val="24"/>
          <w:szCs w:val="24"/>
        </w:rPr>
        <w:t xml:space="preserve"> not limited to </w:t>
      </w:r>
      <w:r>
        <w:rPr>
          <w:sz w:val="24"/>
          <w:szCs w:val="24"/>
        </w:rPr>
        <w:t>judgments</w:t>
      </w:r>
      <w:r w:rsidR="00BE5AB5">
        <w:rPr>
          <w:sz w:val="24"/>
          <w:szCs w:val="24"/>
        </w:rPr>
        <w:t xml:space="preserve"> favouring objective tests of culpability</w:t>
      </w:r>
      <w:r>
        <w:rPr>
          <w:sz w:val="24"/>
          <w:szCs w:val="24"/>
        </w:rPr>
        <w:t>;</w:t>
      </w:r>
      <w:r w:rsidR="009D1F15">
        <w:rPr>
          <w:sz w:val="24"/>
          <w:szCs w:val="24"/>
        </w:rPr>
        <w:t xml:space="preserve"> to the contrary </w:t>
      </w:r>
      <w:r>
        <w:rPr>
          <w:sz w:val="24"/>
          <w:szCs w:val="24"/>
        </w:rPr>
        <w:t xml:space="preserve">it observably </w:t>
      </w:r>
      <w:r w:rsidR="009D1F15">
        <w:rPr>
          <w:sz w:val="24"/>
          <w:szCs w:val="24"/>
        </w:rPr>
        <w:t>serve</w:t>
      </w:r>
      <w:r>
        <w:rPr>
          <w:sz w:val="24"/>
          <w:szCs w:val="24"/>
        </w:rPr>
        <w:t>s</w:t>
      </w:r>
      <w:r w:rsidR="009D1F15">
        <w:rPr>
          <w:sz w:val="24"/>
          <w:szCs w:val="24"/>
        </w:rPr>
        <w:t xml:space="preserve"> both objective and subjective approaches</w:t>
      </w:r>
      <w:r w:rsidR="00BE5AB5">
        <w:rPr>
          <w:sz w:val="24"/>
          <w:szCs w:val="24"/>
        </w:rPr>
        <w:t>.</w:t>
      </w:r>
      <w:r w:rsidR="00383A6A">
        <w:rPr>
          <w:sz w:val="24"/>
          <w:szCs w:val="24"/>
        </w:rPr>
        <w:t xml:space="preserve"> Consider </w:t>
      </w:r>
      <w:r w:rsidR="009D1F15">
        <w:rPr>
          <w:sz w:val="24"/>
          <w:szCs w:val="24"/>
        </w:rPr>
        <w:t>the two</w:t>
      </w:r>
      <w:r w:rsidR="00383A6A">
        <w:rPr>
          <w:sz w:val="24"/>
          <w:szCs w:val="24"/>
        </w:rPr>
        <w:t xml:space="preserve"> turning point</w:t>
      </w:r>
      <w:r w:rsidR="009D1F15">
        <w:rPr>
          <w:sz w:val="24"/>
          <w:szCs w:val="24"/>
        </w:rPr>
        <w:t>s so familiar to generations of students of English law and its history: the principle laid down</w:t>
      </w:r>
      <w:r w:rsidR="00BE5AB5">
        <w:rPr>
          <w:sz w:val="24"/>
          <w:szCs w:val="24"/>
        </w:rPr>
        <w:t xml:space="preserve"> in </w:t>
      </w:r>
      <w:r w:rsidR="00BE5AB5">
        <w:rPr>
          <w:i/>
          <w:iCs/>
          <w:sz w:val="24"/>
          <w:szCs w:val="24"/>
        </w:rPr>
        <w:t>Caldwell</w:t>
      </w:r>
      <w:r w:rsidR="0006467C" w:rsidRPr="004A6696">
        <w:rPr>
          <w:rStyle w:val="FootnoteReference"/>
        </w:rPr>
        <w:footnoteReference w:id="80"/>
      </w:r>
      <w:r w:rsidR="0006467C">
        <w:rPr>
          <w:i/>
          <w:iCs/>
          <w:sz w:val="24"/>
          <w:szCs w:val="24"/>
        </w:rPr>
        <w:t xml:space="preserve"> </w:t>
      </w:r>
      <w:r w:rsidR="009D1F15">
        <w:rPr>
          <w:sz w:val="24"/>
          <w:szCs w:val="24"/>
        </w:rPr>
        <w:t xml:space="preserve">that ‘recklessness’ for the purposes of criminal damage may mean </w:t>
      </w:r>
      <w:r w:rsidR="00BE5AB5">
        <w:rPr>
          <w:sz w:val="24"/>
          <w:szCs w:val="24"/>
        </w:rPr>
        <w:t xml:space="preserve">objectively reckless </w:t>
      </w:r>
      <w:r w:rsidR="00BE5AB5" w:rsidRPr="009D1F15">
        <w:rPr>
          <w:i/>
          <w:iCs/>
          <w:sz w:val="24"/>
          <w:szCs w:val="24"/>
        </w:rPr>
        <w:t>in</w:t>
      </w:r>
      <w:r w:rsidR="00BE5AB5">
        <w:rPr>
          <w:sz w:val="24"/>
          <w:szCs w:val="24"/>
        </w:rPr>
        <w:t>advertence</w:t>
      </w:r>
      <w:r>
        <w:rPr>
          <w:sz w:val="24"/>
          <w:szCs w:val="24"/>
        </w:rPr>
        <w:t xml:space="preserve"> as well as </w:t>
      </w:r>
      <w:r w:rsidR="003C7CFD">
        <w:rPr>
          <w:sz w:val="24"/>
          <w:szCs w:val="24"/>
        </w:rPr>
        <w:t>advertent risk-taking</w:t>
      </w:r>
      <w:r w:rsidR="009D1F15">
        <w:rPr>
          <w:sz w:val="24"/>
          <w:szCs w:val="24"/>
        </w:rPr>
        <w:t xml:space="preserve">, and the rejection of that principle </w:t>
      </w:r>
      <w:r w:rsidR="003C7CFD">
        <w:rPr>
          <w:sz w:val="24"/>
          <w:szCs w:val="24"/>
        </w:rPr>
        <w:t xml:space="preserve">in favour of the narrower ‘subjective’ formulation </w:t>
      </w:r>
      <w:r w:rsidR="00014EAC">
        <w:rPr>
          <w:sz w:val="24"/>
          <w:szCs w:val="24"/>
        </w:rPr>
        <w:t xml:space="preserve">some years later </w:t>
      </w:r>
      <w:r w:rsidR="009D1F15">
        <w:rPr>
          <w:sz w:val="24"/>
          <w:szCs w:val="24"/>
        </w:rPr>
        <w:t xml:space="preserve">in </w:t>
      </w:r>
      <w:r w:rsidR="009D1F15">
        <w:rPr>
          <w:i/>
          <w:iCs/>
          <w:sz w:val="24"/>
          <w:szCs w:val="24"/>
        </w:rPr>
        <w:t>G and another</w:t>
      </w:r>
      <w:r w:rsidR="00014EAC">
        <w:rPr>
          <w:i/>
          <w:iCs/>
          <w:sz w:val="24"/>
          <w:szCs w:val="24"/>
        </w:rPr>
        <w:t>.</w:t>
      </w:r>
      <w:r w:rsidR="00014EAC" w:rsidRPr="004A6696">
        <w:rPr>
          <w:rStyle w:val="FootnoteReference"/>
        </w:rPr>
        <w:footnoteReference w:id="81"/>
      </w:r>
      <w:r w:rsidR="0029474F" w:rsidRPr="001E0157">
        <w:rPr>
          <w:iCs/>
          <w:sz w:val="24"/>
          <w:szCs w:val="24"/>
        </w:rPr>
        <w:t xml:space="preserve"> </w:t>
      </w:r>
      <w:r w:rsidR="009D1F15">
        <w:rPr>
          <w:iCs/>
          <w:sz w:val="24"/>
          <w:szCs w:val="24"/>
        </w:rPr>
        <w:t>In the earlier</w:t>
      </w:r>
      <w:r w:rsidR="00383A6A">
        <w:rPr>
          <w:iCs/>
          <w:sz w:val="24"/>
          <w:szCs w:val="24"/>
        </w:rPr>
        <w:t xml:space="preserve"> case, </w:t>
      </w:r>
      <w:r w:rsidR="0029474F" w:rsidRPr="001E0157">
        <w:rPr>
          <w:iCs/>
          <w:sz w:val="24"/>
          <w:szCs w:val="24"/>
        </w:rPr>
        <w:t xml:space="preserve">Lord Diplock expressed his strong objection to </w:t>
      </w:r>
      <w:r w:rsidR="0029474F" w:rsidRPr="001E0157">
        <w:rPr>
          <w:sz w:val="24"/>
          <w:szCs w:val="24"/>
        </w:rPr>
        <w:t>the idea of</w:t>
      </w:r>
      <w:r w:rsidR="001B3385" w:rsidRPr="001E0157">
        <w:rPr>
          <w:sz w:val="24"/>
          <w:szCs w:val="24"/>
        </w:rPr>
        <w:t xml:space="preserve"> </w:t>
      </w:r>
      <w:r w:rsidR="00BE5AB5">
        <w:rPr>
          <w:sz w:val="24"/>
          <w:szCs w:val="24"/>
        </w:rPr>
        <w:t xml:space="preserve">juries </w:t>
      </w:r>
      <w:r w:rsidR="0029474F" w:rsidRPr="001E0157">
        <w:rPr>
          <w:sz w:val="24"/>
          <w:szCs w:val="24"/>
        </w:rPr>
        <w:t>having to take</w:t>
      </w:r>
      <w:r w:rsidR="00DD26FD" w:rsidRPr="001E0157">
        <w:rPr>
          <w:sz w:val="24"/>
          <w:szCs w:val="24"/>
        </w:rPr>
        <w:t xml:space="preserve"> into account </w:t>
      </w:r>
      <w:r w:rsidR="001B3385" w:rsidRPr="001E0157">
        <w:rPr>
          <w:sz w:val="24"/>
          <w:szCs w:val="24"/>
        </w:rPr>
        <w:t xml:space="preserve">the </w:t>
      </w:r>
      <w:r w:rsidR="0029474F" w:rsidRPr="001E0157">
        <w:rPr>
          <w:sz w:val="24"/>
          <w:szCs w:val="24"/>
        </w:rPr>
        <w:t>inner thoughts o</w:t>
      </w:r>
      <w:r w:rsidR="001B3385" w:rsidRPr="001E0157">
        <w:rPr>
          <w:sz w:val="24"/>
          <w:szCs w:val="24"/>
        </w:rPr>
        <w:t>f a person who at th</w:t>
      </w:r>
      <w:r w:rsidR="00177263">
        <w:rPr>
          <w:sz w:val="24"/>
          <w:szCs w:val="24"/>
        </w:rPr>
        <w:t>e relevant time was gripped by ‘</w:t>
      </w:r>
      <w:r w:rsidR="001B3385" w:rsidRPr="001E0157">
        <w:rPr>
          <w:sz w:val="24"/>
          <w:szCs w:val="24"/>
        </w:rPr>
        <w:t>rage or excitement [o</w:t>
      </w:r>
      <w:r w:rsidR="00177263">
        <w:rPr>
          <w:sz w:val="24"/>
          <w:szCs w:val="24"/>
        </w:rPr>
        <w:t>r] under the influence of drink’</w:t>
      </w:r>
      <w:r w:rsidR="00BE5AB5">
        <w:rPr>
          <w:sz w:val="24"/>
          <w:szCs w:val="24"/>
        </w:rPr>
        <w:t>.</w:t>
      </w:r>
      <w:r w:rsidR="00BE5AB5" w:rsidRPr="004A6696">
        <w:rPr>
          <w:rStyle w:val="FootnoteReference"/>
        </w:rPr>
        <w:footnoteReference w:id="82"/>
      </w:r>
      <w:r w:rsidR="001B3385" w:rsidRPr="001E0157">
        <w:rPr>
          <w:sz w:val="24"/>
          <w:szCs w:val="24"/>
        </w:rPr>
        <w:t xml:space="preserve"> </w:t>
      </w:r>
      <w:r w:rsidR="001E530C" w:rsidRPr="001E0157">
        <w:rPr>
          <w:sz w:val="24"/>
          <w:szCs w:val="24"/>
        </w:rPr>
        <w:t>T</w:t>
      </w:r>
      <w:r w:rsidR="00383A6A">
        <w:rPr>
          <w:sz w:val="24"/>
          <w:szCs w:val="24"/>
        </w:rPr>
        <w:t xml:space="preserve">he </w:t>
      </w:r>
      <w:r w:rsidR="00826F60" w:rsidRPr="001E0157">
        <w:rPr>
          <w:sz w:val="24"/>
          <w:szCs w:val="24"/>
        </w:rPr>
        <w:t>grip of those forces strongly evokes the conditions reserved for the Wr</w:t>
      </w:r>
      <w:r w:rsidR="001E530C" w:rsidRPr="001E0157">
        <w:rPr>
          <w:sz w:val="24"/>
          <w:szCs w:val="24"/>
        </w:rPr>
        <w:t xml:space="preserve">athful </w:t>
      </w:r>
      <w:r w:rsidR="00826F60" w:rsidRPr="001E0157">
        <w:rPr>
          <w:sz w:val="24"/>
          <w:szCs w:val="24"/>
        </w:rPr>
        <w:t xml:space="preserve">in Dante’s </w:t>
      </w:r>
      <w:r w:rsidR="00BE5AB5">
        <w:rPr>
          <w:sz w:val="24"/>
          <w:szCs w:val="24"/>
        </w:rPr>
        <w:t>Pur</w:t>
      </w:r>
      <w:r w:rsidR="009D7181" w:rsidRPr="001E0157">
        <w:rPr>
          <w:sz w:val="24"/>
          <w:szCs w:val="24"/>
        </w:rPr>
        <w:t>g</w:t>
      </w:r>
      <w:r w:rsidR="00BE5AB5">
        <w:rPr>
          <w:sz w:val="24"/>
          <w:szCs w:val="24"/>
        </w:rPr>
        <w:t>a</w:t>
      </w:r>
      <w:r w:rsidR="009D7181" w:rsidRPr="001E0157">
        <w:rPr>
          <w:sz w:val="24"/>
          <w:szCs w:val="24"/>
        </w:rPr>
        <w:t>tory</w:t>
      </w:r>
      <w:r w:rsidR="00826F60" w:rsidRPr="001E0157">
        <w:rPr>
          <w:sz w:val="24"/>
          <w:szCs w:val="24"/>
        </w:rPr>
        <w:t xml:space="preserve">, </w:t>
      </w:r>
      <w:r w:rsidR="001E530C" w:rsidRPr="001E0157">
        <w:rPr>
          <w:sz w:val="24"/>
          <w:szCs w:val="24"/>
        </w:rPr>
        <w:t>who are continually</w:t>
      </w:r>
      <w:r w:rsidR="00826F60" w:rsidRPr="001E0157">
        <w:rPr>
          <w:sz w:val="24"/>
          <w:szCs w:val="24"/>
        </w:rPr>
        <w:t xml:space="preserve"> overwhelmed </w:t>
      </w:r>
      <w:r w:rsidR="00BE5AB5">
        <w:rPr>
          <w:sz w:val="24"/>
          <w:szCs w:val="24"/>
        </w:rPr>
        <w:t>at the foot of that</w:t>
      </w:r>
      <w:r w:rsidR="001E530C" w:rsidRPr="001E0157">
        <w:rPr>
          <w:sz w:val="24"/>
          <w:szCs w:val="24"/>
        </w:rPr>
        <w:t xml:space="preserve"> mountain </w:t>
      </w:r>
      <w:r w:rsidR="00826F60" w:rsidRPr="001E0157">
        <w:rPr>
          <w:sz w:val="24"/>
          <w:szCs w:val="24"/>
        </w:rPr>
        <w:t>by</w:t>
      </w:r>
      <w:r w:rsidR="00AA2C57" w:rsidRPr="001E0157">
        <w:rPr>
          <w:sz w:val="24"/>
          <w:szCs w:val="24"/>
        </w:rPr>
        <w:t xml:space="preserve"> ‘harsh and stinging… smoke … </w:t>
      </w:r>
      <w:r w:rsidR="00826F60" w:rsidRPr="001E0157">
        <w:rPr>
          <w:sz w:val="24"/>
          <w:szCs w:val="24"/>
        </w:rPr>
        <w:t xml:space="preserve">and </w:t>
      </w:r>
      <w:r w:rsidR="00AA2C57" w:rsidRPr="001E0157">
        <w:rPr>
          <w:sz w:val="24"/>
          <w:szCs w:val="24"/>
        </w:rPr>
        <w:t>totally ob</w:t>
      </w:r>
      <w:r w:rsidR="005F4C18" w:rsidRPr="001E0157">
        <w:rPr>
          <w:sz w:val="24"/>
          <w:szCs w:val="24"/>
        </w:rPr>
        <w:t xml:space="preserve">scured by dark, dense </w:t>
      </w:r>
      <w:r w:rsidR="005F4C18" w:rsidRPr="001E0157">
        <w:rPr>
          <w:sz w:val="24"/>
          <w:szCs w:val="24"/>
        </w:rPr>
        <w:lastRenderedPageBreak/>
        <w:t>clouds.’</w:t>
      </w:r>
      <w:r w:rsidR="005F4C18" w:rsidRPr="004A6696">
        <w:rPr>
          <w:rStyle w:val="FootnoteReference"/>
        </w:rPr>
        <w:footnoteReference w:id="83"/>
      </w:r>
      <w:r w:rsidR="001B3385" w:rsidRPr="001E0157">
        <w:rPr>
          <w:sz w:val="24"/>
          <w:szCs w:val="24"/>
        </w:rPr>
        <w:t xml:space="preserve"> </w:t>
      </w:r>
      <w:r w:rsidR="001E530C" w:rsidRPr="001E0157">
        <w:rPr>
          <w:sz w:val="24"/>
          <w:szCs w:val="24"/>
        </w:rPr>
        <w:t xml:space="preserve">Like the Pilgrim </w:t>
      </w:r>
      <w:r w:rsidR="00437CD2">
        <w:rPr>
          <w:sz w:val="24"/>
          <w:szCs w:val="24"/>
        </w:rPr>
        <w:t xml:space="preserve">narrator </w:t>
      </w:r>
      <w:r w:rsidR="001E530C" w:rsidRPr="001E0157">
        <w:rPr>
          <w:sz w:val="24"/>
          <w:szCs w:val="24"/>
        </w:rPr>
        <w:t xml:space="preserve">of </w:t>
      </w:r>
      <w:r w:rsidR="001E530C" w:rsidRPr="001E0157">
        <w:rPr>
          <w:i/>
          <w:iCs/>
          <w:sz w:val="24"/>
          <w:szCs w:val="24"/>
        </w:rPr>
        <w:t>The Divine Comedy</w:t>
      </w:r>
      <w:r w:rsidR="001E530C" w:rsidRPr="001E0157">
        <w:rPr>
          <w:sz w:val="24"/>
          <w:szCs w:val="24"/>
        </w:rPr>
        <w:t>, Lord Diplock</w:t>
      </w:r>
      <w:r w:rsidR="00572135" w:rsidRPr="001E0157">
        <w:rPr>
          <w:sz w:val="24"/>
          <w:szCs w:val="24"/>
        </w:rPr>
        <w:t>’s words</w:t>
      </w:r>
      <w:r w:rsidR="001E530C" w:rsidRPr="001E0157">
        <w:rPr>
          <w:sz w:val="24"/>
          <w:szCs w:val="24"/>
        </w:rPr>
        <w:t xml:space="preserve"> </w:t>
      </w:r>
      <w:r w:rsidR="00572135" w:rsidRPr="001E0157">
        <w:rPr>
          <w:sz w:val="24"/>
          <w:szCs w:val="24"/>
        </w:rPr>
        <w:t>invoke</w:t>
      </w:r>
      <w:r w:rsidR="001E530C" w:rsidRPr="001E0157">
        <w:rPr>
          <w:sz w:val="24"/>
          <w:szCs w:val="24"/>
        </w:rPr>
        <w:t xml:space="preserve"> this sense of the malefactor being held down in the grip of blinding forces in order to emphasise the necessity for rising up and out of them</w:t>
      </w:r>
      <w:r w:rsidR="0055713C" w:rsidRPr="001E0157">
        <w:rPr>
          <w:sz w:val="24"/>
          <w:szCs w:val="24"/>
        </w:rPr>
        <w:t>, as the Pilgrim duly does</w:t>
      </w:r>
      <w:r w:rsidR="004514A4">
        <w:rPr>
          <w:sz w:val="24"/>
          <w:szCs w:val="24"/>
        </w:rPr>
        <w:t xml:space="preserve">. </w:t>
      </w:r>
    </w:p>
    <w:p w14:paraId="1C5B96DE" w14:textId="4C3EFE3E" w:rsidR="007866FD" w:rsidRPr="001E0157" w:rsidRDefault="009D1F15" w:rsidP="003C7CFD">
      <w:pPr>
        <w:tabs>
          <w:tab w:val="left" w:pos="560"/>
          <w:tab w:val="left" w:pos="3828"/>
        </w:tabs>
        <w:spacing w:after="0" w:line="480" w:lineRule="auto"/>
        <w:rPr>
          <w:sz w:val="24"/>
          <w:szCs w:val="24"/>
        </w:rPr>
      </w:pPr>
      <w:r>
        <w:rPr>
          <w:sz w:val="24"/>
          <w:szCs w:val="24"/>
        </w:rPr>
        <w:tab/>
      </w:r>
      <w:r w:rsidR="004514A4">
        <w:rPr>
          <w:sz w:val="24"/>
          <w:szCs w:val="24"/>
        </w:rPr>
        <w:t xml:space="preserve">A generation after </w:t>
      </w:r>
      <w:r w:rsidR="004514A4">
        <w:rPr>
          <w:i/>
          <w:iCs/>
          <w:sz w:val="24"/>
          <w:szCs w:val="24"/>
        </w:rPr>
        <w:t>Caldwell</w:t>
      </w:r>
      <w:r w:rsidR="00437CD2">
        <w:rPr>
          <w:sz w:val="24"/>
          <w:szCs w:val="24"/>
        </w:rPr>
        <w:t>, as is well-</w:t>
      </w:r>
      <w:r w:rsidR="001E530C" w:rsidRPr="001E0157">
        <w:rPr>
          <w:sz w:val="24"/>
          <w:szCs w:val="24"/>
        </w:rPr>
        <w:t xml:space="preserve">known, </w:t>
      </w:r>
      <w:r w:rsidR="00E25148" w:rsidRPr="001E0157">
        <w:rPr>
          <w:sz w:val="24"/>
          <w:szCs w:val="24"/>
        </w:rPr>
        <w:t xml:space="preserve">objective recklessness </w:t>
      </w:r>
      <w:r w:rsidR="001E530C" w:rsidRPr="001E0157">
        <w:rPr>
          <w:sz w:val="24"/>
          <w:szCs w:val="24"/>
        </w:rPr>
        <w:t xml:space="preserve">had </w:t>
      </w:r>
      <w:r w:rsidR="00BE5AB5">
        <w:rPr>
          <w:sz w:val="24"/>
          <w:szCs w:val="24"/>
        </w:rPr>
        <w:t xml:space="preserve">somewhat </w:t>
      </w:r>
      <w:r w:rsidR="00E25148" w:rsidRPr="001E0157">
        <w:rPr>
          <w:sz w:val="24"/>
          <w:szCs w:val="24"/>
        </w:rPr>
        <w:t xml:space="preserve">fallen out of favour </w:t>
      </w:r>
      <w:r w:rsidR="001E530C" w:rsidRPr="001E0157">
        <w:rPr>
          <w:sz w:val="24"/>
          <w:szCs w:val="24"/>
        </w:rPr>
        <w:t xml:space="preserve">and </w:t>
      </w:r>
      <w:r w:rsidR="00E25148" w:rsidRPr="001E0157">
        <w:rPr>
          <w:sz w:val="24"/>
          <w:szCs w:val="24"/>
        </w:rPr>
        <w:t xml:space="preserve">so </w:t>
      </w:r>
      <w:r w:rsidR="001E530C" w:rsidRPr="001E0157">
        <w:rPr>
          <w:sz w:val="24"/>
          <w:szCs w:val="24"/>
        </w:rPr>
        <w:t xml:space="preserve">in </w:t>
      </w:r>
      <w:r w:rsidR="001B3385" w:rsidRPr="001E0157">
        <w:rPr>
          <w:i/>
          <w:iCs/>
          <w:sz w:val="24"/>
          <w:szCs w:val="24"/>
        </w:rPr>
        <w:t>R v G and another</w:t>
      </w:r>
      <w:r w:rsidR="00FE1652" w:rsidRPr="001E0157">
        <w:rPr>
          <w:i/>
          <w:iCs/>
          <w:sz w:val="24"/>
          <w:szCs w:val="24"/>
        </w:rPr>
        <w:t xml:space="preserve"> </w:t>
      </w:r>
      <w:r w:rsidR="00572135" w:rsidRPr="001E0157">
        <w:rPr>
          <w:sz w:val="24"/>
          <w:szCs w:val="24"/>
        </w:rPr>
        <w:t xml:space="preserve">the House of Lords </w:t>
      </w:r>
      <w:r w:rsidR="000D7809" w:rsidRPr="001E0157">
        <w:rPr>
          <w:sz w:val="24"/>
          <w:szCs w:val="24"/>
        </w:rPr>
        <w:t>confirmed that</w:t>
      </w:r>
      <w:r>
        <w:rPr>
          <w:sz w:val="24"/>
          <w:szCs w:val="24"/>
        </w:rPr>
        <w:t xml:space="preserve"> </w:t>
      </w:r>
      <w:r w:rsidR="00437CD2">
        <w:rPr>
          <w:sz w:val="24"/>
          <w:szCs w:val="24"/>
        </w:rPr>
        <w:t xml:space="preserve">in order to find that a defendant was </w:t>
      </w:r>
      <w:r>
        <w:rPr>
          <w:sz w:val="24"/>
          <w:szCs w:val="24"/>
        </w:rPr>
        <w:t>reckless</w:t>
      </w:r>
      <w:r w:rsidR="00437CD2">
        <w:rPr>
          <w:sz w:val="24"/>
          <w:szCs w:val="24"/>
        </w:rPr>
        <w:t>, it would be necessary that it be proved that he</w:t>
      </w:r>
      <w:r>
        <w:rPr>
          <w:sz w:val="24"/>
          <w:szCs w:val="24"/>
        </w:rPr>
        <w:t xml:space="preserve"> </w:t>
      </w:r>
      <w:r>
        <w:rPr>
          <w:i/>
          <w:iCs/>
          <w:sz w:val="24"/>
          <w:szCs w:val="24"/>
        </w:rPr>
        <w:t>ad</w:t>
      </w:r>
      <w:r>
        <w:rPr>
          <w:sz w:val="24"/>
          <w:szCs w:val="24"/>
        </w:rPr>
        <w:t>vertent</w:t>
      </w:r>
      <w:r w:rsidR="00437CD2">
        <w:rPr>
          <w:sz w:val="24"/>
          <w:szCs w:val="24"/>
        </w:rPr>
        <w:t>ly</w:t>
      </w:r>
      <w:r>
        <w:rPr>
          <w:sz w:val="24"/>
          <w:szCs w:val="24"/>
        </w:rPr>
        <w:t xml:space="preserve"> r</w:t>
      </w:r>
      <w:r w:rsidR="00437CD2">
        <w:rPr>
          <w:sz w:val="24"/>
          <w:szCs w:val="24"/>
        </w:rPr>
        <w:t xml:space="preserve">an </w:t>
      </w:r>
      <w:r>
        <w:rPr>
          <w:sz w:val="24"/>
          <w:szCs w:val="24"/>
        </w:rPr>
        <w:t xml:space="preserve">an unjustifiable risk. In this case there is some </w:t>
      </w:r>
      <w:r w:rsidR="00437CD2">
        <w:rPr>
          <w:sz w:val="24"/>
          <w:szCs w:val="24"/>
        </w:rPr>
        <w:t xml:space="preserve">room for </w:t>
      </w:r>
      <w:r>
        <w:rPr>
          <w:sz w:val="24"/>
          <w:szCs w:val="24"/>
        </w:rPr>
        <w:t xml:space="preserve">contestation </w:t>
      </w:r>
      <w:r w:rsidR="00014EAC">
        <w:rPr>
          <w:sz w:val="24"/>
          <w:szCs w:val="24"/>
        </w:rPr>
        <w:t>as regards</w:t>
      </w:r>
      <w:r>
        <w:rPr>
          <w:sz w:val="24"/>
          <w:szCs w:val="24"/>
        </w:rPr>
        <w:t xml:space="preserve"> </w:t>
      </w:r>
      <w:r w:rsidR="00014EAC">
        <w:rPr>
          <w:sz w:val="24"/>
          <w:szCs w:val="24"/>
        </w:rPr>
        <w:t xml:space="preserve">whether </w:t>
      </w:r>
      <w:r>
        <w:rPr>
          <w:sz w:val="24"/>
          <w:szCs w:val="24"/>
        </w:rPr>
        <w:t>the governing metaphor</w:t>
      </w:r>
      <w:r w:rsidR="00014EAC">
        <w:rPr>
          <w:sz w:val="24"/>
          <w:szCs w:val="24"/>
        </w:rPr>
        <w:t xml:space="preserve"> is encumbrance/escape or something else</w:t>
      </w:r>
      <w:r w:rsidR="00437CD2">
        <w:rPr>
          <w:sz w:val="24"/>
          <w:szCs w:val="24"/>
        </w:rPr>
        <w:t>, but that contestation ultimately resolves in favour of encumbrance/escape</w:t>
      </w:r>
      <w:r w:rsidR="00014EAC">
        <w:rPr>
          <w:sz w:val="24"/>
          <w:szCs w:val="24"/>
        </w:rPr>
        <w:t>.</w:t>
      </w:r>
      <w:r w:rsidR="000D7809" w:rsidRPr="001E0157">
        <w:rPr>
          <w:sz w:val="24"/>
          <w:szCs w:val="24"/>
        </w:rPr>
        <w:t xml:space="preserve"> </w:t>
      </w:r>
      <w:r>
        <w:rPr>
          <w:sz w:val="24"/>
          <w:szCs w:val="24"/>
        </w:rPr>
        <w:t>Lord Steyn</w:t>
      </w:r>
      <w:r w:rsidR="00014EAC">
        <w:rPr>
          <w:sz w:val="24"/>
          <w:szCs w:val="24"/>
        </w:rPr>
        <w:t xml:space="preserve"> makes the</w:t>
      </w:r>
      <w:r>
        <w:rPr>
          <w:sz w:val="24"/>
          <w:szCs w:val="24"/>
        </w:rPr>
        <w:t xml:space="preserve"> observ</w:t>
      </w:r>
      <w:r w:rsidR="00014EAC">
        <w:rPr>
          <w:sz w:val="24"/>
          <w:szCs w:val="24"/>
        </w:rPr>
        <w:t>ation</w:t>
      </w:r>
      <w:r>
        <w:rPr>
          <w:sz w:val="24"/>
          <w:szCs w:val="24"/>
        </w:rPr>
        <w:t xml:space="preserve"> that the </w:t>
      </w:r>
      <w:r>
        <w:rPr>
          <w:i/>
          <w:iCs/>
          <w:sz w:val="24"/>
          <w:szCs w:val="24"/>
        </w:rPr>
        <w:t>Caldwell</w:t>
      </w:r>
      <w:r>
        <w:rPr>
          <w:sz w:val="24"/>
          <w:szCs w:val="24"/>
        </w:rPr>
        <w:t xml:space="preserve"> </w:t>
      </w:r>
      <w:r w:rsidR="000D7809" w:rsidRPr="001E0157">
        <w:rPr>
          <w:sz w:val="24"/>
          <w:szCs w:val="24"/>
        </w:rPr>
        <w:t>structure</w:t>
      </w:r>
      <w:r w:rsidR="00FE1652" w:rsidRPr="001E0157">
        <w:rPr>
          <w:sz w:val="24"/>
          <w:szCs w:val="24"/>
        </w:rPr>
        <w:t xml:space="preserve"> </w:t>
      </w:r>
      <w:r w:rsidR="000D7809" w:rsidRPr="001E0157">
        <w:rPr>
          <w:sz w:val="24"/>
          <w:szCs w:val="24"/>
        </w:rPr>
        <w:t>had, all along, been built on ‘fragile foundations’</w:t>
      </w:r>
      <w:r w:rsidR="00014EAC">
        <w:rPr>
          <w:sz w:val="24"/>
          <w:szCs w:val="24"/>
        </w:rPr>
        <w:t>,</w:t>
      </w:r>
      <w:r w:rsidR="000D7809" w:rsidRPr="004A6696">
        <w:rPr>
          <w:rStyle w:val="FootnoteReference"/>
        </w:rPr>
        <w:footnoteReference w:id="84"/>
      </w:r>
      <w:r w:rsidR="003D15CB" w:rsidRPr="001E0157">
        <w:rPr>
          <w:sz w:val="24"/>
          <w:szCs w:val="24"/>
        </w:rPr>
        <w:t xml:space="preserve"> </w:t>
      </w:r>
      <w:r>
        <w:rPr>
          <w:sz w:val="24"/>
          <w:szCs w:val="24"/>
        </w:rPr>
        <w:t xml:space="preserve">thus engaging </w:t>
      </w:r>
      <w:r w:rsidR="00572135" w:rsidRPr="001E0157">
        <w:rPr>
          <w:sz w:val="24"/>
          <w:szCs w:val="24"/>
        </w:rPr>
        <w:t>the ‘building’ met</w:t>
      </w:r>
      <w:r w:rsidR="0055713C" w:rsidRPr="001E0157">
        <w:rPr>
          <w:sz w:val="24"/>
          <w:szCs w:val="24"/>
        </w:rPr>
        <w:t xml:space="preserve">aphor. </w:t>
      </w:r>
      <w:r w:rsidR="00014EAC">
        <w:rPr>
          <w:sz w:val="24"/>
          <w:szCs w:val="24"/>
        </w:rPr>
        <w:t xml:space="preserve">The speech generally regarded as the more authoritative in </w:t>
      </w:r>
      <w:r w:rsidR="00014EAC">
        <w:rPr>
          <w:i/>
          <w:iCs/>
          <w:sz w:val="24"/>
          <w:szCs w:val="24"/>
        </w:rPr>
        <w:t>G and another</w:t>
      </w:r>
      <w:r w:rsidR="00437CD2">
        <w:rPr>
          <w:sz w:val="24"/>
          <w:szCs w:val="24"/>
        </w:rPr>
        <w:t xml:space="preserve"> however i</w:t>
      </w:r>
      <w:r w:rsidR="00014EAC">
        <w:rPr>
          <w:sz w:val="24"/>
          <w:szCs w:val="24"/>
        </w:rPr>
        <w:t xml:space="preserve">s Lord Bingham’s, who stated that </w:t>
      </w:r>
      <w:r w:rsidR="001B3385" w:rsidRPr="001E0157">
        <w:rPr>
          <w:sz w:val="24"/>
          <w:szCs w:val="24"/>
        </w:rPr>
        <w:t>treating as culpable recklessness any inadvertence to an ‘obvious risk’</w:t>
      </w:r>
      <w:r w:rsidR="00C61F9A" w:rsidRPr="001E0157">
        <w:rPr>
          <w:sz w:val="24"/>
          <w:szCs w:val="24"/>
        </w:rPr>
        <w:t xml:space="preserve"> was itself an </w:t>
      </w:r>
      <w:r w:rsidR="001B3385" w:rsidRPr="001E0157">
        <w:rPr>
          <w:sz w:val="24"/>
          <w:szCs w:val="24"/>
        </w:rPr>
        <w:t>‘</w:t>
      </w:r>
      <w:r w:rsidR="008C3EAE" w:rsidRPr="001E0157">
        <w:rPr>
          <w:sz w:val="24"/>
          <w:szCs w:val="24"/>
        </w:rPr>
        <w:t>obvious unfairness’</w:t>
      </w:r>
      <w:r w:rsidR="00C61F9A" w:rsidRPr="001E0157">
        <w:rPr>
          <w:sz w:val="24"/>
          <w:szCs w:val="24"/>
        </w:rPr>
        <w:t>.</w:t>
      </w:r>
      <w:r w:rsidR="008C3EAE" w:rsidRPr="004A6696">
        <w:rPr>
          <w:rStyle w:val="FootnoteReference"/>
        </w:rPr>
        <w:footnoteReference w:id="85"/>
      </w:r>
      <w:r w:rsidR="001B3385" w:rsidRPr="001E0157">
        <w:rPr>
          <w:sz w:val="24"/>
          <w:szCs w:val="24"/>
        </w:rPr>
        <w:t xml:space="preserve"> </w:t>
      </w:r>
      <w:r w:rsidR="00C61F9A" w:rsidRPr="001E0157">
        <w:rPr>
          <w:sz w:val="24"/>
          <w:szCs w:val="24"/>
        </w:rPr>
        <w:t xml:space="preserve">Lord Bingham’s </w:t>
      </w:r>
      <w:r w:rsidR="001B3385" w:rsidRPr="001E0157">
        <w:rPr>
          <w:sz w:val="24"/>
          <w:szCs w:val="24"/>
        </w:rPr>
        <w:t>use of the word ‘obvious’</w:t>
      </w:r>
      <w:r w:rsidR="008C3EAE" w:rsidRPr="001E0157">
        <w:rPr>
          <w:sz w:val="24"/>
          <w:szCs w:val="24"/>
        </w:rPr>
        <w:t xml:space="preserve"> (which itself mirrors L</w:t>
      </w:r>
      <w:r w:rsidR="001B3385" w:rsidRPr="001E0157">
        <w:rPr>
          <w:sz w:val="24"/>
          <w:szCs w:val="24"/>
        </w:rPr>
        <w:t>ord Diplock</w:t>
      </w:r>
      <w:r w:rsidR="008C3EAE" w:rsidRPr="001E0157">
        <w:rPr>
          <w:sz w:val="24"/>
          <w:szCs w:val="24"/>
        </w:rPr>
        <w:t>’s</w:t>
      </w:r>
      <w:r w:rsidR="00437CD2">
        <w:rPr>
          <w:sz w:val="24"/>
          <w:szCs w:val="24"/>
        </w:rPr>
        <w:t xml:space="preserve"> earlier use</w:t>
      </w:r>
      <w:r w:rsidR="008C3EAE" w:rsidRPr="001E0157">
        <w:rPr>
          <w:sz w:val="24"/>
          <w:szCs w:val="24"/>
        </w:rPr>
        <w:t>), is telling for our investigation</w:t>
      </w:r>
      <w:r w:rsidR="00014EAC">
        <w:rPr>
          <w:sz w:val="24"/>
          <w:szCs w:val="24"/>
        </w:rPr>
        <w:t xml:space="preserve">. </w:t>
      </w:r>
      <w:r w:rsidR="008C3EAE" w:rsidRPr="001E0157">
        <w:rPr>
          <w:sz w:val="24"/>
          <w:szCs w:val="24"/>
        </w:rPr>
        <w:t>T</w:t>
      </w:r>
      <w:r w:rsidR="001B3385" w:rsidRPr="001E0157">
        <w:rPr>
          <w:sz w:val="24"/>
          <w:szCs w:val="24"/>
        </w:rPr>
        <w:t xml:space="preserve">he word means ‘clear path’ or ‘clear view of the </w:t>
      </w:r>
      <w:r w:rsidR="003B7834">
        <w:rPr>
          <w:sz w:val="24"/>
          <w:szCs w:val="24"/>
        </w:rPr>
        <w:t>way’, and this</w:t>
      </w:r>
      <w:r w:rsidR="001B3385" w:rsidRPr="001E0157">
        <w:rPr>
          <w:sz w:val="24"/>
          <w:szCs w:val="24"/>
        </w:rPr>
        <w:t xml:space="preserve"> reaffirms the appropriateness of conceiving law (and the right formulation of a particular legal principle) in terms of </w:t>
      </w:r>
      <w:r w:rsidR="00153660" w:rsidRPr="001E0157">
        <w:rPr>
          <w:sz w:val="24"/>
          <w:szCs w:val="24"/>
        </w:rPr>
        <w:t>a place</w:t>
      </w:r>
      <w:r w:rsidR="001B3385" w:rsidRPr="001E0157">
        <w:rPr>
          <w:sz w:val="24"/>
          <w:szCs w:val="24"/>
        </w:rPr>
        <w:t xml:space="preserve"> from which </w:t>
      </w:r>
      <w:r w:rsidR="00153660" w:rsidRPr="001E0157">
        <w:rPr>
          <w:sz w:val="24"/>
          <w:szCs w:val="24"/>
        </w:rPr>
        <w:t>such a view is possible.</w:t>
      </w:r>
      <w:r w:rsidR="00E25148" w:rsidRPr="001E0157">
        <w:rPr>
          <w:sz w:val="24"/>
          <w:szCs w:val="24"/>
        </w:rPr>
        <w:t xml:space="preserve"> </w:t>
      </w:r>
      <w:r w:rsidR="004514A4">
        <w:rPr>
          <w:sz w:val="24"/>
          <w:szCs w:val="24"/>
        </w:rPr>
        <w:t>Following the logic of such a metaphor inevitably leads us to think of what is necessary to attain that view, and hence (again) to notions of freeing oneself from confines and obstacles that might otherwise surround us, perhaps by ascend</w:t>
      </w:r>
      <w:r w:rsidR="00A77BC2">
        <w:rPr>
          <w:sz w:val="24"/>
          <w:szCs w:val="24"/>
        </w:rPr>
        <w:t>ing</w:t>
      </w:r>
      <w:r w:rsidR="004514A4">
        <w:rPr>
          <w:sz w:val="24"/>
          <w:szCs w:val="24"/>
        </w:rPr>
        <w:t xml:space="preserve"> to higher ground</w:t>
      </w:r>
      <w:r w:rsidR="00535493" w:rsidRPr="001E0157">
        <w:rPr>
          <w:sz w:val="24"/>
          <w:szCs w:val="24"/>
        </w:rPr>
        <w:t>.</w:t>
      </w:r>
      <w:r w:rsidR="00014EAC">
        <w:rPr>
          <w:sz w:val="24"/>
          <w:szCs w:val="24"/>
        </w:rPr>
        <w:t xml:space="preserve"> This does not contradict the </w:t>
      </w:r>
      <w:r w:rsidR="00014EAC">
        <w:rPr>
          <w:sz w:val="24"/>
          <w:szCs w:val="24"/>
        </w:rPr>
        <w:lastRenderedPageBreak/>
        <w:t>metaphor of a building (which may be the means by which that higher ground is reached), but emphasis on achieving a clear line of sight confirms that it is this sense of an escape from obstructions and obscuratio</w:t>
      </w:r>
      <w:r w:rsidR="003C7CFD">
        <w:rPr>
          <w:sz w:val="24"/>
          <w:szCs w:val="24"/>
        </w:rPr>
        <w:t>ns that is key to the success of the judgment as a piece of moral rhetoric</w:t>
      </w:r>
      <w:r w:rsidR="00014EAC">
        <w:rPr>
          <w:sz w:val="24"/>
          <w:szCs w:val="24"/>
        </w:rPr>
        <w:t>.</w:t>
      </w:r>
    </w:p>
    <w:p w14:paraId="1BA283A6" w14:textId="70AE42CF" w:rsidR="0077566A" w:rsidRPr="00B13D1A" w:rsidRDefault="007866FD" w:rsidP="00210694">
      <w:pPr>
        <w:tabs>
          <w:tab w:val="left" w:pos="560"/>
          <w:tab w:val="left" w:pos="3828"/>
        </w:tabs>
        <w:spacing w:after="0" w:line="480" w:lineRule="auto"/>
        <w:rPr>
          <w:sz w:val="24"/>
          <w:szCs w:val="24"/>
        </w:rPr>
      </w:pPr>
      <w:r w:rsidRPr="001E0157">
        <w:rPr>
          <w:sz w:val="24"/>
          <w:szCs w:val="24"/>
        </w:rPr>
        <w:tab/>
      </w:r>
    </w:p>
    <w:p w14:paraId="4A2DCBB8" w14:textId="19ED921A" w:rsidR="00B13D1A" w:rsidRPr="00005861" w:rsidRDefault="00355C3D" w:rsidP="00B13D1A">
      <w:pPr>
        <w:tabs>
          <w:tab w:val="left" w:pos="560"/>
          <w:tab w:val="left" w:pos="3828"/>
        </w:tabs>
        <w:spacing w:after="0" w:line="480" w:lineRule="auto"/>
        <w:rPr>
          <w:i/>
          <w:sz w:val="24"/>
          <w:szCs w:val="24"/>
        </w:rPr>
      </w:pPr>
      <w:r>
        <w:rPr>
          <w:i/>
          <w:sz w:val="24"/>
          <w:szCs w:val="24"/>
        </w:rPr>
        <w:t>3</w:t>
      </w:r>
      <w:r w:rsidR="00B13D1A">
        <w:rPr>
          <w:i/>
          <w:sz w:val="24"/>
          <w:szCs w:val="24"/>
        </w:rPr>
        <w:t>.</w:t>
      </w:r>
      <w:r>
        <w:rPr>
          <w:i/>
          <w:sz w:val="24"/>
          <w:szCs w:val="24"/>
        </w:rPr>
        <w:t>3</w:t>
      </w:r>
      <w:r w:rsidR="00B13D1A">
        <w:rPr>
          <w:i/>
          <w:sz w:val="24"/>
          <w:szCs w:val="24"/>
        </w:rPr>
        <w:t xml:space="preserve">. </w:t>
      </w:r>
      <w:r w:rsidR="00F1083E">
        <w:rPr>
          <w:i/>
          <w:sz w:val="24"/>
          <w:szCs w:val="24"/>
        </w:rPr>
        <w:t>Problem cases? L</w:t>
      </w:r>
      <w:r>
        <w:rPr>
          <w:i/>
          <w:sz w:val="24"/>
          <w:szCs w:val="24"/>
        </w:rPr>
        <w:t xml:space="preserve">imitations </w:t>
      </w:r>
      <w:r w:rsidR="00F1083E">
        <w:rPr>
          <w:i/>
          <w:sz w:val="24"/>
          <w:szCs w:val="24"/>
        </w:rPr>
        <w:t xml:space="preserve">and absences </w:t>
      </w:r>
      <w:r>
        <w:rPr>
          <w:i/>
          <w:sz w:val="24"/>
          <w:szCs w:val="24"/>
        </w:rPr>
        <w:t>of the encumbrance/escape metaphor</w:t>
      </w:r>
    </w:p>
    <w:p w14:paraId="3E3AD906" w14:textId="77777777" w:rsidR="00355C3D" w:rsidRDefault="00355C3D" w:rsidP="00B13D1A">
      <w:pPr>
        <w:tabs>
          <w:tab w:val="left" w:pos="560"/>
          <w:tab w:val="left" w:pos="3828"/>
        </w:tabs>
        <w:spacing w:after="0" w:line="480" w:lineRule="auto"/>
        <w:rPr>
          <w:sz w:val="24"/>
          <w:szCs w:val="24"/>
        </w:rPr>
      </w:pPr>
    </w:p>
    <w:p w14:paraId="2BD1C7F7" w14:textId="719E1577" w:rsidR="00B13D1A" w:rsidRDefault="00355C3D" w:rsidP="007E7B01">
      <w:pPr>
        <w:tabs>
          <w:tab w:val="left" w:pos="560"/>
          <w:tab w:val="left" w:pos="3828"/>
        </w:tabs>
        <w:spacing w:after="0" w:line="480" w:lineRule="auto"/>
        <w:rPr>
          <w:sz w:val="24"/>
          <w:szCs w:val="24"/>
        </w:rPr>
      </w:pPr>
      <w:r>
        <w:rPr>
          <w:sz w:val="24"/>
          <w:szCs w:val="24"/>
        </w:rPr>
        <w:t xml:space="preserve">We have so far </w:t>
      </w:r>
      <w:r w:rsidR="004A6696">
        <w:rPr>
          <w:sz w:val="24"/>
          <w:szCs w:val="24"/>
        </w:rPr>
        <w:t>discussed examples of key appeal judgments</w:t>
      </w:r>
      <w:r>
        <w:rPr>
          <w:sz w:val="24"/>
          <w:szCs w:val="24"/>
        </w:rPr>
        <w:t xml:space="preserve"> </w:t>
      </w:r>
      <w:r w:rsidR="004A6696">
        <w:rPr>
          <w:sz w:val="24"/>
          <w:szCs w:val="24"/>
        </w:rPr>
        <w:t xml:space="preserve">to show that the </w:t>
      </w:r>
      <w:r>
        <w:rPr>
          <w:sz w:val="24"/>
          <w:szCs w:val="24"/>
        </w:rPr>
        <w:t xml:space="preserve">encumbrance/escape </w:t>
      </w:r>
      <w:r w:rsidR="004A6696">
        <w:rPr>
          <w:sz w:val="24"/>
          <w:szCs w:val="24"/>
        </w:rPr>
        <w:t>metaphor has an important role to play in judicial rhetoric</w:t>
      </w:r>
      <w:r w:rsidR="00C97146">
        <w:rPr>
          <w:sz w:val="24"/>
          <w:szCs w:val="24"/>
        </w:rPr>
        <w:t xml:space="preserve">. </w:t>
      </w:r>
      <w:r>
        <w:rPr>
          <w:sz w:val="24"/>
          <w:szCs w:val="24"/>
        </w:rPr>
        <w:t>However, we acknowledged from the outset that</w:t>
      </w:r>
      <w:r w:rsidR="004A6696">
        <w:rPr>
          <w:sz w:val="24"/>
          <w:szCs w:val="24"/>
        </w:rPr>
        <w:t xml:space="preserve"> there are cases in which, at least as a descriptive tool, our metaphor fails to work for us. </w:t>
      </w:r>
      <w:r>
        <w:rPr>
          <w:sz w:val="24"/>
          <w:szCs w:val="24"/>
        </w:rPr>
        <w:t>In this final subsection</w:t>
      </w:r>
      <w:r w:rsidR="00C97146">
        <w:rPr>
          <w:sz w:val="24"/>
          <w:szCs w:val="24"/>
        </w:rPr>
        <w:t>, we use the statutory partial defence of ‘loss of control’ to murder as an example of an area of criminal law in which the predominance of encumbrance/escape is either contested (the parliamentary debates), or else shows itself only negatively – i.e. by working against the impression being attempted (the leading appeal case).</w:t>
      </w:r>
      <w:r>
        <w:rPr>
          <w:sz w:val="24"/>
          <w:szCs w:val="24"/>
        </w:rPr>
        <w:t xml:space="preserve"> </w:t>
      </w:r>
      <w:r w:rsidR="00C97146">
        <w:rPr>
          <w:sz w:val="24"/>
          <w:szCs w:val="24"/>
        </w:rPr>
        <w:t>We</w:t>
      </w:r>
      <w:r w:rsidR="00B13D1A">
        <w:rPr>
          <w:sz w:val="24"/>
          <w:szCs w:val="24"/>
        </w:rPr>
        <w:t xml:space="preserve"> reflect on this this </w:t>
      </w:r>
      <w:r w:rsidR="00C97146">
        <w:rPr>
          <w:sz w:val="24"/>
          <w:szCs w:val="24"/>
        </w:rPr>
        <w:t xml:space="preserve">briefly </w:t>
      </w:r>
      <w:r w:rsidR="004A6696">
        <w:rPr>
          <w:sz w:val="24"/>
          <w:szCs w:val="24"/>
        </w:rPr>
        <w:t>here</w:t>
      </w:r>
      <w:r w:rsidR="007E7B01">
        <w:rPr>
          <w:sz w:val="24"/>
          <w:szCs w:val="24"/>
        </w:rPr>
        <w:t xml:space="preserve"> before closing</w:t>
      </w:r>
      <w:r w:rsidR="00B13D1A">
        <w:rPr>
          <w:sz w:val="24"/>
          <w:szCs w:val="24"/>
        </w:rPr>
        <w:t xml:space="preserve">. </w:t>
      </w:r>
    </w:p>
    <w:p w14:paraId="29F11624" w14:textId="0B5F3F7A" w:rsidR="00B13D1A" w:rsidRPr="001E0157" w:rsidRDefault="00B13D1A" w:rsidP="00B13D1A">
      <w:pPr>
        <w:tabs>
          <w:tab w:val="left" w:pos="560"/>
          <w:tab w:val="left" w:pos="3828"/>
        </w:tabs>
        <w:spacing w:after="0" w:line="480" w:lineRule="auto"/>
        <w:rPr>
          <w:sz w:val="24"/>
          <w:szCs w:val="24"/>
        </w:rPr>
      </w:pPr>
      <w:r>
        <w:rPr>
          <w:sz w:val="24"/>
          <w:szCs w:val="24"/>
        </w:rPr>
        <w:tab/>
        <w:t>In t</w:t>
      </w:r>
      <w:r w:rsidRPr="001E0157">
        <w:rPr>
          <w:sz w:val="24"/>
          <w:szCs w:val="24"/>
        </w:rPr>
        <w:t>he parliamentary debates</w:t>
      </w:r>
      <w:r>
        <w:rPr>
          <w:sz w:val="24"/>
          <w:szCs w:val="24"/>
        </w:rPr>
        <w:t xml:space="preserve"> </w:t>
      </w:r>
      <w:r w:rsidR="0020344E">
        <w:rPr>
          <w:sz w:val="24"/>
          <w:szCs w:val="24"/>
        </w:rPr>
        <w:t>on the proposed exclusion of ‘sexual infidelity’ as a qualifying trigger for the partial defence in murder trials,</w:t>
      </w:r>
      <w:r w:rsidR="0020344E" w:rsidRPr="004A6696">
        <w:rPr>
          <w:rStyle w:val="FootnoteReference"/>
        </w:rPr>
        <w:footnoteReference w:id="86"/>
      </w:r>
      <w:r w:rsidRPr="001E0157">
        <w:rPr>
          <w:sz w:val="24"/>
          <w:szCs w:val="24"/>
        </w:rPr>
        <w:t xml:space="preserve"> </w:t>
      </w:r>
      <w:r>
        <w:rPr>
          <w:sz w:val="24"/>
          <w:szCs w:val="24"/>
        </w:rPr>
        <w:t>some of the metaphors that we identified component elements of the encumbrance/escape metaphor can be observed to perform the necessary meaning-giving function independently. Answering questions from o</w:t>
      </w:r>
      <w:r w:rsidRPr="001E0157">
        <w:rPr>
          <w:sz w:val="24"/>
          <w:szCs w:val="24"/>
        </w:rPr>
        <w:t xml:space="preserve">pposition MPs </w:t>
      </w:r>
      <w:r>
        <w:rPr>
          <w:sz w:val="24"/>
          <w:szCs w:val="24"/>
        </w:rPr>
        <w:t xml:space="preserve">on </w:t>
      </w:r>
      <w:r w:rsidRPr="001E0157">
        <w:rPr>
          <w:sz w:val="24"/>
          <w:szCs w:val="24"/>
        </w:rPr>
        <w:t xml:space="preserve">how and why a jury should </w:t>
      </w:r>
      <w:r>
        <w:rPr>
          <w:sz w:val="24"/>
          <w:szCs w:val="24"/>
        </w:rPr>
        <w:t>separate</w:t>
      </w:r>
      <w:r w:rsidRPr="001E0157">
        <w:rPr>
          <w:sz w:val="24"/>
          <w:szCs w:val="24"/>
        </w:rPr>
        <w:t xml:space="preserve"> sexual infidelity from the various other factors that might have led to the defendant losing self-control</w:t>
      </w:r>
      <w:r>
        <w:rPr>
          <w:sz w:val="24"/>
          <w:szCs w:val="24"/>
        </w:rPr>
        <w:t xml:space="preserve">, </w:t>
      </w:r>
      <w:r w:rsidRPr="001E0157">
        <w:rPr>
          <w:sz w:val="24"/>
          <w:szCs w:val="24"/>
        </w:rPr>
        <w:t>t</w:t>
      </w:r>
      <w:r>
        <w:rPr>
          <w:sz w:val="24"/>
          <w:szCs w:val="24"/>
        </w:rPr>
        <w:t>he government minister</w:t>
      </w:r>
      <w:r w:rsidRPr="004A6696">
        <w:rPr>
          <w:rStyle w:val="FootnoteReference"/>
        </w:rPr>
        <w:footnoteReference w:id="87"/>
      </w:r>
      <w:r w:rsidRPr="001E0157">
        <w:rPr>
          <w:sz w:val="24"/>
          <w:szCs w:val="24"/>
        </w:rPr>
        <w:t xml:space="preserve"> </w:t>
      </w:r>
      <w:r>
        <w:rPr>
          <w:sz w:val="24"/>
          <w:szCs w:val="24"/>
        </w:rPr>
        <w:t>gave replies couched in terms heavily morally loaded:</w:t>
      </w:r>
      <w:r w:rsidRPr="001E0157">
        <w:rPr>
          <w:sz w:val="24"/>
          <w:szCs w:val="24"/>
        </w:rPr>
        <w:t xml:space="preserve">  </w:t>
      </w:r>
    </w:p>
    <w:p w14:paraId="20EB1A87" w14:textId="77777777" w:rsidR="00B13D1A" w:rsidRPr="001E0157" w:rsidRDefault="00B13D1A" w:rsidP="00B13D1A">
      <w:pPr>
        <w:tabs>
          <w:tab w:val="left" w:pos="560"/>
          <w:tab w:val="left" w:pos="3828"/>
        </w:tabs>
        <w:spacing w:after="0" w:line="480" w:lineRule="auto"/>
        <w:rPr>
          <w:sz w:val="24"/>
          <w:szCs w:val="24"/>
        </w:rPr>
      </w:pPr>
    </w:p>
    <w:p w14:paraId="76657067" w14:textId="77777777" w:rsidR="00B13D1A" w:rsidRDefault="00B13D1A" w:rsidP="00B13D1A">
      <w:pPr>
        <w:tabs>
          <w:tab w:val="left" w:pos="560"/>
          <w:tab w:val="left" w:pos="3828"/>
        </w:tabs>
        <w:spacing w:after="0" w:line="480" w:lineRule="auto"/>
        <w:ind w:left="560"/>
        <w:rPr>
          <w:sz w:val="24"/>
          <w:szCs w:val="24"/>
        </w:rPr>
      </w:pPr>
      <w:r w:rsidRPr="001E0157">
        <w:rPr>
          <w:sz w:val="24"/>
          <w:szCs w:val="24"/>
        </w:rPr>
        <w:lastRenderedPageBreak/>
        <w:t>Dominic Grieve MP</w:t>
      </w:r>
      <w:r>
        <w:rPr>
          <w:sz w:val="24"/>
          <w:szCs w:val="24"/>
        </w:rPr>
        <w:t xml:space="preserve"> [for the Opposition]: ‘</w:t>
      </w:r>
      <w:r w:rsidRPr="00CC4F4B">
        <w:rPr>
          <w:sz w:val="24"/>
          <w:szCs w:val="24"/>
        </w:rPr>
        <w:t xml:space="preserve">How is the jury going to be invited to </w:t>
      </w:r>
      <w:r w:rsidRPr="00662BCB">
        <w:rPr>
          <w:i/>
          <w:iCs/>
          <w:sz w:val="24"/>
          <w:szCs w:val="24"/>
        </w:rPr>
        <w:t>disentangle</w:t>
      </w:r>
      <w:r w:rsidRPr="00CC4F4B">
        <w:rPr>
          <w:sz w:val="24"/>
          <w:szCs w:val="24"/>
        </w:rPr>
        <w:t xml:space="preserve"> the elements that went into causing that act?</w:t>
      </w:r>
      <w:r>
        <w:rPr>
          <w:sz w:val="24"/>
          <w:szCs w:val="24"/>
        </w:rPr>
        <w:t>’</w:t>
      </w:r>
      <w:r w:rsidRPr="001E0157">
        <w:rPr>
          <w:sz w:val="24"/>
          <w:szCs w:val="24"/>
        </w:rPr>
        <w:t xml:space="preserve"> </w:t>
      </w:r>
    </w:p>
    <w:p w14:paraId="2C960493" w14:textId="77777777" w:rsidR="00B13D1A" w:rsidRPr="001E0157" w:rsidRDefault="00B13D1A" w:rsidP="00B13D1A">
      <w:pPr>
        <w:tabs>
          <w:tab w:val="left" w:pos="560"/>
          <w:tab w:val="left" w:pos="3828"/>
        </w:tabs>
        <w:spacing w:after="0" w:line="480" w:lineRule="auto"/>
        <w:ind w:left="560"/>
        <w:rPr>
          <w:sz w:val="24"/>
          <w:szCs w:val="24"/>
        </w:rPr>
      </w:pPr>
      <w:r>
        <w:rPr>
          <w:sz w:val="24"/>
          <w:szCs w:val="24"/>
        </w:rPr>
        <w:t xml:space="preserve">Claire Ward [for the government]: </w:t>
      </w:r>
      <w:r w:rsidRPr="001E0157">
        <w:rPr>
          <w:sz w:val="24"/>
          <w:szCs w:val="24"/>
        </w:rPr>
        <w:t xml:space="preserve">‘I am really quite surprised that the hon. and learned Gentleman thinks that it is </w:t>
      </w:r>
      <w:r w:rsidRPr="00383A6A">
        <w:rPr>
          <w:sz w:val="24"/>
          <w:szCs w:val="24"/>
        </w:rPr>
        <w:t>acceptable</w:t>
      </w:r>
      <w:r w:rsidRPr="001E0157">
        <w:rPr>
          <w:sz w:val="24"/>
          <w:szCs w:val="24"/>
        </w:rPr>
        <w:t xml:space="preserve">, </w:t>
      </w:r>
      <w:r w:rsidRPr="00383A6A">
        <w:rPr>
          <w:i/>
          <w:iCs/>
          <w:sz w:val="24"/>
          <w:szCs w:val="24"/>
        </w:rPr>
        <w:t xml:space="preserve">in this day and age, </w:t>
      </w:r>
      <w:r w:rsidRPr="001E0157">
        <w:rPr>
          <w:sz w:val="24"/>
          <w:szCs w:val="24"/>
        </w:rPr>
        <w:t>for someone to use the partial defence that sexual infidelity is an acceptable reason for killing.’ [my emphasis]</w:t>
      </w:r>
      <w:r w:rsidRPr="004A6696">
        <w:rPr>
          <w:rStyle w:val="FootnoteReference"/>
        </w:rPr>
        <w:footnoteReference w:id="88"/>
      </w:r>
    </w:p>
    <w:p w14:paraId="123A3746" w14:textId="77777777" w:rsidR="00B13D1A" w:rsidRPr="001E0157" w:rsidRDefault="00B13D1A" w:rsidP="00B13D1A">
      <w:pPr>
        <w:tabs>
          <w:tab w:val="left" w:pos="560"/>
          <w:tab w:val="left" w:pos="3828"/>
        </w:tabs>
        <w:spacing w:after="0" w:line="480" w:lineRule="auto"/>
        <w:ind w:left="560"/>
        <w:rPr>
          <w:sz w:val="24"/>
          <w:szCs w:val="24"/>
        </w:rPr>
      </w:pPr>
    </w:p>
    <w:p w14:paraId="5E6730ED" w14:textId="4F79E4F5" w:rsidR="00B13D1A" w:rsidRDefault="00B13D1A" w:rsidP="00B13D1A">
      <w:pPr>
        <w:tabs>
          <w:tab w:val="left" w:pos="560"/>
          <w:tab w:val="left" w:pos="3828"/>
        </w:tabs>
        <w:spacing w:after="0" w:line="480" w:lineRule="auto"/>
        <w:rPr>
          <w:sz w:val="24"/>
          <w:szCs w:val="24"/>
        </w:rPr>
      </w:pPr>
      <w:r>
        <w:rPr>
          <w:sz w:val="24"/>
          <w:szCs w:val="24"/>
        </w:rPr>
        <w:t xml:space="preserve">Despite the minister’s answer being </w:t>
      </w:r>
      <w:r w:rsidRPr="008060F3">
        <w:rPr>
          <w:sz w:val="24"/>
          <w:szCs w:val="24"/>
        </w:rPr>
        <w:t>technically</w:t>
      </w:r>
      <w:r>
        <w:rPr>
          <w:sz w:val="24"/>
          <w:szCs w:val="24"/>
        </w:rPr>
        <w:t xml:space="preserve"> incoherent (inasmuch as it translates an issue about trial procedure into one about the questioner’s own moral integrity), it nonetheless has the shape and feel of moral plausibility. We might on the one hand claim that t</w:t>
      </w:r>
      <w:r w:rsidRPr="001E0157">
        <w:rPr>
          <w:sz w:val="24"/>
          <w:szCs w:val="24"/>
        </w:rPr>
        <w:t>he minister</w:t>
      </w:r>
      <w:r>
        <w:rPr>
          <w:sz w:val="24"/>
          <w:szCs w:val="24"/>
        </w:rPr>
        <w:t xml:space="preserve"> achieves this plausibility in a way comparable to the appeal to encumbrance/escape we observed in</w:t>
      </w:r>
      <w:r w:rsidRPr="001E0157">
        <w:rPr>
          <w:sz w:val="24"/>
          <w:szCs w:val="24"/>
        </w:rPr>
        <w:t xml:space="preserve"> </w:t>
      </w:r>
      <w:r w:rsidRPr="001E0157">
        <w:rPr>
          <w:i/>
          <w:iCs/>
          <w:sz w:val="24"/>
          <w:szCs w:val="24"/>
        </w:rPr>
        <w:t>Ivey</w:t>
      </w:r>
      <w:r>
        <w:rPr>
          <w:sz w:val="24"/>
          <w:szCs w:val="24"/>
        </w:rPr>
        <w:t>,</w:t>
      </w:r>
      <w:r w:rsidRPr="001E0157">
        <w:rPr>
          <w:sz w:val="24"/>
          <w:szCs w:val="24"/>
        </w:rPr>
        <w:t xml:space="preserve"> </w:t>
      </w:r>
      <w:r w:rsidRPr="001E0157">
        <w:rPr>
          <w:i/>
          <w:iCs/>
          <w:sz w:val="24"/>
          <w:szCs w:val="24"/>
        </w:rPr>
        <w:t>B</w:t>
      </w:r>
      <w:r w:rsidRPr="001E0157">
        <w:rPr>
          <w:sz w:val="24"/>
          <w:szCs w:val="24"/>
        </w:rPr>
        <w:t xml:space="preserve"> </w:t>
      </w:r>
      <w:r>
        <w:rPr>
          <w:sz w:val="24"/>
          <w:szCs w:val="24"/>
        </w:rPr>
        <w:t xml:space="preserve">and </w:t>
      </w:r>
      <w:r>
        <w:rPr>
          <w:i/>
          <w:iCs/>
          <w:sz w:val="24"/>
          <w:szCs w:val="24"/>
        </w:rPr>
        <w:t>Howe</w:t>
      </w:r>
      <w:r>
        <w:rPr>
          <w:sz w:val="24"/>
          <w:szCs w:val="24"/>
        </w:rPr>
        <w:t xml:space="preserve"> in terms of </w:t>
      </w:r>
      <w:r w:rsidR="0006467C">
        <w:rPr>
          <w:sz w:val="24"/>
          <w:szCs w:val="24"/>
        </w:rPr>
        <w:t xml:space="preserve">disconnecting the relevant legal test from outmoded beliefs and thereby </w:t>
      </w:r>
      <w:r>
        <w:rPr>
          <w:sz w:val="24"/>
          <w:szCs w:val="24"/>
        </w:rPr>
        <w:t>removing barriers to justice for victims</w:t>
      </w:r>
      <w:r>
        <w:rPr>
          <w:i/>
          <w:iCs/>
          <w:sz w:val="24"/>
          <w:szCs w:val="24"/>
        </w:rPr>
        <w:t>.</w:t>
      </w:r>
      <w:r>
        <w:rPr>
          <w:sz w:val="24"/>
          <w:szCs w:val="24"/>
        </w:rPr>
        <w:t xml:space="preserve"> In this sense it is clear that </w:t>
      </w:r>
      <w:r w:rsidRPr="001E0157">
        <w:rPr>
          <w:sz w:val="24"/>
          <w:szCs w:val="24"/>
        </w:rPr>
        <w:t xml:space="preserve">what is at stake </w:t>
      </w:r>
      <w:r>
        <w:rPr>
          <w:sz w:val="24"/>
          <w:szCs w:val="24"/>
        </w:rPr>
        <w:t xml:space="preserve">from the government’s perspective </w:t>
      </w:r>
      <w:r w:rsidRPr="001E0157">
        <w:rPr>
          <w:sz w:val="24"/>
          <w:szCs w:val="24"/>
        </w:rPr>
        <w:t xml:space="preserve">is law’s status as setter of </w:t>
      </w:r>
      <w:r>
        <w:rPr>
          <w:sz w:val="24"/>
          <w:szCs w:val="24"/>
        </w:rPr>
        <w:t>culpability standards, and the impediment to realising this status represented by views that are m</w:t>
      </w:r>
      <w:r w:rsidRPr="001E0157">
        <w:rPr>
          <w:sz w:val="24"/>
          <w:szCs w:val="24"/>
        </w:rPr>
        <w:t>oral</w:t>
      </w:r>
      <w:r>
        <w:rPr>
          <w:sz w:val="24"/>
          <w:szCs w:val="24"/>
        </w:rPr>
        <w:t xml:space="preserve">ly </w:t>
      </w:r>
      <w:r>
        <w:rPr>
          <w:i/>
          <w:iCs/>
          <w:sz w:val="24"/>
          <w:szCs w:val="24"/>
        </w:rPr>
        <w:t xml:space="preserve">stuck </w:t>
      </w:r>
      <w:r>
        <w:rPr>
          <w:sz w:val="24"/>
          <w:szCs w:val="24"/>
        </w:rPr>
        <w:t>and stubbornly clinging to vestiges of male privilege.</w:t>
      </w:r>
      <w:r w:rsidRPr="004A6696">
        <w:rPr>
          <w:rStyle w:val="FootnoteReference"/>
        </w:rPr>
        <w:footnoteReference w:id="89"/>
      </w:r>
      <w:r>
        <w:rPr>
          <w:sz w:val="24"/>
          <w:szCs w:val="24"/>
        </w:rPr>
        <w:t xml:space="preserve"> On the other hand however, the italicized phrases suggest that, despite Dominic Grieve MP setting up his question in terms of encumbrance (or at least ‘entanglement’) and an implication that escape from that encumbrance would be practi</w:t>
      </w:r>
      <w:r w:rsidR="007E7B01">
        <w:rPr>
          <w:sz w:val="24"/>
          <w:szCs w:val="24"/>
        </w:rPr>
        <w:t>cally impossible, the minister</w:t>
      </w:r>
      <w:r>
        <w:rPr>
          <w:sz w:val="24"/>
          <w:szCs w:val="24"/>
        </w:rPr>
        <w:t xml:space="preserve">’s reply is made out by way of other metaphors. And although not necessarily in conflict with encumbrance/escape, these are nonetheless plausibility-affording metaphors in their own right. We observe therefore that in this instance, metaphors pertaining to </w:t>
      </w:r>
      <w:r>
        <w:rPr>
          <w:sz w:val="24"/>
          <w:szCs w:val="24"/>
        </w:rPr>
        <w:lastRenderedPageBreak/>
        <w:t>movement and journeys (notions of making progress, of leaving one place and arriving at another) and to historical time and containers (</w:t>
      </w:r>
      <w:r>
        <w:rPr>
          <w:i/>
          <w:iCs/>
          <w:sz w:val="24"/>
          <w:szCs w:val="24"/>
        </w:rPr>
        <w:t>in</w:t>
      </w:r>
      <w:r>
        <w:rPr>
          <w:sz w:val="24"/>
          <w:szCs w:val="24"/>
        </w:rPr>
        <w:t xml:space="preserve"> and </w:t>
      </w:r>
      <w:r>
        <w:rPr>
          <w:i/>
          <w:iCs/>
          <w:sz w:val="24"/>
          <w:szCs w:val="24"/>
        </w:rPr>
        <w:t>out</w:t>
      </w:r>
      <w:r>
        <w:rPr>
          <w:sz w:val="24"/>
          <w:szCs w:val="24"/>
        </w:rPr>
        <w:t xml:space="preserve"> of one age or another) may be doing more work than encumbrance/escape in carrying the argument. </w:t>
      </w:r>
    </w:p>
    <w:p w14:paraId="37CCCC4A" w14:textId="3CB90802" w:rsidR="00B13D1A" w:rsidRDefault="00B13D1A" w:rsidP="00B13D1A">
      <w:pPr>
        <w:tabs>
          <w:tab w:val="left" w:pos="560"/>
          <w:tab w:val="left" w:pos="3828"/>
        </w:tabs>
        <w:spacing w:after="0" w:line="480" w:lineRule="auto"/>
        <w:rPr>
          <w:sz w:val="24"/>
          <w:szCs w:val="24"/>
        </w:rPr>
      </w:pPr>
      <w:r>
        <w:rPr>
          <w:sz w:val="24"/>
          <w:szCs w:val="24"/>
        </w:rPr>
        <w:tab/>
        <w:t xml:space="preserve">Then in the leading appeal case in which the Court of Appeal were tasked with interpreting the sexual infidelity clause in the statute, we find an instance of a judgment that entirely </w:t>
      </w:r>
      <w:r>
        <w:rPr>
          <w:i/>
          <w:sz w:val="24"/>
          <w:szCs w:val="24"/>
        </w:rPr>
        <w:t>fails</w:t>
      </w:r>
      <w:r>
        <w:rPr>
          <w:sz w:val="24"/>
          <w:szCs w:val="24"/>
        </w:rPr>
        <w:t xml:space="preserve"> to use the encumbrance/escape metaphor effectively in securing moral plausibility. In </w:t>
      </w:r>
      <w:r>
        <w:rPr>
          <w:i/>
          <w:sz w:val="24"/>
          <w:szCs w:val="24"/>
        </w:rPr>
        <w:t>Clinton</w:t>
      </w:r>
      <w:r w:rsidR="0006467C" w:rsidRPr="004A6696">
        <w:rPr>
          <w:rStyle w:val="FootnoteReference"/>
        </w:rPr>
        <w:footnoteReference w:id="90"/>
      </w:r>
      <w:r>
        <w:rPr>
          <w:sz w:val="24"/>
          <w:szCs w:val="24"/>
        </w:rPr>
        <w:t>,</w:t>
      </w:r>
      <w:r w:rsidRPr="001E0157">
        <w:rPr>
          <w:sz w:val="24"/>
          <w:szCs w:val="24"/>
        </w:rPr>
        <w:t xml:space="preserve"> Lord Judge CJ hel</w:t>
      </w:r>
      <w:r>
        <w:rPr>
          <w:sz w:val="24"/>
          <w:szCs w:val="24"/>
        </w:rPr>
        <w:t>d that evidence of a homicide victim</w:t>
      </w:r>
      <w:r w:rsidRPr="001E0157">
        <w:rPr>
          <w:sz w:val="24"/>
          <w:szCs w:val="24"/>
        </w:rPr>
        <w:t xml:space="preserve">’s sexual infidelity </w:t>
      </w:r>
      <w:r w:rsidRPr="001E0157">
        <w:rPr>
          <w:i/>
          <w:iCs/>
          <w:sz w:val="24"/>
          <w:szCs w:val="24"/>
        </w:rPr>
        <w:t>cannot</w:t>
      </w:r>
      <w:r w:rsidRPr="001E0157">
        <w:rPr>
          <w:sz w:val="24"/>
          <w:szCs w:val="24"/>
        </w:rPr>
        <w:t xml:space="preserve"> be excluded from the jury’s consideration</w:t>
      </w:r>
      <w:r>
        <w:rPr>
          <w:sz w:val="24"/>
          <w:szCs w:val="24"/>
        </w:rPr>
        <w:t xml:space="preserve"> </w:t>
      </w:r>
      <w:r w:rsidRPr="001E0157">
        <w:rPr>
          <w:sz w:val="24"/>
          <w:szCs w:val="24"/>
        </w:rPr>
        <w:t>for the purposes of s.54(3)</w:t>
      </w:r>
      <w:r>
        <w:rPr>
          <w:sz w:val="24"/>
          <w:szCs w:val="24"/>
        </w:rPr>
        <w:t xml:space="preserve"> of the Coroners and Justice Act 2009 if that evidence</w:t>
      </w:r>
      <w:r w:rsidRPr="001E0157">
        <w:rPr>
          <w:sz w:val="24"/>
          <w:szCs w:val="24"/>
        </w:rPr>
        <w:t xml:space="preserve"> provides useful contextual information about the </w:t>
      </w:r>
      <w:r>
        <w:rPr>
          <w:sz w:val="24"/>
          <w:szCs w:val="24"/>
        </w:rPr>
        <w:t>c</w:t>
      </w:r>
      <w:r w:rsidRPr="001E0157">
        <w:rPr>
          <w:sz w:val="24"/>
          <w:szCs w:val="24"/>
        </w:rPr>
        <w:t xml:space="preserve">ircumstances </w:t>
      </w:r>
      <w:r>
        <w:rPr>
          <w:sz w:val="24"/>
          <w:szCs w:val="24"/>
        </w:rPr>
        <w:t>in which the killing took place</w:t>
      </w:r>
      <w:r w:rsidRPr="001E0157">
        <w:rPr>
          <w:sz w:val="24"/>
          <w:szCs w:val="24"/>
        </w:rPr>
        <w:t>. At a crucial point in the judgment, Lord Judge CJ describes the experience of loss of control as if from Clinton’s own perspective in terms of falling, crushing and drowning</w:t>
      </w:r>
      <w:r>
        <w:rPr>
          <w:sz w:val="24"/>
          <w:szCs w:val="24"/>
        </w:rPr>
        <w:t>, and of inertia</w:t>
      </w:r>
      <w:r w:rsidRPr="001E0157">
        <w:rPr>
          <w:sz w:val="24"/>
          <w:szCs w:val="24"/>
        </w:rPr>
        <w:t xml:space="preserve">: </w:t>
      </w:r>
    </w:p>
    <w:p w14:paraId="46C604B4" w14:textId="77777777" w:rsidR="00B13D1A" w:rsidRDefault="00B13D1A" w:rsidP="00B13D1A">
      <w:pPr>
        <w:tabs>
          <w:tab w:val="left" w:pos="560"/>
          <w:tab w:val="left" w:pos="3828"/>
        </w:tabs>
        <w:spacing w:after="0" w:line="480" w:lineRule="auto"/>
        <w:rPr>
          <w:sz w:val="24"/>
          <w:szCs w:val="24"/>
        </w:rPr>
      </w:pPr>
    </w:p>
    <w:p w14:paraId="35AF54B8" w14:textId="59FAC898" w:rsidR="00B13D1A" w:rsidRDefault="007E7B01" w:rsidP="007E7B01">
      <w:pPr>
        <w:tabs>
          <w:tab w:val="left" w:pos="560"/>
          <w:tab w:val="left" w:pos="3828"/>
        </w:tabs>
        <w:spacing w:after="0" w:line="480" w:lineRule="auto"/>
        <w:ind w:left="560"/>
        <w:rPr>
          <w:sz w:val="24"/>
          <w:szCs w:val="24"/>
        </w:rPr>
      </w:pPr>
      <w:r>
        <w:rPr>
          <w:sz w:val="24"/>
          <w:szCs w:val="24"/>
        </w:rPr>
        <w:t>[T]</w:t>
      </w:r>
      <w:r w:rsidR="00B13D1A" w:rsidRPr="001E0157">
        <w:rPr>
          <w:sz w:val="24"/>
          <w:szCs w:val="24"/>
        </w:rPr>
        <w:t>he walls and the ceiling just seemed to close i</w:t>
      </w:r>
      <w:r w:rsidR="00B13D1A">
        <w:rPr>
          <w:sz w:val="24"/>
          <w:szCs w:val="24"/>
        </w:rPr>
        <w:t>n. She [Mrs Clinton, the victim] was talking but he [Mr Clinton, the defendant</w:t>
      </w:r>
      <w:r w:rsidR="00B13D1A" w:rsidRPr="001E0157">
        <w:rPr>
          <w:sz w:val="24"/>
          <w:szCs w:val="24"/>
        </w:rPr>
        <w:t>] could not hear what she was saying. He could see her mouth opening and closing. He could hear a noise, like the distant sea.</w:t>
      </w:r>
      <w:r w:rsidR="00B13D1A">
        <w:rPr>
          <w:sz w:val="24"/>
          <w:szCs w:val="24"/>
        </w:rPr>
        <w:t xml:space="preserve"> </w:t>
      </w:r>
      <w:r w:rsidR="00B13D1A" w:rsidRPr="00E25EA5">
        <w:rPr>
          <w:sz w:val="24"/>
          <w:szCs w:val="24"/>
        </w:rPr>
        <w:t>He wanted everything to stop. He wanted everything to slow down</w:t>
      </w:r>
      <w:r w:rsidR="00B13D1A">
        <w:rPr>
          <w:sz w:val="24"/>
          <w:szCs w:val="24"/>
        </w:rPr>
        <w:t>.</w:t>
      </w:r>
      <w:r w:rsidR="00B13D1A" w:rsidRPr="004A6696">
        <w:rPr>
          <w:rStyle w:val="FootnoteReference"/>
        </w:rPr>
        <w:footnoteReference w:id="91"/>
      </w:r>
      <w:r w:rsidR="00B13D1A" w:rsidRPr="001E0157">
        <w:rPr>
          <w:sz w:val="24"/>
          <w:szCs w:val="24"/>
        </w:rPr>
        <w:t xml:space="preserve">  </w:t>
      </w:r>
    </w:p>
    <w:p w14:paraId="2251DCD4" w14:textId="77777777" w:rsidR="00B13D1A" w:rsidRDefault="00B13D1A" w:rsidP="00B13D1A">
      <w:pPr>
        <w:tabs>
          <w:tab w:val="left" w:pos="560"/>
          <w:tab w:val="left" w:pos="3828"/>
        </w:tabs>
        <w:spacing w:after="0" w:line="480" w:lineRule="auto"/>
        <w:rPr>
          <w:sz w:val="24"/>
          <w:szCs w:val="24"/>
        </w:rPr>
      </w:pPr>
    </w:p>
    <w:p w14:paraId="39917D85" w14:textId="77777777" w:rsidR="00B13D1A" w:rsidRDefault="00B13D1A" w:rsidP="00B13D1A">
      <w:pPr>
        <w:tabs>
          <w:tab w:val="left" w:pos="560"/>
          <w:tab w:val="left" w:pos="3828"/>
        </w:tabs>
        <w:spacing w:after="0" w:line="480" w:lineRule="auto"/>
        <w:rPr>
          <w:sz w:val="24"/>
          <w:szCs w:val="24"/>
        </w:rPr>
      </w:pPr>
      <w:r w:rsidRPr="001E0157">
        <w:rPr>
          <w:sz w:val="24"/>
          <w:szCs w:val="24"/>
        </w:rPr>
        <w:t xml:space="preserve">What are we supposed to make of such a passage? In strictly literal terms, it is simply a description of facts. But if we allow ourselves to consider what that particular factual account contributes to the broader persuasive appeal of the decision, another layer of meaning presents itself. A paragraph and a half later, his Lordship concluded that since the victim’s sexual infidelity was not the </w:t>
      </w:r>
      <w:r w:rsidRPr="003B7834">
        <w:rPr>
          <w:i/>
          <w:iCs/>
          <w:sz w:val="24"/>
          <w:szCs w:val="24"/>
        </w:rPr>
        <w:t>sole</w:t>
      </w:r>
      <w:r w:rsidRPr="001E0157">
        <w:rPr>
          <w:sz w:val="24"/>
          <w:szCs w:val="24"/>
        </w:rPr>
        <w:t xml:space="preserve"> trigger for the defendant’s violence, but rather </w:t>
      </w:r>
      <w:r w:rsidRPr="001E0157">
        <w:rPr>
          <w:sz w:val="24"/>
          <w:szCs w:val="24"/>
        </w:rPr>
        <w:lastRenderedPageBreak/>
        <w:t>constituted important context for assessing the gravity of the taunts made to him,</w:t>
      </w:r>
      <w:r w:rsidRPr="004A6696">
        <w:rPr>
          <w:rStyle w:val="FootnoteReference"/>
        </w:rPr>
        <w:footnoteReference w:id="92"/>
      </w:r>
      <w:r w:rsidRPr="001E0157">
        <w:rPr>
          <w:sz w:val="24"/>
          <w:szCs w:val="24"/>
        </w:rPr>
        <w:t xml:space="preserve"> the </w:t>
      </w:r>
      <w:r>
        <w:rPr>
          <w:sz w:val="24"/>
          <w:szCs w:val="24"/>
        </w:rPr>
        <w:t xml:space="preserve">jury </w:t>
      </w:r>
      <w:r w:rsidRPr="001E0157">
        <w:rPr>
          <w:sz w:val="24"/>
          <w:szCs w:val="24"/>
        </w:rPr>
        <w:t xml:space="preserve">ought </w:t>
      </w:r>
      <w:r>
        <w:rPr>
          <w:sz w:val="24"/>
          <w:szCs w:val="24"/>
        </w:rPr>
        <w:t xml:space="preserve">not </w:t>
      </w:r>
      <w:r w:rsidRPr="001E0157">
        <w:rPr>
          <w:sz w:val="24"/>
          <w:szCs w:val="24"/>
        </w:rPr>
        <w:t xml:space="preserve">have been </w:t>
      </w:r>
      <w:r>
        <w:rPr>
          <w:sz w:val="24"/>
          <w:szCs w:val="24"/>
        </w:rPr>
        <w:t>directed to disregard it.</w:t>
      </w:r>
      <w:r w:rsidRPr="004A6696">
        <w:rPr>
          <w:rStyle w:val="FootnoteReference"/>
        </w:rPr>
        <w:footnoteReference w:id="93"/>
      </w:r>
      <w:r w:rsidRPr="001E0157">
        <w:rPr>
          <w:sz w:val="24"/>
          <w:szCs w:val="24"/>
        </w:rPr>
        <w:t xml:space="preserve"> </w:t>
      </w:r>
    </w:p>
    <w:p w14:paraId="1D891C41" w14:textId="3A38C828" w:rsidR="00B13D1A" w:rsidRPr="001E0157" w:rsidRDefault="00B13D1A" w:rsidP="003654F3">
      <w:pPr>
        <w:tabs>
          <w:tab w:val="left" w:pos="560"/>
          <w:tab w:val="left" w:pos="3828"/>
        </w:tabs>
        <w:spacing w:after="0" w:line="480" w:lineRule="auto"/>
        <w:rPr>
          <w:sz w:val="24"/>
          <w:szCs w:val="24"/>
        </w:rPr>
      </w:pPr>
      <w:r>
        <w:rPr>
          <w:sz w:val="24"/>
          <w:szCs w:val="24"/>
        </w:rPr>
        <w:tab/>
      </w:r>
      <w:r w:rsidRPr="001E0157">
        <w:rPr>
          <w:sz w:val="24"/>
          <w:szCs w:val="24"/>
        </w:rPr>
        <w:t xml:space="preserve">Critical commentary of this ruling has tended to agree that, since sexual infidelity will rarely be the </w:t>
      </w:r>
      <w:r w:rsidRPr="001E0157">
        <w:rPr>
          <w:i/>
          <w:iCs/>
          <w:sz w:val="24"/>
          <w:szCs w:val="24"/>
        </w:rPr>
        <w:t>sole</w:t>
      </w:r>
      <w:r w:rsidRPr="001E0157">
        <w:rPr>
          <w:sz w:val="24"/>
          <w:szCs w:val="24"/>
        </w:rPr>
        <w:t xml:space="preserve"> and </w:t>
      </w:r>
      <w:r w:rsidRPr="001E0157">
        <w:rPr>
          <w:i/>
          <w:iCs/>
          <w:sz w:val="24"/>
          <w:szCs w:val="24"/>
        </w:rPr>
        <w:t>only</w:t>
      </w:r>
      <w:r w:rsidRPr="001E0157">
        <w:rPr>
          <w:sz w:val="24"/>
          <w:szCs w:val="24"/>
        </w:rPr>
        <w:t xml:space="preserve"> reason for </w:t>
      </w:r>
      <w:r>
        <w:rPr>
          <w:sz w:val="24"/>
          <w:szCs w:val="24"/>
        </w:rPr>
        <w:t>a defendant</w:t>
      </w:r>
      <w:r w:rsidRPr="001E0157">
        <w:rPr>
          <w:sz w:val="24"/>
          <w:szCs w:val="24"/>
        </w:rPr>
        <w:t xml:space="preserve">’s loss of control isolated from anything else, </w:t>
      </w:r>
      <w:r w:rsidRPr="001E0157">
        <w:rPr>
          <w:i/>
          <w:iCs/>
          <w:sz w:val="24"/>
          <w:szCs w:val="24"/>
        </w:rPr>
        <w:t>Clinton</w:t>
      </w:r>
      <w:r w:rsidRPr="001E0157">
        <w:rPr>
          <w:sz w:val="24"/>
          <w:szCs w:val="24"/>
        </w:rPr>
        <w:t xml:space="preserve"> effectively means that trial judges are more likely than not to allow it to be included, an outcome that surely runs counter to </w:t>
      </w:r>
      <w:r>
        <w:rPr>
          <w:sz w:val="24"/>
          <w:szCs w:val="24"/>
        </w:rPr>
        <w:t>the ‘bar-raising’</w:t>
      </w:r>
      <w:r w:rsidRPr="001E0157">
        <w:rPr>
          <w:sz w:val="24"/>
          <w:szCs w:val="24"/>
        </w:rPr>
        <w:t xml:space="preserve"> normative purpose of the sexual infidelity </w:t>
      </w:r>
      <w:r w:rsidRPr="001E0157">
        <w:rPr>
          <w:i/>
          <w:iCs/>
          <w:sz w:val="24"/>
          <w:szCs w:val="24"/>
        </w:rPr>
        <w:t xml:space="preserve">exclusion </w:t>
      </w:r>
      <w:r w:rsidRPr="001E0157">
        <w:rPr>
          <w:sz w:val="24"/>
          <w:szCs w:val="24"/>
        </w:rPr>
        <w:t>in s.55(6)(c)</w:t>
      </w:r>
      <w:r>
        <w:rPr>
          <w:sz w:val="24"/>
          <w:szCs w:val="24"/>
        </w:rPr>
        <w:t xml:space="preserve"> of the legislation</w:t>
      </w:r>
      <w:r w:rsidRPr="001E0157">
        <w:rPr>
          <w:sz w:val="24"/>
          <w:szCs w:val="24"/>
        </w:rPr>
        <w:t>. The consequence of this is that the issue of how to interpret the legislative provisions remains to be settled decisively</w:t>
      </w:r>
      <w:r>
        <w:rPr>
          <w:sz w:val="24"/>
          <w:szCs w:val="24"/>
        </w:rPr>
        <w:t xml:space="preserve">. Unlike Lord Bingham’s </w:t>
      </w:r>
      <w:r w:rsidR="007E7B01">
        <w:rPr>
          <w:sz w:val="24"/>
          <w:szCs w:val="24"/>
        </w:rPr>
        <w:t xml:space="preserve">decisive </w:t>
      </w:r>
      <w:r>
        <w:rPr>
          <w:sz w:val="24"/>
          <w:szCs w:val="24"/>
        </w:rPr>
        <w:t xml:space="preserve">‘way-clearing’ rhetoric in </w:t>
      </w:r>
      <w:r>
        <w:rPr>
          <w:i/>
          <w:sz w:val="24"/>
          <w:szCs w:val="24"/>
        </w:rPr>
        <w:t>G and another</w:t>
      </w:r>
      <w:r w:rsidR="003654F3">
        <w:rPr>
          <w:i/>
          <w:sz w:val="24"/>
          <w:szCs w:val="24"/>
        </w:rPr>
        <w:t xml:space="preserve"> </w:t>
      </w:r>
      <w:r w:rsidR="003654F3">
        <w:rPr>
          <w:iCs/>
          <w:sz w:val="24"/>
          <w:szCs w:val="24"/>
        </w:rPr>
        <w:t>therefore</w:t>
      </w:r>
      <w:r>
        <w:rPr>
          <w:sz w:val="24"/>
          <w:szCs w:val="24"/>
        </w:rPr>
        <w:t xml:space="preserve">, Lord Judge CJ’s ruling </w:t>
      </w:r>
      <w:r w:rsidR="003654F3">
        <w:rPr>
          <w:sz w:val="24"/>
          <w:szCs w:val="24"/>
        </w:rPr>
        <w:t>leaves us with a sense of moral insecurity and uncertainty</w:t>
      </w:r>
      <w:r w:rsidRPr="001E0157">
        <w:rPr>
          <w:sz w:val="24"/>
          <w:szCs w:val="24"/>
        </w:rPr>
        <w:t>.</w:t>
      </w:r>
      <w:r w:rsidRPr="004A6696">
        <w:rPr>
          <w:rStyle w:val="FootnoteReference"/>
        </w:rPr>
        <w:footnoteReference w:id="94"/>
      </w:r>
      <w:r w:rsidRPr="001E0157">
        <w:rPr>
          <w:sz w:val="24"/>
          <w:szCs w:val="24"/>
        </w:rPr>
        <w:t xml:space="preserve"> This criticism provides a key to understanding the </w:t>
      </w:r>
      <w:r w:rsidRPr="001E0157">
        <w:rPr>
          <w:i/>
          <w:iCs/>
          <w:sz w:val="24"/>
          <w:szCs w:val="24"/>
        </w:rPr>
        <w:t>metaphorical</w:t>
      </w:r>
      <w:r w:rsidRPr="001E0157">
        <w:rPr>
          <w:sz w:val="24"/>
          <w:szCs w:val="24"/>
        </w:rPr>
        <w:t xml:space="preserve"> significance of Lord Judge CJ’s imagery of collapsing ceilings and engulfing seas</w:t>
      </w:r>
      <w:r>
        <w:rPr>
          <w:sz w:val="24"/>
          <w:szCs w:val="24"/>
        </w:rPr>
        <w:t xml:space="preserve"> and Clinton’s desire for ‘everything to stop’, since these phrases invoke a sense of drowning, suffocating and inertia</w:t>
      </w:r>
      <w:r w:rsidRPr="001E0157">
        <w:rPr>
          <w:sz w:val="24"/>
          <w:szCs w:val="24"/>
        </w:rPr>
        <w:t xml:space="preserve">. </w:t>
      </w:r>
      <w:r>
        <w:rPr>
          <w:sz w:val="24"/>
          <w:szCs w:val="24"/>
        </w:rPr>
        <w:t>T</w:t>
      </w:r>
      <w:r w:rsidRPr="001E0157">
        <w:rPr>
          <w:sz w:val="24"/>
          <w:szCs w:val="24"/>
        </w:rPr>
        <w:t xml:space="preserve">he </w:t>
      </w:r>
      <w:r>
        <w:rPr>
          <w:sz w:val="24"/>
          <w:szCs w:val="24"/>
        </w:rPr>
        <w:t xml:space="preserve">encumbrance/escape </w:t>
      </w:r>
      <w:r w:rsidRPr="001E0157">
        <w:rPr>
          <w:sz w:val="24"/>
          <w:szCs w:val="24"/>
        </w:rPr>
        <w:t xml:space="preserve">metaphor </w:t>
      </w:r>
      <w:r>
        <w:rPr>
          <w:sz w:val="24"/>
          <w:szCs w:val="24"/>
        </w:rPr>
        <w:t xml:space="preserve">here </w:t>
      </w:r>
      <w:r w:rsidR="003654F3">
        <w:rPr>
          <w:sz w:val="24"/>
          <w:szCs w:val="24"/>
        </w:rPr>
        <w:t>is certainly having an effect, but unfortunately for Lord Judge CJ it is working</w:t>
      </w:r>
      <w:r w:rsidRPr="001E0157">
        <w:rPr>
          <w:sz w:val="24"/>
          <w:szCs w:val="24"/>
        </w:rPr>
        <w:t xml:space="preserve"> </w:t>
      </w:r>
      <w:r w:rsidRPr="00D0183D">
        <w:rPr>
          <w:i/>
          <w:iCs/>
          <w:sz w:val="24"/>
          <w:szCs w:val="24"/>
        </w:rPr>
        <w:t>against</w:t>
      </w:r>
      <w:r w:rsidRPr="001E0157">
        <w:rPr>
          <w:sz w:val="24"/>
          <w:szCs w:val="24"/>
        </w:rPr>
        <w:t xml:space="preserve"> the moral </w:t>
      </w:r>
      <w:r>
        <w:rPr>
          <w:sz w:val="24"/>
          <w:szCs w:val="24"/>
        </w:rPr>
        <w:t>plausibility of the judgment</w:t>
      </w:r>
      <w:r w:rsidRPr="001E0157">
        <w:rPr>
          <w:sz w:val="24"/>
          <w:szCs w:val="24"/>
        </w:rPr>
        <w:t>.</w:t>
      </w:r>
      <w:r>
        <w:rPr>
          <w:sz w:val="24"/>
          <w:szCs w:val="24"/>
        </w:rPr>
        <w:t xml:space="preserve"> </w:t>
      </w:r>
    </w:p>
    <w:p w14:paraId="17E5272E" w14:textId="77777777" w:rsidR="00B13D1A" w:rsidRDefault="00B13D1A" w:rsidP="00D85743">
      <w:pPr>
        <w:tabs>
          <w:tab w:val="left" w:pos="560"/>
          <w:tab w:val="left" w:pos="3828"/>
        </w:tabs>
        <w:spacing w:after="0" w:line="480" w:lineRule="auto"/>
        <w:rPr>
          <w:rStyle w:val="text"/>
          <w:sz w:val="24"/>
          <w:szCs w:val="24"/>
        </w:rPr>
      </w:pPr>
    </w:p>
    <w:p w14:paraId="5D0FF20A" w14:textId="0B731EE3" w:rsidR="00B13D1A" w:rsidRPr="0020344E" w:rsidRDefault="0020344E" w:rsidP="00216D66">
      <w:pPr>
        <w:tabs>
          <w:tab w:val="left" w:pos="560"/>
          <w:tab w:val="left" w:pos="3828"/>
        </w:tabs>
        <w:spacing w:after="0" w:line="480" w:lineRule="auto"/>
        <w:rPr>
          <w:rStyle w:val="text"/>
          <w:b/>
          <w:sz w:val="24"/>
          <w:szCs w:val="24"/>
        </w:rPr>
      </w:pPr>
      <w:r>
        <w:rPr>
          <w:rStyle w:val="text"/>
          <w:b/>
          <w:sz w:val="24"/>
          <w:szCs w:val="24"/>
        </w:rPr>
        <w:t xml:space="preserve">4. Conclusions </w:t>
      </w:r>
    </w:p>
    <w:p w14:paraId="0676072D" w14:textId="77777777" w:rsidR="0020344E" w:rsidRDefault="0020344E" w:rsidP="0020344E">
      <w:pPr>
        <w:tabs>
          <w:tab w:val="left" w:pos="560"/>
          <w:tab w:val="left" w:pos="3828"/>
        </w:tabs>
        <w:spacing w:after="0" w:line="480" w:lineRule="auto"/>
        <w:rPr>
          <w:rStyle w:val="text"/>
          <w:sz w:val="24"/>
          <w:szCs w:val="24"/>
        </w:rPr>
      </w:pPr>
    </w:p>
    <w:p w14:paraId="15194B9A" w14:textId="13E7DE33" w:rsidR="0020344E" w:rsidRDefault="0020344E" w:rsidP="003654F3">
      <w:pPr>
        <w:tabs>
          <w:tab w:val="left" w:pos="560"/>
          <w:tab w:val="left" w:pos="3828"/>
        </w:tabs>
        <w:spacing w:after="0" w:line="480" w:lineRule="auto"/>
        <w:rPr>
          <w:sz w:val="24"/>
          <w:szCs w:val="24"/>
        </w:rPr>
      </w:pPr>
      <w:r w:rsidRPr="001E0157">
        <w:rPr>
          <w:rStyle w:val="text"/>
          <w:sz w:val="24"/>
          <w:szCs w:val="24"/>
        </w:rPr>
        <w:t xml:space="preserve">We acknowledged at the start of this article that caution must be observed in carrying out </w:t>
      </w:r>
      <w:r>
        <w:rPr>
          <w:rStyle w:val="text"/>
          <w:sz w:val="24"/>
          <w:szCs w:val="24"/>
        </w:rPr>
        <w:t xml:space="preserve">and engaging with </w:t>
      </w:r>
      <w:r w:rsidRPr="001E0157">
        <w:rPr>
          <w:rStyle w:val="text"/>
          <w:sz w:val="24"/>
          <w:szCs w:val="24"/>
        </w:rPr>
        <w:t>the sort of analysis offered here</w:t>
      </w:r>
      <w:r>
        <w:rPr>
          <w:rStyle w:val="text"/>
          <w:sz w:val="24"/>
          <w:szCs w:val="24"/>
        </w:rPr>
        <w:t xml:space="preserve">, chiefly for three reasons. First, the </w:t>
      </w:r>
      <w:r>
        <w:rPr>
          <w:rStyle w:val="text"/>
          <w:sz w:val="24"/>
          <w:szCs w:val="24"/>
        </w:rPr>
        <w:lastRenderedPageBreak/>
        <w:t>approach adopted here</w:t>
      </w:r>
      <w:r w:rsidRPr="001E0157">
        <w:rPr>
          <w:rStyle w:val="text"/>
          <w:sz w:val="24"/>
          <w:szCs w:val="24"/>
        </w:rPr>
        <w:t xml:space="preserve"> requires us to identify metaphors in legal </w:t>
      </w:r>
      <w:r>
        <w:rPr>
          <w:rStyle w:val="text"/>
          <w:sz w:val="24"/>
          <w:szCs w:val="24"/>
        </w:rPr>
        <w:t>language</w:t>
      </w:r>
      <w:r w:rsidRPr="001E0157">
        <w:rPr>
          <w:rStyle w:val="text"/>
          <w:sz w:val="24"/>
          <w:szCs w:val="24"/>
        </w:rPr>
        <w:t xml:space="preserve"> that are ‘unmarked’ in the sense of lacking any explicit sign that the relevant judicial </w:t>
      </w:r>
      <w:r w:rsidR="003654F3">
        <w:rPr>
          <w:rStyle w:val="text"/>
          <w:sz w:val="24"/>
          <w:szCs w:val="24"/>
        </w:rPr>
        <w:t xml:space="preserve">utterances </w:t>
      </w:r>
      <w:r w:rsidRPr="001E0157">
        <w:rPr>
          <w:rStyle w:val="text"/>
          <w:sz w:val="24"/>
          <w:szCs w:val="24"/>
        </w:rPr>
        <w:t xml:space="preserve">are intended to carry </w:t>
      </w:r>
      <w:r w:rsidR="003654F3">
        <w:rPr>
          <w:rStyle w:val="text"/>
          <w:sz w:val="24"/>
          <w:szCs w:val="24"/>
        </w:rPr>
        <w:t xml:space="preserve">a meaning other than the </w:t>
      </w:r>
      <w:r w:rsidRPr="001E0157">
        <w:rPr>
          <w:rStyle w:val="text"/>
          <w:sz w:val="24"/>
          <w:szCs w:val="24"/>
        </w:rPr>
        <w:t>literal.</w:t>
      </w:r>
      <w:r>
        <w:rPr>
          <w:rStyle w:val="text"/>
          <w:sz w:val="24"/>
          <w:szCs w:val="24"/>
        </w:rPr>
        <w:t xml:space="preserve"> </w:t>
      </w:r>
      <w:r w:rsidRPr="001E0157">
        <w:rPr>
          <w:sz w:val="24"/>
          <w:szCs w:val="24"/>
        </w:rPr>
        <w:t xml:space="preserve">We have not </w:t>
      </w:r>
      <w:r>
        <w:rPr>
          <w:sz w:val="24"/>
          <w:szCs w:val="24"/>
        </w:rPr>
        <w:t>sought, in other words, to argue</w:t>
      </w:r>
      <w:r w:rsidRPr="001E0157">
        <w:rPr>
          <w:sz w:val="24"/>
          <w:szCs w:val="24"/>
        </w:rPr>
        <w:t xml:space="preserve"> that the persuasive effect of the metaphor can typically be accounted for by any deliberate or strategic ‘deployment’ </w:t>
      </w:r>
      <w:r>
        <w:rPr>
          <w:sz w:val="24"/>
          <w:szCs w:val="24"/>
        </w:rPr>
        <w:t>of metaphor</w:t>
      </w:r>
      <w:r w:rsidRPr="001E0157">
        <w:rPr>
          <w:sz w:val="24"/>
          <w:szCs w:val="24"/>
        </w:rPr>
        <w:t xml:space="preserve">. </w:t>
      </w:r>
      <w:r>
        <w:rPr>
          <w:rStyle w:val="text"/>
          <w:sz w:val="24"/>
          <w:szCs w:val="24"/>
        </w:rPr>
        <w:t xml:space="preserve">Second, </w:t>
      </w:r>
      <w:r>
        <w:rPr>
          <w:sz w:val="24"/>
          <w:szCs w:val="24"/>
        </w:rPr>
        <w:t>w</w:t>
      </w:r>
      <w:r w:rsidRPr="001E0157">
        <w:rPr>
          <w:rStyle w:val="text"/>
          <w:sz w:val="24"/>
          <w:szCs w:val="24"/>
        </w:rPr>
        <w:t xml:space="preserve">e </w:t>
      </w:r>
      <w:r>
        <w:rPr>
          <w:rStyle w:val="text"/>
          <w:sz w:val="24"/>
          <w:szCs w:val="24"/>
        </w:rPr>
        <w:t xml:space="preserve">have </w:t>
      </w:r>
      <w:r w:rsidRPr="001E0157">
        <w:rPr>
          <w:rStyle w:val="text"/>
          <w:sz w:val="24"/>
          <w:szCs w:val="24"/>
        </w:rPr>
        <w:t>acknowledged also that there are clear differences between legal and literary texts</w:t>
      </w:r>
      <w:r w:rsidR="003654F3">
        <w:rPr>
          <w:rStyle w:val="text"/>
          <w:sz w:val="24"/>
          <w:szCs w:val="24"/>
        </w:rPr>
        <w:t xml:space="preserve"> as regards the shared expectations of authors and readers and relevant professional conventions</w:t>
      </w:r>
      <w:r w:rsidRPr="001E0157">
        <w:rPr>
          <w:rStyle w:val="text"/>
          <w:sz w:val="24"/>
          <w:szCs w:val="24"/>
        </w:rPr>
        <w:t xml:space="preserve">. </w:t>
      </w:r>
      <w:r>
        <w:rPr>
          <w:sz w:val="24"/>
          <w:szCs w:val="24"/>
        </w:rPr>
        <w:t xml:space="preserve">Third, we </w:t>
      </w:r>
      <w:r w:rsidR="003654F3">
        <w:rPr>
          <w:sz w:val="24"/>
          <w:szCs w:val="24"/>
        </w:rPr>
        <w:t xml:space="preserve">have acknowledged and noted immediately above </w:t>
      </w:r>
      <w:r>
        <w:rPr>
          <w:sz w:val="24"/>
          <w:szCs w:val="24"/>
        </w:rPr>
        <w:t xml:space="preserve">that, although </w:t>
      </w:r>
      <w:r w:rsidR="003654F3">
        <w:rPr>
          <w:sz w:val="24"/>
          <w:szCs w:val="24"/>
        </w:rPr>
        <w:t xml:space="preserve">we would expect that the </w:t>
      </w:r>
      <w:r>
        <w:rPr>
          <w:sz w:val="24"/>
          <w:szCs w:val="24"/>
        </w:rPr>
        <w:t xml:space="preserve">encumbrance/escape has an application that is more general than </w:t>
      </w:r>
      <w:r w:rsidR="003654F3">
        <w:rPr>
          <w:sz w:val="24"/>
          <w:szCs w:val="24"/>
        </w:rPr>
        <w:t xml:space="preserve">the </w:t>
      </w:r>
      <w:r>
        <w:rPr>
          <w:sz w:val="24"/>
          <w:szCs w:val="24"/>
        </w:rPr>
        <w:t>particular individual cases</w:t>
      </w:r>
      <w:r w:rsidR="003654F3">
        <w:rPr>
          <w:sz w:val="24"/>
          <w:szCs w:val="24"/>
        </w:rPr>
        <w:t xml:space="preserve"> discussed</w:t>
      </w:r>
      <w:r>
        <w:rPr>
          <w:sz w:val="24"/>
          <w:szCs w:val="24"/>
        </w:rPr>
        <w:t xml:space="preserve">, we do not set out to claim that it represents a </w:t>
      </w:r>
      <w:r w:rsidRPr="003654F3">
        <w:rPr>
          <w:sz w:val="24"/>
          <w:szCs w:val="24"/>
        </w:rPr>
        <w:t>universal</w:t>
      </w:r>
      <w:r>
        <w:rPr>
          <w:sz w:val="24"/>
          <w:szCs w:val="24"/>
        </w:rPr>
        <w:t xml:space="preserve"> </w:t>
      </w:r>
      <w:r w:rsidR="003654F3">
        <w:rPr>
          <w:sz w:val="24"/>
          <w:szCs w:val="24"/>
        </w:rPr>
        <w:t>basis for legal rhetoric</w:t>
      </w:r>
      <w:r>
        <w:rPr>
          <w:sz w:val="24"/>
          <w:szCs w:val="24"/>
        </w:rPr>
        <w:t xml:space="preserve">. </w:t>
      </w:r>
    </w:p>
    <w:p w14:paraId="5A2187B6" w14:textId="5CD6E03C" w:rsidR="007A4993" w:rsidRPr="001E0157" w:rsidRDefault="0020344E" w:rsidP="003654F3">
      <w:pPr>
        <w:tabs>
          <w:tab w:val="left" w:pos="560"/>
          <w:tab w:val="left" w:pos="3828"/>
        </w:tabs>
        <w:spacing w:after="0" w:line="480" w:lineRule="auto"/>
        <w:rPr>
          <w:sz w:val="24"/>
          <w:szCs w:val="24"/>
        </w:rPr>
      </w:pPr>
      <w:r>
        <w:rPr>
          <w:rStyle w:val="text"/>
          <w:sz w:val="24"/>
          <w:szCs w:val="24"/>
        </w:rPr>
        <w:tab/>
      </w:r>
      <w:r w:rsidR="00F075E4" w:rsidRPr="001E0157">
        <w:rPr>
          <w:rStyle w:val="text"/>
          <w:sz w:val="24"/>
          <w:szCs w:val="24"/>
        </w:rPr>
        <w:t>Notwit</w:t>
      </w:r>
      <w:r w:rsidR="00D85743">
        <w:rPr>
          <w:rStyle w:val="text"/>
          <w:sz w:val="24"/>
          <w:szCs w:val="24"/>
        </w:rPr>
        <w:t>hstanding all of that however, we</w:t>
      </w:r>
      <w:r w:rsidR="00F075E4" w:rsidRPr="001E0157">
        <w:rPr>
          <w:rStyle w:val="text"/>
          <w:sz w:val="24"/>
          <w:szCs w:val="24"/>
        </w:rPr>
        <w:t xml:space="preserve"> have sought to identify a common </w:t>
      </w:r>
      <w:r w:rsidR="00F852F5" w:rsidRPr="001E0157">
        <w:rPr>
          <w:sz w:val="24"/>
          <w:szCs w:val="24"/>
        </w:rPr>
        <w:t xml:space="preserve">rhetorical </w:t>
      </w:r>
      <w:r w:rsidR="00026AED" w:rsidRPr="001E0157">
        <w:rPr>
          <w:sz w:val="24"/>
          <w:szCs w:val="24"/>
        </w:rPr>
        <w:t>wellspring</w:t>
      </w:r>
      <w:r w:rsidR="00F852F5" w:rsidRPr="001E0157">
        <w:rPr>
          <w:sz w:val="24"/>
          <w:szCs w:val="24"/>
        </w:rPr>
        <w:t xml:space="preserve"> </w:t>
      </w:r>
      <w:r w:rsidR="00F075E4" w:rsidRPr="001E0157">
        <w:rPr>
          <w:sz w:val="24"/>
          <w:szCs w:val="24"/>
        </w:rPr>
        <w:t xml:space="preserve">that significantly structures how norms are thought and articulated </w:t>
      </w:r>
      <w:r w:rsidR="000C35DF" w:rsidRPr="001E0157">
        <w:rPr>
          <w:sz w:val="24"/>
          <w:szCs w:val="24"/>
        </w:rPr>
        <w:t>across disciplinary boundaries</w:t>
      </w:r>
      <w:r w:rsidR="00F075E4" w:rsidRPr="001E0157">
        <w:rPr>
          <w:sz w:val="24"/>
          <w:szCs w:val="24"/>
        </w:rPr>
        <w:t>.</w:t>
      </w:r>
      <w:r w:rsidR="00D85743">
        <w:rPr>
          <w:sz w:val="24"/>
          <w:szCs w:val="24"/>
        </w:rPr>
        <w:t xml:space="preserve"> </w:t>
      </w:r>
      <w:r w:rsidR="00D85743" w:rsidRPr="001E0157">
        <w:rPr>
          <w:rStyle w:val="text"/>
          <w:sz w:val="24"/>
          <w:szCs w:val="24"/>
        </w:rPr>
        <w:t xml:space="preserve">If </w:t>
      </w:r>
      <w:r w:rsidR="00D85743">
        <w:rPr>
          <w:rStyle w:val="text"/>
          <w:sz w:val="24"/>
          <w:szCs w:val="24"/>
        </w:rPr>
        <w:t>encumbrance/escape</w:t>
      </w:r>
      <w:r w:rsidR="00D85743" w:rsidRPr="001E0157">
        <w:rPr>
          <w:rStyle w:val="text"/>
          <w:sz w:val="24"/>
          <w:szCs w:val="24"/>
        </w:rPr>
        <w:t xml:space="preserve"> is </w:t>
      </w:r>
      <w:r w:rsidR="00D85743" w:rsidRPr="001E0157">
        <w:rPr>
          <w:sz w:val="24"/>
          <w:szCs w:val="24"/>
        </w:rPr>
        <w:t xml:space="preserve">(as Lacey puts it in a different context) a ‘legitimating </w:t>
      </w:r>
      <w:r w:rsidR="00D85743" w:rsidRPr="001E0157">
        <w:rPr>
          <w:iCs/>
          <w:sz w:val="24"/>
          <w:szCs w:val="24"/>
        </w:rPr>
        <w:t>image</w:t>
      </w:r>
      <w:r w:rsidR="00D85743" w:rsidRPr="001E0157">
        <w:rPr>
          <w:sz w:val="24"/>
          <w:szCs w:val="24"/>
        </w:rPr>
        <w:t>’</w:t>
      </w:r>
      <w:r w:rsidR="003654F3" w:rsidRPr="004A6696">
        <w:rPr>
          <w:rStyle w:val="FootnoteReference"/>
        </w:rPr>
        <w:footnoteReference w:id="95"/>
      </w:r>
      <w:r w:rsidR="00D85743" w:rsidRPr="001E0157">
        <w:rPr>
          <w:sz w:val="24"/>
          <w:szCs w:val="24"/>
        </w:rPr>
        <w:t xml:space="preserve"> then this is so because it is a ‘living’ metaphor that is deeply ingrained in our existing conceptual frameworks for notions of morality, normativity and so forth. </w:t>
      </w:r>
      <w:r w:rsidR="005D16B1">
        <w:rPr>
          <w:sz w:val="24"/>
          <w:szCs w:val="24"/>
        </w:rPr>
        <w:t>We</w:t>
      </w:r>
      <w:r w:rsidR="00D57995" w:rsidRPr="001E0157">
        <w:rPr>
          <w:sz w:val="24"/>
          <w:szCs w:val="24"/>
        </w:rPr>
        <w:t xml:space="preserve"> have suggested that a figurative </w:t>
      </w:r>
      <w:r w:rsidR="00F212C7">
        <w:rPr>
          <w:sz w:val="24"/>
          <w:szCs w:val="24"/>
        </w:rPr>
        <w:t xml:space="preserve">notion of ‘escape’ </w:t>
      </w:r>
      <w:r w:rsidR="00D85743">
        <w:rPr>
          <w:sz w:val="24"/>
          <w:szCs w:val="24"/>
        </w:rPr>
        <w:t xml:space="preserve">from encumbrance </w:t>
      </w:r>
      <w:r w:rsidR="005D16B1" w:rsidRPr="001E0157">
        <w:rPr>
          <w:sz w:val="24"/>
          <w:szCs w:val="24"/>
        </w:rPr>
        <w:t>is identifiable in relevant sources of both law and literature.</w:t>
      </w:r>
      <w:r w:rsidR="005D16B1">
        <w:rPr>
          <w:sz w:val="24"/>
          <w:szCs w:val="24"/>
        </w:rPr>
        <w:t xml:space="preserve"> The metaphor makes its appearance in various ways, and most often </w:t>
      </w:r>
      <w:r w:rsidR="00F212C7">
        <w:rPr>
          <w:sz w:val="24"/>
          <w:szCs w:val="24"/>
        </w:rPr>
        <w:t xml:space="preserve">by </w:t>
      </w:r>
      <w:r w:rsidR="005D16B1">
        <w:rPr>
          <w:sz w:val="24"/>
          <w:szCs w:val="24"/>
        </w:rPr>
        <w:t>invoking other</w:t>
      </w:r>
      <w:r w:rsidR="00D85743">
        <w:rPr>
          <w:sz w:val="24"/>
          <w:szCs w:val="24"/>
        </w:rPr>
        <w:t xml:space="preserve"> metaphors </w:t>
      </w:r>
      <w:r w:rsidR="005D16B1">
        <w:rPr>
          <w:sz w:val="24"/>
          <w:szCs w:val="24"/>
        </w:rPr>
        <w:t xml:space="preserve">that are its component elements: </w:t>
      </w:r>
      <w:r w:rsidR="00D85743">
        <w:rPr>
          <w:sz w:val="24"/>
          <w:szCs w:val="24"/>
        </w:rPr>
        <w:t xml:space="preserve">orientation (say, </w:t>
      </w:r>
      <w:r w:rsidR="00F212C7">
        <w:rPr>
          <w:sz w:val="24"/>
          <w:szCs w:val="24"/>
        </w:rPr>
        <w:t xml:space="preserve">making an </w:t>
      </w:r>
      <w:r w:rsidR="00D85743">
        <w:rPr>
          <w:sz w:val="24"/>
          <w:szCs w:val="24"/>
        </w:rPr>
        <w:t>‘</w:t>
      </w:r>
      <w:r w:rsidR="00F212C7">
        <w:rPr>
          <w:sz w:val="24"/>
          <w:szCs w:val="24"/>
        </w:rPr>
        <w:t>ascent</w:t>
      </w:r>
      <w:r w:rsidR="00D85743">
        <w:rPr>
          <w:sz w:val="24"/>
          <w:szCs w:val="24"/>
        </w:rPr>
        <w:t xml:space="preserve">’), containers (being held inside something else) or movement (freedom and constraint) </w:t>
      </w:r>
      <w:r w:rsidR="00F212C7">
        <w:rPr>
          <w:sz w:val="24"/>
          <w:szCs w:val="24"/>
        </w:rPr>
        <w:t xml:space="preserve">but in any case </w:t>
      </w:r>
      <w:r w:rsidR="005D16B1">
        <w:rPr>
          <w:sz w:val="24"/>
          <w:szCs w:val="24"/>
        </w:rPr>
        <w:t xml:space="preserve">implicating a desire to be </w:t>
      </w:r>
      <w:r w:rsidR="00F212C7">
        <w:rPr>
          <w:sz w:val="24"/>
          <w:szCs w:val="24"/>
        </w:rPr>
        <w:t>free of weighty shackles, constraints, fetters,</w:t>
      </w:r>
      <w:r w:rsidR="00D85743">
        <w:rPr>
          <w:sz w:val="24"/>
          <w:szCs w:val="24"/>
        </w:rPr>
        <w:t xml:space="preserve"> obscuring layers,</w:t>
      </w:r>
      <w:r w:rsidR="005D16B1">
        <w:rPr>
          <w:sz w:val="24"/>
          <w:szCs w:val="24"/>
        </w:rPr>
        <w:t xml:space="preserve"> and so forth</w:t>
      </w:r>
      <w:r w:rsidR="00F212C7">
        <w:rPr>
          <w:sz w:val="24"/>
          <w:szCs w:val="24"/>
        </w:rPr>
        <w:t>.</w:t>
      </w:r>
      <w:r w:rsidR="00D57995" w:rsidRPr="001E0157">
        <w:rPr>
          <w:sz w:val="24"/>
          <w:szCs w:val="24"/>
        </w:rPr>
        <w:t xml:space="preserve"> </w:t>
      </w:r>
      <w:r w:rsidR="00F212C7">
        <w:rPr>
          <w:sz w:val="24"/>
          <w:szCs w:val="24"/>
        </w:rPr>
        <w:t xml:space="preserve">We have identified examples of how success at so freeing oneself may be associated with the possibility of </w:t>
      </w:r>
      <w:r w:rsidR="00F212C7">
        <w:rPr>
          <w:sz w:val="24"/>
          <w:szCs w:val="24"/>
        </w:rPr>
        <w:lastRenderedPageBreak/>
        <w:t>justice (and in our instant case, the possibility of satisfactory tests for culpability)</w:t>
      </w:r>
      <w:r w:rsidR="00DC6A54" w:rsidRPr="001E0157">
        <w:rPr>
          <w:sz w:val="24"/>
          <w:szCs w:val="24"/>
        </w:rPr>
        <w:t>.</w:t>
      </w:r>
      <w:r w:rsidR="00D57995" w:rsidRPr="001E0157">
        <w:rPr>
          <w:sz w:val="24"/>
          <w:szCs w:val="24"/>
        </w:rPr>
        <w:t xml:space="preserve"> </w:t>
      </w:r>
      <w:r w:rsidR="00F212C7">
        <w:rPr>
          <w:sz w:val="24"/>
          <w:szCs w:val="24"/>
        </w:rPr>
        <w:t xml:space="preserve">We have also identified examples of the reverse experience, of a failure so to free oneself from that which </w:t>
      </w:r>
      <w:r w:rsidR="00216D66">
        <w:rPr>
          <w:sz w:val="24"/>
          <w:szCs w:val="24"/>
        </w:rPr>
        <w:t xml:space="preserve">exerts a </w:t>
      </w:r>
      <w:r w:rsidR="00F212C7">
        <w:rPr>
          <w:sz w:val="24"/>
          <w:szCs w:val="24"/>
        </w:rPr>
        <w:t>drag</w:t>
      </w:r>
      <w:r w:rsidR="00216D66">
        <w:rPr>
          <w:sz w:val="24"/>
          <w:szCs w:val="24"/>
        </w:rPr>
        <w:t xml:space="preserve"> (</w:t>
      </w:r>
      <w:r w:rsidR="00F212C7">
        <w:rPr>
          <w:sz w:val="24"/>
          <w:szCs w:val="24"/>
        </w:rPr>
        <w:t>down, back, inside and under</w:t>
      </w:r>
      <w:r w:rsidR="00216D66">
        <w:rPr>
          <w:sz w:val="24"/>
          <w:szCs w:val="24"/>
        </w:rPr>
        <w:t>)</w:t>
      </w:r>
      <w:r w:rsidR="00F212C7">
        <w:rPr>
          <w:sz w:val="24"/>
          <w:szCs w:val="24"/>
        </w:rPr>
        <w:t xml:space="preserve"> being paired conversely with justice confounded or obstructed</w:t>
      </w:r>
      <w:r w:rsidR="00216D66">
        <w:rPr>
          <w:sz w:val="24"/>
          <w:szCs w:val="24"/>
        </w:rPr>
        <w:t xml:space="preserve">, </w:t>
      </w:r>
      <w:r w:rsidR="00F212C7">
        <w:rPr>
          <w:sz w:val="24"/>
          <w:szCs w:val="24"/>
        </w:rPr>
        <w:t xml:space="preserve">and arguably personified in the ‘antagonists’ of legal cases, which in our case included, for example, </w:t>
      </w:r>
      <w:r w:rsidR="00F852F5" w:rsidRPr="001E0157">
        <w:rPr>
          <w:sz w:val="24"/>
          <w:szCs w:val="24"/>
        </w:rPr>
        <w:t>Gilks, Ivey, Rostron,</w:t>
      </w:r>
      <w:r w:rsidR="00A07487" w:rsidRPr="001E0157">
        <w:rPr>
          <w:sz w:val="24"/>
          <w:szCs w:val="24"/>
        </w:rPr>
        <w:t xml:space="preserve"> B</w:t>
      </w:r>
      <w:r w:rsidR="001E0157" w:rsidRPr="001E0157">
        <w:rPr>
          <w:sz w:val="24"/>
          <w:szCs w:val="24"/>
        </w:rPr>
        <w:t>,</w:t>
      </w:r>
      <w:r w:rsidR="00315034" w:rsidRPr="001E0157">
        <w:rPr>
          <w:sz w:val="24"/>
          <w:szCs w:val="24"/>
        </w:rPr>
        <w:t xml:space="preserve"> Morhall</w:t>
      </w:r>
      <w:r w:rsidR="00A07487" w:rsidRPr="001E0157">
        <w:rPr>
          <w:sz w:val="24"/>
          <w:szCs w:val="24"/>
        </w:rPr>
        <w:t>,</w:t>
      </w:r>
      <w:r w:rsidR="00F852F5" w:rsidRPr="001E0157">
        <w:rPr>
          <w:sz w:val="24"/>
          <w:szCs w:val="24"/>
        </w:rPr>
        <w:t xml:space="preserve"> Clinton, Howe and Caldwell</w:t>
      </w:r>
      <w:r w:rsidR="00C3102B">
        <w:rPr>
          <w:sz w:val="24"/>
          <w:szCs w:val="24"/>
        </w:rPr>
        <w:t>.</w:t>
      </w:r>
      <w:r w:rsidR="00F852F5" w:rsidRPr="001E0157">
        <w:rPr>
          <w:sz w:val="24"/>
          <w:szCs w:val="24"/>
        </w:rPr>
        <w:t xml:space="preserve"> </w:t>
      </w:r>
      <w:r w:rsidR="00437CD2">
        <w:rPr>
          <w:sz w:val="24"/>
          <w:szCs w:val="24"/>
        </w:rPr>
        <w:t xml:space="preserve">Although this cast </w:t>
      </w:r>
      <w:r w:rsidR="007D42D5">
        <w:rPr>
          <w:sz w:val="24"/>
          <w:szCs w:val="24"/>
        </w:rPr>
        <w:t>list</w:t>
      </w:r>
      <w:r w:rsidR="00437CD2">
        <w:rPr>
          <w:sz w:val="24"/>
          <w:szCs w:val="24"/>
        </w:rPr>
        <w:t xml:space="preserve"> is drawn from </w:t>
      </w:r>
      <w:r w:rsidR="007D42D5">
        <w:rPr>
          <w:sz w:val="24"/>
          <w:szCs w:val="24"/>
        </w:rPr>
        <w:t xml:space="preserve">particular topics within </w:t>
      </w:r>
      <w:r w:rsidR="00437CD2">
        <w:rPr>
          <w:sz w:val="24"/>
          <w:szCs w:val="24"/>
        </w:rPr>
        <w:t xml:space="preserve">English criminal law, we would </w:t>
      </w:r>
      <w:r w:rsidR="00DF6610">
        <w:rPr>
          <w:sz w:val="24"/>
          <w:szCs w:val="24"/>
        </w:rPr>
        <w:t>suggest</w:t>
      </w:r>
      <w:r w:rsidR="00437CD2">
        <w:rPr>
          <w:sz w:val="24"/>
          <w:szCs w:val="24"/>
        </w:rPr>
        <w:t xml:space="preserve"> that further analysis </w:t>
      </w:r>
      <w:r w:rsidR="007D42D5">
        <w:rPr>
          <w:sz w:val="24"/>
          <w:szCs w:val="24"/>
        </w:rPr>
        <w:t>is likely to</w:t>
      </w:r>
      <w:r w:rsidR="00437CD2">
        <w:rPr>
          <w:sz w:val="24"/>
          <w:szCs w:val="24"/>
        </w:rPr>
        <w:t xml:space="preserve"> confirm that the conceptual metaphor at work </w:t>
      </w:r>
      <w:r w:rsidR="007D42D5">
        <w:rPr>
          <w:sz w:val="24"/>
          <w:szCs w:val="24"/>
        </w:rPr>
        <w:t>has</w:t>
      </w:r>
      <w:r w:rsidR="00437CD2">
        <w:rPr>
          <w:sz w:val="24"/>
          <w:szCs w:val="24"/>
        </w:rPr>
        <w:t xml:space="preserve"> a much broader reach than this. </w:t>
      </w:r>
      <w:r w:rsidR="00A74543" w:rsidRPr="001E0157">
        <w:rPr>
          <w:sz w:val="24"/>
          <w:szCs w:val="24"/>
        </w:rPr>
        <w:t>By leading the discussion of a range of case law</w:t>
      </w:r>
      <w:r w:rsidR="00C3102B">
        <w:rPr>
          <w:sz w:val="24"/>
          <w:szCs w:val="24"/>
        </w:rPr>
        <w:t xml:space="preserve"> drawn from twentieth and twenty-first century criminal legal history</w:t>
      </w:r>
      <w:r w:rsidR="00A74543" w:rsidRPr="001E0157">
        <w:rPr>
          <w:sz w:val="24"/>
          <w:szCs w:val="24"/>
        </w:rPr>
        <w:t xml:space="preserve"> with the recent Supreme Court </w:t>
      </w:r>
      <w:r w:rsidR="00C3102B">
        <w:rPr>
          <w:sz w:val="24"/>
          <w:szCs w:val="24"/>
        </w:rPr>
        <w:t xml:space="preserve">ruling </w:t>
      </w:r>
      <w:r w:rsidR="005D16B1">
        <w:rPr>
          <w:sz w:val="24"/>
          <w:szCs w:val="24"/>
        </w:rPr>
        <w:t>on dishonesty, we</w:t>
      </w:r>
      <w:r w:rsidR="00A74543" w:rsidRPr="001E0157">
        <w:rPr>
          <w:sz w:val="24"/>
          <w:szCs w:val="24"/>
        </w:rPr>
        <w:t xml:space="preserve"> hope to have shown furthermore that </w:t>
      </w:r>
      <w:r w:rsidR="009A431B" w:rsidRPr="001E0157">
        <w:rPr>
          <w:sz w:val="24"/>
          <w:szCs w:val="24"/>
        </w:rPr>
        <w:t xml:space="preserve">the observations made here are no mere matters of </w:t>
      </w:r>
      <w:r w:rsidR="00C3102B">
        <w:rPr>
          <w:sz w:val="24"/>
          <w:szCs w:val="24"/>
        </w:rPr>
        <w:t xml:space="preserve">coincidence, or </w:t>
      </w:r>
      <w:r w:rsidR="009A431B" w:rsidRPr="001E0157">
        <w:rPr>
          <w:sz w:val="24"/>
          <w:szCs w:val="24"/>
        </w:rPr>
        <w:t xml:space="preserve">niche or </w:t>
      </w:r>
      <w:r w:rsidR="00A74543" w:rsidRPr="001E0157">
        <w:rPr>
          <w:sz w:val="24"/>
          <w:szCs w:val="24"/>
        </w:rPr>
        <w:t xml:space="preserve">historical interest, but </w:t>
      </w:r>
      <w:r w:rsidR="009A431B" w:rsidRPr="001E0157">
        <w:rPr>
          <w:sz w:val="24"/>
          <w:szCs w:val="24"/>
        </w:rPr>
        <w:t>a</w:t>
      </w:r>
      <w:r w:rsidR="000C35DF" w:rsidRPr="001E0157">
        <w:rPr>
          <w:sz w:val="24"/>
          <w:szCs w:val="24"/>
        </w:rPr>
        <w:t>n important part</w:t>
      </w:r>
      <w:r w:rsidR="009A431B" w:rsidRPr="001E0157">
        <w:rPr>
          <w:sz w:val="24"/>
          <w:szCs w:val="24"/>
        </w:rPr>
        <w:t xml:space="preserve"> of understanding </w:t>
      </w:r>
      <w:r w:rsidR="001E0157" w:rsidRPr="001E0157">
        <w:rPr>
          <w:sz w:val="24"/>
          <w:szCs w:val="24"/>
        </w:rPr>
        <w:t xml:space="preserve">legal </w:t>
      </w:r>
      <w:r w:rsidR="009A431B" w:rsidRPr="001E0157">
        <w:rPr>
          <w:sz w:val="24"/>
          <w:szCs w:val="24"/>
        </w:rPr>
        <w:t>l</w:t>
      </w:r>
      <w:r w:rsidR="003838A0" w:rsidRPr="001E0157">
        <w:rPr>
          <w:sz w:val="24"/>
          <w:szCs w:val="24"/>
        </w:rPr>
        <w:t>anguage</w:t>
      </w:r>
      <w:r w:rsidR="009A431B" w:rsidRPr="001E0157">
        <w:rPr>
          <w:sz w:val="24"/>
          <w:szCs w:val="24"/>
        </w:rPr>
        <w:t>.</w:t>
      </w:r>
      <w:r w:rsidR="00A74543" w:rsidRPr="001E0157">
        <w:rPr>
          <w:sz w:val="24"/>
          <w:szCs w:val="24"/>
        </w:rPr>
        <w:t xml:space="preserve"> </w:t>
      </w:r>
    </w:p>
    <w:sectPr w:rsidR="007A4993" w:rsidRPr="001E0157">
      <w:footerReference w:type="even"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78DDEF" w16cid:durableId="2003F129"/>
  <w16cid:commentId w16cid:paraId="5DD559F8" w16cid:durableId="2003F2D9"/>
  <w16cid:commentId w16cid:paraId="1F76B24B" w16cid:durableId="2003F1B4"/>
  <w16cid:commentId w16cid:paraId="45B1BC2E" w16cid:durableId="2003F298"/>
  <w16cid:commentId w16cid:paraId="459116CB" w16cid:durableId="2003F51D"/>
  <w16cid:commentId w16cid:paraId="5C003CE7" w16cid:durableId="2003F580"/>
  <w16cid:commentId w16cid:paraId="60A1EBA5" w16cid:durableId="2003F5D6"/>
  <w16cid:commentId w16cid:paraId="0064371A" w16cid:durableId="2003F786"/>
  <w16cid:commentId w16cid:paraId="4588678C" w16cid:durableId="2003F9CC"/>
  <w16cid:commentId w16cid:paraId="17DEC088" w16cid:durableId="2003FA0F"/>
  <w16cid:commentId w16cid:paraId="427B5C21" w16cid:durableId="20042F81"/>
  <w16cid:commentId w16cid:paraId="440E7DFA" w16cid:durableId="2004322E"/>
  <w16cid:commentId w16cid:paraId="2D4735B8" w16cid:durableId="200432D0"/>
  <w16cid:commentId w16cid:paraId="35C42181" w16cid:durableId="200432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3CD41" w14:textId="77777777" w:rsidR="006C2ABA" w:rsidRDefault="006C2ABA" w:rsidP="00C272A4">
      <w:pPr>
        <w:spacing w:after="0" w:line="240" w:lineRule="auto"/>
      </w:pPr>
      <w:r>
        <w:separator/>
      </w:r>
    </w:p>
  </w:endnote>
  <w:endnote w:type="continuationSeparator" w:id="0">
    <w:p w14:paraId="15CC9B18" w14:textId="77777777" w:rsidR="006C2ABA" w:rsidRDefault="006C2ABA" w:rsidP="00C2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dvOT46dcae81">
    <w:panose1 w:val="00000000000000000000"/>
    <w:charset w:val="00"/>
    <w:family w:val="swiss"/>
    <w:notTrueType/>
    <w:pitch w:val="default"/>
    <w:sig w:usb0="00000003" w:usb1="00000000" w:usb2="00000000" w:usb3="00000000" w:csb0="00000001" w:csb1="00000000"/>
  </w:font>
  <w:font w:name="AdvOT46dcae81+fb">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166D" w14:textId="77777777" w:rsidR="00133E41" w:rsidRDefault="00133E41" w:rsidP="00BD3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14E2E" w14:textId="77777777" w:rsidR="00133E41" w:rsidRDefault="00133E41" w:rsidP="002106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9F6D" w14:textId="77777777" w:rsidR="00133E41" w:rsidRDefault="00133E41" w:rsidP="00BD3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1B70">
      <w:rPr>
        <w:rStyle w:val="PageNumber"/>
        <w:noProof/>
      </w:rPr>
      <w:t>2</w:t>
    </w:r>
    <w:r>
      <w:rPr>
        <w:rStyle w:val="PageNumber"/>
      </w:rPr>
      <w:fldChar w:fldCharType="end"/>
    </w:r>
  </w:p>
  <w:p w14:paraId="11BD1FDA" w14:textId="77777777" w:rsidR="00133E41" w:rsidRDefault="00133E41" w:rsidP="002106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2A49F" w14:textId="77777777" w:rsidR="006C2ABA" w:rsidRDefault="006C2ABA" w:rsidP="00C272A4">
      <w:pPr>
        <w:spacing w:after="0" w:line="240" w:lineRule="auto"/>
      </w:pPr>
      <w:r>
        <w:separator/>
      </w:r>
    </w:p>
  </w:footnote>
  <w:footnote w:type="continuationSeparator" w:id="0">
    <w:p w14:paraId="68C8EE60" w14:textId="77777777" w:rsidR="006C2ABA" w:rsidRDefault="006C2ABA" w:rsidP="00C272A4">
      <w:pPr>
        <w:spacing w:after="0" w:line="240" w:lineRule="auto"/>
      </w:pPr>
      <w:r>
        <w:continuationSeparator/>
      </w:r>
    </w:p>
  </w:footnote>
  <w:footnote w:id="1">
    <w:p w14:paraId="2E1F5BE8" w14:textId="30AFE07F" w:rsidR="00133E41" w:rsidRPr="004C60FF" w:rsidRDefault="00133E41" w:rsidP="00EA440D">
      <w:pPr>
        <w:spacing w:after="0" w:line="240" w:lineRule="auto"/>
        <w:rPr>
          <w:i/>
          <w:iCs/>
          <w:sz w:val="20"/>
          <w:szCs w:val="20"/>
        </w:rPr>
      </w:pPr>
      <w:r w:rsidRPr="004A6696">
        <w:rPr>
          <w:rStyle w:val="FootnoteReference"/>
        </w:rPr>
        <w:footnoteRef/>
      </w:r>
      <w:r w:rsidRPr="004C60FF">
        <w:rPr>
          <w:sz w:val="20"/>
          <w:szCs w:val="20"/>
        </w:rPr>
        <w:t xml:space="preserve"> For discussion of metaphor and its role in law, see Gary Watt, </w:t>
      </w:r>
      <w:r w:rsidRPr="004C60FF">
        <w:rPr>
          <w:i/>
          <w:iCs/>
          <w:sz w:val="20"/>
          <w:szCs w:val="20"/>
        </w:rPr>
        <w:t>Equity Stirring</w:t>
      </w:r>
      <w:r w:rsidRPr="004C60FF">
        <w:rPr>
          <w:sz w:val="20"/>
          <w:szCs w:val="20"/>
        </w:rPr>
        <w:t xml:space="preserve"> (Hart, 2007); David Gurnham, </w:t>
      </w:r>
      <w:r w:rsidRPr="004C60FF">
        <w:rPr>
          <w:i/>
          <w:iCs/>
          <w:sz w:val="20"/>
          <w:szCs w:val="20"/>
        </w:rPr>
        <w:t>Law’s Metaphors: interrogating languages of law, justice, and legitimacy</w:t>
      </w:r>
      <w:r w:rsidRPr="004C60FF">
        <w:rPr>
          <w:sz w:val="20"/>
          <w:szCs w:val="20"/>
        </w:rPr>
        <w:t xml:space="preserve"> (Wiley-Blackwell, 2016); Michael Hanne and Robert Weisberg, </w:t>
      </w:r>
      <w:r w:rsidRPr="004C60FF">
        <w:rPr>
          <w:i/>
          <w:sz w:val="20"/>
          <w:szCs w:val="20"/>
        </w:rPr>
        <w:t>Narrative and Metaphor in the Law</w:t>
      </w:r>
      <w:r w:rsidRPr="004C60FF">
        <w:rPr>
          <w:sz w:val="20"/>
          <w:szCs w:val="20"/>
        </w:rPr>
        <w:t xml:space="preserve"> (Cambridge University Press);</w:t>
      </w:r>
      <w:r w:rsidRPr="004C60FF">
        <w:rPr>
          <w:rFonts w:cs="Times New Roman"/>
          <w:sz w:val="20"/>
          <w:szCs w:val="20"/>
          <w:lang w:val="en-US"/>
        </w:rPr>
        <w:t xml:space="preserve"> M. Johnson, ‘Mind, Metaphor, Law’ (2007) 58 </w:t>
      </w:r>
      <w:r w:rsidRPr="004C60FF">
        <w:rPr>
          <w:rFonts w:cs="Times New Roman"/>
          <w:i/>
          <w:iCs/>
          <w:sz w:val="20"/>
          <w:szCs w:val="20"/>
          <w:lang w:val="en-US"/>
        </w:rPr>
        <w:t>Mercer Law Rev.</w:t>
      </w:r>
      <w:r w:rsidRPr="004C60FF">
        <w:rPr>
          <w:rFonts w:cs="Times New Roman"/>
          <w:sz w:val="20"/>
          <w:szCs w:val="20"/>
          <w:lang w:val="en-US"/>
        </w:rPr>
        <w:t xml:space="preserve"> 845; </w:t>
      </w:r>
      <w:r w:rsidRPr="004C60FF">
        <w:rPr>
          <w:rFonts w:cs="Times New Roman"/>
          <w:sz w:val="20"/>
          <w:szCs w:val="20"/>
        </w:rPr>
        <w:t xml:space="preserve">L. Morra, ‘New Models for Language Understanding and the Cognitive Approach to Legal Metaphor’ (2010) 23 </w:t>
      </w:r>
      <w:r w:rsidRPr="004C60FF">
        <w:rPr>
          <w:rFonts w:cs="Times New Roman"/>
          <w:i/>
          <w:sz w:val="20"/>
          <w:szCs w:val="20"/>
        </w:rPr>
        <w:t xml:space="preserve">International J. of Semiotics of Law </w:t>
      </w:r>
      <w:r w:rsidRPr="004C60FF">
        <w:rPr>
          <w:rFonts w:cs="Times New Roman"/>
          <w:sz w:val="20"/>
          <w:szCs w:val="20"/>
        </w:rPr>
        <w:t>387</w:t>
      </w:r>
      <w:r w:rsidRPr="004C60FF">
        <w:rPr>
          <w:rFonts w:cs="Times New Roman"/>
          <w:sz w:val="20"/>
          <w:szCs w:val="20"/>
          <w:lang w:val="en-US"/>
        </w:rPr>
        <w:t xml:space="preserve">. </w:t>
      </w:r>
    </w:p>
  </w:footnote>
  <w:footnote w:id="2">
    <w:p w14:paraId="0ACB2957" w14:textId="29E3236D" w:rsidR="00133E41" w:rsidRPr="004C60FF" w:rsidRDefault="00133E41" w:rsidP="00F831F6">
      <w:pPr>
        <w:pStyle w:val="FootnoteText"/>
      </w:pPr>
      <w:r w:rsidRPr="004A6696">
        <w:rPr>
          <w:rStyle w:val="FootnoteReference"/>
        </w:rPr>
        <w:footnoteRef/>
      </w:r>
      <w:r w:rsidRPr="004C60FF">
        <w:t xml:space="preserve"> </w:t>
      </w:r>
      <w:r>
        <w:t xml:space="preserve">We will examine a number of these, but for now, an example of ‘body’ and ‘environment’ metaphors respectively might be the legal </w:t>
      </w:r>
      <w:r>
        <w:rPr>
          <w:i/>
        </w:rPr>
        <w:t>hearing</w:t>
      </w:r>
      <w:r>
        <w:t xml:space="preserve"> and law’s </w:t>
      </w:r>
      <w:r>
        <w:rPr>
          <w:i/>
        </w:rPr>
        <w:t>sources</w:t>
      </w:r>
      <w:r>
        <w:t xml:space="preserve">. </w:t>
      </w:r>
      <w:r w:rsidRPr="004C60FF">
        <w:t xml:space="preserve">See further, Paul </w:t>
      </w:r>
      <w:r>
        <w:t>Raffield, ‘Bodies of Law: the di</w:t>
      </w:r>
      <w:r w:rsidRPr="004C60FF">
        <w:t>vine architect, common law and the ancient constitution</w:t>
      </w:r>
      <w:r>
        <w:t>’</w:t>
      </w:r>
      <w:r w:rsidRPr="004C60FF">
        <w:t xml:space="preserve"> (2000) </w:t>
      </w:r>
      <w:r w:rsidRPr="004C60FF">
        <w:rPr>
          <w:i/>
          <w:iCs/>
        </w:rPr>
        <w:t>International Journal for the Semiotics of Law</w:t>
      </w:r>
      <w:r w:rsidRPr="004C60FF">
        <w:t>, 13: 333-356.</w:t>
      </w:r>
    </w:p>
  </w:footnote>
  <w:footnote w:id="3">
    <w:p w14:paraId="0F46E937" w14:textId="77777777" w:rsidR="00133E41" w:rsidRPr="004C60FF" w:rsidRDefault="00133E41" w:rsidP="00EF1CA8">
      <w:pPr>
        <w:pStyle w:val="FootnoteText"/>
      </w:pPr>
      <w:r w:rsidRPr="004A6696">
        <w:rPr>
          <w:rStyle w:val="FootnoteReference"/>
        </w:rPr>
        <w:footnoteRef/>
      </w:r>
      <w:r w:rsidRPr="004C60FF">
        <w:t xml:space="preserve"> </w:t>
      </w:r>
      <w:r w:rsidRPr="004C60FF">
        <w:rPr>
          <w:rFonts w:cs="Times New Roman"/>
        </w:rPr>
        <w:t xml:space="preserve">G. Lakoff and M. Johnson, </w:t>
      </w:r>
      <w:r w:rsidRPr="004C60FF">
        <w:rPr>
          <w:rFonts w:cs="Times New Roman"/>
          <w:i/>
          <w:iCs/>
        </w:rPr>
        <w:t>Metaphors We Live By</w:t>
      </w:r>
      <w:r w:rsidRPr="004C60FF">
        <w:rPr>
          <w:rFonts w:cs="Times New Roman"/>
          <w:iCs/>
        </w:rPr>
        <w:t xml:space="preserve"> (University of Chicago Press, 2003).</w:t>
      </w:r>
    </w:p>
  </w:footnote>
  <w:footnote w:id="4">
    <w:p w14:paraId="77F701CC" w14:textId="2C53C1C7" w:rsidR="00133E41" w:rsidRPr="00874AD4" w:rsidRDefault="00133E41" w:rsidP="00874AD4">
      <w:pPr>
        <w:pStyle w:val="FootnoteText"/>
      </w:pPr>
      <w:r w:rsidRPr="004A6696">
        <w:rPr>
          <w:rStyle w:val="FootnoteReference"/>
        </w:rPr>
        <w:footnoteRef/>
      </w:r>
      <w:r>
        <w:t xml:space="preserve"> See E. Mertz, R. Burns, M. Anderson, et. al., ‘Forty-five years of law and literature: reflections on James Boyd White’s The Legal Imagination and its impact on law and humanities scholarship’ (2019) </w:t>
      </w:r>
      <w:r w:rsidRPr="00B64092">
        <w:rPr>
          <w:i/>
          <w:iCs/>
        </w:rPr>
        <w:t>Law and Humanities</w:t>
      </w:r>
      <w:r>
        <w:t xml:space="preserve">, Online First: </w:t>
      </w:r>
      <w:hyperlink r:id="rId1" w:history="1">
        <w:r>
          <w:rPr>
            <w:rStyle w:val="Hyperlink"/>
          </w:rPr>
          <w:t>https://doi.org/10.1080/17521483.2019.1607026</w:t>
        </w:r>
      </w:hyperlink>
      <w:r>
        <w:t xml:space="preserve">: ‘Humans grapple with reality and with existence by wording the world in which they find themselves. </w:t>
      </w:r>
      <w:r w:rsidRPr="00874AD4">
        <w:t>… [F]</w:t>
      </w:r>
      <w:r w:rsidRPr="00874AD4">
        <w:rPr>
          <w:rFonts w:cs="AdvOT46dcae81"/>
        </w:rPr>
        <w:t>requently, even obsessively, we</w:t>
      </w:r>
      <w:r>
        <w:rPr>
          <w:rFonts w:cs="AdvOT46dcae81"/>
        </w:rPr>
        <w:t xml:space="preserve"> </w:t>
      </w:r>
      <w:r w:rsidRPr="00874AD4">
        <w:rPr>
          <w:rFonts w:cs="AdvOT46dcae81+fb"/>
        </w:rPr>
        <w:t>fi</w:t>
      </w:r>
      <w:r w:rsidRPr="00874AD4">
        <w:rPr>
          <w:rFonts w:cs="AdvOT46dcae81"/>
        </w:rPr>
        <w:t>nd ourselves categorizing it, organizing it into words. Some subset of</w:t>
      </w:r>
      <w:r>
        <w:rPr>
          <w:rFonts w:cs="AdvOT46dcae81"/>
        </w:rPr>
        <w:t xml:space="preserve"> </w:t>
      </w:r>
      <w:r w:rsidRPr="00874AD4">
        <w:rPr>
          <w:rFonts w:cs="AdvOT46dcae81"/>
        </w:rPr>
        <w:t>these words is used within legal texts or forms.</w:t>
      </w:r>
      <w:r>
        <w:rPr>
          <w:rFonts w:cs="AdvOT46dcae81"/>
        </w:rPr>
        <w:t>’ (Thomas D. Eisele)</w:t>
      </w:r>
    </w:p>
  </w:footnote>
  <w:footnote w:id="5">
    <w:p w14:paraId="4B96FE84" w14:textId="77777777" w:rsidR="00133E41" w:rsidRPr="00F43190" w:rsidRDefault="00133E41" w:rsidP="00517FC2">
      <w:pPr>
        <w:pStyle w:val="FootnoteText"/>
        <w:rPr>
          <w:lang w:val="en-US"/>
        </w:rPr>
      </w:pPr>
      <w:r w:rsidRPr="004A6696">
        <w:rPr>
          <w:rStyle w:val="FootnoteReference"/>
        </w:rPr>
        <w:footnoteRef/>
      </w:r>
      <w:r w:rsidRPr="00874AD4">
        <w:t xml:space="preserve"> </w:t>
      </w:r>
      <w:r w:rsidRPr="00874AD4">
        <w:rPr>
          <w:lang w:val="en-US"/>
        </w:rPr>
        <w:t>For a law and literature perspective on whole life imprisonment</w:t>
      </w:r>
      <w:r>
        <w:rPr>
          <w:lang w:val="en-US"/>
        </w:rPr>
        <w:t>, see David Gurnham, ‘</w:t>
      </w:r>
      <w:r w:rsidRPr="00F43190">
        <w:rPr>
          <w:lang w:val="en-US"/>
        </w:rPr>
        <w:t>The moral narrative of criminal responsibility and the principled justification of tariffs for murder: Myra Hindley and Thompson and Venables</w:t>
      </w:r>
      <w:r>
        <w:rPr>
          <w:lang w:val="en-US"/>
        </w:rPr>
        <w:t xml:space="preserve">’ (2003) 23(4) </w:t>
      </w:r>
      <w:r>
        <w:rPr>
          <w:i/>
          <w:lang w:val="en-US"/>
        </w:rPr>
        <w:t>Legal Studies</w:t>
      </w:r>
      <w:r>
        <w:rPr>
          <w:lang w:val="en-US"/>
        </w:rPr>
        <w:t xml:space="preserve"> 605-623.</w:t>
      </w:r>
    </w:p>
  </w:footnote>
  <w:footnote w:id="6">
    <w:p w14:paraId="5331EF2F" w14:textId="7862F932" w:rsidR="00133E41" w:rsidRDefault="00133E41" w:rsidP="00DF43D1">
      <w:pPr>
        <w:pStyle w:val="FootnoteText"/>
      </w:pPr>
      <w:r w:rsidRPr="004A6696">
        <w:rPr>
          <w:rStyle w:val="FootnoteReference"/>
        </w:rPr>
        <w:footnoteRef/>
      </w:r>
      <w:r>
        <w:t xml:space="preserve"> This is not to say that the metaphor is not also frequently applied to criminal justice and penal servitude. A memorable example from literature is Oscar Wilde’s autobiographical </w:t>
      </w:r>
      <w:r>
        <w:rPr>
          <w:i/>
          <w:iCs/>
        </w:rPr>
        <w:t>Ballad of Reading Gaol *</w:t>
      </w:r>
      <w:r>
        <w:t xml:space="preserve">, which juxtaposes its generally hard and claustrophobic tone (‘All that we know who lie in gaol/ Is that the wall is strong…’) with its hopeful refrain that varies slightly each time it is repeated: </w:t>
      </w:r>
    </w:p>
    <w:p w14:paraId="3DB1C28E" w14:textId="77777777" w:rsidR="00133E41" w:rsidRDefault="00133E41" w:rsidP="00DF43D1">
      <w:pPr>
        <w:pStyle w:val="FootnoteText"/>
      </w:pPr>
      <w:r>
        <w:t>‘I never saw a man who looked</w:t>
      </w:r>
    </w:p>
    <w:p w14:paraId="67818B50" w14:textId="77777777" w:rsidR="00133E41" w:rsidRDefault="00133E41" w:rsidP="00DF43D1">
      <w:pPr>
        <w:pStyle w:val="FootnoteText"/>
      </w:pPr>
      <w:r>
        <w:t xml:space="preserve">With such a wistful eye, </w:t>
      </w:r>
    </w:p>
    <w:p w14:paraId="6FCA7212" w14:textId="77777777" w:rsidR="00133E41" w:rsidRDefault="00133E41" w:rsidP="00DF43D1">
      <w:pPr>
        <w:pStyle w:val="FootnoteText"/>
      </w:pPr>
      <w:r>
        <w:t xml:space="preserve">Upon that little tent of blue </w:t>
      </w:r>
    </w:p>
    <w:p w14:paraId="44871FF7" w14:textId="77777777" w:rsidR="00133E41" w:rsidRDefault="00133E41" w:rsidP="00DF43D1">
      <w:pPr>
        <w:pStyle w:val="FootnoteText"/>
      </w:pPr>
      <w:r>
        <w:t xml:space="preserve">We prisoners called the sky, </w:t>
      </w:r>
    </w:p>
    <w:p w14:paraId="0EE2114A" w14:textId="77777777" w:rsidR="00133E41" w:rsidRDefault="00133E41" w:rsidP="00DF43D1">
      <w:pPr>
        <w:pStyle w:val="FootnoteText"/>
      </w:pPr>
      <w:r>
        <w:t xml:space="preserve">And at every happy cloud that passed </w:t>
      </w:r>
    </w:p>
    <w:p w14:paraId="11BDED19" w14:textId="77777777" w:rsidR="00133E41" w:rsidRPr="00A66478" w:rsidRDefault="00133E41" w:rsidP="00DF43D1">
      <w:pPr>
        <w:pStyle w:val="FootnoteText"/>
      </w:pPr>
      <w:r>
        <w:t>In such strange freedom by.’</w:t>
      </w:r>
    </w:p>
  </w:footnote>
  <w:footnote w:id="7">
    <w:p w14:paraId="5C01EE8D" w14:textId="18E1EF84" w:rsidR="00133E41" w:rsidRDefault="00133E41" w:rsidP="00D05BFB">
      <w:pPr>
        <w:pStyle w:val="FootnoteText"/>
      </w:pPr>
      <w:r w:rsidRPr="004A6696">
        <w:rPr>
          <w:rStyle w:val="FootnoteReference"/>
        </w:rPr>
        <w:footnoteRef/>
      </w:r>
      <w:r>
        <w:t xml:space="preserve"> See Jennifer Temkin and Barbara Krahé, </w:t>
      </w:r>
      <w:r>
        <w:rPr>
          <w:i/>
          <w:iCs/>
        </w:rPr>
        <w:t>Sexual Assault and the Justice Gap: a question of attitude</w:t>
      </w:r>
      <w:r>
        <w:t xml:space="preserve"> (Portland and Oxford: Hart Publishing, 2008) </w:t>
      </w:r>
    </w:p>
  </w:footnote>
  <w:footnote w:id="8">
    <w:p w14:paraId="0E41D84F" w14:textId="77777777" w:rsidR="00133E41" w:rsidRPr="004C60FF" w:rsidRDefault="00133E41" w:rsidP="008673CF">
      <w:pPr>
        <w:pStyle w:val="FootnoteText"/>
      </w:pPr>
      <w:r w:rsidRPr="004A6696">
        <w:rPr>
          <w:rStyle w:val="FootnoteReference"/>
        </w:rPr>
        <w:footnoteRef/>
      </w:r>
      <w:r w:rsidRPr="004C60FF">
        <w:t xml:space="preserve"> </w:t>
      </w:r>
      <w:r w:rsidRPr="004C60FF">
        <w:rPr>
          <w:lang w:val="en-US"/>
        </w:rPr>
        <w:t xml:space="preserve">On the differences between literature and law that pose challenges for ‘law and literature’ scholarship, see Simon Stern, </w:t>
      </w:r>
      <w:r w:rsidRPr="004C60FF">
        <w:t xml:space="preserve">‘Narrative and the Legal Text: judicial opinions and their narratives’, in Michael Hanne and Robert Weisberg, </w:t>
      </w:r>
      <w:r w:rsidRPr="004C60FF">
        <w:rPr>
          <w:i/>
          <w:iCs/>
        </w:rPr>
        <w:t>Narrative and Metaphor in the Law</w:t>
      </w:r>
      <w:r w:rsidRPr="004C60FF">
        <w:t xml:space="preserve"> (CUP, 2018) 121-139; also Gerald Wetlaufer, ‘Rhetoric and Its Denial in Legal Discourse’ (1990) </w:t>
      </w:r>
      <w:r w:rsidRPr="00DF0E30">
        <w:rPr>
          <w:i/>
        </w:rPr>
        <w:t>Virginia Law Review</w:t>
      </w:r>
      <w:r w:rsidRPr="004C60FF">
        <w:t>, 76(8), 1545 - 1597, at 1587.</w:t>
      </w:r>
    </w:p>
  </w:footnote>
  <w:footnote w:id="9">
    <w:p w14:paraId="4B21BE52" w14:textId="13A08014" w:rsidR="00133E41" w:rsidRPr="004C60FF" w:rsidRDefault="00133E41" w:rsidP="008D08BE">
      <w:pPr>
        <w:pStyle w:val="FootnoteText"/>
        <w:rPr>
          <w:i/>
          <w:iCs/>
        </w:rPr>
      </w:pPr>
      <w:r w:rsidRPr="004A6696">
        <w:rPr>
          <w:rStyle w:val="FootnoteReference"/>
        </w:rPr>
        <w:footnoteRef/>
      </w:r>
      <w:r w:rsidRPr="004C60FF">
        <w:t xml:space="preserve"> In early debates on ‘Law and Literature’, and more recent debates too, proponents argued that students of legal practice would benefit (and become better lawyers) by attending to the ethos, principles and techniques to be found in literary writing and criticism, and furthermore that legal texts could be read </w:t>
      </w:r>
      <w:r w:rsidRPr="004C60FF">
        <w:rPr>
          <w:i/>
          <w:iCs/>
        </w:rPr>
        <w:t>as</w:t>
      </w:r>
      <w:r w:rsidRPr="004C60FF">
        <w:t xml:space="preserve"> literary texts. See James Boyd White, </w:t>
      </w:r>
      <w:r w:rsidRPr="004C60FF">
        <w:rPr>
          <w:i/>
          <w:iCs/>
        </w:rPr>
        <w:t>The Legal Imagination</w:t>
      </w:r>
      <w:r>
        <w:rPr>
          <w:i/>
          <w:iCs/>
        </w:rPr>
        <w:t>: 45</w:t>
      </w:r>
      <w:r w:rsidRPr="009A46E6">
        <w:rPr>
          <w:i/>
          <w:iCs/>
          <w:vertAlign w:val="superscript"/>
        </w:rPr>
        <w:t>th</w:t>
      </w:r>
      <w:r>
        <w:rPr>
          <w:i/>
          <w:iCs/>
        </w:rPr>
        <w:t xml:space="preserve"> Anniversary Edition</w:t>
      </w:r>
      <w:r>
        <w:rPr>
          <w:iCs/>
        </w:rPr>
        <w:t xml:space="preserve"> (Wolters Kluwer, 2018)</w:t>
      </w:r>
      <w:r w:rsidRPr="004C60FF">
        <w:t xml:space="preserve">; K. </w:t>
      </w:r>
      <w:r w:rsidRPr="004C60FF">
        <w:rPr>
          <w:rFonts w:cs="CIDFont+F5"/>
        </w:rPr>
        <w:t xml:space="preserve">Dolin, </w:t>
      </w:r>
      <w:r w:rsidRPr="004C60FF">
        <w:rPr>
          <w:rFonts w:cs="CIDFont+F5"/>
          <w:i/>
          <w:iCs/>
        </w:rPr>
        <w:t>A Critical Introduction to Law and Literature</w:t>
      </w:r>
      <w:r w:rsidRPr="004C60FF">
        <w:rPr>
          <w:rFonts w:cs="CIDFont+F5"/>
        </w:rPr>
        <w:t xml:space="preserve"> (Cambridge University Press, 2007); Ian Ward, </w:t>
      </w:r>
      <w:r w:rsidRPr="004C60FF">
        <w:rPr>
          <w:rFonts w:cs="CIDFont+F5"/>
          <w:i/>
          <w:iCs/>
        </w:rPr>
        <w:t>Law and Literature: Possibilities and Perspectives</w:t>
      </w:r>
      <w:r w:rsidRPr="004C60FF">
        <w:rPr>
          <w:rFonts w:cs="CIDFont+F5"/>
        </w:rPr>
        <w:t xml:space="preserve"> (Cambridge University Press, 1995)</w:t>
      </w:r>
      <w:r w:rsidRPr="004C60FF">
        <w:rPr>
          <w:i/>
          <w:iCs/>
        </w:rPr>
        <w:t>.</w:t>
      </w:r>
    </w:p>
  </w:footnote>
  <w:footnote w:id="10">
    <w:p w14:paraId="4FB60AC5" w14:textId="1F9F397E" w:rsidR="00133E41" w:rsidRPr="004C60FF" w:rsidRDefault="00133E41" w:rsidP="008C65DC">
      <w:pPr>
        <w:pStyle w:val="FootnoteText"/>
      </w:pPr>
      <w:r w:rsidRPr="004A6696">
        <w:rPr>
          <w:rStyle w:val="FootnoteReference"/>
        </w:rPr>
        <w:footnoteRef/>
      </w:r>
      <w:r w:rsidRPr="004C60FF">
        <w:t xml:space="preserve"> Few readers of </w:t>
      </w:r>
      <w:r w:rsidRPr="004C60FF">
        <w:rPr>
          <w:i/>
          <w:iCs/>
        </w:rPr>
        <w:t>Bleak House</w:t>
      </w:r>
      <w:r w:rsidRPr="004C60FF">
        <w:t>, for example, surely fail to discern in Di</w:t>
      </w:r>
      <w:r>
        <w:t>ckens’s opening description of ‘</w:t>
      </w:r>
      <w:r w:rsidRPr="004C60FF">
        <w:t>fog everywhere</w:t>
      </w:r>
      <w:r>
        <w:t>’</w:t>
      </w:r>
      <w:r w:rsidRPr="004C60FF">
        <w:t xml:space="preserve"> a metaphor of some kind, even absent the references to the Court of Chancery and the Lord Chancellor himself being “at the very heart of the fog” that makes it explicit. Charles Dickens, </w:t>
      </w:r>
      <w:r w:rsidRPr="004C60FF">
        <w:rPr>
          <w:i/>
          <w:iCs/>
        </w:rPr>
        <w:t>Bleak House</w:t>
      </w:r>
      <w:r w:rsidRPr="004C60FF">
        <w:t xml:space="preserve"> (London: Penguin Classics, 1985) 49-50. For a discussion of the metaphors used in </w:t>
      </w:r>
      <w:r w:rsidRPr="004C60FF">
        <w:rPr>
          <w:i/>
          <w:iCs/>
        </w:rPr>
        <w:t>Bleak House</w:t>
      </w:r>
      <w:r w:rsidRPr="004C60FF">
        <w:t>, see Watt (n 1).</w:t>
      </w:r>
      <w:r>
        <w:t xml:space="preserve"> See further below for discussion on determining what and where the ‘key points’ of a judgment actually are.</w:t>
      </w:r>
    </w:p>
  </w:footnote>
  <w:footnote w:id="11">
    <w:p w14:paraId="68BC0A61" w14:textId="7EE2BFC0" w:rsidR="00133E41" w:rsidRPr="004C60FF" w:rsidRDefault="00133E41" w:rsidP="008C65DC">
      <w:pPr>
        <w:pStyle w:val="FootnoteText"/>
      </w:pPr>
      <w:r w:rsidRPr="004A6696">
        <w:rPr>
          <w:rStyle w:val="FootnoteReference"/>
        </w:rPr>
        <w:footnoteRef/>
      </w:r>
      <w:r w:rsidRPr="004C60FF">
        <w:t xml:space="preserve"> </w:t>
      </w:r>
      <w:r>
        <w:t xml:space="preserve">In her own reflections on the ‘proportionality’ metaphor, Nicola </w:t>
      </w:r>
      <w:r w:rsidRPr="004C60FF">
        <w:t>Lacey</w:t>
      </w:r>
      <w:r>
        <w:t xml:space="preserve"> refers to the necessary role for a degree of ‘speculation’ in such work, see</w:t>
      </w:r>
      <w:r w:rsidRPr="004C60FF">
        <w:rPr>
          <w:rFonts w:cs="Times New Roman"/>
          <w:iCs/>
          <w:lang w:val="en-US"/>
        </w:rPr>
        <w:t xml:space="preserve"> Nicola Lacey, ‘The metaphor of proportionality’ (2016) </w:t>
      </w:r>
      <w:r w:rsidRPr="004C60FF">
        <w:rPr>
          <w:rFonts w:cs="Times New Roman"/>
          <w:i/>
          <w:lang w:val="en-US"/>
        </w:rPr>
        <w:t>Journal of Law and Society</w:t>
      </w:r>
      <w:r w:rsidRPr="004C60FF">
        <w:rPr>
          <w:rFonts w:cs="Times New Roman"/>
          <w:iCs/>
          <w:lang w:val="en-US"/>
        </w:rPr>
        <w:t>, 43(1): 27-44, 43-4</w:t>
      </w:r>
      <w:r w:rsidRPr="004C60FF">
        <w:t xml:space="preserve"> at 44.</w:t>
      </w:r>
      <w:r>
        <w:t xml:space="preserve"> See also </w:t>
      </w:r>
      <w:r w:rsidRPr="004C60FF">
        <w:rPr>
          <w:rFonts w:cs="Times New Roman"/>
        </w:rPr>
        <w:t xml:space="preserve">N. Lacey and </w:t>
      </w:r>
      <w:r w:rsidRPr="004C60FF">
        <w:rPr>
          <w:rFonts w:cs="Times New Roman"/>
          <w:iCs/>
          <w:lang w:val="en-US"/>
        </w:rPr>
        <w:t xml:space="preserve">H. Pickard, ‘The Chimera of Proportionality: Institutionalising Limits on Punishment in Contemporary Social and Political Systems’, (2015) 78(2) </w:t>
      </w:r>
      <w:r w:rsidRPr="004C60FF">
        <w:rPr>
          <w:rFonts w:cs="Times New Roman"/>
          <w:i/>
          <w:iCs/>
          <w:lang w:val="en-US"/>
        </w:rPr>
        <w:t>Modern Law Rev.</w:t>
      </w:r>
      <w:r w:rsidRPr="004C60FF">
        <w:rPr>
          <w:rFonts w:cs="Times New Roman"/>
          <w:iCs/>
          <w:lang w:val="en-US"/>
        </w:rPr>
        <w:t xml:space="preserve"> 216</w:t>
      </w:r>
      <w:r>
        <w:rPr>
          <w:rFonts w:cs="Times New Roman"/>
          <w:iCs/>
          <w:lang w:val="en-US"/>
        </w:rPr>
        <w:t>.</w:t>
      </w:r>
    </w:p>
  </w:footnote>
  <w:footnote w:id="12">
    <w:p w14:paraId="6619CFD5" w14:textId="4F715C92" w:rsidR="00133E41" w:rsidRPr="004C60FF" w:rsidRDefault="00133E41" w:rsidP="00A03D55">
      <w:pPr>
        <w:pStyle w:val="FootnoteText"/>
      </w:pPr>
      <w:r w:rsidRPr="004A6696">
        <w:rPr>
          <w:rStyle w:val="FootnoteReference"/>
        </w:rPr>
        <w:footnoteRef/>
      </w:r>
      <w:r>
        <w:t xml:space="preserve"> Lakoff and Johnson (n 3</w:t>
      </w:r>
      <w:r w:rsidRPr="004C60FF">
        <w:t>) 18.</w:t>
      </w:r>
      <w:r>
        <w:t xml:space="preserve"> We acknowledge that the concepts of ‘experience and culture’ are not straightforward or self-evident and that they engage further complex ideas pertaining to phenomenology (i.e. the subject’s immediate and unanalysed experience of the world) and semiotics. However, in the interests of making progress in the instant essay, we park these considerations and take at face value Lakoff and Johnson’s reference to metaphors being embedded in ‘experience and culture’ as a useful short-hand.</w:t>
      </w:r>
    </w:p>
  </w:footnote>
  <w:footnote w:id="13">
    <w:p w14:paraId="523CF013" w14:textId="3570A767" w:rsidR="00133E41" w:rsidRPr="00080AA4" w:rsidRDefault="00133E41" w:rsidP="00A24C60">
      <w:pPr>
        <w:pStyle w:val="FootnoteText"/>
        <w:rPr>
          <w:lang w:val="en-US"/>
        </w:rPr>
      </w:pPr>
      <w:r w:rsidRPr="004A6696">
        <w:rPr>
          <w:rStyle w:val="FootnoteReference"/>
        </w:rPr>
        <w:footnoteRef/>
      </w:r>
      <w:r>
        <w:t xml:space="preserve"> </w:t>
      </w:r>
      <w:r>
        <w:rPr>
          <w:lang w:val="en-US"/>
        </w:rPr>
        <w:t>Ibid, especially chapters 4 (orientation), 6 (containers) and 11 (buildings).</w:t>
      </w:r>
    </w:p>
  </w:footnote>
  <w:footnote w:id="14">
    <w:p w14:paraId="3B2A284F" w14:textId="243DAE03" w:rsidR="00133E41" w:rsidRPr="004C60FF" w:rsidRDefault="00133E41" w:rsidP="00A24C60">
      <w:pPr>
        <w:pStyle w:val="FootnoteText"/>
      </w:pPr>
      <w:r w:rsidRPr="004A6696">
        <w:rPr>
          <w:rStyle w:val="FootnoteReference"/>
        </w:rPr>
        <w:footnoteRef/>
      </w:r>
      <w:r>
        <w:t xml:space="preserve"> Ibid, see especially chapter 16 (on journey metaphors)</w:t>
      </w:r>
      <w:r w:rsidRPr="004C60FF">
        <w:t>.</w:t>
      </w:r>
    </w:p>
  </w:footnote>
  <w:footnote w:id="15">
    <w:p w14:paraId="0793202F" w14:textId="77777777" w:rsidR="00133E41" w:rsidRPr="004C60FF" w:rsidRDefault="00133E41" w:rsidP="0019338F">
      <w:pPr>
        <w:pStyle w:val="FootnoteText"/>
      </w:pPr>
      <w:r w:rsidRPr="004A6696">
        <w:rPr>
          <w:rStyle w:val="FootnoteReference"/>
        </w:rPr>
        <w:footnoteRef/>
      </w:r>
      <w:r w:rsidRPr="004C60FF">
        <w:t xml:space="preserve"> Karen Armstrong, </w:t>
      </w:r>
      <w:r w:rsidRPr="004C60FF">
        <w:rPr>
          <w:i/>
          <w:iCs/>
        </w:rPr>
        <w:t>A Short History of Myth</w:t>
      </w:r>
      <w:r w:rsidRPr="004C60FF">
        <w:t xml:space="preserve"> (London, Canongate, 2005).</w:t>
      </w:r>
    </w:p>
  </w:footnote>
  <w:footnote w:id="16">
    <w:p w14:paraId="28573609" w14:textId="1143742F" w:rsidR="00133E41" w:rsidRPr="004C60FF" w:rsidRDefault="00133E41" w:rsidP="00AB7674">
      <w:pPr>
        <w:pStyle w:val="FootnoteText"/>
      </w:pPr>
      <w:r w:rsidRPr="004A6696">
        <w:rPr>
          <w:rStyle w:val="FootnoteReference"/>
        </w:rPr>
        <w:footnoteRef/>
      </w:r>
      <w:r w:rsidRPr="004C60FF">
        <w:t xml:space="preserve"> Dante Alighieri, </w:t>
      </w:r>
      <w:r w:rsidRPr="004C60FF">
        <w:rPr>
          <w:i/>
          <w:iCs/>
        </w:rPr>
        <w:t>The Divine Comedy Volume III: Paradise</w:t>
      </w:r>
      <w:r w:rsidRPr="004C60FF">
        <w:t>, trans. and notes by Mark Musa (London: Penguin Classics, 1986).</w:t>
      </w:r>
      <w:r>
        <w:t xml:space="preserve"> </w:t>
      </w:r>
      <w:r w:rsidRPr="004D006B">
        <w:t>Dante’s Pilgrim narrator</w:t>
      </w:r>
      <w:r>
        <w:t xml:space="preserve"> first finds that the unfortunate occupants of Hell (who, of course, will never again see the sky) are advised to ‘abandon all hope’.</w:t>
      </w:r>
      <w:r w:rsidRPr="004D006B">
        <w:t xml:space="preserve"> </w:t>
      </w:r>
      <w:r>
        <w:t>H</w:t>
      </w:r>
      <w:r w:rsidRPr="004D006B">
        <w:t>aving escaped from hell and ascended the mountain of purgatory</w:t>
      </w:r>
      <w:r>
        <w:t xml:space="preserve">, Dante’s narrator then </w:t>
      </w:r>
      <w:r w:rsidRPr="004D006B">
        <w:t xml:space="preserve">experiences </w:t>
      </w:r>
      <w:r>
        <w:t>Heaven</w:t>
      </w:r>
      <w:r w:rsidRPr="004D006B">
        <w:t xml:space="preserve"> as an escape from the shackles and darkness below, where ‘it was as if one day shone on the next – as if [God] had decked the heavens with a second sun.’</w:t>
      </w:r>
      <w:r>
        <w:t xml:space="preserve"> (</w:t>
      </w:r>
      <w:r w:rsidRPr="004C60FF">
        <w:t>Canto I, at 63</w:t>
      </w:r>
      <w:r>
        <w:t>).</w:t>
      </w:r>
    </w:p>
  </w:footnote>
  <w:footnote w:id="17">
    <w:p w14:paraId="6B8813F0" w14:textId="54C85334" w:rsidR="00133E41" w:rsidRPr="004C60FF" w:rsidRDefault="00133E41" w:rsidP="00114ED2">
      <w:pPr>
        <w:pStyle w:val="FootnoteText"/>
      </w:pPr>
      <w:r w:rsidRPr="004A6696">
        <w:rPr>
          <w:rStyle w:val="FootnoteReference"/>
        </w:rPr>
        <w:footnoteRef/>
      </w:r>
      <w:r w:rsidRPr="004C60FF">
        <w:t xml:space="preserve"> On gothic ecclesiastical architecture and its symbo</w:t>
      </w:r>
      <w:r>
        <w:t>lism of</w:t>
      </w:r>
      <w:r w:rsidRPr="004C60FF">
        <w:t xml:space="preserve"> light, see Otto von Simpson, </w:t>
      </w:r>
      <w:r w:rsidRPr="004C60FF">
        <w:rPr>
          <w:i/>
          <w:iCs/>
        </w:rPr>
        <w:t>The Gothic cathedral: origins of Gothic architecture and the medieval concept of order</w:t>
      </w:r>
      <w:r w:rsidRPr="004C60FF">
        <w:t xml:space="preserve"> (Harper and Row, 1964). </w:t>
      </w:r>
    </w:p>
  </w:footnote>
  <w:footnote w:id="18">
    <w:p w14:paraId="11881570" w14:textId="4F4BCA60" w:rsidR="00133E41" w:rsidRPr="004C60FF" w:rsidRDefault="00133E41" w:rsidP="00B12989">
      <w:pPr>
        <w:pStyle w:val="FootnoteText"/>
      </w:pPr>
      <w:r w:rsidRPr="004A6696">
        <w:rPr>
          <w:rStyle w:val="FootnoteReference"/>
        </w:rPr>
        <w:footnoteRef/>
      </w:r>
      <w:r w:rsidRPr="004C60FF">
        <w:t xml:space="preserve"> Linda Mulcahy, </w:t>
      </w:r>
      <w:r w:rsidRPr="004C60FF">
        <w:rPr>
          <w:i/>
          <w:iCs/>
        </w:rPr>
        <w:t xml:space="preserve">Legal Architecture: justice, due process and the place of law </w:t>
      </w:r>
      <w:r w:rsidRPr="004C60FF">
        <w:t>(Abingdon: Routledge 2011). See also Raffield (n 2).</w:t>
      </w:r>
    </w:p>
  </w:footnote>
  <w:footnote w:id="19">
    <w:p w14:paraId="2CAB130D" w14:textId="11619066" w:rsidR="00133E41" w:rsidRPr="004C60FF" w:rsidRDefault="00133E41" w:rsidP="00B12989">
      <w:pPr>
        <w:pStyle w:val="FootnoteText"/>
      </w:pPr>
      <w:r w:rsidRPr="004A6696">
        <w:rPr>
          <w:rStyle w:val="FootnoteReference"/>
        </w:rPr>
        <w:footnoteRef/>
      </w:r>
      <w:r w:rsidRPr="004C60FF">
        <w:t xml:space="preserve"> </w:t>
      </w:r>
      <w:r>
        <w:t>Mulcahy, Ibid,</w:t>
      </w:r>
      <w:r w:rsidRPr="004C60FF">
        <w:t xml:space="preserve"> at 7.</w:t>
      </w:r>
    </w:p>
  </w:footnote>
  <w:footnote w:id="20">
    <w:p w14:paraId="3A069764" w14:textId="77777777" w:rsidR="00133E41" w:rsidRPr="004C60FF" w:rsidRDefault="00133E41" w:rsidP="00B12989">
      <w:pPr>
        <w:pStyle w:val="FootnoteText"/>
      </w:pPr>
      <w:r w:rsidRPr="004A6696">
        <w:rPr>
          <w:rStyle w:val="FootnoteReference"/>
        </w:rPr>
        <w:footnoteRef/>
      </w:r>
      <w:r w:rsidRPr="004C60FF">
        <w:t xml:space="preserve"> Johnathan D. Rosenbloom, ‘Social Ideology as seen through courtroom and courthouse architecture’ (1998) </w:t>
      </w:r>
      <w:r w:rsidRPr="004C60FF">
        <w:rPr>
          <w:i/>
          <w:iCs/>
        </w:rPr>
        <w:t>Columbia-VLA Journal of Law &amp; the Arts</w:t>
      </w:r>
      <w:r w:rsidRPr="004C60FF">
        <w:t>, 22:4, at 516.</w:t>
      </w:r>
    </w:p>
  </w:footnote>
  <w:footnote w:id="21">
    <w:p w14:paraId="29EA9D9D" w14:textId="0C065213" w:rsidR="00133E41" w:rsidRPr="004C60FF" w:rsidRDefault="00133E41" w:rsidP="00A93BF1">
      <w:pPr>
        <w:pStyle w:val="FootnoteText"/>
      </w:pPr>
      <w:r w:rsidRPr="004A6696">
        <w:rPr>
          <w:rStyle w:val="FootnoteReference"/>
        </w:rPr>
        <w:footnoteRef/>
      </w:r>
      <w:r w:rsidRPr="004C60FF">
        <w:t xml:space="preserve"> Arnaud Lucien, ‘Staging and the Imaginary Institution of the Judge’ (2010) </w:t>
      </w:r>
      <w:r w:rsidRPr="004C60FF">
        <w:rPr>
          <w:i/>
          <w:iCs/>
        </w:rPr>
        <w:t>International Journal of the Semiotics of Law</w:t>
      </w:r>
      <w:r w:rsidRPr="004C60FF">
        <w:t xml:space="preserve"> 23: 185-206; Lorin Geitner, ‘Social Architecture and the Law: Law, Through the Lens of Religion’ (May 10, 2013) online: SSRN: https://ssrn.com/abs</w:t>
      </w:r>
      <w:r>
        <w:t>tract=2265600; Mulcahy 2011 (n 19) at</w:t>
      </w:r>
      <w:r w:rsidRPr="004C60FF">
        <w:t xml:space="preserve"> 19, 49-50; Shailesh Kumar, ‘Interpreting the </w:t>
      </w:r>
      <w:r w:rsidRPr="004C60FF">
        <w:rPr>
          <w:i/>
          <w:iCs/>
        </w:rPr>
        <w:t>Scales of Justice</w:t>
      </w:r>
      <w:r w:rsidRPr="004C60FF">
        <w:t xml:space="preserve">: architecture, symbolism and the semiotics of the Supreme Court of India’ (2017) </w:t>
      </w:r>
      <w:r w:rsidRPr="004C60FF">
        <w:rPr>
          <w:i/>
          <w:iCs/>
        </w:rPr>
        <w:t>International Journal of the Semiotics of Law</w:t>
      </w:r>
      <w:r w:rsidRPr="004C60FF">
        <w:t xml:space="preserve">, 30:638-9, 652-6. For criticism of modern court architecture, see Judith Resnik, Dennis Curtis and Allison Tait, ‘Constructing Courts: architecture, the ideology of judging, and the public sphere’, chapter 23, 515 – 545 at 532, 5; Johnny Rodger and Peter Robson, </w:t>
      </w:r>
      <w:r w:rsidRPr="004C60FF">
        <w:rPr>
          <w:i/>
          <w:iCs/>
        </w:rPr>
        <w:t>Spaces of Justice: The Architecture of the Scottish Court</w:t>
      </w:r>
      <w:r w:rsidRPr="004C60FF">
        <w:t xml:space="preserve"> (Farleigh Dickinson Univer</w:t>
      </w:r>
      <w:r>
        <w:t>sity Press, 2018) at 88.</w:t>
      </w:r>
    </w:p>
  </w:footnote>
  <w:footnote w:id="22">
    <w:p w14:paraId="28AD520C" w14:textId="30A276F9" w:rsidR="00133E41" w:rsidRPr="004C60FF" w:rsidRDefault="00133E41" w:rsidP="00A93BF1">
      <w:pPr>
        <w:pStyle w:val="FootnoteText"/>
      </w:pPr>
      <w:r w:rsidRPr="004A6696">
        <w:rPr>
          <w:rStyle w:val="FootnoteReference"/>
        </w:rPr>
        <w:footnoteRef/>
      </w:r>
      <w:r w:rsidRPr="004C60FF">
        <w:t xml:space="preserve"> A. Levine, ‘Staging the Imaginary Institution of the Judge’ (2010) </w:t>
      </w:r>
      <w:r w:rsidRPr="004C60FF">
        <w:rPr>
          <w:i/>
        </w:rPr>
        <w:t>Int J Sem L</w:t>
      </w:r>
      <w:r w:rsidRPr="004C60FF">
        <w:t xml:space="preserve"> 23 185-206; Rosenbloom</w:t>
      </w:r>
      <w:r>
        <w:t xml:space="preserve"> (n 21); Lucien, ibid; Geitner (n 22</w:t>
      </w:r>
      <w:r w:rsidRPr="004C60FF">
        <w:t>).</w:t>
      </w:r>
    </w:p>
  </w:footnote>
  <w:footnote w:id="23">
    <w:p w14:paraId="1C31712D" w14:textId="59862C81" w:rsidR="00133E41" w:rsidRPr="004C60FF" w:rsidRDefault="00133E41" w:rsidP="00B12989">
      <w:pPr>
        <w:pStyle w:val="FootnoteText"/>
      </w:pPr>
      <w:r w:rsidRPr="004A6696">
        <w:rPr>
          <w:rStyle w:val="FootnoteReference"/>
        </w:rPr>
        <w:footnoteRef/>
      </w:r>
      <w:r>
        <w:t xml:space="preserve"> Mulcahy (n 18) at 49; Rodger and Robson (n 21</w:t>
      </w:r>
      <w:r w:rsidRPr="004C60FF">
        <w:t>) at 81.</w:t>
      </w:r>
    </w:p>
  </w:footnote>
  <w:footnote w:id="24">
    <w:p w14:paraId="7A6C1CEC" w14:textId="20CD5D0E" w:rsidR="00133E41" w:rsidRPr="00123A02" w:rsidRDefault="00133E41">
      <w:pPr>
        <w:pStyle w:val="FootnoteText"/>
        <w:rPr>
          <w:lang w:val="en-US"/>
        </w:rPr>
      </w:pPr>
      <w:r w:rsidRPr="004A6696">
        <w:rPr>
          <w:rStyle w:val="FootnoteReference"/>
        </w:rPr>
        <w:footnoteRef/>
      </w:r>
      <w:r>
        <w:t xml:space="preserve"> On the use of legal architecture to evoke a sense of authority, see </w:t>
      </w:r>
      <w:r w:rsidRPr="004C60FF">
        <w:t xml:space="preserve">Renske Vos, ‘A walk along the Rue de la Loi: EU facades as front- and backstage of transnational legal practice in L. Boer and S. Stolk, </w:t>
      </w:r>
      <w:r w:rsidRPr="004C60FF">
        <w:rPr>
          <w:i/>
        </w:rPr>
        <w:t>Illuminating the Backstage of Transnational Legal Practice</w:t>
      </w:r>
      <w:r>
        <w:t xml:space="preserve"> (Routledge 2019), who finds ‘authority … made tangible [by] all this raw concrete force’ (at 9).</w:t>
      </w:r>
    </w:p>
  </w:footnote>
  <w:footnote w:id="25">
    <w:p w14:paraId="0DA5F961" w14:textId="77777777" w:rsidR="00133E41" w:rsidRPr="004C60FF" w:rsidRDefault="00133E41" w:rsidP="0015198C">
      <w:pPr>
        <w:pStyle w:val="FootnoteText"/>
      </w:pPr>
      <w:r w:rsidRPr="004A6696">
        <w:rPr>
          <w:rStyle w:val="FootnoteReference"/>
        </w:rPr>
        <w:footnoteRef/>
      </w:r>
      <w:r w:rsidRPr="004C60FF">
        <w:t xml:space="preserve"> William Golding, </w:t>
      </w:r>
      <w:r w:rsidRPr="004C60FF">
        <w:rPr>
          <w:i/>
          <w:iCs/>
        </w:rPr>
        <w:t>The Spire</w:t>
      </w:r>
      <w:r w:rsidRPr="004C60FF">
        <w:t xml:space="preserve"> (London: Faber and Faber, 1965).</w:t>
      </w:r>
    </w:p>
  </w:footnote>
  <w:footnote w:id="26">
    <w:p w14:paraId="335CAEDE" w14:textId="32A1D626" w:rsidR="00133E41" w:rsidRPr="004C60FF" w:rsidRDefault="00133E41" w:rsidP="006D5333">
      <w:pPr>
        <w:pStyle w:val="FootnoteText"/>
      </w:pPr>
      <w:r w:rsidRPr="004A6696">
        <w:rPr>
          <w:rStyle w:val="FootnoteReference"/>
        </w:rPr>
        <w:footnoteRef/>
      </w:r>
      <w:r w:rsidRPr="004C60FF">
        <w:t xml:space="preserve"> I</w:t>
      </w:r>
      <w:r>
        <w:t>bid</w:t>
      </w:r>
      <w:r w:rsidRPr="004C60FF">
        <w:t>, 102.</w:t>
      </w:r>
    </w:p>
  </w:footnote>
  <w:footnote w:id="27">
    <w:p w14:paraId="6494A636" w14:textId="77777777" w:rsidR="00133E41" w:rsidRPr="004C60FF" w:rsidRDefault="00133E41" w:rsidP="00326B4C">
      <w:pPr>
        <w:pStyle w:val="FootnoteText"/>
        <w:rPr>
          <w:lang w:val="en-US"/>
        </w:rPr>
      </w:pPr>
      <w:r w:rsidRPr="004A6696">
        <w:rPr>
          <w:rStyle w:val="FootnoteReference"/>
        </w:rPr>
        <w:footnoteRef/>
      </w:r>
      <w:r w:rsidRPr="004C60FF">
        <w:t xml:space="preserve"> </w:t>
      </w:r>
      <w:r w:rsidRPr="004C60FF">
        <w:rPr>
          <w:lang w:val="en-US"/>
        </w:rPr>
        <w:t xml:space="preserve">Charles Dickens, </w:t>
      </w:r>
      <w:r w:rsidRPr="004C60FF">
        <w:rPr>
          <w:i/>
          <w:lang w:val="en-US"/>
        </w:rPr>
        <w:t>David Copperfield</w:t>
      </w:r>
      <w:r w:rsidRPr="004C60FF">
        <w:rPr>
          <w:lang w:val="en-US"/>
        </w:rPr>
        <w:t xml:space="preserve"> (Heron Centennial Edition, 1967) p.172.</w:t>
      </w:r>
    </w:p>
  </w:footnote>
  <w:footnote w:id="28">
    <w:p w14:paraId="54782E41" w14:textId="013B7208" w:rsidR="00133E41" w:rsidRPr="00EB39CA" w:rsidRDefault="00133E41">
      <w:pPr>
        <w:pStyle w:val="FootnoteText"/>
      </w:pPr>
      <w:r w:rsidRPr="004A6696">
        <w:rPr>
          <w:rStyle w:val="FootnoteReference"/>
        </w:rPr>
        <w:footnoteRef/>
      </w:r>
      <w:r>
        <w:t xml:space="preserve"> Thomas Hardy, </w:t>
      </w:r>
      <w:r>
        <w:rPr>
          <w:i/>
          <w:iCs/>
        </w:rPr>
        <w:t>Jude The Obscure</w:t>
      </w:r>
      <w:r>
        <w:t xml:space="preserve"> (London: Penguin Popular Classics) 19.</w:t>
      </w:r>
    </w:p>
  </w:footnote>
  <w:footnote w:id="29">
    <w:p w14:paraId="1BE5C896" w14:textId="25C2046B" w:rsidR="00133E41" w:rsidRPr="004C60FF" w:rsidRDefault="00133E41" w:rsidP="006D5333">
      <w:pPr>
        <w:pStyle w:val="FootnoteText"/>
      </w:pPr>
      <w:r w:rsidRPr="004A6696">
        <w:rPr>
          <w:rStyle w:val="FootnoteReference"/>
        </w:rPr>
        <w:footnoteRef/>
      </w:r>
      <w:r>
        <w:t xml:space="preserve"> Golding, above (n 25) at</w:t>
      </w:r>
      <w:r w:rsidRPr="004C60FF">
        <w:t xml:space="preserve"> 36.</w:t>
      </w:r>
    </w:p>
  </w:footnote>
  <w:footnote w:id="30">
    <w:p w14:paraId="6BE3DD94" w14:textId="1F30318C" w:rsidR="00133E41" w:rsidRPr="004C60FF" w:rsidRDefault="00133E41" w:rsidP="008B4587">
      <w:pPr>
        <w:pStyle w:val="FootnoteText"/>
      </w:pPr>
      <w:r w:rsidRPr="004A6696">
        <w:rPr>
          <w:rStyle w:val="FootnoteReference"/>
        </w:rPr>
        <w:footnoteRef/>
      </w:r>
      <w:r w:rsidRPr="004C60FF">
        <w:t xml:space="preserve"> I</w:t>
      </w:r>
      <w:r>
        <w:t>bi</w:t>
      </w:r>
      <w:r w:rsidRPr="004C60FF">
        <w:t xml:space="preserve">d, </w:t>
      </w:r>
      <w:r>
        <w:t>79-</w:t>
      </w:r>
      <w:r w:rsidRPr="004C60FF">
        <w:t>80.</w:t>
      </w:r>
    </w:p>
  </w:footnote>
  <w:footnote w:id="31">
    <w:p w14:paraId="1FB87193" w14:textId="60AAB72A" w:rsidR="00133E41" w:rsidRPr="004C60FF" w:rsidRDefault="00133E41" w:rsidP="006D5333">
      <w:pPr>
        <w:pStyle w:val="FootnoteText"/>
      </w:pPr>
      <w:r w:rsidRPr="004A6696">
        <w:rPr>
          <w:rStyle w:val="FootnoteReference"/>
        </w:rPr>
        <w:footnoteRef/>
      </w:r>
      <w:r w:rsidRPr="004C60FF">
        <w:t xml:space="preserve"> </w:t>
      </w:r>
      <w:r>
        <w:t>Id,</w:t>
      </w:r>
      <w:r w:rsidRPr="004C60FF">
        <w:t xml:space="preserve"> 64.</w:t>
      </w:r>
    </w:p>
  </w:footnote>
  <w:footnote w:id="32">
    <w:p w14:paraId="14A0FC6F" w14:textId="77777777" w:rsidR="00133E41" w:rsidRPr="004C60FF" w:rsidRDefault="00133E41" w:rsidP="008B4587">
      <w:pPr>
        <w:pStyle w:val="FootnoteText"/>
      </w:pPr>
      <w:r w:rsidRPr="004A6696">
        <w:rPr>
          <w:rStyle w:val="FootnoteReference"/>
        </w:rPr>
        <w:footnoteRef/>
      </w:r>
      <w:r w:rsidRPr="004C60FF">
        <w:t xml:space="preserve"> Georges Batailles, </w:t>
      </w:r>
      <w:r w:rsidRPr="004C60FF">
        <w:rPr>
          <w:i/>
          <w:iCs/>
        </w:rPr>
        <w:t>Story of the Eye</w:t>
      </w:r>
      <w:r w:rsidRPr="004C60FF">
        <w:t xml:space="preserve"> (Penguin, </w:t>
      </w:r>
      <w:r>
        <w:rPr>
          <w:rStyle w:val="text"/>
        </w:rPr>
        <w:t>1979) at 46.</w:t>
      </w:r>
    </w:p>
  </w:footnote>
  <w:footnote w:id="33">
    <w:p w14:paraId="7F00EF35" w14:textId="1041A738" w:rsidR="00133E41" w:rsidRPr="001751A4" w:rsidRDefault="00133E41" w:rsidP="008B4587">
      <w:pPr>
        <w:pStyle w:val="FootnoteText"/>
        <w:rPr>
          <w:lang w:val="en-US"/>
        </w:rPr>
      </w:pPr>
      <w:r w:rsidRPr="004A6696">
        <w:rPr>
          <w:rStyle w:val="FootnoteReference"/>
        </w:rPr>
        <w:footnoteRef/>
      </w:r>
      <w:r>
        <w:t xml:space="preserve"> </w:t>
      </w:r>
      <w:r>
        <w:rPr>
          <w:lang w:val="en-US"/>
        </w:rPr>
        <w:t xml:space="preserve">J. G. Ballard, </w:t>
      </w:r>
      <w:r>
        <w:rPr>
          <w:i/>
          <w:lang w:val="en-US"/>
        </w:rPr>
        <w:t>Concrete Island</w:t>
      </w:r>
      <w:r>
        <w:rPr>
          <w:lang w:val="en-US"/>
        </w:rPr>
        <w:t xml:space="preserve"> (Harper Perennial, 2008)</w:t>
      </w:r>
    </w:p>
  </w:footnote>
  <w:footnote w:id="34">
    <w:p w14:paraId="0CDBFFE3" w14:textId="1CC9788F" w:rsidR="00133E41" w:rsidRPr="004C60FF" w:rsidRDefault="00133E41" w:rsidP="003D6F30">
      <w:pPr>
        <w:pStyle w:val="FootnoteText"/>
        <w:rPr>
          <w:lang w:val="en-US"/>
        </w:rPr>
      </w:pPr>
      <w:r w:rsidRPr="004A6696">
        <w:rPr>
          <w:rStyle w:val="FootnoteReference"/>
        </w:rPr>
        <w:footnoteRef/>
      </w:r>
      <w:r w:rsidRPr="004C60FF">
        <w:t xml:space="preserve"> </w:t>
      </w:r>
      <w:r>
        <w:rPr>
          <w:lang w:val="en-US"/>
        </w:rPr>
        <w:t>Dickens (n 27</w:t>
      </w:r>
      <w:r w:rsidRPr="004C60FF">
        <w:rPr>
          <w:lang w:val="en-US"/>
        </w:rPr>
        <w:t>) at 280.</w:t>
      </w:r>
    </w:p>
  </w:footnote>
  <w:footnote w:id="35">
    <w:p w14:paraId="7F1DA52E" w14:textId="4962F24B" w:rsidR="00133E41" w:rsidRPr="007777E1" w:rsidRDefault="00133E41">
      <w:pPr>
        <w:pStyle w:val="FootnoteText"/>
        <w:rPr>
          <w:lang w:val="en-US"/>
        </w:rPr>
      </w:pPr>
      <w:r w:rsidRPr="004A6696">
        <w:rPr>
          <w:rStyle w:val="FootnoteReference"/>
        </w:rPr>
        <w:footnoteRef/>
      </w:r>
      <w:r>
        <w:t xml:space="preserve"> </w:t>
      </w:r>
      <w:r>
        <w:rPr>
          <w:lang w:val="en-US"/>
        </w:rPr>
        <w:t xml:space="preserve">Leo Tolstoy, </w:t>
      </w:r>
      <w:r>
        <w:rPr>
          <w:i/>
          <w:lang w:val="en-US"/>
        </w:rPr>
        <w:t>Anna Karenina</w:t>
      </w:r>
      <w:r>
        <w:rPr>
          <w:lang w:val="en-US"/>
        </w:rPr>
        <w:t>, trans. Richard Pevear and Larissa Volokhonsky (London: Penguin Classics, 2006) at 279, emphasis added.</w:t>
      </w:r>
    </w:p>
  </w:footnote>
  <w:footnote w:id="36">
    <w:p w14:paraId="70D703D8" w14:textId="3EBAD828" w:rsidR="00133E41" w:rsidRPr="004C60FF" w:rsidRDefault="00133E41" w:rsidP="00166394">
      <w:pPr>
        <w:pStyle w:val="FootnoteText"/>
      </w:pPr>
      <w:r w:rsidRPr="004A6696">
        <w:rPr>
          <w:rStyle w:val="FootnoteReference"/>
        </w:rPr>
        <w:footnoteRef/>
      </w:r>
      <w:r w:rsidRPr="004C60FF">
        <w:t xml:space="preserve"> Dante Alighieri, </w:t>
      </w:r>
      <w:r w:rsidRPr="004C60FF">
        <w:rPr>
          <w:i/>
          <w:iCs/>
        </w:rPr>
        <w:t>The Divine Comedy Volume I: Inferno</w:t>
      </w:r>
      <w:r w:rsidRPr="004C60FF">
        <w:t>, trans. and notes by Mark Musa (London: Penguin Classics, 2003), Canto I, at 67.</w:t>
      </w:r>
    </w:p>
  </w:footnote>
  <w:footnote w:id="37">
    <w:p w14:paraId="338AC305" w14:textId="25FADFF2" w:rsidR="00133E41" w:rsidRPr="004C60FF" w:rsidRDefault="00133E41" w:rsidP="00EA440D">
      <w:pPr>
        <w:pStyle w:val="FootnoteText"/>
        <w:rPr>
          <w:lang w:val="en-US"/>
        </w:rPr>
      </w:pPr>
      <w:r w:rsidRPr="004A6696">
        <w:rPr>
          <w:rStyle w:val="FootnoteReference"/>
        </w:rPr>
        <w:footnoteRef/>
      </w:r>
      <w:r w:rsidRPr="004C60FF">
        <w:t xml:space="preserve"> </w:t>
      </w:r>
      <w:r>
        <w:rPr>
          <w:lang w:val="en-US"/>
        </w:rPr>
        <w:t>Ibid</w:t>
      </w:r>
      <w:r w:rsidRPr="004C60FF">
        <w:rPr>
          <w:lang w:val="en-US"/>
        </w:rPr>
        <w:t>.</w:t>
      </w:r>
    </w:p>
  </w:footnote>
  <w:footnote w:id="38">
    <w:p w14:paraId="0E79EB78" w14:textId="3ED98B27" w:rsidR="00133E41" w:rsidRPr="00E14954" w:rsidRDefault="00133E41">
      <w:pPr>
        <w:pStyle w:val="FootnoteText"/>
        <w:rPr>
          <w:lang w:val="en-US"/>
        </w:rPr>
      </w:pPr>
      <w:r w:rsidRPr="004A6696">
        <w:rPr>
          <w:rStyle w:val="FootnoteReference"/>
        </w:rPr>
        <w:footnoteRef/>
      </w:r>
      <w:r>
        <w:t xml:space="preserve"> </w:t>
      </w:r>
      <w:r>
        <w:rPr>
          <w:lang w:val="en-US"/>
        </w:rPr>
        <w:t xml:space="preserve">Shakespeare, </w:t>
      </w:r>
      <w:r>
        <w:rPr>
          <w:i/>
          <w:lang w:val="en-US"/>
        </w:rPr>
        <w:t>Hamlet</w:t>
      </w:r>
      <w:r>
        <w:rPr>
          <w:lang w:val="en-US"/>
        </w:rPr>
        <w:t xml:space="preserve"> Act III, scene 3: 51-5; 67-9 [Folio, 1623] (Stanley Wells and Gary Taylor, </w:t>
      </w:r>
      <w:r>
        <w:rPr>
          <w:i/>
          <w:lang w:val="en-US"/>
        </w:rPr>
        <w:t>The Oxford Shakespeare: The Complete Works</w:t>
      </w:r>
      <w:r>
        <w:rPr>
          <w:lang w:val="en-US"/>
        </w:rPr>
        <w:t xml:space="preserve"> (Oxford: Clarendon: Oxford University Press, 1998).</w:t>
      </w:r>
    </w:p>
  </w:footnote>
  <w:footnote w:id="39">
    <w:p w14:paraId="708EE63A" w14:textId="4675A75A" w:rsidR="00133E41" w:rsidRPr="00D21FC9" w:rsidRDefault="00133E41">
      <w:pPr>
        <w:pStyle w:val="FootnoteText"/>
        <w:rPr>
          <w:lang w:val="en-US"/>
        </w:rPr>
      </w:pPr>
      <w:r w:rsidRPr="004A6696">
        <w:rPr>
          <w:rStyle w:val="FootnoteReference"/>
        </w:rPr>
        <w:footnoteRef/>
      </w:r>
      <w:r>
        <w:t xml:space="preserve"> </w:t>
      </w:r>
      <w:r>
        <w:rPr>
          <w:lang w:val="en-US"/>
        </w:rPr>
        <w:t>Tolstoy, (n 35) at 282.</w:t>
      </w:r>
    </w:p>
  </w:footnote>
  <w:footnote w:id="40">
    <w:p w14:paraId="47686418" w14:textId="580B3226" w:rsidR="00133E41" w:rsidRPr="004C60FF" w:rsidRDefault="00133E41" w:rsidP="001751A4">
      <w:pPr>
        <w:pStyle w:val="FootnoteText"/>
        <w:rPr>
          <w:lang w:val="en-US"/>
        </w:rPr>
      </w:pPr>
      <w:r w:rsidRPr="004A6696">
        <w:rPr>
          <w:rStyle w:val="FootnoteReference"/>
        </w:rPr>
        <w:footnoteRef/>
      </w:r>
      <w:r w:rsidRPr="004C60FF">
        <w:t xml:space="preserve"> </w:t>
      </w:r>
      <w:r w:rsidRPr="004C60FF">
        <w:rPr>
          <w:lang w:val="en-US"/>
        </w:rPr>
        <w:t xml:space="preserve">Charles Dickens, </w:t>
      </w:r>
      <w:r w:rsidRPr="004C60FF">
        <w:rPr>
          <w:i/>
          <w:lang w:val="en-US"/>
        </w:rPr>
        <w:t>Oliver Twist</w:t>
      </w:r>
      <w:r>
        <w:rPr>
          <w:lang w:val="en-US"/>
        </w:rPr>
        <w:t xml:space="preserve"> (Heron Centennial Edition: 1967) 435.</w:t>
      </w:r>
    </w:p>
  </w:footnote>
  <w:footnote w:id="41">
    <w:p w14:paraId="4C1DA3A0" w14:textId="5B722F1A" w:rsidR="00133E41" w:rsidRPr="005B0A60" w:rsidRDefault="00133E41">
      <w:pPr>
        <w:pStyle w:val="FootnoteText"/>
        <w:rPr>
          <w:lang w:val="en-US"/>
        </w:rPr>
      </w:pPr>
      <w:r w:rsidRPr="004A6696">
        <w:rPr>
          <w:rStyle w:val="FootnoteReference"/>
        </w:rPr>
        <w:footnoteRef/>
      </w:r>
      <w:r>
        <w:t xml:space="preserve"> </w:t>
      </w:r>
      <w:r>
        <w:rPr>
          <w:lang w:val="en-US"/>
        </w:rPr>
        <w:t>Ibid, 443.</w:t>
      </w:r>
    </w:p>
  </w:footnote>
  <w:footnote w:id="42">
    <w:p w14:paraId="3571A406" w14:textId="1B227B2E" w:rsidR="00133E41" w:rsidRPr="004C60FF" w:rsidRDefault="00133E41" w:rsidP="006D5333">
      <w:pPr>
        <w:pStyle w:val="FootnoteText"/>
        <w:rPr>
          <w:lang w:val="en-US"/>
        </w:rPr>
      </w:pPr>
      <w:r w:rsidRPr="004A6696">
        <w:rPr>
          <w:rStyle w:val="FootnoteReference"/>
        </w:rPr>
        <w:footnoteRef/>
      </w:r>
      <w:r w:rsidRPr="004C60FF">
        <w:t xml:space="preserve"> </w:t>
      </w:r>
      <w:r w:rsidRPr="004C60FF">
        <w:rPr>
          <w:lang w:val="en-US"/>
        </w:rPr>
        <w:t xml:space="preserve">Ibid, </w:t>
      </w:r>
      <w:r>
        <w:rPr>
          <w:lang w:val="en-US"/>
        </w:rPr>
        <w:t>445</w:t>
      </w:r>
      <w:r w:rsidRPr="004C60FF">
        <w:rPr>
          <w:lang w:val="en-US"/>
        </w:rPr>
        <w:t>.</w:t>
      </w:r>
    </w:p>
  </w:footnote>
  <w:footnote w:id="43">
    <w:p w14:paraId="3D525C04" w14:textId="7E745977" w:rsidR="00133E41" w:rsidRPr="004C60FF" w:rsidRDefault="00133E41" w:rsidP="00D914EA">
      <w:pPr>
        <w:pStyle w:val="FootnoteText"/>
      </w:pPr>
      <w:r w:rsidRPr="004A6696">
        <w:rPr>
          <w:rStyle w:val="FootnoteReference"/>
        </w:rPr>
        <w:footnoteRef/>
      </w:r>
      <w:r w:rsidRPr="004C60FF">
        <w:t xml:space="preserve"> Phi</w:t>
      </w:r>
      <w:r>
        <w:t xml:space="preserve">lipopoulous-Mihalopoulous, </w:t>
      </w:r>
      <w:r w:rsidRPr="004C60FF">
        <w:t xml:space="preserve">‘Flesh of the Law: Material Legal Metaphors’ (2016) </w:t>
      </w:r>
      <w:r w:rsidRPr="004C60FF">
        <w:rPr>
          <w:i/>
          <w:iCs/>
        </w:rPr>
        <w:t>Journal of Law and Society</w:t>
      </w:r>
      <w:r w:rsidRPr="004C60FF">
        <w:t xml:space="preserve">, 43(1): 45-65 at 49. </w:t>
      </w:r>
    </w:p>
  </w:footnote>
  <w:footnote w:id="44">
    <w:p w14:paraId="4460ABBD" w14:textId="1FBCB565" w:rsidR="00133E41" w:rsidRPr="004C60FF" w:rsidRDefault="00133E41" w:rsidP="005B1F78">
      <w:pPr>
        <w:pStyle w:val="FootnoteText"/>
        <w:rPr>
          <w:iCs/>
        </w:rPr>
      </w:pPr>
      <w:r w:rsidRPr="004A6696">
        <w:rPr>
          <w:rStyle w:val="FootnoteReference"/>
        </w:rPr>
        <w:footnoteRef/>
      </w:r>
      <w:r w:rsidRPr="004C60FF">
        <w:t xml:space="preserve"> See </w:t>
      </w:r>
      <w:r w:rsidRPr="004C60FF">
        <w:rPr>
          <w:rFonts w:cs="Times New Roman"/>
        </w:rPr>
        <w:t xml:space="preserve">N. Lacey and </w:t>
      </w:r>
      <w:r w:rsidRPr="004C60FF">
        <w:rPr>
          <w:rFonts w:cs="Times New Roman"/>
          <w:iCs/>
          <w:lang w:val="en-US"/>
        </w:rPr>
        <w:t xml:space="preserve">H. Pickard, </w:t>
      </w:r>
      <w:r>
        <w:rPr>
          <w:rFonts w:cs="Times New Roman"/>
          <w:iCs/>
          <w:lang w:val="en-US"/>
        </w:rPr>
        <w:t>above (n 11)</w:t>
      </w:r>
      <w:r w:rsidRPr="004C60FF">
        <w:rPr>
          <w:rFonts w:cs="Times New Roman"/>
          <w:iCs/>
          <w:lang w:val="en-US"/>
        </w:rPr>
        <w:t xml:space="preserve">; </w:t>
      </w:r>
      <w:r>
        <w:rPr>
          <w:rFonts w:cs="Times New Roman"/>
          <w:iCs/>
          <w:lang w:val="en-US"/>
        </w:rPr>
        <w:t xml:space="preserve">also </w:t>
      </w:r>
      <w:r w:rsidRPr="004C60FF">
        <w:rPr>
          <w:rFonts w:cs="Times New Roman"/>
          <w:iCs/>
          <w:lang w:val="en-US"/>
        </w:rPr>
        <w:t xml:space="preserve">Lacey, </w:t>
      </w:r>
      <w:r>
        <w:rPr>
          <w:rFonts w:cs="Times New Roman"/>
          <w:iCs/>
          <w:lang w:val="en-US"/>
        </w:rPr>
        <w:t>above (n 11) at</w:t>
      </w:r>
      <w:r w:rsidRPr="004C60FF">
        <w:rPr>
          <w:rFonts w:cs="Times New Roman"/>
          <w:iCs/>
          <w:lang w:val="en-US"/>
        </w:rPr>
        <w:t xml:space="preserve"> 43-4.</w:t>
      </w:r>
    </w:p>
  </w:footnote>
  <w:footnote w:id="45">
    <w:p w14:paraId="769493C1" w14:textId="2587A64E" w:rsidR="00133E41" w:rsidRPr="00B264AF" w:rsidRDefault="00133E41" w:rsidP="003424E4">
      <w:pPr>
        <w:pStyle w:val="FootnoteText"/>
        <w:rPr>
          <w:lang w:val="en-US"/>
        </w:rPr>
      </w:pPr>
      <w:r w:rsidRPr="004A6696">
        <w:rPr>
          <w:rStyle w:val="FootnoteReference"/>
        </w:rPr>
        <w:footnoteRef/>
      </w:r>
      <w:r>
        <w:t xml:space="preserve"> Lakoff and Johnson, above (n 3) at 29.</w:t>
      </w:r>
    </w:p>
  </w:footnote>
  <w:footnote w:id="46">
    <w:p w14:paraId="18CE2546" w14:textId="77777777" w:rsidR="00133E41" w:rsidRPr="004C60FF" w:rsidRDefault="00133E41" w:rsidP="00396496">
      <w:pPr>
        <w:pStyle w:val="FootnoteText"/>
      </w:pPr>
      <w:r w:rsidRPr="004A6696">
        <w:rPr>
          <w:rStyle w:val="FootnoteReference"/>
        </w:rPr>
        <w:footnoteRef/>
      </w:r>
      <w:r w:rsidRPr="004C60FF">
        <w:t xml:space="preserve"> See, for example, Moore, S. E. J. and Breeze, S. ‘Spaces of male fear: the sexual politics of being watched’ (2012) 52, </w:t>
      </w:r>
      <w:r w:rsidRPr="004C60FF">
        <w:rPr>
          <w:i/>
          <w:iCs/>
        </w:rPr>
        <w:t>Brit. J. Criminol</w:t>
      </w:r>
      <w:r w:rsidRPr="004C60FF">
        <w:t>. 1172-91.</w:t>
      </w:r>
    </w:p>
  </w:footnote>
  <w:footnote w:id="47">
    <w:p w14:paraId="5AAFF2B8" w14:textId="0B898A8E" w:rsidR="00133E41" w:rsidRPr="004C60FF" w:rsidRDefault="00133E41" w:rsidP="00EF1CA8">
      <w:pPr>
        <w:pStyle w:val="FootnoteText"/>
      </w:pPr>
      <w:r w:rsidRPr="004A6696">
        <w:rPr>
          <w:rStyle w:val="FootnoteReference"/>
        </w:rPr>
        <w:footnoteRef/>
      </w:r>
      <w:r w:rsidRPr="004C60FF">
        <w:t xml:space="preserve"> See further Philippopoulos-Mihalopoulos</w:t>
      </w:r>
      <w:r>
        <w:t>, above (n 43).</w:t>
      </w:r>
    </w:p>
  </w:footnote>
  <w:footnote w:id="48">
    <w:p w14:paraId="2AE515CC" w14:textId="36951066" w:rsidR="00133E41" w:rsidRPr="004C60FF" w:rsidRDefault="00133E41" w:rsidP="00EA440D">
      <w:pPr>
        <w:pStyle w:val="FootnoteText"/>
      </w:pPr>
      <w:r w:rsidRPr="004A6696">
        <w:rPr>
          <w:rStyle w:val="FootnoteReference"/>
        </w:rPr>
        <w:footnoteRef/>
      </w:r>
      <w:r w:rsidRPr="004C60FF">
        <w:t xml:space="preserve"> Lakoff and Johnson</w:t>
      </w:r>
      <w:r>
        <w:t>, above</w:t>
      </w:r>
      <w:r w:rsidRPr="004C60FF">
        <w:t xml:space="preserve"> (n </w:t>
      </w:r>
      <w:r>
        <w:t>3</w:t>
      </w:r>
      <w:r w:rsidRPr="004C60FF">
        <w:t>), at 46-53</w:t>
      </w:r>
      <w:r>
        <w:t>.</w:t>
      </w:r>
    </w:p>
  </w:footnote>
  <w:footnote w:id="49">
    <w:p w14:paraId="706456E5" w14:textId="55C7DD5F" w:rsidR="00133E41" w:rsidRPr="004C60FF" w:rsidRDefault="00133E41" w:rsidP="00EA440D">
      <w:pPr>
        <w:pStyle w:val="FootnoteText"/>
      </w:pPr>
      <w:r w:rsidRPr="004A6696">
        <w:rPr>
          <w:rStyle w:val="FootnoteReference"/>
        </w:rPr>
        <w:footnoteRef/>
      </w:r>
      <w:r w:rsidRPr="004C60FF">
        <w:t xml:space="preserve"> Michael Zander, </w:t>
      </w:r>
      <w:r w:rsidRPr="004C60FF">
        <w:rPr>
          <w:i/>
          <w:iCs/>
        </w:rPr>
        <w:t>The Law Making Process</w:t>
      </w:r>
      <w:r w:rsidRPr="004C60FF">
        <w:t xml:space="preserve"> (Hart (Bloomsbury) 2015), at 254.</w:t>
      </w:r>
    </w:p>
  </w:footnote>
  <w:footnote w:id="50">
    <w:p w14:paraId="69A316BE" w14:textId="77777777" w:rsidR="00133E41" w:rsidRPr="004C60FF" w:rsidRDefault="00133E41" w:rsidP="00EA440D">
      <w:pPr>
        <w:pStyle w:val="FootnoteText"/>
      </w:pPr>
      <w:r w:rsidRPr="004A6696">
        <w:rPr>
          <w:rStyle w:val="FootnoteReference"/>
        </w:rPr>
        <w:footnoteRef/>
      </w:r>
      <w:r w:rsidRPr="004C60FF">
        <w:t xml:space="preserve"> Marco Wan, </w:t>
      </w:r>
      <w:r w:rsidRPr="004C60FF">
        <w:rPr>
          <w:i/>
          <w:iCs/>
        </w:rPr>
        <w:t>Reading the Legal Case: Cross-currents between law and the humanities</w:t>
      </w:r>
      <w:r w:rsidRPr="004C60FF">
        <w:t xml:space="preserve"> (Abingdon: Routledge, 2012) at 2.</w:t>
      </w:r>
    </w:p>
  </w:footnote>
  <w:footnote w:id="51">
    <w:p w14:paraId="6BEF2886" w14:textId="16E42D64" w:rsidR="00133E41" w:rsidRPr="004C60FF" w:rsidRDefault="00133E41" w:rsidP="00EA440D">
      <w:pPr>
        <w:pStyle w:val="FootnoteText"/>
        <w:rPr>
          <w:lang w:val="en-US"/>
        </w:rPr>
      </w:pPr>
      <w:r w:rsidRPr="004A6696">
        <w:rPr>
          <w:rStyle w:val="FootnoteReference"/>
        </w:rPr>
        <w:footnoteRef/>
      </w:r>
      <w:r w:rsidRPr="004C60FF">
        <w:t xml:space="preserve"> See further </w:t>
      </w:r>
      <w:r w:rsidRPr="004C60FF">
        <w:rPr>
          <w:rFonts w:cs="Times New Roman"/>
          <w:lang w:val="en-US"/>
        </w:rPr>
        <w:t xml:space="preserve">R. Rorty, </w:t>
      </w:r>
      <w:r w:rsidRPr="004C60FF">
        <w:rPr>
          <w:rFonts w:cs="Times New Roman"/>
          <w:i/>
          <w:lang w:val="en-US"/>
        </w:rPr>
        <w:t>Contingency, Irony, And Solidarity</w:t>
      </w:r>
      <w:r w:rsidRPr="004C60FF">
        <w:rPr>
          <w:rFonts w:cs="Times New Roman"/>
          <w:lang w:val="en-US"/>
        </w:rPr>
        <w:t xml:space="preserve"> (1989); see also Peter Goodrich, ‘The New Casuistry’ </w:t>
      </w:r>
      <w:r w:rsidRPr="004C60FF">
        <w:rPr>
          <w:rFonts w:cs="Times New Roman"/>
          <w:i/>
          <w:iCs/>
          <w:lang w:val="en-US"/>
        </w:rPr>
        <w:t>Critical Inquiry</w:t>
      </w:r>
      <w:r w:rsidRPr="004C60FF">
        <w:rPr>
          <w:rFonts w:cs="Times New Roman"/>
          <w:lang w:val="en-US"/>
        </w:rPr>
        <w:t xml:space="preserve"> 33, no. 4 (Summer 2007): 673-709.</w:t>
      </w:r>
    </w:p>
  </w:footnote>
  <w:footnote w:id="52">
    <w:p w14:paraId="543DFF05" w14:textId="110D8A3F" w:rsidR="00133E41" w:rsidRPr="00DE3E4B" w:rsidRDefault="00133E41">
      <w:pPr>
        <w:pStyle w:val="FootnoteText"/>
        <w:rPr>
          <w:lang w:val="en-US"/>
        </w:rPr>
      </w:pPr>
      <w:r w:rsidRPr="004A6696">
        <w:rPr>
          <w:rStyle w:val="FootnoteReference"/>
        </w:rPr>
        <w:footnoteRef/>
      </w:r>
      <w:r>
        <w:t xml:space="preserve"> For commentary see Watt (n 1) 56-7.</w:t>
      </w:r>
    </w:p>
  </w:footnote>
  <w:footnote w:id="53">
    <w:p w14:paraId="227483EB" w14:textId="35E96887" w:rsidR="002D3A94" w:rsidRDefault="002D3A94">
      <w:pPr>
        <w:pStyle w:val="FootnoteText"/>
      </w:pPr>
      <w:r>
        <w:rPr>
          <w:rStyle w:val="FootnoteReference"/>
        </w:rPr>
        <w:footnoteRef/>
      </w:r>
      <w:r>
        <w:t xml:space="preserve"> Zander, above (n 49).</w:t>
      </w:r>
    </w:p>
  </w:footnote>
  <w:footnote w:id="54">
    <w:p w14:paraId="1CE63D27" w14:textId="79D146E9" w:rsidR="00133E41" w:rsidRPr="004C60FF" w:rsidRDefault="00133E41" w:rsidP="00E33B62">
      <w:pPr>
        <w:pStyle w:val="FootnoteText"/>
      </w:pPr>
      <w:r w:rsidRPr="004A6696">
        <w:rPr>
          <w:rStyle w:val="FootnoteReference"/>
        </w:rPr>
        <w:footnoteRef/>
      </w:r>
      <w:r>
        <w:t xml:space="preserve"> Mulcahy, above (n 18</w:t>
      </w:r>
      <w:r w:rsidRPr="004C60FF">
        <w:t>) at 39-41. See also Barb Toews, ‘ “It’s a dead place”: a qualitative exploration of violence survivors’ perceptions of justice architecture’ (2018).</w:t>
      </w:r>
    </w:p>
  </w:footnote>
  <w:footnote w:id="55">
    <w:p w14:paraId="4982D9F8" w14:textId="77777777" w:rsidR="00133E41" w:rsidRPr="004C60FF" w:rsidRDefault="00133E41" w:rsidP="0006467C">
      <w:pPr>
        <w:pStyle w:val="FootnoteText"/>
      </w:pPr>
      <w:r w:rsidRPr="004A6696">
        <w:rPr>
          <w:rStyle w:val="FootnoteReference"/>
        </w:rPr>
        <w:footnoteRef/>
      </w:r>
      <w:r w:rsidRPr="004C60FF">
        <w:t xml:space="preserve"> </w:t>
      </w:r>
      <w:r w:rsidRPr="004C60FF">
        <w:rPr>
          <w:i/>
        </w:rPr>
        <w:t>Ivey v G</w:t>
      </w:r>
      <w:r w:rsidRPr="004C60FF">
        <w:rPr>
          <w:i/>
          <w:iCs/>
        </w:rPr>
        <w:t>enting Casinos (UK) Ltd t/a Crockford</w:t>
      </w:r>
      <w:r w:rsidRPr="004C60FF">
        <w:t xml:space="preserve"> [2017] SC 67</w:t>
      </w:r>
    </w:p>
  </w:footnote>
  <w:footnote w:id="56">
    <w:p w14:paraId="3C5DC9C3" w14:textId="02609EC8" w:rsidR="00133E41" w:rsidRPr="004C60FF" w:rsidRDefault="00133E41" w:rsidP="007B2864">
      <w:pPr>
        <w:pStyle w:val="FootnoteText"/>
      </w:pPr>
      <w:r w:rsidRPr="004A6696">
        <w:rPr>
          <w:rStyle w:val="FootnoteReference"/>
        </w:rPr>
        <w:footnoteRef/>
      </w:r>
      <w:r w:rsidRPr="004C60FF">
        <w:t xml:space="preserve"> </w:t>
      </w:r>
      <w:r w:rsidRPr="004C60FF">
        <w:rPr>
          <w:iCs/>
        </w:rPr>
        <w:t>[1982] QB 1053.</w:t>
      </w:r>
    </w:p>
  </w:footnote>
  <w:footnote w:id="57">
    <w:p w14:paraId="6163B892" w14:textId="6D655BE9" w:rsidR="00133E41" w:rsidRPr="004C60FF" w:rsidRDefault="00133E41" w:rsidP="00D363FB">
      <w:pPr>
        <w:pStyle w:val="FootnoteText"/>
      </w:pPr>
      <w:r w:rsidRPr="004A6696">
        <w:rPr>
          <w:rStyle w:val="FootnoteReference"/>
        </w:rPr>
        <w:footnoteRef/>
      </w:r>
      <w:r>
        <w:t xml:space="preserve"> </w:t>
      </w:r>
      <w:r>
        <w:rPr>
          <w:i/>
          <w:iCs/>
        </w:rPr>
        <w:t>Ivey</w:t>
      </w:r>
      <w:r>
        <w:t>, above (n 55) per Lord Hughes at para [74]: ‘</w:t>
      </w:r>
      <w:r w:rsidRPr="004C60FF">
        <w:t xml:space="preserve">…the second leg of the test propounded in </w:t>
      </w:r>
      <w:r w:rsidRPr="004C60FF">
        <w:rPr>
          <w:i/>
          <w:iCs/>
        </w:rPr>
        <w:t xml:space="preserve">Ghosh </w:t>
      </w:r>
      <w:r w:rsidRPr="004C60FF">
        <w:t xml:space="preserve">does not correctly represent the law and that directions based upon </w:t>
      </w:r>
      <w:r>
        <w:t>it ought no longer to be given.’</w:t>
      </w:r>
    </w:p>
  </w:footnote>
  <w:footnote w:id="58">
    <w:p w14:paraId="0A8EE62A" w14:textId="77777777" w:rsidR="00133E41" w:rsidRPr="004C60FF" w:rsidRDefault="00133E41" w:rsidP="004C1003">
      <w:pPr>
        <w:pStyle w:val="FootnoteText"/>
      </w:pPr>
      <w:r w:rsidRPr="004A6696">
        <w:rPr>
          <w:rStyle w:val="FootnoteReference"/>
        </w:rPr>
        <w:footnoteRef/>
      </w:r>
      <w:r w:rsidRPr="004C60FF">
        <w:t xml:space="preserve"> See Karl Laird, ‘Case Comment: Dishonesty: </w:t>
      </w:r>
      <w:r w:rsidRPr="0049762F">
        <w:rPr>
          <w:i/>
          <w:iCs/>
        </w:rPr>
        <w:t>Ivey v Genting Casinos UK Ltd (t/a Crockfords Club)</w:t>
      </w:r>
      <w:r w:rsidRPr="004C60FF">
        <w:t xml:space="preserve">’ (2018) </w:t>
      </w:r>
      <w:r w:rsidRPr="004C60FF">
        <w:rPr>
          <w:i/>
          <w:iCs/>
        </w:rPr>
        <w:t xml:space="preserve">Crim LR </w:t>
      </w:r>
      <w:r w:rsidRPr="004C60FF">
        <w:t>395.</w:t>
      </w:r>
    </w:p>
  </w:footnote>
  <w:footnote w:id="59">
    <w:p w14:paraId="7DE2F9E9" w14:textId="6483F640" w:rsidR="00133E41" w:rsidRPr="00241B70" w:rsidRDefault="00133E41" w:rsidP="00EA440D">
      <w:pPr>
        <w:pStyle w:val="FootnoteText"/>
      </w:pPr>
      <w:r w:rsidRPr="004A6696">
        <w:rPr>
          <w:rStyle w:val="FootnoteReference"/>
        </w:rPr>
        <w:footnoteRef/>
      </w:r>
      <w:r w:rsidRPr="00241B70">
        <w:t xml:space="preserve"> </w:t>
      </w:r>
      <w:r w:rsidRPr="00241B70">
        <w:rPr>
          <w:i/>
          <w:iCs/>
        </w:rPr>
        <w:t>Ivey</w:t>
      </w:r>
      <w:r w:rsidRPr="00241B70">
        <w:t>, above (n 55) para. [59].</w:t>
      </w:r>
    </w:p>
  </w:footnote>
  <w:footnote w:id="60">
    <w:p w14:paraId="3458D489" w14:textId="06BD04B8" w:rsidR="00133E41" w:rsidRPr="00241B70" w:rsidRDefault="00133E41" w:rsidP="00EA440D">
      <w:pPr>
        <w:pStyle w:val="FootnoteText"/>
      </w:pPr>
      <w:r w:rsidRPr="004A6696">
        <w:rPr>
          <w:rStyle w:val="FootnoteReference"/>
        </w:rPr>
        <w:footnoteRef/>
      </w:r>
      <w:r w:rsidRPr="00241B70">
        <w:t xml:space="preserve"> Per Lord Lane CJ at 1064.</w:t>
      </w:r>
    </w:p>
  </w:footnote>
  <w:footnote w:id="61">
    <w:p w14:paraId="687A2644" w14:textId="358AD1CA" w:rsidR="00133E41" w:rsidRPr="00241B70" w:rsidRDefault="00133E41" w:rsidP="00EA440D">
      <w:pPr>
        <w:pStyle w:val="FootnoteText"/>
      </w:pPr>
      <w:r w:rsidRPr="004A6696">
        <w:rPr>
          <w:rStyle w:val="FootnoteReference"/>
        </w:rPr>
        <w:footnoteRef/>
      </w:r>
      <w:r w:rsidRPr="00241B70">
        <w:t xml:space="preserve"> </w:t>
      </w:r>
      <w:r w:rsidRPr="00241B70">
        <w:rPr>
          <w:i/>
          <w:iCs/>
        </w:rPr>
        <w:t>Ivey</w:t>
      </w:r>
      <w:r w:rsidRPr="00241B70">
        <w:t xml:space="preserve"> above (n 55) para [59].</w:t>
      </w:r>
    </w:p>
  </w:footnote>
  <w:footnote w:id="62">
    <w:p w14:paraId="5D0B7487" w14:textId="5FEE5C62" w:rsidR="00133E41" w:rsidRPr="004C60FF" w:rsidRDefault="00133E41">
      <w:pPr>
        <w:pStyle w:val="FootnoteText"/>
      </w:pPr>
      <w:r w:rsidRPr="004A6696">
        <w:rPr>
          <w:rStyle w:val="FootnoteReference"/>
        </w:rPr>
        <w:footnoteRef/>
      </w:r>
      <w:r w:rsidRPr="004C60FF">
        <w:t xml:space="preserve"> Lord Hughes</w:t>
      </w:r>
      <w:r>
        <w:t xml:space="preserve"> reminds us that dishonesty is ‘a simple … English word’ [63]: hence the ‘significant refinement’</w:t>
      </w:r>
      <w:r w:rsidRPr="004C60FF">
        <w:t xml:space="preserve"> [54] introduced in </w:t>
      </w:r>
      <w:r w:rsidRPr="004C60FF">
        <w:rPr>
          <w:i/>
          <w:iCs/>
        </w:rPr>
        <w:t>Ghosh</w:t>
      </w:r>
      <w:r>
        <w:t xml:space="preserve"> was ‘</w:t>
      </w:r>
      <w:r w:rsidRPr="004C60FF">
        <w:t>not necessary</w:t>
      </w:r>
      <w:r>
        <w:t>’</w:t>
      </w:r>
      <w:r w:rsidRPr="004C60FF">
        <w:t>[57].</w:t>
      </w:r>
    </w:p>
  </w:footnote>
  <w:footnote w:id="63">
    <w:p w14:paraId="4DCEE88E" w14:textId="57996039" w:rsidR="00133E41" w:rsidRPr="00BF072F" w:rsidRDefault="00133E41">
      <w:pPr>
        <w:pStyle w:val="FootnoteText"/>
        <w:rPr>
          <w:lang w:val="es-ES"/>
        </w:rPr>
      </w:pPr>
      <w:r w:rsidRPr="004A6696">
        <w:rPr>
          <w:rStyle w:val="FootnoteReference"/>
        </w:rPr>
        <w:footnoteRef/>
      </w:r>
      <w:r w:rsidRPr="00BF072F">
        <w:rPr>
          <w:lang w:val="es-ES"/>
        </w:rPr>
        <w:t xml:space="preserve"> Ibid, para [73].</w:t>
      </w:r>
    </w:p>
  </w:footnote>
  <w:footnote w:id="64">
    <w:p w14:paraId="306BDDDE" w14:textId="3617BB20" w:rsidR="00133E41" w:rsidRPr="00BF072F" w:rsidRDefault="00133E41">
      <w:pPr>
        <w:pStyle w:val="FootnoteText"/>
        <w:rPr>
          <w:lang w:val="es-ES"/>
        </w:rPr>
      </w:pPr>
      <w:r w:rsidRPr="004A6696">
        <w:rPr>
          <w:rStyle w:val="FootnoteReference"/>
        </w:rPr>
        <w:footnoteRef/>
      </w:r>
      <w:r w:rsidRPr="00BF072F">
        <w:rPr>
          <w:lang w:val="es-ES"/>
        </w:rPr>
        <w:t xml:space="preserve"> Ibid.</w:t>
      </w:r>
    </w:p>
  </w:footnote>
  <w:footnote w:id="65">
    <w:p w14:paraId="53D945C8" w14:textId="5DAB4D3C" w:rsidR="00133E41" w:rsidRPr="00BF072F" w:rsidRDefault="00133E41">
      <w:pPr>
        <w:pStyle w:val="FootnoteText"/>
        <w:rPr>
          <w:lang w:val="es-ES"/>
        </w:rPr>
      </w:pPr>
      <w:r w:rsidRPr="004A6696">
        <w:rPr>
          <w:rStyle w:val="FootnoteReference"/>
        </w:rPr>
        <w:footnoteRef/>
      </w:r>
      <w:r w:rsidRPr="00BF072F">
        <w:rPr>
          <w:lang w:val="es-ES"/>
        </w:rPr>
        <w:t xml:space="preserve"> Ibid, para [58].</w:t>
      </w:r>
    </w:p>
  </w:footnote>
  <w:footnote w:id="66">
    <w:p w14:paraId="26B4CB8D" w14:textId="77777777" w:rsidR="00133E41" w:rsidRPr="00BF072F" w:rsidRDefault="00133E41" w:rsidP="00EA440D">
      <w:pPr>
        <w:pStyle w:val="FootnoteText"/>
        <w:rPr>
          <w:lang w:val="es-ES"/>
        </w:rPr>
      </w:pPr>
      <w:r w:rsidRPr="004A6696">
        <w:rPr>
          <w:rStyle w:val="FootnoteReference"/>
        </w:rPr>
        <w:footnoteRef/>
      </w:r>
      <w:r w:rsidRPr="00BF072F">
        <w:rPr>
          <w:lang w:val="es-ES"/>
        </w:rPr>
        <w:t xml:space="preserve"> [2003] EWCA Crim 2206.</w:t>
      </w:r>
    </w:p>
  </w:footnote>
  <w:footnote w:id="67">
    <w:p w14:paraId="2B0DEB8C" w14:textId="349EBC14" w:rsidR="00133E41" w:rsidRPr="00E91307" w:rsidRDefault="00133E41">
      <w:pPr>
        <w:pStyle w:val="FootnoteText"/>
        <w:rPr>
          <w:lang w:val="es-ES"/>
        </w:rPr>
      </w:pPr>
      <w:r w:rsidRPr="004A6696">
        <w:rPr>
          <w:rStyle w:val="FootnoteReference"/>
        </w:rPr>
        <w:footnoteRef/>
      </w:r>
      <w:r w:rsidRPr="00E91307">
        <w:rPr>
          <w:lang w:val="es-ES"/>
        </w:rPr>
        <w:t xml:space="preserve"> </w:t>
      </w:r>
      <w:r w:rsidRPr="00E91307">
        <w:rPr>
          <w:i/>
          <w:lang w:val="es-ES"/>
        </w:rPr>
        <w:t>Ivey</w:t>
      </w:r>
      <w:r w:rsidRPr="00E91307">
        <w:rPr>
          <w:lang w:val="es-ES"/>
        </w:rPr>
        <w:t>, para [53].</w:t>
      </w:r>
    </w:p>
  </w:footnote>
  <w:footnote w:id="68">
    <w:p w14:paraId="3281E49E" w14:textId="5DBABC93" w:rsidR="00133E41" w:rsidRPr="00E91307" w:rsidRDefault="00133E41">
      <w:pPr>
        <w:pStyle w:val="FootnoteText"/>
        <w:rPr>
          <w:lang w:val="es-ES"/>
        </w:rPr>
      </w:pPr>
      <w:r w:rsidRPr="004A6696">
        <w:rPr>
          <w:rStyle w:val="FootnoteReference"/>
        </w:rPr>
        <w:footnoteRef/>
      </w:r>
      <w:r w:rsidRPr="00E91307">
        <w:rPr>
          <w:lang w:val="es-ES"/>
        </w:rPr>
        <w:t xml:space="preserve"> [1972] 1 WLR 1341.</w:t>
      </w:r>
    </w:p>
  </w:footnote>
  <w:footnote w:id="69">
    <w:p w14:paraId="7BAF34CA" w14:textId="77777777" w:rsidR="00133E41" w:rsidRPr="004C60FF" w:rsidRDefault="00133E41" w:rsidP="0006467C">
      <w:pPr>
        <w:pStyle w:val="FootnoteText"/>
        <w:rPr>
          <w:lang w:val="pt-PT"/>
        </w:rPr>
      </w:pPr>
      <w:r w:rsidRPr="004A6696">
        <w:rPr>
          <w:rStyle w:val="FootnoteReference"/>
        </w:rPr>
        <w:footnoteRef/>
      </w:r>
      <w:r w:rsidRPr="004C60FF">
        <w:rPr>
          <w:lang w:val="pt-PT"/>
        </w:rPr>
        <w:t xml:space="preserve"> </w:t>
      </w:r>
      <w:r w:rsidRPr="004C60FF">
        <w:rPr>
          <w:i/>
          <w:iCs/>
          <w:lang w:val="pt-PT"/>
        </w:rPr>
        <w:t>R v B</w:t>
      </w:r>
      <w:r w:rsidRPr="004C60FF">
        <w:rPr>
          <w:lang w:val="pt-PT"/>
        </w:rPr>
        <w:t xml:space="preserve"> [2013] EWCA Crim 3.</w:t>
      </w:r>
    </w:p>
  </w:footnote>
  <w:footnote w:id="70">
    <w:p w14:paraId="43B1CC5F" w14:textId="27BE3172" w:rsidR="00133E41" w:rsidRPr="00BF072F" w:rsidRDefault="00133E41">
      <w:pPr>
        <w:pStyle w:val="FootnoteText"/>
        <w:rPr>
          <w:lang w:val="pt-PT"/>
        </w:rPr>
      </w:pPr>
      <w:r w:rsidRPr="004A6696">
        <w:rPr>
          <w:rStyle w:val="FootnoteReference"/>
        </w:rPr>
        <w:footnoteRef/>
      </w:r>
      <w:r w:rsidRPr="00BF072F">
        <w:rPr>
          <w:lang w:val="pt-PT"/>
        </w:rPr>
        <w:t xml:space="preserve"> Ibid, para [29].</w:t>
      </w:r>
    </w:p>
  </w:footnote>
  <w:footnote w:id="71">
    <w:p w14:paraId="7827CB07" w14:textId="53CC6491" w:rsidR="00133E41" w:rsidRPr="004C60FF" w:rsidRDefault="00133E41">
      <w:pPr>
        <w:pStyle w:val="FootnoteText"/>
        <w:rPr>
          <w:lang w:val="pt-PT"/>
        </w:rPr>
      </w:pPr>
      <w:r w:rsidRPr="004A6696">
        <w:rPr>
          <w:rStyle w:val="FootnoteReference"/>
        </w:rPr>
        <w:footnoteRef/>
      </w:r>
      <w:r w:rsidRPr="004C60FF">
        <w:rPr>
          <w:lang w:val="pt-PT"/>
        </w:rPr>
        <w:t xml:space="preserve"> [1996] AC 90.</w:t>
      </w:r>
    </w:p>
  </w:footnote>
  <w:footnote w:id="72">
    <w:p w14:paraId="626E70E2" w14:textId="51C504FF" w:rsidR="00133E41" w:rsidRPr="004A6696" w:rsidRDefault="00133E41">
      <w:pPr>
        <w:pStyle w:val="FootnoteText"/>
        <w:rPr>
          <w:lang w:val="pt-PT"/>
        </w:rPr>
      </w:pPr>
      <w:r w:rsidRPr="004A6696">
        <w:rPr>
          <w:rStyle w:val="FootnoteReference"/>
        </w:rPr>
        <w:footnoteRef/>
      </w:r>
      <w:r w:rsidRPr="004A6696">
        <w:rPr>
          <w:lang w:val="pt-PT"/>
        </w:rPr>
        <w:t xml:space="preserve"> </w:t>
      </w:r>
      <w:r w:rsidRPr="004A6696">
        <w:rPr>
          <w:i/>
          <w:lang w:val="pt-PT"/>
        </w:rPr>
        <w:t>B</w:t>
      </w:r>
      <w:r>
        <w:rPr>
          <w:iCs/>
          <w:lang w:val="pt-PT"/>
        </w:rPr>
        <w:t>,</w:t>
      </w:r>
      <w:r w:rsidRPr="004A6696">
        <w:rPr>
          <w:i/>
          <w:lang w:val="pt-PT"/>
        </w:rPr>
        <w:t xml:space="preserve"> </w:t>
      </w:r>
      <w:r>
        <w:rPr>
          <w:iCs/>
          <w:lang w:val="pt-PT"/>
        </w:rPr>
        <w:t xml:space="preserve">above </w:t>
      </w:r>
      <w:r w:rsidRPr="004A6696">
        <w:rPr>
          <w:iCs/>
          <w:lang w:val="pt-PT"/>
        </w:rPr>
        <w:t>(n 69)</w:t>
      </w:r>
      <w:r w:rsidRPr="004A6696">
        <w:rPr>
          <w:lang w:val="pt-PT"/>
        </w:rPr>
        <w:t>, para [29].</w:t>
      </w:r>
    </w:p>
  </w:footnote>
  <w:footnote w:id="73">
    <w:p w14:paraId="14F9D96C" w14:textId="0BC7024D" w:rsidR="00133E41" w:rsidRPr="006A0C57" w:rsidRDefault="00133E41">
      <w:pPr>
        <w:pStyle w:val="FootnoteText"/>
        <w:rPr>
          <w:lang w:val="en-US"/>
        </w:rPr>
      </w:pPr>
      <w:r w:rsidRPr="004A6696">
        <w:rPr>
          <w:rStyle w:val="FootnoteReference"/>
        </w:rPr>
        <w:footnoteRef/>
      </w:r>
      <w:r>
        <w:t xml:space="preserve"> </w:t>
      </w:r>
      <w:r>
        <w:rPr>
          <w:lang w:val="en-US"/>
        </w:rPr>
        <w:t>Ibid, para [38].</w:t>
      </w:r>
    </w:p>
  </w:footnote>
  <w:footnote w:id="74">
    <w:p w14:paraId="5B24EB9F" w14:textId="321CD80E" w:rsidR="00133E41" w:rsidRPr="004C60FF" w:rsidRDefault="00133E41">
      <w:pPr>
        <w:pStyle w:val="FootnoteText"/>
      </w:pPr>
      <w:r w:rsidRPr="004A6696">
        <w:rPr>
          <w:rStyle w:val="FootnoteReference"/>
        </w:rPr>
        <w:footnoteRef/>
      </w:r>
      <w:r w:rsidRPr="004C60FF">
        <w:t xml:space="preserve"> See the Coroners and Justice Act 2009,</w:t>
      </w:r>
      <w:r>
        <w:t xml:space="preserve"> in which</w:t>
      </w:r>
      <w:r w:rsidRPr="004C60FF">
        <w:t xml:space="preserve"> </w:t>
      </w:r>
      <w:r>
        <w:t>s.54(1)(c) requires juries to compare the defendant’s conduct with ‘</w:t>
      </w:r>
      <w:r w:rsidRPr="00DB3FE2">
        <w:t>a person of D's sex and age, with a normal degree of tolerance and self-restrain</w:t>
      </w:r>
      <w:r>
        <w:t>t and in the circumstances of D’, and then in s.54(3) clarifies that ‘</w:t>
      </w:r>
      <w:r w:rsidRPr="00DB3FE2">
        <w:t xml:space="preserve">the reference to “the circumstances of D” is a reference to all of D's circumstances other than those whose </w:t>
      </w:r>
      <w:r w:rsidRPr="00DB3FE2">
        <w:rPr>
          <w:i/>
        </w:rPr>
        <w:t>only</w:t>
      </w:r>
      <w:r w:rsidRPr="00DB3FE2">
        <w:t xml:space="preserve"> relevance to D's conduct is that they bear on D's general capacity for tolerance or self-restraint.</w:t>
      </w:r>
      <w:r>
        <w:t>’ [my emphasis].</w:t>
      </w:r>
    </w:p>
  </w:footnote>
  <w:footnote w:id="75">
    <w:p w14:paraId="14D7E606" w14:textId="77777777" w:rsidR="00133E41" w:rsidRPr="004C60FF" w:rsidRDefault="00133E41" w:rsidP="0006467C">
      <w:pPr>
        <w:pStyle w:val="FootnoteText"/>
      </w:pPr>
      <w:r w:rsidRPr="004A6696">
        <w:rPr>
          <w:rStyle w:val="FootnoteReference"/>
        </w:rPr>
        <w:footnoteRef/>
      </w:r>
      <w:r w:rsidRPr="004C60FF">
        <w:t xml:space="preserve"> </w:t>
      </w:r>
      <w:r w:rsidRPr="004C60FF">
        <w:rPr>
          <w:i/>
        </w:rPr>
        <w:t xml:space="preserve">R v </w:t>
      </w:r>
      <w:r w:rsidRPr="004C60FF">
        <w:rPr>
          <w:i/>
          <w:iCs/>
        </w:rPr>
        <w:t>Howe</w:t>
      </w:r>
      <w:r w:rsidRPr="004C60FF">
        <w:t xml:space="preserve"> [1987] AC 417.</w:t>
      </w:r>
    </w:p>
  </w:footnote>
  <w:footnote w:id="76">
    <w:p w14:paraId="4DBEEDA5" w14:textId="4D2BC17C" w:rsidR="00133E41" w:rsidRPr="004C60FF" w:rsidRDefault="00133E41">
      <w:pPr>
        <w:pStyle w:val="FootnoteText"/>
      </w:pPr>
      <w:r w:rsidRPr="004A6696">
        <w:rPr>
          <w:rStyle w:val="FootnoteReference"/>
        </w:rPr>
        <w:footnoteRef/>
      </w:r>
      <w:r w:rsidRPr="004C60FF">
        <w:t xml:space="preserve"> </w:t>
      </w:r>
      <w:r w:rsidRPr="004C60FF">
        <w:rPr>
          <w:i/>
          <w:iCs/>
        </w:rPr>
        <w:t>Abbot v The Queen</w:t>
      </w:r>
      <w:r w:rsidRPr="004C60FF">
        <w:t xml:space="preserve"> [1977] AC 755, dissent at 771. </w:t>
      </w:r>
      <w:r w:rsidRPr="004C60FF">
        <w:rPr>
          <w:lang w:val="en-US"/>
        </w:rPr>
        <w:t>See Law Commission, ‘Murder, manslaughter and infanticide’, LawComm 304 (2006) at 121-2, who concluded that there is a ‘moral basis’ for allowing duress to be a full defence to murder, namely: ‘If a reasonable person might have acted as D did, then the argument for withholding a complete defence is undermined.’ (para 6.43, at 121).</w:t>
      </w:r>
    </w:p>
  </w:footnote>
  <w:footnote w:id="77">
    <w:p w14:paraId="54475ECB" w14:textId="56499AFF" w:rsidR="00133E41" w:rsidRPr="004C60FF" w:rsidRDefault="00133E41">
      <w:pPr>
        <w:pStyle w:val="FootnoteText"/>
      </w:pPr>
      <w:r w:rsidRPr="004A6696">
        <w:rPr>
          <w:rStyle w:val="FootnoteReference"/>
        </w:rPr>
        <w:footnoteRef/>
      </w:r>
      <w:r>
        <w:t xml:space="preserve"> Above (n 75</w:t>
      </w:r>
      <w:r w:rsidRPr="004C60FF">
        <w:t>) at 432.</w:t>
      </w:r>
    </w:p>
  </w:footnote>
  <w:footnote w:id="78">
    <w:p w14:paraId="225FE3FC" w14:textId="1EE6D7B6" w:rsidR="00133E41" w:rsidRPr="004C60FF" w:rsidRDefault="00133E41" w:rsidP="00D2328B">
      <w:pPr>
        <w:pStyle w:val="FootnoteText"/>
      </w:pPr>
      <w:r w:rsidRPr="004A6696">
        <w:rPr>
          <w:rStyle w:val="FootnoteReference"/>
        </w:rPr>
        <w:footnoteRef/>
      </w:r>
      <w:r w:rsidRPr="004C60FF">
        <w:t xml:space="preserve"> Homer, </w:t>
      </w:r>
      <w:r w:rsidRPr="004C60FF">
        <w:rPr>
          <w:i/>
          <w:iCs/>
        </w:rPr>
        <w:t>The Iliad of Homer</w:t>
      </w:r>
      <w:r w:rsidRPr="004C60FF">
        <w:t xml:space="preserve">, trans. Alexander Pope (London: Cassel, 1909) Book XXII, at 397. It is tempting to suppose that Lord Hailsham – who took a double First at Oxford in </w:t>
      </w:r>
      <w:r w:rsidRPr="004C60FF">
        <w:rPr>
          <w:i/>
          <w:iCs/>
        </w:rPr>
        <w:t>Literae Humaniores</w:t>
      </w:r>
      <w:r w:rsidRPr="004C60FF">
        <w:t xml:space="preserve"> (essentially Classics) and was injured in the Second World War – may have had such a scene of epic sacrifice in mind, but we should recall that the argument being advanced here does not depend on </w:t>
      </w:r>
      <w:r w:rsidRPr="004C60FF">
        <w:rPr>
          <w:i/>
          <w:iCs/>
        </w:rPr>
        <w:t>conscious</w:t>
      </w:r>
      <w:r w:rsidRPr="004C60FF">
        <w:t xml:space="preserve"> invocations of metaphor.</w:t>
      </w:r>
    </w:p>
  </w:footnote>
  <w:footnote w:id="79">
    <w:p w14:paraId="7E13A6BF" w14:textId="36A626E2" w:rsidR="00133E41" w:rsidRPr="004C60FF" w:rsidRDefault="00133E41">
      <w:pPr>
        <w:pStyle w:val="FootnoteText"/>
      </w:pPr>
      <w:r w:rsidRPr="004A6696">
        <w:rPr>
          <w:rStyle w:val="FootnoteReference"/>
        </w:rPr>
        <w:footnoteRef/>
      </w:r>
      <w:r>
        <w:t xml:space="preserve"> Above (n 75</w:t>
      </w:r>
      <w:r w:rsidRPr="004C60FF">
        <w:t>) at 432.</w:t>
      </w:r>
    </w:p>
  </w:footnote>
  <w:footnote w:id="80">
    <w:p w14:paraId="384C88F1" w14:textId="39AECDE9" w:rsidR="00133E41" w:rsidRPr="004C60FF" w:rsidRDefault="00133E41" w:rsidP="0006467C">
      <w:pPr>
        <w:pStyle w:val="FootnoteText"/>
      </w:pPr>
      <w:r w:rsidRPr="004A6696">
        <w:rPr>
          <w:rStyle w:val="FootnoteReference"/>
        </w:rPr>
        <w:footnoteRef/>
      </w:r>
      <w:r w:rsidRPr="004C60FF">
        <w:t xml:space="preserve"> </w:t>
      </w:r>
      <w:r w:rsidRPr="004C60FF">
        <w:rPr>
          <w:i/>
        </w:rPr>
        <w:t xml:space="preserve">R v </w:t>
      </w:r>
      <w:r w:rsidRPr="004C60FF">
        <w:rPr>
          <w:i/>
          <w:iCs/>
        </w:rPr>
        <w:t>Caldwell</w:t>
      </w:r>
      <w:r>
        <w:t xml:space="preserve"> [1981] 1 All ER 961</w:t>
      </w:r>
      <w:r w:rsidRPr="004C60FF">
        <w:t>.</w:t>
      </w:r>
    </w:p>
  </w:footnote>
  <w:footnote w:id="81">
    <w:p w14:paraId="365FA935" w14:textId="20BF9A9F" w:rsidR="00133E41" w:rsidRPr="004C60FF" w:rsidRDefault="00133E41" w:rsidP="00014EAC">
      <w:pPr>
        <w:pStyle w:val="FootnoteText"/>
      </w:pPr>
      <w:r w:rsidRPr="004A6696">
        <w:rPr>
          <w:rStyle w:val="FootnoteReference"/>
        </w:rPr>
        <w:footnoteRef/>
      </w:r>
      <w:r w:rsidRPr="004C60FF">
        <w:t xml:space="preserve"> </w:t>
      </w:r>
      <w:r w:rsidRPr="004C60FF">
        <w:rPr>
          <w:i/>
        </w:rPr>
        <w:t xml:space="preserve">R v </w:t>
      </w:r>
      <w:r w:rsidRPr="004C60FF">
        <w:rPr>
          <w:i/>
          <w:iCs/>
        </w:rPr>
        <w:t>G and another</w:t>
      </w:r>
      <w:r w:rsidRPr="004C60FF">
        <w:t xml:space="preserve"> [2003] UKHL 50</w:t>
      </w:r>
      <w:r>
        <w:t>.</w:t>
      </w:r>
    </w:p>
  </w:footnote>
  <w:footnote w:id="82">
    <w:p w14:paraId="5755504A" w14:textId="060DCBCD" w:rsidR="00133E41" w:rsidRPr="004C60FF" w:rsidRDefault="00133E41" w:rsidP="003C7CFD">
      <w:pPr>
        <w:pStyle w:val="FootnoteText"/>
      </w:pPr>
      <w:r w:rsidRPr="004A6696">
        <w:rPr>
          <w:rStyle w:val="FootnoteReference"/>
        </w:rPr>
        <w:footnoteRef/>
      </w:r>
      <w:r w:rsidRPr="004C60FF">
        <w:t xml:space="preserve"> </w:t>
      </w:r>
      <w:r>
        <w:rPr>
          <w:i/>
          <w:iCs/>
        </w:rPr>
        <w:t>Caldwell</w:t>
      </w:r>
      <w:r>
        <w:t>, above (n 80)</w:t>
      </w:r>
      <w:r w:rsidRPr="004C60FF">
        <w:t xml:space="preserve"> </w:t>
      </w:r>
      <w:r>
        <w:t xml:space="preserve">at </w:t>
      </w:r>
      <w:r w:rsidRPr="004C60FF">
        <w:t>965.</w:t>
      </w:r>
    </w:p>
  </w:footnote>
  <w:footnote w:id="83">
    <w:p w14:paraId="4850274E" w14:textId="266C09E2" w:rsidR="00133E41" w:rsidRPr="004C60FF" w:rsidRDefault="00133E41" w:rsidP="00EA440D">
      <w:pPr>
        <w:pStyle w:val="FootnoteText"/>
        <w:rPr>
          <w:lang w:val="it-IT"/>
        </w:rPr>
      </w:pPr>
      <w:r w:rsidRPr="004A6696">
        <w:rPr>
          <w:rStyle w:val="FootnoteReference"/>
        </w:rPr>
        <w:footnoteRef/>
      </w:r>
      <w:r w:rsidRPr="004C60FF">
        <w:t xml:space="preserve"> Dante, </w:t>
      </w:r>
      <w:r w:rsidRPr="004C60FF">
        <w:rPr>
          <w:i/>
          <w:iCs/>
        </w:rPr>
        <w:t>The Divine Comedy, Vol II: Purgatory</w:t>
      </w:r>
      <w:r w:rsidRPr="004C60FF">
        <w:rPr>
          <w:iCs/>
        </w:rPr>
        <w:t xml:space="preserve">, trans. </w:t>
      </w:r>
      <w:r w:rsidRPr="004C60FF">
        <w:rPr>
          <w:iCs/>
          <w:lang w:val="it-IT"/>
        </w:rPr>
        <w:t>Mark Musa</w:t>
      </w:r>
      <w:r w:rsidRPr="004C60FF">
        <w:rPr>
          <w:lang w:val="it-IT"/>
        </w:rPr>
        <w:t xml:space="preserve"> (London: Penguin Classics, 1985) Canto XVI, 1-6.</w:t>
      </w:r>
    </w:p>
  </w:footnote>
  <w:footnote w:id="84">
    <w:p w14:paraId="5954384C" w14:textId="2386DEC2" w:rsidR="00133E41" w:rsidRPr="004C60FF" w:rsidRDefault="00133E41" w:rsidP="003C7CFD">
      <w:pPr>
        <w:pStyle w:val="FootnoteText"/>
      </w:pPr>
      <w:r w:rsidRPr="004A6696">
        <w:rPr>
          <w:rStyle w:val="FootnoteReference"/>
        </w:rPr>
        <w:footnoteRef/>
      </w:r>
      <w:r w:rsidRPr="004C60FF">
        <w:t xml:space="preserve"> </w:t>
      </w:r>
      <w:r>
        <w:rPr>
          <w:i/>
          <w:iCs/>
        </w:rPr>
        <w:t>G</w:t>
      </w:r>
      <w:r>
        <w:t>, above (n 81), pe</w:t>
      </w:r>
      <w:r w:rsidRPr="004C60FF">
        <w:t>r Lord Steyn, para [49]. ‘Objective’ recklessness does however live on in cases where the defendant’s failure to appreciate an obvious risk was due to his intoxication (</w:t>
      </w:r>
      <w:r w:rsidRPr="004C60FF">
        <w:rPr>
          <w:i/>
          <w:iCs/>
        </w:rPr>
        <w:t>DPP v Majewski</w:t>
      </w:r>
      <w:r w:rsidRPr="004C60FF">
        <w:t xml:space="preserve"> [1977] AC 443) or a deliberate ‘closing of his mind’ due to rage or excitement (</w:t>
      </w:r>
      <w:r w:rsidRPr="004C60FF">
        <w:rPr>
          <w:i/>
          <w:iCs/>
        </w:rPr>
        <w:t>R v Parker</w:t>
      </w:r>
      <w:r w:rsidRPr="004C60FF">
        <w:t xml:space="preserve"> [1977] 1 WLR 600).</w:t>
      </w:r>
    </w:p>
  </w:footnote>
  <w:footnote w:id="85">
    <w:p w14:paraId="604FA4CC" w14:textId="1CA88801" w:rsidR="00133E41" w:rsidRPr="004C60FF" w:rsidRDefault="00133E41" w:rsidP="003C7CFD">
      <w:pPr>
        <w:pStyle w:val="FootnoteText"/>
      </w:pPr>
      <w:r w:rsidRPr="004A6696">
        <w:rPr>
          <w:rStyle w:val="FootnoteReference"/>
        </w:rPr>
        <w:footnoteRef/>
      </w:r>
      <w:r w:rsidRPr="004C60FF">
        <w:t xml:space="preserve"> </w:t>
      </w:r>
      <w:r>
        <w:t>Ibid, per Lord Bingham, a</w:t>
      </w:r>
      <w:r w:rsidRPr="004C60FF">
        <w:t xml:space="preserve">t para </w:t>
      </w:r>
      <w:r>
        <w:t>[</w:t>
      </w:r>
      <w:r w:rsidRPr="004C60FF">
        <w:t>33</w:t>
      </w:r>
      <w:r>
        <w:t>]</w:t>
      </w:r>
      <w:r w:rsidRPr="004C60FF">
        <w:t>, referring to the reservations expressed at trial by the judge as well as by the jurors themselves.</w:t>
      </w:r>
    </w:p>
  </w:footnote>
  <w:footnote w:id="86">
    <w:p w14:paraId="0EF59BC9" w14:textId="77777777" w:rsidR="00133E41" w:rsidRPr="004C60FF" w:rsidRDefault="00133E41" w:rsidP="0020344E">
      <w:pPr>
        <w:pStyle w:val="FootnoteText"/>
      </w:pPr>
      <w:r w:rsidRPr="004A6696">
        <w:rPr>
          <w:rStyle w:val="FootnoteReference"/>
        </w:rPr>
        <w:footnoteRef/>
      </w:r>
      <w:r w:rsidRPr="004C60FF">
        <w:t xml:space="preserve"> The clause that finally became s.55(6)(c) in the Coroners and Justice Act 2009.</w:t>
      </w:r>
    </w:p>
  </w:footnote>
  <w:footnote w:id="87">
    <w:p w14:paraId="15F145CA" w14:textId="77777777" w:rsidR="00133E41" w:rsidRPr="004C60FF" w:rsidRDefault="00133E41" w:rsidP="00B13D1A">
      <w:pPr>
        <w:pStyle w:val="FootnoteText"/>
      </w:pPr>
      <w:r w:rsidRPr="004A6696">
        <w:rPr>
          <w:rStyle w:val="FootnoteReference"/>
        </w:rPr>
        <w:footnoteRef/>
      </w:r>
      <w:r w:rsidRPr="004C60FF">
        <w:t xml:space="preserve"> Claire Ward, Parliamentary Under Secretary of State for Justice.</w:t>
      </w:r>
    </w:p>
  </w:footnote>
  <w:footnote w:id="88">
    <w:p w14:paraId="640F08CF" w14:textId="77777777" w:rsidR="00133E41" w:rsidRPr="004C60FF" w:rsidRDefault="00133E41" w:rsidP="00B13D1A">
      <w:pPr>
        <w:pStyle w:val="FootnoteText"/>
      </w:pPr>
      <w:r w:rsidRPr="004A6696">
        <w:rPr>
          <w:rStyle w:val="FootnoteReference"/>
        </w:rPr>
        <w:footnoteRef/>
      </w:r>
      <w:r w:rsidRPr="004C60FF">
        <w:t xml:space="preserve"> Commons Hansard, Nov 9, 2009, Col. 80.</w:t>
      </w:r>
    </w:p>
  </w:footnote>
  <w:footnote w:id="89">
    <w:p w14:paraId="1F34EC24" w14:textId="77777777" w:rsidR="00133E41" w:rsidRPr="004C60FF" w:rsidRDefault="00133E41" w:rsidP="00B13D1A">
      <w:pPr>
        <w:pStyle w:val="FootnoteText"/>
      </w:pPr>
      <w:r w:rsidRPr="004A6696">
        <w:rPr>
          <w:rStyle w:val="FootnoteReference"/>
        </w:rPr>
        <w:footnoteRef/>
      </w:r>
      <w:r w:rsidRPr="004C60FF">
        <w:t xml:space="preserve"> See C.A. Forell, ‘Gener equality, social values and provocation law in the United States, Canada and Australia’, </w:t>
      </w:r>
      <w:r w:rsidRPr="004C60FF">
        <w:rPr>
          <w:i/>
        </w:rPr>
        <w:t>Journal of Gender, Social Policy and the Law</w:t>
      </w:r>
      <w:r w:rsidRPr="004C60FF">
        <w:t xml:space="preserve"> (2006) 14:1, 27-69 at 32; Women’s Aid, ‘Murder law proposal’s criticized’, 2008; see more generally David Gurnham, </w:t>
      </w:r>
      <w:r w:rsidRPr="004C60FF">
        <w:rPr>
          <w:i/>
        </w:rPr>
        <w:t>Memory, Imagination, Justice</w:t>
      </w:r>
      <w:r w:rsidRPr="004C60FF">
        <w:t xml:space="preserve"> (Ashgate 2009) at 63ff.</w:t>
      </w:r>
    </w:p>
  </w:footnote>
  <w:footnote w:id="90">
    <w:p w14:paraId="21750580" w14:textId="77777777" w:rsidR="00133E41" w:rsidRPr="004C60FF" w:rsidRDefault="00133E41" w:rsidP="0006467C">
      <w:pPr>
        <w:pStyle w:val="FootnoteText"/>
        <w:rPr>
          <w:lang w:val="pt-PT"/>
        </w:rPr>
      </w:pPr>
      <w:r w:rsidRPr="004A6696">
        <w:rPr>
          <w:rStyle w:val="FootnoteReference"/>
        </w:rPr>
        <w:footnoteRef/>
      </w:r>
      <w:r w:rsidRPr="004C60FF">
        <w:rPr>
          <w:lang w:val="pt-PT"/>
        </w:rPr>
        <w:t xml:space="preserve"> </w:t>
      </w:r>
      <w:r w:rsidRPr="004C60FF">
        <w:rPr>
          <w:i/>
          <w:lang w:val="pt-PT"/>
        </w:rPr>
        <w:t xml:space="preserve">R v </w:t>
      </w:r>
      <w:r w:rsidRPr="004C60FF">
        <w:rPr>
          <w:i/>
          <w:iCs/>
          <w:lang w:val="pt-PT"/>
        </w:rPr>
        <w:t>Clinton</w:t>
      </w:r>
      <w:r w:rsidRPr="004C60FF">
        <w:rPr>
          <w:iCs/>
          <w:lang w:val="pt-PT"/>
        </w:rPr>
        <w:t xml:space="preserve"> [2012] EWCA Crim 2; [2013] Q.B. 1.</w:t>
      </w:r>
    </w:p>
  </w:footnote>
  <w:footnote w:id="91">
    <w:p w14:paraId="4C53EA0F" w14:textId="62C1DAC0" w:rsidR="00133E41" w:rsidRPr="004C60FF" w:rsidRDefault="00133E41" w:rsidP="00B13D1A">
      <w:pPr>
        <w:pStyle w:val="FootnoteText"/>
      </w:pPr>
      <w:r w:rsidRPr="004A6696">
        <w:rPr>
          <w:rStyle w:val="FootnoteReference"/>
        </w:rPr>
        <w:footnoteRef/>
      </w:r>
      <w:r>
        <w:t xml:space="preserve"> Ibid,</w:t>
      </w:r>
      <w:r w:rsidRPr="004C60FF">
        <w:t xml:space="preserve"> at para. [75].</w:t>
      </w:r>
    </w:p>
  </w:footnote>
  <w:footnote w:id="92">
    <w:p w14:paraId="4A471824" w14:textId="65AAADF9" w:rsidR="00133E41" w:rsidRPr="004C60FF" w:rsidRDefault="00133E41" w:rsidP="007E7B01">
      <w:pPr>
        <w:pStyle w:val="FootnoteText"/>
      </w:pPr>
      <w:r w:rsidRPr="004A6696">
        <w:rPr>
          <w:rStyle w:val="FootnoteReference"/>
        </w:rPr>
        <w:footnoteRef/>
      </w:r>
      <w:r w:rsidRPr="004C60FF">
        <w:t xml:space="preserve"> </w:t>
      </w:r>
      <w:r>
        <w:t>Ibid, para. [75-6], in which s</w:t>
      </w:r>
      <w:r w:rsidRPr="004C60FF">
        <w:t xml:space="preserve">he </w:t>
      </w:r>
      <w:r>
        <w:t xml:space="preserve">(Mrs Clinton) </w:t>
      </w:r>
      <w:r w:rsidRPr="004C60FF">
        <w:t>had told the defendant (her husband) that he hadn’t the ‘fucking bollocks’ to kill himself, that she had had intercourse with five different men and that she would le</w:t>
      </w:r>
      <w:r>
        <w:t>ave him and the children.</w:t>
      </w:r>
    </w:p>
  </w:footnote>
  <w:footnote w:id="93">
    <w:p w14:paraId="2475FCFD" w14:textId="77777777" w:rsidR="00133E41" w:rsidRPr="004C60FF" w:rsidRDefault="00133E41" w:rsidP="00B13D1A">
      <w:pPr>
        <w:pStyle w:val="FootnoteText"/>
      </w:pPr>
      <w:r w:rsidRPr="004A6696">
        <w:rPr>
          <w:rStyle w:val="FootnoteReference"/>
        </w:rPr>
        <w:footnoteRef/>
      </w:r>
      <w:r w:rsidRPr="004C60FF">
        <w:t xml:space="preserve"> Ibid, para [77].</w:t>
      </w:r>
    </w:p>
  </w:footnote>
  <w:footnote w:id="94">
    <w:p w14:paraId="5D773C91" w14:textId="77777777" w:rsidR="00133E41" w:rsidRPr="004C60FF" w:rsidRDefault="00133E41" w:rsidP="00B13D1A">
      <w:pPr>
        <w:pStyle w:val="FootnoteText"/>
        <w:rPr>
          <w:lang w:val="en-US"/>
        </w:rPr>
      </w:pPr>
      <w:r w:rsidRPr="004A6696">
        <w:rPr>
          <w:rStyle w:val="FootnoteReference"/>
        </w:rPr>
        <w:footnoteRef/>
      </w:r>
      <w:r w:rsidRPr="004C60FF">
        <w:t xml:space="preserve"> </w:t>
      </w:r>
      <w:r w:rsidRPr="004C60FF">
        <w:rPr>
          <w:lang w:val="en-US"/>
        </w:rPr>
        <w:t xml:space="preserve">See Simon Parsons. ‘The loss of control defence - fit for purpose?’ (2015) </w:t>
      </w:r>
      <w:r w:rsidRPr="004C60FF">
        <w:rPr>
          <w:i/>
          <w:lang w:val="en-US"/>
        </w:rPr>
        <w:t xml:space="preserve">Journal of Criminal Law </w:t>
      </w:r>
      <w:r w:rsidRPr="004C60FF">
        <w:rPr>
          <w:lang w:val="en-US"/>
        </w:rPr>
        <w:t xml:space="preserve">79(2) 94-101; L.H. Leigh, ‘Loss of control: the significance of sexual infidelity and other matters’ (2012) </w:t>
      </w:r>
      <w:r w:rsidRPr="004C60FF">
        <w:rPr>
          <w:i/>
          <w:lang w:val="en-US"/>
        </w:rPr>
        <w:t>Archbold Review</w:t>
      </w:r>
      <w:r w:rsidRPr="004C60FF">
        <w:rPr>
          <w:iCs/>
          <w:lang w:val="en-US"/>
        </w:rPr>
        <w:t xml:space="preserve"> 2, 4-6</w:t>
      </w:r>
      <w:r w:rsidRPr="004C60FF">
        <w:rPr>
          <w:lang w:val="en-US"/>
        </w:rPr>
        <w:t xml:space="preserve">; Findlay Stark, ‘Case Comment: Killing the unfaithful’ (2012) </w:t>
      </w:r>
      <w:r w:rsidRPr="004C60FF">
        <w:rPr>
          <w:i/>
          <w:lang w:val="en-US"/>
        </w:rPr>
        <w:t>Cam LJ</w:t>
      </w:r>
      <w:r w:rsidRPr="004C60FF">
        <w:rPr>
          <w:iCs/>
          <w:lang w:val="en-US"/>
        </w:rPr>
        <w:t xml:space="preserve"> 71(2), 260-3</w:t>
      </w:r>
      <w:r w:rsidRPr="004C60FF">
        <w:rPr>
          <w:lang w:val="en-US"/>
        </w:rPr>
        <w:t xml:space="preserve">; Amanda Clough, Sexual infidelity: the exclusion that never was? (2012) </w:t>
      </w:r>
      <w:r w:rsidRPr="004C60FF">
        <w:rPr>
          <w:i/>
          <w:iCs/>
          <w:lang w:val="en-US"/>
        </w:rPr>
        <w:t>Journal of Criminal Law</w:t>
      </w:r>
      <w:r w:rsidRPr="004C60FF">
        <w:rPr>
          <w:lang w:val="en-US"/>
        </w:rPr>
        <w:t xml:space="preserve"> 76(5), 382-8.</w:t>
      </w:r>
    </w:p>
  </w:footnote>
  <w:footnote w:id="95">
    <w:p w14:paraId="4513F920" w14:textId="6C205192" w:rsidR="00133E41" w:rsidRPr="004C60FF" w:rsidRDefault="00133E41" w:rsidP="005B1F78">
      <w:pPr>
        <w:pStyle w:val="FootnoteText"/>
      </w:pPr>
      <w:r w:rsidRPr="004A6696">
        <w:rPr>
          <w:rStyle w:val="FootnoteReference"/>
        </w:rPr>
        <w:footnoteRef/>
      </w:r>
      <w:r>
        <w:t xml:space="preserve"> Lacey, above (n 11</w:t>
      </w:r>
      <w:r w:rsidRPr="004C60FF">
        <w:t>) at 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231F"/>
    <w:multiLevelType w:val="hybridMultilevel"/>
    <w:tmpl w:val="4EE88DB0"/>
    <w:lvl w:ilvl="0" w:tplc="B81226F0">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1FAE"/>
    <w:multiLevelType w:val="hybridMultilevel"/>
    <w:tmpl w:val="1092FA88"/>
    <w:lvl w:ilvl="0" w:tplc="C610CAEA">
      <w:start w:val="8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80271"/>
    <w:multiLevelType w:val="hybridMultilevel"/>
    <w:tmpl w:val="1616A708"/>
    <w:lvl w:ilvl="0" w:tplc="47503510">
      <w:start w:val="3"/>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D7BFB"/>
    <w:multiLevelType w:val="hybridMultilevel"/>
    <w:tmpl w:val="DFD8DC8A"/>
    <w:lvl w:ilvl="0" w:tplc="9B0ED8AC">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463BC"/>
    <w:multiLevelType w:val="hybridMultilevel"/>
    <w:tmpl w:val="83608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101E6F"/>
    <w:multiLevelType w:val="hybridMultilevel"/>
    <w:tmpl w:val="09DC9AF6"/>
    <w:lvl w:ilvl="0" w:tplc="142C35F2">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67227"/>
    <w:multiLevelType w:val="hybridMultilevel"/>
    <w:tmpl w:val="60306696"/>
    <w:lvl w:ilvl="0" w:tplc="5502AFD8">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3F7"/>
    <w:multiLevelType w:val="hybridMultilevel"/>
    <w:tmpl w:val="2A6614EA"/>
    <w:lvl w:ilvl="0" w:tplc="FFC6DE00">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7E3B"/>
    <w:multiLevelType w:val="hybridMultilevel"/>
    <w:tmpl w:val="1DC8DF26"/>
    <w:lvl w:ilvl="0" w:tplc="3F24A30A">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060BA"/>
    <w:multiLevelType w:val="hybridMultilevel"/>
    <w:tmpl w:val="70CCD6C2"/>
    <w:lvl w:ilvl="0" w:tplc="59266022">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A4F76"/>
    <w:multiLevelType w:val="hybridMultilevel"/>
    <w:tmpl w:val="43265BC6"/>
    <w:lvl w:ilvl="0" w:tplc="EAE4B534">
      <w:start w:val="3"/>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E0E9B"/>
    <w:multiLevelType w:val="hybridMultilevel"/>
    <w:tmpl w:val="189EBFE4"/>
    <w:lvl w:ilvl="0" w:tplc="B096FB66">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424B1"/>
    <w:multiLevelType w:val="hybridMultilevel"/>
    <w:tmpl w:val="8DF68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7C0C91"/>
    <w:multiLevelType w:val="hybridMultilevel"/>
    <w:tmpl w:val="21922232"/>
    <w:lvl w:ilvl="0" w:tplc="7F822468">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077E4"/>
    <w:multiLevelType w:val="hybridMultilevel"/>
    <w:tmpl w:val="D47C5554"/>
    <w:lvl w:ilvl="0" w:tplc="60680D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B10A7"/>
    <w:multiLevelType w:val="hybridMultilevel"/>
    <w:tmpl w:val="411655F4"/>
    <w:lvl w:ilvl="0" w:tplc="E596483A">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66E46"/>
    <w:multiLevelType w:val="hybridMultilevel"/>
    <w:tmpl w:val="AD6807AE"/>
    <w:lvl w:ilvl="0" w:tplc="EC980268">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0F430B"/>
    <w:multiLevelType w:val="hybridMultilevel"/>
    <w:tmpl w:val="49AA6194"/>
    <w:lvl w:ilvl="0" w:tplc="11C863C8">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56CA8"/>
    <w:multiLevelType w:val="hybridMultilevel"/>
    <w:tmpl w:val="EDCAEA90"/>
    <w:lvl w:ilvl="0" w:tplc="5E5E9C04">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56353"/>
    <w:multiLevelType w:val="hybridMultilevel"/>
    <w:tmpl w:val="859652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4A1C77"/>
    <w:multiLevelType w:val="hybridMultilevel"/>
    <w:tmpl w:val="66261998"/>
    <w:lvl w:ilvl="0" w:tplc="94608BFA">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731F8"/>
    <w:multiLevelType w:val="hybridMultilevel"/>
    <w:tmpl w:val="5AD28550"/>
    <w:lvl w:ilvl="0" w:tplc="C610CAE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C2AC1"/>
    <w:multiLevelType w:val="hybridMultilevel"/>
    <w:tmpl w:val="A0986A3E"/>
    <w:lvl w:ilvl="0" w:tplc="F4E20560">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E5A60"/>
    <w:multiLevelType w:val="hybridMultilevel"/>
    <w:tmpl w:val="58C857CE"/>
    <w:lvl w:ilvl="0" w:tplc="78EA03B4">
      <w:start w:val="2"/>
      <w:numFmt w:val="bullet"/>
      <w:lvlText w:val="-"/>
      <w:lvlJc w:val="left"/>
      <w:pPr>
        <w:ind w:left="720" w:hanging="360"/>
      </w:pPr>
      <w:rPr>
        <w:rFonts w:ascii="Calibri Light" w:eastAsiaTheme="minorEastAsia" w:hAnsi="Calibri Light" w:cs="Times New Roman" w:hint="default"/>
        <w:color w:val="2626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B59A8"/>
    <w:multiLevelType w:val="hybridMultilevel"/>
    <w:tmpl w:val="543E223A"/>
    <w:lvl w:ilvl="0" w:tplc="AC1C6230">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2B17F9"/>
    <w:multiLevelType w:val="hybridMultilevel"/>
    <w:tmpl w:val="3CD66156"/>
    <w:lvl w:ilvl="0" w:tplc="06B6B752">
      <w:start w:val="1"/>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855C4"/>
    <w:multiLevelType w:val="hybridMultilevel"/>
    <w:tmpl w:val="43C68F7E"/>
    <w:lvl w:ilvl="0" w:tplc="BB5E87E0">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D25A8"/>
    <w:multiLevelType w:val="hybridMultilevel"/>
    <w:tmpl w:val="1AD6D35E"/>
    <w:lvl w:ilvl="0" w:tplc="E642EEC2">
      <w:start w:val="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31269"/>
    <w:multiLevelType w:val="hybridMultilevel"/>
    <w:tmpl w:val="0D3ADEC2"/>
    <w:lvl w:ilvl="0" w:tplc="CC94C8BA">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05A98"/>
    <w:multiLevelType w:val="hybridMultilevel"/>
    <w:tmpl w:val="C8C6F254"/>
    <w:lvl w:ilvl="0" w:tplc="78024B08">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F25007"/>
    <w:multiLevelType w:val="hybridMultilevel"/>
    <w:tmpl w:val="B3265EF6"/>
    <w:lvl w:ilvl="0" w:tplc="C610CAEA">
      <w:start w:val="1"/>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505A9"/>
    <w:multiLevelType w:val="hybridMultilevel"/>
    <w:tmpl w:val="E676CF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6"/>
  </w:num>
  <w:num w:numId="3">
    <w:abstractNumId w:val="24"/>
  </w:num>
  <w:num w:numId="4">
    <w:abstractNumId w:val="14"/>
  </w:num>
  <w:num w:numId="5">
    <w:abstractNumId w:val="22"/>
  </w:num>
  <w:num w:numId="6">
    <w:abstractNumId w:val="8"/>
  </w:num>
  <w:num w:numId="7">
    <w:abstractNumId w:val="12"/>
  </w:num>
  <w:num w:numId="8">
    <w:abstractNumId w:val="0"/>
  </w:num>
  <w:num w:numId="9">
    <w:abstractNumId w:val="18"/>
  </w:num>
  <w:num w:numId="10">
    <w:abstractNumId w:val="20"/>
  </w:num>
  <w:num w:numId="11">
    <w:abstractNumId w:val="3"/>
  </w:num>
  <w:num w:numId="12">
    <w:abstractNumId w:val="10"/>
  </w:num>
  <w:num w:numId="13">
    <w:abstractNumId w:val="5"/>
  </w:num>
  <w:num w:numId="14">
    <w:abstractNumId w:val="25"/>
  </w:num>
  <w:num w:numId="15">
    <w:abstractNumId w:val="15"/>
  </w:num>
  <w:num w:numId="16">
    <w:abstractNumId w:val="2"/>
  </w:num>
  <w:num w:numId="17">
    <w:abstractNumId w:val="9"/>
  </w:num>
  <w:num w:numId="18">
    <w:abstractNumId w:val="23"/>
  </w:num>
  <w:num w:numId="19">
    <w:abstractNumId w:val="28"/>
  </w:num>
  <w:num w:numId="20">
    <w:abstractNumId w:val="29"/>
  </w:num>
  <w:num w:numId="21">
    <w:abstractNumId w:val="16"/>
  </w:num>
  <w:num w:numId="22">
    <w:abstractNumId w:val="7"/>
  </w:num>
  <w:num w:numId="23">
    <w:abstractNumId w:val="6"/>
  </w:num>
  <w:num w:numId="24">
    <w:abstractNumId w:val="11"/>
  </w:num>
  <w:num w:numId="25">
    <w:abstractNumId w:val="17"/>
  </w:num>
  <w:num w:numId="26">
    <w:abstractNumId w:val="27"/>
  </w:num>
  <w:num w:numId="27">
    <w:abstractNumId w:val="13"/>
  </w:num>
  <w:num w:numId="28">
    <w:abstractNumId w:val="31"/>
  </w:num>
  <w:num w:numId="29">
    <w:abstractNumId w:val="1"/>
  </w:num>
  <w:num w:numId="30">
    <w:abstractNumId w:val="21"/>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es-E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3A"/>
    <w:rsid w:val="00001B23"/>
    <w:rsid w:val="00001BD3"/>
    <w:rsid w:val="00005861"/>
    <w:rsid w:val="00005B25"/>
    <w:rsid w:val="00006397"/>
    <w:rsid w:val="00006754"/>
    <w:rsid w:val="00006E60"/>
    <w:rsid w:val="00011250"/>
    <w:rsid w:val="00011E04"/>
    <w:rsid w:val="00014EAC"/>
    <w:rsid w:val="00016B69"/>
    <w:rsid w:val="00020EAA"/>
    <w:rsid w:val="00021274"/>
    <w:rsid w:val="00022772"/>
    <w:rsid w:val="00022775"/>
    <w:rsid w:val="00022861"/>
    <w:rsid w:val="000230B6"/>
    <w:rsid w:val="000234AE"/>
    <w:rsid w:val="00023C20"/>
    <w:rsid w:val="00024004"/>
    <w:rsid w:val="00025C17"/>
    <w:rsid w:val="00025C95"/>
    <w:rsid w:val="00026AED"/>
    <w:rsid w:val="00026D4E"/>
    <w:rsid w:val="000301D6"/>
    <w:rsid w:val="00030454"/>
    <w:rsid w:val="000315CD"/>
    <w:rsid w:val="00032056"/>
    <w:rsid w:val="00034A08"/>
    <w:rsid w:val="00034F59"/>
    <w:rsid w:val="00036386"/>
    <w:rsid w:val="00036835"/>
    <w:rsid w:val="00037353"/>
    <w:rsid w:val="0003750F"/>
    <w:rsid w:val="000407EB"/>
    <w:rsid w:val="00040DF5"/>
    <w:rsid w:val="00041021"/>
    <w:rsid w:val="0004150C"/>
    <w:rsid w:val="00041FEE"/>
    <w:rsid w:val="00042296"/>
    <w:rsid w:val="00042E0A"/>
    <w:rsid w:val="00043110"/>
    <w:rsid w:val="000431DA"/>
    <w:rsid w:val="0004351E"/>
    <w:rsid w:val="00043E5C"/>
    <w:rsid w:val="00046E3E"/>
    <w:rsid w:val="000506EA"/>
    <w:rsid w:val="000517EE"/>
    <w:rsid w:val="00051B9D"/>
    <w:rsid w:val="00052E8B"/>
    <w:rsid w:val="00056C34"/>
    <w:rsid w:val="00062F8D"/>
    <w:rsid w:val="0006467C"/>
    <w:rsid w:val="00065C1F"/>
    <w:rsid w:val="000673DA"/>
    <w:rsid w:val="0007060E"/>
    <w:rsid w:val="00071464"/>
    <w:rsid w:val="00072B6F"/>
    <w:rsid w:val="00074746"/>
    <w:rsid w:val="0008092A"/>
    <w:rsid w:val="00080AA4"/>
    <w:rsid w:val="00081275"/>
    <w:rsid w:val="00081972"/>
    <w:rsid w:val="0008435B"/>
    <w:rsid w:val="00084D43"/>
    <w:rsid w:val="000853FE"/>
    <w:rsid w:val="000911AD"/>
    <w:rsid w:val="00091928"/>
    <w:rsid w:val="00091B61"/>
    <w:rsid w:val="00091FE4"/>
    <w:rsid w:val="00093026"/>
    <w:rsid w:val="00093F2C"/>
    <w:rsid w:val="00094191"/>
    <w:rsid w:val="00096769"/>
    <w:rsid w:val="000968CD"/>
    <w:rsid w:val="000979B1"/>
    <w:rsid w:val="000A32C3"/>
    <w:rsid w:val="000A34F4"/>
    <w:rsid w:val="000A4B3F"/>
    <w:rsid w:val="000A4E2D"/>
    <w:rsid w:val="000A64A6"/>
    <w:rsid w:val="000A675A"/>
    <w:rsid w:val="000A6A31"/>
    <w:rsid w:val="000A799D"/>
    <w:rsid w:val="000A7AEC"/>
    <w:rsid w:val="000B3D1F"/>
    <w:rsid w:val="000C1668"/>
    <w:rsid w:val="000C2C4F"/>
    <w:rsid w:val="000C35DF"/>
    <w:rsid w:val="000C3BF4"/>
    <w:rsid w:val="000C69A2"/>
    <w:rsid w:val="000D0804"/>
    <w:rsid w:val="000D28E0"/>
    <w:rsid w:val="000D2A7A"/>
    <w:rsid w:val="000D3217"/>
    <w:rsid w:val="000D5321"/>
    <w:rsid w:val="000D5728"/>
    <w:rsid w:val="000D6E67"/>
    <w:rsid w:val="000D7809"/>
    <w:rsid w:val="000D79DC"/>
    <w:rsid w:val="000D7C5A"/>
    <w:rsid w:val="000E133B"/>
    <w:rsid w:val="000E1446"/>
    <w:rsid w:val="000E23A6"/>
    <w:rsid w:val="000E34AB"/>
    <w:rsid w:val="000E58FD"/>
    <w:rsid w:val="000E7070"/>
    <w:rsid w:val="000E77D5"/>
    <w:rsid w:val="000F1FAE"/>
    <w:rsid w:val="000F3C04"/>
    <w:rsid w:val="00100475"/>
    <w:rsid w:val="00101561"/>
    <w:rsid w:val="00103B54"/>
    <w:rsid w:val="001054B9"/>
    <w:rsid w:val="00111B4F"/>
    <w:rsid w:val="00111D98"/>
    <w:rsid w:val="00111DE5"/>
    <w:rsid w:val="00111E7C"/>
    <w:rsid w:val="00111FF1"/>
    <w:rsid w:val="001123D4"/>
    <w:rsid w:val="00114ED2"/>
    <w:rsid w:val="00121F07"/>
    <w:rsid w:val="0012298C"/>
    <w:rsid w:val="00123A02"/>
    <w:rsid w:val="00124F91"/>
    <w:rsid w:val="00124FFE"/>
    <w:rsid w:val="001254A2"/>
    <w:rsid w:val="0013156E"/>
    <w:rsid w:val="00131AE0"/>
    <w:rsid w:val="0013328A"/>
    <w:rsid w:val="00133E41"/>
    <w:rsid w:val="00142293"/>
    <w:rsid w:val="00142E29"/>
    <w:rsid w:val="001434A3"/>
    <w:rsid w:val="00144D25"/>
    <w:rsid w:val="00144F36"/>
    <w:rsid w:val="001477D0"/>
    <w:rsid w:val="0014787F"/>
    <w:rsid w:val="0015198C"/>
    <w:rsid w:val="00151DAD"/>
    <w:rsid w:val="00152D87"/>
    <w:rsid w:val="0015348C"/>
    <w:rsid w:val="00153660"/>
    <w:rsid w:val="00153FAF"/>
    <w:rsid w:val="00154199"/>
    <w:rsid w:val="00154EF5"/>
    <w:rsid w:val="0015620A"/>
    <w:rsid w:val="00156F2D"/>
    <w:rsid w:val="0016259C"/>
    <w:rsid w:val="0016301E"/>
    <w:rsid w:val="00164238"/>
    <w:rsid w:val="00164B7A"/>
    <w:rsid w:val="00166394"/>
    <w:rsid w:val="00166BE7"/>
    <w:rsid w:val="00167F3A"/>
    <w:rsid w:val="001710D9"/>
    <w:rsid w:val="0017268F"/>
    <w:rsid w:val="001735A7"/>
    <w:rsid w:val="001751A4"/>
    <w:rsid w:val="00175FC4"/>
    <w:rsid w:val="00177263"/>
    <w:rsid w:val="001775F3"/>
    <w:rsid w:val="00181651"/>
    <w:rsid w:val="00182D6C"/>
    <w:rsid w:val="0018470E"/>
    <w:rsid w:val="00190872"/>
    <w:rsid w:val="0019132F"/>
    <w:rsid w:val="0019232A"/>
    <w:rsid w:val="0019338F"/>
    <w:rsid w:val="001972B4"/>
    <w:rsid w:val="001A1A5E"/>
    <w:rsid w:val="001A289C"/>
    <w:rsid w:val="001A29B0"/>
    <w:rsid w:val="001A353D"/>
    <w:rsid w:val="001A3A9F"/>
    <w:rsid w:val="001A45C7"/>
    <w:rsid w:val="001B3385"/>
    <w:rsid w:val="001B4C09"/>
    <w:rsid w:val="001B5386"/>
    <w:rsid w:val="001B7AA6"/>
    <w:rsid w:val="001C3B72"/>
    <w:rsid w:val="001C52E8"/>
    <w:rsid w:val="001D04BB"/>
    <w:rsid w:val="001D1E7D"/>
    <w:rsid w:val="001D2C3A"/>
    <w:rsid w:val="001D7B04"/>
    <w:rsid w:val="001E0157"/>
    <w:rsid w:val="001E02D2"/>
    <w:rsid w:val="001E192F"/>
    <w:rsid w:val="001E1F80"/>
    <w:rsid w:val="001E5228"/>
    <w:rsid w:val="001E530C"/>
    <w:rsid w:val="001E5E21"/>
    <w:rsid w:val="001F3E6D"/>
    <w:rsid w:val="001F5C99"/>
    <w:rsid w:val="0020022B"/>
    <w:rsid w:val="002009EF"/>
    <w:rsid w:val="0020344E"/>
    <w:rsid w:val="00206DA7"/>
    <w:rsid w:val="00210694"/>
    <w:rsid w:val="00210738"/>
    <w:rsid w:val="0021333E"/>
    <w:rsid w:val="002145BC"/>
    <w:rsid w:val="00214F08"/>
    <w:rsid w:val="00216D66"/>
    <w:rsid w:val="002200F5"/>
    <w:rsid w:val="00223119"/>
    <w:rsid w:val="00226840"/>
    <w:rsid w:val="00227CCE"/>
    <w:rsid w:val="002320F5"/>
    <w:rsid w:val="0023527F"/>
    <w:rsid w:val="00236D44"/>
    <w:rsid w:val="00240076"/>
    <w:rsid w:val="00241B70"/>
    <w:rsid w:val="002436CE"/>
    <w:rsid w:val="002443EE"/>
    <w:rsid w:val="00250183"/>
    <w:rsid w:val="002515DA"/>
    <w:rsid w:val="00253EDC"/>
    <w:rsid w:val="00255A93"/>
    <w:rsid w:val="00256DEF"/>
    <w:rsid w:val="00260F5D"/>
    <w:rsid w:val="0027019E"/>
    <w:rsid w:val="00273044"/>
    <w:rsid w:val="0027535A"/>
    <w:rsid w:val="002779ED"/>
    <w:rsid w:val="0028435B"/>
    <w:rsid w:val="0028468A"/>
    <w:rsid w:val="002854D3"/>
    <w:rsid w:val="002858DF"/>
    <w:rsid w:val="002937EC"/>
    <w:rsid w:val="0029474F"/>
    <w:rsid w:val="0029637D"/>
    <w:rsid w:val="002975A5"/>
    <w:rsid w:val="00297CE6"/>
    <w:rsid w:val="002A067C"/>
    <w:rsid w:val="002A06FD"/>
    <w:rsid w:val="002A0911"/>
    <w:rsid w:val="002A18EB"/>
    <w:rsid w:val="002A427B"/>
    <w:rsid w:val="002A48D6"/>
    <w:rsid w:val="002A5CB4"/>
    <w:rsid w:val="002A7ABD"/>
    <w:rsid w:val="002B259D"/>
    <w:rsid w:val="002B5159"/>
    <w:rsid w:val="002B6804"/>
    <w:rsid w:val="002B6C41"/>
    <w:rsid w:val="002B6D28"/>
    <w:rsid w:val="002B7701"/>
    <w:rsid w:val="002C04EE"/>
    <w:rsid w:val="002C2D17"/>
    <w:rsid w:val="002D30E6"/>
    <w:rsid w:val="002D3A94"/>
    <w:rsid w:val="002D4980"/>
    <w:rsid w:val="002D658D"/>
    <w:rsid w:val="002E2069"/>
    <w:rsid w:val="002F7265"/>
    <w:rsid w:val="00300308"/>
    <w:rsid w:val="00300A75"/>
    <w:rsid w:val="0030386D"/>
    <w:rsid w:val="00305572"/>
    <w:rsid w:val="0030592A"/>
    <w:rsid w:val="0030753E"/>
    <w:rsid w:val="0030769E"/>
    <w:rsid w:val="00311792"/>
    <w:rsid w:val="00311C08"/>
    <w:rsid w:val="00312C82"/>
    <w:rsid w:val="00312E48"/>
    <w:rsid w:val="00314739"/>
    <w:rsid w:val="00314F63"/>
    <w:rsid w:val="00315034"/>
    <w:rsid w:val="003155F4"/>
    <w:rsid w:val="003171FF"/>
    <w:rsid w:val="00320611"/>
    <w:rsid w:val="003212A4"/>
    <w:rsid w:val="00322BA9"/>
    <w:rsid w:val="00326B4C"/>
    <w:rsid w:val="003277FE"/>
    <w:rsid w:val="003301B1"/>
    <w:rsid w:val="003315FE"/>
    <w:rsid w:val="003341FA"/>
    <w:rsid w:val="00334A19"/>
    <w:rsid w:val="0033623A"/>
    <w:rsid w:val="00336A39"/>
    <w:rsid w:val="00342172"/>
    <w:rsid w:val="003424E4"/>
    <w:rsid w:val="0034457E"/>
    <w:rsid w:val="00351695"/>
    <w:rsid w:val="003532DE"/>
    <w:rsid w:val="00355C3D"/>
    <w:rsid w:val="00356443"/>
    <w:rsid w:val="003605D1"/>
    <w:rsid w:val="00360F2A"/>
    <w:rsid w:val="00361BBA"/>
    <w:rsid w:val="00362396"/>
    <w:rsid w:val="003643DE"/>
    <w:rsid w:val="003654F3"/>
    <w:rsid w:val="00367C13"/>
    <w:rsid w:val="003715D3"/>
    <w:rsid w:val="00373AAD"/>
    <w:rsid w:val="00376D96"/>
    <w:rsid w:val="00381A6E"/>
    <w:rsid w:val="003838A0"/>
    <w:rsid w:val="00383A6A"/>
    <w:rsid w:val="00385153"/>
    <w:rsid w:val="00385F80"/>
    <w:rsid w:val="00387C7E"/>
    <w:rsid w:val="003900D7"/>
    <w:rsid w:val="003902A6"/>
    <w:rsid w:val="00390DCE"/>
    <w:rsid w:val="00391225"/>
    <w:rsid w:val="00392DD3"/>
    <w:rsid w:val="00392EFA"/>
    <w:rsid w:val="003934B3"/>
    <w:rsid w:val="00393667"/>
    <w:rsid w:val="00393737"/>
    <w:rsid w:val="00396496"/>
    <w:rsid w:val="00397DE4"/>
    <w:rsid w:val="003A0F21"/>
    <w:rsid w:val="003A10C0"/>
    <w:rsid w:val="003A123D"/>
    <w:rsid w:val="003A3EA2"/>
    <w:rsid w:val="003A5F56"/>
    <w:rsid w:val="003B0CE7"/>
    <w:rsid w:val="003B0FA4"/>
    <w:rsid w:val="003B1ADB"/>
    <w:rsid w:val="003B4835"/>
    <w:rsid w:val="003B5F4C"/>
    <w:rsid w:val="003B6AF7"/>
    <w:rsid w:val="003B7834"/>
    <w:rsid w:val="003C4112"/>
    <w:rsid w:val="003C7CFD"/>
    <w:rsid w:val="003C7E77"/>
    <w:rsid w:val="003D15CB"/>
    <w:rsid w:val="003D4259"/>
    <w:rsid w:val="003D6F30"/>
    <w:rsid w:val="003D765F"/>
    <w:rsid w:val="003E05B4"/>
    <w:rsid w:val="003E61BB"/>
    <w:rsid w:val="003E72C5"/>
    <w:rsid w:val="003F18C4"/>
    <w:rsid w:val="003F470E"/>
    <w:rsid w:val="003F52E9"/>
    <w:rsid w:val="003F5A67"/>
    <w:rsid w:val="003F73B5"/>
    <w:rsid w:val="003F7DC6"/>
    <w:rsid w:val="00400924"/>
    <w:rsid w:val="00404A3E"/>
    <w:rsid w:val="00404C1F"/>
    <w:rsid w:val="00405F4B"/>
    <w:rsid w:val="00407CE0"/>
    <w:rsid w:val="00412E2E"/>
    <w:rsid w:val="00413452"/>
    <w:rsid w:val="0041422A"/>
    <w:rsid w:val="00414CCF"/>
    <w:rsid w:val="00415B1D"/>
    <w:rsid w:val="00415C5D"/>
    <w:rsid w:val="00420343"/>
    <w:rsid w:val="00420643"/>
    <w:rsid w:val="004213D1"/>
    <w:rsid w:val="00421F64"/>
    <w:rsid w:val="00423580"/>
    <w:rsid w:val="00424633"/>
    <w:rsid w:val="00426890"/>
    <w:rsid w:val="00430620"/>
    <w:rsid w:val="00430D5B"/>
    <w:rsid w:val="00432DBF"/>
    <w:rsid w:val="00433F89"/>
    <w:rsid w:val="00436937"/>
    <w:rsid w:val="00437CD2"/>
    <w:rsid w:val="00440B85"/>
    <w:rsid w:val="0044130D"/>
    <w:rsid w:val="00442F36"/>
    <w:rsid w:val="00445FFB"/>
    <w:rsid w:val="004514A4"/>
    <w:rsid w:val="00452FB5"/>
    <w:rsid w:val="004550AC"/>
    <w:rsid w:val="004550C5"/>
    <w:rsid w:val="00455CF3"/>
    <w:rsid w:val="00455D53"/>
    <w:rsid w:val="00455EB3"/>
    <w:rsid w:val="0045629B"/>
    <w:rsid w:val="00462A09"/>
    <w:rsid w:val="004667A2"/>
    <w:rsid w:val="004712C9"/>
    <w:rsid w:val="00472B5D"/>
    <w:rsid w:val="0047451D"/>
    <w:rsid w:val="004756FE"/>
    <w:rsid w:val="004759D8"/>
    <w:rsid w:val="00476AB9"/>
    <w:rsid w:val="00477181"/>
    <w:rsid w:val="004815BF"/>
    <w:rsid w:val="0048173A"/>
    <w:rsid w:val="0048342A"/>
    <w:rsid w:val="00483438"/>
    <w:rsid w:val="00483A8D"/>
    <w:rsid w:val="004843CE"/>
    <w:rsid w:val="00486096"/>
    <w:rsid w:val="004902B3"/>
    <w:rsid w:val="004908EA"/>
    <w:rsid w:val="00490BA3"/>
    <w:rsid w:val="00491395"/>
    <w:rsid w:val="004914AF"/>
    <w:rsid w:val="004920FF"/>
    <w:rsid w:val="00492972"/>
    <w:rsid w:val="004932EC"/>
    <w:rsid w:val="00494607"/>
    <w:rsid w:val="00494CFB"/>
    <w:rsid w:val="00495504"/>
    <w:rsid w:val="0049762F"/>
    <w:rsid w:val="004A1D4F"/>
    <w:rsid w:val="004A3AC9"/>
    <w:rsid w:val="004A4F06"/>
    <w:rsid w:val="004A58FA"/>
    <w:rsid w:val="004A6696"/>
    <w:rsid w:val="004B6578"/>
    <w:rsid w:val="004B689F"/>
    <w:rsid w:val="004B6BEE"/>
    <w:rsid w:val="004B6F73"/>
    <w:rsid w:val="004B7232"/>
    <w:rsid w:val="004B75D7"/>
    <w:rsid w:val="004B7616"/>
    <w:rsid w:val="004C0FBF"/>
    <w:rsid w:val="004C1003"/>
    <w:rsid w:val="004C3158"/>
    <w:rsid w:val="004C4F1D"/>
    <w:rsid w:val="004C60FF"/>
    <w:rsid w:val="004D006B"/>
    <w:rsid w:val="004D1668"/>
    <w:rsid w:val="004D2E53"/>
    <w:rsid w:val="004D308C"/>
    <w:rsid w:val="004D37AA"/>
    <w:rsid w:val="004D4AFC"/>
    <w:rsid w:val="004D5F89"/>
    <w:rsid w:val="004D646F"/>
    <w:rsid w:val="004E0284"/>
    <w:rsid w:val="004E04F8"/>
    <w:rsid w:val="004E1531"/>
    <w:rsid w:val="004E1C56"/>
    <w:rsid w:val="004E2D39"/>
    <w:rsid w:val="004E4ECB"/>
    <w:rsid w:val="004F6BC1"/>
    <w:rsid w:val="004F6F90"/>
    <w:rsid w:val="00500D2D"/>
    <w:rsid w:val="00507880"/>
    <w:rsid w:val="00510C25"/>
    <w:rsid w:val="0051127C"/>
    <w:rsid w:val="005117EC"/>
    <w:rsid w:val="005129B2"/>
    <w:rsid w:val="00516CE7"/>
    <w:rsid w:val="005178B6"/>
    <w:rsid w:val="00517AFD"/>
    <w:rsid w:val="00517FC2"/>
    <w:rsid w:val="00522310"/>
    <w:rsid w:val="00523DD8"/>
    <w:rsid w:val="005245F8"/>
    <w:rsid w:val="00531606"/>
    <w:rsid w:val="00535493"/>
    <w:rsid w:val="00535615"/>
    <w:rsid w:val="00536B90"/>
    <w:rsid w:val="00537025"/>
    <w:rsid w:val="005436A5"/>
    <w:rsid w:val="00544319"/>
    <w:rsid w:val="00544F32"/>
    <w:rsid w:val="005503EF"/>
    <w:rsid w:val="005527C5"/>
    <w:rsid w:val="00552A68"/>
    <w:rsid w:val="00553502"/>
    <w:rsid w:val="00553624"/>
    <w:rsid w:val="00553A5A"/>
    <w:rsid w:val="0055479B"/>
    <w:rsid w:val="005559C5"/>
    <w:rsid w:val="00556227"/>
    <w:rsid w:val="0055713C"/>
    <w:rsid w:val="0055722C"/>
    <w:rsid w:val="00560BE1"/>
    <w:rsid w:val="00564D28"/>
    <w:rsid w:val="00567F2B"/>
    <w:rsid w:val="00572135"/>
    <w:rsid w:val="0057308B"/>
    <w:rsid w:val="00573503"/>
    <w:rsid w:val="00575450"/>
    <w:rsid w:val="00577E0D"/>
    <w:rsid w:val="00584556"/>
    <w:rsid w:val="005864BF"/>
    <w:rsid w:val="0058655D"/>
    <w:rsid w:val="005878BB"/>
    <w:rsid w:val="00590603"/>
    <w:rsid w:val="005912FE"/>
    <w:rsid w:val="00594110"/>
    <w:rsid w:val="005951D9"/>
    <w:rsid w:val="00595B3C"/>
    <w:rsid w:val="0059643C"/>
    <w:rsid w:val="005A2273"/>
    <w:rsid w:val="005A45E2"/>
    <w:rsid w:val="005A5906"/>
    <w:rsid w:val="005A747F"/>
    <w:rsid w:val="005B0A60"/>
    <w:rsid w:val="005B1F3C"/>
    <w:rsid w:val="005B1F78"/>
    <w:rsid w:val="005B2953"/>
    <w:rsid w:val="005B2DB5"/>
    <w:rsid w:val="005B3034"/>
    <w:rsid w:val="005B3038"/>
    <w:rsid w:val="005B3165"/>
    <w:rsid w:val="005B3271"/>
    <w:rsid w:val="005B3980"/>
    <w:rsid w:val="005C1933"/>
    <w:rsid w:val="005C3560"/>
    <w:rsid w:val="005C3667"/>
    <w:rsid w:val="005C5D6C"/>
    <w:rsid w:val="005D1387"/>
    <w:rsid w:val="005D1437"/>
    <w:rsid w:val="005D16B1"/>
    <w:rsid w:val="005D32AC"/>
    <w:rsid w:val="005D3735"/>
    <w:rsid w:val="005D7314"/>
    <w:rsid w:val="005E1F2D"/>
    <w:rsid w:val="005E2B46"/>
    <w:rsid w:val="005E2EBE"/>
    <w:rsid w:val="005E36F7"/>
    <w:rsid w:val="005E384C"/>
    <w:rsid w:val="005E4227"/>
    <w:rsid w:val="005E59C8"/>
    <w:rsid w:val="005E6B26"/>
    <w:rsid w:val="005F22D9"/>
    <w:rsid w:val="005F4C18"/>
    <w:rsid w:val="005F4E7C"/>
    <w:rsid w:val="005F4F1D"/>
    <w:rsid w:val="005F5921"/>
    <w:rsid w:val="005F5C5D"/>
    <w:rsid w:val="00601727"/>
    <w:rsid w:val="00603227"/>
    <w:rsid w:val="006034AE"/>
    <w:rsid w:val="00603B5B"/>
    <w:rsid w:val="006055D4"/>
    <w:rsid w:val="00606194"/>
    <w:rsid w:val="00606D97"/>
    <w:rsid w:val="00610297"/>
    <w:rsid w:val="00611589"/>
    <w:rsid w:val="00612EB7"/>
    <w:rsid w:val="006166B9"/>
    <w:rsid w:val="00616C75"/>
    <w:rsid w:val="00620300"/>
    <w:rsid w:val="00622E85"/>
    <w:rsid w:val="00626736"/>
    <w:rsid w:val="006334D1"/>
    <w:rsid w:val="00634DB7"/>
    <w:rsid w:val="00635BC0"/>
    <w:rsid w:val="006415CB"/>
    <w:rsid w:val="006433D6"/>
    <w:rsid w:val="00646FA2"/>
    <w:rsid w:val="006508E5"/>
    <w:rsid w:val="006517E7"/>
    <w:rsid w:val="00651C25"/>
    <w:rsid w:val="00652CCC"/>
    <w:rsid w:val="00653160"/>
    <w:rsid w:val="0065329A"/>
    <w:rsid w:val="00653359"/>
    <w:rsid w:val="00653FBD"/>
    <w:rsid w:val="006563CC"/>
    <w:rsid w:val="00657572"/>
    <w:rsid w:val="00660C51"/>
    <w:rsid w:val="00662BCB"/>
    <w:rsid w:val="006641AA"/>
    <w:rsid w:val="00666152"/>
    <w:rsid w:val="00667111"/>
    <w:rsid w:val="00667392"/>
    <w:rsid w:val="006708C2"/>
    <w:rsid w:val="00675C64"/>
    <w:rsid w:val="00675C7C"/>
    <w:rsid w:val="006806D4"/>
    <w:rsid w:val="00680FB9"/>
    <w:rsid w:val="00681018"/>
    <w:rsid w:val="006814E1"/>
    <w:rsid w:val="006817E3"/>
    <w:rsid w:val="00683416"/>
    <w:rsid w:val="00685F59"/>
    <w:rsid w:val="00686450"/>
    <w:rsid w:val="00695FC3"/>
    <w:rsid w:val="006A01CA"/>
    <w:rsid w:val="006A0C57"/>
    <w:rsid w:val="006A0DC8"/>
    <w:rsid w:val="006A4734"/>
    <w:rsid w:val="006A4951"/>
    <w:rsid w:val="006A567C"/>
    <w:rsid w:val="006A770E"/>
    <w:rsid w:val="006B2467"/>
    <w:rsid w:val="006B2718"/>
    <w:rsid w:val="006B50D5"/>
    <w:rsid w:val="006B66C7"/>
    <w:rsid w:val="006C01FE"/>
    <w:rsid w:val="006C2ABA"/>
    <w:rsid w:val="006C2C1B"/>
    <w:rsid w:val="006C2CCB"/>
    <w:rsid w:val="006C3D62"/>
    <w:rsid w:val="006C4061"/>
    <w:rsid w:val="006D28A9"/>
    <w:rsid w:val="006D3EF4"/>
    <w:rsid w:val="006D483F"/>
    <w:rsid w:val="006D5333"/>
    <w:rsid w:val="006D6174"/>
    <w:rsid w:val="006D6513"/>
    <w:rsid w:val="006E0FDB"/>
    <w:rsid w:val="006E38EB"/>
    <w:rsid w:val="006E5D48"/>
    <w:rsid w:val="006E7756"/>
    <w:rsid w:val="006F0A17"/>
    <w:rsid w:val="006F32BA"/>
    <w:rsid w:val="006F4690"/>
    <w:rsid w:val="006F551C"/>
    <w:rsid w:val="006F65C7"/>
    <w:rsid w:val="006F6A7F"/>
    <w:rsid w:val="007002C1"/>
    <w:rsid w:val="00700ECD"/>
    <w:rsid w:val="0070127D"/>
    <w:rsid w:val="00703CE5"/>
    <w:rsid w:val="00704557"/>
    <w:rsid w:val="007053BE"/>
    <w:rsid w:val="007056ED"/>
    <w:rsid w:val="0070741A"/>
    <w:rsid w:val="0071049E"/>
    <w:rsid w:val="007106AA"/>
    <w:rsid w:val="00712009"/>
    <w:rsid w:val="00712431"/>
    <w:rsid w:val="00714C7F"/>
    <w:rsid w:val="00716150"/>
    <w:rsid w:val="00721AE2"/>
    <w:rsid w:val="00722817"/>
    <w:rsid w:val="007265E7"/>
    <w:rsid w:val="0072750C"/>
    <w:rsid w:val="007279A6"/>
    <w:rsid w:val="00730AED"/>
    <w:rsid w:val="007322E6"/>
    <w:rsid w:val="00732439"/>
    <w:rsid w:val="00733FED"/>
    <w:rsid w:val="00734D2A"/>
    <w:rsid w:val="00735582"/>
    <w:rsid w:val="0073799D"/>
    <w:rsid w:val="007416D9"/>
    <w:rsid w:val="00742FF6"/>
    <w:rsid w:val="0074499E"/>
    <w:rsid w:val="007451D0"/>
    <w:rsid w:val="00751A66"/>
    <w:rsid w:val="00753D5C"/>
    <w:rsid w:val="007557A9"/>
    <w:rsid w:val="007569E0"/>
    <w:rsid w:val="00756A0F"/>
    <w:rsid w:val="00756FC8"/>
    <w:rsid w:val="007665A3"/>
    <w:rsid w:val="00772350"/>
    <w:rsid w:val="007737DA"/>
    <w:rsid w:val="0077530C"/>
    <w:rsid w:val="0077566A"/>
    <w:rsid w:val="00775B0E"/>
    <w:rsid w:val="00776873"/>
    <w:rsid w:val="007777E1"/>
    <w:rsid w:val="007827A2"/>
    <w:rsid w:val="007866FD"/>
    <w:rsid w:val="00786F68"/>
    <w:rsid w:val="00791CC4"/>
    <w:rsid w:val="00793D7E"/>
    <w:rsid w:val="007947B7"/>
    <w:rsid w:val="00795E12"/>
    <w:rsid w:val="00796D27"/>
    <w:rsid w:val="00796D7F"/>
    <w:rsid w:val="0079790D"/>
    <w:rsid w:val="007A0B60"/>
    <w:rsid w:val="007A1567"/>
    <w:rsid w:val="007A1E03"/>
    <w:rsid w:val="007A4993"/>
    <w:rsid w:val="007A5B3B"/>
    <w:rsid w:val="007A746D"/>
    <w:rsid w:val="007A7510"/>
    <w:rsid w:val="007A75D5"/>
    <w:rsid w:val="007B048D"/>
    <w:rsid w:val="007B0C5E"/>
    <w:rsid w:val="007B2157"/>
    <w:rsid w:val="007B27BA"/>
    <w:rsid w:val="007B2864"/>
    <w:rsid w:val="007B3ADF"/>
    <w:rsid w:val="007C0499"/>
    <w:rsid w:val="007C122F"/>
    <w:rsid w:val="007C2649"/>
    <w:rsid w:val="007C6035"/>
    <w:rsid w:val="007C7AF9"/>
    <w:rsid w:val="007C7E4F"/>
    <w:rsid w:val="007D1248"/>
    <w:rsid w:val="007D1E5B"/>
    <w:rsid w:val="007D318B"/>
    <w:rsid w:val="007D35AC"/>
    <w:rsid w:val="007D42D5"/>
    <w:rsid w:val="007D5BBE"/>
    <w:rsid w:val="007E2807"/>
    <w:rsid w:val="007E490F"/>
    <w:rsid w:val="007E7B01"/>
    <w:rsid w:val="007F10AF"/>
    <w:rsid w:val="007F30BE"/>
    <w:rsid w:val="007F338C"/>
    <w:rsid w:val="007F37B0"/>
    <w:rsid w:val="007F7ACC"/>
    <w:rsid w:val="00800D92"/>
    <w:rsid w:val="00804D07"/>
    <w:rsid w:val="008060F3"/>
    <w:rsid w:val="00807677"/>
    <w:rsid w:val="00807A36"/>
    <w:rsid w:val="00807AB0"/>
    <w:rsid w:val="00811201"/>
    <w:rsid w:val="00811CE2"/>
    <w:rsid w:val="00811E4C"/>
    <w:rsid w:val="00812640"/>
    <w:rsid w:val="00814A81"/>
    <w:rsid w:val="00815C06"/>
    <w:rsid w:val="008160BC"/>
    <w:rsid w:val="008203C0"/>
    <w:rsid w:val="00820A72"/>
    <w:rsid w:val="00821D3C"/>
    <w:rsid w:val="0082223B"/>
    <w:rsid w:val="008233C6"/>
    <w:rsid w:val="00825618"/>
    <w:rsid w:val="00825F74"/>
    <w:rsid w:val="008268AF"/>
    <w:rsid w:val="00826F60"/>
    <w:rsid w:val="00827791"/>
    <w:rsid w:val="00827A54"/>
    <w:rsid w:val="008328B8"/>
    <w:rsid w:val="00834F60"/>
    <w:rsid w:val="00835286"/>
    <w:rsid w:val="00840533"/>
    <w:rsid w:val="008409A2"/>
    <w:rsid w:val="00840C6D"/>
    <w:rsid w:val="008416C0"/>
    <w:rsid w:val="00841D32"/>
    <w:rsid w:val="008431D0"/>
    <w:rsid w:val="008440D5"/>
    <w:rsid w:val="00844123"/>
    <w:rsid w:val="00844B95"/>
    <w:rsid w:val="008452C5"/>
    <w:rsid w:val="00845C54"/>
    <w:rsid w:val="00846E51"/>
    <w:rsid w:val="00851D9E"/>
    <w:rsid w:val="00851EC3"/>
    <w:rsid w:val="0085205E"/>
    <w:rsid w:val="00852C44"/>
    <w:rsid w:val="00852D96"/>
    <w:rsid w:val="0085402F"/>
    <w:rsid w:val="0085449B"/>
    <w:rsid w:val="0085483C"/>
    <w:rsid w:val="00855539"/>
    <w:rsid w:val="008557D3"/>
    <w:rsid w:val="008606E0"/>
    <w:rsid w:val="008643B6"/>
    <w:rsid w:val="008650A1"/>
    <w:rsid w:val="00865561"/>
    <w:rsid w:val="00865A09"/>
    <w:rsid w:val="008673CF"/>
    <w:rsid w:val="00870D16"/>
    <w:rsid w:val="00872A2F"/>
    <w:rsid w:val="008731CF"/>
    <w:rsid w:val="00874AD4"/>
    <w:rsid w:val="0087539E"/>
    <w:rsid w:val="0088208A"/>
    <w:rsid w:val="0088237A"/>
    <w:rsid w:val="0088457F"/>
    <w:rsid w:val="00891EDF"/>
    <w:rsid w:val="00892B3B"/>
    <w:rsid w:val="0089798A"/>
    <w:rsid w:val="008A0A2F"/>
    <w:rsid w:val="008A18D9"/>
    <w:rsid w:val="008A1B8B"/>
    <w:rsid w:val="008A2208"/>
    <w:rsid w:val="008A4F28"/>
    <w:rsid w:val="008A52D8"/>
    <w:rsid w:val="008A5878"/>
    <w:rsid w:val="008A6A1D"/>
    <w:rsid w:val="008B066D"/>
    <w:rsid w:val="008B07B1"/>
    <w:rsid w:val="008B1AC3"/>
    <w:rsid w:val="008B2A87"/>
    <w:rsid w:val="008B4587"/>
    <w:rsid w:val="008B58D5"/>
    <w:rsid w:val="008B5CCF"/>
    <w:rsid w:val="008B5E6D"/>
    <w:rsid w:val="008B6933"/>
    <w:rsid w:val="008B7A16"/>
    <w:rsid w:val="008B7FCC"/>
    <w:rsid w:val="008C2705"/>
    <w:rsid w:val="008C3EAE"/>
    <w:rsid w:val="008C482C"/>
    <w:rsid w:val="008C50DE"/>
    <w:rsid w:val="008C65DC"/>
    <w:rsid w:val="008D08BE"/>
    <w:rsid w:val="008D4140"/>
    <w:rsid w:val="008D75B8"/>
    <w:rsid w:val="008E19B9"/>
    <w:rsid w:val="008E5910"/>
    <w:rsid w:val="008E5C0D"/>
    <w:rsid w:val="008E6771"/>
    <w:rsid w:val="008E7047"/>
    <w:rsid w:val="008F0B66"/>
    <w:rsid w:val="008F33A0"/>
    <w:rsid w:val="008F353B"/>
    <w:rsid w:val="008F3C51"/>
    <w:rsid w:val="008F3C8F"/>
    <w:rsid w:val="008F5DE9"/>
    <w:rsid w:val="008F5DF9"/>
    <w:rsid w:val="008F7941"/>
    <w:rsid w:val="008F7BC0"/>
    <w:rsid w:val="00900C54"/>
    <w:rsid w:val="00901E3B"/>
    <w:rsid w:val="00902FDE"/>
    <w:rsid w:val="00903495"/>
    <w:rsid w:val="009037C3"/>
    <w:rsid w:val="009070A9"/>
    <w:rsid w:val="00910E89"/>
    <w:rsid w:val="00912D60"/>
    <w:rsid w:val="00913648"/>
    <w:rsid w:val="00913BAF"/>
    <w:rsid w:val="0092286D"/>
    <w:rsid w:val="009242D9"/>
    <w:rsid w:val="009250D3"/>
    <w:rsid w:val="00926825"/>
    <w:rsid w:val="00926A95"/>
    <w:rsid w:val="00931798"/>
    <w:rsid w:val="00931E20"/>
    <w:rsid w:val="00933931"/>
    <w:rsid w:val="0093395E"/>
    <w:rsid w:val="00933D6C"/>
    <w:rsid w:val="00935E96"/>
    <w:rsid w:val="00936B5A"/>
    <w:rsid w:val="00940854"/>
    <w:rsid w:val="00941010"/>
    <w:rsid w:val="00941D4E"/>
    <w:rsid w:val="00942084"/>
    <w:rsid w:val="009439F4"/>
    <w:rsid w:val="00945121"/>
    <w:rsid w:val="009462FC"/>
    <w:rsid w:val="009506CD"/>
    <w:rsid w:val="00950A5B"/>
    <w:rsid w:val="00951F5F"/>
    <w:rsid w:val="009520FD"/>
    <w:rsid w:val="009527DD"/>
    <w:rsid w:val="00952F7D"/>
    <w:rsid w:val="00954286"/>
    <w:rsid w:val="009631B0"/>
    <w:rsid w:val="00966AED"/>
    <w:rsid w:val="00971C94"/>
    <w:rsid w:val="009722E0"/>
    <w:rsid w:val="00972C7B"/>
    <w:rsid w:val="00973DEA"/>
    <w:rsid w:val="00977D95"/>
    <w:rsid w:val="00977F1B"/>
    <w:rsid w:val="009823BF"/>
    <w:rsid w:val="00982873"/>
    <w:rsid w:val="00984B86"/>
    <w:rsid w:val="00984BF3"/>
    <w:rsid w:val="0098629D"/>
    <w:rsid w:val="00986951"/>
    <w:rsid w:val="0098798E"/>
    <w:rsid w:val="00990F8F"/>
    <w:rsid w:val="009913F8"/>
    <w:rsid w:val="00992689"/>
    <w:rsid w:val="0099453F"/>
    <w:rsid w:val="009A148A"/>
    <w:rsid w:val="009A2C91"/>
    <w:rsid w:val="009A4054"/>
    <w:rsid w:val="009A431B"/>
    <w:rsid w:val="009A46E6"/>
    <w:rsid w:val="009A536D"/>
    <w:rsid w:val="009A5F39"/>
    <w:rsid w:val="009A6A37"/>
    <w:rsid w:val="009B0396"/>
    <w:rsid w:val="009B1257"/>
    <w:rsid w:val="009B1494"/>
    <w:rsid w:val="009B44FD"/>
    <w:rsid w:val="009C0EA1"/>
    <w:rsid w:val="009C1C1E"/>
    <w:rsid w:val="009C28B0"/>
    <w:rsid w:val="009C4F70"/>
    <w:rsid w:val="009C56FD"/>
    <w:rsid w:val="009C5F20"/>
    <w:rsid w:val="009D1F15"/>
    <w:rsid w:val="009D2B24"/>
    <w:rsid w:val="009D4479"/>
    <w:rsid w:val="009D4C49"/>
    <w:rsid w:val="009D7181"/>
    <w:rsid w:val="009D7602"/>
    <w:rsid w:val="009D7BE4"/>
    <w:rsid w:val="009E308D"/>
    <w:rsid w:val="009E3BBB"/>
    <w:rsid w:val="009E5C7B"/>
    <w:rsid w:val="009E79BB"/>
    <w:rsid w:val="009F15A7"/>
    <w:rsid w:val="009F197D"/>
    <w:rsid w:val="009F3DED"/>
    <w:rsid w:val="009F4B72"/>
    <w:rsid w:val="009F62C6"/>
    <w:rsid w:val="009F6F88"/>
    <w:rsid w:val="009F790F"/>
    <w:rsid w:val="00A00102"/>
    <w:rsid w:val="00A02B6C"/>
    <w:rsid w:val="00A02C98"/>
    <w:rsid w:val="00A03D55"/>
    <w:rsid w:val="00A05F4D"/>
    <w:rsid w:val="00A07487"/>
    <w:rsid w:val="00A10CCC"/>
    <w:rsid w:val="00A11154"/>
    <w:rsid w:val="00A13B66"/>
    <w:rsid w:val="00A16706"/>
    <w:rsid w:val="00A16AC3"/>
    <w:rsid w:val="00A16CA5"/>
    <w:rsid w:val="00A24C60"/>
    <w:rsid w:val="00A30085"/>
    <w:rsid w:val="00A3189B"/>
    <w:rsid w:val="00A33B5F"/>
    <w:rsid w:val="00A3422E"/>
    <w:rsid w:val="00A34C9F"/>
    <w:rsid w:val="00A35F70"/>
    <w:rsid w:val="00A362F7"/>
    <w:rsid w:val="00A40006"/>
    <w:rsid w:val="00A41786"/>
    <w:rsid w:val="00A4213C"/>
    <w:rsid w:val="00A4644A"/>
    <w:rsid w:val="00A471D0"/>
    <w:rsid w:val="00A50A00"/>
    <w:rsid w:val="00A51E3F"/>
    <w:rsid w:val="00A53ACB"/>
    <w:rsid w:val="00A5476C"/>
    <w:rsid w:val="00A554F6"/>
    <w:rsid w:val="00A57820"/>
    <w:rsid w:val="00A605C7"/>
    <w:rsid w:val="00A62BDC"/>
    <w:rsid w:val="00A62CC2"/>
    <w:rsid w:val="00A657A3"/>
    <w:rsid w:val="00A66478"/>
    <w:rsid w:val="00A670DA"/>
    <w:rsid w:val="00A67A3F"/>
    <w:rsid w:val="00A70EF5"/>
    <w:rsid w:val="00A70FE1"/>
    <w:rsid w:val="00A71E80"/>
    <w:rsid w:val="00A72238"/>
    <w:rsid w:val="00A723CC"/>
    <w:rsid w:val="00A724B3"/>
    <w:rsid w:val="00A72FF3"/>
    <w:rsid w:val="00A736B3"/>
    <w:rsid w:val="00A74543"/>
    <w:rsid w:val="00A74EF2"/>
    <w:rsid w:val="00A764B2"/>
    <w:rsid w:val="00A77941"/>
    <w:rsid w:val="00A77B6D"/>
    <w:rsid w:val="00A77BC2"/>
    <w:rsid w:val="00A81BDA"/>
    <w:rsid w:val="00A840C7"/>
    <w:rsid w:val="00A85C04"/>
    <w:rsid w:val="00A90B39"/>
    <w:rsid w:val="00A90E40"/>
    <w:rsid w:val="00A910EA"/>
    <w:rsid w:val="00A92908"/>
    <w:rsid w:val="00A93213"/>
    <w:rsid w:val="00A93BF1"/>
    <w:rsid w:val="00A93E96"/>
    <w:rsid w:val="00A94511"/>
    <w:rsid w:val="00A94886"/>
    <w:rsid w:val="00A94E4F"/>
    <w:rsid w:val="00A94E78"/>
    <w:rsid w:val="00A9572A"/>
    <w:rsid w:val="00A96CA2"/>
    <w:rsid w:val="00A97164"/>
    <w:rsid w:val="00A97C8F"/>
    <w:rsid w:val="00AA09FC"/>
    <w:rsid w:val="00AA2C57"/>
    <w:rsid w:val="00AA5552"/>
    <w:rsid w:val="00AA5AD6"/>
    <w:rsid w:val="00AA6658"/>
    <w:rsid w:val="00AB0540"/>
    <w:rsid w:val="00AB094B"/>
    <w:rsid w:val="00AB159D"/>
    <w:rsid w:val="00AB1E6B"/>
    <w:rsid w:val="00AB43CD"/>
    <w:rsid w:val="00AB7674"/>
    <w:rsid w:val="00AB780A"/>
    <w:rsid w:val="00AC0CB0"/>
    <w:rsid w:val="00AC17E6"/>
    <w:rsid w:val="00AC25BA"/>
    <w:rsid w:val="00AC6BBD"/>
    <w:rsid w:val="00AD1668"/>
    <w:rsid w:val="00AD16CE"/>
    <w:rsid w:val="00AD6EC5"/>
    <w:rsid w:val="00AD6F8A"/>
    <w:rsid w:val="00AE0F2F"/>
    <w:rsid w:val="00AE1185"/>
    <w:rsid w:val="00AE35BA"/>
    <w:rsid w:val="00AE5149"/>
    <w:rsid w:val="00AE59F5"/>
    <w:rsid w:val="00AE6FD2"/>
    <w:rsid w:val="00AE72A6"/>
    <w:rsid w:val="00AF49D4"/>
    <w:rsid w:val="00AF5810"/>
    <w:rsid w:val="00B01A58"/>
    <w:rsid w:val="00B04054"/>
    <w:rsid w:val="00B046B1"/>
    <w:rsid w:val="00B04EC5"/>
    <w:rsid w:val="00B05119"/>
    <w:rsid w:val="00B07838"/>
    <w:rsid w:val="00B078A8"/>
    <w:rsid w:val="00B11D92"/>
    <w:rsid w:val="00B12357"/>
    <w:rsid w:val="00B127B1"/>
    <w:rsid w:val="00B12989"/>
    <w:rsid w:val="00B13D1A"/>
    <w:rsid w:val="00B17266"/>
    <w:rsid w:val="00B210CA"/>
    <w:rsid w:val="00B25F4F"/>
    <w:rsid w:val="00B264AF"/>
    <w:rsid w:val="00B31363"/>
    <w:rsid w:val="00B31A5F"/>
    <w:rsid w:val="00B34C49"/>
    <w:rsid w:val="00B361A1"/>
    <w:rsid w:val="00B3704D"/>
    <w:rsid w:val="00B4086D"/>
    <w:rsid w:val="00B40FD8"/>
    <w:rsid w:val="00B43DC5"/>
    <w:rsid w:val="00B44191"/>
    <w:rsid w:val="00B442EB"/>
    <w:rsid w:val="00B47886"/>
    <w:rsid w:val="00B47DE6"/>
    <w:rsid w:val="00B52BAE"/>
    <w:rsid w:val="00B5327F"/>
    <w:rsid w:val="00B57807"/>
    <w:rsid w:val="00B57D90"/>
    <w:rsid w:val="00B61F22"/>
    <w:rsid w:val="00B627A8"/>
    <w:rsid w:val="00B64092"/>
    <w:rsid w:val="00B64A86"/>
    <w:rsid w:val="00B64C9A"/>
    <w:rsid w:val="00B66395"/>
    <w:rsid w:val="00B72E82"/>
    <w:rsid w:val="00B73150"/>
    <w:rsid w:val="00B73788"/>
    <w:rsid w:val="00B767B0"/>
    <w:rsid w:val="00B77BCA"/>
    <w:rsid w:val="00B82CC8"/>
    <w:rsid w:val="00B86010"/>
    <w:rsid w:val="00B86FC8"/>
    <w:rsid w:val="00B87E07"/>
    <w:rsid w:val="00B9295C"/>
    <w:rsid w:val="00B94870"/>
    <w:rsid w:val="00B95052"/>
    <w:rsid w:val="00B954CD"/>
    <w:rsid w:val="00B95675"/>
    <w:rsid w:val="00B97395"/>
    <w:rsid w:val="00B97429"/>
    <w:rsid w:val="00BA00A6"/>
    <w:rsid w:val="00BA1459"/>
    <w:rsid w:val="00BA1CE5"/>
    <w:rsid w:val="00BA2949"/>
    <w:rsid w:val="00BA3331"/>
    <w:rsid w:val="00BA689E"/>
    <w:rsid w:val="00BA7200"/>
    <w:rsid w:val="00BA77BE"/>
    <w:rsid w:val="00BC4E24"/>
    <w:rsid w:val="00BC535F"/>
    <w:rsid w:val="00BC6343"/>
    <w:rsid w:val="00BD12CA"/>
    <w:rsid w:val="00BD20FD"/>
    <w:rsid w:val="00BD21A8"/>
    <w:rsid w:val="00BD33AE"/>
    <w:rsid w:val="00BD4B89"/>
    <w:rsid w:val="00BD4BB2"/>
    <w:rsid w:val="00BD60E1"/>
    <w:rsid w:val="00BD7CE2"/>
    <w:rsid w:val="00BE05A3"/>
    <w:rsid w:val="00BE4092"/>
    <w:rsid w:val="00BE5AB5"/>
    <w:rsid w:val="00BE7D02"/>
    <w:rsid w:val="00BF072F"/>
    <w:rsid w:val="00BF131D"/>
    <w:rsid w:val="00BF3AA2"/>
    <w:rsid w:val="00BF4130"/>
    <w:rsid w:val="00BF46BA"/>
    <w:rsid w:val="00BF6366"/>
    <w:rsid w:val="00BF67E4"/>
    <w:rsid w:val="00C02CCD"/>
    <w:rsid w:val="00C052AE"/>
    <w:rsid w:val="00C05D8F"/>
    <w:rsid w:val="00C05E8E"/>
    <w:rsid w:val="00C067BA"/>
    <w:rsid w:val="00C067D1"/>
    <w:rsid w:val="00C06E89"/>
    <w:rsid w:val="00C07074"/>
    <w:rsid w:val="00C07E2F"/>
    <w:rsid w:val="00C1133F"/>
    <w:rsid w:val="00C12BA9"/>
    <w:rsid w:val="00C1374D"/>
    <w:rsid w:val="00C17ACC"/>
    <w:rsid w:val="00C207FA"/>
    <w:rsid w:val="00C214BC"/>
    <w:rsid w:val="00C22CE8"/>
    <w:rsid w:val="00C24793"/>
    <w:rsid w:val="00C24DE9"/>
    <w:rsid w:val="00C25FFA"/>
    <w:rsid w:val="00C268B7"/>
    <w:rsid w:val="00C272A4"/>
    <w:rsid w:val="00C3102B"/>
    <w:rsid w:val="00C31160"/>
    <w:rsid w:val="00C3284E"/>
    <w:rsid w:val="00C32A1A"/>
    <w:rsid w:val="00C34537"/>
    <w:rsid w:val="00C346DC"/>
    <w:rsid w:val="00C3651D"/>
    <w:rsid w:val="00C401F1"/>
    <w:rsid w:val="00C429A1"/>
    <w:rsid w:val="00C431E6"/>
    <w:rsid w:val="00C500E1"/>
    <w:rsid w:val="00C51A60"/>
    <w:rsid w:val="00C52099"/>
    <w:rsid w:val="00C5247F"/>
    <w:rsid w:val="00C5384E"/>
    <w:rsid w:val="00C54035"/>
    <w:rsid w:val="00C54EDA"/>
    <w:rsid w:val="00C6045A"/>
    <w:rsid w:val="00C6193A"/>
    <w:rsid w:val="00C61F9A"/>
    <w:rsid w:val="00C62A76"/>
    <w:rsid w:val="00C62BAF"/>
    <w:rsid w:val="00C6342A"/>
    <w:rsid w:val="00C655D0"/>
    <w:rsid w:val="00C70ADD"/>
    <w:rsid w:val="00C7231C"/>
    <w:rsid w:val="00C7688D"/>
    <w:rsid w:val="00C76A80"/>
    <w:rsid w:val="00C77B71"/>
    <w:rsid w:val="00C82D45"/>
    <w:rsid w:val="00C83792"/>
    <w:rsid w:val="00C84B62"/>
    <w:rsid w:val="00C862D0"/>
    <w:rsid w:val="00C86943"/>
    <w:rsid w:val="00C903FF"/>
    <w:rsid w:val="00C916D9"/>
    <w:rsid w:val="00C91968"/>
    <w:rsid w:val="00C92243"/>
    <w:rsid w:val="00C93188"/>
    <w:rsid w:val="00C94054"/>
    <w:rsid w:val="00C95F52"/>
    <w:rsid w:val="00C97146"/>
    <w:rsid w:val="00CA029D"/>
    <w:rsid w:val="00CA180F"/>
    <w:rsid w:val="00CA2410"/>
    <w:rsid w:val="00CA2B24"/>
    <w:rsid w:val="00CA41CE"/>
    <w:rsid w:val="00CA4BE4"/>
    <w:rsid w:val="00CB11B4"/>
    <w:rsid w:val="00CB255F"/>
    <w:rsid w:val="00CB53BE"/>
    <w:rsid w:val="00CB5B54"/>
    <w:rsid w:val="00CC05F9"/>
    <w:rsid w:val="00CC15DC"/>
    <w:rsid w:val="00CC1B0A"/>
    <w:rsid w:val="00CC2353"/>
    <w:rsid w:val="00CC236E"/>
    <w:rsid w:val="00CC4131"/>
    <w:rsid w:val="00CC46FB"/>
    <w:rsid w:val="00CC4927"/>
    <w:rsid w:val="00CC4F4B"/>
    <w:rsid w:val="00CC5AAE"/>
    <w:rsid w:val="00CC6305"/>
    <w:rsid w:val="00CC77C7"/>
    <w:rsid w:val="00CD0DC7"/>
    <w:rsid w:val="00CD113C"/>
    <w:rsid w:val="00CD158D"/>
    <w:rsid w:val="00CD3B03"/>
    <w:rsid w:val="00CD5A54"/>
    <w:rsid w:val="00CD7929"/>
    <w:rsid w:val="00CD7CDD"/>
    <w:rsid w:val="00CE3BD2"/>
    <w:rsid w:val="00CE4FBC"/>
    <w:rsid w:val="00CF2D70"/>
    <w:rsid w:val="00CF3CE4"/>
    <w:rsid w:val="00CF3DFB"/>
    <w:rsid w:val="00CF404C"/>
    <w:rsid w:val="00CF471B"/>
    <w:rsid w:val="00D00525"/>
    <w:rsid w:val="00D01479"/>
    <w:rsid w:val="00D0183D"/>
    <w:rsid w:val="00D02045"/>
    <w:rsid w:val="00D05BFB"/>
    <w:rsid w:val="00D10187"/>
    <w:rsid w:val="00D10D96"/>
    <w:rsid w:val="00D1114A"/>
    <w:rsid w:val="00D14C6A"/>
    <w:rsid w:val="00D14CBB"/>
    <w:rsid w:val="00D16E24"/>
    <w:rsid w:val="00D20039"/>
    <w:rsid w:val="00D21FC9"/>
    <w:rsid w:val="00D2328B"/>
    <w:rsid w:val="00D2464D"/>
    <w:rsid w:val="00D247A4"/>
    <w:rsid w:val="00D25E39"/>
    <w:rsid w:val="00D26DCF"/>
    <w:rsid w:val="00D33120"/>
    <w:rsid w:val="00D33EF7"/>
    <w:rsid w:val="00D33FB3"/>
    <w:rsid w:val="00D3520B"/>
    <w:rsid w:val="00D3533E"/>
    <w:rsid w:val="00D35904"/>
    <w:rsid w:val="00D363FB"/>
    <w:rsid w:val="00D40417"/>
    <w:rsid w:val="00D412DD"/>
    <w:rsid w:val="00D42083"/>
    <w:rsid w:val="00D43AF9"/>
    <w:rsid w:val="00D447A1"/>
    <w:rsid w:val="00D44AE3"/>
    <w:rsid w:val="00D45031"/>
    <w:rsid w:val="00D45437"/>
    <w:rsid w:val="00D47AB1"/>
    <w:rsid w:val="00D505C5"/>
    <w:rsid w:val="00D52641"/>
    <w:rsid w:val="00D5274E"/>
    <w:rsid w:val="00D53071"/>
    <w:rsid w:val="00D53213"/>
    <w:rsid w:val="00D53E3B"/>
    <w:rsid w:val="00D54804"/>
    <w:rsid w:val="00D55276"/>
    <w:rsid w:val="00D55B7D"/>
    <w:rsid w:val="00D573CF"/>
    <w:rsid w:val="00D57995"/>
    <w:rsid w:val="00D60B3E"/>
    <w:rsid w:val="00D642C7"/>
    <w:rsid w:val="00D64899"/>
    <w:rsid w:val="00D6574C"/>
    <w:rsid w:val="00D7058A"/>
    <w:rsid w:val="00D76A2D"/>
    <w:rsid w:val="00D7775C"/>
    <w:rsid w:val="00D77ED8"/>
    <w:rsid w:val="00D80F12"/>
    <w:rsid w:val="00D80FB0"/>
    <w:rsid w:val="00D8537C"/>
    <w:rsid w:val="00D856CC"/>
    <w:rsid w:val="00D85743"/>
    <w:rsid w:val="00D86CD5"/>
    <w:rsid w:val="00D91201"/>
    <w:rsid w:val="00D914EA"/>
    <w:rsid w:val="00D9279C"/>
    <w:rsid w:val="00D929BB"/>
    <w:rsid w:val="00D935A8"/>
    <w:rsid w:val="00DA0DF2"/>
    <w:rsid w:val="00DA2566"/>
    <w:rsid w:val="00DA650E"/>
    <w:rsid w:val="00DB10C8"/>
    <w:rsid w:val="00DB265C"/>
    <w:rsid w:val="00DB3FE2"/>
    <w:rsid w:val="00DB5EEB"/>
    <w:rsid w:val="00DC2537"/>
    <w:rsid w:val="00DC3909"/>
    <w:rsid w:val="00DC4314"/>
    <w:rsid w:val="00DC6A54"/>
    <w:rsid w:val="00DC6F1C"/>
    <w:rsid w:val="00DC71B5"/>
    <w:rsid w:val="00DD0BC3"/>
    <w:rsid w:val="00DD1C3D"/>
    <w:rsid w:val="00DD2655"/>
    <w:rsid w:val="00DD26FD"/>
    <w:rsid w:val="00DD3BF4"/>
    <w:rsid w:val="00DD4EEB"/>
    <w:rsid w:val="00DD65E7"/>
    <w:rsid w:val="00DD68DF"/>
    <w:rsid w:val="00DD73C7"/>
    <w:rsid w:val="00DD7F35"/>
    <w:rsid w:val="00DE1AC7"/>
    <w:rsid w:val="00DE3E4B"/>
    <w:rsid w:val="00DE5192"/>
    <w:rsid w:val="00DE5A2A"/>
    <w:rsid w:val="00DE64A3"/>
    <w:rsid w:val="00DE7BC7"/>
    <w:rsid w:val="00DF0225"/>
    <w:rsid w:val="00DF0E30"/>
    <w:rsid w:val="00DF3BA7"/>
    <w:rsid w:val="00DF43D1"/>
    <w:rsid w:val="00DF5109"/>
    <w:rsid w:val="00DF6610"/>
    <w:rsid w:val="00DF6998"/>
    <w:rsid w:val="00E01A20"/>
    <w:rsid w:val="00E035B2"/>
    <w:rsid w:val="00E04B10"/>
    <w:rsid w:val="00E0572F"/>
    <w:rsid w:val="00E06B17"/>
    <w:rsid w:val="00E115E1"/>
    <w:rsid w:val="00E12212"/>
    <w:rsid w:val="00E12765"/>
    <w:rsid w:val="00E12DBD"/>
    <w:rsid w:val="00E14954"/>
    <w:rsid w:val="00E16DD0"/>
    <w:rsid w:val="00E17201"/>
    <w:rsid w:val="00E17486"/>
    <w:rsid w:val="00E1789A"/>
    <w:rsid w:val="00E22A59"/>
    <w:rsid w:val="00E24188"/>
    <w:rsid w:val="00E25148"/>
    <w:rsid w:val="00E25EA5"/>
    <w:rsid w:val="00E26218"/>
    <w:rsid w:val="00E33195"/>
    <w:rsid w:val="00E33B62"/>
    <w:rsid w:val="00E34D13"/>
    <w:rsid w:val="00E35771"/>
    <w:rsid w:val="00E3699A"/>
    <w:rsid w:val="00E37538"/>
    <w:rsid w:val="00E47EE9"/>
    <w:rsid w:val="00E5133B"/>
    <w:rsid w:val="00E52B35"/>
    <w:rsid w:val="00E52E7C"/>
    <w:rsid w:val="00E642E1"/>
    <w:rsid w:val="00E64F79"/>
    <w:rsid w:val="00E65624"/>
    <w:rsid w:val="00E66A97"/>
    <w:rsid w:val="00E7192F"/>
    <w:rsid w:val="00E726CF"/>
    <w:rsid w:val="00E72DA8"/>
    <w:rsid w:val="00E74DA1"/>
    <w:rsid w:val="00E80F35"/>
    <w:rsid w:val="00E810AC"/>
    <w:rsid w:val="00E819C6"/>
    <w:rsid w:val="00E81AA6"/>
    <w:rsid w:val="00E82EB0"/>
    <w:rsid w:val="00E83799"/>
    <w:rsid w:val="00E83981"/>
    <w:rsid w:val="00E8479B"/>
    <w:rsid w:val="00E84989"/>
    <w:rsid w:val="00E84D25"/>
    <w:rsid w:val="00E853A2"/>
    <w:rsid w:val="00E855D8"/>
    <w:rsid w:val="00E87CF1"/>
    <w:rsid w:val="00E91307"/>
    <w:rsid w:val="00E9572A"/>
    <w:rsid w:val="00E96D59"/>
    <w:rsid w:val="00E971A1"/>
    <w:rsid w:val="00EA018A"/>
    <w:rsid w:val="00EA440D"/>
    <w:rsid w:val="00EB044F"/>
    <w:rsid w:val="00EB15F8"/>
    <w:rsid w:val="00EB2B05"/>
    <w:rsid w:val="00EB3272"/>
    <w:rsid w:val="00EB39CA"/>
    <w:rsid w:val="00EB55FF"/>
    <w:rsid w:val="00EB62F0"/>
    <w:rsid w:val="00EC0D3D"/>
    <w:rsid w:val="00EC4070"/>
    <w:rsid w:val="00EC6D7F"/>
    <w:rsid w:val="00ED1403"/>
    <w:rsid w:val="00ED15F9"/>
    <w:rsid w:val="00ED1A88"/>
    <w:rsid w:val="00ED4D7C"/>
    <w:rsid w:val="00ED67D6"/>
    <w:rsid w:val="00ED6844"/>
    <w:rsid w:val="00ED7130"/>
    <w:rsid w:val="00EE09AA"/>
    <w:rsid w:val="00EE2092"/>
    <w:rsid w:val="00EE3B7B"/>
    <w:rsid w:val="00EE47F5"/>
    <w:rsid w:val="00EF1C87"/>
    <w:rsid w:val="00EF1CA8"/>
    <w:rsid w:val="00EF4C03"/>
    <w:rsid w:val="00EF6A46"/>
    <w:rsid w:val="00F024F3"/>
    <w:rsid w:val="00F02DE1"/>
    <w:rsid w:val="00F03221"/>
    <w:rsid w:val="00F034BD"/>
    <w:rsid w:val="00F075E4"/>
    <w:rsid w:val="00F1083E"/>
    <w:rsid w:val="00F12068"/>
    <w:rsid w:val="00F12A57"/>
    <w:rsid w:val="00F142FF"/>
    <w:rsid w:val="00F148F8"/>
    <w:rsid w:val="00F150F9"/>
    <w:rsid w:val="00F15DCE"/>
    <w:rsid w:val="00F170C4"/>
    <w:rsid w:val="00F20C0C"/>
    <w:rsid w:val="00F212C7"/>
    <w:rsid w:val="00F23D60"/>
    <w:rsid w:val="00F2527E"/>
    <w:rsid w:val="00F252F8"/>
    <w:rsid w:val="00F26A72"/>
    <w:rsid w:val="00F26D2D"/>
    <w:rsid w:val="00F27EC5"/>
    <w:rsid w:val="00F30847"/>
    <w:rsid w:val="00F32F30"/>
    <w:rsid w:val="00F33C22"/>
    <w:rsid w:val="00F34FDE"/>
    <w:rsid w:val="00F35946"/>
    <w:rsid w:val="00F366AF"/>
    <w:rsid w:val="00F36A33"/>
    <w:rsid w:val="00F426CC"/>
    <w:rsid w:val="00F43190"/>
    <w:rsid w:val="00F43721"/>
    <w:rsid w:val="00F437CD"/>
    <w:rsid w:val="00F44AC9"/>
    <w:rsid w:val="00F46CC2"/>
    <w:rsid w:val="00F47577"/>
    <w:rsid w:val="00F51A05"/>
    <w:rsid w:val="00F5400C"/>
    <w:rsid w:val="00F54704"/>
    <w:rsid w:val="00F56945"/>
    <w:rsid w:val="00F56B0C"/>
    <w:rsid w:val="00F5753E"/>
    <w:rsid w:val="00F64877"/>
    <w:rsid w:val="00F672BD"/>
    <w:rsid w:val="00F70CDF"/>
    <w:rsid w:val="00F72927"/>
    <w:rsid w:val="00F75BDA"/>
    <w:rsid w:val="00F75BF4"/>
    <w:rsid w:val="00F813F2"/>
    <w:rsid w:val="00F81D4C"/>
    <w:rsid w:val="00F82517"/>
    <w:rsid w:val="00F831F6"/>
    <w:rsid w:val="00F852F5"/>
    <w:rsid w:val="00F85DAC"/>
    <w:rsid w:val="00F91DFB"/>
    <w:rsid w:val="00F91E9D"/>
    <w:rsid w:val="00F92EA8"/>
    <w:rsid w:val="00F93053"/>
    <w:rsid w:val="00F94152"/>
    <w:rsid w:val="00F953BF"/>
    <w:rsid w:val="00FA14C0"/>
    <w:rsid w:val="00FA28DA"/>
    <w:rsid w:val="00FA3961"/>
    <w:rsid w:val="00FA4481"/>
    <w:rsid w:val="00FA4E44"/>
    <w:rsid w:val="00FA594E"/>
    <w:rsid w:val="00FB0685"/>
    <w:rsid w:val="00FB1680"/>
    <w:rsid w:val="00FB1930"/>
    <w:rsid w:val="00FB2D7D"/>
    <w:rsid w:val="00FB4294"/>
    <w:rsid w:val="00FB7C6D"/>
    <w:rsid w:val="00FB7FCA"/>
    <w:rsid w:val="00FC2C92"/>
    <w:rsid w:val="00FC5234"/>
    <w:rsid w:val="00FC66B1"/>
    <w:rsid w:val="00FC6E1F"/>
    <w:rsid w:val="00FC792B"/>
    <w:rsid w:val="00FD1316"/>
    <w:rsid w:val="00FD3B4C"/>
    <w:rsid w:val="00FD3EF2"/>
    <w:rsid w:val="00FD4BAB"/>
    <w:rsid w:val="00FD555E"/>
    <w:rsid w:val="00FD67B6"/>
    <w:rsid w:val="00FD7B88"/>
    <w:rsid w:val="00FD7C30"/>
    <w:rsid w:val="00FE1652"/>
    <w:rsid w:val="00FE4F1F"/>
    <w:rsid w:val="00FE56F6"/>
    <w:rsid w:val="00FE6299"/>
    <w:rsid w:val="00FE6519"/>
    <w:rsid w:val="00FF052B"/>
    <w:rsid w:val="00FF3BAE"/>
    <w:rsid w:val="00FF3EA3"/>
    <w:rsid w:val="00FF4122"/>
    <w:rsid w:val="00FF5010"/>
    <w:rsid w:val="00FF51E7"/>
    <w:rsid w:val="00FF6190"/>
    <w:rsid w:val="00FF624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DCBFB"/>
  <w15:docId w15:val="{D7F88889-6AD5-4A83-AD95-45EC7F52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FF3"/>
    <w:pPr>
      <w:ind w:left="720"/>
      <w:contextualSpacing/>
    </w:pPr>
  </w:style>
  <w:style w:type="character" w:styleId="Hyperlink">
    <w:name w:val="Hyperlink"/>
    <w:basedOn w:val="DefaultParagraphFont"/>
    <w:uiPriority w:val="99"/>
    <w:unhideWhenUsed/>
    <w:rsid w:val="00AE1185"/>
    <w:rPr>
      <w:color w:val="0563C1" w:themeColor="hyperlink"/>
      <w:u w:val="single"/>
    </w:rPr>
  </w:style>
  <w:style w:type="paragraph" w:styleId="FootnoteText">
    <w:name w:val="footnote text"/>
    <w:basedOn w:val="Normal"/>
    <w:link w:val="FootnoteTextChar"/>
    <w:uiPriority w:val="99"/>
    <w:unhideWhenUsed/>
    <w:rsid w:val="00C272A4"/>
    <w:pPr>
      <w:spacing w:after="0" w:line="240" w:lineRule="auto"/>
    </w:pPr>
    <w:rPr>
      <w:sz w:val="20"/>
      <w:szCs w:val="20"/>
    </w:rPr>
  </w:style>
  <w:style w:type="character" w:customStyle="1" w:styleId="FootnoteTextChar">
    <w:name w:val="Footnote Text Char"/>
    <w:basedOn w:val="DefaultParagraphFont"/>
    <w:link w:val="FootnoteText"/>
    <w:uiPriority w:val="99"/>
    <w:rsid w:val="00C272A4"/>
    <w:rPr>
      <w:sz w:val="20"/>
      <w:szCs w:val="20"/>
    </w:rPr>
  </w:style>
  <w:style w:type="character" w:styleId="FootnoteReference">
    <w:name w:val="footnote reference"/>
    <w:basedOn w:val="DefaultParagraphFont"/>
    <w:uiPriority w:val="99"/>
    <w:unhideWhenUsed/>
    <w:rsid w:val="00C272A4"/>
    <w:rPr>
      <w:vertAlign w:val="superscript"/>
    </w:rPr>
  </w:style>
  <w:style w:type="paragraph" w:styleId="BalloonText">
    <w:name w:val="Balloon Text"/>
    <w:basedOn w:val="Normal"/>
    <w:link w:val="BalloonTextChar"/>
    <w:uiPriority w:val="99"/>
    <w:semiHidden/>
    <w:unhideWhenUsed/>
    <w:rsid w:val="00336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A39"/>
    <w:rPr>
      <w:rFonts w:ascii="Segoe UI" w:hAnsi="Segoe UI" w:cs="Segoe UI"/>
      <w:sz w:val="18"/>
      <w:szCs w:val="18"/>
    </w:rPr>
  </w:style>
  <w:style w:type="character" w:customStyle="1" w:styleId="text">
    <w:name w:val="text"/>
    <w:basedOn w:val="DefaultParagraphFont"/>
    <w:rsid w:val="000E23A6"/>
  </w:style>
  <w:style w:type="character" w:customStyle="1" w:styleId="jesus">
    <w:name w:val="jesus"/>
    <w:basedOn w:val="DefaultParagraphFont"/>
    <w:rsid w:val="00AE35BA"/>
  </w:style>
  <w:style w:type="paragraph" w:styleId="Header">
    <w:name w:val="header"/>
    <w:basedOn w:val="Normal"/>
    <w:link w:val="HeaderChar"/>
    <w:uiPriority w:val="99"/>
    <w:unhideWhenUsed/>
    <w:rsid w:val="00BE05A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05A3"/>
  </w:style>
  <w:style w:type="paragraph" w:styleId="Footer">
    <w:name w:val="footer"/>
    <w:basedOn w:val="Normal"/>
    <w:link w:val="FooterChar"/>
    <w:uiPriority w:val="99"/>
    <w:unhideWhenUsed/>
    <w:rsid w:val="00BE05A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05A3"/>
  </w:style>
  <w:style w:type="character" w:styleId="CommentReference">
    <w:name w:val="annotation reference"/>
    <w:basedOn w:val="DefaultParagraphFont"/>
    <w:uiPriority w:val="99"/>
    <w:semiHidden/>
    <w:unhideWhenUsed/>
    <w:rsid w:val="000D7809"/>
    <w:rPr>
      <w:sz w:val="16"/>
      <w:szCs w:val="16"/>
    </w:rPr>
  </w:style>
  <w:style w:type="paragraph" w:styleId="CommentText">
    <w:name w:val="annotation text"/>
    <w:basedOn w:val="Normal"/>
    <w:link w:val="CommentTextChar"/>
    <w:uiPriority w:val="99"/>
    <w:semiHidden/>
    <w:unhideWhenUsed/>
    <w:rsid w:val="000D7809"/>
    <w:pPr>
      <w:spacing w:line="240" w:lineRule="auto"/>
    </w:pPr>
    <w:rPr>
      <w:sz w:val="20"/>
      <w:szCs w:val="20"/>
    </w:rPr>
  </w:style>
  <w:style w:type="character" w:customStyle="1" w:styleId="CommentTextChar">
    <w:name w:val="Comment Text Char"/>
    <w:basedOn w:val="DefaultParagraphFont"/>
    <w:link w:val="CommentText"/>
    <w:uiPriority w:val="99"/>
    <w:semiHidden/>
    <w:rsid w:val="000D7809"/>
    <w:rPr>
      <w:sz w:val="20"/>
      <w:szCs w:val="20"/>
    </w:rPr>
  </w:style>
  <w:style w:type="paragraph" w:styleId="CommentSubject">
    <w:name w:val="annotation subject"/>
    <w:basedOn w:val="CommentText"/>
    <w:next w:val="CommentText"/>
    <w:link w:val="CommentSubjectChar"/>
    <w:uiPriority w:val="99"/>
    <w:semiHidden/>
    <w:unhideWhenUsed/>
    <w:rsid w:val="000D7809"/>
    <w:rPr>
      <w:b/>
      <w:bCs/>
    </w:rPr>
  </w:style>
  <w:style w:type="character" w:customStyle="1" w:styleId="CommentSubjectChar">
    <w:name w:val="Comment Subject Char"/>
    <w:basedOn w:val="CommentTextChar"/>
    <w:link w:val="CommentSubject"/>
    <w:uiPriority w:val="99"/>
    <w:semiHidden/>
    <w:rsid w:val="000D7809"/>
    <w:rPr>
      <w:b/>
      <w:bCs/>
      <w:sz w:val="20"/>
      <w:szCs w:val="20"/>
    </w:rPr>
  </w:style>
  <w:style w:type="character" w:styleId="PageNumber">
    <w:name w:val="page number"/>
    <w:basedOn w:val="DefaultParagraphFont"/>
    <w:uiPriority w:val="99"/>
    <w:semiHidden/>
    <w:unhideWhenUsed/>
    <w:rsid w:val="00210694"/>
  </w:style>
  <w:style w:type="paragraph" w:styleId="Revision">
    <w:name w:val="Revision"/>
    <w:hidden/>
    <w:uiPriority w:val="99"/>
    <w:semiHidden/>
    <w:rsid w:val="0019232A"/>
    <w:pPr>
      <w:spacing w:after="0" w:line="240" w:lineRule="auto"/>
    </w:pPr>
  </w:style>
  <w:style w:type="character" w:customStyle="1" w:styleId="citation">
    <w:name w:val="citation"/>
    <w:basedOn w:val="DefaultParagraphFont"/>
    <w:rsid w:val="00A62CC2"/>
  </w:style>
  <w:style w:type="character" w:customStyle="1" w:styleId="personname">
    <w:name w:val="person_name"/>
    <w:basedOn w:val="DefaultParagraphFont"/>
    <w:rsid w:val="00A62CC2"/>
  </w:style>
  <w:style w:type="character" w:customStyle="1" w:styleId="Date1">
    <w:name w:val="Date1"/>
    <w:basedOn w:val="DefaultParagraphFont"/>
    <w:rsid w:val="00A62CC2"/>
  </w:style>
  <w:style w:type="character" w:customStyle="1" w:styleId="Title1">
    <w:name w:val="Title1"/>
    <w:basedOn w:val="DefaultParagraphFont"/>
    <w:rsid w:val="00A62CC2"/>
  </w:style>
  <w:style w:type="character" w:styleId="Emphasis">
    <w:name w:val="Emphasis"/>
    <w:basedOn w:val="DefaultParagraphFont"/>
    <w:uiPriority w:val="20"/>
    <w:qFormat/>
    <w:rsid w:val="00A62CC2"/>
    <w:rPr>
      <w:i/>
      <w:iCs/>
    </w:rPr>
  </w:style>
  <w:style w:type="character" w:customStyle="1" w:styleId="pagerange">
    <w:name w:val="pagerange"/>
    <w:basedOn w:val="DefaultParagraphFont"/>
    <w:rsid w:val="00A62CC2"/>
  </w:style>
  <w:style w:type="paragraph" w:styleId="EndnoteText">
    <w:name w:val="endnote text"/>
    <w:basedOn w:val="Normal"/>
    <w:link w:val="EndnoteTextChar"/>
    <w:uiPriority w:val="99"/>
    <w:unhideWhenUsed/>
    <w:rsid w:val="0029637D"/>
    <w:pPr>
      <w:spacing w:after="0" w:line="240" w:lineRule="auto"/>
    </w:pPr>
    <w:rPr>
      <w:sz w:val="24"/>
      <w:szCs w:val="24"/>
    </w:rPr>
  </w:style>
  <w:style w:type="character" w:customStyle="1" w:styleId="EndnoteTextChar">
    <w:name w:val="Endnote Text Char"/>
    <w:basedOn w:val="DefaultParagraphFont"/>
    <w:link w:val="EndnoteText"/>
    <w:uiPriority w:val="99"/>
    <w:rsid w:val="0029637D"/>
    <w:rPr>
      <w:sz w:val="24"/>
      <w:szCs w:val="24"/>
    </w:rPr>
  </w:style>
  <w:style w:type="character" w:styleId="EndnoteReference">
    <w:name w:val="endnote reference"/>
    <w:basedOn w:val="DefaultParagraphFont"/>
    <w:uiPriority w:val="99"/>
    <w:unhideWhenUsed/>
    <w:rsid w:val="002963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162138">
      <w:bodyDiv w:val="1"/>
      <w:marLeft w:val="0"/>
      <w:marRight w:val="0"/>
      <w:marTop w:val="0"/>
      <w:marBottom w:val="0"/>
      <w:divBdr>
        <w:top w:val="none" w:sz="0" w:space="0" w:color="auto"/>
        <w:left w:val="none" w:sz="0" w:space="0" w:color="auto"/>
        <w:bottom w:val="none" w:sz="0" w:space="0" w:color="auto"/>
        <w:right w:val="none" w:sz="0" w:space="0" w:color="auto"/>
      </w:divBdr>
    </w:div>
    <w:div w:id="672613811">
      <w:bodyDiv w:val="1"/>
      <w:marLeft w:val="0"/>
      <w:marRight w:val="0"/>
      <w:marTop w:val="0"/>
      <w:marBottom w:val="0"/>
      <w:divBdr>
        <w:top w:val="none" w:sz="0" w:space="0" w:color="auto"/>
        <w:left w:val="none" w:sz="0" w:space="0" w:color="auto"/>
        <w:bottom w:val="none" w:sz="0" w:space="0" w:color="auto"/>
        <w:right w:val="none" w:sz="0" w:space="0" w:color="auto"/>
      </w:divBdr>
    </w:div>
    <w:div w:id="1136604950">
      <w:bodyDiv w:val="1"/>
      <w:marLeft w:val="0"/>
      <w:marRight w:val="0"/>
      <w:marTop w:val="0"/>
      <w:marBottom w:val="0"/>
      <w:divBdr>
        <w:top w:val="none" w:sz="0" w:space="0" w:color="auto"/>
        <w:left w:val="none" w:sz="0" w:space="0" w:color="auto"/>
        <w:bottom w:val="none" w:sz="0" w:space="0" w:color="auto"/>
        <w:right w:val="none" w:sz="0" w:space="0" w:color="auto"/>
      </w:divBdr>
    </w:div>
    <w:div w:id="1149711749">
      <w:bodyDiv w:val="1"/>
      <w:marLeft w:val="0"/>
      <w:marRight w:val="0"/>
      <w:marTop w:val="0"/>
      <w:marBottom w:val="0"/>
      <w:divBdr>
        <w:top w:val="none" w:sz="0" w:space="0" w:color="auto"/>
        <w:left w:val="none" w:sz="0" w:space="0" w:color="auto"/>
        <w:bottom w:val="none" w:sz="0" w:space="0" w:color="auto"/>
        <w:right w:val="none" w:sz="0" w:space="0" w:color="auto"/>
      </w:divBdr>
    </w:div>
    <w:div w:id="1334145305">
      <w:bodyDiv w:val="1"/>
      <w:marLeft w:val="0"/>
      <w:marRight w:val="0"/>
      <w:marTop w:val="0"/>
      <w:marBottom w:val="0"/>
      <w:divBdr>
        <w:top w:val="none" w:sz="0" w:space="0" w:color="auto"/>
        <w:left w:val="none" w:sz="0" w:space="0" w:color="auto"/>
        <w:bottom w:val="none" w:sz="0" w:space="0" w:color="auto"/>
        <w:right w:val="none" w:sz="0" w:space="0" w:color="auto"/>
      </w:divBdr>
    </w:div>
    <w:div w:id="1466780265">
      <w:bodyDiv w:val="1"/>
      <w:marLeft w:val="0"/>
      <w:marRight w:val="0"/>
      <w:marTop w:val="0"/>
      <w:marBottom w:val="0"/>
      <w:divBdr>
        <w:top w:val="none" w:sz="0" w:space="0" w:color="auto"/>
        <w:left w:val="none" w:sz="0" w:space="0" w:color="auto"/>
        <w:bottom w:val="none" w:sz="0" w:space="0" w:color="auto"/>
        <w:right w:val="none" w:sz="0" w:space="0" w:color="auto"/>
      </w:divBdr>
    </w:div>
    <w:div w:id="1484396039">
      <w:bodyDiv w:val="1"/>
      <w:marLeft w:val="0"/>
      <w:marRight w:val="0"/>
      <w:marTop w:val="0"/>
      <w:marBottom w:val="0"/>
      <w:divBdr>
        <w:top w:val="none" w:sz="0" w:space="0" w:color="auto"/>
        <w:left w:val="none" w:sz="0" w:space="0" w:color="auto"/>
        <w:bottom w:val="none" w:sz="0" w:space="0" w:color="auto"/>
        <w:right w:val="none" w:sz="0" w:space="0" w:color="auto"/>
      </w:divBdr>
    </w:div>
    <w:div w:id="1580016135">
      <w:bodyDiv w:val="1"/>
      <w:marLeft w:val="0"/>
      <w:marRight w:val="0"/>
      <w:marTop w:val="0"/>
      <w:marBottom w:val="0"/>
      <w:divBdr>
        <w:top w:val="none" w:sz="0" w:space="0" w:color="auto"/>
        <w:left w:val="none" w:sz="0" w:space="0" w:color="auto"/>
        <w:bottom w:val="none" w:sz="0" w:space="0" w:color="auto"/>
        <w:right w:val="none" w:sz="0" w:space="0" w:color="auto"/>
      </w:divBdr>
      <w:divsChild>
        <w:div w:id="1105152134">
          <w:marLeft w:val="0"/>
          <w:marRight w:val="0"/>
          <w:marTop w:val="0"/>
          <w:marBottom w:val="0"/>
          <w:divBdr>
            <w:top w:val="none" w:sz="0" w:space="0" w:color="auto"/>
            <w:left w:val="none" w:sz="0" w:space="0" w:color="auto"/>
            <w:bottom w:val="none" w:sz="0" w:space="0" w:color="auto"/>
            <w:right w:val="none" w:sz="0" w:space="0" w:color="auto"/>
          </w:divBdr>
        </w:div>
      </w:divsChild>
    </w:div>
    <w:div w:id="1594557239">
      <w:bodyDiv w:val="1"/>
      <w:marLeft w:val="0"/>
      <w:marRight w:val="0"/>
      <w:marTop w:val="0"/>
      <w:marBottom w:val="0"/>
      <w:divBdr>
        <w:top w:val="none" w:sz="0" w:space="0" w:color="auto"/>
        <w:left w:val="none" w:sz="0" w:space="0" w:color="auto"/>
        <w:bottom w:val="none" w:sz="0" w:space="0" w:color="auto"/>
        <w:right w:val="none" w:sz="0" w:space="0" w:color="auto"/>
      </w:divBdr>
    </w:div>
    <w:div w:id="1911890993">
      <w:bodyDiv w:val="1"/>
      <w:marLeft w:val="0"/>
      <w:marRight w:val="0"/>
      <w:marTop w:val="0"/>
      <w:marBottom w:val="0"/>
      <w:divBdr>
        <w:top w:val="none" w:sz="0" w:space="0" w:color="auto"/>
        <w:left w:val="none" w:sz="0" w:space="0" w:color="auto"/>
        <w:bottom w:val="none" w:sz="0" w:space="0" w:color="auto"/>
        <w:right w:val="none" w:sz="0" w:space="0" w:color="auto"/>
      </w:divBdr>
    </w:div>
    <w:div w:id="195594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080/17521483.2019.1607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69679-A60D-43C8-A907-7431CFFF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12227</TotalTime>
  <Pages>36</Pages>
  <Words>9155</Words>
  <Characters>52188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61221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Gurnham D.</dc:creator>
  <cp:keywords/>
  <dc:description/>
  <cp:lastModifiedBy>Gurnham D.</cp:lastModifiedBy>
  <cp:revision>185</cp:revision>
  <cp:lastPrinted>2019-05-07T14:11:00Z</cp:lastPrinted>
  <dcterms:created xsi:type="dcterms:W3CDTF">2019-03-29T09:09:00Z</dcterms:created>
  <dcterms:modified xsi:type="dcterms:W3CDTF">2019-07-18T12:05:00Z</dcterms:modified>
</cp:coreProperties>
</file>