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D1228" w14:textId="77777777" w:rsidR="00A50F9D" w:rsidRPr="00AB2580" w:rsidRDefault="00A50F9D" w:rsidP="002102A1">
      <w:pPr>
        <w:spacing w:after="0" w:line="288" w:lineRule="auto"/>
        <w:jc w:val="center"/>
        <w:rPr>
          <w:rFonts w:ascii="Garamond" w:hAnsi="Garamond"/>
          <w:b/>
          <w:sz w:val="28"/>
          <w:szCs w:val="28"/>
        </w:rPr>
      </w:pPr>
    </w:p>
    <w:p w14:paraId="03BAF64A" w14:textId="77777777" w:rsidR="008F6857" w:rsidRPr="00AB2580" w:rsidRDefault="00A50F9D" w:rsidP="002102A1">
      <w:pPr>
        <w:spacing w:after="0" w:line="288" w:lineRule="auto"/>
        <w:jc w:val="center"/>
        <w:rPr>
          <w:rFonts w:ascii="Garamond" w:hAnsi="Garamond"/>
          <w:b/>
          <w:sz w:val="28"/>
          <w:szCs w:val="28"/>
        </w:rPr>
      </w:pPr>
      <w:r w:rsidRPr="00AB2580">
        <w:rPr>
          <w:rFonts w:ascii="Garamond" w:hAnsi="Garamond"/>
          <w:b/>
          <w:sz w:val="28"/>
          <w:szCs w:val="28"/>
        </w:rPr>
        <w:t>The Dunn Worry Questionnaire and the Paranoia Worries Questionnaire</w:t>
      </w:r>
      <w:r w:rsidR="008F6857" w:rsidRPr="00AB2580">
        <w:rPr>
          <w:rFonts w:ascii="Garamond" w:hAnsi="Garamond"/>
          <w:b/>
          <w:sz w:val="28"/>
          <w:szCs w:val="28"/>
        </w:rPr>
        <w:t>:</w:t>
      </w:r>
    </w:p>
    <w:p w14:paraId="6B352E41" w14:textId="520B2711" w:rsidR="00F94CAE" w:rsidRPr="00AB2580" w:rsidRDefault="008F6857" w:rsidP="002102A1">
      <w:pPr>
        <w:spacing w:after="0" w:line="288" w:lineRule="auto"/>
        <w:jc w:val="center"/>
        <w:rPr>
          <w:rFonts w:ascii="Garamond" w:hAnsi="Garamond"/>
          <w:b/>
          <w:sz w:val="28"/>
          <w:szCs w:val="28"/>
        </w:rPr>
      </w:pPr>
      <w:proofErr w:type="gramStart"/>
      <w:r w:rsidRPr="00AB2580">
        <w:rPr>
          <w:rFonts w:ascii="Garamond" w:hAnsi="Garamond"/>
          <w:b/>
          <w:sz w:val="28"/>
          <w:szCs w:val="28"/>
        </w:rPr>
        <w:t>N</w:t>
      </w:r>
      <w:r w:rsidR="00224F44" w:rsidRPr="00AB2580">
        <w:rPr>
          <w:rFonts w:ascii="Garamond" w:hAnsi="Garamond"/>
          <w:b/>
          <w:sz w:val="28"/>
          <w:szCs w:val="28"/>
        </w:rPr>
        <w:t>ew assessments of worry.</w:t>
      </w:r>
      <w:proofErr w:type="gramEnd"/>
    </w:p>
    <w:p w14:paraId="4EB7201C" w14:textId="77777777" w:rsidR="00A50F9D" w:rsidRDefault="00A50F9D" w:rsidP="002102A1">
      <w:pPr>
        <w:spacing w:after="0" w:line="288" w:lineRule="auto"/>
        <w:jc w:val="center"/>
        <w:rPr>
          <w:rFonts w:ascii="Garamond" w:hAnsi="Garamond"/>
          <w:b/>
          <w:sz w:val="24"/>
          <w:szCs w:val="24"/>
        </w:rPr>
      </w:pPr>
    </w:p>
    <w:p w14:paraId="21B579FA" w14:textId="77777777" w:rsidR="002102A1" w:rsidRPr="006C004E" w:rsidRDefault="002102A1" w:rsidP="002102A1">
      <w:pPr>
        <w:spacing w:after="0" w:line="288" w:lineRule="auto"/>
        <w:jc w:val="center"/>
        <w:rPr>
          <w:rFonts w:ascii="Garamond" w:hAnsi="Garamond"/>
          <w:b/>
          <w:sz w:val="24"/>
          <w:szCs w:val="24"/>
        </w:rPr>
      </w:pPr>
    </w:p>
    <w:p w14:paraId="454063E5" w14:textId="11E6FFD5" w:rsidR="00DA7420" w:rsidRPr="00A50F9D" w:rsidRDefault="00DA7420" w:rsidP="00DA7420">
      <w:pPr>
        <w:spacing w:line="288" w:lineRule="auto"/>
        <w:jc w:val="center"/>
        <w:rPr>
          <w:rFonts w:ascii="Garamond" w:hAnsi="Garamond"/>
        </w:rPr>
      </w:pPr>
      <w:r w:rsidRPr="00A50F9D">
        <w:rPr>
          <w:rFonts w:ascii="Garamond" w:hAnsi="Garamond"/>
        </w:rPr>
        <w:t>Daniel Freeman</w:t>
      </w:r>
      <w:r w:rsidR="00DB0445" w:rsidRPr="001C0271">
        <w:rPr>
          <w:rFonts w:ascii="Garamond" w:hAnsi="Garamond"/>
          <w:vertAlign w:val="superscript"/>
        </w:rPr>
        <w:t>1,2*</w:t>
      </w:r>
      <w:r w:rsidRPr="00A50F9D">
        <w:rPr>
          <w:rFonts w:ascii="Garamond" w:hAnsi="Garamond"/>
        </w:rPr>
        <w:t>, Jessica C. Bird</w:t>
      </w:r>
      <w:r w:rsidR="00DB0445" w:rsidRPr="001C0271">
        <w:rPr>
          <w:rFonts w:ascii="Garamond" w:hAnsi="Garamond"/>
          <w:vertAlign w:val="superscript"/>
        </w:rPr>
        <w:t>1,2</w:t>
      </w:r>
      <w:r w:rsidR="003C4D57" w:rsidRPr="00A50F9D">
        <w:rPr>
          <w:rFonts w:ascii="Garamond" w:hAnsi="Garamond"/>
        </w:rPr>
        <w:t xml:space="preserve">, </w:t>
      </w:r>
      <w:proofErr w:type="spellStart"/>
      <w:r w:rsidR="00210095">
        <w:rPr>
          <w:rFonts w:ascii="Garamond" w:hAnsi="Garamond"/>
        </w:rPr>
        <w:t>Bao</w:t>
      </w:r>
      <w:proofErr w:type="spellEnd"/>
      <w:r w:rsidR="00210095">
        <w:rPr>
          <w:rFonts w:ascii="Garamond" w:hAnsi="Garamond"/>
        </w:rPr>
        <w:t xml:space="preserve"> S.</w:t>
      </w:r>
      <w:r w:rsidR="004C4384" w:rsidRPr="00A50F9D">
        <w:rPr>
          <w:rFonts w:ascii="Garamond" w:hAnsi="Garamond"/>
        </w:rPr>
        <w:t xml:space="preserve"> Loe</w:t>
      </w:r>
      <w:r w:rsidR="00DB0445" w:rsidRPr="001C0271">
        <w:rPr>
          <w:rFonts w:ascii="Garamond" w:hAnsi="Garamond"/>
          <w:vertAlign w:val="superscript"/>
        </w:rPr>
        <w:t>3</w:t>
      </w:r>
      <w:r w:rsidR="004C4384" w:rsidRPr="00A50F9D">
        <w:rPr>
          <w:rFonts w:ascii="Garamond" w:hAnsi="Garamond"/>
        </w:rPr>
        <w:t xml:space="preserve">, </w:t>
      </w:r>
      <w:r w:rsidRPr="00A50F9D">
        <w:rPr>
          <w:rFonts w:ascii="Garamond" w:hAnsi="Garamond"/>
        </w:rPr>
        <w:t>David Kingdon</w:t>
      </w:r>
      <w:r w:rsidR="00DB0445" w:rsidRPr="001C0271">
        <w:rPr>
          <w:rFonts w:ascii="Garamond" w:hAnsi="Garamond"/>
          <w:vertAlign w:val="superscript"/>
        </w:rPr>
        <w:t>4</w:t>
      </w:r>
      <w:r w:rsidRPr="00A50F9D">
        <w:rPr>
          <w:rFonts w:ascii="Garamond" w:hAnsi="Garamond"/>
        </w:rPr>
        <w:t>, Helen Startup</w:t>
      </w:r>
      <w:r w:rsidR="00DB0445" w:rsidRPr="001C0271">
        <w:rPr>
          <w:rFonts w:ascii="Garamond" w:hAnsi="Garamond"/>
          <w:vertAlign w:val="superscript"/>
        </w:rPr>
        <w:t>5</w:t>
      </w:r>
      <w:r w:rsidRPr="00A50F9D">
        <w:rPr>
          <w:rFonts w:ascii="Garamond" w:hAnsi="Garamond"/>
        </w:rPr>
        <w:t>, David Clark</w:t>
      </w:r>
      <w:r w:rsidR="00DB0445" w:rsidRPr="001C0271">
        <w:rPr>
          <w:rFonts w:ascii="Garamond" w:hAnsi="Garamond"/>
          <w:vertAlign w:val="superscript"/>
        </w:rPr>
        <w:t>6</w:t>
      </w:r>
      <w:r w:rsidRPr="00A50F9D">
        <w:rPr>
          <w:rFonts w:ascii="Garamond" w:hAnsi="Garamond"/>
        </w:rPr>
        <w:t xml:space="preserve">, </w:t>
      </w:r>
      <w:proofErr w:type="spellStart"/>
      <w:r w:rsidRPr="00A50F9D">
        <w:rPr>
          <w:rFonts w:ascii="Garamond" w:hAnsi="Garamond"/>
        </w:rPr>
        <w:t>Anke</w:t>
      </w:r>
      <w:proofErr w:type="spellEnd"/>
      <w:r w:rsidRPr="00A50F9D">
        <w:rPr>
          <w:rFonts w:ascii="Garamond" w:hAnsi="Garamond"/>
        </w:rPr>
        <w:t xml:space="preserve"> Ehlers</w:t>
      </w:r>
      <w:r w:rsidR="00DB0445" w:rsidRPr="001C0271">
        <w:rPr>
          <w:rFonts w:ascii="Garamond" w:hAnsi="Garamond"/>
          <w:vertAlign w:val="superscript"/>
        </w:rPr>
        <w:t>6</w:t>
      </w:r>
      <w:r w:rsidRPr="00A50F9D">
        <w:rPr>
          <w:rFonts w:ascii="Garamond" w:hAnsi="Garamond"/>
        </w:rPr>
        <w:t>, Emma Cernis</w:t>
      </w:r>
      <w:r w:rsidR="00DB0445" w:rsidRPr="001C0271">
        <w:rPr>
          <w:rFonts w:ascii="Garamond" w:hAnsi="Garamond"/>
          <w:vertAlign w:val="superscript"/>
        </w:rPr>
        <w:t>1,2</w:t>
      </w:r>
      <w:r w:rsidRPr="00A50F9D">
        <w:rPr>
          <w:rFonts w:ascii="Garamond" w:hAnsi="Garamond"/>
        </w:rPr>
        <w:t>, Gail Wingham</w:t>
      </w:r>
      <w:r w:rsidR="00DB0445" w:rsidRPr="001C0271">
        <w:rPr>
          <w:rFonts w:ascii="Garamond" w:hAnsi="Garamond"/>
          <w:vertAlign w:val="superscript"/>
        </w:rPr>
        <w:t>4</w:t>
      </w:r>
      <w:r w:rsidRPr="00A50F9D">
        <w:rPr>
          <w:rFonts w:ascii="Garamond" w:hAnsi="Garamond"/>
        </w:rPr>
        <w:t>, Nicole Evans</w:t>
      </w:r>
      <w:r w:rsidR="00DB0445" w:rsidRPr="001C0271">
        <w:rPr>
          <w:rFonts w:ascii="Garamond" w:hAnsi="Garamond"/>
          <w:vertAlign w:val="superscript"/>
        </w:rPr>
        <w:t>1</w:t>
      </w:r>
      <w:r w:rsidRPr="00A50F9D">
        <w:rPr>
          <w:rFonts w:ascii="Garamond" w:hAnsi="Garamond"/>
        </w:rPr>
        <w:t>, Rachel Lister</w:t>
      </w:r>
      <w:r w:rsidR="00DB0445" w:rsidRPr="001C0271">
        <w:rPr>
          <w:rFonts w:ascii="Garamond" w:hAnsi="Garamond"/>
          <w:vertAlign w:val="superscript"/>
        </w:rPr>
        <w:t>1</w:t>
      </w:r>
      <w:r w:rsidRPr="00A50F9D">
        <w:rPr>
          <w:rFonts w:ascii="Garamond" w:hAnsi="Garamond"/>
        </w:rPr>
        <w:t>, Katherine Pugh</w:t>
      </w:r>
      <w:r w:rsidR="001C0271" w:rsidRPr="001C0271">
        <w:rPr>
          <w:rFonts w:ascii="Garamond" w:hAnsi="Garamond"/>
          <w:vertAlign w:val="superscript"/>
        </w:rPr>
        <w:t>5</w:t>
      </w:r>
      <w:r w:rsidRPr="00A50F9D">
        <w:rPr>
          <w:rFonts w:ascii="Garamond" w:hAnsi="Garamond"/>
        </w:rPr>
        <w:t>, Jacinta Cordwell</w:t>
      </w:r>
      <w:r w:rsidR="005109E1">
        <w:rPr>
          <w:rFonts w:ascii="Garamond" w:hAnsi="Garamond"/>
          <w:vertAlign w:val="superscript"/>
        </w:rPr>
        <w:t>7</w:t>
      </w:r>
      <w:r w:rsidRPr="00A50F9D">
        <w:rPr>
          <w:rFonts w:ascii="Garamond" w:hAnsi="Garamond"/>
        </w:rPr>
        <w:t>, Graham Dunn</w:t>
      </w:r>
      <w:r w:rsidR="00DB0445" w:rsidRPr="005109E1">
        <w:rPr>
          <w:rFonts w:ascii="Garamond" w:hAnsi="Garamond"/>
          <w:vertAlign w:val="superscript"/>
        </w:rPr>
        <w:t>8</w:t>
      </w:r>
    </w:p>
    <w:p w14:paraId="706F6795" w14:textId="77777777" w:rsidR="00B93F0A" w:rsidRDefault="00B93F0A" w:rsidP="00F94CAE">
      <w:pPr>
        <w:spacing w:line="288" w:lineRule="auto"/>
        <w:jc w:val="both"/>
        <w:rPr>
          <w:rFonts w:ascii="Garamond" w:hAnsi="Garamond"/>
          <w:b/>
          <w:sz w:val="24"/>
          <w:szCs w:val="24"/>
        </w:rPr>
      </w:pPr>
    </w:p>
    <w:p w14:paraId="240C5A5C" w14:textId="77777777" w:rsidR="001C0271" w:rsidRDefault="001C0271">
      <w:pPr>
        <w:rPr>
          <w:rFonts w:ascii="Garamond" w:hAnsi="Garamond"/>
          <w:b/>
        </w:rPr>
      </w:pPr>
    </w:p>
    <w:p w14:paraId="08F34621" w14:textId="77777777" w:rsidR="001C0271" w:rsidRDefault="001C0271">
      <w:pPr>
        <w:rPr>
          <w:rFonts w:ascii="Garamond" w:hAnsi="Garamond"/>
          <w:b/>
        </w:rPr>
      </w:pPr>
    </w:p>
    <w:p w14:paraId="77D61722" w14:textId="7F52FE29" w:rsidR="001C0271" w:rsidRDefault="00306E86" w:rsidP="00AB2580">
      <w:pPr>
        <w:jc w:val="center"/>
        <w:rPr>
          <w:rFonts w:ascii="Garamond" w:hAnsi="Garamond"/>
          <w:b/>
        </w:rPr>
      </w:pPr>
      <w:r>
        <w:rPr>
          <w:rFonts w:ascii="Garamond" w:hAnsi="Garamond"/>
          <w:b/>
        </w:rPr>
        <w:t>REVISION FOR</w:t>
      </w:r>
      <w:r w:rsidR="00AB2580">
        <w:rPr>
          <w:rFonts w:ascii="Garamond" w:hAnsi="Garamond"/>
          <w:b/>
        </w:rPr>
        <w:t xml:space="preserve"> PSYCHOLOGICAL MEDICINE</w:t>
      </w:r>
    </w:p>
    <w:p w14:paraId="5106BCFA" w14:textId="045038C1" w:rsidR="00AB2580" w:rsidRDefault="00EC5CB0" w:rsidP="00AB2580">
      <w:pPr>
        <w:jc w:val="center"/>
        <w:rPr>
          <w:rFonts w:ascii="Garamond" w:hAnsi="Garamond"/>
          <w:b/>
        </w:rPr>
      </w:pPr>
      <w:r>
        <w:rPr>
          <w:rFonts w:ascii="Garamond" w:hAnsi="Garamond"/>
          <w:b/>
        </w:rPr>
        <w:t>31</w:t>
      </w:r>
      <w:r w:rsidRPr="00EC5CB0">
        <w:rPr>
          <w:rFonts w:ascii="Garamond" w:hAnsi="Garamond"/>
          <w:b/>
          <w:vertAlign w:val="superscript"/>
        </w:rPr>
        <w:t>st</w:t>
      </w:r>
      <w:r>
        <w:rPr>
          <w:rFonts w:ascii="Garamond" w:hAnsi="Garamond"/>
          <w:b/>
        </w:rPr>
        <w:t xml:space="preserve"> </w:t>
      </w:r>
      <w:r w:rsidR="00306E86">
        <w:rPr>
          <w:rFonts w:ascii="Garamond" w:hAnsi="Garamond"/>
          <w:b/>
        </w:rPr>
        <w:t>JANUARY 2019</w:t>
      </w:r>
    </w:p>
    <w:p w14:paraId="6B426790" w14:textId="77777777" w:rsidR="001C0271" w:rsidRDefault="001C0271">
      <w:pPr>
        <w:rPr>
          <w:rFonts w:ascii="Garamond" w:hAnsi="Garamond"/>
          <w:b/>
        </w:rPr>
      </w:pPr>
    </w:p>
    <w:p w14:paraId="6D8BF506" w14:textId="77777777" w:rsidR="001C0271" w:rsidRDefault="001C0271">
      <w:pPr>
        <w:rPr>
          <w:rFonts w:ascii="Garamond" w:hAnsi="Garamond"/>
          <w:b/>
        </w:rPr>
      </w:pPr>
    </w:p>
    <w:p w14:paraId="2D43CECF" w14:textId="77777777" w:rsidR="001C0271" w:rsidRDefault="001C0271">
      <w:pPr>
        <w:rPr>
          <w:rFonts w:ascii="Garamond" w:hAnsi="Garamond"/>
          <w:b/>
        </w:rPr>
      </w:pPr>
    </w:p>
    <w:p w14:paraId="5CBDA634" w14:textId="77777777" w:rsidR="005109E1" w:rsidRDefault="005109E1">
      <w:pPr>
        <w:rPr>
          <w:rFonts w:ascii="Garamond" w:hAnsi="Garamond"/>
          <w:b/>
        </w:rPr>
      </w:pPr>
    </w:p>
    <w:p w14:paraId="729DEE15" w14:textId="77777777" w:rsidR="005109E1" w:rsidRDefault="005109E1">
      <w:pPr>
        <w:rPr>
          <w:rFonts w:ascii="Garamond" w:hAnsi="Garamond"/>
          <w:b/>
        </w:rPr>
      </w:pPr>
    </w:p>
    <w:p w14:paraId="2FC389A0" w14:textId="77777777" w:rsidR="005109E1" w:rsidRDefault="005109E1">
      <w:pPr>
        <w:rPr>
          <w:rFonts w:ascii="Garamond" w:hAnsi="Garamond"/>
          <w:b/>
        </w:rPr>
      </w:pPr>
    </w:p>
    <w:p w14:paraId="7B838B79" w14:textId="77777777" w:rsidR="005109E1" w:rsidRDefault="005109E1">
      <w:pPr>
        <w:rPr>
          <w:rFonts w:ascii="Garamond" w:hAnsi="Garamond"/>
          <w:b/>
        </w:rPr>
      </w:pPr>
    </w:p>
    <w:p w14:paraId="1D6196C5" w14:textId="77777777" w:rsidR="001C0271" w:rsidRDefault="001C0271">
      <w:pPr>
        <w:rPr>
          <w:rFonts w:ascii="Garamond" w:hAnsi="Garamond"/>
          <w:b/>
        </w:rPr>
      </w:pPr>
    </w:p>
    <w:p w14:paraId="43E1C68D" w14:textId="77777777" w:rsidR="001C0271" w:rsidRDefault="001C0271">
      <w:pPr>
        <w:rPr>
          <w:rFonts w:ascii="Garamond" w:hAnsi="Garamond"/>
          <w:b/>
        </w:rPr>
      </w:pPr>
    </w:p>
    <w:p w14:paraId="79BA4F55" w14:textId="77777777" w:rsidR="001C0271" w:rsidRPr="00DA7522" w:rsidRDefault="001C0271" w:rsidP="001C0271">
      <w:pPr>
        <w:rPr>
          <w:rFonts w:ascii="Garamond" w:hAnsi="Garamond"/>
        </w:rPr>
      </w:pPr>
      <w:r w:rsidRPr="00DA7522">
        <w:rPr>
          <w:rFonts w:ascii="Garamond" w:hAnsi="Garamond"/>
        </w:rPr>
        <w:t xml:space="preserve">* Address for correspondence: Professor Daniel Freeman, Oxford Cognitive Approaches to Psychosis, University Department of Psychiatry, University of Oxford, </w:t>
      </w:r>
      <w:proofErr w:type="spellStart"/>
      <w:r w:rsidRPr="00DA7522">
        <w:rPr>
          <w:rFonts w:ascii="Garamond" w:hAnsi="Garamond"/>
        </w:rPr>
        <w:t>Warneford</w:t>
      </w:r>
      <w:proofErr w:type="spellEnd"/>
      <w:r w:rsidRPr="00DA7522">
        <w:rPr>
          <w:rFonts w:ascii="Garamond" w:hAnsi="Garamond"/>
        </w:rPr>
        <w:t xml:space="preserve"> Hospital, Oxford, UK, </w:t>
      </w:r>
      <w:proofErr w:type="gramStart"/>
      <w:r w:rsidRPr="00DA7522">
        <w:rPr>
          <w:rFonts w:ascii="Garamond" w:hAnsi="Garamond"/>
        </w:rPr>
        <w:t>OX3 7JX</w:t>
      </w:r>
      <w:proofErr w:type="gramEnd"/>
      <w:r w:rsidRPr="00DA7522">
        <w:rPr>
          <w:rFonts w:ascii="Garamond" w:hAnsi="Garamond"/>
        </w:rPr>
        <w:t>. Email: daniel.freeman@psych.ox.ac.uk</w:t>
      </w:r>
    </w:p>
    <w:p w14:paraId="7B826BE2" w14:textId="77777777" w:rsidR="001C0271" w:rsidRPr="00DA7522" w:rsidRDefault="001C0271" w:rsidP="001C0271">
      <w:pPr>
        <w:rPr>
          <w:rFonts w:ascii="Garamond" w:hAnsi="Garamond"/>
        </w:rPr>
      </w:pPr>
      <w:r w:rsidRPr="00DA7522">
        <w:rPr>
          <w:rFonts w:ascii="Garamond" w:hAnsi="Garamond"/>
          <w:vertAlign w:val="superscript"/>
        </w:rPr>
        <w:t>1</w:t>
      </w:r>
      <w:r w:rsidRPr="00DA7522">
        <w:rPr>
          <w:rFonts w:ascii="Garamond" w:hAnsi="Garamond"/>
        </w:rPr>
        <w:t xml:space="preserve"> Department of Psychiatry, University of Oxford</w:t>
      </w:r>
    </w:p>
    <w:p w14:paraId="5571AE9E" w14:textId="77777777" w:rsidR="001C0271" w:rsidRPr="00DA7522" w:rsidRDefault="001C0271" w:rsidP="001C0271">
      <w:pPr>
        <w:rPr>
          <w:rFonts w:ascii="Garamond" w:hAnsi="Garamond"/>
        </w:rPr>
      </w:pPr>
      <w:r w:rsidRPr="00DA7522">
        <w:rPr>
          <w:rFonts w:ascii="Garamond" w:hAnsi="Garamond"/>
          <w:vertAlign w:val="superscript"/>
        </w:rPr>
        <w:t>2</w:t>
      </w:r>
      <w:r w:rsidRPr="00DA7522">
        <w:rPr>
          <w:rFonts w:ascii="Garamond" w:hAnsi="Garamond"/>
        </w:rPr>
        <w:t xml:space="preserve"> Oxford Health NHS Foundation Trust</w:t>
      </w:r>
    </w:p>
    <w:p w14:paraId="0544C46F" w14:textId="486BC493" w:rsidR="001C0271" w:rsidRPr="00DA7522" w:rsidRDefault="001C0271" w:rsidP="001C0271">
      <w:pPr>
        <w:rPr>
          <w:rFonts w:ascii="Garamond" w:hAnsi="Garamond"/>
        </w:rPr>
      </w:pPr>
      <w:r w:rsidRPr="00DA7522">
        <w:rPr>
          <w:rFonts w:ascii="Garamond" w:hAnsi="Garamond"/>
          <w:vertAlign w:val="superscript"/>
        </w:rPr>
        <w:t>3</w:t>
      </w:r>
      <w:r w:rsidRPr="00DA7522">
        <w:rPr>
          <w:rFonts w:ascii="Garamond" w:hAnsi="Garamond"/>
        </w:rPr>
        <w:t xml:space="preserve"> </w:t>
      </w:r>
      <w:r w:rsidR="008405E3">
        <w:rPr>
          <w:rFonts w:ascii="Garamond" w:hAnsi="Garamond"/>
        </w:rPr>
        <w:t>The Psychometrics Centre,</w:t>
      </w:r>
      <w:r w:rsidRPr="00DA7522">
        <w:rPr>
          <w:rFonts w:ascii="Garamond" w:hAnsi="Garamond"/>
        </w:rPr>
        <w:t xml:space="preserve"> University of Cambridge</w:t>
      </w:r>
    </w:p>
    <w:p w14:paraId="2CC926C3" w14:textId="74D61476" w:rsidR="001C0271" w:rsidRPr="00DA7522" w:rsidRDefault="001C0271" w:rsidP="001C0271">
      <w:pPr>
        <w:rPr>
          <w:rFonts w:ascii="Garamond" w:hAnsi="Garamond"/>
        </w:rPr>
      </w:pPr>
      <w:r w:rsidRPr="00DA7522">
        <w:rPr>
          <w:rFonts w:ascii="Garamond" w:hAnsi="Garamond"/>
          <w:vertAlign w:val="superscript"/>
        </w:rPr>
        <w:t>4</w:t>
      </w:r>
      <w:r w:rsidRPr="00DA7522">
        <w:rPr>
          <w:rFonts w:ascii="Garamond" w:hAnsi="Garamond"/>
        </w:rPr>
        <w:t xml:space="preserve"> Academic </w:t>
      </w:r>
      <w:proofErr w:type="gramStart"/>
      <w:r w:rsidRPr="00DA7522">
        <w:rPr>
          <w:rFonts w:ascii="Garamond" w:hAnsi="Garamond"/>
        </w:rPr>
        <w:t>Department</w:t>
      </w:r>
      <w:proofErr w:type="gramEnd"/>
      <w:r w:rsidRPr="00DA7522">
        <w:rPr>
          <w:rFonts w:ascii="Garamond" w:hAnsi="Garamond"/>
        </w:rPr>
        <w:t xml:space="preserve"> of Psychiatry, Faculty of Medicine, University of Southampton</w:t>
      </w:r>
    </w:p>
    <w:p w14:paraId="5318F338" w14:textId="21E6A6C0" w:rsidR="001C0271" w:rsidRPr="00DA7522" w:rsidRDefault="001C0271" w:rsidP="001C0271">
      <w:pPr>
        <w:rPr>
          <w:rFonts w:ascii="Garamond" w:hAnsi="Garamond"/>
        </w:rPr>
      </w:pPr>
      <w:r w:rsidRPr="00DA7522">
        <w:rPr>
          <w:rFonts w:ascii="Garamond" w:hAnsi="Garamond"/>
          <w:vertAlign w:val="superscript"/>
        </w:rPr>
        <w:t>5</w:t>
      </w:r>
      <w:r w:rsidRPr="00DA7522">
        <w:rPr>
          <w:rFonts w:ascii="Garamond" w:hAnsi="Garamond"/>
        </w:rPr>
        <w:t xml:space="preserve"> Sussex Partnership NHS Trust</w:t>
      </w:r>
    </w:p>
    <w:p w14:paraId="2897E486" w14:textId="76E786A9" w:rsidR="001C0271" w:rsidRPr="00DA7522" w:rsidRDefault="001C0271" w:rsidP="001C0271">
      <w:pPr>
        <w:rPr>
          <w:rFonts w:ascii="Garamond" w:hAnsi="Garamond"/>
        </w:rPr>
      </w:pPr>
      <w:r w:rsidRPr="00DA7522">
        <w:rPr>
          <w:rFonts w:ascii="Garamond" w:hAnsi="Garamond"/>
          <w:vertAlign w:val="superscript"/>
        </w:rPr>
        <w:t>6</w:t>
      </w:r>
      <w:r w:rsidRPr="00DA7522">
        <w:rPr>
          <w:rFonts w:ascii="Garamond" w:hAnsi="Garamond"/>
        </w:rPr>
        <w:t xml:space="preserve"> Department of Experimental Psychology, University of Oxford</w:t>
      </w:r>
    </w:p>
    <w:p w14:paraId="65F14214" w14:textId="7380DFD7" w:rsidR="005109E1" w:rsidRPr="00DA7522" w:rsidRDefault="005109E1" w:rsidP="001C0271">
      <w:pPr>
        <w:rPr>
          <w:rFonts w:ascii="Garamond" w:hAnsi="Garamond"/>
        </w:rPr>
      </w:pPr>
      <w:r w:rsidRPr="00DA7522">
        <w:rPr>
          <w:rFonts w:ascii="Garamond" w:hAnsi="Garamond"/>
          <w:vertAlign w:val="superscript"/>
        </w:rPr>
        <w:t>7</w:t>
      </w:r>
      <w:r w:rsidRPr="00DA7522">
        <w:rPr>
          <w:rFonts w:ascii="Garamond" w:hAnsi="Garamond"/>
        </w:rPr>
        <w:t xml:space="preserve"> Oxford University Hospitals NHS Foundation Trust</w:t>
      </w:r>
    </w:p>
    <w:p w14:paraId="32182E7F" w14:textId="6238CCA7" w:rsidR="005109E1" w:rsidRPr="00DA7522" w:rsidRDefault="005109E1" w:rsidP="001C0271">
      <w:pPr>
        <w:rPr>
          <w:rFonts w:ascii="Garamond" w:hAnsi="Garamond"/>
        </w:rPr>
      </w:pPr>
      <w:r w:rsidRPr="00DA7522">
        <w:rPr>
          <w:rFonts w:ascii="Garamond" w:hAnsi="Garamond"/>
          <w:vertAlign w:val="superscript"/>
        </w:rPr>
        <w:t>8</w:t>
      </w:r>
      <w:r w:rsidRPr="00DA7522">
        <w:rPr>
          <w:rFonts w:ascii="Garamond" w:hAnsi="Garamond"/>
        </w:rPr>
        <w:t xml:space="preserve"> </w:t>
      </w:r>
      <w:proofErr w:type="gramStart"/>
      <w:r w:rsidRPr="00DA7522">
        <w:rPr>
          <w:rFonts w:ascii="Garamond" w:hAnsi="Garamond"/>
        </w:rPr>
        <w:t>Centre</w:t>
      </w:r>
      <w:proofErr w:type="gramEnd"/>
      <w:r w:rsidRPr="00DA7522">
        <w:rPr>
          <w:rFonts w:ascii="Garamond" w:hAnsi="Garamond"/>
        </w:rPr>
        <w:t xml:space="preserve"> for Biostatistics, Institute of Population Health, University of Manchester</w:t>
      </w:r>
    </w:p>
    <w:p w14:paraId="6626BB2C" w14:textId="77777777" w:rsidR="001C0271" w:rsidRDefault="001C0271" w:rsidP="001C0271"/>
    <w:p w14:paraId="7D92CAFF" w14:textId="77777777" w:rsidR="00DA7522" w:rsidRDefault="00DA7522">
      <w:pPr>
        <w:rPr>
          <w:rFonts w:ascii="Garamond" w:hAnsi="Garamond"/>
          <w:b/>
        </w:rPr>
      </w:pPr>
      <w:r>
        <w:rPr>
          <w:rFonts w:ascii="Garamond" w:hAnsi="Garamond"/>
          <w:b/>
        </w:rPr>
        <w:br w:type="page"/>
      </w:r>
    </w:p>
    <w:p w14:paraId="6A53ADA7" w14:textId="6C225E91" w:rsidR="00F94CAE" w:rsidRPr="00A50F9D" w:rsidRDefault="00F94CAE" w:rsidP="007C50A8">
      <w:pPr>
        <w:spacing w:line="360" w:lineRule="auto"/>
        <w:jc w:val="both"/>
        <w:rPr>
          <w:rFonts w:ascii="Garamond" w:hAnsi="Garamond"/>
          <w:b/>
        </w:rPr>
      </w:pPr>
      <w:r w:rsidRPr="00A50F9D">
        <w:rPr>
          <w:rFonts w:ascii="Garamond" w:hAnsi="Garamond"/>
          <w:b/>
        </w:rPr>
        <w:lastRenderedPageBreak/>
        <w:t>ABSTRACT</w:t>
      </w:r>
    </w:p>
    <w:p w14:paraId="189CE907" w14:textId="77777777" w:rsidR="0039119E" w:rsidRDefault="0039119E" w:rsidP="007C50A8">
      <w:pPr>
        <w:spacing w:line="360" w:lineRule="auto"/>
        <w:jc w:val="both"/>
        <w:rPr>
          <w:rFonts w:ascii="Garamond" w:hAnsi="Garamond"/>
          <w:b/>
        </w:rPr>
      </w:pPr>
    </w:p>
    <w:p w14:paraId="50084953" w14:textId="2EC970DA" w:rsidR="004C4384" w:rsidRPr="00A50F9D" w:rsidRDefault="00F94CAE" w:rsidP="007C50A8">
      <w:pPr>
        <w:spacing w:line="360" w:lineRule="auto"/>
        <w:jc w:val="both"/>
        <w:rPr>
          <w:rFonts w:ascii="Garamond" w:hAnsi="Garamond"/>
        </w:rPr>
      </w:pPr>
      <w:r w:rsidRPr="00A50F9D">
        <w:rPr>
          <w:rFonts w:ascii="Garamond" w:hAnsi="Garamond"/>
          <w:b/>
        </w:rPr>
        <w:t>Background:</w:t>
      </w:r>
      <w:r w:rsidRPr="00A50F9D">
        <w:rPr>
          <w:rFonts w:ascii="Garamond" w:hAnsi="Garamond"/>
        </w:rPr>
        <w:t xml:space="preserve"> </w:t>
      </w:r>
      <w:r w:rsidR="00493CDF">
        <w:rPr>
          <w:rFonts w:ascii="Garamond" w:hAnsi="Garamond"/>
        </w:rPr>
        <w:t>The cognitive process of worry</w:t>
      </w:r>
      <w:r w:rsidR="00726555">
        <w:rPr>
          <w:rFonts w:ascii="Garamond" w:hAnsi="Garamond"/>
        </w:rPr>
        <w:t>, which keeps negative thoughts in mind and elaborates the content,</w:t>
      </w:r>
      <w:r w:rsidR="00493CDF">
        <w:rPr>
          <w:rFonts w:ascii="Garamond" w:hAnsi="Garamond"/>
        </w:rPr>
        <w:t xml:space="preserve"> </w:t>
      </w:r>
      <w:r w:rsidR="004C4384" w:rsidRPr="00A50F9D">
        <w:rPr>
          <w:rFonts w:ascii="Garamond" w:hAnsi="Garamond"/>
        </w:rPr>
        <w:t xml:space="preserve">contributes to the occurrence of many </w:t>
      </w:r>
      <w:r w:rsidRPr="00A50F9D">
        <w:rPr>
          <w:rFonts w:ascii="Garamond" w:hAnsi="Garamond"/>
        </w:rPr>
        <w:t xml:space="preserve">mental health disorders. Our principal aim was to </w:t>
      </w:r>
      <w:r w:rsidR="002102A1" w:rsidRPr="00A50F9D">
        <w:rPr>
          <w:rFonts w:ascii="Garamond" w:hAnsi="Garamond"/>
        </w:rPr>
        <w:t>develop</w:t>
      </w:r>
      <w:r w:rsidRPr="00A50F9D">
        <w:rPr>
          <w:rFonts w:ascii="Garamond" w:hAnsi="Garamond"/>
        </w:rPr>
        <w:t xml:space="preserve"> </w:t>
      </w:r>
      <w:r w:rsidR="00493CDF">
        <w:rPr>
          <w:rFonts w:ascii="Garamond" w:hAnsi="Garamond"/>
        </w:rPr>
        <w:t>a straightforward</w:t>
      </w:r>
      <w:r w:rsidRPr="00A50F9D">
        <w:rPr>
          <w:rFonts w:ascii="Garamond" w:hAnsi="Garamond"/>
        </w:rPr>
        <w:t xml:space="preserve"> measure of </w:t>
      </w:r>
      <w:r w:rsidR="002102A1" w:rsidRPr="00A50F9D">
        <w:rPr>
          <w:rFonts w:ascii="Garamond" w:hAnsi="Garamond"/>
        </w:rPr>
        <w:t xml:space="preserve">general </w:t>
      </w:r>
      <w:r w:rsidR="004C4384" w:rsidRPr="00A50F9D">
        <w:rPr>
          <w:rFonts w:ascii="Garamond" w:hAnsi="Garamond"/>
        </w:rPr>
        <w:t>problematic</w:t>
      </w:r>
      <w:r w:rsidRPr="00A50F9D">
        <w:rPr>
          <w:rFonts w:ascii="Garamond" w:hAnsi="Garamond"/>
        </w:rPr>
        <w:t xml:space="preserve"> worry suitable for researc</w:t>
      </w:r>
      <w:r w:rsidR="005C1019">
        <w:rPr>
          <w:rFonts w:ascii="Garamond" w:hAnsi="Garamond"/>
        </w:rPr>
        <w:t>h and clinical treatment</w:t>
      </w:r>
      <w:r w:rsidR="004C4384" w:rsidRPr="00A50F9D">
        <w:rPr>
          <w:rFonts w:ascii="Garamond" w:hAnsi="Garamond"/>
        </w:rPr>
        <w:t xml:space="preserve">. </w:t>
      </w:r>
      <w:r w:rsidR="002102A1" w:rsidRPr="00A50F9D">
        <w:rPr>
          <w:rFonts w:ascii="Garamond" w:hAnsi="Garamond"/>
        </w:rPr>
        <w:t>Our secondary aim was to develop a measure of problematic worry specifically concerning paranoid fears.</w:t>
      </w:r>
      <w:r w:rsidR="00923E7B">
        <w:rPr>
          <w:rFonts w:ascii="Garamond" w:hAnsi="Garamond"/>
        </w:rPr>
        <w:t xml:space="preserve"> </w:t>
      </w:r>
    </w:p>
    <w:p w14:paraId="6F60016F" w14:textId="086EE0DD" w:rsidR="00F94CAE" w:rsidRPr="00A50F9D" w:rsidRDefault="00F94CAE" w:rsidP="007C50A8">
      <w:pPr>
        <w:spacing w:line="360" w:lineRule="auto"/>
        <w:jc w:val="both"/>
        <w:rPr>
          <w:rFonts w:ascii="Garamond" w:hAnsi="Garamond"/>
        </w:rPr>
      </w:pPr>
      <w:r w:rsidRPr="00A50F9D">
        <w:rPr>
          <w:rFonts w:ascii="Garamond" w:hAnsi="Garamond"/>
          <w:b/>
        </w:rPr>
        <w:t>Method</w:t>
      </w:r>
      <w:r w:rsidR="00F8657E">
        <w:rPr>
          <w:rFonts w:ascii="Garamond" w:hAnsi="Garamond"/>
          <w:b/>
        </w:rPr>
        <w:t>s</w:t>
      </w:r>
      <w:r w:rsidRPr="00A50F9D">
        <w:rPr>
          <w:rFonts w:ascii="Garamond" w:hAnsi="Garamond"/>
        </w:rPr>
        <w:t>: An item pool</w:t>
      </w:r>
      <w:r w:rsidR="00210624" w:rsidRPr="00A50F9D">
        <w:rPr>
          <w:rFonts w:ascii="Garamond" w:hAnsi="Garamond"/>
        </w:rPr>
        <w:t xml:space="preserve"> concerning worry in the past month</w:t>
      </w:r>
      <w:r w:rsidRPr="00A50F9D">
        <w:rPr>
          <w:rFonts w:ascii="Garamond" w:hAnsi="Garamond"/>
        </w:rPr>
        <w:t xml:space="preserve"> was evaluated in 250 non-clinical </w:t>
      </w:r>
      <w:r w:rsidR="002102A1" w:rsidRPr="00A50F9D">
        <w:rPr>
          <w:rFonts w:ascii="Garamond" w:hAnsi="Garamond"/>
        </w:rPr>
        <w:t>individuals</w:t>
      </w:r>
      <w:r w:rsidRPr="00A50F9D">
        <w:rPr>
          <w:rFonts w:ascii="Garamond" w:hAnsi="Garamond"/>
        </w:rPr>
        <w:t xml:space="preserve"> and 50 patients with p</w:t>
      </w:r>
      <w:r w:rsidR="004C4384" w:rsidRPr="00A50F9D">
        <w:rPr>
          <w:rFonts w:ascii="Garamond" w:hAnsi="Garamond"/>
        </w:rPr>
        <w:t>s</w:t>
      </w:r>
      <w:r w:rsidR="002102A1" w:rsidRPr="00A50F9D">
        <w:rPr>
          <w:rFonts w:ascii="Garamond" w:hAnsi="Garamond"/>
        </w:rPr>
        <w:t xml:space="preserve">ychosis in a </w:t>
      </w:r>
      <w:r w:rsidR="00210624" w:rsidRPr="00A50F9D">
        <w:rPr>
          <w:rFonts w:ascii="Garamond" w:hAnsi="Garamond"/>
        </w:rPr>
        <w:t xml:space="preserve">worry </w:t>
      </w:r>
      <w:r w:rsidR="002102A1" w:rsidRPr="00A50F9D">
        <w:rPr>
          <w:rFonts w:ascii="Garamond" w:hAnsi="Garamond"/>
        </w:rPr>
        <w:t>treatment trial</w:t>
      </w:r>
      <w:r w:rsidRPr="00A50F9D">
        <w:rPr>
          <w:rFonts w:ascii="Garamond" w:hAnsi="Garamond"/>
        </w:rPr>
        <w:t xml:space="preserve">. </w:t>
      </w:r>
      <w:r w:rsidR="00D331C4" w:rsidRPr="00A50F9D">
        <w:rPr>
          <w:rFonts w:ascii="Garamond" w:hAnsi="Garamond"/>
        </w:rPr>
        <w:t xml:space="preserve">Exploratory factor analysis and Item Response </w:t>
      </w:r>
      <w:r w:rsidR="008405E3">
        <w:rPr>
          <w:rFonts w:ascii="Garamond" w:hAnsi="Garamond"/>
        </w:rPr>
        <w:t>T</w:t>
      </w:r>
      <w:r w:rsidR="00D331C4" w:rsidRPr="00A50F9D">
        <w:rPr>
          <w:rFonts w:ascii="Garamond" w:hAnsi="Garamond"/>
        </w:rPr>
        <w:t>heory (IRT) inform</w:t>
      </w:r>
      <w:r w:rsidR="00E802A1">
        <w:rPr>
          <w:rFonts w:ascii="Garamond" w:hAnsi="Garamond"/>
        </w:rPr>
        <w:t>ed</w:t>
      </w:r>
      <w:r w:rsidR="00D331C4" w:rsidRPr="00A50F9D">
        <w:rPr>
          <w:rFonts w:ascii="Garamond" w:hAnsi="Garamond"/>
        </w:rPr>
        <w:t xml:space="preserve"> the selection of </w:t>
      </w:r>
      <w:r w:rsidR="00726555">
        <w:rPr>
          <w:rFonts w:ascii="Garamond" w:hAnsi="Garamond"/>
        </w:rPr>
        <w:t xml:space="preserve">scale </w:t>
      </w:r>
      <w:r w:rsidR="00D331C4" w:rsidRPr="00A50F9D">
        <w:rPr>
          <w:rFonts w:ascii="Garamond" w:hAnsi="Garamond"/>
        </w:rPr>
        <w:t>items. IRT analyses were repeated with</w:t>
      </w:r>
      <w:r w:rsidR="00E4577D">
        <w:rPr>
          <w:rFonts w:ascii="Garamond" w:hAnsi="Garamond"/>
        </w:rPr>
        <w:t xml:space="preserve"> the scales administered to</w:t>
      </w:r>
      <w:r w:rsidR="002102A1" w:rsidRPr="00A50F9D">
        <w:rPr>
          <w:rFonts w:ascii="Garamond" w:hAnsi="Garamond"/>
        </w:rPr>
        <w:t xml:space="preserve"> 273 non-clinical individuals, 79 patients with psychosis, and 93 patients with social anxiety disorder</w:t>
      </w:r>
      <w:r w:rsidRPr="00A50F9D">
        <w:rPr>
          <w:rFonts w:ascii="Garamond" w:hAnsi="Garamond"/>
        </w:rPr>
        <w:t>.</w:t>
      </w:r>
      <w:r w:rsidR="00210624" w:rsidRPr="00A50F9D">
        <w:rPr>
          <w:rFonts w:ascii="Garamond" w:hAnsi="Garamond"/>
        </w:rPr>
        <w:t xml:space="preserve"> Other clinical measures were administered to assess concurrent validity.</w:t>
      </w:r>
      <w:r w:rsidR="00D331C4" w:rsidRPr="00A50F9D">
        <w:t xml:space="preserve"> </w:t>
      </w:r>
      <w:r w:rsidR="00726555">
        <w:rPr>
          <w:rFonts w:ascii="Garamond" w:hAnsi="Garamond"/>
        </w:rPr>
        <w:t>Test-retest reliability was assessed with 7</w:t>
      </w:r>
      <w:r w:rsidR="00A6020C">
        <w:rPr>
          <w:rFonts w:ascii="Garamond" w:hAnsi="Garamond"/>
        </w:rPr>
        <w:t>5</w:t>
      </w:r>
      <w:r w:rsidR="00D331C4" w:rsidRPr="00A50F9D">
        <w:rPr>
          <w:rFonts w:ascii="Garamond" w:hAnsi="Garamond"/>
        </w:rPr>
        <w:t xml:space="preserve"> participants</w:t>
      </w:r>
      <w:r w:rsidR="00C65BA5">
        <w:rPr>
          <w:rFonts w:ascii="Garamond" w:hAnsi="Garamond"/>
        </w:rPr>
        <w:t>.</w:t>
      </w:r>
      <w:r w:rsidR="005C1019">
        <w:rPr>
          <w:rFonts w:ascii="Garamond" w:hAnsi="Garamond"/>
        </w:rPr>
        <w:t xml:space="preserve"> Sensitivity to change was assessed with 43 patients with psychosis.</w:t>
      </w:r>
    </w:p>
    <w:p w14:paraId="49F05BFF" w14:textId="69FD3B14" w:rsidR="003E0208" w:rsidRDefault="00F94CAE" w:rsidP="007C50A8">
      <w:pPr>
        <w:spacing w:line="360" w:lineRule="auto"/>
        <w:jc w:val="both"/>
        <w:rPr>
          <w:rFonts w:ascii="Garamond" w:hAnsi="Garamond"/>
        </w:rPr>
      </w:pPr>
      <w:r w:rsidRPr="00A50F9D">
        <w:rPr>
          <w:rFonts w:ascii="Garamond" w:hAnsi="Garamond"/>
          <w:b/>
        </w:rPr>
        <w:t>Results</w:t>
      </w:r>
      <w:r w:rsidRPr="00A50F9D">
        <w:rPr>
          <w:rFonts w:ascii="Garamond" w:hAnsi="Garamond"/>
        </w:rPr>
        <w:t>:</w:t>
      </w:r>
      <w:r w:rsidR="00210624" w:rsidRPr="00A50F9D">
        <w:rPr>
          <w:rFonts w:ascii="Garamond" w:hAnsi="Garamond"/>
        </w:rPr>
        <w:t xml:space="preserve"> A ten-item general worry </w:t>
      </w:r>
      <w:r w:rsidR="00E802A1">
        <w:rPr>
          <w:rFonts w:ascii="Garamond" w:hAnsi="Garamond"/>
        </w:rPr>
        <w:t>scale</w:t>
      </w:r>
      <w:r w:rsidR="00C65BA5">
        <w:rPr>
          <w:rFonts w:ascii="Garamond" w:hAnsi="Garamond"/>
        </w:rPr>
        <w:t xml:space="preserve"> (Dunn Worry Questionnaire; DWQ)</w:t>
      </w:r>
      <w:r w:rsidR="00E802A1">
        <w:rPr>
          <w:rFonts w:ascii="Garamond" w:hAnsi="Garamond"/>
        </w:rPr>
        <w:t xml:space="preserve"> </w:t>
      </w:r>
      <w:r w:rsidR="00210624" w:rsidRPr="00A50F9D">
        <w:rPr>
          <w:rFonts w:ascii="Garamond" w:hAnsi="Garamond"/>
        </w:rPr>
        <w:t xml:space="preserve">and a five-item paranoia worry </w:t>
      </w:r>
      <w:r w:rsidR="00224F44">
        <w:rPr>
          <w:rFonts w:ascii="Garamond" w:hAnsi="Garamond"/>
        </w:rPr>
        <w:t xml:space="preserve">scale </w:t>
      </w:r>
      <w:r w:rsidR="00C65BA5">
        <w:rPr>
          <w:rFonts w:ascii="Garamond" w:hAnsi="Garamond"/>
        </w:rPr>
        <w:t xml:space="preserve">(Paranoia Worries Questionnaire; PWQ) </w:t>
      </w:r>
      <w:r w:rsidR="00210624" w:rsidRPr="00A50F9D">
        <w:rPr>
          <w:rFonts w:ascii="Garamond" w:hAnsi="Garamond"/>
        </w:rPr>
        <w:t xml:space="preserve">were developed. </w:t>
      </w:r>
      <w:r w:rsidR="00637CE6">
        <w:rPr>
          <w:rFonts w:ascii="Garamond" w:hAnsi="Garamond"/>
        </w:rPr>
        <w:t xml:space="preserve">All items were highly discriminative </w:t>
      </w:r>
      <w:r w:rsidR="00637CE6" w:rsidRPr="00C65BA5">
        <w:rPr>
          <w:rFonts w:ascii="Garamond" w:hAnsi="Garamond"/>
        </w:rPr>
        <w:t>(</w:t>
      </w:r>
      <w:r w:rsidR="00637CE6">
        <w:rPr>
          <w:rFonts w:ascii="Garamond" w:hAnsi="Garamond"/>
        </w:rPr>
        <w:t xml:space="preserve">DWQ </w:t>
      </w:r>
      <w:r w:rsidR="00637CE6" w:rsidRPr="000F62A6">
        <w:rPr>
          <w:rFonts w:ascii="Garamond" w:hAnsi="Garamond"/>
          <w:i/>
        </w:rPr>
        <w:t>a</w:t>
      </w:r>
      <w:r w:rsidR="00637CE6" w:rsidRPr="00C65BA5">
        <w:rPr>
          <w:rFonts w:ascii="Garamond" w:hAnsi="Garamond"/>
        </w:rPr>
        <w:t>=</w:t>
      </w:r>
      <w:r w:rsidR="00C231FE" w:rsidRPr="00C231FE">
        <w:rPr>
          <w:rFonts w:ascii="Garamond" w:hAnsi="Garamond"/>
        </w:rPr>
        <w:t>1.98-5.03</w:t>
      </w:r>
      <w:r w:rsidR="00637CE6">
        <w:rPr>
          <w:rFonts w:ascii="Garamond" w:hAnsi="Garamond"/>
        </w:rPr>
        <w:t xml:space="preserve">; PWQ </w:t>
      </w:r>
      <w:r w:rsidR="00637CE6" w:rsidRPr="000F62A6">
        <w:rPr>
          <w:rFonts w:ascii="Garamond" w:hAnsi="Garamond"/>
          <w:i/>
        </w:rPr>
        <w:t>a</w:t>
      </w:r>
      <w:r w:rsidR="00637CE6" w:rsidRPr="00C65BA5">
        <w:rPr>
          <w:rFonts w:ascii="Garamond" w:hAnsi="Garamond"/>
        </w:rPr>
        <w:t>=</w:t>
      </w:r>
      <w:r w:rsidR="00C231FE" w:rsidRPr="00C231FE">
        <w:rPr>
          <w:rFonts w:ascii="Garamond" w:hAnsi="Garamond"/>
        </w:rPr>
        <w:t>4.10-10.7</w:t>
      </w:r>
      <w:bookmarkStart w:id="0" w:name="_GoBack"/>
      <w:bookmarkEnd w:id="0"/>
      <w:r w:rsidR="00637CE6" w:rsidRPr="00C65BA5">
        <w:rPr>
          <w:rFonts w:ascii="Garamond" w:hAnsi="Garamond"/>
        </w:rPr>
        <w:t>)</w:t>
      </w:r>
      <w:r w:rsidR="00637CE6">
        <w:rPr>
          <w:rFonts w:ascii="Garamond" w:hAnsi="Garamond"/>
        </w:rPr>
        <w:t xml:space="preserve">, indicating </w:t>
      </w:r>
      <w:r w:rsidR="00927CE9">
        <w:rPr>
          <w:rFonts w:ascii="Garamond" w:hAnsi="Garamond"/>
        </w:rPr>
        <w:t>small i</w:t>
      </w:r>
      <w:r w:rsidR="00637CE6">
        <w:rPr>
          <w:rFonts w:ascii="Garamond" w:hAnsi="Garamond"/>
        </w:rPr>
        <w:t>ncrease</w:t>
      </w:r>
      <w:r w:rsidR="00927CE9">
        <w:rPr>
          <w:rFonts w:ascii="Garamond" w:hAnsi="Garamond"/>
        </w:rPr>
        <w:t>s</w:t>
      </w:r>
      <w:r w:rsidR="00637CE6">
        <w:rPr>
          <w:rFonts w:ascii="Garamond" w:hAnsi="Garamond"/>
        </w:rPr>
        <w:t xml:space="preserve"> in latent worry lead to a high probability of item endorsement. The DWQ </w:t>
      </w:r>
      <w:r w:rsidR="00927CE9">
        <w:rPr>
          <w:rFonts w:ascii="Garamond" w:hAnsi="Garamond"/>
        </w:rPr>
        <w:t>was highly informative across a wide range of the worry distribution, whilst the PWQ had greate</w:t>
      </w:r>
      <w:r w:rsidR="002F1B3B">
        <w:rPr>
          <w:rFonts w:ascii="Garamond" w:hAnsi="Garamond"/>
        </w:rPr>
        <w:t>st</w:t>
      </w:r>
      <w:r w:rsidR="00927CE9">
        <w:rPr>
          <w:rFonts w:ascii="Garamond" w:hAnsi="Garamond"/>
        </w:rPr>
        <w:t xml:space="preserve"> precision at </w:t>
      </w:r>
      <w:r w:rsidR="00C17514">
        <w:rPr>
          <w:rFonts w:ascii="Garamond" w:hAnsi="Garamond"/>
        </w:rPr>
        <w:t xml:space="preserve">clinical </w:t>
      </w:r>
      <w:r w:rsidR="00927CE9">
        <w:rPr>
          <w:rFonts w:ascii="Garamond" w:hAnsi="Garamond"/>
        </w:rPr>
        <w:t xml:space="preserve">levels of paranoia worry. </w:t>
      </w:r>
      <w:r w:rsidR="003E0208">
        <w:rPr>
          <w:rFonts w:ascii="Garamond" w:hAnsi="Garamond"/>
        </w:rPr>
        <w:t xml:space="preserve">The scales demonstrated excellent internal </w:t>
      </w:r>
      <w:r w:rsidR="005C1019">
        <w:rPr>
          <w:rFonts w:ascii="Garamond" w:hAnsi="Garamond"/>
        </w:rPr>
        <w:t xml:space="preserve">reliability, </w:t>
      </w:r>
      <w:r w:rsidR="003E0208">
        <w:rPr>
          <w:rFonts w:ascii="Garamond" w:hAnsi="Garamond"/>
        </w:rPr>
        <w:t xml:space="preserve">test-retest </w:t>
      </w:r>
      <w:r w:rsidR="005C1019">
        <w:rPr>
          <w:rFonts w:ascii="Garamond" w:hAnsi="Garamond"/>
        </w:rPr>
        <w:t xml:space="preserve">reliability, </w:t>
      </w:r>
      <w:r w:rsidR="003E0208">
        <w:rPr>
          <w:rFonts w:ascii="Garamond" w:hAnsi="Garamond"/>
        </w:rPr>
        <w:t>concurrent validity</w:t>
      </w:r>
      <w:r w:rsidR="005C1019">
        <w:rPr>
          <w:rFonts w:ascii="Garamond" w:hAnsi="Garamond"/>
        </w:rPr>
        <w:t>, and sensitivity to change</w:t>
      </w:r>
      <w:r w:rsidR="003E0208">
        <w:rPr>
          <w:rFonts w:ascii="Garamond" w:hAnsi="Garamond"/>
        </w:rPr>
        <w:t xml:space="preserve">. </w:t>
      </w:r>
    </w:p>
    <w:p w14:paraId="34AB900B" w14:textId="1D4E1339" w:rsidR="003E0208" w:rsidRPr="000F62A6" w:rsidRDefault="00F94CAE" w:rsidP="007C50A8">
      <w:pPr>
        <w:spacing w:line="360" w:lineRule="auto"/>
        <w:jc w:val="both"/>
        <w:rPr>
          <w:rFonts w:ascii="Garamond" w:hAnsi="Garamond"/>
        </w:rPr>
      </w:pPr>
      <w:r w:rsidRPr="00A50F9D">
        <w:rPr>
          <w:rFonts w:ascii="Garamond" w:hAnsi="Garamond"/>
          <w:b/>
        </w:rPr>
        <w:t xml:space="preserve">Conclusions: </w:t>
      </w:r>
      <w:r w:rsidR="003E0208">
        <w:rPr>
          <w:rFonts w:ascii="Garamond" w:hAnsi="Garamond"/>
        </w:rPr>
        <w:t xml:space="preserve">The new measures </w:t>
      </w:r>
      <w:r w:rsidR="005C1019">
        <w:rPr>
          <w:rFonts w:ascii="Garamond" w:hAnsi="Garamond"/>
        </w:rPr>
        <w:t xml:space="preserve">of </w:t>
      </w:r>
      <w:r w:rsidR="005C1019" w:rsidRPr="005C1019">
        <w:rPr>
          <w:rFonts w:ascii="Garamond" w:hAnsi="Garamond"/>
        </w:rPr>
        <w:t>general problematic worry and worr</w:t>
      </w:r>
      <w:r w:rsidR="005C1019">
        <w:rPr>
          <w:rFonts w:ascii="Garamond" w:hAnsi="Garamond"/>
        </w:rPr>
        <w:t>y about paranoid fears</w:t>
      </w:r>
      <w:r w:rsidR="005C1019" w:rsidRPr="005C1019">
        <w:rPr>
          <w:rFonts w:ascii="Garamond" w:hAnsi="Garamond"/>
        </w:rPr>
        <w:t xml:space="preserve"> </w:t>
      </w:r>
      <w:r w:rsidR="003E0208">
        <w:rPr>
          <w:rFonts w:ascii="Garamond" w:hAnsi="Garamond"/>
        </w:rPr>
        <w:t xml:space="preserve">have excellent psychometric properties. </w:t>
      </w:r>
    </w:p>
    <w:p w14:paraId="010B3974" w14:textId="77777777" w:rsidR="00F94CAE" w:rsidRPr="00A50F9D" w:rsidRDefault="00F94CAE" w:rsidP="007C50A8">
      <w:pPr>
        <w:spacing w:line="360" w:lineRule="auto"/>
        <w:jc w:val="both"/>
        <w:rPr>
          <w:rFonts w:ascii="Garamond" w:hAnsi="Garamond"/>
        </w:rPr>
      </w:pPr>
    </w:p>
    <w:p w14:paraId="3AA1A7EE" w14:textId="7C31EEDA" w:rsidR="006C004E" w:rsidRPr="006C004E" w:rsidRDefault="006C004E" w:rsidP="007C50A8">
      <w:pPr>
        <w:spacing w:line="360" w:lineRule="auto"/>
        <w:rPr>
          <w:rFonts w:ascii="Garamond" w:hAnsi="Garamond"/>
          <w:b/>
          <w:sz w:val="24"/>
          <w:szCs w:val="24"/>
        </w:rPr>
      </w:pPr>
      <w:r w:rsidRPr="006C004E">
        <w:rPr>
          <w:rFonts w:ascii="Garamond" w:hAnsi="Garamond"/>
          <w:b/>
          <w:sz w:val="24"/>
          <w:szCs w:val="24"/>
        </w:rPr>
        <w:br w:type="page"/>
      </w:r>
    </w:p>
    <w:p w14:paraId="6C81909D" w14:textId="57B43FD8" w:rsidR="00AC5BEF" w:rsidRPr="00AB0C08" w:rsidRDefault="00F94CAE" w:rsidP="007C50A8">
      <w:pPr>
        <w:spacing w:line="360" w:lineRule="auto"/>
        <w:rPr>
          <w:rFonts w:ascii="Garamond" w:hAnsi="Garamond"/>
          <w:b/>
        </w:rPr>
      </w:pPr>
      <w:r w:rsidRPr="00AB0C08">
        <w:rPr>
          <w:rFonts w:ascii="Garamond" w:hAnsi="Garamond"/>
          <w:b/>
        </w:rPr>
        <w:lastRenderedPageBreak/>
        <w:t>INTRODUCTION</w:t>
      </w:r>
    </w:p>
    <w:p w14:paraId="29C5CFA2" w14:textId="77777777" w:rsidR="00AC5BEF" w:rsidRDefault="00AC5BEF" w:rsidP="007C50A8">
      <w:pPr>
        <w:spacing w:line="360" w:lineRule="auto"/>
        <w:jc w:val="both"/>
        <w:rPr>
          <w:rFonts w:ascii="Garamond" w:hAnsi="Garamond"/>
        </w:rPr>
      </w:pPr>
    </w:p>
    <w:p w14:paraId="3D7EC722" w14:textId="104226AB" w:rsidR="00527ED1" w:rsidRPr="00AB0C08" w:rsidRDefault="00F7309D" w:rsidP="007C50A8">
      <w:pPr>
        <w:spacing w:line="360" w:lineRule="auto"/>
        <w:jc w:val="both"/>
        <w:rPr>
          <w:rFonts w:ascii="Garamond" w:hAnsi="Garamond"/>
        </w:rPr>
      </w:pPr>
      <w:r>
        <w:rPr>
          <w:rFonts w:ascii="Garamond" w:hAnsi="Garamond"/>
        </w:rPr>
        <w:t>Excessive w</w:t>
      </w:r>
      <w:r w:rsidR="00527ED1">
        <w:rPr>
          <w:rFonts w:ascii="Garamond" w:hAnsi="Garamond"/>
        </w:rPr>
        <w:t xml:space="preserve">orry is identified as a contributory causal factor in </w:t>
      </w:r>
      <w:r w:rsidR="005C4A4A">
        <w:rPr>
          <w:rFonts w:ascii="Garamond" w:hAnsi="Garamond"/>
        </w:rPr>
        <w:t>many</w:t>
      </w:r>
      <w:r w:rsidR="00527ED1">
        <w:rPr>
          <w:rFonts w:ascii="Garamond" w:hAnsi="Garamond"/>
        </w:rPr>
        <w:t xml:space="preserve"> mental health disorders, including </w:t>
      </w:r>
      <w:r w:rsidR="00491B98">
        <w:rPr>
          <w:rFonts w:ascii="Garamond" w:hAnsi="Garamond"/>
        </w:rPr>
        <w:t xml:space="preserve">anxiety </w:t>
      </w:r>
      <w:r w:rsidR="00527ED1">
        <w:rPr>
          <w:rFonts w:ascii="Garamond" w:hAnsi="Garamond"/>
        </w:rPr>
        <w:t>(</w:t>
      </w:r>
      <w:proofErr w:type="spellStart"/>
      <w:r w:rsidR="00743B19">
        <w:rPr>
          <w:rFonts w:ascii="Garamond" w:hAnsi="Garamond"/>
        </w:rPr>
        <w:t>Borkovec</w:t>
      </w:r>
      <w:proofErr w:type="spellEnd"/>
      <w:r w:rsidR="00743B19">
        <w:rPr>
          <w:rFonts w:ascii="Garamond" w:hAnsi="Garamond"/>
        </w:rPr>
        <w:t xml:space="preserve"> </w:t>
      </w:r>
      <w:r w:rsidR="00743B19" w:rsidRPr="00743B19">
        <w:rPr>
          <w:rFonts w:ascii="Garamond" w:hAnsi="Garamond"/>
        </w:rPr>
        <w:t xml:space="preserve">&amp; </w:t>
      </w:r>
      <w:proofErr w:type="spellStart"/>
      <w:r w:rsidR="00743B19" w:rsidRPr="00743B19">
        <w:rPr>
          <w:rFonts w:ascii="Garamond" w:hAnsi="Garamond"/>
        </w:rPr>
        <w:t>Inz</w:t>
      </w:r>
      <w:proofErr w:type="spellEnd"/>
      <w:r w:rsidR="00743B19">
        <w:rPr>
          <w:rFonts w:ascii="Garamond" w:hAnsi="Garamond"/>
        </w:rPr>
        <w:t>, 1990</w:t>
      </w:r>
      <w:r w:rsidR="00527ED1">
        <w:rPr>
          <w:rFonts w:ascii="Garamond" w:hAnsi="Garamond"/>
        </w:rPr>
        <w:t>), depression (</w:t>
      </w:r>
      <w:r w:rsidR="00491B98">
        <w:rPr>
          <w:rFonts w:ascii="Garamond" w:hAnsi="Garamond"/>
        </w:rPr>
        <w:t>Watkins, 2008</w:t>
      </w:r>
      <w:r w:rsidR="00527ED1">
        <w:rPr>
          <w:rFonts w:ascii="Garamond" w:hAnsi="Garamond"/>
        </w:rPr>
        <w:t xml:space="preserve">), </w:t>
      </w:r>
      <w:r w:rsidR="00491B98">
        <w:rPr>
          <w:rFonts w:ascii="Garamond" w:hAnsi="Garamond"/>
        </w:rPr>
        <w:t>eating disorders (</w:t>
      </w:r>
      <w:proofErr w:type="spellStart"/>
      <w:r w:rsidR="00491B98" w:rsidRPr="00491B98">
        <w:rPr>
          <w:rFonts w:ascii="Garamond" w:hAnsi="Garamond"/>
        </w:rPr>
        <w:t>Sternheim</w:t>
      </w:r>
      <w:proofErr w:type="spellEnd"/>
      <w:r w:rsidR="00491B98">
        <w:rPr>
          <w:rFonts w:ascii="Garamond" w:hAnsi="Garamond"/>
        </w:rPr>
        <w:t xml:space="preserve"> et al., 2012) </w:t>
      </w:r>
      <w:r w:rsidR="00527ED1">
        <w:rPr>
          <w:rFonts w:ascii="Garamond" w:hAnsi="Garamond"/>
        </w:rPr>
        <w:t xml:space="preserve">and persecutory delusions (Freeman, 2016). Our view is that </w:t>
      </w:r>
      <w:r w:rsidR="00EA0FD3">
        <w:rPr>
          <w:rFonts w:ascii="Garamond" w:hAnsi="Garamond"/>
        </w:rPr>
        <w:t xml:space="preserve">worry brings </w:t>
      </w:r>
      <w:r w:rsidR="00527ED1">
        <w:rPr>
          <w:rFonts w:ascii="Garamond" w:hAnsi="Garamond"/>
        </w:rPr>
        <w:t xml:space="preserve">fearful ideas to mind, </w:t>
      </w:r>
      <w:r w:rsidR="00EA0FD3">
        <w:rPr>
          <w:rFonts w:ascii="Garamond" w:hAnsi="Garamond"/>
        </w:rPr>
        <w:t xml:space="preserve">keeps them there, </w:t>
      </w:r>
      <w:r w:rsidR="00022E5E">
        <w:rPr>
          <w:rFonts w:ascii="Garamond" w:hAnsi="Garamond"/>
        </w:rPr>
        <w:t xml:space="preserve">and </w:t>
      </w:r>
      <w:r w:rsidR="00EA0FD3">
        <w:rPr>
          <w:rFonts w:ascii="Garamond" w:hAnsi="Garamond"/>
        </w:rPr>
        <w:t>elaborates the content</w:t>
      </w:r>
      <w:r w:rsidR="00022E5E">
        <w:rPr>
          <w:rFonts w:ascii="Garamond" w:hAnsi="Garamond"/>
        </w:rPr>
        <w:t>. Distress escalates</w:t>
      </w:r>
      <w:r w:rsidR="00D6123E">
        <w:rPr>
          <w:rFonts w:ascii="Garamond" w:hAnsi="Garamond"/>
        </w:rPr>
        <w:t xml:space="preserve"> and f</w:t>
      </w:r>
      <w:r w:rsidR="00022E5E">
        <w:rPr>
          <w:rFonts w:ascii="Garamond" w:hAnsi="Garamond"/>
        </w:rPr>
        <w:t>eared</w:t>
      </w:r>
      <w:r w:rsidR="00EA0FD3">
        <w:rPr>
          <w:rFonts w:ascii="Garamond" w:hAnsi="Garamond"/>
        </w:rPr>
        <w:t xml:space="preserve"> </w:t>
      </w:r>
      <w:r w:rsidR="00022E5E">
        <w:rPr>
          <w:rFonts w:ascii="Garamond" w:hAnsi="Garamond"/>
        </w:rPr>
        <w:t xml:space="preserve">outcomes </w:t>
      </w:r>
      <w:r w:rsidR="00D6123E">
        <w:rPr>
          <w:rFonts w:ascii="Garamond" w:hAnsi="Garamond"/>
        </w:rPr>
        <w:t>are judged as more likely to occur</w:t>
      </w:r>
      <w:r w:rsidR="00527ED1">
        <w:rPr>
          <w:rFonts w:ascii="Garamond" w:hAnsi="Garamond"/>
        </w:rPr>
        <w:t>.</w:t>
      </w:r>
      <w:r w:rsidR="0022508E">
        <w:rPr>
          <w:rFonts w:ascii="Garamond" w:hAnsi="Garamond"/>
        </w:rPr>
        <w:t xml:space="preserve"> </w:t>
      </w:r>
      <w:r w:rsidR="005C4A4A">
        <w:rPr>
          <w:rFonts w:ascii="Garamond" w:hAnsi="Garamond"/>
        </w:rPr>
        <w:t xml:space="preserve">We consider </w:t>
      </w:r>
      <w:r w:rsidR="00B076A8" w:rsidRPr="00B076A8">
        <w:rPr>
          <w:rFonts w:ascii="Garamond" w:hAnsi="Garamond"/>
        </w:rPr>
        <w:t xml:space="preserve">problematic worry </w:t>
      </w:r>
      <w:r w:rsidR="005C4A4A">
        <w:rPr>
          <w:rFonts w:ascii="Garamond" w:hAnsi="Garamond"/>
        </w:rPr>
        <w:t>to</w:t>
      </w:r>
      <w:r w:rsidR="00B076A8" w:rsidRPr="00B076A8">
        <w:rPr>
          <w:rFonts w:ascii="Garamond" w:hAnsi="Garamond"/>
        </w:rPr>
        <w:t xml:space="preserve"> comprise: </w:t>
      </w:r>
      <w:r>
        <w:rPr>
          <w:rFonts w:ascii="Garamond" w:hAnsi="Garamond"/>
        </w:rPr>
        <w:t xml:space="preserve">repeated thinking about problems </w:t>
      </w:r>
      <w:r w:rsidRPr="00F7309D">
        <w:rPr>
          <w:rFonts w:ascii="Garamond" w:hAnsi="Garamond"/>
        </w:rPr>
        <w:t>that cause anxiety about the future</w:t>
      </w:r>
      <w:r w:rsidR="00B076A8" w:rsidRPr="00B076A8">
        <w:rPr>
          <w:rFonts w:ascii="Garamond" w:hAnsi="Garamond"/>
        </w:rPr>
        <w:t xml:space="preserve">; </w:t>
      </w:r>
      <w:r>
        <w:rPr>
          <w:rFonts w:ascii="Garamond" w:hAnsi="Garamond"/>
        </w:rPr>
        <w:t xml:space="preserve">a </w:t>
      </w:r>
      <w:r w:rsidR="00B076A8" w:rsidRPr="00B076A8">
        <w:rPr>
          <w:rFonts w:ascii="Garamond" w:hAnsi="Garamond"/>
        </w:rPr>
        <w:t xml:space="preserve">focus on potential things that could go wrong; problems </w:t>
      </w:r>
      <w:r>
        <w:rPr>
          <w:rFonts w:ascii="Garamond" w:hAnsi="Garamond"/>
        </w:rPr>
        <w:t>being</w:t>
      </w:r>
      <w:r w:rsidR="00B076A8" w:rsidRPr="00B076A8">
        <w:rPr>
          <w:rFonts w:ascii="Garamond" w:hAnsi="Garamond"/>
        </w:rPr>
        <w:t xml:space="preserve"> catastrophized; a </w:t>
      </w:r>
      <w:r w:rsidR="005C4A4A">
        <w:rPr>
          <w:rFonts w:ascii="Garamond" w:hAnsi="Garamond"/>
        </w:rPr>
        <w:t>belief</w:t>
      </w:r>
      <w:r w:rsidR="00B076A8" w:rsidRPr="00B076A8">
        <w:rPr>
          <w:rFonts w:ascii="Garamond" w:hAnsi="Garamond"/>
        </w:rPr>
        <w:t xml:space="preserve"> of lack of control over the thinking process; and </w:t>
      </w:r>
      <w:r w:rsidR="005C4A4A">
        <w:rPr>
          <w:rFonts w:ascii="Garamond" w:hAnsi="Garamond"/>
        </w:rPr>
        <w:t xml:space="preserve">interference in activities and </w:t>
      </w:r>
      <w:r w:rsidR="00B076A8" w:rsidRPr="00B076A8">
        <w:rPr>
          <w:rFonts w:ascii="Garamond" w:hAnsi="Garamond"/>
        </w:rPr>
        <w:t>distres</w:t>
      </w:r>
      <w:r w:rsidR="005C4A4A">
        <w:rPr>
          <w:rFonts w:ascii="Garamond" w:hAnsi="Garamond"/>
        </w:rPr>
        <w:t>s</w:t>
      </w:r>
      <w:r w:rsidR="00B076A8" w:rsidRPr="00B076A8">
        <w:rPr>
          <w:rFonts w:ascii="Garamond" w:hAnsi="Garamond"/>
        </w:rPr>
        <w:t>.</w:t>
      </w:r>
      <w:r w:rsidR="00B076A8">
        <w:rPr>
          <w:rFonts w:ascii="Garamond" w:hAnsi="Garamond"/>
        </w:rPr>
        <w:t xml:space="preserve"> We wished to develop a new measure that </w:t>
      </w:r>
      <w:r>
        <w:rPr>
          <w:rFonts w:ascii="Garamond" w:hAnsi="Garamond"/>
        </w:rPr>
        <w:t>a</w:t>
      </w:r>
      <w:r w:rsidR="00B076A8">
        <w:rPr>
          <w:rFonts w:ascii="Garamond" w:hAnsi="Garamond"/>
        </w:rPr>
        <w:t>ssess</w:t>
      </w:r>
      <w:r>
        <w:rPr>
          <w:rFonts w:ascii="Garamond" w:hAnsi="Garamond"/>
        </w:rPr>
        <w:t>es</w:t>
      </w:r>
      <w:r w:rsidR="00B076A8">
        <w:rPr>
          <w:rFonts w:ascii="Garamond" w:hAnsi="Garamond"/>
        </w:rPr>
        <w:t xml:space="preserve"> current levels of </w:t>
      </w:r>
      <w:r w:rsidR="00BE4B7E">
        <w:rPr>
          <w:rFonts w:ascii="Garamond" w:hAnsi="Garamond"/>
        </w:rPr>
        <w:t xml:space="preserve">problematic </w:t>
      </w:r>
      <w:r w:rsidR="00B076A8">
        <w:rPr>
          <w:rFonts w:ascii="Garamond" w:hAnsi="Garamond"/>
        </w:rPr>
        <w:t>worry across the spectrum of severity</w:t>
      </w:r>
      <w:r w:rsidR="005C4A4A">
        <w:rPr>
          <w:rFonts w:ascii="Garamond" w:hAnsi="Garamond"/>
        </w:rPr>
        <w:t xml:space="preserve"> in the population</w:t>
      </w:r>
      <w:r w:rsidR="00B076A8">
        <w:rPr>
          <w:rFonts w:ascii="Garamond" w:hAnsi="Garamond"/>
        </w:rPr>
        <w:t xml:space="preserve">. </w:t>
      </w:r>
      <w:r w:rsidR="007C45DF">
        <w:rPr>
          <w:rFonts w:ascii="Garamond" w:hAnsi="Garamond"/>
        </w:rPr>
        <w:t xml:space="preserve">Importantly, we wanted a high level of clarity in item content </w:t>
      </w:r>
      <w:r w:rsidR="00D6123E">
        <w:rPr>
          <w:rFonts w:ascii="Garamond" w:hAnsi="Garamond"/>
        </w:rPr>
        <w:t>and</w:t>
      </w:r>
      <w:r w:rsidR="007C45DF">
        <w:rPr>
          <w:rFonts w:ascii="Garamond" w:hAnsi="Garamond"/>
        </w:rPr>
        <w:t xml:space="preserve"> ease of use, </w:t>
      </w:r>
      <w:r w:rsidR="00A955B5">
        <w:rPr>
          <w:rFonts w:ascii="Garamond" w:hAnsi="Garamond"/>
        </w:rPr>
        <w:t>basing the format on the</w:t>
      </w:r>
      <w:r w:rsidR="00743B19">
        <w:rPr>
          <w:rFonts w:ascii="Garamond" w:hAnsi="Garamond"/>
        </w:rPr>
        <w:t xml:space="preserve"> successful </w:t>
      </w:r>
      <w:r w:rsidR="00B076A8" w:rsidRPr="00B076A8">
        <w:rPr>
          <w:rFonts w:ascii="Garamond" w:hAnsi="Garamond"/>
        </w:rPr>
        <w:t>Warwick Edinburgh Mental Well-being Scale (Tennant et al, 2007)</w:t>
      </w:r>
      <w:r w:rsidR="007C45DF">
        <w:rPr>
          <w:rFonts w:ascii="Garamond" w:hAnsi="Garamond"/>
        </w:rPr>
        <w:t>.</w:t>
      </w:r>
    </w:p>
    <w:p w14:paraId="5A26D520" w14:textId="77777777" w:rsidR="00527ED1" w:rsidRDefault="00527ED1" w:rsidP="007C50A8">
      <w:pPr>
        <w:spacing w:line="360" w:lineRule="auto"/>
        <w:jc w:val="both"/>
        <w:rPr>
          <w:rFonts w:ascii="Garamond" w:hAnsi="Garamond"/>
        </w:rPr>
      </w:pPr>
    </w:p>
    <w:p w14:paraId="2991127B" w14:textId="3BE19861" w:rsidR="00527ED1" w:rsidRDefault="00B076A8" w:rsidP="00664C9B">
      <w:pPr>
        <w:spacing w:line="360" w:lineRule="auto"/>
        <w:jc w:val="both"/>
        <w:rPr>
          <w:rFonts w:ascii="Garamond" w:hAnsi="Garamond"/>
        </w:rPr>
      </w:pPr>
      <w:r>
        <w:rPr>
          <w:rFonts w:ascii="Garamond" w:hAnsi="Garamond"/>
        </w:rPr>
        <w:t xml:space="preserve">The most </w:t>
      </w:r>
      <w:r w:rsidR="00743B19">
        <w:rPr>
          <w:rFonts w:ascii="Garamond" w:hAnsi="Garamond"/>
        </w:rPr>
        <w:t xml:space="preserve">commonly </w:t>
      </w:r>
      <w:r w:rsidR="00F7309D">
        <w:rPr>
          <w:rFonts w:ascii="Garamond" w:hAnsi="Garamond"/>
        </w:rPr>
        <w:t>used measure of worry</w:t>
      </w:r>
      <w:r w:rsidR="00E4577D">
        <w:rPr>
          <w:rFonts w:ascii="Garamond" w:hAnsi="Garamond"/>
        </w:rPr>
        <w:t>,</w:t>
      </w:r>
      <w:r w:rsidR="00F7309D">
        <w:rPr>
          <w:rFonts w:ascii="Garamond" w:hAnsi="Garamond"/>
        </w:rPr>
        <w:t xml:space="preserve"> </w:t>
      </w:r>
      <w:r>
        <w:rPr>
          <w:rFonts w:ascii="Garamond" w:hAnsi="Garamond"/>
        </w:rPr>
        <w:t>the Penn State Worry Questionnaire</w:t>
      </w:r>
      <w:r w:rsidR="00F7309D">
        <w:rPr>
          <w:rFonts w:ascii="Garamond" w:hAnsi="Garamond"/>
        </w:rPr>
        <w:t xml:space="preserve"> (</w:t>
      </w:r>
      <w:r w:rsidR="0049471B">
        <w:rPr>
          <w:rFonts w:ascii="Garamond" w:hAnsi="Garamond"/>
        </w:rPr>
        <w:t xml:space="preserve">PSWQ; </w:t>
      </w:r>
      <w:r w:rsidR="00F7309D">
        <w:rPr>
          <w:rFonts w:ascii="Garamond" w:hAnsi="Garamond"/>
        </w:rPr>
        <w:t>Meyer et al, 1990)</w:t>
      </w:r>
      <w:r w:rsidR="00E4577D">
        <w:rPr>
          <w:rFonts w:ascii="Garamond" w:hAnsi="Garamond"/>
        </w:rPr>
        <w:t xml:space="preserve">, </w:t>
      </w:r>
      <w:r>
        <w:rPr>
          <w:rFonts w:ascii="Garamond" w:hAnsi="Garamond"/>
        </w:rPr>
        <w:t>was developed thirty years ago.</w:t>
      </w:r>
      <w:r w:rsidR="00A955B5">
        <w:rPr>
          <w:rFonts w:ascii="Garamond" w:hAnsi="Garamond"/>
        </w:rPr>
        <w:t xml:space="preserve"> </w:t>
      </w:r>
      <w:r w:rsidR="00011553">
        <w:rPr>
          <w:rFonts w:ascii="Garamond" w:hAnsi="Garamond"/>
        </w:rPr>
        <w:t>The questionnaire was de</w:t>
      </w:r>
      <w:r w:rsidR="00D6123E">
        <w:rPr>
          <w:rFonts w:ascii="Garamond" w:hAnsi="Garamond"/>
        </w:rPr>
        <w:t>rived</w:t>
      </w:r>
      <w:r w:rsidR="00011553">
        <w:rPr>
          <w:rFonts w:ascii="Garamond" w:hAnsi="Garamond"/>
        </w:rPr>
        <w:t xml:space="preserve"> from </w:t>
      </w:r>
      <w:r w:rsidR="008C4291">
        <w:rPr>
          <w:rFonts w:ascii="Garamond" w:hAnsi="Garamond"/>
        </w:rPr>
        <w:t xml:space="preserve">a </w:t>
      </w:r>
      <w:r w:rsidR="00011553">
        <w:rPr>
          <w:rFonts w:ascii="Garamond" w:hAnsi="Garamond"/>
        </w:rPr>
        <w:t xml:space="preserve">principal component analysis of an item pool completed by </w:t>
      </w:r>
      <w:r w:rsidR="009D3985">
        <w:rPr>
          <w:rFonts w:ascii="Garamond" w:hAnsi="Garamond"/>
        </w:rPr>
        <w:t>300</w:t>
      </w:r>
      <w:r w:rsidR="00011553">
        <w:rPr>
          <w:rFonts w:ascii="Garamond" w:hAnsi="Garamond"/>
        </w:rPr>
        <w:t xml:space="preserve"> psychology students. </w:t>
      </w:r>
      <w:r w:rsidR="00ED0D58">
        <w:rPr>
          <w:rFonts w:ascii="Garamond" w:hAnsi="Garamond"/>
        </w:rPr>
        <w:t xml:space="preserve">It </w:t>
      </w:r>
      <w:r w:rsidR="00F7309D">
        <w:rPr>
          <w:rFonts w:ascii="Garamond" w:hAnsi="Garamond"/>
        </w:rPr>
        <w:t xml:space="preserve">helped initiate the </w:t>
      </w:r>
      <w:r w:rsidR="008C4291">
        <w:rPr>
          <w:rFonts w:ascii="Garamond" w:hAnsi="Garamond"/>
        </w:rPr>
        <w:t>psychological</w:t>
      </w:r>
      <w:r w:rsidR="00F7309D">
        <w:rPr>
          <w:rFonts w:ascii="Garamond" w:hAnsi="Garamond"/>
        </w:rPr>
        <w:t xml:space="preserve"> study of worry and has </w:t>
      </w:r>
      <w:r w:rsidR="00ED0D58">
        <w:rPr>
          <w:rFonts w:ascii="Garamond" w:hAnsi="Garamond"/>
        </w:rPr>
        <w:t xml:space="preserve">been </w:t>
      </w:r>
      <w:r w:rsidR="00AB0054">
        <w:rPr>
          <w:rFonts w:ascii="Garamond" w:hAnsi="Garamond"/>
        </w:rPr>
        <w:t xml:space="preserve">used </w:t>
      </w:r>
      <w:r w:rsidR="008C4291">
        <w:rPr>
          <w:rFonts w:ascii="Garamond" w:hAnsi="Garamond"/>
        </w:rPr>
        <w:t xml:space="preserve">with thousands of people </w:t>
      </w:r>
      <w:r w:rsidR="00ED0D58">
        <w:rPr>
          <w:rFonts w:ascii="Garamond" w:hAnsi="Garamond"/>
        </w:rPr>
        <w:t>in research studies and clinical trials, showing good test-retest reliability, internal reliability, and convergent and discrimin</w:t>
      </w:r>
      <w:r w:rsidR="00AB0054">
        <w:rPr>
          <w:rFonts w:ascii="Garamond" w:hAnsi="Garamond"/>
        </w:rPr>
        <w:t>ant</w:t>
      </w:r>
      <w:r w:rsidR="00ED0D58">
        <w:rPr>
          <w:rFonts w:ascii="Garamond" w:hAnsi="Garamond"/>
        </w:rPr>
        <w:t xml:space="preserve"> validity. </w:t>
      </w:r>
      <w:r w:rsidR="00A955B5">
        <w:rPr>
          <w:rFonts w:ascii="Garamond" w:hAnsi="Garamond"/>
        </w:rPr>
        <w:t xml:space="preserve">It </w:t>
      </w:r>
      <w:r w:rsidR="00E4577D">
        <w:rPr>
          <w:rFonts w:ascii="Garamond" w:hAnsi="Garamond"/>
        </w:rPr>
        <w:t xml:space="preserve">is </w:t>
      </w:r>
      <w:r w:rsidR="00315BAC">
        <w:rPr>
          <w:rFonts w:ascii="Garamond" w:hAnsi="Garamond"/>
        </w:rPr>
        <w:t>a trait measure of worry, comprising</w:t>
      </w:r>
      <w:r w:rsidR="00A955B5">
        <w:rPr>
          <w:rFonts w:ascii="Garamond" w:hAnsi="Garamond"/>
        </w:rPr>
        <w:t xml:space="preserve"> sixteen items </w:t>
      </w:r>
      <w:r w:rsidR="00315BAC">
        <w:rPr>
          <w:rFonts w:ascii="Garamond" w:hAnsi="Garamond"/>
        </w:rPr>
        <w:t xml:space="preserve">rated on a 1-5 scale </w:t>
      </w:r>
      <w:r w:rsidR="00962D21">
        <w:rPr>
          <w:rFonts w:ascii="Garamond" w:hAnsi="Garamond"/>
        </w:rPr>
        <w:t>with</w:t>
      </w:r>
      <w:r w:rsidR="00315BAC">
        <w:rPr>
          <w:rFonts w:ascii="Garamond" w:hAnsi="Garamond"/>
        </w:rPr>
        <w:t xml:space="preserve"> anchors at each end (‘Not at all typical of me’/</w:t>
      </w:r>
      <w:r w:rsidR="00D6123E">
        <w:rPr>
          <w:rFonts w:ascii="Garamond" w:hAnsi="Garamond"/>
        </w:rPr>
        <w:t>’</w:t>
      </w:r>
      <w:r w:rsidR="00315BAC">
        <w:rPr>
          <w:rFonts w:ascii="Garamond" w:hAnsi="Garamond"/>
        </w:rPr>
        <w:t>Very typical of me’)</w:t>
      </w:r>
      <w:r w:rsidR="00A955B5">
        <w:rPr>
          <w:rFonts w:ascii="Garamond" w:hAnsi="Garamond"/>
        </w:rPr>
        <w:t>.</w:t>
      </w:r>
      <w:r w:rsidR="003E4AD0">
        <w:rPr>
          <w:rFonts w:ascii="Garamond" w:hAnsi="Garamond"/>
        </w:rPr>
        <w:t xml:space="preserve"> Five items are reverse worded</w:t>
      </w:r>
      <w:r w:rsidR="00E62560">
        <w:rPr>
          <w:rFonts w:ascii="Garamond" w:hAnsi="Garamond"/>
        </w:rPr>
        <w:t>,</w:t>
      </w:r>
      <w:r w:rsidR="00084EFE">
        <w:rPr>
          <w:rFonts w:ascii="Garamond" w:hAnsi="Garamond"/>
        </w:rPr>
        <w:t xml:space="preserve"> </w:t>
      </w:r>
      <w:r w:rsidR="0011289E">
        <w:rPr>
          <w:rFonts w:ascii="Garamond" w:hAnsi="Garamond"/>
        </w:rPr>
        <w:t xml:space="preserve">a procedure </w:t>
      </w:r>
      <w:r w:rsidR="00306E86">
        <w:rPr>
          <w:rFonts w:ascii="Garamond" w:hAnsi="Garamond"/>
        </w:rPr>
        <w:t>that can be</w:t>
      </w:r>
      <w:r w:rsidR="00664C9B">
        <w:rPr>
          <w:rFonts w:ascii="Garamond" w:hAnsi="Garamond"/>
        </w:rPr>
        <w:t xml:space="preserve"> </w:t>
      </w:r>
      <w:r w:rsidR="0011289E">
        <w:rPr>
          <w:rFonts w:ascii="Garamond" w:hAnsi="Garamond"/>
        </w:rPr>
        <w:t xml:space="preserve">problematic </w:t>
      </w:r>
      <w:r w:rsidR="00306E86">
        <w:rPr>
          <w:rFonts w:ascii="Garamond" w:hAnsi="Garamond"/>
        </w:rPr>
        <w:t xml:space="preserve">due to </w:t>
      </w:r>
      <w:r w:rsidR="0011289E">
        <w:rPr>
          <w:rFonts w:ascii="Garamond" w:hAnsi="Garamond"/>
        </w:rPr>
        <w:t>participant inattention and confusion (</w:t>
      </w:r>
      <w:r w:rsidR="0011289E" w:rsidRPr="0011289E">
        <w:rPr>
          <w:rFonts w:ascii="Garamond" w:hAnsi="Garamond"/>
        </w:rPr>
        <w:t xml:space="preserve">van </w:t>
      </w:r>
      <w:proofErr w:type="spellStart"/>
      <w:r w:rsidR="0011289E" w:rsidRPr="0011289E">
        <w:rPr>
          <w:rFonts w:ascii="Garamond" w:hAnsi="Garamond"/>
        </w:rPr>
        <w:t>Sonderen</w:t>
      </w:r>
      <w:proofErr w:type="spellEnd"/>
      <w:r w:rsidR="0011289E">
        <w:rPr>
          <w:rFonts w:ascii="Garamond" w:hAnsi="Garamond"/>
        </w:rPr>
        <w:t xml:space="preserve"> et al. 2013</w:t>
      </w:r>
      <w:r w:rsidR="00664C9B">
        <w:rPr>
          <w:rFonts w:ascii="Garamond" w:hAnsi="Garamond"/>
        </w:rPr>
        <w:t>; Woods</w:t>
      </w:r>
      <w:r w:rsidR="00612052">
        <w:rPr>
          <w:rFonts w:ascii="Garamond" w:hAnsi="Garamond"/>
        </w:rPr>
        <w:t>,</w:t>
      </w:r>
      <w:r w:rsidR="00664C9B">
        <w:rPr>
          <w:rFonts w:ascii="Garamond" w:hAnsi="Garamond"/>
        </w:rPr>
        <w:t xml:space="preserve"> 2006</w:t>
      </w:r>
      <w:r w:rsidR="0011289E">
        <w:rPr>
          <w:rFonts w:ascii="Garamond" w:hAnsi="Garamond"/>
        </w:rPr>
        <w:t xml:space="preserve">). </w:t>
      </w:r>
      <w:r w:rsidR="003E4AD0">
        <w:rPr>
          <w:rFonts w:ascii="Garamond" w:hAnsi="Garamond"/>
        </w:rPr>
        <w:t>The r</w:t>
      </w:r>
      <w:r w:rsidR="0011289E">
        <w:rPr>
          <w:rFonts w:ascii="Garamond" w:hAnsi="Garamond"/>
        </w:rPr>
        <w:t xml:space="preserve">everse items </w:t>
      </w:r>
      <w:r w:rsidR="00664C9B">
        <w:rPr>
          <w:rFonts w:ascii="Garamond" w:hAnsi="Garamond"/>
        </w:rPr>
        <w:t xml:space="preserve">on the PSWQ </w:t>
      </w:r>
      <w:r w:rsidR="00306E86">
        <w:rPr>
          <w:rFonts w:ascii="Garamond" w:hAnsi="Garamond"/>
        </w:rPr>
        <w:t xml:space="preserve">tend to </w:t>
      </w:r>
      <w:r w:rsidR="0011289E">
        <w:rPr>
          <w:rFonts w:ascii="Garamond" w:hAnsi="Garamond"/>
        </w:rPr>
        <w:t>produce a separate artefact factor (</w:t>
      </w:r>
      <w:r w:rsidR="00664C9B">
        <w:rPr>
          <w:rFonts w:ascii="Garamond" w:hAnsi="Garamond"/>
        </w:rPr>
        <w:t>Brown, 2003; Yilmaz et al. 2008).</w:t>
      </w:r>
      <w:r w:rsidR="00AB0054">
        <w:rPr>
          <w:rFonts w:ascii="Garamond" w:hAnsi="Garamond"/>
        </w:rPr>
        <w:t xml:space="preserve"> Our ow</w:t>
      </w:r>
      <w:r w:rsidR="00506C83">
        <w:rPr>
          <w:rFonts w:ascii="Garamond" w:hAnsi="Garamond"/>
        </w:rPr>
        <w:t xml:space="preserve">n experience is </w:t>
      </w:r>
      <w:r w:rsidR="003E4AD0">
        <w:rPr>
          <w:rFonts w:ascii="Garamond" w:hAnsi="Garamond"/>
        </w:rPr>
        <w:t xml:space="preserve">that </w:t>
      </w:r>
      <w:r w:rsidR="00506C83">
        <w:rPr>
          <w:rFonts w:ascii="Garamond" w:hAnsi="Garamond"/>
        </w:rPr>
        <w:t>the revers</w:t>
      </w:r>
      <w:r w:rsidR="00962D21">
        <w:rPr>
          <w:rFonts w:ascii="Garamond" w:hAnsi="Garamond"/>
        </w:rPr>
        <w:t>e</w:t>
      </w:r>
      <w:r w:rsidR="00AB0054">
        <w:rPr>
          <w:rFonts w:ascii="Garamond" w:hAnsi="Garamond"/>
        </w:rPr>
        <w:t xml:space="preserve"> items </w:t>
      </w:r>
      <w:r w:rsidR="00306E86">
        <w:rPr>
          <w:rFonts w:ascii="Garamond" w:hAnsi="Garamond"/>
        </w:rPr>
        <w:t xml:space="preserve">on the PSWQ </w:t>
      </w:r>
      <w:r w:rsidR="00962D21">
        <w:rPr>
          <w:rFonts w:ascii="Garamond" w:hAnsi="Garamond"/>
        </w:rPr>
        <w:t>c</w:t>
      </w:r>
      <w:r w:rsidR="00D6123E">
        <w:rPr>
          <w:rFonts w:ascii="Garamond" w:hAnsi="Garamond"/>
        </w:rPr>
        <w:t>an</w:t>
      </w:r>
      <w:r w:rsidR="00427496">
        <w:rPr>
          <w:rFonts w:ascii="Garamond" w:hAnsi="Garamond"/>
        </w:rPr>
        <w:t xml:space="preserve"> </w:t>
      </w:r>
      <w:r w:rsidR="00AB0054">
        <w:rPr>
          <w:rFonts w:ascii="Garamond" w:hAnsi="Garamond"/>
        </w:rPr>
        <w:t>sometimes confuse people.</w:t>
      </w:r>
      <w:r w:rsidR="00315BAC">
        <w:rPr>
          <w:rFonts w:ascii="Garamond" w:hAnsi="Garamond"/>
        </w:rPr>
        <w:t xml:space="preserve"> The </w:t>
      </w:r>
      <w:r w:rsidR="00D6123E">
        <w:rPr>
          <w:rFonts w:ascii="Garamond" w:hAnsi="Garamond"/>
        </w:rPr>
        <w:t xml:space="preserve">PSWQ </w:t>
      </w:r>
      <w:r w:rsidR="00315BAC">
        <w:rPr>
          <w:rFonts w:ascii="Garamond" w:hAnsi="Garamond"/>
        </w:rPr>
        <w:t xml:space="preserve">items </w:t>
      </w:r>
      <w:r w:rsidR="00460458">
        <w:rPr>
          <w:rFonts w:ascii="Garamond" w:hAnsi="Garamond"/>
        </w:rPr>
        <w:t xml:space="preserve">focus upon </w:t>
      </w:r>
      <w:r w:rsidR="00315BAC">
        <w:rPr>
          <w:rFonts w:ascii="Garamond" w:hAnsi="Garamond"/>
        </w:rPr>
        <w:t>a tendency to worry</w:t>
      </w:r>
      <w:r w:rsidR="00460458">
        <w:rPr>
          <w:rFonts w:ascii="Garamond" w:hAnsi="Garamond"/>
        </w:rPr>
        <w:t xml:space="preserve"> (e.g. ‘I have been a worrier all my life’</w:t>
      </w:r>
      <w:r w:rsidR="00427496">
        <w:rPr>
          <w:rFonts w:ascii="Garamond" w:hAnsi="Garamond"/>
        </w:rPr>
        <w:t>,</w:t>
      </w:r>
      <w:r w:rsidR="00460458">
        <w:rPr>
          <w:rFonts w:ascii="Garamond" w:hAnsi="Garamond"/>
        </w:rPr>
        <w:t xml:space="preserve"> ‘I am always worrying about something’</w:t>
      </w:r>
      <w:r w:rsidR="00427496">
        <w:rPr>
          <w:rFonts w:ascii="Garamond" w:hAnsi="Garamond"/>
        </w:rPr>
        <w:t>,</w:t>
      </w:r>
      <w:r w:rsidR="00460458">
        <w:rPr>
          <w:rFonts w:ascii="Garamond" w:hAnsi="Garamond"/>
        </w:rPr>
        <w:t xml:space="preserve"> ‘</w:t>
      </w:r>
      <w:proofErr w:type="gramStart"/>
      <w:r w:rsidR="00460458">
        <w:rPr>
          <w:rFonts w:ascii="Garamond" w:hAnsi="Garamond"/>
        </w:rPr>
        <w:t>I</w:t>
      </w:r>
      <w:proofErr w:type="gramEnd"/>
      <w:r w:rsidR="00460458">
        <w:rPr>
          <w:rFonts w:ascii="Garamond" w:hAnsi="Garamond"/>
        </w:rPr>
        <w:t xml:space="preserve"> never worry about anything’. </w:t>
      </w:r>
      <w:r w:rsidR="00460458" w:rsidRPr="00460458">
        <w:rPr>
          <w:rFonts w:ascii="Garamond" w:hAnsi="Garamond"/>
        </w:rPr>
        <w:t>There are no items on the emotional impact of worry</w:t>
      </w:r>
      <w:r w:rsidR="00460458">
        <w:rPr>
          <w:rFonts w:ascii="Garamond" w:hAnsi="Garamond"/>
        </w:rPr>
        <w:t>.</w:t>
      </w:r>
      <w:r w:rsidR="00460458" w:rsidRPr="00460458">
        <w:rPr>
          <w:rFonts w:ascii="Garamond" w:hAnsi="Garamond"/>
        </w:rPr>
        <w:t xml:space="preserve"> </w:t>
      </w:r>
      <w:r w:rsidR="00460458">
        <w:rPr>
          <w:rFonts w:ascii="Garamond" w:hAnsi="Garamond"/>
        </w:rPr>
        <w:t xml:space="preserve">Not every </w:t>
      </w:r>
      <w:r w:rsidR="00743B19">
        <w:rPr>
          <w:rFonts w:ascii="Garamond" w:hAnsi="Garamond"/>
        </w:rPr>
        <w:t xml:space="preserve">scale </w:t>
      </w:r>
      <w:r w:rsidR="00E4577D">
        <w:rPr>
          <w:rFonts w:ascii="Garamond" w:hAnsi="Garamond"/>
        </w:rPr>
        <w:t>item is easily comprehendible</w:t>
      </w:r>
      <w:r w:rsidR="00315BAC">
        <w:rPr>
          <w:rFonts w:ascii="Garamond" w:hAnsi="Garamond"/>
        </w:rPr>
        <w:t xml:space="preserve"> (e.g. ‘</w:t>
      </w:r>
      <w:r w:rsidR="00315BAC" w:rsidRPr="00315BAC">
        <w:rPr>
          <w:rFonts w:ascii="Garamond" w:hAnsi="Garamond"/>
        </w:rPr>
        <w:t>If I do not have enough time to do everything, I do not worry about it</w:t>
      </w:r>
      <w:r w:rsidR="00315BAC">
        <w:rPr>
          <w:rFonts w:ascii="Garamond" w:hAnsi="Garamond"/>
        </w:rPr>
        <w:t>’</w:t>
      </w:r>
      <w:r w:rsidR="00460458">
        <w:rPr>
          <w:rFonts w:ascii="Garamond" w:hAnsi="Garamond"/>
        </w:rPr>
        <w:t>).</w:t>
      </w:r>
      <w:r w:rsidR="008322BD">
        <w:rPr>
          <w:rFonts w:ascii="Garamond" w:hAnsi="Garamond"/>
        </w:rPr>
        <w:t xml:space="preserve"> The </w:t>
      </w:r>
      <w:r w:rsidR="00F7309D">
        <w:rPr>
          <w:rFonts w:ascii="Garamond" w:hAnsi="Garamond"/>
        </w:rPr>
        <w:t xml:space="preserve">overall </w:t>
      </w:r>
      <w:r w:rsidR="008322BD">
        <w:rPr>
          <w:rFonts w:ascii="Garamond" w:hAnsi="Garamond"/>
        </w:rPr>
        <w:t xml:space="preserve">success of the scale has led to adaptations, including shorter </w:t>
      </w:r>
      <w:r w:rsidR="00E4577D">
        <w:rPr>
          <w:rFonts w:ascii="Garamond" w:hAnsi="Garamond"/>
        </w:rPr>
        <w:t xml:space="preserve">versions </w:t>
      </w:r>
      <w:r w:rsidR="008322BD">
        <w:rPr>
          <w:rFonts w:ascii="Garamond" w:hAnsi="Garamond"/>
        </w:rPr>
        <w:t>and state versions (e.g. Yao et al, 2016).</w:t>
      </w:r>
    </w:p>
    <w:p w14:paraId="622ADEC0" w14:textId="787652B9" w:rsidR="00DD2DBE" w:rsidRDefault="00DD2DBE" w:rsidP="007C50A8">
      <w:pPr>
        <w:spacing w:line="360" w:lineRule="auto"/>
        <w:jc w:val="both"/>
        <w:rPr>
          <w:rFonts w:ascii="Garamond" w:hAnsi="Garamond"/>
        </w:rPr>
      </w:pPr>
    </w:p>
    <w:p w14:paraId="09D1CA2A" w14:textId="39138AA3" w:rsidR="00533F1B" w:rsidRDefault="00E4577D" w:rsidP="007C50A8">
      <w:pPr>
        <w:spacing w:line="360" w:lineRule="auto"/>
        <w:jc w:val="both"/>
        <w:rPr>
          <w:rFonts w:ascii="Garamond" w:hAnsi="Garamond"/>
        </w:rPr>
      </w:pPr>
      <w:r>
        <w:rPr>
          <w:rFonts w:ascii="Garamond" w:hAnsi="Garamond"/>
        </w:rPr>
        <w:t>Our objective was to produce -</w:t>
      </w:r>
      <w:r w:rsidR="00B417CB">
        <w:rPr>
          <w:rFonts w:ascii="Garamond" w:hAnsi="Garamond"/>
        </w:rPr>
        <w:t xml:space="preserve"> </w:t>
      </w:r>
      <w:r w:rsidR="00B417CB" w:rsidRPr="00B417CB">
        <w:rPr>
          <w:rFonts w:ascii="Garamond" w:hAnsi="Garamond"/>
        </w:rPr>
        <w:t xml:space="preserve">using a latent trait model approach </w:t>
      </w:r>
      <w:r w:rsidR="00962D21">
        <w:rPr>
          <w:rFonts w:ascii="Garamond" w:hAnsi="Garamond"/>
        </w:rPr>
        <w:t xml:space="preserve">with item response theory (IRT) </w:t>
      </w:r>
      <w:r w:rsidR="00B417CB" w:rsidRPr="00B417CB">
        <w:rPr>
          <w:rFonts w:ascii="Garamond" w:hAnsi="Garamond"/>
        </w:rPr>
        <w:t>(</w:t>
      </w:r>
      <w:proofErr w:type="spellStart"/>
      <w:r w:rsidR="00264EF3" w:rsidRPr="00264EF3">
        <w:rPr>
          <w:rFonts w:ascii="Garamond" w:hAnsi="Garamond"/>
        </w:rPr>
        <w:t>Reise</w:t>
      </w:r>
      <w:proofErr w:type="spellEnd"/>
      <w:r w:rsidR="00264EF3">
        <w:rPr>
          <w:rFonts w:ascii="Garamond" w:hAnsi="Garamond"/>
        </w:rPr>
        <w:t xml:space="preserve"> &amp;</w:t>
      </w:r>
      <w:r w:rsidR="00264EF3" w:rsidRPr="00264EF3">
        <w:rPr>
          <w:rFonts w:ascii="Garamond" w:hAnsi="Garamond"/>
        </w:rPr>
        <w:t xml:space="preserve"> Henson</w:t>
      </w:r>
      <w:r w:rsidR="00264EF3">
        <w:rPr>
          <w:rFonts w:ascii="Garamond" w:hAnsi="Garamond"/>
        </w:rPr>
        <w:t>, 2003</w:t>
      </w:r>
      <w:r w:rsidR="00B417CB" w:rsidRPr="00B417CB">
        <w:rPr>
          <w:rFonts w:ascii="Garamond" w:hAnsi="Garamond"/>
        </w:rPr>
        <w:t>)</w:t>
      </w:r>
      <w:r>
        <w:rPr>
          <w:rFonts w:ascii="Garamond" w:hAnsi="Garamond"/>
        </w:rPr>
        <w:t xml:space="preserve"> -</w:t>
      </w:r>
      <w:r w:rsidR="00B417CB">
        <w:rPr>
          <w:rFonts w:ascii="Garamond" w:hAnsi="Garamond"/>
        </w:rPr>
        <w:t xml:space="preserve"> a new worry scale</w:t>
      </w:r>
      <w:r>
        <w:rPr>
          <w:rFonts w:ascii="Garamond" w:hAnsi="Garamond"/>
        </w:rPr>
        <w:t>, straightforward to complete, that</w:t>
      </w:r>
      <w:r w:rsidR="00B417CB">
        <w:rPr>
          <w:rFonts w:ascii="Garamond" w:hAnsi="Garamond"/>
        </w:rPr>
        <w:t xml:space="preserve"> focusse</w:t>
      </w:r>
      <w:r>
        <w:rPr>
          <w:rFonts w:ascii="Garamond" w:hAnsi="Garamond"/>
        </w:rPr>
        <w:t>s</w:t>
      </w:r>
      <w:r w:rsidR="00B417CB">
        <w:rPr>
          <w:rFonts w:ascii="Garamond" w:hAnsi="Garamond"/>
        </w:rPr>
        <w:t xml:space="preserve"> on problematic worry.</w:t>
      </w:r>
      <w:r w:rsidR="00DD2DBE">
        <w:rPr>
          <w:rFonts w:ascii="Garamond" w:hAnsi="Garamond"/>
        </w:rPr>
        <w:t xml:space="preserve"> </w:t>
      </w:r>
      <w:r w:rsidR="00BE4B7E">
        <w:rPr>
          <w:rFonts w:ascii="Garamond" w:hAnsi="Garamond"/>
        </w:rPr>
        <w:t>I</w:t>
      </w:r>
      <w:r w:rsidR="00962D21">
        <w:rPr>
          <w:rFonts w:ascii="Garamond" w:hAnsi="Garamond"/>
        </w:rPr>
        <w:t>RT</w:t>
      </w:r>
      <w:r w:rsidR="00BE4B7E" w:rsidRPr="00BE4B7E">
        <w:rPr>
          <w:rFonts w:ascii="Garamond" w:hAnsi="Garamond"/>
        </w:rPr>
        <w:t xml:space="preserve"> examines the probabilistic relationship between varying levels of </w:t>
      </w:r>
      <w:r w:rsidR="000E4F96">
        <w:rPr>
          <w:rFonts w:ascii="Garamond" w:hAnsi="Garamond"/>
        </w:rPr>
        <w:t xml:space="preserve">a </w:t>
      </w:r>
      <w:r w:rsidR="00BE4B7E" w:rsidRPr="00BE4B7E">
        <w:rPr>
          <w:rFonts w:ascii="Garamond" w:hAnsi="Garamond"/>
        </w:rPr>
        <w:t>latent trait and the ability of individual items to measure this trait. By aligning items and respondents on the same scale, IRT leads to the development of measurements</w:t>
      </w:r>
      <w:r w:rsidR="00282CB5">
        <w:rPr>
          <w:rFonts w:ascii="Garamond" w:hAnsi="Garamond"/>
        </w:rPr>
        <w:t xml:space="preserve"> with greater precision </w:t>
      </w:r>
      <w:r w:rsidR="002446BA">
        <w:rPr>
          <w:rFonts w:ascii="Garamond" w:hAnsi="Garamond"/>
        </w:rPr>
        <w:t>and</w:t>
      </w:r>
      <w:r w:rsidR="00BE4B7E" w:rsidRPr="00BE4B7E">
        <w:rPr>
          <w:rFonts w:ascii="Garamond" w:hAnsi="Garamond"/>
        </w:rPr>
        <w:t xml:space="preserve"> parameters that are sample independent (</w:t>
      </w:r>
      <w:proofErr w:type="spellStart"/>
      <w:r w:rsidR="00BE4B7E" w:rsidRPr="00BE4B7E">
        <w:rPr>
          <w:rFonts w:ascii="Garamond" w:hAnsi="Garamond"/>
        </w:rPr>
        <w:t>Bortolotti</w:t>
      </w:r>
      <w:proofErr w:type="spellEnd"/>
      <w:r w:rsidR="00282CB5">
        <w:rPr>
          <w:rFonts w:ascii="Garamond" w:hAnsi="Garamond"/>
        </w:rPr>
        <w:t xml:space="preserve"> et al</w:t>
      </w:r>
      <w:r w:rsidR="00BE4B7E" w:rsidRPr="00BE4B7E">
        <w:rPr>
          <w:rFonts w:ascii="Garamond" w:hAnsi="Garamond"/>
        </w:rPr>
        <w:t>, 2013).</w:t>
      </w:r>
      <w:r w:rsidR="00BE4B7E">
        <w:rPr>
          <w:rFonts w:ascii="Garamond" w:hAnsi="Garamond"/>
        </w:rPr>
        <w:t xml:space="preserve"> </w:t>
      </w:r>
      <w:r w:rsidR="00431068">
        <w:rPr>
          <w:rFonts w:ascii="Garamond" w:hAnsi="Garamond"/>
        </w:rPr>
        <w:t xml:space="preserve">Our aim was to </w:t>
      </w:r>
      <w:r w:rsidR="00315BAC">
        <w:rPr>
          <w:rFonts w:ascii="Garamond" w:hAnsi="Garamond"/>
        </w:rPr>
        <w:t xml:space="preserve">develop a </w:t>
      </w:r>
      <w:r>
        <w:rPr>
          <w:rFonts w:ascii="Garamond" w:hAnsi="Garamond"/>
        </w:rPr>
        <w:t>g</w:t>
      </w:r>
      <w:r w:rsidR="00431068">
        <w:rPr>
          <w:rFonts w:ascii="Garamond" w:hAnsi="Garamond"/>
        </w:rPr>
        <w:t xml:space="preserve">eneral worry </w:t>
      </w:r>
      <w:r w:rsidR="00315BAC">
        <w:rPr>
          <w:rFonts w:ascii="Garamond" w:hAnsi="Garamond"/>
        </w:rPr>
        <w:t xml:space="preserve">scale that </w:t>
      </w:r>
      <w:r w:rsidR="00F94CAE" w:rsidRPr="00AB0C08">
        <w:rPr>
          <w:rFonts w:ascii="Garamond" w:hAnsi="Garamond"/>
        </w:rPr>
        <w:t>would</w:t>
      </w:r>
      <w:r w:rsidR="00315BAC">
        <w:rPr>
          <w:rFonts w:ascii="Garamond" w:hAnsi="Garamond"/>
        </w:rPr>
        <w:t>:</w:t>
      </w:r>
      <w:r w:rsidR="00F94CAE" w:rsidRPr="00AB0C08">
        <w:rPr>
          <w:rFonts w:ascii="Garamond" w:hAnsi="Garamond"/>
        </w:rPr>
        <w:t xml:space="preserve"> assess worry over a </w:t>
      </w:r>
      <w:r w:rsidR="00F94CAE" w:rsidRPr="00AB0C08">
        <w:rPr>
          <w:rFonts w:ascii="Garamond" w:hAnsi="Garamond"/>
        </w:rPr>
        <w:lastRenderedPageBreak/>
        <w:t xml:space="preserve">defined time-period (one month); </w:t>
      </w:r>
      <w:r w:rsidR="00315BAC">
        <w:rPr>
          <w:rFonts w:ascii="Garamond" w:hAnsi="Garamond"/>
        </w:rPr>
        <w:t>b</w:t>
      </w:r>
      <w:r w:rsidR="00F94CAE" w:rsidRPr="00AB0C08">
        <w:rPr>
          <w:rFonts w:ascii="Garamond" w:hAnsi="Garamond"/>
        </w:rPr>
        <w:t xml:space="preserve">e brief; </w:t>
      </w:r>
      <w:r w:rsidR="00315BAC">
        <w:rPr>
          <w:rFonts w:ascii="Garamond" w:hAnsi="Garamond"/>
        </w:rPr>
        <w:t>use a scale with anchors for every</w:t>
      </w:r>
      <w:r w:rsidR="00F94CAE" w:rsidRPr="00AB0C08">
        <w:rPr>
          <w:rFonts w:ascii="Garamond" w:hAnsi="Garamond"/>
        </w:rPr>
        <w:t xml:space="preserve"> point; no</w:t>
      </w:r>
      <w:r w:rsidR="00315BAC">
        <w:rPr>
          <w:rFonts w:ascii="Garamond" w:hAnsi="Garamond"/>
        </w:rPr>
        <w:t xml:space="preserve">t include reverse items; </w:t>
      </w:r>
      <w:r w:rsidR="00460458">
        <w:rPr>
          <w:rFonts w:ascii="Garamond" w:hAnsi="Garamond"/>
        </w:rPr>
        <w:t>include the tendency to worry but also levels of control and emotional impact</w:t>
      </w:r>
      <w:r w:rsidR="00431068">
        <w:rPr>
          <w:rFonts w:ascii="Garamond" w:hAnsi="Garamond"/>
        </w:rPr>
        <w:t>; and would be suitable for use in clinical and non-clinical populations</w:t>
      </w:r>
      <w:r w:rsidR="00315BAC">
        <w:rPr>
          <w:rFonts w:ascii="Garamond" w:hAnsi="Garamond"/>
        </w:rPr>
        <w:t xml:space="preserve">. </w:t>
      </w:r>
      <w:r w:rsidR="00051A70">
        <w:rPr>
          <w:rFonts w:ascii="Garamond" w:hAnsi="Garamond"/>
        </w:rPr>
        <w:t>The scale was designed to be neutral with regards to theoretical accounts of the causes of worry (</w:t>
      </w:r>
      <w:r w:rsidR="00051A70" w:rsidRPr="00051A70">
        <w:rPr>
          <w:rFonts w:ascii="Garamond" w:hAnsi="Garamond"/>
        </w:rPr>
        <w:t xml:space="preserve">Davey &amp; </w:t>
      </w:r>
      <w:proofErr w:type="spellStart"/>
      <w:r w:rsidR="00051A70" w:rsidRPr="00051A70">
        <w:rPr>
          <w:rFonts w:ascii="Garamond" w:hAnsi="Garamond"/>
        </w:rPr>
        <w:t>Meeten</w:t>
      </w:r>
      <w:proofErr w:type="spellEnd"/>
      <w:r w:rsidR="00051A70" w:rsidRPr="00051A70">
        <w:rPr>
          <w:rFonts w:ascii="Garamond" w:hAnsi="Garamond"/>
        </w:rPr>
        <w:t>, 2016</w:t>
      </w:r>
      <w:r w:rsidR="00051A70">
        <w:rPr>
          <w:rFonts w:ascii="Garamond" w:hAnsi="Garamond"/>
        </w:rPr>
        <w:t xml:space="preserve">). </w:t>
      </w:r>
      <w:r w:rsidR="00264EF3">
        <w:rPr>
          <w:rFonts w:ascii="Garamond" w:hAnsi="Garamond"/>
        </w:rPr>
        <w:t>Our secondary obj</w:t>
      </w:r>
      <w:r w:rsidR="00124068">
        <w:rPr>
          <w:rFonts w:ascii="Garamond" w:hAnsi="Garamond"/>
        </w:rPr>
        <w:t>ective was to develop a content-</w:t>
      </w:r>
      <w:r w:rsidR="00264EF3">
        <w:rPr>
          <w:rFonts w:ascii="Garamond" w:hAnsi="Garamond"/>
        </w:rPr>
        <w:t>specific measure of worry focussed upon paranoid concerns (</w:t>
      </w:r>
      <w:r>
        <w:rPr>
          <w:rFonts w:ascii="Garamond" w:hAnsi="Garamond"/>
        </w:rPr>
        <w:t xml:space="preserve">unfounded </w:t>
      </w:r>
      <w:r w:rsidR="00264EF3">
        <w:rPr>
          <w:rFonts w:ascii="Garamond" w:hAnsi="Garamond"/>
        </w:rPr>
        <w:t xml:space="preserve">fear of harm from others). </w:t>
      </w:r>
      <w:r w:rsidR="00124068">
        <w:rPr>
          <w:rFonts w:ascii="Garamond" w:hAnsi="Garamond"/>
        </w:rPr>
        <w:t>Previously w</w:t>
      </w:r>
      <w:r w:rsidR="00264EF3">
        <w:rPr>
          <w:rFonts w:ascii="Garamond" w:hAnsi="Garamond"/>
        </w:rPr>
        <w:t>e have shown that</w:t>
      </w:r>
      <w:r>
        <w:rPr>
          <w:rFonts w:ascii="Garamond" w:hAnsi="Garamond"/>
        </w:rPr>
        <w:t>:</w:t>
      </w:r>
      <w:r w:rsidR="00264EF3">
        <w:rPr>
          <w:rFonts w:ascii="Garamond" w:hAnsi="Garamond"/>
        </w:rPr>
        <w:t xml:space="preserve"> </w:t>
      </w:r>
      <w:r>
        <w:rPr>
          <w:rFonts w:ascii="Garamond" w:hAnsi="Garamond"/>
        </w:rPr>
        <w:t xml:space="preserve">patients with persecutory delusions have levels of worry comparable to individuals with generalised anxiety disorder (Freeman &amp; </w:t>
      </w:r>
      <w:proofErr w:type="spellStart"/>
      <w:r>
        <w:rPr>
          <w:rFonts w:ascii="Garamond" w:hAnsi="Garamond"/>
        </w:rPr>
        <w:t>Garety</w:t>
      </w:r>
      <w:proofErr w:type="spellEnd"/>
      <w:r>
        <w:rPr>
          <w:rFonts w:ascii="Garamond" w:hAnsi="Garamond"/>
        </w:rPr>
        <w:t xml:space="preserve">, 1999); </w:t>
      </w:r>
      <w:r w:rsidR="00264EF3">
        <w:rPr>
          <w:rFonts w:ascii="Garamond" w:hAnsi="Garamond"/>
        </w:rPr>
        <w:t>worry predicts the occurrence and persistence of paranoia (Freeman et al, 2012)</w:t>
      </w:r>
      <w:r>
        <w:rPr>
          <w:rFonts w:ascii="Garamond" w:hAnsi="Garamond"/>
        </w:rPr>
        <w:t>;</w:t>
      </w:r>
      <w:r w:rsidR="00264EF3">
        <w:rPr>
          <w:rFonts w:ascii="Garamond" w:hAnsi="Garamond"/>
        </w:rPr>
        <w:t xml:space="preserve"> and treating worry in patients with persecutory delusions significantly lowers the delusions (The Worry Intervention Trial (WIT); Freeman et al, 2015). In </w:t>
      </w:r>
      <w:r w:rsidR="008C4FA2">
        <w:rPr>
          <w:rFonts w:ascii="Garamond" w:hAnsi="Garamond"/>
        </w:rPr>
        <w:t xml:space="preserve">the </w:t>
      </w:r>
      <w:r w:rsidR="008024F8">
        <w:rPr>
          <w:rFonts w:ascii="Garamond" w:hAnsi="Garamond"/>
        </w:rPr>
        <w:t>WIT</w:t>
      </w:r>
      <w:r w:rsidR="00264EF3">
        <w:rPr>
          <w:rFonts w:ascii="Garamond" w:hAnsi="Garamond"/>
        </w:rPr>
        <w:t xml:space="preserve"> we </w:t>
      </w:r>
      <w:r w:rsidR="008024F8">
        <w:rPr>
          <w:rFonts w:ascii="Garamond" w:hAnsi="Garamond"/>
        </w:rPr>
        <w:t xml:space="preserve">independently assessed </w:t>
      </w:r>
      <w:r w:rsidR="005773D8">
        <w:rPr>
          <w:rFonts w:ascii="Garamond" w:hAnsi="Garamond"/>
        </w:rPr>
        <w:t xml:space="preserve">levels of </w:t>
      </w:r>
      <w:r w:rsidR="00264EF3">
        <w:rPr>
          <w:rFonts w:ascii="Garamond" w:hAnsi="Garamond"/>
        </w:rPr>
        <w:t xml:space="preserve">general worry and </w:t>
      </w:r>
      <w:r w:rsidR="008024F8">
        <w:rPr>
          <w:rFonts w:ascii="Garamond" w:hAnsi="Garamond"/>
        </w:rPr>
        <w:t xml:space="preserve">paranoia. </w:t>
      </w:r>
      <w:r w:rsidR="005773D8">
        <w:rPr>
          <w:rFonts w:ascii="Garamond" w:hAnsi="Garamond"/>
        </w:rPr>
        <w:t xml:space="preserve">For the implementation of such worry treatments for </w:t>
      </w:r>
      <w:r w:rsidR="008024F8">
        <w:rPr>
          <w:rFonts w:ascii="Garamond" w:hAnsi="Garamond"/>
        </w:rPr>
        <w:t>patients with psychosis</w:t>
      </w:r>
      <w:r w:rsidR="005773D8">
        <w:rPr>
          <w:rFonts w:ascii="Garamond" w:hAnsi="Garamond"/>
        </w:rPr>
        <w:t xml:space="preserve"> it will be </w:t>
      </w:r>
      <w:r w:rsidR="008C4FA2">
        <w:rPr>
          <w:rFonts w:ascii="Garamond" w:hAnsi="Garamond"/>
        </w:rPr>
        <w:t>beneficial</w:t>
      </w:r>
      <w:r w:rsidR="005773D8">
        <w:rPr>
          <w:rFonts w:ascii="Garamond" w:hAnsi="Garamond"/>
        </w:rPr>
        <w:t xml:space="preserve"> for clinicians to have a brief measure</w:t>
      </w:r>
      <w:r w:rsidR="008024F8">
        <w:rPr>
          <w:rFonts w:ascii="Garamond" w:hAnsi="Garamond"/>
        </w:rPr>
        <w:t xml:space="preserve"> that combines both concepts.</w:t>
      </w:r>
      <w:r w:rsidR="00DD2DBE">
        <w:rPr>
          <w:rFonts w:ascii="Garamond" w:hAnsi="Garamond"/>
        </w:rPr>
        <w:t xml:space="preserve"> </w:t>
      </w:r>
      <w:r w:rsidR="00BE4B7E">
        <w:rPr>
          <w:rFonts w:ascii="Garamond" w:hAnsi="Garamond"/>
        </w:rPr>
        <w:t xml:space="preserve">We also planned to produce clinical cut-off scores for the questionnaires to </w:t>
      </w:r>
      <w:r w:rsidR="00AC5EBA">
        <w:rPr>
          <w:rFonts w:ascii="Garamond" w:hAnsi="Garamond"/>
        </w:rPr>
        <w:t xml:space="preserve">facilitate use </w:t>
      </w:r>
      <w:r w:rsidR="00533F1B">
        <w:rPr>
          <w:rFonts w:ascii="Garamond" w:hAnsi="Garamond"/>
        </w:rPr>
        <w:t>as screening tools</w:t>
      </w:r>
      <w:r w:rsidR="00BE4B7E">
        <w:rPr>
          <w:rFonts w:ascii="Garamond" w:hAnsi="Garamond"/>
        </w:rPr>
        <w:t>.</w:t>
      </w:r>
      <w:r w:rsidR="00923E7B">
        <w:rPr>
          <w:rFonts w:ascii="Garamond" w:hAnsi="Garamond"/>
        </w:rPr>
        <w:t xml:space="preserve"> </w:t>
      </w:r>
    </w:p>
    <w:p w14:paraId="2DD796A2" w14:textId="431B4FD1" w:rsidR="002D29D6" w:rsidRDefault="002D29D6" w:rsidP="007C50A8">
      <w:pPr>
        <w:spacing w:line="360" w:lineRule="auto"/>
        <w:jc w:val="both"/>
        <w:rPr>
          <w:rFonts w:ascii="Garamond" w:hAnsi="Garamond"/>
        </w:rPr>
      </w:pPr>
    </w:p>
    <w:p w14:paraId="0BFC38B4" w14:textId="39023456" w:rsidR="00F94CAE" w:rsidRPr="00AB0C08" w:rsidRDefault="006C004E" w:rsidP="007C50A8">
      <w:pPr>
        <w:spacing w:line="360" w:lineRule="auto"/>
        <w:rPr>
          <w:rFonts w:ascii="Garamond" w:hAnsi="Garamond"/>
          <w:b/>
        </w:rPr>
      </w:pPr>
      <w:r w:rsidRPr="00AB0C08">
        <w:rPr>
          <w:rFonts w:ascii="Garamond" w:hAnsi="Garamond"/>
          <w:b/>
        </w:rPr>
        <w:t>M</w:t>
      </w:r>
      <w:r w:rsidR="00F94CAE" w:rsidRPr="00AB0C08">
        <w:rPr>
          <w:rFonts w:ascii="Garamond" w:hAnsi="Garamond"/>
          <w:b/>
        </w:rPr>
        <w:t>ETHOD</w:t>
      </w:r>
    </w:p>
    <w:p w14:paraId="4E01DB61" w14:textId="77777777" w:rsidR="00E10797" w:rsidRDefault="00E10797" w:rsidP="007C50A8">
      <w:pPr>
        <w:spacing w:line="360" w:lineRule="auto"/>
        <w:jc w:val="both"/>
        <w:rPr>
          <w:rFonts w:ascii="Garamond" w:hAnsi="Garamond"/>
          <w:b/>
        </w:rPr>
      </w:pPr>
    </w:p>
    <w:p w14:paraId="6618125A" w14:textId="6F923F80" w:rsidR="00F94CAE" w:rsidRPr="00AB0C08" w:rsidRDefault="00F94CAE" w:rsidP="007C50A8">
      <w:pPr>
        <w:spacing w:line="360" w:lineRule="auto"/>
        <w:jc w:val="both"/>
        <w:rPr>
          <w:rFonts w:ascii="Garamond" w:hAnsi="Garamond"/>
          <w:b/>
        </w:rPr>
      </w:pPr>
      <w:r w:rsidRPr="00AB0C08">
        <w:rPr>
          <w:rFonts w:ascii="Garamond" w:hAnsi="Garamond"/>
          <w:b/>
        </w:rPr>
        <w:t>Participants</w:t>
      </w:r>
    </w:p>
    <w:p w14:paraId="582FC14A" w14:textId="5FC267F6" w:rsidR="00613747" w:rsidRDefault="00D2029B" w:rsidP="007C50A8">
      <w:pPr>
        <w:spacing w:line="360" w:lineRule="auto"/>
        <w:jc w:val="both"/>
        <w:rPr>
          <w:rFonts w:ascii="Garamond" w:hAnsi="Garamond"/>
        </w:rPr>
      </w:pPr>
      <w:r w:rsidRPr="00AB0C08">
        <w:rPr>
          <w:rFonts w:ascii="Garamond" w:hAnsi="Garamond"/>
        </w:rPr>
        <w:t>T</w:t>
      </w:r>
      <w:r w:rsidR="00B57FC7">
        <w:rPr>
          <w:rFonts w:ascii="Garamond" w:hAnsi="Garamond"/>
        </w:rPr>
        <w:t>o extract the items for the new measures of general worry and worry</w:t>
      </w:r>
      <w:r w:rsidR="00743B19">
        <w:rPr>
          <w:rFonts w:ascii="Garamond" w:hAnsi="Garamond"/>
        </w:rPr>
        <w:t xml:space="preserve"> concerning</w:t>
      </w:r>
      <w:r w:rsidR="00F411E7">
        <w:rPr>
          <w:rFonts w:ascii="Garamond" w:hAnsi="Garamond"/>
        </w:rPr>
        <w:t xml:space="preserve"> paranoia</w:t>
      </w:r>
      <w:r w:rsidR="00B57FC7">
        <w:rPr>
          <w:rFonts w:ascii="Garamond" w:hAnsi="Garamond"/>
        </w:rPr>
        <w:t>, a</w:t>
      </w:r>
      <w:r>
        <w:rPr>
          <w:rFonts w:ascii="Garamond" w:hAnsi="Garamond"/>
        </w:rPr>
        <w:t xml:space="preserve"> derivation</w:t>
      </w:r>
      <w:r w:rsidRPr="00AB0C08">
        <w:rPr>
          <w:rFonts w:ascii="Garamond" w:hAnsi="Garamond"/>
        </w:rPr>
        <w:t xml:space="preserve"> sample</w:t>
      </w:r>
      <w:r w:rsidR="00B57FC7">
        <w:rPr>
          <w:rFonts w:ascii="Garamond" w:hAnsi="Garamond"/>
        </w:rPr>
        <w:t xml:space="preserve"> </w:t>
      </w:r>
      <w:r w:rsidRPr="00AB0C08">
        <w:rPr>
          <w:rFonts w:ascii="Garamond" w:hAnsi="Garamond"/>
        </w:rPr>
        <w:t>of 300 participants (250 from the general population and 50 patients with persecutory delusions) completed the full it</w:t>
      </w:r>
      <w:r>
        <w:rPr>
          <w:rFonts w:ascii="Garamond" w:hAnsi="Garamond"/>
        </w:rPr>
        <w:t xml:space="preserve">em pool (mean age=42.8, SD=18.6, female=167, male=133, White British=90%). </w:t>
      </w:r>
      <w:r w:rsidR="00901652">
        <w:rPr>
          <w:rFonts w:ascii="Garamond" w:hAnsi="Garamond"/>
        </w:rPr>
        <w:t>A second c</w:t>
      </w:r>
      <w:r>
        <w:rPr>
          <w:rFonts w:ascii="Garamond" w:hAnsi="Garamond"/>
        </w:rPr>
        <w:t>ross-validation sa</w:t>
      </w:r>
      <w:r w:rsidR="00901652">
        <w:rPr>
          <w:rFonts w:ascii="Garamond" w:hAnsi="Garamond"/>
        </w:rPr>
        <w:t>mple consisting</w:t>
      </w:r>
      <w:r w:rsidR="00FC677A">
        <w:rPr>
          <w:rFonts w:ascii="Garamond" w:hAnsi="Garamond"/>
        </w:rPr>
        <w:t xml:space="preserve"> of 449</w:t>
      </w:r>
      <w:r>
        <w:rPr>
          <w:rFonts w:ascii="Garamond" w:hAnsi="Garamond"/>
        </w:rPr>
        <w:t xml:space="preserve"> participants </w:t>
      </w:r>
      <w:r w:rsidR="00962D21">
        <w:rPr>
          <w:rFonts w:ascii="Garamond" w:hAnsi="Garamond"/>
        </w:rPr>
        <w:t xml:space="preserve">(273 from the general population, 79 patients with persecutory delusions, and 93 patients with social anxiety disorder </w:t>
      </w:r>
      <w:r w:rsidR="00293E66">
        <w:rPr>
          <w:rFonts w:ascii="Garamond" w:hAnsi="Garamond"/>
        </w:rPr>
        <w:t>(</w:t>
      </w:r>
      <w:r w:rsidR="00962D21">
        <w:rPr>
          <w:rFonts w:ascii="Garamond" w:hAnsi="Garamond"/>
        </w:rPr>
        <w:t>SAD)</w:t>
      </w:r>
      <w:r w:rsidR="00293E66">
        <w:rPr>
          <w:rFonts w:ascii="Garamond" w:hAnsi="Garamond"/>
        </w:rPr>
        <w:t>)</w:t>
      </w:r>
      <w:r w:rsidR="00962D21">
        <w:rPr>
          <w:rFonts w:ascii="Garamond" w:hAnsi="Garamond"/>
        </w:rPr>
        <w:t xml:space="preserve"> </w:t>
      </w:r>
      <w:r>
        <w:rPr>
          <w:rFonts w:ascii="Garamond" w:hAnsi="Garamond"/>
        </w:rPr>
        <w:t xml:space="preserve">completed the final versions of both measures </w:t>
      </w:r>
      <w:r w:rsidR="00210095">
        <w:rPr>
          <w:rFonts w:ascii="Garamond" w:hAnsi="Garamond"/>
        </w:rPr>
        <w:t>(mean age=33.5, SD</w:t>
      </w:r>
      <w:r w:rsidR="009D3985">
        <w:rPr>
          <w:rFonts w:ascii="Garamond" w:hAnsi="Garamond"/>
        </w:rPr>
        <w:t>=</w:t>
      </w:r>
      <w:r w:rsidR="00210095">
        <w:rPr>
          <w:rFonts w:ascii="Garamond" w:hAnsi="Garamond"/>
        </w:rPr>
        <w:t xml:space="preserve">13.8, female=192, male=257, </w:t>
      </w:r>
      <w:r w:rsidR="00210095" w:rsidRPr="00C62C73">
        <w:rPr>
          <w:rFonts w:ascii="Garamond" w:hAnsi="Garamond"/>
        </w:rPr>
        <w:t>White British=</w:t>
      </w:r>
      <w:r w:rsidR="00210095">
        <w:rPr>
          <w:rFonts w:ascii="Garamond" w:hAnsi="Garamond"/>
        </w:rPr>
        <w:t>90%).</w:t>
      </w:r>
      <w:r w:rsidR="00954400">
        <w:rPr>
          <w:rFonts w:ascii="Garamond" w:hAnsi="Garamond"/>
        </w:rPr>
        <w:t xml:space="preserve"> </w:t>
      </w:r>
    </w:p>
    <w:p w14:paraId="5E0D06B7" w14:textId="315D66C7" w:rsidR="00282CB5" w:rsidRPr="00282CB5" w:rsidRDefault="00B71B3E" w:rsidP="007C50A8">
      <w:pPr>
        <w:spacing w:line="360" w:lineRule="auto"/>
        <w:jc w:val="both"/>
        <w:rPr>
          <w:rFonts w:ascii="Garamond" w:hAnsi="Garamond"/>
        </w:rPr>
      </w:pPr>
      <w:r w:rsidRPr="00AB0C08">
        <w:rPr>
          <w:rFonts w:ascii="Garamond" w:hAnsi="Garamond"/>
        </w:rPr>
        <w:t xml:space="preserve">Participants from the general population were recruited via local radio adverts and the distribution of leaflets in Oxfordshire. </w:t>
      </w:r>
      <w:r w:rsidR="00D2029B">
        <w:rPr>
          <w:rFonts w:ascii="Garamond" w:hAnsi="Garamond"/>
        </w:rPr>
        <w:t>P</w:t>
      </w:r>
      <w:r w:rsidRPr="00AB0C08">
        <w:rPr>
          <w:rFonts w:ascii="Garamond" w:hAnsi="Garamond"/>
        </w:rPr>
        <w:t>ati</w:t>
      </w:r>
      <w:r w:rsidR="006F15AF" w:rsidRPr="00AB0C08">
        <w:rPr>
          <w:rFonts w:ascii="Garamond" w:hAnsi="Garamond"/>
        </w:rPr>
        <w:t>ents w</w:t>
      </w:r>
      <w:r w:rsidR="00D2029B">
        <w:rPr>
          <w:rFonts w:ascii="Garamond" w:hAnsi="Garamond"/>
        </w:rPr>
        <w:t>ith persecutory delusions were p</w:t>
      </w:r>
      <w:r w:rsidRPr="00AB0C08">
        <w:rPr>
          <w:rFonts w:ascii="Garamond" w:hAnsi="Garamond"/>
        </w:rPr>
        <w:t xml:space="preserve">articipants </w:t>
      </w:r>
      <w:r w:rsidR="00293E66">
        <w:rPr>
          <w:rFonts w:ascii="Garamond" w:hAnsi="Garamond"/>
        </w:rPr>
        <w:t>from</w:t>
      </w:r>
      <w:r w:rsidRPr="00AB0C08">
        <w:rPr>
          <w:rFonts w:ascii="Garamond" w:hAnsi="Garamond"/>
        </w:rPr>
        <w:t xml:space="preserve"> the </w:t>
      </w:r>
      <w:r w:rsidR="0049471B">
        <w:rPr>
          <w:rFonts w:ascii="Garamond" w:hAnsi="Garamond"/>
        </w:rPr>
        <w:t>WIT</w:t>
      </w:r>
      <w:r w:rsidR="00743B19">
        <w:rPr>
          <w:rFonts w:ascii="Garamond" w:hAnsi="Garamond"/>
        </w:rPr>
        <w:t>, a</w:t>
      </w:r>
      <w:r w:rsidR="006F15AF" w:rsidRPr="00AB0C08">
        <w:rPr>
          <w:rFonts w:ascii="Garamond" w:hAnsi="Garamond"/>
        </w:rPr>
        <w:t xml:space="preserve"> randomised controlled trial </w:t>
      </w:r>
      <w:r w:rsidRPr="00AB0C08">
        <w:rPr>
          <w:rFonts w:ascii="Garamond" w:hAnsi="Garamond"/>
        </w:rPr>
        <w:t>of a psychological intervention to reduce worry in adults with persecutory delusions</w:t>
      </w:r>
      <w:r w:rsidR="00743B19">
        <w:rPr>
          <w:rFonts w:ascii="Garamond" w:hAnsi="Garamond"/>
        </w:rPr>
        <w:t xml:space="preserve"> in the context of non-affective psychosis</w:t>
      </w:r>
      <w:r w:rsidRPr="00AB0C08">
        <w:rPr>
          <w:rFonts w:ascii="Garamond" w:hAnsi="Garamond"/>
        </w:rPr>
        <w:t xml:space="preserve"> (</w:t>
      </w:r>
      <w:r w:rsidR="00662055">
        <w:rPr>
          <w:rFonts w:ascii="Garamond" w:hAnsi="Garamond"/>
        </w:rPr>
        <w:t>Freeman et al., 20</w:t>
      </w:r>
      <w:r w:rsidR="00743B19">
        <w:rPr>
          <w:rFonts w:ascii="Garamond" w:hAnsi="Garamond"/>
        </w:rPr>
        <w:t>15</w:t>
      </w:r>
      <w:r w:rsidR="00662055">
        <w:rPr>
          <w:rFonts w:ascii="Garamond" w:hAnsi="Garamond"/>
        </w:rPr>
        <w:t>)</w:t>
      </w:r>
      <w:r w:rsidRPr="00AB0C08">
        <w:rPr>
          <w:rFonts w:ascii="Garamond" w:hAnsi="Garamond"/>
        </w:rPr>
        <w:t xml:space="preserve">. </w:t>
      </w:r>
      <w:r w:rsidR="00522451">
        <w:rPr>
          <w:rFonts w:ascii="Garamond" w:hAnsi="Garamond"/>
        </w:rPr>
        <w:t>They had</w:t>
      </w:r>
      <w:r w:rsidR="00612052">
        <w:rPr>
          <w:rFonts w:ascii="Garamond" w:hAnsi="Garamond"/>
        </w:rPr>
        <w:t>:</w:t>
      </w:r>
      <w:r w:rsidR="00522451">
        <w:rPr>
          <w:rFonts w:ascii="Garamond" w:hAnsi="Garamond"/>
        </w:rPr>
        <w:t xml:space="preserve"> a clinical diagnosis of non-affective psychosis </w:t>
      </w:r>
      <w:r w:rsidR="00522451" w:rsidRPr="00AB0C08">
        <w:rPr>
          <w:rFonts w:ascii="Garamond" w:hAnsi="Garamond"/>
        </w:rPr>
        <w:t>(i.e. schizophrenia, schizoaffective d</w:t>
      </w:r>
      <w:r w:rsidR="00522451">
        <w:rPr>
          <w:rFonts w:ascii="Garamond" w:hAnsi="Garamond"/>
        </w:rPr>
        <w:t>isorder, or delusional disorder)</w:t>
      </w:r>
      <w:r w:rsidR="00612052">
        <w:rPr>
          <w:rFonts w:ascii="Garamond" w:hAnsi="Garamond"/>
        </w:rPr>
        <w:t>;</w:t>
      </w:r>
      <w:r w:rsidR="00522451">
        <w:rPr>
          <w:rFonts w:ascii="Garamond" w:hAnsi="Garamond"/>
        </w:rPr>
        <w:t xml:space="preserve"> a current and persistent persecutory delusion</w:t>
      </w:r>
      <w:r w:rsidR="00612052">
        <w:rPr>
          <w:rFonts w:ascii="Garamond" w:hAnsi="Garamond"/>
        </w:rPr>
        <w:t>;</w:t>
      </w:r>
      <w:r w:rsidR="00522451">
        <w:rPr>
          <w:rFonts w:ascii="Garamond" w:hAnsi="Garamond"/>
        </w:rPr>
        <w:t xml:space="preserve"> and clinically significant levels of worry </w:t>
      </w:r>
      <w:r w:rsidR="00F411E7" w:rsidRPr="00F411E7">
        <w:rPr>
          <w:rFonts w:ascii="Garamond" w:hAnsi="Garamond"/>
        </w:rPr>
        <w:t>(44</w:t>
      </w:r>
      <w:r w:rsidR="007A1E38">
        <w:rPr>
          <w:rFonts w:ascii="Garamond" w:hAnsi="Garamond"/>
        </w:rPr>
        <w:t>+</w:t>
      </w:r>
      <w:r w:rsidR="00F411E7" w:rsidRPr="00F411E7">
        <w:rPr>
          <w:rFonts w:ascii="Garamond" w:hAnsi="Garamond"/>
        </w:rPr>
        <w:t xml:space="preserve"> on the P</w:t>
      </w:r>
      <w:r w:rsidR="0049471B">
        <w:rPr>
          <w:rFonts w:ascii="Garamond" w:hAnsi="Garamond"/>
        </w:rPr>
        <w:t>SWQ</w:t>
      </w:r>
      <w:r w:rsidR="00293E66">
        <w:rPr>
          <w:rFonts w:ascii="Garamond" w:hAnsi="Garamond"/>
        </w:rPr>
        <w:t>;</w:t>
      </w:r>
      <w:r w:rsidR="00F411E7" w:rsidRPr="00F411E7">
        <w:rPr>
          <w:rFonts w:ascii="Garamond" w:hAnsi="Garamond"/>
        </w:rPr>
        <w:t xml:space="preserve"> </w:t>
      </w:r>
      <w:proofErr w:type="spellStart"/>
      <w:r w:rsidR="00F411E7" w:rsidRPr="00F411E7">
        <w:rPr>
          <w:rFonts w:ascii="Garamond" w:hAnsi="Garamond"/>
        </w:rPr>
        <w:t>Startup</w:t>
      </w:r>
      <w:proofErr w:type="spellEnd"/>
      <w:r w:rsidR="00F411E7" w:rsidRPr="00F411E7">
        <w:rPr>
          <w:rFonts w:ascii="Garamond" w:hAnsi="Garamond"/>
        </w:rPr>
        <w:t xml:space="preserve"> &amp; Erickson, 2006</w:t>
      </w:r>
      <w:r w:rsidR="00522451">
        <w:rPr>
          <w:rFonts w:ascii="Garamond" w:hAnsi="Garamond"/>
        </w:rPr>
        <w:t xml:space="preserve">). </w:t>
      </w:r>
      <w:r w:rsidR="00282CB5">
        <w:rPr>
          <w:rFonts w:ascii="Garamond" w:hAnsi="Garamond"/>
        </w:rPr>
        <w:t>P</w:t>
      </w:r>
      <w:r w:rsidR="00282CB5" w:rsidRPr="00282CB5">
        <w:rPr>
          <w:rFonts w:ascii="Garamond" w:hAnsi="Garamond"/>
        </w:rPr>
        <w:t>articipants with SAD were referred for psychological treatment by their GP or IAPT services to either the London or Oxford Centre for Anxiety Disorders and Trauma. They met criteria for SAD according to the Anxiety and Related Disorders Interview Schedule for DSM-IV</w:t>
      </w:r>
      <w:r w:rsidR="00F74AEC">
        <w:rPr>
          <w:rFonts w:ascii="Garamond" w:hAnsi="Garamond"/>
        </w:rPr>
        <w:t xml:space="preserve"> (Brown et al, 1996)</w:t>
      </w:r>
      <w:r w:rsidR="00282CB5" w:rsidRPr="00282CB5">
        <w:rPr>
          <w:rFonts w:ascii="Garamond" w:hAnsi="Garamond"/>
        </w:rPr>
        <w:t xml:space="preserve"> and SAD was their primary clinical problem.</w:t>
      </w:r>
    </w:p>
    <w:p w14:paraId="18AD6252" w14:textId="77777777" w:rsidR="00D2029B" w:rsidRPr="00AB0C08" w:rsidRDefault="00D2029B" w:rsidP="007C50A8">
      <w:pPr>
        <w:spacing w:line="360" w:lineRule="auto"/>
        <w:jc w:val="both"/>
        <w:rPr>
          <w:rFonts w:ascii="Garamond" w:hAnsi="Garamond"/>
        </w:rPr>
      </w:pPr>
    </w:p>
    <w:p w14:paraId="27BD085C" w14:textId="202B7457" w:rsidR="00F94CAE" w:rsidRPr="00AB0C08" w:rsidRDefault="00F94CAE" w:rsidP="007C50A8">
      <w:pPr>
        <w:spacing w:line="360" w:lineRule="auto"/>
        <w:jc w:val="both"/>
        <w:rPr>
          <w:rFonts w:ascii="Garamond" w:hAnsi="Garamond"/>
          <w:b/>
        </w:rPr>
      </w:pPr>
      <w:r w:rsidRPr="00AB0C08">
        <w:rPr>
          <w:rFonts w:ascii="Garamond" w:hAnsi="Garamond"/>
          <w:b/>
        </w:rPr>
        <w:lastRenderedPageBreak/>
        <w:t>Assessments</w:t>
      </w:r>
    </w:p>
    <w:p w14:paraId="172136C3" w14:textId="673CBE53" w:rsidR="0020369E" w:rsidRPr="00AB0C08" w:rsidRDefault="00F94CAE" w:rsidP="007C50A8">
      <w:pPr>
        <w:spacing w:line="360" w:lineRule="auto"/>
        <w:jc w:val="both"/>
        <w:rPr>
          <w:rFonts w:ascii="Garamond" w:hAnsi="Garamond"/>
        </w:rPr>
      </w:pPr>
      <w:proofErr w:type="gramStart"/>
      <w:r w:rsidRPr="00AB0C08">
        <w:rPr>
          <w:rFonts w:ascii="Garamond" w:hAnsi="Garamond"/>
          <w:i/>
        </w:rPr>
        <w:t>Item pools.</w:t>
      </w:r>
      <w:proofErr w:type="gramEnd"/>
      <w:r w:rsidRPr="00AB0C08">
        <w:rPr>
          <w:rFonts w:ascii="Garamond" w:hAnsi="Garamond"/>
        </w:rPr>
        <w:t xml:space="preserve"> An initial item pool of 40 </w:t>
      </w:r>
      <w:r w:rsidR="00B57FC7">
        <w:rPr>
          <w:rFonts w:ascii="Garamond" w:hAnsi="Garamond"/>
        </w:rPr>
        <w:t xml:space="preserve">general worry </w:t>
      </w:r>
      <w:r w:rsidRPr="00AB0C08">
        <w:rPr>
          <w:rFonts w:ascii="Garamond" w:hAnsi="Garamond"/>
        </w:rPr>
        <w:t xml:space="preserve">items was devised by the </w:t>
      </w:r>
      <w:r w:rsidR="00314B2A">
        <w:rPr>
          <w:rFonts w:ascii="Garamond" w:hAnsi="Garamond"/>
        </w:rPr>
        <w:t xml:space="preserve">study team </w:t>
      </w:r>
      <w:r w:rsidRPr="00AB0C08">
        <w:rPr>
          <w:rFonts w:ascii="Garamond" w:hAnsi="Garamond"/>
        </w:rPr>
        <w:t xml:space="preserve">based upon consideration of </w:t>
      </w:r>
      <w:r w:rsidR="00612052">
        <w:rPr>
          <w:rFonts w:ascii="Garamond" w:hAnsi="Garamond"/>
        </w:rPr>
        <w:t>our</w:t>
      </w:r>
      <w:r w:rsidRPr="00AB0C08">
        <w:rPr>
          <w:rFonts w:ascii="Garamond" w:hAnsi="Garamond"/>
        </w:rPr>
        <w:t xml:space="preserve"> definition of worry, comments patients had made, </w:t>
      </w:r>
      <w:r w:rsidR="00D023A9">
        <w:rPr>
          <w:rFonts w:ascii="Garamond" w:hAnsi="Garamond"/>
        </w:rPr>
        <w:t xml:space="preserve">clinical experience, </w:t>
      </w:r>
      <w:r w:rsidRPr="00AB0C08">
        <w:rPr>
          <w:rFonts w:ascii="Garamond" w:hAnsi="Garamond"/>
        </w:rPr>
        <w:t xml:space="preserve">and </w:t>
      </w:r>
      <w:r w:rsidR="00E909C4">
        <w:rPr>
          <w:rFonts w:ascii="Garamond" w:hAnsi="Garamond"/>
        </w:rPr>
        <w:t>e</w:t>
      </w:r>
      <w:r w:rsidRPr="00AB0C08">
        <w:rPr>
          <w:rFonts w:ascii="Garamond" w:hAnsi="Garamond"/>
        </w:rPr>
        <w:t xml:space="preserve">xisting questionnaires. We aimed to cover items </w:t>
      </w:r>
      <w:r w:rsidR="00467D5A">
        <w:rPr>
          <w:rFonts w:ascii="Garamond" w:hAnsi="Garamond"/>
        </w:rPr>
        <w:t>concerning</w:t>
      </w:r>
      <w:r w:rsidRPr="00AB0C08">
        <w:rPr>
          <w:rFonts w:ascii="Garamond" w:hAnsi="Garamond"/>
        </w:rPr>
        <w:t xml:space="preserve"> time spent worrying, control over worry, </w:t>
      </w:r>
      <w:r w:rsidR="00662055">
        <w:rPr>
          <w:rFonts w:ascii="Garamond" w:hAnsi="Garamond"/>
        </w:rPr>
        <w:t xml:space="preserve">and </w:t>
      </w:r>
      <w:r w:rsidRPr="00AB0C08">
        <w:rPr>
          <w:rFonts w:ascii="Garamond" w:hAnsi="Garamond"/>
        </w:rPr>
        <w:t xml:space="preserve">the impact of worry. An </w:t>
      </w:r>
      <w:r w:rsidR="00B57FC7">
        <w:rPr>
          <w:rFonts w:ascii="Garamond" w:hAnsi="Garamond"/>
        </w:rPr>
        <w:t>initial item pool of 16</w:t>
      </w:r>
      <w:r w:rsidR="00E909C4">
        <w:rPr>
          <w:rFonts w:ascii="Garamond" w:hAnsi="Garamond"/>
        </w:rPr>
        <w:t xml:space="preserve"> paranoia</w:t>
      </w:r>
      <w:r w:rsidR="006F15AF" w:rsidRPr="00AB0C08">
        <w:rPr>
          <w:rFonts w:ascii="Garamond" w:hAnsi="Garamond"/>
        </w:rPr>
        <w:t xml:space="preserve"> </w:t>
      </w:r>
      <w:r w:rsidR="00B57FC7">
        <w:rPr>
          <w:rFonts w:ascii="Garamond" w:hAnsi="Garamond"/>
        </w:rPr>
        <w:t>w</w:t>
      </w:r>
      <w:r w:rsidR="006F15AF" w:rsidRPr="00AB0C08">
        <w:rPr>
          <w:rFonts w:ascii="Garamond" w:hAnsi="Garamond"/>
        </w:rPr>
        <w:t xml:space="preserve">orry </w:t>
      </w:r>
      <w:r w:rsidR="00B57FC7">
        <w:rPr>
          <w:rFonts w:ascii="Garamond" w:hAnsi="Garamond"/>
        </w:rPr>
        <w:t>items</w:t>
      </w:r>
      <w:r w:rsidR="006F15AF" w:rsidRPr="00AB0C08">
        <w:rPr>
          <w:rFonts w:ascii="Garamond" w:hAnsi="Garamond"/>
        </w:rPr>
        <w:t xml:space="preserve"> </w:t>
      </w:r>
      <w:r w:rsidRPr="00AB0C08">
        <w:rPr>
          <w:rFonts w:ascii="Garamond" w:hAnsi="Garamond"/>
        </w:rPr>
        <w:t>was created</w:t>
      </w:r>
      <w:r w:rsidR="00D023A9">
        <w:rPr>
          <w:rFonts w:ascii="Garamond" w:hAnsi="Garamond"/>
        </w:rPr>
        <w:t xml:space="preserve"> from patient comments during the WIT and </w:t>
      </w:r>
      <w:r w:rsidR="00F411E7">
        <w:rPr>
          <w:rFonts w:ascii="Garamond" w:hAnsi="Garamond"/>
        </w:rPr>
        <w:t xml:space="preserve">the team’s </w:t>
      </w:r>
      <w:r w:rsidR="00D023A9">
        <w:rPr>
          <w:rFonts w:ascii="Garamond" w:hAnsi="Garamond"/>
        </w:rPr>
        <w:t xml:space="preserve">clinical experience. The time period for all the items was one month. </w:t>
      </w:r>
      <w:r w:rsidR="0049471B">
        <w:rPr>
          <w:rFonts w:ascii="Garamond" w:hAnsi="Garamond"/>
        </w:rPr>
        <w:t>Following the response format of the WEMSBS (Tenna</w:t>
      </w:r>
      <w:r w:rsidR="00293E66">
        <w:rPr>
          <w:rFonts w:ascii="Garamond" w:hAnsi="Garamond"/>
        </w:rPr>
        <w:t>n</w:t>
      </w:r>
      <w:r w:rsidR="0049471B">
        <w:rPr>
          <w:rFonts w:ascii="Garamond" w:hAnsi="Garamond"/>
        </w:rPr>
        <w:t xml:space="preserve">t et al, 2007), items were rated on </w:t>
      </w:r>
      <w:r w:rsidR="00D023A9">
        <w:rPr>
          <w:rFonts w:ascii="Garamond" w:hAnsi="Garamond"/>
        </w:rPr>
        <w:t>a 0</w:t>
      </w:r>
      <w:r w:rsidR="007A1E38">
        <w:rPr>
          <w:rFonts w:ascii="Garamond" w:hAnsi="Garamond"/>
        </w:rPr>
        <w:t>-</w:t>
      </w:r>
      <w:r w:rsidR="00D023A9">
        <w:rPr>
          <w:rFonts w:ascii="Garamond" w:hAnsi="Garamond"/>
        </w:rPr>
        <w:t>4 scale (</w:t>
      </w:r>
      <w:r w:rsidR="00D023A9" w:rsidRPr="00D023A9">
        <w:rPr>
          <w:rFonts w:ascii="Garamond" w:hAnsi="Garamond"/>
        </w:rPr>
        <w:t>None</w:t>
      </w:r>
      <w:r w:rsidR="00D023A9">
        <w:rPr>
          <w:rFonts w:ascii="Garamond" w:hAnsi="Garamond"/>
        </w:rPr>
        <w:t xml:space="preserve"> </w:t>
      </w:r>
      <w:r w:rsidR="00D023A9" w:rsidRPr="00D023A9">
        <w:rPr>
          <w:rFonts w:ascii="Garamond" w:hAnsi="Garamond"/>
        </w:rPr>
        <w:t>of the</w:t>
      </w:r>
      <w:r w:rsidR="00D023A9">
        <w:rPr>
          <w:rFonts w:ascii="Garamond" w:hAnsi="Garamond"/>
        </w:rPr>
        <w:t xml:space="preserve"> </w:t>
      </w:r>
      <w:r w:rsidR="00D023A9" w:rsidRPr="00D023A9">
        <w:rPr>
          <w:rFonts w:ascii="Garamond" w:hAnsi="Garamond"/>
        </w:rPr>
        <w:t>time</w:t>
      </w:r>
      <w:r w:rsidR="00D023A9">
        <w:rPr>
          <w:rFonts w:ascii="Garamond" w:hAnsi="Garamond"/>
        </w:rPr>
        <w:t xml:space="preserve">, </w:t>
      </w:r>
      <w:r w:rsidR="00D023A9" w:rsidRPr="00D023A9">
        <w:rPr>
          <w:rFonts w:ascii="Garamond" w:hAnsi="Garamond"/>
        </w:rPr>
        <w:t>Rarely</w:t>
      </w:r>
      <w:r w:rsidR="00D023A9">
        <w:rPr>
          <w:rFonts w:ascii="Garamond" w:hAnsi="Garamond"/>
        </w:rPr>
        <w:t xml:space="preserve">, </w:t>
      </w:r>
      <w:r w:rsidR="00D023A9" w:rsidRPr="00D023A9">
        <w:rPr>
          <w:rFonts w:ascii="Garamond" w:hAnsi="Garamond"/>
        </w:rPr>
        <w:t>Some</w:t>
      </w:r>
      <w:r w:rsidR="00D023A9">
        <w:rPr>
          <w:rFonts w:ascii="Garamond" w:hAnsi="Garamond"/>
        </w:rPr>
        <w:t xml:space="preserve"> </w:t>
      </w:r>
      <w:r w:rsidR="00D023A9" w:rsidRPr="00D023A9">
        <w:rPr>
          <w:rFonts w:ascii="Garamond" w:hAnsi="Garamond"/>
        </w:rPr>
        <w:t>of the</w:t>
      </w:r>
      <w:r w:rsidR="00D023A9">
        <w:rPr>
          <w:rFonts w:ascii="Garamond" w:hAnsi="Garamond"/>
        </w:rPr>
        <w:t xml:space="preserve"> </w:t>
      </w:r>
      <w:r w:rsidR="00D023A9" w:rsidRPr="00D023A9">
        <w:rPr>
          <w:rFonts w:ascii="Garamond" w:hAnsi="Garamond"/>
        </w:rPr>
        <w:t>time</w:t>
      </w:r>
      <w:r w:rsidR="00D023A9">
        <w:rPr>
          <w:rFonts w:ascii="Garamond" w:hAnsi="Garamond"/>
        </w:rPr>
        <w:t xml:space="preserve">, </w:t>
      </w:r>
      <w:r w:rsidR="00D023A9" w:rsidRPr="00D023A9">
        <w:rPr>
          <w:rFonts w:ascii="Garamond" w:hAnsi="Garamond"/>
        </w:rPr>
        <w:t>Often</w:t>
      </w:r>
      <w:r w:rsidR="00D023A9">
        <w:rPr>
          <w:rFonts w:ascii="Garamond" w:hAnsi="Garamond"/>
        </w:rPr>
        <w:t xml:space="preserve">, </w:t>
      </w:r>
      <w:r w:rsidR="00D023A9" w:rsidRPr="00D023A9">
        <w:rPr>
          <w:rFonts w:ascii="Garamond" w:hAnsi="Garamond"/>
        </w:rPr>
        <w:t>All of</w:t>
      </w:r>
      <w:r w:rsidR="00D023A9">
        <w:rPr>
          <w:rFonts w:ascii="Garamond" w:hAnsi="Garamond"/>
        </w:rPr>
        <w:t xml:space="preserve"> </w:t>
      </w:r>
      <w:r w:rsidR="00D023A9" w:rsidRPr="00D023A9">
        <w:rPr>
          <w:rFonts w:ascii="Garamond" w:hAnsi="Garamond"/>
        </w:rPr>
        <w:t>the time</w:t>
      </w:r>
      <w:r w:rsidR="00D023A9">
        <w:rPr>
          <w:rFonts w:ascii="Garamond" w:hAnsi="Garamond"/>
        </w:rPr>
        <w:t>)</w:t>
      </w:r>
      <w:r w:rsidR="0049471B">
        <w:rPr>
          <w:rFonts w:ascii="Garamond" w:hAnsi="Garamond"/>
        </w:rPr>
        <w:t>.</w:t>
      </w:r>
    </w:p>
    <w:p w14:paraId="676EABC6" w14:textId="0E355E7A" w:rsidR="00F94CAE" w:rsidRPr="00AB0C08" w:rsidRDefault="00F94CAE" w:rsidP="007C50A8">
      <w:pPr>
        <w:spacing w:line="360" w:lineRule="auto"/>
        <w:jc w:val="both"/>
        <w:rPr>
          <w:rFonts w:ascii="Garamond" w:hAnsi="Garamond"/>
        </w:rPr>
      </w:pPr>
      <w:r w:rsidRPr="00AB0C08">
        <w:rPr>
          <w:rFonts w:ascii="Garamond" w:hAnsi="Garamond"/>
          <w:i/>
        </w:rPr>
        <w:t>Penn State Worry Questionnaire (PSWQ</w:t>
      </w:r>
      <w:r w:rsidR="0049471B">
        <w:rPr>
          <w:rFonts w:ascii="Garamond" w:hAnsi="Garamond"/>
        </w:rPr>
        <w:t xml:space="preserve">; </w:t>
      </w:r>
      <w:r w:rsidRPr="00AB0C08">
        <w:rPr>
          <w:rFonts w:ascii="Garamond" w:hAnsi="Garamond"/>
        </w:rPr>
        <w:t>Meyer et al, 1990). The PSWQ is the most established measure of trait worry and has been used in non-clinical and clinical populations (</w:t>
      </w:r>
      <w:proofErr w:type="spellStart"/>
      <w:r w:rsidRPr="00AB0C08">
        <w:rPr>
          <w:rFonts w:ascii="Garamond" w:hAnsi="Garamond"/>
        </w:rPr>
        <w:t>Startup</w:t>
      </w:r>
      <w:proofErr w:type="spellEnd"/>
      <w:r w:rsidRPr="00AB0C08">
        <w:rPr>
          <w:rFonts w:ascii="Garamond" w:hAnsi="Garamond"/>
        </w:rPr>
        <w:t xml:space="preserve"> &amp; Erickson, 2006). Each of the sixteen items is rated on a 5-point scale. Higher scores indicate a greater tendency to worry.</w:t>
      </w:r>
    </w:p>
    <w:p w14:paraId="1BC0B7A7" w14:textId="3DB3AF86" w:rsidR="00F94CAE" w:rsidRPr="00AB0C08" w:rsidRDefault="00F94CAE" w:rsidP="007C50A8">
      <w:pPr>
        <w:spacing w:line="360" w:lineRule="auto"/>
        <w:jc w:val="both"/>
        <w:rPr>
          <w:rFonts w:ascii="Garamond" w:hAnsi="Garamond"/>
        </w:rPr>
      </w:pPr>
      <w:proofErr w:type="gramStart"/>
      <w:r w:rsidRPr="00AB0C08">
        <w:rPr>
          <w:rFonts w:ascii="Garamond" w:hAnsi="Garamond"/>
          <w:i/>
        </w:rPr>
        <w:t>Perseverative Thinking Questionnaire (PTQ)</w:t>
      </w:r>
      <w:r w:rsidRPr="00AB0C08">
        <w:rPr>
          <w:rFonts w:ascii="Garamond" w:hAnsi="Garamond"/>
        </w:rPr>
        <w:t xml:space="preserve"> </w:t>
      </w:r>
      <w:r w:rsidR="00EA3213">
        <w:rPr>
          <w:rFonts w:ascii="Garamond" w:hAnsi="Garamond"/>
        </w:rPr>
        <w:t>(</w:t>
      </w:r>
      <w:proofErr w:type="spellStart"/>
      <w:r w:rsidRPr="00AB0C08">
        <w:rPr>
          <w:rFonts w:ascii="Garamond" w:hAnsi="Garamond"/>
        </w:rPr>
        <w:t>Ehring</w:t>
      </w:r>
      <w:proofErr w:type="spellEnd"/>
      <w:r w:rsidRPr="00AB0C08">
        <w:rPr>
          <w:rFonts w:ascii="Garamond" w:hAnsi="Garamond"/>
        </w:rPr>
        <w:t xml:space="preserve"> et al, 2011).</w:t>
      </w:r>
      <w:proofErr w:type="gramEnd"/>
      <w:r w:rsidRPr="00AB0C08">
        <w:rPr>
          <w:rFonts w:ascii="Garamond" w:hAnsi="Garamond"/>
        </w:rPr>
        <w:t xml:space="preserve"> This is a 15-item questionnaire asking how a person typically thinks about negative problems (e.g. ‘</w:t>
      </w:r>
      <w:proofErr w:type="gramStart"/>
      <w:r w:rsidRPr="00AB0C08">
        <w:rPr>
          <w:rFonts w:ascii="Garamond" w:hAnsi="Garamond"/>
        </w:rPr>
        <w:t>The</w:t>
      </w:r>
      <w:proofErr w:type="gramEnd"/>
      <w:r w:rsidRPr="00AB0C08">
        <w:rPr>
          <w:rFonts w:ascii="Garamond" w:hAnsi="Garamond"/>
        </w:rPr>
        <w:t xml:space="preserve"> same thoughts keep going through my mind again and again’), with each item assessed on a 0</w:t>
      </w:r>
      <w:r w:rsidR="007A1E38">
        <w:rPr>
          <w:rFonts w:ascii="Garamond" w:hAnsi="Garamond"/>
        </w:rPr>
        <w:t>-</w:t>
      </w:r>
      <w:r w:rsidRPr="00AB0C08">
        <w:rPr>
          <w:rFonts w:ascii="Garamond" w:hAnsi="Garamond"/>
        </w:rPr>
        <w:t>4 scale. Higher scores indicate greater levels of repetitive negative thinking.</w:t>
      </w:r>
    </w:p>
    <w:p w14:paraId="4B524AA6" w14:textId="043F122F" w:rsidR="00F94CAE" w:rsidRPr="00AB0C08" w:rsidRDefault="00F94CAE" w:rsidP="007C50A8">
      <w:pPr>
        <w:spacing w:line="360" w:lineRule="auto"/>
        <w:jc w:val="both"/>
        <w:rPr>
          <w:rFonts w:ascii="Garamond" w:hAnsi="Garamond"/>
        </w:rPr>
      </w:pPr>
      <w:proofErr w:type="gramStart"/>
      <w:r w:rsidRPr="00AB0C08">
        <w:rPr>
          <w:rFonts w:ascii="Garamond" w:hAnsi="Garamond"/>
          <w:i/>
        </w:rPr>
        <w:t>Green et al Paranoid Thoughts Scale (GPTS)</w:t>
      </w:r>
      <w:r w:rsidR="002446BA">
        <w:rPr>
          <w:rFonts w:ascii="Garamond" w:hAnsi="Garamond"/>
          <w:i/>
        </w:rPr>
        <w:t xml:space="preserve"> – Part B</w:t>
      </w:r>
      <w:r w:rsidRPr="00AB0C08">
        <w:rPr>
          <w:rFonts w:ascii="Garamond" w:hAnsi="Garamond"/>
        </w:rPr>
        <w:t xml:space="preserve"> (Green et al, 2008).</w:t>
      </w:r>
      <w:proofErr w:type="gramEnd"/>
      <w:r w:rsidRPr="00AB0C08">
        <w:rPr>
          <w:rFonts w:ascii="Garamond" w:hAnsi="Garamond"/>
        </w:rPr>
        <w:t xml:space="preserve"> The GPTS</w:t>
      </w:r>
      <w:r w:rsidR="002446BA">
        <w:rPr>
          <w:rFonts w:ascii="Garamond" w:hAnsi="Garamond"/>
        </w:rPr>
        <w:t xml:space="preserve"> Part B</w:t>
      </w:r>
      <w:r w:rsidRPr="00AB0C08">
        <w:rPr>
          <w:rFonts w:ascii="Garamond" w:hAnsi="Garamond"/>
        </w:rPr>
        <w:t xml:space="preserve"> is a</w:t>
      </w:r>
      <w:r w:rsidR="00F04ECF">
        <w:rPr>
          <w:rFonts w:ascii="Garamond" w:hAnsi="Garamond"/>
        </w:rPr>
        <w:t xml:space="preserve"> </w:t>
      </w:r>
      <w:r w:rsidR="002446BA">
        <w:rPr>
          <w:rFonts w:ascii="Garamond" w:hAnsi="Garamond"/>
        </w:rPr>
        <w:t>16</w:t>
      </w:r>
      <w:r w:rsidR="00F04ECF">
        <w:rPr>
          <w:rFonts w:ascii="Garamond" w:hAnsi="Garamond"/>
        </w:rPr>
        <w:t>-</w:t>
      </w:r>
      <w:r w:rsidRPr="00AB0C08">
        <w:rPr>
          <w:rFonts w:ascii="Garamond" w:hAnsi="Garamond"/>
        </w:rPr>
        <w:t xml:space="preserve">item measure of </w:t>
      </w:r>
      <w:r w:rsidR="002446BA">
        <w:rPr>
          <w:rFonts w:ascii="Garamond" w:hAnsi="Garamond"/>
        </w:rPr>
        <w:t xml:space="preserve">persecutory </w:t>
      </w:r>
      <w:r w:rsidRPr="00AB0C08">
        <w:rPr>
          <w:rFonts w:ascii="Garamond" w:hAnsi="Garamond"/>
        </w:rPr>
        <w:t xml:space="preserve">thinking (e.g. ‘I was convinced there was a conspiracy against me’). </w:t>
      </w:r>
      <w:r w:rsidR="007A1E38">
        <w:rPr>
          <w:rFonts w:ascii="Garamond" w:hAnsi="Garamond"/>
        </w:rPr>
        <w:t>I</w:t>
      </w:r>
      <w:r w:rsidRPr="00AB0C08">
        <w:rPr>
          <w:rFonts w:ascii="Garamond" w:hAnsi="Garamond"/>
        </w:rPr>
        <w:t>tem</w:t>
      </w:r>
      <w:r w:rsidR="007A1E38">
        <w:rPr>
          <w:rFonts w:ascii="Garamond" w:hAnsi="Garamond"/>
        </w:rPr>
        <w:t>s are</w:t>
      </w:r>
      <w:r w:rsidRPr="00AB0C08">
        <w:rPr>
          <w:rFonts w:ascii="Garamond" w:hAnsi="Garamond"/>
        </w:rPr>
        <w:t xml:space="preserve"> rated on a </w:t>
      </w:r>
      <w:r w:rsidR="007A1E38">
        <w:rPr>
          <w:rFonts w:ascii="Garamond" w:hAnsi="Garamond"/>
        </w:rPr>
        <w:t>1-</w:t>
      </w:r>
      <w:r w:rsidRPr="00AB0C08">
        <w:rPr>
          <w:rFonts w:ascii="Garamond" w:hAnsi="Garamond"/>
        </w:rPr>
        <w:t xml:space="preserve">5 scale. Higher scores indicate greater levels of paranoid thinking. </w:t>
      </w:r>
    </w:p>
    <w:p w14:paraId="2F069900" w14:textId="0DDF253F" w:rsidR="00F94CAE" w:rsidRPr="00AB0C08" w:rsidRDefault="00F94CAE" w:rsidP="007C50A8">
      <w:pPr>
        <w:spacing w:line="360" w:lineRule="auto"/>
        <w:jc w:val="both"/>
        <w:rPr>
          <w:rFonts w:ascii="Garamond" w:hAnsi="Garamond"/>
        </w:rPr>
      </w:pPr>
      <w:r w:rsidRPr="00AB0C08">
        <w:rPr>
          <w:rFonts w:ascii="Garamond" w:hAnsi="Garamond"/>
          <w:i/>
        </w:rPr>
        <w:t>Beck Anxiety Inventory (BAI)</w:t>
      </w:r>
      <w:r w:rsidRPr="00AB0C08">
        <w:rPr>
          <w:rFonts w:ascii="Garamond" w:hAnsi="Garamond"/>
        </w:rPr>
        <w:t xml:space="preserve"> (Beck et al, 1988). The BAI is a self-report 21-item</w:t>
      </w:r>
      <w:r w:rsidR="007A1E38">
        <w:rPr>
          <w:rFonts w:ascii="Garamond" w:hAnsi="Garamond"/>
        </w:rPr>
        <w:t xml:space="preserve"> assessment of anxiety. Items are rated on a</w:t>
      </w:r>
      <w:r w:rsidR="0049471B">
        <w:rPr>
          <w:rFonts w:ascii="Garamond" w:hAnsi="Garamond"/>
        </w:rPr>
        <w:t xml:space="preserve"> </w:t>
      </w:r>
      <w:r w:rsidRPr="00AB0C08">
        <w:rPr>
          <w:rFonts w:ascii="Garamond" w:hAnsi="Garamond"/>
        </w:rPr>
        <w:t xml:space="preserve">0-3 scale. Higher scores indicate higher levels of anxiety. </w:t>
      </w:r>
    </w:p>
    <w:p w14:paraId="2B284E8C" w14:textId="4406D785" w:rsidR="00F94CAE" w:rsidRPr="00AB0C08" w:rsidRDefault="00F94CAE" w:rsidP="007C50A8">
      <w:pPr>
        <w:spacing w:line="360" w:lineRule="auto"/>
        <w:jc w:val="both"/>
        <w:rPr>
          <w:rFonts w:ascii="Garamond" w:hAnsi="Garamond"/>
        </w:rPr>
      </w:pPr>
      <w:r w:rsidRPr="00AB0C08">
        <w:rPr>
          <w:rFonts w:ascii="Garamond" w:hAnsi="Garamond"/>
          <w:i/>
        </w:rPr>
        <w:t>Depression Anxiety Stress Scales (DASS Anxiety)</w:t>
      </w:r>
      <w:r w:rsidRPr="00AB0C08">
        <w:rPr>
          <w:rFonts w:ascii="Garamond" w:hAnsi="Garamond"/>
        </w:rPr>
        <w:t xml:space="preserve"> (</w:t>
      </w:r>
      <w:proofErr w:type="spellStart"/>
      <w:r w:rsidRPr="00AB0C08">
        <w:rPr>
          <w:rFonts w:ascii="Garamond" w:hAnsi="Garamond"/>
        </w:rPr>
        <w:t>Lovibond</w:t>
      </w:r>
      <w:proofErr w:type="spellEnd"/>
      <w:r w:rsidRPr="00AB0C08">
        <w:rPr>
          <w:rFonts w:ascii="Garamond" w:hAnsi="Garamond"/>
        </w:rPr>
        <w:t xml:space="preserve"> </w:t>
      </w:r>
      <w:r w:rsidR="007A1E38">
        <w:rPr>
          <w:rFonts w:ascii="Garamond" w:hAnsi="Garamond"/>
        </w:rPr>
        <w:t>&amp;</w:t>
      </w:r>
      <w:r w:rsidRPr="00AB0C08">
        <w:rPr>
          <w:rFonts w:ascii="Garamond" w:hAnsi="Garamond"/>
        </w:rPr>
        <w:t xml:space="preserve"> </w:t>
      </w:r>
      <w:proofErr w:type="spellStart"/>
      <w:r w:rsidRPr="00AB0C08">
        <w:rPr>
          <w:rFonts w:ascii="Garamond" w:hAnsi="Garamond"/>
        </w:rPr>
        <w:t>Lovibond</w:t>
      </w:r>
      <w:proofErr w:type="spellEnd"/>
      <w:r w:rsidRPr="00AB0C08">
        <w:rPr>
          <w:rFonts w:ascii="Garamond" w:hAnsi="Garamond"/>
        </w:rPr>
        <w:t>, 1995). The DASS Anxiety subscale compris</w:t>
      </w:r>
      <w:r w:rsidR="007A1E38">
        <w:rPr>
          <w:rFonts w:ascii="Garamond" w:hAnsi="Garamond"/>
        </w:rPr>
        <w:t>es</w:t>
      </w:r>
      <w:r w:rsidRPr="00AB0C08">
        <w:rPr>
          <w:rFonts w:ascii="Garamond" w:hAnsi="Garamond"/>
        </w:rPr>
        <w:t xml:space="preserve"> 14-items rated on a 0-3 scale. Higher scores indicate higher levels of anxiety.</w:t>
      </w:r>
      <w:r w:rsidR="00923E7B">
        <w:rPr>
          <w:rFonts w:ascii="Garamond" w:hAnsi="Garamond"/>
        </w:rPr>
        <w:t xml:space="preserve"> </w:t>
      </w:r>
    </w:p>
    <w:p w14:paraId="445A1784" w14:textId="149DF379" w:rsidR="00F94CAE" w:rsidRDefault="00F94CAE" w:rsidP="007C50A8">
      <w:pPr>
        <w:spacing w:line="360" w:lineRule="auto"/>
        <w:jc w:val="both"/>
        <w:rPr>
          <w:rFonts w:ascii="Garamond" w:hAnsi="Garamond"/>
        </w:rPr>
      </w:pPr>
      <w:r w:rsidRPr="00AB0C08">
        <w:rPr>
          <w:rFonts w:ascii="Garamond" w:hAnsi="Garamond"/>
          <w:i/>
        </w:rPr>
        <w:t>Generalized Anxiety Disorder Questionnaire –IV (GAD-Q-IV</w:t>
      </w:r>
      <w:r w:rsidRPr="00AB0C08">
        <w:rPr>
          <w:rFonts w:ascii="Garamond" w:hAnsi="Garamond"/>
        </w:rPr>
        <w:t>) (Newman et al, 2002). The GAD-Q-IV is a 9-item self-report diagnostic measure for generalised anxiety disorder</w:t>
      </w:r>
      <w:r w:rsidR="007A1E38">
        <w:rPr>
          <w:rFonts w:ascii="Garamond" w:hAnsi="Garamond"/>
        </w:rPr>
        <w:t xml:space="preserve"> (GAD)</w:t>
      </w:r>
      <w:r w:rsidRPr="00AB0C08">
        <w:rPr>
          <w:rFonts w:ascii="Garamond" w:hAnsi="Garamond"/>
        </w:rPr>
        <w:t>. A cut-off score of 7.67 is recommended to indicate probable GAD diagnostic status (Moore et al, 2014).</w:t>
      </w:r>
      <w:r w:rsidR="00EE49D5">
        <w:rPr>
          <w:rFonts w:ascii="Garamond" w:hAnsi="Garamond"/>
        </w:rPr>
        <w:t xml:space="preserve"> This was used to from a GAD subgroup </w:t>
      </w:r>
      <w:r w:rsidR="00A06D0A">
        <w:rPr>
          <w:rFonts w:ascii="Garamond" w:hAnsi="Garamond"/>
        </w:rPr>
        <w:t>(n=5</w:t>
      </w:r>
      <w:r w:rsidR="00DE4185">
        <w:rPr>
          <w:rFonts w:ascii="Garamond" w:hAnsi="Garamond"/>
        </w:rPr>
        <w:t>0</w:t>
      </w:r>
      <w:r w:rsidR="00A06D0A">
        <w:rPr>
          <w:rFonts w:ascii="Garamond" w:hAnsi="Garamond"/>
        </w:rPr>
        <w:t xml:space="preserve">) </w:t>
      </w:r>
      <w:r w:rsidR="00EE49D5">
        <w:rPr>
          <w:rFonts w:ascii="Garamond" w:hAnsi="Garamond"/>
        </w:rPr>
        <w:t>from the non-clinical participants.</w:t>
      </w:r>
    </w:p>
    <w:p w14:paraId="0DDD1ED4" w14:textId="3423F76D" w:rsidR="00D023A9" w:rsidRDefault="00654263" w:rsidP="007C50A8">
      <w:pPr>
        <w:spacing w:line="360" w:lineRule="auto"/>
        <w:jc w:val="both"/>
        <w:rPr>
          <w:rFonts w:ascii="Garamond" w:hAnsi="Garamond"/>
        </w:rPr>
      </w:pPr>
      <w:r w:rsidRPr="00654263">
        <w:rPr>
          <w:rFonts w:ascii="Garamond" w:hAnsi="Garamond"/>
          <w:i/>
        </w:rPr>
        <w:t>Positive and Negative Syndrome Scale (PANSS)</w:t>
      </w:r>
      <w:r w:rsidRPr="00654263">
        <w:rPr>
          <w:rFonts w:ascii="Garamond" w:hAnsi="Garamond"/>
        </w:rPr>
        <w:t xml:space="preserve"> </w:t>
      </w:r>
      <w:r>
        <w:rPr>
          <w:rFonts w:ascii="Garamond" w:hAnsi="Garamond"/>
        </w:rPr>
        <w:t>(</w:t>
      </w:r>
      <w:r w:rsidRPr="00654263">
        <w:rPr>
          <w:rFonts w:ascii="Garamond" w:hAnsi="Garamond"/>
        </w:rPr>
        <w:t>Kay, 1991)</w:t>
      </w:r>
      <w:r>
        <w:rPr>
          <w:rFonts w:ascii="Garamond" w:hAnsi="Garamond"/>
        </w:rPr>
        <w:t xml:space="preserve">. </w:t>
      </w:r>
      <w:r w:rsidRPr="00654263">
        <w:rPr>
          <w:rFonts w:ascii="Garamond" w:hAnsi="Garamond"/>
        </w:rPr>
        <w:t xml:space="preserve">The PANSS is a 30-item </w:t>
      </w:r>
      <w:r w:rsidR="00124068">
        <w:rPr>
          <w:rFonts w:ascii="Garamond" w:hAnsi="Garamond"/>
        </w:rPr>
        <w:t>interviewer-</w:t>
      </w:r>
      <w:r>
        <w:rPr>
          <w:rFonts w:ascii="Garamond" w:hAnsi="Garamond"/>
        </w:rPr>
        <w:t xml:space="preserve">rated </w:t>
      </w:r>
      <w:r w:rsidRPr="00654263">
        <w:rPr>
          <w:rFonts w:ascii="Garamond" w:hAnsi="Garamond"/>
        </w:rPr>
        <w:t xml:space="preserve">instrument developed for the assessment of patients with schizophrenia. </w:t>
      </w:r>
      <w:r w:rsidR="0049471B">
        <w:rPr>
          <w:rFonts w:ascii="Garamond" w:hAnsi="Garamond"/>
        </w:rPr>
        <w:t>Current s</w:t>
      </w:r>
      <w:r w:rsidRPr="00654263">
        <w:rPr>
          <w:rFonts w:ascii="Garamond" w:hAnsi="Garamond"/>
        </w:rPr>
        <w:t>ymptoms over the last week were rated. Higher scores indicate the greater presence of psychiatric symptoms.</w:t>
      </w:r>
      <w:r>
        <w:rPr>
          <w:rFonts w:ascii="Garamond" w:hAnsi="Garamond"/>
        </w:rPr>
        <w:t xml:space="preserve"> Only the general psychopathology scale was considered in this study, as a marker of changes in levels of affect.</w:t>
      </w:r>
    </w:p>
    <w:p w14:paraId="5F8532A2" w14:textId="77777777" w:rsidR="00654263" w:rsidRPr="00AB0C08" w:rsidRDefault="00654263" w:rsidP="007C50A8">
      <w:pPr>
        <w:spacing w:line="360" w:lineRule="auto"/>
        <w:jc w:val="both"/>
        <w:rPr>
          <w:rFonts w:ascii="Garamond" w:hAnsi="Garamond"/>
        </w:rPr>
      </w:pPr>
    </w:p>
    <w:p w14:paraId="26495669" w14:textId="77777777" w:rsidR="00F94CAE" w:rsidRPr="00AB0C08" w:rsidRDefault="00F94CAE" w:rsidP="007C50A8">
      <w:pPr>
        <w:spacing w:line="360" w:lineRule="auto"/>
        <w:jc w:val="both"/>
        <w:rPr>
          <w:rFonts w:ascii="Garamond" w:hAnsi="Garamond"/>
          <w:b/>
        </w:rPr>
      </w:pPr>
      <w:r w:rsidRPr="00AB0C08">
        <w:rPr>
          <w:rFonts w:ascii="Garamond" w:hAnsi="Garamond"/>
          <w:b/>
        </w:rPr>
        <w:t>Procedure</w:t>
      </w:r>
    </w:p>
    <w:p w14:paraId="27688DBC" w14:textId="212EAD73" w:rsidR="000611A1" w:rsidRDefault="00662055" w:rsidP="007C50A8">
      <w:pPr>
        <w:spacing w:line="360" w:lineRule="auto"/>
        <w:jc w:val="both"/>
        <w:rPr>
          <w:rFonts w:ascii="Garamond" w:hAnsi="Garamond"/>
        </w:rPr>
      </w:pPr>
      <w:r>
        <w:rPr>
          <w:rFonts w:ascii="Garamond" w:hAnsi="Garamond"/>
        </w:rPr>
        <w:lastRenderedPageBreak/>
        <w:t xml:space="preserve">Participants from the general population </w:t>
      </w:r>
      <w:r w:rsidR="00B066D9" w:rsidRPr="00AB0C08">
        <w:rPr>
          <w:rFonts w:ascii="Garamond" w:hAnsi="Garamond"/>
        </w:rPr>
        <w:t>completed</w:t>
      </w:r>
      <w:r>
        <w:rPr>
          <w:rFonts w:ascii="Garamond" w:hAnsi="Garamond"/>
        </w:rPr>
        <w:t xml:space="preserve"> questionnaires</w:t>
      </w:r>
      <w:r w:rsidR="00B066D9" w:rsidRPr="00AB0C08">
        <w:rPr>
          <w:rFonts w:ascii="Garamond" w:hAnsi="Garamond"/>
        </w:rPr>
        <w:t xml:space="preserve"> online</w:t>
      </w:r>
      <w:r w:rsidR="00C04617">
        <w:rPr>
          <w:rFonts w:ascii="Garamond" w:hAnsi="Garamond"/>
        </w:rPr>
        <w:t xml:space="preserve"> using </w:t>
      </w:r>
      <w:proofErr w:type="spellStart"/>
      <w:r w:rsidR="00C04617">
        <w:rPr>
          <w:rFonts w:ascii="Garamond" w:hAnsi="Garamond"/>
        </w:rPr>
        <w:t>Qualtrics</w:t>
      </w:r>
      <w:proofErr w:type="spellEnd"/>
      <w:r w:rsidR="00B066D9" w:rsidRPr="00AB0C08">
        <w:rPr>
          <w:rFonts w:ascii="Garamond" w:hAnsi="Garamond"/>
        </w:rPr>
        <w:t xml:space="preserve"> </w:t>
      </w:r>
      <w:r w:rsidR="005D1F36">
        <w:rPr>
          <w:rFonts w:ascii="Garamond" w:hAnsi="Garamond"/>
        </w:rPr>
        <w:t xml:space="preserve">and </w:t>
      </w:r>
      <w:r>
        <w:rPr>
          <w:rFonts w:ascii="Garamond" w:hAnsi="Garamond"/>
        </w:rPr>
        <w:t xml:space="preserve">participants from the clinical </w:t>
      </w:r>
      <w:r w:rsidR="00B066D9" w:rsidRPr="00AB0C08">
        <w:rPr>
          <w:rFonts w:ascii="Garamond" w:hAnsi="Garamond"/>
        </w:rPr>
        <w:t xml:space="preserve">samples completed </w:t>
      </w:r>
      <w:r w:rsidR="004E20E9">
        <w:rPr>
          <w:rFonts w:ascii="Garamond" w:hAnsi="Garamond"/>
        </w:rPr>
        <w:t xml:space="preserve">paper versions of the </w:t>
      </w:r>
      <w:r w:rsidR="00B066D9" w:rsidRPr="00AB0C08">
        <w:rPr>
          <w:rFonts w:ascii="Garamond" w:hAnsi="Garamond"/>
        </w:rPr>
        <w:t>questionnaires. The</w:t>
      </w:r>
      <w:r>
        <w:rPr>
          <w:rFonts w:ascii="Garamond" w:hAnsi="Garamond"/>
        </w:rPr>
        <w:t xml:space="preserve"> derivation</w:t>
      </w:r>
      <w:r w:rsidR="00B066D9" w:rsidRPr="00AB0C08">
        <w:rPr>
          <w:rFonts w:ascii="Garamond" w:hAnsi="Garamond"/>
        </w:rPr>
        <w:t xml:space="preserve"> sample </w:t>
      </w:r>
      <w:r w:rsidR="004C2B0E">
        <w:rPr>
          <w:rFonts w:ascii="Garamond" w:hAnsi="Garamond"/>
        </w:rPr>
        <w:t>(</w:t>
      </w:r>
      <w:r w:rsidR="004C2B0E" w:rsidRPr="005D1F36">
        <w:rPr>
          <w:rFonts w:ascii="Garamond" w:hAnsi="Garamond"/>
        </w:rPr>
        <w:t>n=</w:t>
      </w:r>
      <w:r w:rsidR="00B066D9" w:rsidRPr="00AB0C08">
        <w:rPr>
          <w:rFonts w:ascii="Garamond" w:hAnsi="Garamond"/>
        </w:rPr>
        <w:t>300</w:t>
      </w:r>
      <w:r w:rsidR="004C2B0E">
        <w:rPr>
          <w:rFonts w:ascii="Garamond" w:hAnsi="Garamond"/>
        </w:rPr>
        <w:t>)</w:t>
      </w:r>
      <w:r w:rsidR="00B066D9" w:rsidRPr="00AB0C08">
        <w:rPr>
          <w:rFonts w:ascii="Garamond" w:hAnsi="Garamond"/>
        </w:rPr>
        <w:t xml:space="preserve"> completed the full item pools for both measures. </w:t>
      </w:r>
      <w:r>
        <w:rPr>
          <w:rFonts w:ascii="Garamond" w:hAnsi="Garamond"/>
        </w:rPr>
        <w:t>T</w:t>
      </w:r>
      <w:r w:rsidR="00B066D9" w:rsidRPr="00AB0C08">
        <w:rPr>
          <w:rFonts w:ascii="Garamond" w:hAnsi="Garamond"/>
        </w:rPr>
        <w:t>he final</w:t>
      </w:r>
      <w:r>
        <w:rPr>
          <w:rFonts w:ascii="Garamond" w:hAnsi="Garamond"/>
        </w:rPr>
        <w:t xml:space="preserve"> </w:t>
      </w:r>
      <w:r w:rsidR="00B066D9" w:rsidRPr="00AB0C08">
        <w:rPr>
          <w:rFonts w:ascii="Garamond" w:hAnsi="Garamond"/>
        </w:rPr>
        <w:t>version</w:t>
      </w:r>
      <w:r>
        <w:rPr>
          <w:rFonts w:ascii="Garamond" w:hAnsi="Garamond"/>
        </w:rPr>
        <w:t>s</w:t>
      </w:r>
      <w:r w:rsidR="00B066D9" w:rsidRPr="00AB0C08">
        <w:rPr>
          <w:rFonts w:ascii="Garamond" w:hAnsi="Garamond"/>
        </w:rPr>
        <w:t xml:space="preserve"> of both measures w</w:t>
      </w:r>
      <w:r>
        <w:rPr>
          <w:rFonts w:ascii="Garamond" w:hAnsi="Garamond"/>
        </w:rPr>
        <w:t>ere then</w:t>
      </w:r>
      <w:r w:rsidR="00123379">
        <w:rPr>
          <w:rFonts w:ascii="Garamond" w:hAnsi="Garamond"/>
        </w:rPr>
        <w:t xml:space="preserve"> completed by </w:t>
      </w:r>
      <w:r w:rsidR="004C2B0E">
        <w:rPr>
          <w:rFonts w:ascii="Garamond" w:hAnsi="Garamond"/>
        </w:rPr>
        <w:t>the cross-validation sample (</w:t>
      </w:r>
      <w:r w:rsidR="004C2B0E" w:rsidRPr="005D1F36">
        <w:rPr>
          <w:rFonts w:ascii="Garamond" w:hAnsi="Garamond"/>
        </w:rPr>
        <w:t>n=</w:t>
      </w:r>
      <w:r w:rsidR="00123379" w:rsidRPr="005D1F36">
        <w:rPr>
          <w:rFonts w:ascii="Garamond" w:hAnsi="Garamond"/>
        </w:rPr>
        <w:t>449</w:t>
      </w:r>
      <w:r w:rsidR="004C2B0E">
        <w:rPr>
          <w:rFonts w:ascii="Garamond" w:hAnsi="Garamond"/>
        </w:rPr>
        <w:t>)</w:t>
      </w:r>
      <w:r w:rsidR="00B066D9" w:rsidRPr="00AB0C08">
        <w:rPr>
          <w:rFonts w:ascii="Garamond" w:hAnsi="Garamond"/>
        </w:rPr>
        <w:t xml:space="preserve">. </w:t>
      </w:r>
      <w:r w:rsidR="00822296" w:rsidRPr="00AB0C08">
        <w:rPr>
          <w:rFonts w:ascii="Garamond" w:hAnsi="Garamond"/>
        </w:rPr>
        <w:t>To assess concurrent validity</w:t>
      </w:r>
      <w:r w:rsidR="00954400">
        <w:rPr>
          <w:rFonts w:ascii="Garamond" w:hAnsi="Garamond"/>
        </w:rPr>
        <w:t xml:space="preserve"> in the cross-validation sample</w:t>
      </w:r>
      <w:r w:rsidR="00822296" w:rsidRPr="00AB0C08">
        <w:rPr>
          <w:rFonts w:ascii="Garamond" w:hAnsi="Garamond"/>
        </w:rPr>
        <w:t xml:space="preserve">, </w:t>
      </w:r>
      <w:r w:rsidR="00954400">
        <w:rPr>
          <w:rFonts w:ascii="Garamond" w:hAnsi="Garamond"/>
        </w:rPr>
        <w:t xml:space="preserve">participants from </w:t>
      </w:r>
      <w:r w:rsidR="00822296" w:rsidRPr="00AB0C08">
        <w:rPr>
          <w:rFonts w:ascii="Garamond" w:hAnsi="Garamond"/>
        </w:rPr>
        <w:t xml:space="preserve">the general population also completed the PSWQ, </w:t>
      </w:r>
      <w:r w:rsidR="00AE54CA">
        <w:rPr>
          <w:rFonts w:ascii="Garamond" w:hAnsi="Garamond"/>
        </w:rPr>
        <w:t xml:space="preserve">GAD-Q-IV, </w:t>
      </w:r>
      <w:r w:rsidR="0071268C" w:rsidRPr="00AB0C08">
        <w:rPr>
          <w:rFonts w:ascii="Garamond" w:hAnsi="Garamond"/>
        </w:rPr>
        <w:t>PT</w:t>
      </w:r>
      <w:r w:rsidR="0071268C">
        <w:rPr>
          <w:rFonts w:ascii="Garamond" w:hAnsi="Garamond"/>
        </w:rPr>
        <w:t>Q</w:t>
      </w:r>
      <w:r w:rsidR="00822296" w:rsidRPr="00AB0C08">
        <w:rPr>
          <w:rFonts w:ascii="Garamond" w:hAnsi="Garamond"/>
        </w:rPr>
        <w:t xml:space="preserve">, DASS, and the GPTS, </w:t>
      </w:r>
      <w:r w:rsidR="005D1F36">
        <w:rPr>
          <w:rFonts w:ascii="Garamond" w:hAnsi="Garamond"/>
        </w:rPr>
        <w:t>and</w:t>
      </w:r>
      <w:r w:rsidR="00822296" w:rsidRPr="00AB0C08">
        <w:rPr>
          <w:rFonts w:ascii="Garamond" w:hAnsi="Garamond"/>
        </w:rPr>
        <w:t xml:space="preserve"> the persecutory delusion </w:t>
      </w:r>
      <w:r w:rsidR="00954400">
        <w:rPr>
          <w:rFonts w:ascii="Garamond" w:hAnsi="Garamond"/>
        </w:rPr>
        <w:t>group</w:t>
      </w:r>
      <w:r w:rsidR="00822296" w:rsidRPr="00AB0C08">
        <w:rPr>
          <w:rFonts w:ascii="Garamond" w:hAnsi="Garamond"/>
        </w:rPr>
        <w:t xml:space="preserve"> completed the PSWQ, BAI, GPTS</w:t>
      </w:r>
      <w:r w:rsidR="00654263">
        <w:rPr>
          <w:rFonts w:ascii="Garamond" w:hAnsi="Garamond"/>
        </w:rPr>
        <w:t xml:space="preserve">, </w:t>
      </w:r>
      <w:r w:rsidR="00954400">
        <w:rPr>
          <w:rFonts w:ascii="Garamond" w:hAnsi="Garamond"/>
        </w:rPr>
        <w:t xml:space="preserve">PTQ, </w:t>
      </w:r>
      <w:r w:rsidR="00654263">
        <w:rPr>
          <w:rFonts w:ascii="Garamond" w:hAnsi="Garamond"/>
        </w:rPr>
        <w:t>and PANSS</w:t>
      </w:r>
      <w:r w:rsidR="00822296" w:rsidRPr="00AB0C08">
        <w:rPr>
          <w:rFonts w:ascii="Garamond" w:hAnsi="Garamond"/>
        </w:rPr>
        <w:t>. No additional measures were</w:t>
      </w:r>
      <w:r w:rsidR="00AE54CA">
        <w:rPr>
          <w:rFonts w:ascii="Garamond" w:hAnsi="Garamond"/>
        </w:rPr>
        <w:t xml:space="preserve"> completed</w:t>
      </w:r>
      <w:r w:rsidR="00822296" w:rsidRPr="00AB0C08">
        <w:rPr>
          <w:rFonts w:ascii="Garamond" w:hAnsi="Garamond"/>
        </w:rPr>
        <w:t xml:space="preserve"> </w:t>
      </w:r>
      <w:r w:rsidR="00AE54CA">
        <w:rPr>
          <w:rFonts w:ascii="Garamond" w:hAnsi="Garamond"/>
        </w:rPr>
        <w:t>by the p</w:t>
      </w:r>
      <w:r w:rsidR="00822296" w:rsidRPr="00AB0C08">
        <w:rPr>
          <w:rFonts w:ascii="Garamond" w:hAnsi="Garamond"/>
        </w:rPr>
        <w:t xml:space="preserve">atients with </w:t>
      </w:r>
      <w:r w:rsidR="007A1E38">
        <w:rPr>
          <w:rFonts w:ascii="Garamond" w:hAnsi="Garamond"/>
        </w:rPr>
        <w:t>SAD</w:t>
      </w:r>
      <w:r w:rsidR="00822296" w:rsidRPr="00AB0C08">
        <w:rPr>
          <w:rFonts w:ascii="Garamond" w:hAnsi="Garamond"/>
        </w:rPr>
        <w:t xml:space="preserve">. </w:t>
      </w:r>
      <w:r w:rsidR="00AE54CA">
        <w:rPr>
          <w:rFonts w:ascii="Garamond" w:hAnsi="Garamond"/>
        </w:rPr>
        <w:t xml:space="preserve">To examine test-retest reliability, </w:t>
      </w:r>
      <w:r w:rsidR="005B54DC">
        <w:rPr>
          <w:rFonts w:ascii="Garamond" w:hAnsi="Garamond"/>
        </w:rPr>
        <w:t>seventy-five</w:t>
      </w:r>
      <w:r w:rsidR="00AE54CA">
        <w:rPr>
          <w:rFonts w:ascii="Garamond" w:hAnsi="Garamond"/>
        </w:rPr>
        <w:t xml:space="preserve"> participants from the cross-validation sample (</w:t>
      </w:r>
      <w:r w:rsidR="007A1E38">
        <w:rPr>
          <w:rFonts w:ascii="Garamond" w:hAnsi="Garamond"/>
        </w:rPr>
        <w:t>50</w:t>
      </w:r>
      <w:r w:rsidR="00F94CAE" w:rsidRPr="00AB0C08">
        <w:rPr>
          <w:rFonts w:ascii="Garamond" w:hAnsi="Garamond"/>
        </w:rPr>
        <w:t xml:space="preserve"> </w:t>
      </w:r>
      <w:r w:rsidR="00AE54CA">
        <w:rPr>
          <w:rFonts w:ascii="Garamond" w:hAnsi="Garamond"/>
        </w:rPr>
        <w:t xml:space="preserve">from </w:t>
      </w:r>
      <w:r w:rsidR="000611A1">
        <w:rPr>
          <w:rFonts w:ascii="Garamond" w:hAnsi="Garamond"/>
        </w:rPr>
        <w:t xml:space="preserve">the </w:t>
      </w:r>
      <w:r w:rsidR="00791964" w:rsidRPr="00AB0C08">
        <w:rPr>
          <w:rFonts w:ascii="Garamond" w:hAnsi="Garamond"/>
        </w:rPr>
        <w:t>general population</w:t>
      </w:r>
      <w:r w:rsidR="00AE54CA">
        <w:rPr>
          <w:rFonts w:ascii="Garamond" w:hAnsi="Garamond"/>
        </w:rPr>
        <w:t xml:space="preserve"> </w:t>
      </w:r>
      <w:r w:rsidR="000611A1">
        <w:rPr>
          <w:rFonts w:ascii="Garamond" w:hAnsi="Garamond"/>
        </w:rPr>
        <w:t xml:space="preserve">and </w:t>
      </w:r>
      <w:r w:rsidR="00F94CAE" w:rsidRPr="00AB0C08">
        <w:rPr>
          <w:rFonts w:ascii="Garamond" w:hAnsi="Garamond"/>
        </w:rPr>
        <w:t>2</w:t>
      </w:r>
      <w:r w:rsidR="005B54DC">
        <w:rPr>
          <w:rFonts w:ascii="Garamond" w:hAnsi="Garamond"/>
        </w:rPr>
        <w:t>5</w:t>
      </w:r>
      <w:r w:rsidR="00AE54CA">
        <w:rPr>
          <w:rFonts w:ascii="Garamond" w:hAnsi="Garamond"/>
        </w:rPr>
        <w:t xml:space="preserve"> with</w:t>
      </w:r>
      <w:r w:rsidR="00F94CAE" w:rsidRPr="00AB0C08">
        <w:rPr>
          <w:rFonts w:ascii="Garamond" w:hAnsi="Garamond"/>
        </w:rPr>
        <w:t xml:space="preserve"> </w:t>
      </w:r>
      <w:r w:rsidR="00791964" w:rsidRPr="00AB0C08">
        <w:rPr>
          <w:rFonts w:ascii="Garamond" w:hAnsi="Garamond"/>
        </w:rPr>
        <w:t>persecutory delusion</w:t>
      </w:r>
      <w:r w:rsidR="00AE54CA">
        <w:rPr>
          <w:rFonts w:ascii="Garamond" w:hAnsi="Garamond"/>
        </w:rPr>
        <w:t>s)</w:t>
      </w:r>
      <w:r w:rsidR="00791964" w:rsidRPr="00AB0C08">
        <w:rPr>
          <w:rFonts w:ascii="Garamond" w:hAnsi="Garamond"/>
        </w:rPr>
        <w:t xml:space="preserve"> </w:t>
      </w:r>
      <w:r w:rsidR="000D76C7">
        <w:rPr>
          <w:rFonts w:ascii="Garamond" w:hAnsi="Garamond"/>
        </w:rPr>
        <w:t xml:space="preserve">also </w:t>
      </w:r>
      <w:r w:rsidR="00791964" w:rsidRPr="00AB0C08">
        <w:rPr>
          <w:rFonts w:ascii="Garamond" w:hAnsi="Garamond"/>
        </w:rPr>
        <w:t>r</w:t>
      </w:r>
      <w:r w:rsidR="00F94CAE" w:rsidRPr="00AB0C08">
        <w:rPr>
          <w:rFonts w:ascii="Garamond" w:hAnsi="Garamond"/>
        </w:rPr>
        <w:t>epeated the</w:t>
      </w:r>
      <w:r w:rsidR="00B066D9" w:rsidRPr="00AB0C08">
        <w:rPr>
          <w:rFonts w:ascii="Garamond" w:hAnsi="Garamond"/>
        </w:rPr>
        <w:t xml:space="preserve"> </w:t>
      </w:r>
      <w:r w:rsidR="002446BA">
        <w:rPr>
          <w:rFonts w:ascii="Garamond" w:hAnsi="Garamond"/>
        </w:rPr>
        <w:t xml:space="preserve">new measures </w:t>
      </w:r>
      <w:r w:rsidR="00F94CAE" w:rsidRPr="00AB0C08">
        <w:rPr>
          <w:rFonts w:ascii="Garamond" w:hAnsi="Garamond"/>
        </w:rPr>
        <w:t xml:space="preserve">one week later. </w:t>
      </w:r>
      <w:r w:rsidR="00B066D9" w:rsidRPr="00AB0C08">
        <w:rPr>
          <w:rFonts w:ascii="Garamond" w:hAnsi="Garamond"/>
        </w:rPr>
        <w:t>To assess sensitivity to clinical change, the</w:t>
      </w:r>
      <w:r w:rsidR="000D76C7">
        <w:rPr>
          <w:rFonts w:ascii="Garamond" w:hAnsi="Garamond"/>
        </w:rPr>
        <w:t xml:space="preserve"> </w:t>
      </w:r>
      <w:r w:rsidR="00B066D9" w:rsidRPr="00AB0C08">
        <w:rPr>
          <w:rFonts w:ascii="Garamond" w:hAnsi="Garamond"/>
        </w:rPr>
        <w:t>worry scales were repeated by f</w:t>
      </w:r>
      <w:r w:rsidR="00F94CAE" w:rsidRPr="00AB0C08">
        <w:rPr>
          <w:rFonts w:ascii="Garamond" w:hAnsi="Garamond"/>
        </w:rPr>
        <w:t xml:space="preserve">orty-three participants </w:t>
      </w:r>
      <w:r w:rsidR="00612052">
        <w:rPr>
          <w:rFonts w:ascii="Garamond" w:hAnsi="Garamond"/>
        </w:rPr>
        <w:t>(</w:t>
      </w:r>
      <w:r w:rsidR="00612052" w:rsidRPr="00612052">
        <w:rPr>
          <w:rFonts w:ascii="Garamond" w:hAnsi="Garamond"/>
        </w:rPr>
        <w:t>who had been in the cross-validation sample</w:t>
      </w:r>
      <w:r w:rsidR="00612052">
        <w:rPr>
          <w:rFonts w:ascii="Garamond" w:hAnsi="Garamond"/>
        </w:rPr>
        <w:t xml:space="preserve">) </w:t>
      </w:r>
      <w:r w:rsidR="00B066D9" w:rsidRPr="00AB0C08">
        <w:rPr>
          <w:rFonts w:ascii="Garamond" w:hAnsi="Garamond"/>
        </w:rPr>
        <w:t>with a persecutory delusion</w:t>
      </w:r>
      <w:r w:rsidR="000611A1">
        <w:rPr>
          <w:rFonts w:ascii="Garamond" w:hAnsi="Garamond"/>
        </w:rPr>
        <w:t xml:space="preserve"> during the W</w:t>
      </w:r>
      <w:r w:rsidR="0012218B">
        <w:rPr>
          <w:rFonts w:ascii="Garamond" w:hAnsi="Garamond"/>
        </w:rPr>
        <w:t>IT</w:t>
      </w:r>
      <w:r w:rsidR="00794960">
        <w:rPr>
          <w:rFonts w:ascii="Garamond" w:hAnsi="Garamond"/>
        </w:rPr>
        <w:t xml:space="preserve"> </w:t>
      </w:r>
      <w:r w:rsidR="004C2B0E">
        <w:rPr>
          <w:rFonts w:ascii="Garamond" w:hAnsi="Garamond"/>
        </w:rPr>
        <w:t>(Freeman et al, 2015)</w:t>
      </w:r>
      <w:r w:rsidR="000611A1">
        <w:rPr>
          <w:rFonts w:ascii="Garamond" w:hAnsi="Garamond"/>
        </w:rPr>
        <w:t>.</w:t>
      </w:r>
    </w:p>
    <w:p w14:paraId="10E215E9" w14:textId="77777777" w:rsidR="00200B45" w:rsidRDefault="00200B45" w:rsidP="007C50A8">
      <w:pPr>
        <w:spacing w:line="360" w:lineRule="auto"/>
        <w:jc w:val="both"/>
        <w:rPr>
          <w:rFonts w:ascii="Garamond" w:hAnsi="Garamond"/>
        </w:rPr>
      </w:pPr>
    </w:p>
    <w:p w14:paraId="0C27D160" w14:textId="0B416F56" w:rsidR="00F94CAE" w:rsidRPr="00AB0C08" w:rsidRDefault="00237FED" w:rsidP="007C50A8">
      <w:pPr>
        <w:spacing w:line="360" w:lineRule="auto"/>
        <w:jc w:val="both"/>
        <w:rPr>
          <w:rFonts w:ascii="Garamond" w:hAnsi="Garamond"/>
          <w:b/>
        </w:rPr>
      </w:pPr>
      <w:r>
        <w:rPr>
          <w:rFonts w:ascii="Garamond" w:hAnsi="Garamond"/>
          <w:b/>
        </w:rPr>
        <w:t>A</w:t>
      </w:r>
      <w:r w:rsidR="00F94CAE" w:rsidRPr="00AB0C08">
        <w:rPr>
          <w:rFonts w:ascii="Garamond" w:hAnsi="Garamond"/>
          <w:b/>
        </w:rPr>
        <w:t>nalysis</w:t>
      </w:r>
    </w:p>
    <w:p w14:paraId="38915B8C" w14:textId="68E6689F" w:rsidR="00F85B10" w:rsidRPr="00AB0C08" w:rsidRDefault="00F94CAE" w:rsidP="007C50A8">
      <w:pPr>
        <w:spacing w:line="360" w:lineRule="auto"/>
        <w:jc w:val="both"/>
        <w:rPr>
          <w:rFonts w:ascii="Garamond" w:hAnsi="Garamond"/>
        </w:rPr>
      </w:pPr>
      <w:r w:rsidRPr="00AB0C08">
        <w:rPr>
          <w:rFonts w:ascii="Garamond" w:hAnsi="Garamond"/>
        </w:rPr>
        <w:t xml:space="preserve">All analyses were conducted in R, version </w:t>
      </w:r>
      <w:r w:rsidR="00B066D9" w:rsidRPr="00AB0C08">
        <w:rPr>
          <w:rFonts w:ascii="Garamond" w:hAnsi="Garamond"/>
        </w:rPr>
        <w:t>3.5</w:t>
      </w:r>
      <w:r w:rsidR="002B06B6">
        <w:rPr>
          <w:rFonts w:ascii="Garamond" w:hAnsi="Garamond"/>
        </w:rPr>
        <w:t xml:space="preserve"> </w:t>
      </w:r>
      <w:r w:rsidR="002446BA">
        <w:rPr>
          <w:rFonts w:ascii="Garamond" w:hAnsi="Garamond"/>
        </w:rPr>
        <w:t>(R Core Team, 2013).</w:t>
      </w:r>
      <w:r w:rsidRPr="00AB0C08">
        <w:rPr>
          <w:rFonts w:ascii="Garamond" w:hAnsi="Garamond"/>
        </w:rPr>
        <w:t xml:space="preserve"> Rates of missing data were low</w:t>
      </w:r>
      <w:r w:rsidR="0000171B" w:rsidRPr="00AB0C08">
        <w:rPr>
          <w:rFonts w:ascii="Garamond" w:hAnsi="Garamond"/>
        </w:rPr>
        <w:t xml:space="preserve"> (less than 3%)</w:t>
      </w:r>
      <w:r w:rsidR="00807FC3">
        <w:rPr>
          <w:rFonts w:ascii="Garamond" w:hAnsi="Garamond"/>
        </w:rPr>
        <w:t xml:space="preserve">. </w:t>
      </w:r>
      <w:r w:rsidR="006C4EFC">
        <w:rPr>
          <w:rFonts w:ascii="Garamond" w:hAnsi="Garamond"/>
        </w:rPr>
        <w:t xml:space="preserve">Participants with missing data on the item pools were excluded (derivation sample </w:t>
      </w:r>
      <w:r w:rsidR="006C4EFC" w:rsidRPr="00D3334A">
        <w:rPr>
          <w:rFonts w:ascii="Garamond" w:hAnsi="Garamond"/>
          <w:i/>
        </w:rPr>
        <w:t>n</w:t>
      </w:r>
      <w:r w:rsidR="006C4EFC">
        <w:rPr>
          <w:rFonts w:ascii="Garamond" w:hAnsi="Garamond"/>
        </w:rPr>
        <w:t xml:space="preserve">=8, cross-validation sample </w:t>
      </w:r>
      <w:r w:rsidR="006C4EFC" w:rsidRPr="00D3334A">
        <w:rPr>
          <w:rFonts w:ascii="Garamond" w:hAnsi="Garamond"/>
          <w:i/>
        </w:rPr>
        <w:t>n</w:t>
      </w:r>
      <w:r w:rsidR="006C4EFC">
        <w:rPr>
          <w:rFonts w:ascii="Garamond" w:hAnsi="Garamond"/>
        </w:rPr>
        <w:t>=4)</w:t>
      </w:r>
      <w:r w:rsidR="00123379">
        <w:rPr>
          <w:rFonts w:ascii="Garamond" w:hAnsi="Garamond"/>
        </w:rPr>
        <w:t xml:space="preserve">. </w:t>
      </w:r>
      <w:r w:rsidR="00F85B10" w:rsidRPr="00AB0C08">
        <w:rPr>
          <w:rFonts w:ascii="Garamond" w:hAnsi="Garamond"/>
        </w:rPr>
        <w:t>Demonstrating the appropriateness of</w:t>
      </w:r>
      <w:r w:rsidR="006C4EFC">
        <w:rPr>
          <w:rFonts w:ascii="Garamond" w:hAnsi="Garamond"/>
        </w:rPr>
        <w:t xml:space="preserve"> </w:t>
      </w:r>
      <w:r w:rsidR="00AE54CA">
        <w:rPr>
          <w:rFonts w:ascii="Garamond" w:hAnsi="Garamond"/>
        </w:rPr>
        <w:t xml:space="preserve">factor analysis </w:t>
      </w:r>
      <w:r w:rsidR="006C4EFC">
        <w:rPr>
          <w:rFonts w:ascii="Garamond" w:hAnsi="Garamond"/>
        </w:rPr>
        <w:t>in</w:t>
      </w:r>
      <w:r w:rsidR="00AE54CA">
        <w:rPr>
          <w:rFonts w:ascii="Garamond" w:hAnsi="Garamond"/>
        </w:rPr>
        <w:t xml:space="preserve"> the derivation </w:t>
      </w:r>
      <w:r w:rsidR="00B57FC7">
        <w:rPr>
          <w:rFonts w:ascii="Garamond" w:hAnsi="Garamond"/>
        </w:rPr>
        <w:t xml:space="preserve">sample, Bartlett's test of </w:t>
      </w:r>
      <w:proofErr w:type="spellStart"/>
      <w:r w:rsidR="00B57FC7">
        <w:rPr>
          <w:rFonts w:ascii="Garamond" w:hAnsi="Garamond"/>
        </w:rPr>
        <w:t>S</w:t>
      </w:r>
      <w:r w:rsidR="00F85B10" w:rsidRPr="00AB0C08">
        <w:rPr>
          <w:rFonts w:ascii="Garamond" w:hAnsi="Garamond"/>
        </w:rPr>
        <w:t>phericity</w:t>
      </w:r>
      <w:proofErr w:type="spellEnd"/>
      <w:r w:rsidR="00F85B10" w:rsidRPr="00AB0C08">
        <w:rPr>
          <w:rFonts w:ascii="Garamond" w:hAnsi="Garamond"/>
        </w:rPr>
        <w:t xml:space="preserve"> was significant</w:t>
      </w:r>
      <w:r w:rsidR="009218FF" w:rsidRPr="00AB0C08">
        <w:rPr>
          <w:rFonts w:ascii="Garamond" w:hAnsi="Garamond"/>
        </w:rPr>
        <w:t xml:space="preserve"> (</w:t>
      </w:r>
      <w:r w:rsidR="009218FF" w:rsidRPr="00AB0C08">
        <w:rPr>
          <w:rFonts w:ascii="Garamond" w:hAnsi="Garamond"/>
          <w:bCs/>
          <w:i/>
          <w:color w:val="333333"/>
        </w:rPr>
        <w:t>χ</w:t>
      </w:r>
      <w:r w:rsidR="009218FF" w:rsidRPr="00AB0C08">
        <w:rPr>
          <w:rFonts w:ascii="Garamond" w:hAnsi="Garamond"/>
          <w:i/>
          <w:vertAlign w:val="superscript"/>
        </w:rPr>
        <w:t>2</w:t>
      </w:r>
      <w:r w:rsidR="009218FF" w:rsidRPr="00AB0C08">
        <w:rPr>
          <w:rFonts w:ascii="Garamond" w:hAnsi="Garamond"/>
        </w:rPr>
        <w:t xml:space="preserve">=22577, </w:t>
      </w:r>
      <w:proofErr w:type="spellStart"/>
      <w:proofErr w:type="gramStart"/>
      <w:r w:rsidR="009218FF" w:rsidRPr="00AB0C08">
        <w:rPr>
          <w:rFonts w:ascii="Garamond" w:hAnsi="Garamond"/>
          <w:i/>
        </w:rPr>
        <w:t>df</w:t>
      </w:r>
      <w:proofErr w:type="spellEnd"/>
      <w:proofErr w:type="gramEnd"/>
      <w:r w:rsidR="009218FF" w:rsidRPr="00AB0C08">
        <w:rPr>
          <w:rFonts w:ascii="Garamond" w:hAnsi="Garamond"/>
        </w:rPr>
        <w:t xml:space="preserve"> =1540, </w:t>
      </w:r>
      <w:r w:rsidR="009218FF" w:rsidRPr="00AB0C08">
        <w:rPr>
          <w:rFonts w:ascii="Garamond" w:hAnsi="Garamond"/>
          <w:i/>
        </w:rPr>
        <w:t>p</w:t>
      </w:r>
      <w:r w:rsidR="009218FF" w:rsidRPr="00AB0C08">
        <w:rPr>
          <w:rFonts w:ascii="Garamond" w:hAnsi="Garamond"/>
        </w:rPr>
        <w:t>&lt;0.001) and</w:t>
      </w:r>
      <w:r w:rsidR="00F85B10" w:rsidRPr="00AB0C08">
        <w:rPr>
          <w:rFonts w:ascii="Garamond" w:hAnsi="Garamond"/>
        </w:rPr>
        <w:t xml:space="preserve"> the Kaiser-Meyer-</w:t>
      </w:r>
      <w:proofErr w:type="spellStart"/>
      <w:r w:rsidR="00F85B10" w:rsidRPr="00AB0C08">
        <w:rPr>
          <w:rFonts w:ascii="Garamond" w:hAnsi="Garamond"/>
        </w:rPr>
        <w:t>Olkin</w:t>
      </w:r>
      <w:proofErr w:type="spellEnd"/>
      <w:r w:rsidR="00F85B10" w:rsidRPr="00AB0C08">
        <w:rPr>
          <w:rFonts w:ascii="Garamond" w:hAnsi="Garamond"/>
        </w:rPr>
        <w:t xml:space="preserve"> test of sampling adequacy </w:t>
      </w:r>
      <w:r w:rsidR="009218FF" w:rsidRPr="00AB0C08">
        <w:rPr>
          <w:rFonts w:ascii="Garamond" w:hAnsi="Garamond"/>
        </w:rPr>
        <w:t>was excellent (</w:t>
      </w:r>
      <w:r w:rsidR="00F85B10" w:rsidRPr="00AB0C08">
        <w:rPr>
          <w:rFonts w:ascii="Garamond" w:hAnsi="Garamond"/>
        </w:rPr>
        <w:t>KMO=0.98).</w:t>
      </w:r>
      <w:r w:rsidR="00210095" w:rsidRPr="00AB0C08">
        <w:rPr>
          <w:rFonts w:ascii="Garamond" w:hAnsi="Garamond"/>
        </w:rPr>
        <w:t xml:space="preserve"> </w:t>
      </w:r>
      <w:r w:rsidR="00210095">
        <w:rPr>
          <w:rFonts w:ascii="Garamond" w:hAnsi="Garamond"/>
        </w:rPr>
        <w:t>T</w:t>
      </w:r>
      <w:r w:rsidR="00210095" w:rsidRPr="00AB0C08">
        <w:rPr>
          <w:rFonts w:ascii="Garamond" w:hAnsi="Garamond"/>
        </w:rPr>
        <w:t>o assess th</w:t>
      </w:r>
      <w:r w:rsidR="00210095">
        <w:rPr>
          <w:rFonts w:ascii="Garamond" w:hAnsi="Garamond"/>
        </w:rPr>
        <w:t>e</w:t>
      </w:r>
      <w:r w:rsidR="00210095" w:rsidRPr="00AB0C08">
        <w:rPr>
          <w:rFonts w:ascii="Garamond" w:hAnsi="Garamond"/>
        </w:rPr>
        <w:t xml:space="preserve"> factor structure and </w:t>
      </w:r>
      <w:proofErr w:type="spellStart"/>
      <w:r w:rsidR="00210095">
        <w:rPr>
          <w:rFonts w:ascii="Garamond" w:hAnsi="Garamond"/>
        </w:rPr>
        <w:t>separability</w:t>
      </w:r>
      <w:proofErr w:type="spellEnd"/>
      <w:r w:rsidR="00210095">
        <w:rPr>
          <w:rFonts w:ascii="Garamond" w:hAnsi="Garamond"/>
        </w:rPr>
        <w:t xml:space="preserve"> of the items</w:t>
      </w:r>
      <w:r w:rsidR="00210095" w:rsidRPr="00AB0C08">
        <w:rPr>
          <w:rFonts w:ascii="Garamond" w:hAnsi="Garamond"/>
        </w:rPr>
        <w:t xml:space="preserve"> </w:t>
      </w:r>
      <w:r w:rsidR="00210095">
        <w:rPr>
          <w:rFonts w:ascii="Garamond" w:hAnsi="Garamond"/>
        </w:rPr>
        <w:t xml:space="preserve">an </w:t>
      </w:r>
      <w:r w:rsidR="00210095" w:rsidRPr="00AB0C08">
        <w:rPr>
          <w:rFonts w:ascii="Garamond" w:hAnsi="Garamond"/>
        </w:rPr>
        <w:t xml:space="preserve">Exploratory Factor Analysis (EFA) </w:t>
      </w:r>
      <w:r w:rsidR="00210095">
        <w:rPr>
          <w:rFonts w:ascii="Garamond" w:hAnsi="Garamond"/>
        </w:rPr>
        <w:t xml:space="preserve">with </w:t>
      </w:r>
      <w:r w:rsidR="00210095" w:rsidRPr="00AB0C08">
        <w:rPr>
          <w:rFonts w:ascii="Garamond" w:hAnsi="Garamond"/>
        </w:rPr>
        <w:t xml:space="preserve">the maximum likelihood estimator </w:t>
      </w:r>
      <w:r w:rsidR="00210095">
        <w:rPr>
          <w:rFonts w:ascii="Garamond" w:hAnsi="Garamond"/>
        </w:rPr>
        <w:t>and oblique rotation was conducted using the ‘Psych’ package (</w:t>
      </w:r>
      <w:proofErr w:type="spellStart"/>
      <w:r w:rsidR="00210095">
        <w:rPr>
          <w:rFonts w:ascii="Garamond" w:hAnsi="Garamond"/>
        </w:rPr>
        <w:t>Revelle</w:t>
      </w:r>
      <w:proofErr w:type="spellEnd"/>
      <w:r w:rsidR="00210095">
        <w:rPr>
          <w:rFonts w:ascii="Garamond" w:hAnsi="Garamond"/>
        </w:rPr>
        <w:t>, 2018). Parallel analysis and examination of the scree plot was used to identify the number of factors to extract from the 56 items.</w:t>
      </w:r>
      <w:r w:rsidR="006A28C8" w:rsidRPr="006A28C8">
        <w:rPr>
          <w:rFonts w:ascii="Garamond" w:hAnsi="Garamond"/>
        </w:rPr>
        <w:t xml:space="preserve"> </w:t>
      </w:r>
      <w:r w:rsidR="006A28C8">
        <w:rPr>
          <w:rFonts w:ascii="Garamond" w:hAnsi="Garamond"/>
        </w:rPr>
        <w:t xml:space="preserve">The EFA and subsequent </w:t>
      </w:r>
      <w:r w:rsidR="00DD2DBE">
        <w:rPr>
          <w:rFonts w:ascii="Garamond" w:hAnsi="Garamond"/>
        </w:rPr>
        <w:t>I</w:t>
      </w:r>
      <w:r w:rsidR="006A28C8">
        <w:rPr>
          <w:rFonts w:ascii="Garamond" w:hAnsi="Garamond"/>
        </w:rPr>
        <w:t>RT</w:t>
      </w:r>
      <w:r w:rsidR="00DD2DBE">
        <w:rPr>
          <w:rFonts w:ascii="Garamond" w:hAnsi="Garamond"/>
        </w:rPr>
        <w:t xml:space="preserve"> </w:t>
      </w:r>
      <w:r w:rsidR="006A28C8">
        <w:rPr>
          <w:rFonts w:ascii="Garamond" w:hAnsi="Garamond"/>
        </w:rPr>
        <w:t>analyses were used to inform the selection of items for the final versions of both scales.</w:t>
      </w:r>
    </w:p>
    <w:p w14:paraId="0B432AEF" w14:textId="39DB9310" w:rsidR="00154012" w:rsidRDefault="009218FF" w:rsidP="007C50A8">
      <w:pPr>
        <w:spacing w:line="360" w:lineRule="auto"/>
        <w:jc w:val="both"/>
        <w:rPr>
          <w:rFonts w:ascii="Garamond" w:hAnsi="Garamond"/>
        </w:rPr>
      </w:pPr>
      <w:r w:rsidRPr="00AB0C08">
        <w:rPr>
          <w:rFonts w:ascii="Garamond" w:hAnsi="Garamond"/>
        </w:rPr>
        <w:t>The sample</w:t>
      </w:r>
      <w:r w:rsidR="00584BA1" w:rsidRPr="00AB0C08">
        <w:rPr>
          <w:rFonts w:ascii="Garamond" w:hAnsi="Garamond"/>
        </w:rPr>
        <w:t xml:space="preserve"> sizes </w:t>
      </w:r>
      <w:r w:rsidRPr="00AB0C08">
        <w:rPr>
          <w:rFonts w:ascii="Garamond" w:hAnsi="Garamond"/>
        </w:rPr>
        <w:t>w</w:t>
      </w:r>
      <w:r w:rsidR="00584BA1" w:rsidRPr="00AB0C08">
        <w:rPr>
          <w:rFonts w:ascii="Garamond" w:hAnsi="Garamond"/>
        </w:rPr>
        <w:t>ere</w:t>
      </w:r>
      <w:r w:rsidRPr="00AB0C08">
        <w:rPr>
          <w:rFonts w:ascii="Garamond" w:hAnsi="Garamond"/>
        </w:rPr>
        <w:t xml:space="preserve"> sufficient for IRT analysis given previous </w:t>
      </w:r>
      <w:r w:rsidR="00584BA1" w:rsidRPr="00AB0C08">
        <w:rPr>
          <w:rFonts w:ascii="Garamond" w:hAnsi="Garamond"/>
        </w:rPr>
        <w:t xml:space="preserve">recommendations that a </w:t>
      </w:r>
      <w:r w:rsidRPr="00AB0C08">
        <w:rPr>
          <w:rFonts w:ascii="Garamond" w:hAnsi="Garamond"/>
        </w:rPr>
        <w:t>minimum of 250 will provide stable estimates of the item parameters</w:t>
      </w:r>
      <w:r w:rsidR="00ED601D" w:rsidRPr="00AB0C08">
        <w:rPr>
          <w:rFonts w:ascii="Garamond" w:hAnsi="Garamond"/>
        </w:rPr>
        <w:t xml:space="preserve"> </w:t>
      </w:r>
      <w:r w:rsidR="009A0539" w:rsidRPr="00AB0C08">
        <w:rPr>
          <w:rFonts w:ascii="Garamond" w:hAnsi="Garamond"/>
        </w:rPr>
        <w:t>for</w:t>
      </w:r>
      <w:r w:rsidR="00ED601D" w:rsidRPr="00AB0C08">
        <w:rPr>
          <w:rFonts w:ascii="Garamond" w:hAnsi="Garamond"/>
        </w:rPr>
        <w:t xml:space="preserve"> questionnaire development</w:t>
      </w:r>
      <w:r w:rsidR="009A0539" w:rsidRPr="00AB0C08">
        <w:rPr>
          <w:rFonts w:ascii="Garamond" w:hAnsi="Garamond"/>
        </w:rPr>
        <w:t xml:space="preserve"> </w:t>
      </w:r>
      <w:r w:rsidRPr="00AB0C08">
        <w:rPr>
          <w:rFonts w:ascii="Garamond" w:hAnsi="Garamond"/>
        </w:rPr>
        <w:t>(</w:t>
      </w:r>
      <w:r w:rsidR="00DD1C9D">
        <w:rPr>
          <w:rFonts w:ascii="Garamond" w:hAnsi="Garamond"/>
        </w:rPr>
        <w:t>Orlando-</w:t>
      </w:r>
      <w:proofErr w:type="spellStart"/>
      <w:r w:rsidR="00ED601D" w:rsidRPr="00AB0C08">
        <w:rPr>
          <w:rFonts w:ascii="Garamond" w:hAnsi="Garamond"/>
        </w:rPr>
        <w:t>Edelen</w:t>
      </w:r>
      <w:proofErr w:type="spellEnd"/>
      <w:r w:rsidR="00ED601D" w:rsidRPr="00AB0C08">
        <w:rPr>
          <w:rFonts w:ascii="Garamond" w:hAnsi="Garamond"/>
        </w:rPr>
        <w:t xml:space="preserve"> &amp; Reeve, 2007</w:t>
      </w:r>
      <w:r w:rsidRPr="00AB0C08">
        <w:rPr>
          <w:rFonts w:ascii="Garamond" w:hAnsi="Garamond"/>
        </w:rPr>
        <w:t xml:space="preserve">). </w:t>
      </w:r>
      <w:r w:rsidR="009A0539" w:rsidRPr="00AB0C08">
        <w:rPr>
          <w:rFonts w:ascii="Garamond" w:hAnsi="Garamond"/>
        </w:rPr>
        <w:t xml:space="preserve">Given the </w:t>
      </w:r>
      <w:proofErr w:type="spellStart"/>
      <w:r w:rsidR="009A0539" w:rsidRPr="00AB0C08">
        <w:rPr>
          <w:rFonts w:ascii="Garamond" w:hAnsi="Garamond"/>
        </w:rPr>
        <w:t>polytomous</w:t>
      </w:r>
      <w:proofErr w:type="spellEnd"/>
      <w:r w:rsidR="009A0539" w:rsidRPr="00AB0C08">
        <w:rPr>
          <w:rFonts w:ascii="Garamond" w:hAnsi="Garamond"/>
        </w:rPr>
        <w:t xml:space="preserve"> response options, for each measure</w:t>
      </w:r>
      <w:r w:rsidR="00AE54CA">
        <w:rPr>
          <w:rFonts w:ascii="Garamond" w:hAnsi="Garamond"/>
        </w:rPr>
        <w:t xml:space="preserve"> </w:t>
      </w:r>
      <w:r w:rsidR="00210095">
        <w:rPr>
          <w:rFonts w:ascii="Garamond" w:hAnsi="Garamond"/>
        </w:rPr>
        <w:t xml:space="preserve">a </w:t>
      </w:r>
      <w:r w:rsidR="00210095" w:rsidRPr="00600FE3">
        <w:rPr>
          <w:rFonts w:ascii="Garamond" w:hAnsi="Garamond"/>
        </w:rPr>
        <w:t>two-parameter graded response model (GRM;</w:t>
      </w:r>
      <w:r w:rsidR="003D7A84">
        <w:rPr>
          <w:rFonts w:ascii="Garamond" w:hAnsi="Garamond"/>
        </w:rPr>
        <w:t xml:space="preserve"> </w:t>
      </w:r>
      <w:proofErr w:type="spellStart"/>
      <w:r w:rsidR="002446BA">
        <w:rPr>
          <w:rFonts w:ascii="Garamond" w:hAnsi="Garamond"/>
        </w:rPr>
        <w:t>Samejima</w:t>
      </w:r>
      <w:proofErr w:type="spellEnd"/>
      <w:r w:rsidR="002446BA">
        <w:rPr>
          <w:rFonts w:ascii="Garamond" w:hAnsi="Garamond"/>
        </w:rPr>
        <w:t>, 1969</w:t>
      </w:r>
      <w:r w:rsidR="00210095" w:rsidRPr="00600FE3">
        <w:rPr>
          <w:rFonts w:ascii="Garamond" w:hAnsi="Garamond"/>
        </w:rPr>
        <w:t>) IRT analys</w:t>
      </w:r>
      <w:r w:rsidR="00210095">
        <w:rPr>
          <w:rFonts w:ascii="Garamond" w:hAnsi="Garamond"/>
        </w:rPr>
        <w:t>i</w:t>
      </w:r>
      <w:r w:rsidR="00210095" w:rsidRPr="00600FE3">
        <w:rPr>
          <w:rFonts w:ascii="Garamond" w:hAnsi="Garamond"/>
        </w:rPr>
        <w:t>s w</w:t>
      </w:r>
      <w:r w:rsidR="00210095">
        <w:rPr>
          <w:rFonts w:ascii="Garamond" w:hAnsi="Garamond"/>
        </w:rPr>
        <w:t>as</w:t>
      </w:r>
      <w:r w:rsidR="00210095" w:rsidRPr="00600FE3">
        <w:rPr>
          <w:rFonts w:ascii="Garamond" w:hAnsi="Garamond"/>
        </w:rPr>
        <w:t xml:space="preserve"> conducted using the ‘</w:t>
      </w:r>
      <w:proofErr w:type="spellStart"/>
      <w:r w:rsidR="002446BA">
        <w:rPr>
          <w:rFonts w:ascii="Garamond" w:hAnsi="Garamond"/>
        </w:rPr>
        <w:t>mirt</w:t>
      </w:r>
      <w:proofErr w:type="spellEnd"/>
      <w:r w:rsidR="00210095" w:rsidRPr="00600FE3">
        <w:rPr>
          <w:rFonts w:ascii="Garamond" w:hAnsi="Garamond"/>
        </w:rPr>
        <w:t>’ package (Chalmers, 2012).</w:t>
      </w:r>
      <w:r w:rsidR="00EC73DF" w:rsidRPr="00AB0C08">
        <w:rPr>
          <w:rFonts w:ascii="Garamond" w:hAnsi="Garamond"/>
        </w:rPr>
        <w:t xml:space="preserve"> </w:t>
      </w:r>
      <w:r w:rsidR="00ED6EE4" w:rsidRPr="00AB0C08">
        <w:rPr>
          <w:rFonts w:ascii="Garamond" w:hAnsi="Garamond"/>
        </w:rPr>
        <w:t>Item</w:t>
      </w:r>
      <w:r w:rsidR="00AE54CA">
        <w:rPr>
          <w:rFonts w:ascii="Garamond" w:hAnsi="Garamond"/>
        </w:rPr>
        <w:t>s w</w:t>
      </w:r>
      <w:r w:rsidR="00954400">
        <w:rPr>
          <w:rFonts w:ascii="Garamond" w:hAnsi="Garamond"/>
        </w:rPr>
        <w:t>ith</w:t>
      </w:r>
      <w:r w:rsidR="00124068">
        <w:rPr>
          <w:rFonts w:ascii="Garamond" w:hAnsi="Garamond"/>
        </w:rPr>
        <w:t xml:space="preserve"> </w:t>
      </w:r>
      <w:r w:rsidR="00DB791D">
        <w:rPr>
          <w:rFonts w:ascii="Garamond" w:hAnsi="Garamond"/>
        </w:rPr>
        <w:t>poor item fit (</w:t>
      </w:r>
      <w:r w:rsidR="00124068">
        <w:rPr>
          <w:rFonts w:ascii="Garamond" w:hAnsi="Garamond"/>
        </w:rPr>
        <w:t>signed chi-</w:t>
      </w:r>
      <w:r w:rsidR="00AE54CA">
        <w:rPr>
          <w:rFonts w:ascii="Garamond" w:hAnsi="Garamond"/>
        </w:rPr>
        <w:t xml:space="preserve">square test </w:t>
      </w:r>
      <w:r w:rsidR="00DB791D">
        <w:rPr>
          <w:rFonts w:ascii="Garamond" w:hAnsi="Garamond"/>
        </w:rPr>
        <w:t xml:space="preserve">of </w:t>
      </w:r>
      <w:r w:rsidR="00DB791D">
        <w:rPr>
          <w:rFonts w:ascii="Garamond" w:hAnsi="Garamond"/>
          <w:i/>
        </w:rPr>
        <w:t>p</w:t>
      </w:r>
      <w:r w:rsidR="00AE54CA">
        <w:rPr>
          <w:rFonts w:ascii="Garamond" w:hAnsi="Garamond"/>
        </w:rPr>
        <w:t>&lt;0.01</w:t>
      </w:r>
      <w:r w:rsidR="00DB791D">
        <w:rPr>
          <w:rFonts w:ascii="Garamond" w:hAnsi="Garamond"/>
        </w:rPr>
        <w:t xml:space="preserve">; Orlando &amp; </w:t>
      </w:r>
      <w:proofErr w:type="spellStart"/>
      <w:r w:rsidR="00DB791D">
        <w:rPr>
          <w:rFonts w:ascii="Garamond" w:hAnsi="Garamond"/>
        </w:rPr>
        <w:t>Thissen</w:t>
      </w:r>
      <w:proofErr w:type="spellEnd"/>
      <w:r w:rsidR="00DB791D">
        <w:rPr>
          <w:rFonts w:ascii="Garamond" w:hAnsi="Garamond"/>
        </w:rPr>
        <w:t>, 2000)</w:t>
      </w:r>
      <w:r w:rsidR="00AE54CA">
        <w:rPr>
          <w:rFonts w:ascii="Garamond" w:hAnsi="Garamond"/>
        </w:rPr>
        <w:t xml:space="preserve"> or</w:t>
      </w:r>
      <w:r w:rsidR="00ED6EE4" w:rsidRPr="00AB0C08">
        <w:rPr>
          <w:rFonts w:ascii="Garamond" w:hAnsi="Garamond"/>
        </w:rPr>
        <w:t xml:space="preserve"> residual correlations above +0.2 </w:t>
      </w:r>
      <w:r w:rsidR="00DB791D">
        <w:rPr>
          <w:rFonts w:ascii="Garamond" w:hAnsi="Garamond"/>
        </w:rPr>
        <w:t xml:space="preserve">(Yen, 1993) </w:t>
      </w:r>
      <w:r w:rsidR="009D71B4">
        <w:rPr>
          <w:rFonts w:ascii="Garamond" w:hAnsi="Garamond"/>
        </w:rPr>
        <w:t>were excluded</w:t>
      </w:r>
      <w:r w:rsidR="00ED6EE4" w:rsidRPr="00AB0C08">
        <w:rPr>
          <w:rFonts w:ascii="Garamond" w:hAnsi="Garamond"/>
        </w:rPr>
        <w:t xml:space="preserve">. </w:t>
      </w:r>
    </w:p>
    <w:p w14:paraId="3044A5C5" w14:textId="77B0863E" w:rsidR="00207C3F" w:rsidRPr="00AB0C08" w:rsidRDefault="009218FF" w:rsidP="007C50A8">
      <w:pPr>
        <w:spacing w:line="360" w:lineRule="auto"/>
        <w:jc w:val="both"/>
        <w:rPr>
          <w:rFonts w:ascii="Garamond" w:hAnsi="Garamond"/>
        </w:rPr>
      </w:pPr>
      <w:r w:rsidRPr="00AB0C08">
        <w:rPr>
          <w:rFonts w:ascii="Garamond" w:hAnsi="Garamond"/>
        </w:rPr>
        <w:t>The IRT analysis produced discrimination and difficulty parameters for each item</w:t>
      </w:r>
      <w:r w:rsidR="00154012">
        <w:rPr>
          <w:rFonts w:ascii="Garamond" w:hAnsi="Garamond"/>
        </w:rPr>
        <w:t>. The t</w:t>
      </w:r>
      <w:r w:rsidR="006D2A42">
        <w:rPr>
          <w:rFonts w:ascii="Garamond" w:hAnsi="Garamond"/>
        </w:rPr>
        <w:t xml:space="preserve">heta values </w:t>
      </w:r>
      <w:r w:rsidR="00154012">
        <w:rPr>
          <w:rFonts w:ascii="Garamond" w:hAnsi="Garamond"/>
        </w:rPr>
        <w:t>represent</w:t>
      </w:r>
      <w:r w:rsidR="006D2A42">
        <w:rPr>
          <w:rFonts w:ascii="Garamond" w:hAnsi="Garamond"/>
        </w:rPr>
        <w:t xml:space="preserve"> the number of standard deviations from the average level </w:t>
      </w:r>
      <w:r w:rsidR="00400750">
        <w:rPr>
          <w:rFonts w:ascii="Garamond" w:hAnsi="Garamond"/>
        </w:rPr>
        <w:t xml:space="preserve">(theta=0) </w:t>
      </w:r>
      <w:r w:rsidR="006D2A42">
        <w:rPr>
          <w:rFonts w:ascii="Garamond" w:hAnsi="Garamond"/>
        </w:rPr>
        <w:t>of the latent trait</w:t>
      </w:r>
      <w:r w:rsidR="00400750">
        <w:rPr>
          <w:rFonts w:ascii="Garamond" w:hAnsi="Garamond"/>
        </w:rPr>
        <w:t xml:space="preserve"> (i.e. general worry or paranoia worry)</w:t>
      </w:r>
      <w:r w:rsidR="006D2A42">
        <w:rPr>
          <w:rFonts w:ascii="Garamond" w:hAnsi="Garamond"/>
        </w:rPr>
        <w:t>, with higher values representing more severe</w:t>
      </w:r>
      <w:r w:rsidR="00154012">
        <w:rPr>
          <w:rFonts w:ascii="Garamond" w:hAnsi="Garamond"/>
        </w:rPr>
        <w:t xml:space="preserve"> presentations</w:t>
      </w:r>
      <w:r w:rsidR="006D2A42">
        <w:rPr>
          <w:rFonts w:ascii="Garamond" w:hAnsi="Garamond"/>
        </w:rPr>
        <w:t xml:space="preserve">. </w:t>
      </w:r>
      <w:r w:rsidR="00467D5A">
        <w:rPr>
          <w:rFonts w:ascii="Garamond" w:hAnsi="Garamond"/>
        </w:rPr>
        <w:t>D</w:t>
      </w:r>
      <w:r w:rsidR="00210095">
        <w:rPr>
          <w:rFonts w:ascii="Garamond" w:hAnsi="Garamond"/>
        </w:rPr>
        <w:t>iscrimination (</w:t>
      </w:r>
      <w:r w:rsidR="00210095" w:rsidRPr="00111427">
        <w:rPr>
          <w:rFonts w:ascii="Garamond" w:hAnsi="Garamond"/>
          <w:i/>
        </w:rPr>
        <w:t>a</w:t>
      </w:r>
      <w:r w:rsidR="00210095">
        <w:rPr>
          <w:rFonts w:ascii="Garamond" w:hAnsi="Garamond"/>
        </w:rPr>
        <w:t>) parameter</w:t>
      </w:r>
      <w:r w:rsidR="00467D5A">
        <w:rPr>
          <w:rFonts w:ascii="Garamond" w:hAnsi="Garamond"/>
        </w:rPr>
        <w:t>s</w:t>
      </w:r>
      <w:r w:rsidR="00210095">
        <w:rPr>
          <w:rFonts w:ascii="Garamond" w:hAnsi="Garamond"/>
        </w:rPr>
        <w:t xml:space="preserve"> represents the capacity of </w:t>
      </w:r>
      <w:r w:rsidR="00467D5A">
        <w:rPr>
          <w:rFonts w:ascii="Garamond" w:hAnsi="Garamond"/>
        </w:rPr>
        <w:t>each</w:t>
      </w:r>
      <w:r w:rsidR="00210095">
        <w:rPr>
          <w:rFonts w:ascii="Garamond" w:hAnsi="Garamond"/>
        </w:rPr>
        <w:t xml:space="preserve"> item to discriminate among participants at different levels of severity (i.e. theta). Higher discrimination values indicate the probability of endorsing the item increases rapidly as the level of severity increases</w:t>
      </w:r>
      <w:r w:rsidR="00E225F1">
        <w:rPr>
          <w:rFonts w:ascii="Garamond" w:hAnsi="Garamond"/>
        </w:rPr>
        <w:t>.</w:t>
      </w:r>
      <w:r w:rsidR="00210095">
        <w:rPr>
          <w:rFonts w:ascii="Garamond" w:hAnsi="Garamond"/>
        </w:rPr>
        <w:t xml:space="preserve"> </w:t>
      </w:r>
      <w:r w:rsidR="00E225F1">
        <w:rPr>
          <w:rFonts w:ascii="Garamond" w:hAnsi="Garamond"/>
        </w:rPr>
        <w:t>Discrimination values</w:t>
      </w:r>
      <w:r w:rsidR="00210095">
        <w:rPr>
          <w:rFonts w:ascii="Garamond" w:hAnsi="Garamond"/>
        </w:rPr>
        <w:t xml:space="preserve"> of at least 0.5 </w:t>
      </w:r>
      <w:r w:rsidR="00E225F1">
        <w:rPr>
          <w:rFonts w:ascii="Garamond" w:hAnsi="Garamond"/>
        </w:rPr>
        <w:t xml:space="preserve">are </w:t>
      </w:r>
      <w:r w:rsidR="00210095">
        <w:rPr>
          <w:rFonts w:ascii="Garamond" w:hAnsi="Garamond"/>
        </w:rPr>
        <w:t>considered acceptable</w:t>
      </w:r>
      <w:r w:rsidR="00E225F1">
        <w:rPr>
          <w:rFonts w:ascii="Garamond" w:hAnsi="Garamond"/>
        </w:rPr>
        <w:t xml:space="preserve"> whilst values above 1 are highly </w:t>
      </w:r>
      <w:r w:rsidR="00AD628F">
        <w:rPr>
          <w:rFonts w:ascii="Garamond" w:hAnsi="Garamond"/>
        </w:rPr>
        <w:t>discriminative</w:t>
      </w:r>
      <w:r w:rsidR="00DD1C9D">
        <w:rPr>
          <w:rFonts w:ascii="Garamond" w:hAnsi="Garamond"/>
        </w:rPr>
        <w:t xml:space="preserve"> (Baker &amp; Kim, 2017</w:t>
      </w:r>
      <w:r w:rsidR="00210095">
        <w:rPr>
          <w:rFonts w:ascii="Garamond" w:hAnsi="Garamond"/>
        </w:rPr>
        <w:t>).</w:t>
      </w:r>
      <w:r w:rsidR="002B06B6">
        <w:rPr>
          <w:rFonts w:ascii="Garamond" w:hAnsi="Garamond"/>
        </w:rPr>
        <w:t xml:space="preserve"> </w:t>
      </w:r>
      <w:r w:rsidR="00584BA1" w:rsidRPr="00AB0C08">
        <w:rPr>
          <w:rFonts w:ascii="Garamond" w:hAnsi="Garamond"/>
        </w:rPr>
        <w:t xml:space="preserve">For each item </w:t>
      </w:r>
      <w:r w:rsidR="00584BA1" w:rsidRPr="00AB0C08">
        <w:rPr>
          <w:rFonts w:ascii="Garamond" w:hAnsi="Garamond"/>
        </w:rPr>
        <w:lastRenderedPageBreak/>
        <w:t>t</w:t>
      </w:r>
      <w:r w:rsidR="009A0539" w:rsidRPr="00AB0C08">
        <w:rPr>
          <w:rFonts w:ascii="Garamond" w:hAnsi="Garamond"/>
        </w:rPr>
        <w:t>he difficulty parameters</w:t>
      </w:r>
      <w:r w:rsidR="00AA4A63">
        <w:rPr>
          <w:rFonts w:ascii="Garamond" w:hAnsi="Garamond"/>
        </w:rPr>
        <w:t xml:space="preserve"> (</w:t>
      </w:r>
      <w:r w:rsidR="00AA4A63" w:rsidRPr="00877B69">
        <w:rPr>
          <w:rFonts w:ascii="Garamond" w:hAnsi="Garamond"/>
          <w:i/>
        </w:rPr>
        <w:t>b</w:t>
      </w:r>
      <w:r w:rsidR="00AA4A63">
        <w:rPr>
          <w:rFonts w:ascii="Garamond" w:hAnsi="Garamond"/>
        </w:rPr>
        <w:t>) represent the 50% probability</w:t>
      </w:r>
      <w:r w:rsidR="00154012">
        <w:rPr>
          <w:rFonts w:ascii="Garamond" w:hAnsi="Garamond"/>
        </w:rPr>
        <w:t xml:space="preserve"> of responding</w:t>
      </w:r>
      <w:r w:rsidR="00AA4A63">
        <w:rPr>
          <w:rFonts w:ascii="Garamond" w:hAnsi="Garamond"/>
        </w:rPr>
        <w:t xml:space="preserve"> at </w:t>
      </w:r>
      <w:r w:rsidR="006A28C8">
        <w:rPr>
          <w:rFonts w:ascii="Garamond" w:hAnsi="Garamond"/>
        </w:rPr>
        <w:t>the threshold between each option</w:t>
      </w:r>
      <w:r w:rsidR="006C4EFC">
        <w:rPr>
          <w:rFonts w:ascii="Garamond" w:hAnsi="Garamond"/>
        </w:rPr>
        <w:t xml:space="preserve"> </w:t>
      </w:r>
      <w:r w:rsidR="00154012">
        <w:rPr>
          <w:rFonts w:ascii="Garamond" w:hAnsi="Garamond"/>
        </w:rPr>
        <w:t>(</w:t>
      </w:r>
      <w:r w:rsidR="006C4EFC" w:rsidRPr="00877B69">
        <w:rPr>
          <w:rFonts w:ascii="Garamond" w:hAnsi="Garamond"/>
          <w:i/>
        </w:rPr>
        <w:t>b</w:t>
      </w:r>
      <w:r w:rsidR="006C4EFC" w:rsidRPr="00877B69">
        <w:rPr>
          <w:rFonts w:ascii="Garamond" w:hAnsi="Garamond"/>
          <w:i/>
          <w:vertAlign w:val="subscript"/>
        </w:rPr>
        <w:t>1</w:t>
      </w:r>
      <w:r w:rsidR="006C4EFC" w:rsidRPr="006C4EFC">
        <w:rPr>
          <w:rFonts w:ascii="Garamond" w:hAnsi="Garamond"/>
        </w:rPr>
        <w:t>=0-1,</w:t>
      </w:r>
      <w:r w:rsidR="006C4EFC" w:rsidRPr="00877B69">
        <w:rPr>
          <w:rFonts w:ascii="Garamond" w:hAnsi="Garamond"/>
          <w:i/>
        </w:rPr>
        <w:t xml:space="preserve"> b</w:t>
      </w:r>
      <w:r w:rsidR="006C4EFC" w:rsidRPr="00877B69">
        <w:rPr>
          <w:rFonts w:ascii="Garamond" w:hAnsi="Garamond"/>
          <w:i/>
          <w:vertAlign w:val="subscript"/>
        </w:rPr>
        <w:t>2</w:t>
      </w:r>
      <w:r w:rsidR="006C4EFC" w:rsidRPr="006C4EFC">
        <w:rPr>
          <w:rFonts w:ascii="Garamond" w:hAnsi="Garamond"/>
        </w:rPr>
        <w:t>=1-2,</w:t>
      </w:r>
      <w:r w:rsidR="006C4EFC" w:rsidRPr="00877B69">
        <w:rPr>
          <w:rFonts w:ascii="Garamond" w:hAnsi="Garamond"/>
          <w:i/>
        </w:rPr>
        <w:t xml:space="preserve"> b</w:t>
      </w:r>
      <w:r w:rsidR="006C4EFC" w:rsidRPr="00877B69">
        <w:rPr>
          <w:rFonts w:ascii="Garamond" w:hAnsi="Garamond"/>
          <w:i/>
          <w:vertAlign w:val="subscript"/>
        </w:rPr>
        <w:t>3</w:t>
      </w:r>
      <w:r w:rsidR="006C4EFC" w:rsidRPr="006C4EFC">
        <w:rPr>
          <w:rFonts w:ascii="Garamond" w:hAnsi="Garamond"/>
        </w:rPr>
        <w:t>=2-3, and</w:t>
      </w:r>
      <w:r w:rsidR="006C4EFC" w:rsidRPr="00877B69">
        <w:rPr>
          <w:rFonts w:ascii="Garamond" w:hAnsi="Garamond"/>
          <w:i/>
        </w:rPr>
        <w:t xml:space="preserve"> b</w:t>
      </w:r>
      <w:r w:rsidR="006C4EFC" w:rsidRPr="00877B69">
        <w:rPr>
          <w:rFonts w:ascii="Garamond" w:hAnsi="Garamond"/>
          <w:i/>
          <w:vertAlign w:val="subscript"/>
        </w:rPr>
        <w:t>4</w:t>
      </w:r>
      <w:r w:rsidR="006C4EFC">
        <w:rPr>
          <w:rFonts w:ascii="Garamond" w:hAnsi="Garamond"/>
        </w:rPr>
        <w:t>=3-</w:t>
      </w:r>
      <w:r w:rsidR="00154012">
        <w:rPr>
          <w:rFonts w:ascii="Garamond" w:hAnsi="Garamond"/>
        </w:rPr>
        <w:t>4)</w:t>
      </w:r>
      <w:r w:rsidR="00AA4A63">
        <w:rPr>
          <w:rFonts w:ascii="Garamond" w:hAnsi="Garamond"/>
        </w:rPr>
        <w:t xml:space="preserve">. Higher levels of difficulty represent items that measure the severe end of the spectrum. </w:t>
      </w:r>
    </w:p>
    <w:p w14:paraId="0131E497" w14:textId="16C0CE66" w:rsidR="00943CEF" w:rsidRDefault="00154012" w:rsidP="007C50A8">
      <w:pPr>
        <w:spacing w:line="360" w:lineRule="auto"/>
        <w:jc w:val="both"/>
        <w:rPr>
          <w:rFonts w:ascii="Garamond" w:hAnsi="Garamond"/>
        </w:rPr>
      </w:pPr>
      <w:r>
        <w:rPr>
          <w:rFonts w:ascii="Garamond" w:hAnsi="Garamond"/>
        </w:rPr>
        <w:t xml:space="preserve">To validate the psychometric properties of the selected items </w:t>
      </w:r>
      <w:r w:rsidR="009D71B4">
        <w:rPr>
          <w:rFonts w:ascii="Garamond" w:hAnsi="Garamond"/>
        </w:rPr>
        <w:t xml:space="preserve">for both questionnaires </w:t>
      </w:r>
      <w:r>
        <w:rPr>
          <w:rFonts w:ascii="Garamond" w:hAnsi="Garamond"/>
        </w:rPr>
        <w:t xml:space="preserve">the </w:t>
      </w:r>
      <w:r w:rsidR="00EE010D" w:rsidRPr="00AB0C08">
        <w:rPr>
          <w:rFonts w:ascii="Garamond" w:hAnsi="Garamond"/>
        </w:rPr>
        <w:t>IRT analys</w:t>
      </w:r>
      <w:r>
        <w:rPr>
          <w:rFonts w:ascii="Garamond" w:hAnsi="Garamond"/>
        </w:rPr>
        <w:t xml:space="preserve">es </w:t>
      </w:r>
      <w:r w:rsidR="009D71B4">
        <w:rPr>
          <w:rFonts w:ascii="Garamond" w:hAnsi="Garamond"/>
        </w:rPr>
        <w:t xml:space="preserve">were repeated </w:t>
      </w:r>
      <w:r>
        <w:rPr>
          <w:rFonts w:ascii="Garamond" w:hAnsi="Garamond"/>
        </w:rPr>
        <w:t>in</w:t>
      </w:r>
      <w:r w:rsidR="00815AC2" w:rsidRPr="00AB0C08">
        <w:rPr>
          <w:rFonts w:ascii="Garamond" w:hAnsi="Garamond"/>
        </w:rPr>
        <w:t xml:space="preserve"> the cross-validation sample</w:t>
      </w:r>
      <w:r w:rsidR="003E3637">
        <w:rPr>
          <w:rFonts w:ascii="Garamond" w:hAnsi="Garamond"/>
        </w:rPr>
        <w:t xml:space="preserve">. </w:t>
      </w:r>
      <w:r>
        <w:rPr>
          <w:rFonts w:ascii="Garamond" w:hAnsi="Garamond"/>
        </w:rPr>
        <w:t xml:space="preserve">The overall test information </w:t>
      </w:r>
      <w:r w:rsidR="00246A95">
        <w:rPr>
          <w:rFonts w:ascii="Garamond" w:hAnsi="Garamond"/>
        </w:rPr>
        <w:t xml:space="preserve">(TI) </w:t>
      </w:r>
      <w:r>
        <w:rPr>
          <w:rFonts w:ascii="Garamond" w:hAnsi="Garamond"/>
        </w:rPr>
        <w:t>provides a measure of the internal reliability of the scale</w:t>
      </w:r>
      <w:r w:rsidR="003E3637">
        <w:rPr>
          <w:rFonts w:ascii="Garamond" w:hAnsi="Garamond"/>
        </w:rPr>
        <w:t xml:space="preserve"> across the theta distribution</w:t>
      </w:r>
      <w:r w:rsidR="00694E99">
        <w:rPr>
          <w:rFonts w:ascii="Garamond" w:hAnsi="Garamond"/>
        </w:rPr>
        <w:t>.</w:t>
      </w:r>
      <w:r>
        <w:rPr>
          <w:rFonts w:ascii="Garamond" w:hAnsi="Garamond"/>
        </w:rPr>
        <w:t xml:space="preserve"> </w:t>
      </w:r>
      <w:r w:rsidR="00694E99">
        <w:rPr>
          <w:rFonts w:ascii="Garamond" w:hAnsi="Garamond"/>
        </w:rPr>
        <w:t xml:space="preserve">For interpretability, TI at specific values of theta was converted into an equivalent alpha reliability using the formula </w:t>
      </w:r>
      <m:oMath>
        <m:r>
          <m:rPr>
            <m:nor/>
          </m:rPr>
          <w:rPr>
            <w:rFonts w:ascii="Garamond" w:hAnsi="Garamond"/>
          </w:rPr>
          <m:t>1/</m:t>
        </m:r>
        <m:rad>
          <m:radPr>
            <m:degHide m:val="1"/>
            <m:ctrlPr>
              <w:rPr>
                <w:rFonts w:ascii="Cambria Math" w:hAnsi="Cambria Math"/>
                <w:i/>
                <w:sz w:val="20"/>
              </w:rPr>
            </m:ctrlPr>
          </m:radPr>
          <m:deg/>
          <m:e>
            <m:r>
              <m:rPr>
                <m:nor/>
              </m:rPr>
              <w:rPr>
                <w:rFonts w:ascii="Garamond" w:hAnsi="Garamond"/>
                <w:sz w:val="20"/>
              </w:rPr>
              <m:t>TI</m:t>
            </m:r>
            <m:r>
              <w:rPr>
                <w:rFonts w:ascii="Cambria Math" w:hAnsi="Cambria Math"/>
                <w:sz w:val="20"/>
              </w:rPr>
              <m:t>(θ)</m:t>
            </m:r>
          </m:e>
        </m:rad>
      </m:oMath>
      <w:r w:rsidR="00694E99" w:rsidRPr="00E3255A">
        <w:rPr>
          <w:rFonts w:ascii="Garamond" w:hAnsi="Garamond"/>
        </w:rPr>
        <w:t xml:space="preserve"> </w:t>
      </w:r>
      <w:r w:rsidR="00694E99">
        <w:rPr>
          <w:rFonts w:ascii="Garamond" w:hAnsi="Garamond"/>
        </w:rPr>
        <w:t>(O’Connor, 2017).</w:t>
      </w:r>
      <w:r>
        <w:rPr>
          <w:rFonts w:ascii="Garamond" w:hAnsi="Garamond"/>
        </w:rPr>
        <w:t xml:space="preserve"> </w:t>
      </w:r>
      <w:r w:rsidR="006C4EFC">
        <w:rPr>
          <w:rFonts w:ascii="Garamond" w:hAnsi="Garamond"/>
        </w:rPr>
        <w:t>The c</w:t>
      </w:r>
      <w:r w:rsidR="006C4EFC" w:rsidRPr="00AB0C08">
        <w:rPr>
          <w:rFonts w:ascii="Garamond" w:hAnsi="Garamond"/>
        </w:rPr>
        <w:t xml:space="preserve">oncurrent validity </w:t>
      </w:r>
      <w:r w:rsidR="006C4EFC">
        <w:rPr>
          <w:rFonts w:ascii="Garamond" w:hAnsi="Garamond"/>
        </w:rPr>
        <w:t xml:space="preserve">of the two </w:t>
      </w:r>
      <w:r w:rsidR="003E3637">
        <w:rPr>
          <w:rFonts w:ascii="Garamond" w:hAnsi="Garamond"/>
        </w:rPr>
        <w:t>scales</w:t>
      </w:r>
      <w:r w:rsidR="006C4EFC">
        <w:rPr>
          <w:rFonts w:ascii="Garamond" w:hAnsi="Garamond"/>
        </w:rPr>
        <w:t xml:space="preserve"> </w:t>
      </w:r>
      <w:r w:rsidR="006C4EFC" w:rsidRPr="00AB0C08">
        <w:rPr>
          <w:rFonts w:ascii="Garamond" w:hAnsi="Garamond"/>
        </w:rPr>
        <w:t>was</w:t>
      </w:r>
      <w:r w:rsidR="006C4EFC">
        <w:rPr>
          <w:rFonts w:ascii="Garamond" w:hAnsi="Garamond"/>
        </w:rPr>
        <w:t xml:space="preserve"> </w:t>
      </w:r>
      <w:r w:rsidR="006C4EFC" w:rsidRPr="00AB0C08">
        <w:rPr>
          <w:rFonts w:ascii="Garamond" w:hAnsi="Garamond"/>
        </w:rPr>
        <w:t>examined by evaluating the pattern of correlations between each scale and additional measures relating to worry, anxiety, and paranoia</w:t>
      </w:r>
      <w:r w:rsidR="003E3637">
        <w:rPr>
          <w:rFonts w:ascii="Garamond" w:hAnsi="Garamond"/>
        </w:rPr>
        <w:t xml:space="preserve"> and d</w:t>
      </w:r>
      <w:r w:rsidR="008954F7">
        <w:rPr>
          <w:rFonts w:ascii="Garamond" w:hAnsi="Garamond"/>
        </w:rPr>
        <w:t>ifferences in the total scores between the participant subgroups</w:t>
      </w:r>
      <w:r w:rsidR="003E3637">
        <w:rPr>
          <w:rFonts w:ascii="Garamond" w:hAnsi="Garamond"/>
        </w:rPr>
        <w:t xml:space="preserve">. </w:t>
      </w:r>
      <w:r w:rsidR="008954F7">
        <w:rPr>
          <w:rFonts w:ascii="Garamond" w:hAnsi="Garamond"/>
        </w:rPr>
        <w:t>For the group comparisons, participants from the general population were split into those scoring above (</w:t>
      </w:r>
      <w:r w:rsidR="008954F7" w:rsidRPr="00943CEF">
        <w:rPr>
          <w:rFonts w:ascii="Garamond" w:hAnsi="Garamond"/>
          <w:i/>
        </w:rPr>
        <w:t>n</w:t>
      </w:r>
      <w:r w:rsidR="008954F7">
        <w:rPr>
          <w:rFonts w:ascii="Garamond" w:hAnsi="Garamond"/>
        </w:rPr>
        <w:t>=5</w:t>
      </w:r>
      <w:r w:rsidR="005B54DC">
        <w:rPr>
          <w:rFonts w:ascii="Garamond" w:hAnsi="Garamond"/>
        </w:rPr>
        <w:t>0</w:t>
      </w:r>
      <w:r w:rsidR="008954F7">
        <w:rPr>
          <w:rFonts w:ascii="Garamond" w:hAnsi="Garamond"/>
        </w:rPr>
        <w:t xml:space="preserve">) and below the clinical threshold of 7.67 on the GAD-Q-IV. </w:t>
      </w:r>
    </w:p>
    <w:p w14:paraId="3448F397" w14:textId="3A96A4BD" w:rsidR="00272A82" w:rsidRPr="003E3637" w:rsidRDefault="003E3637" w:rsidP="007C50A8">
      <w:pPr>
        <w:spacing w:line="360" w:lineRule="auto"/>
        <w:jc w:val="both"/>
        <w:rPr>
          <w:rFonts w:ascii="Garamond" w:hAnsi="Garamond"/>
        </w:rPr>
      </w:pPr>
      <w:r>
        <w:rPr>
          <w:rFonts w:ascii="Garamond" w:hAnsi="Garamond"/>
        </w:rPr>
        <w:t>To assess s</w:t>
      </w:r>
      <w:r w:rsidR="00272A82">
        <w:rPr>
          <w:rFonts w:ascii="Garamond" w:hAnsi="Garamond"/>
        </w:rPr>
        <w:t xml:space="preserve">ensitivity to change in </w:t>
      </w:r>
      <w:r>
        <w:rPr>
          <w:rFonts w:ascii="Garamond" w:hAnsi="Garamond"/>
        </w:rPr>
        <w:t xml:space="preserve">the </w:t>
      </w:r>
      <w:r w:rsidR="00272A82">
        <w:rPr>
          <w:rFonts w:ascii="Garamond" w:hAnsi="Garamond"/>
        </w:rPr>
        <w:t xml:space="preserve">43 patients with </w:t>
      </w:r>
      <w:r>
        <w:rPr>
          <w:rFonts w:ascii="Garamond" w:hAnsi="Garamond"/>
        </w:rPr>
        <w:t>psychosis</w:t>
      </w:r>
      <w:r w:rsidR="00794960">
        <w:rPr>
          <w:rFonts w:ascii="Garamond" w:hAnsi="Garamond"/>
        </w:rPr>
        <w:t xml:space="preserve"> from the cross-validation sample</w:t>
      </w:r>
      <w:r>
        <w:rPr>
          <w:rFonts w:ascii="Garamond" w:hAnsi="Garamond"/>
        </w:rPr>
        <w:t xml:space="preserve">, the </w:t>
      </w:r>
      <w:r w:rsidR="00272A82">
        <w:rPr>
          <w:rFonts w:ascii="Garamond" w:hAnsi="Garamond"/>
        </w:rPr>
        <w:t xml:space="preserve">mean change in scores between the two time points was examined and effect sizes calculated using the formula </w:t>
      </w:r>
      <w:r w:rsidR="00272A82" w:rsidRPr="00E12AD7">
        <w:rPr>
          <w:rFonts w:ascii="Garamond" w:hAnsi="Garamond"/>
          <w:szCs w:val="24"/>
        </w:rPr>
        <w:t>(</w:t>
      </w:r>
      <w:proofErr w:type="spellStart"/>
      <w:r w:rsidR="00272A82" w:rsidRPr="00E12AD7">
        <w:rPr>
          <w:rFonts w:ascii="Garamond" w:hAnsi="Garamond"/>
          <w:i/>
          <w:szCs w:val="24"/>
        </w:rPr>
        <w:t>M</w:t>
      </w:r>
      <w:r w:rsidR="00272A82" w:rsidRPr="00E12AD7">
        <w:rPr>
          <w:rFonts w:ascii="Garamond" w:hAnsi="Garamond"/>
          <w:szCs w:val="24"/>
          <w:vertAlign w:val="subscript"/>
        </w:rPr>
        <w:t>pre</w:t>
      </w:r>
      <w:r w:rsidR="00272A82" w:rsidRPr="00E12AD7">
        <w:rPr>
          <w:rFonts w:ascii="Garamond" w:hAnsi="Garamond"/>
          <w:szCs w:val="24"/>
        </w:rPr>
        <w:t>-</w:t>
      </w:r>
      <w:r w:rsidR="00272A82" w:rsidRPr="00E12AD7">
        <w:rPr>
          <w:rFonts w:ascii="Garamond" w:hAnsi="Garamond"/>
          <w:i/>
          <w:szCs w:val="24"/>
        </w:rPr>
        <w:t>M</w:t>
      </w:r>
      <w:r w:rsidR="00272A82" w:rsidRPr="00E12AD7">
        <w:rPr>
          <w:rFonts w:ascii="Garamond" w:hAnsi="Garamond"/>
          <w:szCs w:val="24"/>
          <w:vertAlign w:val="subscript"/>
        </w:rPr>
        <w:t>post</w:t>
      </w:r>
      <w:proofErr w:type="spellEnd"/>
      <w:r w:rsidR="00272A82" w:rsidRPr="00E12AD7">
        <w:rPr>
          <w:rFonts w:ascii="Garamond" w:hAnsi="Garamond"/>
          <w:szCs w:val="24"/>
        </w:rPr>
        <w:t>)/</w:t>
      </w:r>
      <w:proofErr w:type="spellStart"/>
      <w:r w:rsidR="00272A82" w:rsidRPr="00E12AD7">
        <w:rPr>
          <w:rFonts w:ascii="Garamond" w:hAnsi="Garamond"/>
          <w:i/>
          <w:szCs w:val="24"/>
        </w:rPr>
        <w:t>SD</w:t>
      </w:r>
      <w:r w:rsidR="00272A82" w:rsidRPr="00E12AD7">
        <w:rPr>
          <w:rFonts w:ascii="Garamond" w:hAnsi="Garamond"/>
          <w:szCs w:val="24"/>
          <w:vertAlign w:val="subscript"/>
        </w:rPr>
        <w:t>pre</w:t>
      </w:r>
      <w:proofErr w:type="spellEnd"/>
      <w:r w:rsidR="005D1F36">
        <w:rPr>
          <w:rFonts w:ascii="Garamond" w:hAnsi="Garamond"/>
          <w:szCs w:val="24"/>
          <w:vertAlign w:val="subscript"/>
        </w:rPr>
        <w:t xml:space="preserve">. </w:t>
      </w:r>
      <w:r w:rsidR="00D3334A">
        <w:rPr>
          <w:rFonts w:ascii="Garamond" w:hAnsi="Garamond"/>
          <w:szCs w:val="24"/>
        </w:rPr>
        <w:t xml:space="preserve">Individual changes </w:t>
      </w:r>
      <w:r>
        <w:rPr>
          <w:rFonts w:ascii="Garamond" w:hAnsi="Garamond"/>
          <w:szCs w:val="24"/>
        </w:rPr>
        <w:t>o</w:t>
      </w:r>
      <w:r w:rsidR="00D3334A">
        <w:rPr>
          <w:rFonts w:ascii="Garamond" w:hAnsi="Garamond"/>
          <w:szCs w:val="24"/>
        </w:rPr>
        <w:t xml:space="preserve">n </w:t>
      </w:r>
      <w:r w:rsidR="005661E9">
        <w:rPr>
          <w:rFonts w:ascii="Garamond" w:hAnsi="Garamond"/>
          <w:szCs w:val="24"/>
        </w:rPr>
        <w:t xml:space="preserve">the </w:t>
      </w:r>
      <w:r>
        <w:rPr>
          <w:rFonts w:ascii="Garamond" w:hAnsi="Garamond"/>
          <w:szCs w:val="24"/>
        </w:rPr>
        <w:t>scales</w:t>
      </w:r>
      <w:r w:rsidR="005661E9">
        <w:rPr>
          <w:rFonts w:ascii="Garamond" w:hAnsi="Garamond"/>
          <w:szCs w:val="24"/>
        </w:rPr>
        <w:t xml:space="preserve"> </w:t>
      </w:r>
      <w:r w:rsidR="00D3334A">
        <w:rPr>
          <w:rFonts w:ascii="Garamond" w:hAnsi="Garamond"/>
          <w:szCs w:val="24"/>
        </w:rPr>
        <w:t>were assessed using t</w:t>
      </w:r>
      <w:r w:rsidR="00943CEF">
        <w:rPr>
          <w:rFonts w:ascii="Garamond" w:hAnsi="Garamond"/>
          <w:szCs w:val="24"/>
        </w:rPr>
        <w:t>he reliable change index (RCI</w:t>
      </w:r>
      <w:r w:rsidR="00943CEF">
        <w:rPr>
          <w:rFonts w:ascii="Times New Roman" w:hAnsi="Times New Roman" w:cs="Times New Roman"/>
          <w:color w:val="000000" w:themeColor="text1"/>
        </w:rPr>
        <w:t xml:space="preserve">; </w:t>
      </w:r>
      <w:r w:rsidR="00943CEF" w:rsidRPr="00943CEF">
        <w:rPr>
          <w:rFonts w:ascii="Garamond" w:hAnsi="Garamond" w:cs="Times New Roman"/>
          <w:color w:val="000000" w:themeColor="text1"/>
        </w:rPr>
        <w:t xml:space="preserve">Jacobson &amp; </w:t>
      </w:r>
      <w:proofErr w:type="spellStart"/>
      <w:r w:rsidR="00943CEF" w:rsidRPr="00943CEF">
        <w:rPr>
          <w:rFonts w:ascii="Garamond" w:hAnsi="Garamond" w:cs="Times New Roman"/>
          <w:color w:val="000000" w:themeColor="text1"/>
        </w:rPr>
        <w:t>Trux</w:t>
      </w:r>
      <w:proofErr w:type="spellEnd"/>
      <w:r w:rsidR="00943CEF" w:rsidRPr="00943CEF">
        <w:rPr>
          <w:rFonts w:ascii="Garamond" w:hAnsi="Garamond" w:cs="Times New Roman"/>
          <w:color w:val="000000" w:themeColor="text1"/>
        </w:rPr>
        <w:t>, 1991</w:t>
      </w:r>
      <w:r w:rsidR="00943CEF">
        <w:rPr>
          <w:rFonts w:ascii="Garamond" w:hAnsi="Garamond" w:cs="Times New Roman"/>
          <w:color w:val="000000" w:themeColor="text1"/>
        </w:rPr>
        <w:t>)</w:t>
      </w:r>
      <w:r w:rsidR="00943CEF">
        <w:rPr>
          <w:rFonts w:ascii="Garamond" w:hAnsi="Garamond"/>
          <w:szCs w:val="24"/>
        </w:rPr>
        <w:t xml:space="preserve"> in the </w:t>
      </w:r>
      <w:r w:rsidR="005D1F36">
        <w:rPr>
          <w:rFonts w:ascii="Garamond" w:hAnsi="Garamond"/>
          <w:szCs w:val="24"/>
        </w:rPr>
        <w:t xml:space="preserve">twelve </w:t>
      </w:r>
      <w:r w:rsidR="00943CEF">
        <w:rPr>
          <w:rFonts w:ascii="Garamond" w:hAnsi="Garamond"/>
          <w:szCs w:val="24"/>
        </w:rPr>
        <w:t xml:space="preserve">participants </w:t>
      </w:r>
      <w:r w:rsidR="00794960">
        <w:rPr>
          <w:rFonts w:ascii="Garamond" w:hAnsi="Garamond"/>
          <w:szCs w:val="24"/>
        </w:rPr>
        <w:t xml:space="preserve">from this sub-group </w:t>
      </w:r>
      <w:r w:rsidR="00943CEF">
        <w:rPr>
          <w:rFonts w:ascii="Garamond" w:hAnsi="Garamond"/>
          <w:szCs w:val="24"/>
        </w:rPr>
        <w:t xml:space="preserve">who completed the </w:t>
      </w:r>
      <w:r w:rsidR="005661E9">
        <w:rPr>
          <w:rFonts w:ascii="Garamond" w:hAnsi="Garamond"/>
          <w:szCs w:val="24"/>
        </w:rPr>
        <w:t xml:space="preserve">worry questionnaires </w:t>
      </w:r>
      <w:r w:rsidR="005D1F36">
        <w:rPr>
          <w:rFonts w:ascii="Garamond" w:hAnsi="Garamond"/>
          <w:szCs w:val="24"/>
        </w:rPr>
        <w:t xml:space="preserve">directly </w:t>
      </w:r>
      <w:r w:rsidR="00943CEF">
        <w:rPr>
          <w:rFonts w:ascii="Garamond" w:hAnsi="Garamond"/>
          <w:szCs w:val="24"/>
        </w:rPr>
        <w:t xml:space="preserve">before and after receiving </w:t>
      </w:r>
      <w:r w:rsidR="005D1F36">
        <w:rPr>
          <w:rFonts w:ascii="Garamond" w:hAnsi="Garamond"/>
          <w:szCs w:val="24"/>
        </w:rPr>
        <w:t>a</w:t>
      </w:r>
      <w:r w:rsidR="00D3334A">
        <w:rPr>
          <w:rFonts w:ascii="Garamond" w:hAnsi="Garamond"/>
          <w:szCs w:val="24"/>
        </w:rPr>
        <w:t xml:space="preserve"> </w:t>
      </w:r>
      <w:r w:rsidR="00943CEF">
        <w:rPr>
          <w:rFonts w:ascii="Garamond" w:hAnsi="Garamond"/>
          <w:szCs w:val="24"/>
        </w:rPr>
        <w:t xml:space="preserve">worry </w:t>
      </w:r>
      <w:r w:rsidR="005661E9">
        <w:rPr>
          <w:rFonts w:ascii="Garamond" w:hAnsi="Garamond"/>
          <w:szCs w:val="24"/>
        </w:rPr>
        <w:t>treatment</w:t>
      </w:r>
      <w:r w:rsidR="00943CEF">
        <w:rPr>
          <w:rFonts w:ascii="Garamond" w:hAnsi="Garamond"/>
          <w:szCs w:val="24"/>
        </w:rPr>
        <w:t xml:space="preserve"> (Freeman et al., 2015). For the RCI, Cronbach’s alpha was calculated for each measure from the cross-validation sample of patients with persecutory delusions (</w:t>
      </w:r>
      <w:r w:rsidR="00943CEF" w:rsidRPr="00943CEF">
        <w:rPr>
          <w:rFonts w:ascii="Garamond" w:hAnsi="Garamond"/>
          <w:i/>
          <w:szCs w:val="24"/>
        </w:rPr>
        <w:t>n</w:t>
      </w:r>
      <w:r w:rsidR="00943CEF">
        <w:rPr>
          <w:rFonts w:ascii="Garamond" w:hAnsi="Garamond"/>
          <w:szCs w:val="24"/>
        </w:rPr>
        <w:t>=79).</w:t>
      </w:r>
    </w:p>
    <w:p w14:paraId="3904C17A" w14:textId="7254A5F5" w:rsidR="009622CF" w:rsidRDefault="00AC5BEF" w:rsidP="007C50A8">
      <w:pPr>
        <w:spacing w:line="360" w:lineRule="auto"/>
        <w:jc w:val="both"/>
        <w:rPr>
          <w:rFonts w:ascii="Garamond" w:hAnsi="Garamond"/>
        </w:rPr>
      </w:pPr>
      <w:r w:rsidRPr="00AB0C08">
        <w:rPr>
          <w:rFonts w:ascii="Garamond" w:hAnsi="Garamond"/>
        </w:rPr>
        <w:t>To examine the</w:t>
      </w:r>
      <w:r w:rsidR="00291556" w:rsidRPr="00AB0C08">
        <w:rPr>
          <w:rFonts w:ascii="Garamond" w:hAnsi="Garamond"/>
        </w:rPr>
        <w:t xml:space="preserve"> </w:t>
      </w:r>
      <w:r w:rsidR="00516BEA" w:rsidRPr="00AB0C08">
        <w:rPr>
          <w:rFonts w:ascii="Garamond" w:hAnsi="Garamond"/>
        </w:rPr>
        <w:t>ability</w:t>
      </w:r>
      <w:r w:rsidR="00291556" w:rsidRPr="00AB0C08">
        <w:rPr>
          <w:rFonts w:ascii="Garamond" w:hAnsi="Garamond"/>
        </w:rPr>
        <w:t xml:space="preserve"> of each measure </w:t>
      </w:r>
      <w:r w:rsidRPr="00AB0C08">
        <w:rPr>
          <w:rFonts w:ascii="Garamond" w:hAnsi="Garamond"/>
        </w:rPr>
        <w:t xml:space="preserve">to </w:t>
      </w:r>
      <w:r w:rsidR="00291556" w:rsidRPr="00AB0C08">
        <w:rPr>
          <w:rFonts w:ascii="Garamond" w:hAnsi="Garamond"/>
        </w:rPr>
        <w:t xml:space="preserve">accurately </w:t>
      </w:r>
      <w:r w:rsidRPr="00AB0C08">
        <w:rPr>
          <w:rFonts w:ascii="Garamond" w:hAnsi="Garamond"/>
        </w:rPr>
        <w:t>identify clinical</w:t>
      </w:r>
      <w:r w:rsidR="00291556" w:rsidRPr="00AB0C08">
        <w:rPr>
          <w:rFonts w:ascii="Garamond" w:hAnsi="Garamond"/>
        </w:rPr>
        <w:t xml:space="preserve"> levels of general w</w:t>
      </w:r>
      <w:r w:rsidRPr="00AB0C08">
        <w:rPr>
          <w:rFonts w:ascii="Garamond" w:hAnsi="Garamond"/>
        </w:rPr>
        <w:t xml:space="preserve">orry and </w:t>
      </w:r>
      <w:r w:rsidR="000611A1">
        <w:rPr>
          <w:rFonts w:ascii="Garamond" w:hAnsi="Garamond"/>
        </w:rPr>
        <w:t>paranoia</w:t>
      </w:r>
      <w:r w:rsidRPr="00AB0C08">
        <w:rPr>
          <w:rFonts w:ascii="Garamond" w:hAnsi="Garamond"/>
        </w:rPr>
        <w:t xml:space="preserve"> worry</w:t>
      </w:r>
      <w:r w:rsidR="000A16C1" w:rsidRPr="00AB0C08">
        <w:rPr>
          <w:rFonts w:ascii="Garamond" w:hAnsi="Garamond"/>
        </w:rPr>
        <w:t xml:space="preserve"> receiver operating characteristic (ROC) analys</w:t>
      </w:r>
      <w:r w:rsidR="00565F95">
        <w:rPr>
          <w:rFonts w:ascii="Garamond" w:hAnsi="Garamond"/>
        </w:rPr>
        <w:t>es</w:t>
      </w:r>
      <w:r w:rsidR="000A16C1" w:rsidRPr="00AB0C08">
        <w:rPr>
          <w:rFonts w:ascii="Garamond" w:hAnsi="Garamond"/>
        </w:rPr>
        <w:t xml:space="preserve"> w</w:t>
      </w:r>
      <w:r w:rsidR="00565F95">
        <w:rPr>
          <w:rFonts w:ascii="Garamond" w:hAnsi="Garamond"/>
        </w:rPr>
        <w:t>ere</w:t>
      </w:r>
      <w:r w:rsidR="000A16C1" w:rsidRPr="00AB0C08">
        <w:rPr>
          <w:rFonts w:ascii="Garamond" w:hAnsi="Garamond"/>
        </w:rPr>
        <w:t xml:space="preserve"> conducted</w:t>
      </w:r>
      <w:r w:rsidR="00565F95">
        <w:rPr>
          <w:rFonts w:ascii="Garamond" w:hAnsi="Garamond"/>
        </w:rPr>
        <w:t xml:space="preserve"> using the ‘</w:t>
      </w:r>
      <w:proofErr w:type="spellStart"/>
      <w:r w:rsidR="00565F95">
        <w:rPr>
          <w:rFonts w:ascii="Garamond" w:hAnsi="Garamond"/>
        </w:rPr>
        <w:t>pROC</w:t>
      </w:r>
      <w:proofErr w:type="spellEnd"/>
      <w:r w:rsidR="00565F95">
        <w:rPr>
          <w:rFonts w:ascii="Garamond" w:hAnsi="Garamond"/>
        </w:rPr>
        <w:t>’ (Robin et al., 2011</w:t>
      </w:r>
      <w:r w:rsidR="005661E9">
        <w:rPr>
          <w:rFonts w:ascii="Garamond" w:hAnsi="Garamond"/>
        </w:rPr>
        <w:t>)</w:t>
      </w:r>
      <w:r w:rsidR="00565F95">
        <w:rPr>
          <w:rFonts w:ascii="Garamond" w:hAnsi="Garamond"/>
        </w:rPr>
        <w:t xml:space="preserve"> and ‘</w:t>
      </w:r>
      <w:proofErr w:type="spellStart"/>
      <w:r w:rsidR="00565F95">
        <w:rPr>
          <w:rFonts w:ascii="Garamond" w:hAnsi="Garamond"/>
        </w:rPr>
        <w:t>optimumCutpoints</w:t>
      </w:r>
      <w:proofErr w:type="spellEnd"/>
      <w:r w:rsidR="00565F95">
        <w:rPr>
          <w:rFonts w:ascii="Garamond" w:hAnsi="Garamond"/>
        </w:rPr>
        <w:t>’ (</w:t>
      </w:r>
      <w:r w:rsidR="00565F95" w:rsidRPr="00FA4D39">
        <w:rPr>
          <w:rFonts w:ascii="Garamond" w:hAnsi="Garamond"/>
        </w:rPr>
        <w:t xml:space="preserve">Lopez-Raton </w:t>
      </w:r>
      <w:r w:rsidR="0035375A">
        <w:rPr>
          <w:rFonts w:ascii="Garamond" w:hAnsi="Garamond"/>
        </w:rPr>
        <w:t>et al.,</w:t>
      </w:r>
      <w:r w:rsidR="00565F95">
        <w:rPr>
          <w:rFonts w:ascii="Garamond" w:hAnsi="Garamond"/>
        </w:rPr>
        <w:t xml:space="preserve"> 2014) packages</w:t>
      </w:r>
      <w:r w:rsidR="000A16C1" w:rsidRPr="00AB0C08">
        <w:rPr>
          <w:rFonts w:ascii="Garamond" w:hAnsi="Garamond"/>
        </w:rPr>
        <w:t xml:space="preserve">. </w:t>
      </w:r>
      <w:r w:rsidR="00467D5A">
        <w:rPr>
          <w:rFonts w:ascii="Garamond" w:hAnsi="Garamond"/>
        </w:rPr>
        <w:t>P</w:t>
      </w:r>
      <w:r w:rsidR="005661E9">
        <w:rPr>
          <w:rFonts w:ascii="Garamond" w:hAnsi="Garamond"/>
        </w:rPr>
        <w:t xml:space="preserve">atients in the </w:t>
      </w:r>
      <w:r w:rsidR="00124068">
        <w:rPr>
          <w:rFonts w:ascii="Garamond" w:hAnsi="Garamond"/>
        </w:rPr>
        <w:t>WIT</w:t>
      </w:r>
      <w:r w:rsidR="00565F95">
        <w:rPr>
          <w:rFonts w:ascii="Garamond" w:hAnsi="Garamond"/>
        </w:rPr>
        <w:t xml:space="preserve"> w</w:t>
      </w:r>
      <w:r w:rsidR="005661E9">
        <w:rPr>
          <w:rFonts w:ascii="Garamond" w:hAnsi="Garamond"/>
        </w:rPr>
        <w:t>ere</w:t>
      </w:r>
      <w:r w:rsidR="00565F95">
        <w:rPr>
          <w:rFonts w:ascii="Garamond" w:hAnsi="Garamond"/>
        </w:rPr>
        <w:t xml:space="preserve"> an appropriate discrimination group given </w:t>
      </w:r>
      <w:r w:rsidR="00467D5A">
        <w:rPr>
          <w:rFonts w:ascii="Garamond" w:hAnsi="Garamond"/>
        </w:rPr>
        <w:t>they</w:t>
      </w:r>
      <w:r w:rsidR="00565F95">
        <w:rPr>
          <w:rFonts w:ascii="Garamond" w:hAnsi="Garamond"/>
        </w:rPr>
        <w:t xml:space="preserve"> had been identified based on reliably rated clinical levels </w:t>
      </w:r>
      <w:r w:rsidR="00565F95" w:rsidRPr="00AB0C08">
        <w:rPr>
          <w:rFonts w:ascii="Garamond" w:hAnsi="Garamond"/>
        </w:rPr>
        <w:t>of worry</w:t>
      </w:r>
      <w:r w:rsidR="00565F95">
        <w:rPr>
          <w:rFonts w:ascii="Garamond" w:hAnsi="Garamond"/>
        </w:rPr>
        <w:t xml:space="preserve"> and desire for an intervention to reduce worry. To remove potential cases of clinical worry from the general population in the </w:t>
      </w:r>
      <w:r w:rsidR="007C3DF1">
        <w:rPr>
          <w:rFonts w:ascii="Garamond" w:hAnsi="Garamond"/>
        </w:rPr>
        <w:t>general worry</w:t>
      </w:r>
      <w:r w:rsidR="00565F95">
        <w:rPr>
          <w:rFonts w:ascii="Garamond" w:hAnsi="Garamond"/>
        </w:rPr>
        <w:t xml:space="preserve"> analysis, participants</w:t>
      </w:r>
      <w:r w:rsidR="008954F7">
        <w:rPr>
          <w:rFonts w:ascii="Garamond" w:hAnsi="Garamond"/>
        </w:rPr>
        <w:t xml:space="preserve"> </w:t>
      </w:r>
      <w:r w:rsidR="00A06D0A">
        <w:rPr>
          <w:rFonts w:ascii="Garamond" w:hAnsi="Garamond"/>
        </w:rPr>
        <w:t xml:space="preserve">from the non-clinical population </w:t>
      </w:r>
      <w:r w:rsidR="005D1F36">
        <w:rPr>
          <w:rFonts w:ascii="Garamond" w:hAnsi="Garamond"/>
        </w:rPr>
        <w:t>who scored above cut-off on the GAD-Q-IV</w:t>
      </w:r>
      <w:r w:rsidR="00A06D0A">
        <w:rPr>
          <w:rFonts w:ascii="Garamond" w:hAnsi="Garamond"/>
        </w:rPr>
        <w:t xml:space="preserve"> formed a GAD subgroup that</w:t>
      </w:r>
      <w:r w:rsidR="008954F7">
        <w:rPr>
          <w:rFonts w:ascii="Garamond" w:hAnsi="Garamond"/>
        </w:rPr>
        <w:t xml:space="preserve"> </w:t>
      </w:r>
      <w:r w:rsidR="00565F95">
        <w:rPr>
          <w:rFonts w:ascii="Garamond" w:hAnsi="Garamond"/>
        </w:rPr>
        <w:t>were excluded</w:t>
      </w:r>
      <w:r w:rsidR="00A06D0A">
        <w:rPr>
          <w:rFonts w:ascii="Garamond" w:hAnsi="Garamond"/>
        </w:rPr>
        <w:t xml:space="preserve"> from this analysis</w:t>
      </w:r>
      <w:r w:rsidR="00565F95">
        <w:rPr>
          <w:rFonts w:ascii="Garamond" w:hAnsi="Garamond"/>
        </w:rPr>
        <w:t xml:space="preserve"> (</w:t>
      </w:r>
      <w:r w:rsidR="00565F95" w:rsidRPr="00CC51D7">
        <w:rPr>
          <w:rFonts w:ascii="Garamond" w:hAnsi="Garamond"/>
          <w:i/>
        </w:rPr>
        <w:t>n</w:t>
      </w:r>
      <w:r w:rsidR="00565F95">
        <w:rPr>
          <w:rFonts w:ascii="Garamond" w:hAnsi="Garamond"/>
        </w:rPr>
        <w:t xml:space="preserve">=51). </w:t>
      </w:r>
      <w:r w:rsidR="009D71B4">
        <w:rPr>
          <w:rFonts w:ascii="Garamond" w:hAnsi="Garamond"/>
        </w:rPr>
        <w:t>ROC curve</w:t>
      </w:r>
      <w:r w:rsidR="00565F95">
        <w:rPr>
          <w:rFonts w:ascii="Garamond" w:hAnsi="Garamond"/>
        </w:rPr>
        <w:t>s</w:t>
      </w:r>
      <w:r w:rsidR="009D71B4">
        <w:rPr>
          <w:rFonts w:ascii="Garamond" w:hAnsi="Garamond"/>
        </w:rPr>
        <w:t xml:space="preserve"> w</w:t>
      </w:r>
      <w:r w:rsidR="00565F95">
        <w:rPr>
          <w:rFonts w:ascii="Garamond" w:hAnsi="Garamond"/>
        </w:rPr>
        <w:t>ere</w:t>
      </w:r>
      <w:r w:rsidR="009D71B4">
        <w:rPr>
          <w:rFonts w:ascii="Garamond" w:hAnsi="Garamond"/>
        </w:rPr>
        <w:t xml:space="preserve"> generated with</w:t>
      </w:r>
      <w:r w:rsidR="00516BEA" w:rsidRPr="00AB0C08">
        <w:rPr>
          <w:rFonts w:ascii="Garamond" w:hAnsi="Garamond"/>
        </w:rPr>
        <w:t xml:space="preserve"> the are</w:t>
      </w:r>
      <w:r w:rsidR="009D71B4">
        <w:rPr>
          <w:rFonts w:ascii="Garamond" w:hAnsi="Garamond"/>
        </w:rPr>
        <w:t xml:space="preserve">a under the curve (AUC) indicating the </w:t>
      </w:r>
      <w:r w:rsidR="006A28C8">
        <w:rPr>
          <w:rFonts w:ascii="Garamond" w:hAnsi="Garamond"/>
        </w:rPr>
        <w:t xml:space="preserve">measure’s </w:t>
      </w:r>
      <w:r w:rsidR="00516BEA" w:rsidRPr="00AB0C08">
        <w:rPr>
          <w:rFonts w:ascii="Garamond" w:hAnsi="Garamond"/>
        </w:rPr>
        <w:t>discriminatory power</w:t>
      </w:r>
      <w:r w:rsidR="006A28C8">
        <w:rPr>
          <w:rFonts w:ascii="Garamond" w:hAnsi="Garamond"/>
        </w:rPr>
        <w:t xml:space="preserve">, with </w:t>
      </w:r>
      <w:r w:rsidR="009D71B4">
        <w:rPr>
          <w:rFonts w:ascii="Garamond" w:hAnsi="Garamond"/>
        </w:rPr>
        <w:t xml:space="preserve">values </w:t>
      </w:r>
      <w:r w:rsidR="00516BEA" w:rsidRPr="00AB0C08">
        <w:rPr>
          <w:rFonts w:ascii="Garamond" w:hAnsi="Garamond"/>
        </w:rPr>
        <w:t xml:space="preserve">above 0.70 considered fair, over 0.80 good, and over 0.90 excellent </w:t>
      </w:r>
      <w:r w:rsidR="00D429C9">
        <w:rPr>
          <w:rFonts w:ascii="Garamond" w:hAnsi="Garamond"/>
        </w:rPr>
        <w:t>(Egan, 1975).</w:t>
      </w:r>
      <w:r w:rsidR="00516BEA" w:rsidRPr="00AB0C08">
        <w:rPr>
          <w:rFonts w:ascii="Garamond" w:hAnsi="Garamond"/>
        </w:rPr>
        <w:t xml:space="preserve"> </w:t>
      </w:r>
      <w:r w:rsidR="00565F95" w:rsidRPr="00AB0C08">
        <w:rPr>
          <w:rFonts w:ascii="Garamond" w:hAnsi="Garamond"/>
        </w:rPr>
        <w:t>The optimal</w:t>
      </w:r>
      <w:r w:rsidR="00565F95">
        <w:rPr>
          <w:rFonts w:ascii="Garamond" w:hAnsi="Garamond"/>
        </w:rPr>
        <w:t xml:space="preserve"> clinical</w:t>
      </w:r>
      <w:r w:rsidR="00124068">
        <w:rPr>
          <w:rFonts w:ascii="Garamond" w:hAnsi="Garamond"/>
        </w:rPr>
        <w:t xml:space="preserve"> cut-</w:t>
      </w:r>
      <w:r w:rsidR="00861784">
        <w:rPr>
          <w:rFonts w:ascii="Garamond" w:hAnsi="Garamond"/>
        </w:rPr>
        <w:t xml:space="preserve">off threshold, calculated based on </w:t>
      </w:r>
      <w:proofErr w:type="spellStart"/>
      <w:r w:rsidR="00861784">
        <w:rPr>
          <w:rFonts w:ascii="Garamond" w:hAnsi="Garamond"/>
        </w:rPr>
        <w:t>Youden’s</w:t>
      </w:r>
      <w:proofErr w:type="spellEnd"/>
      <w:r w:rsidR="00861784">
        <w:rPr>
          <w:rFonts w:ascii="Garamond" w:hAnsi="Garamond"/>
        </w:rPr>
        <w:t xml:space="preserve"> J statistic (</w:t>
      </w:r>
      <w:proofErr w:type="spellStart"/>
      <w:r w:rsidR="00861784">
        <w:rPr>
          <w:rFonts w:ascii="Garamond" w:hAnsi="Garamond"/>
        </w:rPr>
        <w:t>Youden</w:t>
      </w:r>
      <w:proofErr w:type="spellEnd"/>
      <w:r w:rsidR="00861784">
        <w:rPr>
          <w:rFonts w:ascii="Garamond" w:hAnsi="Garamond"/>
        </w:rPr>
        <w:t xml:space="preserve">, 1950), </w:t>
      </w:r>
      <w:r w:rsidR="00565F95">
        <w:rPr>
          <w:rFonts w:ascii="Garamond" w:hAnsi="Garamond"/>
        </w:rPr>
        <w:t xml:space="preserve">represents </w:t>
      </w:r>
      <w:r w:rsidR="00565F95" w:rsidRPr="00AB0C08">
        <w:rPr>
          <w:rFonts w:ascii="Garamond" w:hAnsi="Garamond"/>
        </w:rPr>
        <w:t xml:space="preserve">the optimal </w:t>
      </w:r>
      <w:r w:rsidR="00565F95">
        <w:rPr>
          <w:rFonts w:ascii="Garamond" w:hAnsi="Garamond"/>
        </w:rPr>
        <w:t>balance</w:t>
      </w:r>
      <w:r w:rsidR="00565F95" w:rsidRPr="00AB0C08">
        <w:rPr>
          <w:rFonts w:ascii="Garamond" w:hAnsi="Garamond"/>
        </w:rPr>
        <w:t xml:space="preserve"> of sensitivity and specificity </w:t>
      </w:r>
      <w:r w:rsidR="00565F95">
        <w:rPr>
          <w:rFonts w:ascii="Garamond" w:hAnsi="Garamond"/>
        </w:rPr>
        <w:t>for</w:t>
      </w:r>
      <w:r w:rsidR="00565F95" w:rsidRPr="00AB0C08">
        <w:rPr>
          <w:rFonts w:ascii="Garamond" w:hAnsi="Garamond"/>
        </w:rPr>
        <w:t xml:space="preserve"> the accurate discrimination of cases whilst reducing rates of false positives</w:t>
      </w:r>
      <w:r w:rsidR="00565F95">
        <w:rPr>
          <w:rFonts w:ascii="Garamond" w:hAnsi="Garamond"/>
        </w:rPr>
        <w:t>/</w:t>
      </w:r>
      <w:r w:rsidR="00565F95" w:rsidRPr="00AB0C08">
        <w:rPr>
          <w:rFonts w:ascii="Garamond" w:hAnsi="Garamond"/>
        </w:rPr>
        <w:t>negatives.</w:t>
      </w:r>
      <w:r w:rsidR="00565F95" w:rsidRPr="00DA37EF">
        <w:rPr>
          <w:rFonts w:ascii="Garamond" w:hAnsi="Garamond"/>
        </w:rPr>
        <w:t xml:space="preserve"> </w:t>
      </w:r>
      <w:r w:rsidR="002302DE">
        <w:rPr>
          <w:rFonts w:ascii="Garamond" w:hAnsi="Garamond"/>
        </w:rPr>
        <w:t xml:space="preserve">The R code for the IRT and ROC analysis is available in the supplementary materials. </w:t>
      </w:r>
    </w:p>
    <w:p w14:paraId="5D8B471A" w14:textId="77777777" w:rsidR="0045578C" w:rsidRDefault="0045578C" w:rsidP="007C50A8">
      <w:pPr>
        <w:spacing w:line="360" w:lineRule="auto"/>
        <w:rPr>
          <w:rFonts w:ascii="Garamond" w:hAnsi="Garamond"/>
          <w:b/>
        </w:rPr>
      </w:pPr>
    </w:p>
    <w:p w14:paraId="384A0017" w14:textId="77777777" w:rsidR="00E10797" w:rsidRDefault="00E10797" w:rsidP="007C50A8">
      <w:pPr>
        <w:spacing w:line="360" w:lineRule="auto"/>
        <w:rPr>
          <w:rFonts w:ascii="Garamond" w:hAnsi="Garamond"/>
          <w:b/>
        </w:rPr>
      </w:pPr>
    </w:p>
    <w:p w14:paraId="67728FA5" w14:textId="77777777" w:rsidR="00B6405A" w:rsidRDefault="00B6405A">
      <w:pPr>
        <w:rPr>
          <w:rFonts w:ascii="Garamond" w:hAnsi="Garamond"/>
          <w:b/>
        </w:rPr>
      </w:pPr>
      <w:r>
        <w:rPr>
          <w:rFonts w:ascii="Garamond" w:hAnsi="Garamond"/>
          <w:b/>
        </w:rPr>
        <w:br w:type="page"/>
      </w:r>
    </w:p>
    <w:p w14:paraId="48EE7E1F" w14:textId="72815A4F" w:rsidR="003A616B" w:rsidRDefault="00F94CAE" w:rsidP="007C50A8">
      <w:pPr>
        <w:spacing w:line="360" w:lineRule="auto"/>
        <w:rPr>
          <w:rFonts w:ascii="Garamond" w:hAnsi="Garamond"/>
          <w:b/>
        </w:rPr>
      </w:pPr>
      <w:r w:rsidRPr="0064597B">
        <w:rPr>
          <w:rFonts w:ascii="Garamond" w:hAnsi="Garamond"/>
          <w:b/>
        </w:rPr>
        <w:lastRenderedPageBreak/>
        <w:t>R</w:t>
      </w:r>
      <w:r w:rsidR="00AB0C08" w:rsidRPr="0064597B">
        <w:rPr>
          <w:rFonts w:ascii="Garamond" w:hAnsi="Garamond"/>
          <w:b/>
        </w:rPr>
        <w:t>ESULTS</w:t>
      </w:r>
    </w:p>
    <w:p w14:paraId="2D2CE13E" w14:textId="77777777" w:rsidR="0064597B" w:rsidRPr="0064597B" w:rsidRDefault="0064597B" w:rsidP="007C50A8">
      <w:pPr>
        <w:spacing w:line="360" w:lineRule="auto"/>
        <w:rPr>
          <w:rFonts w:ascii="Garamond" w:hAnsi="Garamond"/>
          <w:b/>
        </w:rPr>
      </w:pPr>
    </w:p>
    <w:p w14:paraId="03C1BA53" w14:textId="0FE8A7A6" w:rsidR="00F94CAE" w:rsidRPr="00AB0C08" w:rsidRDefault="00123379" w:rsidP="007C50A8">
      <w:pPr>
        <w:spacing w:line="360" w:lineRule="auto"/>
        <w:jc w:val="both"/>
        <w:rPr>
          <w:rFonts w:ascii="Garamond" w:hAnsi="Garamond"/>
          <w:b/>
        </w:rPr>
      </w:pPr>
      <w:r>
        <w:rPr>
          <w:rFonts w:ascii="Garamond" w:hAnsi="Garamond"/>
          <w:b/>
        </w:rPr>
        <w:t>Extracting</w:t>
      </w:r>
      <w:r w:rsidR="00866FF3">
        <w:rPr>
          <w:rFonts w:ascii="Garamond" w:hAnsi="Garamond"/>
          <w:b/>
        </w:rPr>
        <w:t xml:space="preserve"> the </w:t>
      </w:r>
      <w:r w:rsidR="00E909C4">
        <w:rPr>
          <w:rFonts w:ascii="Garamond" w:hAnsi="Garamond"/>
          <w:b/>
        </w:rPr>
        <w:t>q</w:t>
      </w:r>
      <w:r w:rsidR="009905C3">
        <w:rPr>
          <w:rFonts w:ascii="Garamond" w:hAnsi="Garamond"/>
          <w:b/>
        </w:rPr>
        <w:t>uestionnaire</w:t>
      </w:r>
      <w:r w:rsidR="00E909C4">
        <w:rPr>
          <w:rFonts w:ascii="Garamond" w:hAnsi="Garamond"/>
          <w:b/>
        </w:rPr>
        <w:t>s</w:t>
      </w:r>
    </w:p>
    <w:p w14:paraId="032B9D3D" w14:textId="0716AFF2" w:rsidR="00AE3E3D" w:rsidRDefault="00B93A03" w:rsidP="007C50A8">
      <w:pPr>
        <w:spacing w:line="360" w:lineRule="auto"/>
        <w:jc w:val="both"/>
        <w:rPr>
          <w:rFonts w:ascii="Garamond" w:hAnsi="Garamond"/>
        </w:rPr>
      </w:pPr>
      <w:r>
        <w:rPr>
          <w:rFonts w:ascii="Garamond" w:hAnsi="Garamond"/>
        </w:rPr>
        <w:t>A</w:t>
      </w:r>
      <w:r w:rsidR="00866FF3">
        <w:rPr>
          <w:rFonts w:ascii="Garamond" w:hAnsi="Garamond"/>
        </w:rPr>
        <w:t>n</w:t>
      </w:r>
      <w:r w:rsidR="0000171B" w:rsidRPr="00AB0C08">
        <w:rPr>
          <w:rFonts w:ascii="Garamond" w:hAnsi="Garamond"/>
        </w:rPr>
        <w:t xml:space="preserve"> </w:t>
      </w:r>
      <w:r w:rsidR="000D556D">
        <w:rPr>
          <w:rFonts w:ascii="Garamond" w:hAnsi="Garamond"/>
        </w:rPr>
        <w:t xml:space="preserve">initial </w:t>
      </w:r>
      <w:r w:rsidR="0000171B" w:rsidRPr="00AB0C08">
        <w:rPr>
          <w:rFonts w:ascii="Garamond" w:hAnsi="Garamond"/>
        </w:rPr>
        <w:t>EFA of al</w:t>
      </w:r>
      <w:r w:rsidR="000D556D">
        <w:rPr>
          <w:rFonts w:ascii="Garamond" w:hAnsi="Garamond"/>
        </w:rPr>
        <w:t>l</w:t>
      </w:r>
      <w:r w:rsidR="0000171B" w:rsidRPr="00AB0C08">
        <w:rPr>
          <w:rFonts w:ascii="Garamond" w:hAnsi="Garamond"/>
        </w:rPr>
        <w:t xml:space="preserve"> 56 items</w:t>
      </w:r>
      <w:r w:rsidR="0027466B">
        <w:rPr>
          <w:rFonts w:ascii="Garamond" w:hAnsi="Garamond"/>
        </w:rPr>
        <w:t xml:space="preserve"> in the derivation sample</w:t>
      </w:r>
      <w:r w:rsidR="0000171B" w:rsidRPr="00AB0C08">
        <w:rPr>
          <w:rFonts w:ascii="Garamond" w:hAnsi="Garamond"/>
        </w:rPr>
        <w:t xml:space="preserve"> </w:t>
      </w:r>
      <w:r w:rsidR="009218FF" w:rsidRPr="00AB0C08">
        <w:rPr>
          <w:rFonts w:ascii="Garamond" w:hAnsi="Garamond"/>
        </w:rPr>
        <w:t xml:space="preserve">identified </w:t>
      </w:r>
      <w:r w:rsidR="000D556D">
        <w:rPr>
          <w:rFonts w:ascii="Garamond" w:hAnsi="Garamond"/>
        </w:rPr>
        <w:t xml:space="preserve">two distinct factors for general worry and </w:t>
      </w:r>
      <w:r w:rsidR="0064597B">
        <w:rPr>
          <w:rFonts w:ascii="Garamond" w:hAnsi="Garamond"/>
        </w:rPr>
        <w:t>paranoia</w:t>
      </w:r>
      <w:r w:rsidR="000D556D">
        <w:rPr>
          <w:rFonts w:ascii="Garamond" w:hAnsi="Garamond"/>
        </w:rPr>
        <w:t xml:space="preserve"> worry. </w:t>
      </w:r>
      <w:r w:rsidR="008F58BD" w:rsidRPr="00AB0C08">
        <w:rPr>
          <w:rFonts w:ascii="Garamond" w:hAnsi="Garamond"/>
        </w:rPr>
        <w:t xml:space="preserve">To obtain a clean factor structure, one </w:t>
      </w:r>
      <w:r w:rsidR="00225E04">
        <w:rPr>
          <w:rFonts w:ascii="Garamond" w:hAnsi="Garamond"/>
        </w:rPr>
        <w:t>paranoia</w:t>
      </w:r>
      <w:r w:rsidR="00584BA1" w:rsidRPr="00AB0C08">
        <w:rPr>
          <w:rFonts w:ascii="Garamond" w:hAnsi="Garamond"/>
        </w:rPr>
        <w:t xml:space="preserve"> worry item that primarily loaded on</w:t>
      </w:r>
      <w:r w:rsidR="00225E04">
        <w:rPr>
          <w:rFonts w:ascii="Garamond" w:hAnsi="Garamond"/>
        </w:rPr>
        <w:t xml:space="preserve"> </w:t>
      </w:r>
      <w:r w:rsidR="004C2B0E">
        <w:rPr>
          <w:rFonts w:ascii="Garamond" w:hAnsi="Garamond"/>
        </w:rPr>
        <w:t xml:space="preserve">the </w:t>
      </w:r>
      <w:r w:rsidR="00584BA1" w:rsidRPr="00AB0C08">
        <w:rPr>
          <w:rFonts w:ascii="Garamond" w:hAnsi="Garamond"/>
        </w:rPr>
        <w:t>general worry</w:t>
      </w:r>
      <w:r w:rsidR="008F58BD" w:rsidRPr="00AB0C08">
        <w:rPr>
          <w:rFonts w:ascii="Garamond" w:hAnsi="Garamond"/>
        </w:rPr>
        <w:t xml:space="preserve"> </w:t>
      </w:r>
      <w:r w:rsidR="004C2B0E">
        <w:rPr>
          <w:rFonts w:ascii="Garamond" w:hAnsi="Garamond"/>
        </w:rPr>
        <w:t xml:space="preserve">factor </w:t>
      </w:r>
      <w:r w:rsidR="008F58BD" w:rsidRPr="00AB0C08">
        <w:rPr>
          <w:rFonts w:ascii="Garamond" w:hAnsi="Garamond"/>
        </w:rPr>
        <w:t xml:space="preserve">and two items (one item from each factor) </w:t>
      </w:r>
      <w:r w:rsidR="007213CD">
        <w:rPr>
          <w:rFonts w:ascii="Garamond" w:hAnsi="Garamond"/>
        </w:rPr>
        <w:t>with</w:t>
      </w:r>
      <w:r w:rsidR="008F58BD" w:rsidRPr="00AB0C08">
        <w:rPr>
          <w:rFonts w:ascii="Garamond" w:hAnsi="Garamond"/>
        </w:rPr>
        <w:t xml:space="preserve"> cross-loadings over 0.3 were deleted.</w:t>
      </w:r>
      <w:r w:rsidR="000D556D">
        <w:rPr>
          <w:rFonts w:ascii="Garamond" w:hAnsi="Garamond"/>
        </w:rPr>
        <w:t xml:space="preserve"> EFA of the remaining 53 items supported a two-factor structure which explained </w:t>
      </w:r>
      <w:r w:rsidR="005B54DC">
        <w:rPr>
          <w:rFonts w:ascii="Garamond" w:hAnsi="Garamond"/>
        </w:rPr>
        <w:t>73</w:t>
      </w:r>
      <w:r w:rsidR="000D556D">
        <w:rPr>
          <w:rFonts w:ascii="Garamond" w:hAnsi="Garamond"/>
        </w:rPr>
        <w:t xml:space="preserve">% of the variance. </w:t>
      </w:r>
      <w:r w:rsidR="008F58BD" w:rsidRPr="00AB0C08">
        <w:rPr>
          <w:rFonts w:ascii="Garamond" w:hAnsi="Garamond"/>
        </w:rPr>
        <w:t>Although the two factors were highly correlated (</w:t>
      </w:r>
      <w:r w:rsidR="008F58BD" w:rsidRPr="000D556D">
        <w:rPr>
          <w:rFonts w:ascii="Garamond" w:hAnsi="Garamond"/>
          <w:i/>
        </w:rPr>
        <w:t>r</w:t>
      </w:r>
      <w:r w:rsidR="008F58BD" w:rsidRPr="00AB0C08">
        <w:rPr>
          <w:rFonts w:ascii="Garamond" w:hAnsi="Garamond"/>
        </w:rPr>
        <w:t xml:space="preserve">=0.73), the </w:t>
      </w:r>
      <w:r w:rsidR="000D556D">
        <w:rPr>
          <w:rFonts w:ascii="Garamond" w:hAnsi="Garamond"/>
        </w:rPr>
        <w:t xml:space="preserve">distinct </w:t>
      </w:r>
      <w:r w:rsidR="008F58BD" w:rsidRPr="00AB0C08">
        <w:rPr>
          <w:rFonts w:ascii="Garamond" w:hAnsi="Garamond"/>
        </w:rPr>
        <w:t>factor structure demonstrated that</w:t>
      </w:r>
      <w:r w:rsidR="000D556D">
        <w:rPr>
          <w:rFonts w:ascii="Garamond" w:hAnsi="Garamond"/>
        </w:rPr>
        <w:t xml:space="preserve"> </w:t>
      </w:r>
      <w:r w:rsidR="008F58BD" w:rsidRPr="00AB0C08">
        <w:rPr>
          <w:rFonts w:ascii="Garamond" w:hAnsi="Garamond"/>
        </w:rPr>
        <w:t xml:space="preserve">general worry </w:t>
      </w:r>
      <w:r w:rsidR="00422788">
        <w:rPr>
          <w:rFonts w:ascii="Garamond" w:hAnsi="Garamond"/>
        </w:rPr>
        <w:t xml:space="preserve">(39 items) </w:t>
      </w:r>
      <w:r w:rsidR="008F58BD" w:rsidRPr="00AB0C08">
        <w:rPr>
          <w:rFonts w:ascii="Garamond" w:hAnsi="Garamond"/>
        </w:rPr>
        <w:t xml:space="preserve">and </w:t>
      </w:r>
      <w:r w:rsidR="00F105D1">
        <w:rPr>
          <w:rFonts w:ascii="Garamond" w:hAnsi="Garamond"/>
        </w:rPr>
        <w:t>paranoia</w:t>
      </w:r>
      <w:r w:rsidR="008F58BD" w:rsidRPr="00AB0C08">
        <w:rPr>
          <w:rFonts w:ascii="Garamond" w:hAnsi="Garamond"/>
        </w:rPr>
        <w:t xml:space="preserve"> worry </w:t>
      </w:r>
      <w:r w:rsidR="00422788">
        <w:rPr>
          <w:rFonts w:ascii="Garamond" w:hAnsi="Garamond"/>
        </w:rPr>
        <w:t>(14 items)</w:t>
      </w:r>
      <w:r w:rsidR="008F58BD" w:rsidRPr="00AB0C08">
        <w:rPr>
          <w:rFonts w:ascii="Garamond" w:hAnsi="Garamond"/>
        </w:rPr>
        <w:t xml:space="preserve"> </w:t>
      </w:r>
      <w:r w:rsidR="000D556D">
        <w:rPr>
          <w:rFonts w:ascii="Garamond" w:hAnsi="Garamond"/>
        </w:rPr>
        <w:t xml:space="preserve">were </w:t>
      </w:r>
      <w:r w:rsidR="002C2552">
        <w:rPr>
          <w:rFonts w:ascii="Garamond" w:hAnsi="Garamond"/>
        </w:rPr>
        <w:t>separable</w:t>
      </w:r>
      <w:r w:rsidR="008F58BD" w:rsidRPr="00AB0C08">
        <w:rPr>
          <w:rFonts w:ascii="Garamond" w:hAnsi="Garamond"/>
        </w:rPr>
        <w:t>.</w:t>
      </w:r>
      <w:r w:rsidR="00826976">
        <w:rPr>
          <w:rFonts w:ascii="Garamond" w:hAnsi="Garamond"/>
        </w:rPr>
        <w:t xml:space="preserve"> </w:t>
      </w:r>
      <w:r w:rsidR="00F2674F">
        <w:rPr>
          <w:rFonts w:ascii="Garamond" w:hAnsi="Garamond"/>
        </w:rPr>
        <w:t xml:space="preserve">The two scales were therefore treated as unidimensional measures and IRT analyses were conducted on the general worry and </w:t>
      </w:r>
      <w:r w:rsidR="0064597B">
        <w:rPr>
          <w:rFonts w:ascii="Garamond" w:hAnsi="Garamond"/>
        </w:rPr>
        <w:t>paranoia worry</w:t>
      </w:r>
      <w:r w:rsidR="00F2674F">
        <w:rPr>
          <w:rFonts w:ascii="Garamond" w:hAnsi="Garamond"/>
        </w:rPr>
        <w:t xml:space="preserve"> items separately. </w:t>
      </w:r>
      <w:r w:rsidR="00F066FB">
        <w:rPr>
          <w:rFonts w:ascii="Garamond" w:hAnsi="Garamond"/>
        </w:rPr>
        <w:t>The</w:t>
      </w:r>
      <w:r w:rsidR="00565F95">
        <w:rPr>
          <w:rFonts w:ascii="Garamond" w:hAnsi="Garamond"/>
        </w:rPr>
        <w:t xml:space="preserve"> factor loadings and</w:t>
      </w:r>
      <w:r w:rsidR="00F066FB">
        <w:rPr>
          <w:rFonts w:ascii="Garamond" w:hAnsi="Garamond"/>
        </w:rPr>
        <w:t xml:space="preserve"> item parameters for the </w:t>
      </w:r>
      <w:r w:rsidR="00866FF3">
        <w:rPr>
          <w:rFonts w:ascii="Garamond" w:hAnsi="Garamond"/>
        </w:rPr>
        <w:t xml:space="preserve">initial </w:t>
      </w:r>
      <w:r w:rsidR="00F066FB">
        <w:rPr>
          <w:rFonts w:ascii="Garamond" w:hAnsi="Garamond"/>
        </w:rPr>
        <w:t>IRT analys</w:t>
      </w:r>
      <w:r w:rsidR="007C3DF1">
        <w:rPr>
          <w:rFonts w:ascii="Garamond" w:hAnsi="Garamond"/>
        </w:rPr>
        <w:t>es</w:t>
      </w:r>
      <w:r>
        <w:rPr>
          <w:rFonts w:ascii="Garamond" w:hAnsi="Garamond"/>
        </w:rPr>
        <w:t xml:space="preserve"> </w:t>
      </w:r>
      <w:r w:rsidR="00F066FB">
        <w:rPr>
          <w:rFonts w:ascii="Garamond" w:hAnsi="Garamond"/>
        </w:rPr>
        <w:t xml:space="preserve">are shown in </w:t>
      </w:r>
      <w:r w:rsidR="00F105D1">
        <w:rPr>
          <w:rFonts w:ascii="Garamond" w:hAnsi="Garamond"/>
        </w:rPr>
        <w:t>Table 1 of the s</w:t>
      </w:r>
      <w:r w:rsidR="00F066FB">
        <w:rPr>
          <w:rFonts w:ascii="Garamond" w:hAnsi="Garamond"/>
        </w:rPr>
        <w:t>upplement</w:t>
      </w:r>
      <w:r w:rsidR="00F105D1">
        <w:rPr>
          <w:rFonts w:ascii="Garamond" w:hAnsi="Garamond"/>
        </w:rPr>
        <w:t>ary materials</w:t>
      </w:r>
      <w:r w:rsidR="0020369E">
        <w:rPr>
          <w:rFonts w:ascii="Garamond" w:hAnsi="Garamond"/>
        </w:rPr>
        <w:t xml:space="preserve">. </w:t>
      </w:r>
    </w:p>
    <w:p w14:paraId="05884197" w14:textId="50A9E20B" w:rsidR="00BC71AF" w:rsidRDefault="00BC71AF" w:rsidP="007C50A8">
      <w:pPr>
        <w:spacing w:line="360" w:lineRule="auto"/>
        <w:jc w:val="both"/>
        <w:rPr>
          <w:rFonts w:ascii="Garamond" w:hAnsi="Garamond"/>
        </w:rPr>
      </w:pPr>
    </w:p>
    <w:p w14:paraId="5BCC3136" w14:textId="3E4495E8" w:rsidR="0064597B" w:rsidRDefault="0064597B" w:rsidP="007C50A8">
      <w:pPr>
        <w:spacing w:line="360" w:lineRule="auto"/>
        <w:jc w:val="both"/>
        <w:rPr>
          <w:rFonts w:ascii="Garamond" w:hAnsi="Garamond"/>
          <w:b/>
        </w:rPr>
      </w:pPr>
      <w:r>
        <w:rPr>
          <w:rFonts w:ascii="Garamond" w:hAnsi="Garamond"/>
          <w:b/>
        </w:rPr>
        <w:t>General worry items</w:t>
      </w:r>
    </w:p>
    <w:p w14:paraId="54C5B8C9" w14:textId="586ECF50" w:rsidR="007A381F" w:rsidRPr="00AE3E3D" w:rsidRDefault="007A381F" w:rsidP="007C50A8">
      <w:pPr>
        <w:spacing w:line="360" w:lineRule="auto"/>
        <w:jc w:val="both"/>
        <w:rPr>
          <w:rFonts w:ascii="Garamond" w:hAnsi="Garamond"/>
        </w:rPr>
      </w:pPr>
      <w:r w:rsidRPr="00AB0C08">
        <w:rPr>
          <w:rFonts w:ascii="Garamond" w:hAnsi="Garamond"/>
        </w:rPr>
        <w:t xml:space="preserve">Following the initial removal of items with </w:t>
      </w:r>
      <w:r>
        <w:rPr>
          <w:rFonts w:ascii="Garamond" w:hAnsi="Garamond"/>
        </w:rPr>
        <w:t>correlated residuals (18 items)</w:t>
      </w:r>
      <w:r w:rsidR="00B93A03">
        <w:rPr>
          <w:rFonts w:ascii="Garamond" w:hAnsi="Garamond"/>
        </w:rPr>
        <w:t>, IRT analysis was conducted</w:t>
      </w:r>
      <w:r w:rsidR="00E909C4">
        <w:rPr>
          <w:rFonts w:ascii="Garamond" w:hAnsi="Garamond"/>
        </w:rPr>
        <w:t xml:space="preserve">. </w:t>
      </w:r>
      <w:r>
        <w:rPr>
          <w:rFonts w:ascii="Garamond" w:hAnsi="Garamond"/>
        </w:rPr>
        <w:t xml:space="preserve">All </w:t>
      </w:r>
      <w:r w:rsidR="00B93A03">
        <w:rPr>
          <w:rFonts w:ascii="Garamond" w:hAnsi="Garamond"/>
        </w:rPr>
        <w:t xml:space="preserve">21 </w:t>
      </w:r>
      <w:r w:rsidR="00694E99">
        <w:rPr>
          <w:rFonts w:ascii="Garamond" w:hAnsi="Garamond"/>
        </w:rPr>
        <w:t xml:space="preserve">remaining </w:t>
      </w:r>
      <w:r>
        <w:rPr>
          <w:rFonts w:ascii="Garamond" w:hAnsi="Garamond"/>
        </w:rPr>
        <w:t>items were highly discriminative with paramet</w:t>
      </w:r>
      <w:r w:rsidR="00981A44">
        <w:rPr>
          <w:rFonts w:ascii="Garamond" w:hAnsi="Garamond"/>
        </w:rPr>
        <w:t xml:space="preserve">ers ranging from </w:t>
      </w:r>
      <w:r>
        <w:rPr>
          <w:rFonts w:ascii="Garamond" w:hAnsi="Garamond"/>
        </w:rPr>
        <w:t>1.62-4.88</w:t>
      </w:r>
      <w:r w:rsidR="00694E99">
        <w:rPr>
          <w:rFonts w:ascii="Garamond" w:hAnsi="Garamond"/>
        </w:rPr>
        <w:t xml:space="preserve"> (supplement</w:t>
      </w:r>
      <w:r w:rsidR="003630B4">
        <w:rPr>
          <w:rFonts w:ascii="Garamond" w:hAnsi="Garamond"/>
        </w:rPr>
        <w:t>ary materials</w:t>
      </w:r>
      <w:r w:rsidR="00694E99">
        <w:rPr>
          <w:rFonts w:ascii="Garamond" w:hAnsi="Garamond"/>
        </w:rPr>
        <w:t>)</w:t>
      </w:r>
      <w:r>
        <w:rPr>
          <w:rFonts w:ascii="Garamond" w:hAnsi="Garamond"/>
        </w:rPr>
        <w:t>. Preference was given to items with a range of difficulty thresholds to ensure the questionnaire would represent a wide proportion of the distribution of worry. Ten final items were selected to</w:t>
      </w:r>
      <w:r w:rsidRPr="00AB0C08">
        <w:rPr>
          <w:rFonts w:ascii="Garamond" w:hAnsi="Garamond"/>
        </w:rPr>
        <w:t xml:space="preserve"> represent </w:t>
      </w:r>
      <w:r w:rsidR="0064597B">
        <w:rPr>
          <w:rFonts w:ascii="Garamond" w:hAnsi="Garamond"/>
        </w:rPr>
        <w:t xml:space="preserve">the </w:t>
      </w:r>
      <w:r w:rsidRPr="00AB0C08">
        <w:rPr>
          <w:rFonts w:ascii="Garamond" w:hAnsi="Garamond"/>
        </w:rPr>
        <w:t xml:space="preserve">theoretically important </w:t>
      </w:r>
      <w:r w:rsidR="00F105D1">
        <w:rPr>
          <w:rFonts w:ascii="Garamond" w:hAnsi="Garamond"/>
        </w:rPr>
        <w:t>aspects</w:t>
      </w:r>
      <w:r w:rsidRPr="00AB0C08">
        <w:rPr>
          <w:rFonts w:ascii="Garamond" w:hAnsi="Garamond"/>
        </w:rPr>
        <w:t xml:space="preserve"> of worry</w:t>
      </w:r>
      <w:r w:rsidR="00AB19D0">
        <w:rPr>
          <w:rFonts w:ascii="Garamond" w:hAnsi="Garamond"/>
        </w:rPr>
        <w:t>:</w:t>
      </w:r>
      <w:r w:rsidRPr="00AB0C08">
        <w:rPr>
          <w:rFonts w:ascii="Garamond" w:hAnsi="Garamond"/>
        </w:rPr>
        <w:t xml:space="preserve"> time spent worrying (2 items), control over worry (2 items), interference of worry (2 items), and the emotional consequences of worry (4 items).</w:t>
      </w:r>
      <w:r w:rsidR="001446C8">
        <w:rPr>
          <w:rFonts w:ascii="Garamond" w:hAnsi="Garamond"/>
        </w:rPr>
        <w:t xml:space="preserve"> </w:t>
      </w:r>
    </w:p>
    <w:p w14:paraId="2E141EA8" w14:textId="77777777" w:rsidR="00F105D1" w:rsidRDefault="00F105D1" w:rsidP="007C50A8">
      <w:pPr>
        <w:spacing w:line="360" w:lineRule="auto"/>
        <w:jc w:val="both"/>
        <w:rPr>
          <w:rFonts w:ascii="Garamond" w:hAnsi="Garamond"/>
          <w:b/>
        </w:rPr>
      </w:pPr>
    </w:p>
    <w:p w14:paraId="3E1ED4C3" w14:textId="0FBAE655" w:rsidR="0064597B" w:rsidRDefault="001446C8" w:rsidP="007C50A8">
      <w:pPr>
        <w:spacing w:line="360" w:lineRule="auto"/>
        <w:jc w:val="both"/>
        <w:rPr>
          <w:rFonts w:ascii="Garamond" w:hAnsi="Garamond"/>
          <w:i/>
        </w:rPr>
      </w:pPr>
      <w:r>
        <w:rPr>
          <w:rFonts w:ascii="Garamond" w:hAnsi="Garamond"/>
          <w:b/>
        </w:rPr>
        <w:t>Paranoia</w:t>
      </w:r>
      <w:r w:rsidR="009905C3">
        <w:rPr>
          <w:rFonts w:ascii="Garamond" w:hAnsi="Garamond"/>
          <w:b/>
        </w:rPr>
        <w:t xml:space="preserve"> worry items</w:t>
      </w:r>
    </w:p>
    <w:p w14:paraId="404EDF79" w14:textId="04A55B72" w:rsidR="007A381F" w:rsidRDefault="007A381F" w:rsidP="007C50A8">
      <w:pPr>
        <w:spacing w:line="360" w:lineRule="auto"/>
        <w:jc w:val="both"/>
        <w:rPr>
          <w:rFonts w:ascii="Garamond" w:hAnsi="Garamond"/>
        </w:rPr>
      </w:pPr>
      <w:r>
        <w:rPr>
          <w:rFonts w:ascii="Garamond" w:hAnsi="Garamond"/>
        </w:rPr>
        <w:t>Following removal of items with correlated residuals (5 items), IRT</w:t>
      </w:r>
      <w:r w:rsidR="00B93A03">
        <w:rPr>
          <w:rFonts w:ascii="Garamond" w:hAnsi="Garamond"/>
        </w:rPr>
        <w:t xml:space="preserve"> analysis was conducted</w:t>
      </w:r>
      <w:r w:rsidR="00694E99">
        <w:rPr>
          <w:rFonts w:ascii="Garamond" w:hAnsi="Garamond"/>
        </w:rPr>
        <w:t xml:space="preserve">. </w:t>
      </w:r>
      <w:r>
        <w:rPr>
          <w:rFonts w:ascii="Garamond" w:hAnsi="Garamond"/>
        </w:rPr>
        <w:t xml:space="preserve">All </w:t>
      </w:r>
      <w:r w:rsidR="00B93A03">
        <w:rPr>
          <w:rFonts w:ascii="Garamond" w:hAnsi="Garamond"/>
        </w:rPr>
        <w:t>9</w:t>
      </w:r>
      <w:r w:rsidR="00694E99">
        <w:rPr>
          <w:rFonts w:ascii="Garamond" w:hAnsi="Garamond"/>
        </w:rPr>
        <w:t xml:space="preserve"> remaining</w:t>
      </w:r>
      <w:r w:rsidR="00B93A03">
        <w:rPr>
          <w:rFonts w:ascii="Garamond" w:hAnsi="Garamond"/>
        </w:rPr>
        <w:t xml:space="preserve"> </w:t>
      </w:r>
      <w:r>
        <w:rPr>
          <w:rFonts w:ascii="Garamond" w:hAnsi="Garamond"/>
        </w:rPr>
        <w:t xml:space="preserve">items were extremely discriminative with parameters ranging from </w:t>
      </w:r>
      <w:r w:rsidR="00B93A03">
        <w:rPr>
          <w:rFonts w:ascii="Garamond" w:hAnsi="Garamond"/>
        </w:rPr>
        <w:t>4.33-10.0</w:t>
      </w:r>
      <w:r w:rsidR="00694E99">
        <w:rPr>
          <w:rFonts w:ascii="Garamond" w:hAnsi="Garamond"/>
        </w:rPr>
        <w:t xml:space="preserve"> (supplement 1)</w:t>
      </w:r>
      <w:r w:rsidR="00B93A03">
        <w:rPr>
          <w:rFonts w:ascii="Garamond" w:hAnsi="Garamond"/>
        </w:rPr>
        <w:t xml:space="preserve">. All items demonstrated </w:t>
      </w:r>
      <w:r w:rsidR="00D80283">
        <w:rPr>
          <w:rFonts w:ascii="Garamond" w:hAnsi="Garamond"/>
        </w:rPr>
        <w:t xml:space="preserve">high difficulty parameters indicating that </w:t>
      </w:r>
      <w:r w:rsidR="00B93A03">
        <w:rPr>
          <w:rFonts w:ascii="Garamond" w:hAnsi="Garamond"/>
        </w:rPr>
        <w:t>they</w:t>
      </w:r>
      <w:r w:rsidR="00D80283">
        <w:rPr>
          <w:rFonts w:ascii="Garamond" w:hAnsi="Garamond"/>
        </w:rPr>
        <w:t xml:space="preserve"> tended to discriminate at </w:t>
      </w:r>
      <w:r w:rsidR="00B93A03">
        <w:rPr>
          <w:rFonts w:ascii="Garamond" w:hAnsi="Garamond"/>
        </w:rPr>
        <w:t xml:space="preserve">more severe levels of </w:t>
      </w:r>
      <w:r w:rsidR="00A50F9D">
        <w:rPr>
          <w:rFonts w:ascii="Garamond" w:hAnsi="Garamond"/>
        </w:rPr>
        <w:t>paranoia</w:t>
      </w:r>
      <w:r w:rsidR="00B93A03">
        <w:rPr>
          <w:rFonts w:ascii="Garamond" w:hAnsi="Garamond"/>
        </w:rPr>
        <w:t xml:space="preserve"> worry</w:t>
      </w:r>
      <w:r w:rsidR="00D80283">
        <w:rPr>
          <w:rFonts w:ascii="Garamond" w:hAnsi="Garamond"/>
        </w:rPr>
        <w:t xml:space="preserve">. </w:t>
      </w:r>
      <w:r>
        <w:rPr>
          <w:rFonts w:ascii="Garamond" w:hAnsi="Garamond"/>
        </w:rPr>
        <w:t>Five items were selected based on</w:t>
      </w:r>
      <w:r w:rsidR="001446C8">
        <w:rPr>
          <w:rFonts w:ascii="Garamond" w:hAnsi="Garamond"/>
        </w:rPr>
        <w:t xml:space="preserve"> time spent worrying (</w:t>
      </w:r>
      <w:r w:rsidR="00DB791D">
        <w:rPr>
          <w:rFonts w:ascii="Garamond" w:hAnsi="Garamond"/>
        </w:rPr>
        <w:t>2</w:t>
      </w:r>
      <w:r w:rsidR="001446C8">
        <w:rPr>
          <w:rFonts w:ascii="Garamond" w:hAnsi="Garamond"/>
        </w:rPr>
        <w:t xml:space="preserve"> items), control over worry (</w:t>
      </w:r>
      <w:r w:rsidR="00DB791D">
        <w:rPr>
          <w:rFonts w:ascii="Garamond" w:hAnsi="Garamond"/>
        </w:rPr>
        <w:t>1</w:t>
      </w:r>
      <w:r w:rsidR="001446C8">
        <w:rPr>
          <w:rFonts w:ascii="Garamond" w:hAnsi="Garamond"/>
        </w:rPr>
        <w:t xml:space="preserve"> item), interference of worry (</w:t>
      </w:r>
      <w:r w:rsidR="00DB791D">
        <w:rPr>
          <w:rFonts w:ascii="Garamond" w:hAnsi="Garamond"/>
        </w:rPr>
        <w:t>1</w:t>
      </w:r>
      <w:r w:rsidR="001446C8">
        <w:rPr>
          <w:rFonts w:ascii="Garamond" w:hAnsi="Garamond"/>
        </w:rPr>
        <w:t xml:space="preserve"> item), and the emotional consequences of worry (</w:t>
      </w:r>
      <w:r w:rsidR="00DB791D">
        <w:rPr>
          <w:rFonts w:ascii="Garamond" w:hAnsi="Garamond"/>
        </w:rPr>
        <w:t>1</w:t>
      </w:r>
      <w:r w:rsidR="001446C8">
        <w:rPr>
          <w:rFonts w:ascii="Garamond" w:hAnsi="Garamond"/>
        </w:rPr>
        <w:t xml:space="preserve"> item). </w:t>
      </w:r>
      <w:r w:rsidR="001446C8" w:rsidRPr="001446C8">
        <w:rPr>
          <w:rFonts w:ascii="Garamond" w:hAnsi="Garamond"/>
        </w:rPr>
        <w:t>The f</w:t>
      </w:r>
      <w:r w:rsidR="00E909C4">
        <w:rPr>
          <w:rFonts w:ascii="Garamond" w:hAnsi="Garamond"/>
        </w:rPr>
        <w:t xml:space="preserve">inal </w:t>
      </w:r>
      <w:r w:rsidR="001446C8" w:rsidRPr="001446C8">
        <w:rPr>
          <w:rFonts w:ascii="Garamond" w:hAnsi="Garamond"/>
        </w:rPr>
        <w:t>scale</w:t>
      </w:r>
      <w:r w:rsidR="00E909C4">
        <w:rPr>
          <w:rFonts w:ascii="Garamond" w:hAnsi="Garamond"/>
        </w:rPr>
        <w:t>s</w:t>
      </w:r>
      <w:r w:rsidR="001446C8" w:rsidRPr="001446C8">
        <w:rPr>
          <w:rFonts w:ascii="Garamond" w:hAnsi="Garamond"/>
        </w:rPr>
        <w:t xml:space="preserve"> can be seen in </w:t>
      </w:r>
      <w:r w:rsidR="001C0271">
        <w:rPr>
          <w:rFonts w:ascii="Garamond" w:hAnsi="Garamond"/>
        </w:rPr>
        <w:t>the Appendix</w:t>
      </w:r>
      <w:r w:rsidR="001446C8" w:rsidRPr="001446C8">
        <w:rPr>
          <w:rFonts w:ascii="Garamond" w:hAnsi="Garamond"/>
        </w:rPr>
        <w:t>.</w:t>
      </w:r>
    </w:p>
    <w:p w14:paraId="54E8F0C4" w14:textId="77777777" w:rsidR="00F105D1" w:rsidRDefault="00F105D1" w:rsidP="007C50A8">
      <w:pPr>
        <w:spacing w:line="360" w:lineRule="auto"/>
        <w:jc w:val="both"/>
        <w:rPr>
          <w:rFonts w:ascii="Garamond" w:hAnsi="Garamond"/>
        </w:rPr>
      </w:pPr>
    </w:p>
    <w:p w14:paraId="6D489504" w14:textId="51CE8E17" w:rsidR="00D80283" w:rsidRPr="00F41E7B" w:rsidRDefault="009905C3" w:rsidP="007C50A8">
      <w:pPr>
        <w:spacing w:line="360" w:lineRule="auto"/>
        <w:jc w:val="both"/>
        <w:rPr>
          <w:rFonts w:ascii="Garamond" w:hAnsi="Garamond"/>
          <w:b/>
        </w:rPr>
      </w:pPr>
      <w:r>
        <w:rPr>
          <w:rFonts w:ascii="Garamond" w:hAnsi="Garamond"/>
          <w:b/>
        </w:rPr>
        <w:t>Cross-validation</w:t>
      </w:r>
      <w:r w:rsidR="00923E7B">
        <w:rPr>
          <w:rFonts w:ascii="Garamond" w:hAnsi="Garamond"/>
          <w:b/>
        </w:rPr>
        <w:t xml:space="preserve"> </w:t>
      </w:r>
    </w:p>
    <w:p w14:paraId="6F44F63D" w14:textId="53155E80" w:rsidR="00336FC7" w:rsidRDefault="00694E99" w:rsidP="007C50A8">
      <w:pPr>
        <w:spacing w:line="360" w:lineRule="auto"/>
        <w:jc w:val="both"/>
        <w:rPr>
          <w:rFonts w:ascii="Garamond" w:hAnsi="Garamond"/>
        </w:rPr>
      </w:pPr>
      <w:r>
        <w:rPr>
          <w:rFonts w:ascii="Garamond" w:hAnsi="Garamond"/>
        </w:rPr>
        <w:t>A</w:t>
      </w:r>
      <w:r w:rsidR="00D80283">
        <w:rPr>
          <w:rFonts w:ascii="Garamond" w:hAnsi="Garamond"/>
        </w:rPr>
        <w:t xml:space="preserve">ll ten general worry items and all five </w:t>
      </w:r>
      <w:r w:rsidR="001446C8">
        <w:rPr>
          <w:rFonts w:ascii="Garamond" w:hAnsi="Garamond"/>
        </w:rPr>
        <w:t>paranoia</w:t>
      </w:r>
      <w:r w:rsidR="00D80283">
        <w:rPr>
          <w:rFonts w:ascii="Garamond" w:hAnsi="Garamond"/>
        </w:rPr>
        <w:t xml:space="preserve"> worry</w:t>
      </w:r>
      <w:r w:rsidR="00B93A03">
        <w:rPr>
          <w:rFonts w:ascii="Garamond" w:hAnsi="Garamond"/>
        </w:rPr>
        <w:t xml:space="preserve"> items selected from the derivation</w:t>
      </w:r>
      <w:r w:rsidR="00D80283">
        <w:rPr>
          <w:rFonts w:ascii="Garamond" w:hAnsi="Garamond"/>
        </w:rPr>
        <w:t xml:space="preserve"> </w:t>
      </w:r>
      <w:r w:rsidR="00B93A03">
        <w:rPr>
          <w:rFonts w:ascii="Garamond" w:hAnsi="Garamond"/>
        </w:rPr>
        <w:t>analysis</w:t>
      </w:r>
      <w:r w:rsidR="00D80283">
        <w:rPr>
          <w:rFonts w:ascii="Garamond" w:hAnsi="Garamond"/>
        </w:rPr>
        <w:t xml:space="preserve"> had adequate item fit and residual correlations below 0.2</w:t>
      </w:r>
      <w:r w:rsidR="007C3DF1">
        <w:rPr>
          <w:rFonts w:ascii="Garamond" w:hAnsi="Garamond"/>
        </w:rPr>
        <w:t xml:space="preserve"> in the cross-validation sample</w:t>
      </w:r>
      <w:r w:rsidR="00D80283">
        <w:rPr>
          <w:rFonts w:ascii="Garamond" w:hAnsi="Garamond"/>
        </w:rPr>
        <w:t xml:space="preserve">. </w:t>
      </w:r>
      <w:r w:rsidR="00D80283" w:rsidRPr="00AB0C08">
        <w:rPr>
          <w:rFonts w:ascii="Garamond" w:hAnsi="Garamond"/>
        </w:rPr>
        <w:t xml:space="preserve">The IRT </w:t>
      </w:r>
      <w:r w:rsidR="00D80283">
        <w:rPr>
          <w:rFonts w:ascii="Garamond" w:hAnsi="Garamond"/>
        </w:rPr>
        <w:t xml:space="preserve">item </w:t>
      </w:r>
      <w:r w:rsidR="00D80283" w:rsidRPr="00AB0C08">
        <w:rPr>
          <w:rFonts w:ascii="Garamond" w:hAnsi="Garamond"/>
        </w:rPr>
        <w:lastRenderedPageBreak/>
        <w:t xml:space="preserve">parameters </w:t>
      </w:r>
      <w:r w:rsidR="00D80283">
        <w:rPr>
          <w:rFonts w:ascii="Garamond" w:hAnsi="Garamond"/>
        </w:rPr>
        <w:t xml:space="preserve">for both scales from this sample are shown in </w:t>
      </w:r>
      <w:r w:rsidR="001446C8">
        <w:rPr>
          <w:rFonts w:ascii="Garamond" w:hAnsi="Garamond"/>
        </w:rPr>
        <w:t>T</w:t>
      </w:r>
      <w:r w:rsidR="00D80283">
        <w:rPr>
          <w:rFonts w:ascii="Garamond" w:hAnsi="Garamond"/>
        </w:rPr>
        <w:t xml:space="preserve">able </w:t>
      </w:r>
      <w:r w:rsidR="006D2FA1">
        <w:rPr>
          <w:rFonts w:ascii="Garamond" w:hAnsi="Garamond"/>
        </w:rPr>
        <w:t>1</w:t>
      </w:r>
      <w:r w:rsidR="00D80283">
        <w:rPr>
          <w:rFonts w:ascii="Garamond" w:hAnsi="Garamond"/>
        </w:rPr>
        <w:t xml:space="preserve">. Figure 1 shows </w:t>
      </w:r>
      <w:r w:rsidR="00565F95">
        <w:rPr>
          <w:rFonts w:ascii="Garamond" w:hAnsi="Garamond"/>
        </w:rPr>
        <w:t xml:space="preserve">the category response curves (CRCs) </w:t>
      </w:r>
      <w:r w:rsidR="00B93A03">
        <w:rPr>
          <w:rFonts w:ascii="Garamond" w:hAnsi="Garamond"/>
        </w:rPr>
        <w:t>for each</w:t>
      </w:r>
      <w:r w:rsidR="00D80283">
        <w:rPr>
          <w:rFonts w:ascii="Garamond" w:hAnsi="Garamond"/>
        </w:rPr>
        <w:t xml:space="preserve"> scale, depicting for each item the probability of every response option (0-4)</w:t>
      </w:r>
      <w:r w:rsidR="00565F95">
        <w:rPr>
          <w:rFonts w:ascii="Garamond" w:hAnsi="Garamond"/>
        </w:rPr>
        <w:t xml:space="preserve"> along the distribution of theta</w:t>
      </w:r>
      <w:r w:rsidR="00D80283">
        <w:rPr>
          <w:rFonts w:ascii="Garamond" w:hAnsi="Garamond"/>
        </w:rPr>
        <w:t>. The discrimination parameter (</w:t>
      </w:r>
      <w:r w:rsidR="00D80283" w:rsidRPr="00683DE3">
        <w:rPr>
          <w:rFonts w:ascii="Garamond" w:hAnsi="Garamond"/>
          <w:i/>
        </w:rPr>
        <w:t>a</w:t>
      </w:r>
      <w:r w:rsidR="00D80283">
        <w:rPr>
          <w:rFonts w:ascii="Garamond" w:hAnsi="Garamond"/>
        </w:rPr>
        <w:t xml:space="preserve">) is represented by the steepness of the curve, with higher values </w:t>
      </w:r>
      <w:r w:rsidR="00565F95">
        <w:rPr>
          <w:rFonts w:ascii="Garamond" w:hAnsi="Garamond"/>
        </w:rPr>
        <w:t>indicating a greater capacity to discriminate small differences in severity levels.</w:t>
      </w:r>
      <w:r w:rsidR="00923E7B">
        <w:rPr>
          <w:rFonts w:ascii="Garamond" w:hAnsi="Garamond"/>
        </w:rPr>
        <w:t xml:space="preserve"> </w:t>
      </w:r>
    </w:p>
    <w:p w14:paraId="09F242C2" w14:textId="77777777" w:rsidR="00E10797" w:rsidRDefault="00E10797" w:rsidP="007C50A8">
      <w:pPr>
        <w:spacing w:after="0" w:line="360" w:lineRule="auto"/>
        <w:jc w:val="center"/>
        <w:rPr>
          <w:rFonts w:ascii="Garamond" w:eastAsia="Times New Roman" w:hAnsi="Garamond" w:cs="Times New Roman"/>
          <w:color w:val="000000"/>
          <w:sz w:val="24"/>
          <w:szCs w:val="24"/>
          <w:lang w:eastAsia="en-GB"/>
        </w:rPr>
      </w:pPr>
    </w:p>
    <w:p w14:paraId="71A5BF8D" w14:textId="5A4A9A96" w:rsidR="003E63E7" w:rsidRDefault="003E63E7" w:rsidP="00E10797">
      <w:pPr>
        <w:spacing w:after="100" w:afterAutospacing="1" w:line="360" w:lineRule="auto"/>
        <w:jc w:val="center"/>
        <w:rPr>
          <w:rFonts w:ascii="Garamond" w:eastAsia="Times New Roman" w:hAnsi="Garamond" w:cs="Times New Roman"/>
          <w:color w:val="000000"/>
          <w:sz w:val="24"/>
          <w:szCs w:val="24"/>
          <w:lang w:eastAsia="en-GB"/>
        </w:rPr>
      </w:pPr>
      <w:r w:rsidRPr="00200B45">
        <w:rPr>
          <w:rFonts w:ascii="Garamond" w:eastAsia="Times New Roman" w:hAnsi="Garamond" w:cs="Times New Roman"/>
          <w:color w:val="000000"/>
          <w:sz w:val="24"/>
          <w:szCs w:val="24"/>
          <w:lang w:eastAsia="en-GB"/>
        </w:rPr>
        <w:t>--------------</w:t>
      </w:r>
      <w:r w:rsidR="00F105D1">
        <w:rPr>
          <w:rFonts w:ascii="Garamond" w:eastAsia="Times New Roman" w:hAnsi="Garamond" w:cs="Times New Roman"/>
          <w:color w:val="000000"/>
          <w:sz w:val="24"/>
          <w:szCs w:val="24"/>
          <w:lang w:eastAsia="en-GB"/>
        </w:rPr>
        <w:t>---------</w:t>
      </w:r>
      <w:r w:rsidRPr="00200B45">
        <w:rPr>
          <w:rFonts w:ascii="Garamond" w:eastAsia="Times New Roman" w:hAnsi="Garamond" w:cs="Times New Roman"/>
          <w:color w:val="000000"/>
          <w:sz w:val="24"/>
          <w:szCs w:val="24"/>
          <w:lang w:eastAsia="en-GB"/>
        </w:rPr>
        <w:t>---------------------</w:t>
      </w:r>
    </w:p>
    <w:p w14:paraId="47E2A106" w14:textId="77777777" w:rsidR="00E10797" w:rsidRDefault="00F105D1" w:rsidP="00E10797">
      <w:pPr>
        <w:spacing w:after="100" w:afterAutospacing="1" w:line="360" w:lineRule="auto"/>
        <w:jc w:val="center"/>
        <w:rPr>
          <w:rFonts w:ascii="Garamond" w:hAnsi="Garamond"/>
        </w:rPr>
      </w:pPr>
      <w:r>
        <w:rPr>
          <w:rFonts w:ascii="Garamond" w:hAnsi="Garamond"/>
        </w:rPr>
        <w:t xml:space="preserve">Table 1 and </w:t>
      </w:r>
      <w:r w:rsidR="003E63E7">
        <w:rPr>
          <w:rFonts w:ascii="Garamond" w:hAnsi="Garamond"/>
        </w:rPr>
        <w:t>Figure 1 about here</w:t>
      </w:r>
    </w:p>
    <w:p w14:paraId="1F41D5EF" w14:textId="5C484915" w:rsidR="003E63E7" w:rsidRPr="00200B45" w:rsidRDefault="003E63E7" w:rsidP="00E10797">
      <w:pPr>
        <w:spacing w:after="100" w:afterAutospacing="1" w:line="360" w:lineRule="auto"/>
        <w:jc w:val="center"/>
        <w:rPr>
          <w:rFonts w:ascii="Garamond" w:eastAsia="Times New Roman" w:hAnsi="Garamond" w:cs="Times New Roman"/>
          <w:color w:val="000000"/>
          <w:sz w:val="24"/>
          <w:szCs w:val="24"/>
          <w:lang w:eastAsia="en-GB"/>
        </w:rPr>
      </w:pPr>
      <w:r w:rsidRPr="00200B45">
        <w:rPr>
          <w:rFonts w:ascii="Garamond" w:eastAsia="Times New Roman" w:hAnsi="Garamond" w:cs="Times New Roman"/>
          <w:color w:val="000000"/>
          <w:sz w:val="24"/>
          <w:szCs w:val="24"/>
          <w:lang w:eastAsia="en-GB"/>
        </w:rPr>
        <w:t>------------------</w:t>
      </w:r>
      <w:r w:rsidR="00F105D1">
        <w:rPr>
          <w:rFonts w:ascii="Garamond" w:eastAsia="Times New Roman" w:hAnsi="Garamond" w:cs="Times New Roman"/>
          <w:color w:val="000000"/>
          <w:sz w:val="24"/>
          <w:szCs w:val="24"/>
          <w:lang w:eastAsia="en-GB"/>
        </w:rPr>
        <w:t>---------</w:t>
      </w:r>
      <w:r w:rsidRPr="00200B45">
        <w:rPr>
          <w:rFonts w:ascii="Garamond" w:eastAsia="Times New Roman" w:hAnsi="Garamond" w:cs="Times New Roman"/>
          <w:color w:val="000000"/>
          <w:sz w:val="24"/>
          <w:szCs w:val="24"/>
          <w:lang w:eastAsia="en-GB"/>
        </w:rPr>
        <w:t>-----------------</w:t>
      </w:r>
    </w:p>
    <w:p w14:paraId="2EEF9EF7" w14:textId="30FD8C07" w:rsidR="008749A6" w:rsidRPr="008749A6" w:rsidRDefault="009905C3" w:rsidP="007C50A8">
      <w:pPr>
        <w:spacing w:line="360" w:lineRule="auto"/>
        <w:jc w:val="both"/>
        <w:rPr>
          <w:rFonts w:ascii="Garamond" w:hAnsi="Garamond"/>
          <w:b/>
        </w:rPr>
      </w:pPr>
      <w:r>
        <w:rPr>
          <w:rFonts w:ascii="Garamond" w:hAnsi="Garamond"/>
          <w:b/>
        </w:rPr>
        <w:t>Dunn Worry Questionnaire (DWQ)</w:t>
      </w:r>
    </w:p>
    <w:p w14:paraId="2E6AB6E5" w14:textId="4D124376" w:rsidR="006D2FA1" w:rsidRDefault="009905C3" w:rsidP="007C50A8">
      <w:pPr>
        <w:spacing w:line="360" w:lineRule="auto"/>
        <w:jc w:val="both"/>
        <w:rPr>
          <w:rFonts w:ascii="Garamond" w:hAnsi="Garamond"/>
        </w:rPr>
      </w:pPr>
      <w:r>
        <w:rPr>
          <w:rFonts w:ascii="Garamond" w:hAnsi="Garamond"/>
        </w:rPr>
        <w:t>All ten items of the DWQ</w:t>
      </w:r>
      <w:r w:rsidR="005955DE">
        <w:rPr>
          <w:rFonts w:ascii="Garamond" w:hAnsi="Garamond"/>
        </w:rPr>
        <w:t xml:space="preserve"> had high levels of discrimination (</w:t>
      </w:r>
      <w:r w:rsidR="005955DE" w:rsidRPr="00877B69">
        <w:rPr>
          <w:rFonts w:ascii="Garamond" w:hAnsi="Garamond"/>
          <w:i/>
        </w:rPr>
        <w:t>a</w:t>
      </w:r>
      <w:r w:rsidR="005955DE">
        <w:rPr>
          <w:rFonts w:ascii="Garamond" w:hAnsi="Garamond"/>
        </w:rPr>
        <w:t>=1.9</w:t>
      </w:r>
      <w:r w:rsidR="00D641E1">
        <w:rPr>
          <w:rFonts w:ascii="Garamond" w:hAnsi="Garamond"/>
        </w:rPr>
        <w:t>8</w:t>
      </w:r>
      <w:r w:rsidR="005955DE">
        <w:rPr>
          <w:rFonts w:ascii="Garamond" w:hAnsi="Garamond"/>
        </w:rPr>
        <w:t>-5.0</w:t>
      </w:r>
      <w:r w:rsidR="00D641E1">
        <w:rPr>
          <w:rFonts w:ascii="Garamond" w:hAnsi="Garamond"/>
        </w:rPr>
        <w:t>3</w:t>
      </w:r>
      <w:r w:rsidR="005955DE">
        <w:rPr>
          <w:rFonts w:ascii="Garamond" w:hAnsi="Garamond"/>
        </w:rPr>
        <w:t xml:space="preserve">), indicating an increase in latent worry leads to a high probability that each item will be endorsed. The most discriminating item was </w:t>
      </w:r>
      <w:r w:rsidR="005955DE" w:rsidRPr="004A6194">
        <w:rPr>
          <w:rFonts w:ascii="Garamond" w:hAnsi="Garamond"/>
          <w:i/>
        </w:rPr>
        <w:t xml:space="preserve">“I have been worrying even though I didn’t want to” </w:t>
      </w:r>
      <w:r w:rsidR="005955DE" w:rsidRPr="00AB0C08">
        <w:rPr>
          <w:rFonts w:ascii="Garamond" w:hAnsi="Garamond"/>
        </w:rPr>
        <w:t>(</w:t>
      </w:r>
      <w:r w:rsidR="005955DE" w:rsidRPr="00AB0C08">
        <w:rPr>
          <w:rFonts w:ascii="Garamond" w:hAnsi="Garamond"/>
          <w:i/>
        </w:rPr>
        <w:t>a</w:t>
      </w:r>
      <w:r w:rsidR="005955DE" w:rsidRPr="00AB0C08">
        <w:rPr>
          <w:rFonts w:ascii="Garamond" w:hAnsi="Garamond"/>
        </w:rPr>
        <w:t>=5.0</w:t>
      </w:r>
      <w:r w:rsidR="00D641E1">
        <w:rPr>
          <w:rFonts w:ascii="Garamond" w:hAnsi="Garamond"/>
        </w:rPr>
        <w:t>3</w:t>
      </w:r>
      <w:r w:rsidR="005955DE" w:rsidRPr="00AB0C08">
        <w:rPr>
          <w:rFonts w:ascii="Garamond" w:hAnsi="Garamond"/>
        </w:rPr>
        <w:t>)</w:t>
      </w:r>
      <w:r w:rsidR="005955DE">
        <w:rPr>
          <w:rFonts w:ascii="Garamond" w:hAnsi="Garamond"/>
        </w:rPr>
        <w:t xml:space="preserve">, suggesting endorsement of this item was particularly representative of </w:t>
      </w:r>
      <w:r w:rsidR="00B93A03">
        <w:rPr>
          <w:rFonts w:ascii="Garamond" w:hAnsi="Garamond"/>
        </w:rPr>
        <w:t>more severe</w:t>
      </w:r>
      <w:r w:rsidR="005955DE">
        <w:rPr>
          <w:rFonts w:ascii="Garamond" w:hAnsi="Garamond"/>
        </w:rPr>
        <w:t xml:space="preserve"> worry. The least discriminating item was </w:t>
      </w:r>
      <w:r w:rsidR="005955DE" w:rsidRPr="004A6194">
        <w:rPr>
          <w:rFonts w:ascii="Garamond" w:hAnsi="Garamond"/>
          <w:i/>
        </w:rPr>
        <w:t xml:space="preserve">“Worry has stopped me sleeping” </w:t>
      </w:r>
      <w:r w:rsidR="005955DE" w:rsidRPr="00AB0C08">
        <w:rPr>
          <w:rFonts w:ascii="Garamond" w:hAnsi="Garamond"/>
        </w:rPr>
        <w:t>(</w:t>
      </w:r>
      <w:r w:rsidR="005955DE" w:rsidRPr="00022ABE">
        <w:rPr>
          <w:rFonts w:ascii="Garamond" w:hAnsi="Garamond"/>
          <w:i/>
        </w:rPr>
        <w:t>a</w:t>
      </w:r>
      <w:r w:rsidR="005955DE" w:rsidRPr="00AB0C08">
        <w:rPr>
          <w:rFonts w:ascii="Garamond" w:hAnsi="Garamond"/>
        </w:rPr>
        <w:t>=1.9</w:t>
      </w:r>
      <w:r w:rsidR="00D641E1">
        <w:rPr>
          <w:rFonts w:ascii="Garamond" w:hAnsi="Garamond"/>
        </w:rPr>
        <w:t>8</w:t>
      </w:r>
      <w:r w:rsidR="005955DE" w:rsidRPr="00AB0C08">
        <w:rPr>
          <w:rFonts w:ascii="Garamond" w:hAnsi="Garamond"/>
        </w:rPr>
        <w:t>)</w:t>
      </w:r>
      <w:r w:rsidR="005955DE">
        <w:rPr>
          <w:rFonts w:ascii="Garamond" w:hAnsi="Garamond"/>
        </w:rPr>
        <w:t>, although this was still well above the threshold of 1</w:t>
      </w:r>
      <w:r w:rsidR="004C74AD">
        <w:rPr>
          <w:rFonts w:ascii="Garamond" w:hAnsi="Garamond"/>
        </w:rPr>
        <w:t>.0</w:t>
      </w:r>
      <w:r w:rsidR="00E66260">
        <w:rPr>
          <w:rFonts w:ascii="Garamond" w:hAnsi="Garamond"/>
        </w:rPr>
        <w:t xml:space="preserve"> </w:t>
      </w:r>
      <w:r w:rsidR="005955DE">
        <w:rPr>
          <w:rFonts w:ascii="Garamond" w:hAnsi="Garamond"/>
        </w:rPr>
        <w:t>for a highly discr</w:t>
      </w:r>
      <w:r w:rsidR="00B93A03">
        <w:rPr>
          <w:rFonts w:ascii="Garamond" w:hAnsi="Garamond"/>
        </w:rPr>
        <w:t>iminative item (</w:t>
      </w:r>
      <w:r w:rsidR="00E66260">
        <w:rPr>
          <w:rFonts w:ascii="Garamond" w:hAnsi="Garamond"/>
        </w:rPr>
        <w:t>Baker, 20</w:t>
      </w:r>
      <w:r w:rsidR="00C600CE">
        <w:rPr>
          <w:rFonts w:ascii="Garamond" w:hAnsi="Garamond"/>
        </w:rPr>
        <w:t>17</w:t>
      </w:r>
      <w:r w:rsidR="00B93A03">
        <w:rPr>
          <w:rFonts w:ascii="Garamond" w:hAnsi="Garamond"/>
        </w:rPr>
        <w:t xml:space="preserve">). The </w:t>
      </w:r>
      <w:r w:rsidR="00A65496">
        <w:rPr>
          <w:rFonts w:ascii="Garamond" w:hAnsi="Garamond"/>
        </w:rPr>
        <w:t>CRCs</w:t>
      </w:r>
      <w:r w:rsidR="008C0E36">
        <w:rPr>
          <w:rFonts w:ascii="Garamond" w:hAnsi="Garamond"/>
        </w:rPr>
        <w:t xml:space="preserve"> in Figure 1</w:t>
      </w:r>
      <w:r w:rsidR="00B93A03">
        <w:rPr>
          <w:rFonts w:ascii="Garamond" w:hAnsi="Garamond"/>
        </w:rPr>
        <w:t xml:space="preserve"> </w:t>
      </w:r>
      <w:r w:rsidR="005955DE">
        <w:rPr>
          <w:rFonts w:ascii="Garamond" w:hAnsi="Garamond"/>
        </w:rPr>
        <w:t xml:space="preserve">show </w:t>
      </w:r>
      <w:r w:rsidR="00B93A03">
        <w:rPr>
          <w:rFonts w:ascii="Garamond" w:hAnsi="Garamond"/>
        </w:rPr>
        <w:t xml:space="preserve">that </w:t>
      </w:r>
      <w:r w:rsidR="005955DE">
        <w:rPr>
          <w:rFonts w:ascii="Garamond" w:hAnsi="Garamond"/>
        </w:rPr>
        <w:t xml:space="preserve">all items of the </w:t>
      </w:r>
      <w:r w:rsidR="00B93A03">
        <w:rPr>
          <w:rFonts w:ascii="Garamond" w:hAnsi="Garamond"/>
        </w:rPr>
        <w:t xml:space="preserve">DWQ </w:t>
      </w:r>
      <w:r w:rsidR="005955DE">
        <w:rPr>
          <w:rFonts w:ascii="Garamond" w:hAnsi="Garamond"/>
        </w:rPr>
        <w:t>discriminate well across a wide range of</w:t>
      </w:r>
      <w:r w:rsidR="00981A44">
        <w:rPr>
          <w:rFonts w:ascii="Garamond" w:hAnsi="Garamond"/>
        </w:rPr>
        <w:t xml:space="preserve"> the worry distribution</w:t>
      </w:r>
      <w:r w:rsidR="005955DE">
        <w:rPr>
          <w:rFonts w:ascii="Garamond" w:hAnsi="Garamond"/>
        </w:rPr>
        <w:t xml:space="preserve">. </w:t>
      </w:r>
      <w:r w:rsidR="00445771">
        <w:rPr>
          <w:rFonts w:ascii="Garamond" w:hAnsi="Garamond"/>
        </w:rPr>
        <w:t xml:space="preserve">Examination of the expected score across this distribution shows most people are likely to endorse </w:t>
      </w:r>
      <w:r w:rsidR="00BC71AF">
        <w:rPr>
          <w:rFonts w:ascii="Garamond" w:hAnsi="Garamond"/>
        </w:rPr>
        <w:t>a number of</w:t>
      </w:r>
      <w:r w:rsidR="00445771">
        <w:rPr>
          <w:rFonts w:ascii="Garamond" w:hAnsi="Garamond"/>
        </w:rPr>
        <w:t xml:space="preserve"> items on this </w:t>
      </w:r>
      <w:proofErr w:type="gramStart"/>
      <w:r w:rsidR="00445771">
        <w:rPr>
          <w:rFonts w:ascii="Garamond" w:hAnsi="Garamond"/>
        </w:rPr>
        <w:t>scale,</w:t>
      </w:r>
      <w:proofErr w:type="gramEnd"/>
      <w:r w:rsidR="00445771">
        <w:rPr>
          <w:rFonts w:ascii="Garamond" w:hAnsi="Garamond"/>
        </w:rPr>
        <w:t xml:space="preserve"> however more severe worry </w:t>
      </w:r>
      <w:r w:rsidR="00EE49D5">
        <w:rPr>
          <w:rFonts w:ascii="Garamond" w:hAnsi="Garamond"/>
        </w:rPr>
        <w:t>is associated with</w:t>
      </w:r>
      <w:r w:rsidR="00445771">
        <w:rPr>
          <w:rFonts w:ascii="Garamond" w:hAnsi="Garamond"/>
        </w:rPr>
        <w:t xml:space="preserve"> higher </w:t>
      </w:r>
      <w:r w:rsidR="00BC71AF">
        <w:rPr>
          <w:rFonts w:ascii="Garamond" w:hAnsi="Garamond"/>
        </w:rPr>
        <w:t xml:space="preserve">levels of </w:t>
      </w:r>
      <w:r w:rsidR="00445771">
        <w:rPr>
          <w:rFonts w:ascii="Garamond" w:hAnsi="Garamond"/>
        </w:rPr>
        <w:t xml:space="preserve">item endorsement. </w:t>
      </w:r>
    </w:p>
    <w:p w14:paraId="719F920A" w14:textId="7A006BA1" w:rsidR="004C74AD" w:rsidRDefault="006D2FA1" w:rsidP="007C50A8">
      <w:pPr>
        <w:spacing w:line="360" w:lineRule="auto"/>
        <w:jc w:val="both"/>
        <w:rPr>
          <w:rFonts w:ascii="Garamond" w:hAnsi="Garamond"/>
        </w:rPr>
      </w:pPr>
      <w:r>
        <w:rPr>
          <w:rFonts w:ascii="Garamond" w:hAnsi="Garamond"/>
        </w:rPr>
        <w:t xml:space="preserve">The test information (TI) </w:t>
      </w:r>
      <w:r w:rsidR="00445771">
        <w:rPr>
          <w:rFonts w:ascii="Garamond" w:hAnsi="Garamond"/>
        </w:rPr>
        <w:t xml:space="preserve">function in Figure 2 </w:t>
      </w:r>
      <w:r>
        <w:rPr>
          <w:rFonts w:ascii="Garamond" w:hAnsi="Garamond"/>
        </w:rPr>
        <w:t>represents</w:t>
      </w:r>
      <w:r w:rsidR="00694E99">
        <w:rPr>
          <w:rFonts w:ascii="Garamond" w:hAnsi="Garamond"/>
        </w:rPr>
        <w:t xml:space="preserve"> the </w:t>
      </w:r>
      <w:r w:rsidR="004C74AD">
        <w:rPr>
          <w:rFonts w:ascii="Garamond" w:hAnsi="Garamond"/>
        </w:rPr>
        <w:t xml:space="preserve">reliability </w:t>
      </w:r>
      <w:r w:rsidR="00694E99">
        <w:rPr>
          <w:rFonts w:ascii="Garamond" w:hAnsi="Garamond"/>
        </w:rPr>
        <w:t xml:space="preserve">of the test </w:t>
      </w:r>
      <w:r w:rsidR="004C74AD">
        <w:rPr>
          <w:rFonts w:ascii="Garamond" w:hAnsi="Garamond"/>
        </w:rPr>
        <w:t>a</w:t>
      </w:r>
      <w:r w:rsidR="008C0E36">
        <w:rPr>
          <w:rFonts w:ascii="Garamond" w:hAnsi="Garamond"/>
        </w:rPr>
        <w:t>t different points of the theta spectrum</w:t>
      </w:r>
      <w:r w:rsidR="00445771">
        <w:rPr>
          <w:rFonts w:ascii="Garamond" w:hAnsi="Garamond"/>
        </w:rPr>
        <w:t xml:space="preserve">. </w:t>
      </w:r>
      <w:r w:rsidR="004C74AD">
        <w:rPr>
          <w:rFonts w:ascii="Garamond" w:hAnsi="Garamond"/>
        </w:rPr>
        <w:t xml:space="preserve">The DWQ had excellent reliability across the </w:t>
      </w:r>
      <w:r w:rsidR="00AE56B4">
        <w:rPr>
          <w:rFonts w:ascii="Garamond" w:hAnsi="Garamond"/>
        </w:rPr>
        <w:t xml:space="preserve">worry </w:t>
      </w:r>
      <w:r w:rsidR="004C74AD">
        <w:rPr>
          <w:rFonts w:ascii="Garamond" w:hAnsi="Garamond"/>
        </w:rPr>
        <w:t xml:space="preserve">distribution, providing equivalent alpha values </w:t>
      </w:r>
      <w:r w:rsidR="007C3DF1">
        <w:rPr>
          <w:rFonts w:ascii="Garamond" w:hAnsi="Garamond"/>
        </w:rPr>
        <w:t>above</w:t>
      </w:r>
      <w:r w:rsidR="004C74AD">
        <w:rPr>
          <w:rFonts w:ascii="Garamond" w:hAnsi="Garamond"/>
        </w:rPr>
        <w:t xml:space="preserve"> 0.95 (TI&gt;20) between 1.5 SD below and 1.7 SD above </w:t>
      </w:r>
      <w:r w:rsidR="00445771">
        <w:rPr>
          <w:rFonts w:ascii="Garamond" w:hAnsi="Garamond"/>
        </w:rPr>
        <w:t xml:space="preserve">the </w:t>
      </w:r>
      <w:r w:rsidR="004C74AD">
        <w:rPr>
          <w:rFonts w:ascii="Garamond" w:hAnsi="Garamond"/>
        </w:rPr>
        <w:t>average levels of trait worry</w:t>
      </w:r>
      <w:r w:rsidR="00445771">
        <w:rPr>
          <w:rFonts w:ascii="Garamond" w:hAnsi="Garamond"/>
        </w:rPr>
        <w:t xml:space="preserve"> (Figure 2)</w:t>
      </w:r>
      <w:r w:rsidR="004C74AD">
        <w:rPr>
          <w:rFonts w:ascii="Garamond" w:hAnsi="Garamond"/>
        </w:rPr>
        <w:t xml:space="preserve">. Precision was high within this range with extremely </w:t>
      </w:r>
      <w:r w:rsidR="00E3255A">
        <w:rPr>
          <w:rFonts w:ascii="Garamond" w:hAnsi="Garamond"/>
        </w:rPr>
        <w:t xml:space="preserve">small </w:t>
      </w:r>
      <w:r w:rsidR="004C74AD">
        <w:rPr>
          <w:rFonts w:ascii="Garamond" w:hAnsi="Garamond"/>
        </w:rPr>
        <w:t xml:space="preserve">standard errors (0.16-0.22). The reliability only dropped below </w:t>
      </w:r>
      <w:r w:rsidR="00B373B1">
        <w:rPr>
          <w:rFonts w:ascii="Garamond" w:hAnsi="Garamond"/>
        </w:rPr>
        <w:t>α</w:t>
      </w:r>
      <w:r w:rsidR="004C74AD">
        <w:rPr>
          <w:rFonts w:ascii="Garamond" w:hAnsi="Garamond"/>
        </w:rPr>
        <w:t>=0.85 (TI=6.67) a</w:t>
      </w:r>
      <w:r w:rsidR="00AE56B4">
        <w:rPr>
          <w:rFonts w:ascii="Garamond" w:hAnsi="Garamond"/>
        </w:rPr>
        <w:t xml:space="preserve">fter </w:t>
      </w:r>
      <w:r w:rsidR="004C74AD">
        <w:rPr>
          <w:rFonts w:ascii="Garamond" w:hAnsi="Garamond"/>
        </w:rPr>
        <w:t>the extremes of 2.0 SD below and</w:t>
      </w:r>
      <w:r w:rsidR="00AE56B4">
        <w:rPr>
          <w:rFonts w:ascii="Garamond" w:hAnsi="Garamond"/>
        </w:rPr>
        <w:t xml:space="preserve"> </w:t>
      </w:r>
      <w:r w:rsidR="004C74AD">
        <w:rPr>
          <w:rFonts w:ascii="Garamond" w:hAnsi="Garamond"/>
        </w:rPr>
        <w:t>2.1 SD</w:t>
      </w:r>
      <w:r w:rsidR="00445771">
        <w:rPr>
          <w:rFonts w:ascii="Garamond" w:hAnsi="Garamond"/>
        </w:rPr>
        <w:t xml:space="preserve"> above the average trait worry where </w:t>
      </w:r>
      <w:r>
        <w:rPr>
          <w:rFonts w:ascii="Garamond" w:hAnsi="Garamond"/>
        </w:rPr>
        <w:t xml:space="preserve">standard errors </w:t>
      </w:r>
      <w:r w:rsidR="00445771">
        <w:rPr>
          <w:rFonts w:ascii="Garamond" w:hAnsi="Garamond"/>
        </w:rPr>
        <w:t>increase</w:t>
      </w:r>
      <w:r w:rsidR="007C3DF1">
        <w:rPr>
          <w:rFonts w:ascii="Garamond" w:hAnsi="Garamond"/>
        </w:rPr>
        <w:t>d</w:t>
      </w:r>
      <w:r w:rsidR="00445771">
        <w:rPr>
          <w:rFonts w:ascii="Garamond" w:hAnsi="Garamond"/>
        </w:rPr>
        <w:t xml:space="preserve">. </w:t>
      </w:r>
      <w:r w:rsidR="004C74AD">
        <w:rPr>
          <w:rFonts w:ascii="Garamond" w:hAnsi="Garamond"/>
        </w:rPr>
        <w:t>The maximum information obtained was 4</w:t>
      </w:r>
      <w:r w:rsidR="00D641E1">
        <w:rPr>
          <w:rFonts w:ascii="Garamond" w:hAnsi="Garamond"/>
        </w:rPr>
        <w:t>1.1</w:t>
      </w:r>
      <w:r w:rsidR="004C74AD">
        <w:rPr>
          <w:rFonts w:ascii="Garamond" w:hAnsi="Garamond"/>
        </w:rPr>
        <w:t xml:space="preserve"> (SE=0.16) at a theta level of 0.2, equivalent to a reliability of </w:t>
      </w:r>
      <w:r w:rsidR="00B373B1">
        <w:rPr>
          <w:rFonts w:ascii="Garamond" w:hAnsi="Garamond"/>
        </w:rPr>
        <w:t>α</w:t>
      </w:r>
      <w:r w:rsidR="004C74AD">
        <w:rPr>
          <w:rFonts w:ascii="Garamond" w:hAnsi="Garamond"/>
        </w:rPr>
        <w:t xml:space="preserve">=0.98. </w:t>
      </w:r>
      <w:r w:rsidR="004C74AD" w:rsidRPr="00567AFA">
        <w:rPr>
          <w:rFonts w:ascii="Garamond" w:hAnsi="Garamond"/>
        </w:rPr>
        <w:t xml:space="preserve">The DWQ </w:t>
      </w:r>
      <w:r w:rsidRPr="00567AFA">
        <w:rPr>
          <w:rFonts w:ascii="Garamond" w:hAnsi="Garamond"/>
        </w:rPr>
        <w:t>had</w:t>
      </w:r>
      <w:r w:rsidR="004C74AD" w:rsidRPr="00567AFA">
        <w:rPr>
          <w:rFonts w:ascii="Garamond" w:hAnsi="Garamond"/>
        </w:rPr>
        <w:t xml:space="preserve"> excellent test-retest reliability over 1 week with an intra-class correlation of 0.9</w:t>
      </w:r>
      <w:r w:rsidR="00567AFA">
        <w:rPr>
          <w:rFonts w:ascii="Garamond" w:hAnsi="Garamond"/>
        </w:rPr>
        <w:t>7</w:t>
      </w:r>
      <w:r w:rsidR="004C74AD" w:rsidRPr="00567AFA">
        <w:rPr>
          <w:rFonts w:ascii="Garamond" w:hAnsi="Garamond"/>
        </w:rPr>
        <w:t xml:space="preserve"> (</w:t>
      </w:r>
      <w:r w:rsidR="0094494B">
        <w:rPr>
          <w:rFonts w:ascii="Garamond" w:hAnsi="Garamond"/>
        </w:rPr>
        <w:t xml:space="preserve">95% CI= 0.95-0.98, </w:t>
      </w:r>
      <w:r w:rsidR="004C74AD" w:rsidRPr="00567AFA">
        <w:rPr>
          <w:rFonts w:ascii="Garamond" w:hAnsi="Garamond"/>
          <w:i/>
        </w:rPr>
        <w:t>p</w:t>
      </w:r>
      <w:r w:rsidR="004C74AD" w:rsidRPr="00567AFA">
        <w:rPr>
          <w:rFonts w:ascii="Garamond" w:hAnsi="Garamond"/>
        </w:rPr>
        <w:t>&lt;0.001) between the two time points.</w:t>
      </w:r>
      <w:r w:rsidR="005955DE">
        <w:rPr>
          <w:rFonts w:ascii="Garamond" w:hAnsi="Garamond"/>
        </w:rPr>
        <w:t xml:space="preserve"> </w:t>
      </w:r>
      <w:r w:rsidR="004C74AD">
        <w:rPr>
          <w:rFonts w:ascii="Garamond" w:hAnsi="Garamond"/>
        </w:rPr>
        <w:t>These findings demonstrate that the DWQ has a</w:t>
      </w:r>
      <w:r w:rsidR="007C4871">
        <w:rPr>
          <w:rFonts w:ascii="Garamond" w:hAnsi="Garamond"/>
        </w:rPr>
        <w:t xml:space="preserve">n excellent </w:t>
      </w:r>
      <w:r w:rsidR="004C74AD">
        <w:rPr>
          <w:rFonts w:ascii="Garamond" w:hAnsi="Garamond"/>
        </w:rPr>
        <w:t xml:space="preserve">ability to discriminate worry </w:t>
      </w:r>
      <w:r w:rsidR="00AE56B4">
        <w:rPr>
          <w:rFonts w:ascii="Garamond" w:hAnsi="Garamond"/>
        </w:rPr>
        <w:t>with high reliability and precision for u</w:t>
      </w:r>
      <w:r w:rsidR="004C74AD">
        <w:rPr>
          <w:rFonts w:ascii="Garamond" w:hAnsi="Garamond"/>
        </w:rPr>
        <w:t>se in both non-clinical and clinical populations.</w:t>
      </w:r>
    </w:p>
    <w:p w14:paraId="44628DBE" w14:textId="77777777" w:rsidR="003E63E7" w:rsidRPr="00200B45" w:rsidRDefault="003E63E7" w:rsidP="00E10797">
      <w:pPr>
        <w:spacing w:after="100" w:afterAutospacing="1" w:line="360" w:lineRule="auto"/>
        <w:jc w:val="center"/>
        <w:rPr>
          <w:rFonts w:ascii="Garamond" w:eastAsia="Times New Roman" w:hAnsi="Garamond" w:cs="Times New Roman"/>
          <w:color w:val="000000"/>
          <w:sz w:val="24"/>
          <w:szCs w:val="24"/>
          <w:lang w:eastAsia="en-GB"/>
        </w:rPr>
      </w:pPr>
      <w:r w:rsidRPr="00200B45">
        <w:rPr>
          <w:rFonts w:ascii="Garamond" w:eastAsia="Times New Roman" w:hAnsi="Garamond" w:cs="Times New Roman"/>
          <w:color w:val="000000"/>
          <w:sz w:val="24"/>
          <w:szCs w:val="24"/>
          <w:lang w:eastAsia="en-GB"/>
        </w:rPr>
        <w:t>-----------------------------------</w:t>
      </w:r>
    </w:p>
    <w:p w14:paraId="13E49D2D" w14:textId="2F8E542F" w:rsidR="003E63E7" w:rsidRDefault="003E63E7" w:rsidP="00E10797">
      <w:pPr>
        <w:spacing w:after="100" w:afterAutospacing="1" w:line="360" w:lineRule="auto"/>
        <w:jc w:val="center"/>
        <w:rPr>
          <w:rFonts w:ascii="Garamond" w:hAnsi="Garamond"/>
        </w:rPr>
      </w:pPr>
      <w:r>
        <w:rPr>
          <w:rFonts w:ascii="Garamond" w:hAnsi="Garamond"/>
        </w:rPr>
        <w:t>Figure 2 about here</w:t>
      </w:r>
    </w:p>
    <w:p w14:paraId="446E7115" w14:textId="77777777" w:rsidR="003E63E7" w:rsidRPr="00200B45" w:rsidRDefault="003E63E7" w:rsidP="00E10797">
      <w:pPr>
        <w:spacing w:after="100" w:afterAutospacing="1" w:line="360" w:lineRule="auto"/>
        <w:jc w:val="center"/>
        <w:rPr>
          <w:rFonts w:ascii="Garamond" w:eastAsia="Times New Roman" w:hAnsi="Garamond" w:cs="Times New Roman"/>
          <w:color w:val="000000"/>
          <w:sz w:val="24"/>
          <w:szCs w:val="24"/>
          <w:lang w:eastAsia="en-GB"/>
        </w:rPr>
      </w:pPr>
      <w:r w:rsidRPr="00200B45">
        <w:rPr>
          <w:rFonts w:ascii="Garamond" w:eastAsia="Times New Roman" w:hAnsi="Garamond" w:cs="Times New Roman"/>
          <w:color w:val="000000"/>
          <w:sz w:val="24"/>
          <w:szCs w:val="24"/>
          <w:lang w:eastAsia="en-GB"/>
        </w:rPr>
        <w:t>-----------------------------------</w:t>
      </w:r>
    </w:p>
    <w:p w14:paraId="0ACD4D25" w14:textId="77777777" w:rsidR="00E10797" w:rsidRDefault="00E10797" w:rsidP="007C50A8">
      <w:pPr>
        <w:spacing w:line="360" w:lineRule="auto"/>
        <w:jc w:val="both"/>
        <w:rPr>
          <w:rFonts w:ascii="Garamond" w:hAnsi="Garamond"/>
          <w:b/>
        </w:rPr>
      </w:pPr>
    </w:p>
    <w:p w14:paraId="7F84CA50" w14:textId="3A43F5F2" w:rsidR="008749A6" w:rsidRPr="008749A6" w:rsidRDefault="00483145" w:rsidP="007C50A8">
      <w:pPr>
        <w:spacing w:line="360" w:lineRule="auto"/>
        <w:jc w:val="both"/>
        <w:rPr>
          <w:rFonts w:ascii="Garamond" w:hAnsi="Garamond"/>
          <w:b/>
        </w:rPr>
      </w:pPr>
      <w:r>
        <w:rPr>
          <w:rFonts w:ascii="Garamond" w:hAnsi="Garamond"/>
          <w:b/>
        </w:rPr>
        <w:t>Paranoia</w:t>
      </w:r>
      <w:r w:rsidR="008749A6" w:rsidRPr="008749A6">
        <w:rPr>
          <w:rFonts w:ascii="Garamond" w:hAnsi="Garamond"/>
          <w:b/>
        </w:rPr>
        <w:t xml:space="preserve"> Worr</w:t>
      </w:r>
      <w:r>
        <w:rPr>
          <w:rFonts w:ascii="Garamond" w:hAnsi="Garamond"/>
          <w:b/>
        </w:rPr>
        <w:t>ies</w:t>
      </w:r>
      <w:r w:rsidR="008749A6" w:rsidRPr="008749A6">
        <w:rPr>
          <w:rFonts w:ascii="Garamond" w:hAnsi="Garamond"/>
          <w:b/>
        </w:rPr>
        <w:t xml:space="preserve"> </w:t>
      </w:r>
      <w:r w:rsidR="009905C3">
        <w:rPr>
          <w:rFonts w:ascii="Garamond" w:hAnsi="Garamond"/>
          <w:b/>
        </w:rPr>
        <w:t>Questionnaire (</w:t>
      </w:r>
      <w:r>
        <w:rPr>
          <w:rFonts w:ascii="Garamond" w:hAnsi="Garamond"/>
          <w:b/>
        </w:rPr>
        <w:t>P</w:t>
      </w:r>
      <w:r w:rsidR="009905C3">
        <w:rPr>
          <w:rFonts w:ascii="Garamond" w:hAnsi="Garamond"/>
          <w:b/>
        </w:rPr>
        <w:t>WQ)</w:t>
      </w:r>
    </w:p>
    <w:p w14:paraId="4ACEAB40" w14:textId="063AD982" w:rsidR="00C6215F" w:rsidRDefault="008749A6" w:rsidP="007C50A8">
      <w:pPr>
        <w:spacing w:line="360" w:lineRule="auto"/>
        <w:jc w:val="both"/>
        <w:rPr>
          <w:rFonts w:ascii="Garamond" w:hAnsi="Garamond"/>
        </w:rPr>
      </w:pPr>
      <w:r>
        <w:rPr>
          <w:rFonts w:ascii="Garamond" w:hAnsi="Garamond"/>
        </w:rPr>
        <w:t xml:space="preserve">The item parameters for the </w:t>
      </w:r>
      <w:r w:rsidR="00483145">
        <w:rPr>
          <w:rFonts w:ascii="Garamond" w:hAnsi="Garamond"/>
        </w:rPr>
        <w:t>P</w:t>
      </w:r>
      <w:r w:rsidR="00DF71D1">
        <w:rPr>
          <w:rFonts w:ascii="Garamond" w:hAnsi="Garamond"/>
        </w:rPr>
        <w:t>WQ</w:t>
      </w:r>
      <w:r>
        <w:rPr>
          <w:rFonts w:ascii="Garamond" w:hAnsi="Garamond"/>
        </w:rPr>
        <w:t xml:space="preserve"> show the five </w:t>
      </w:r>
      <w:r w:rsidR="00DF71D1">
        <w:rPr>
          <w:rFonts w:ascii="Garamond" w:hAnsi="Garamond"/>
        </w:rPr>
        <w:t xml:space="preserve">selected </w:t>
      </w:r>
      <w:r>
        <w:rPr>
          <w:rFonts w:ascii="Garamond" w:hAnsi="Garamond"/>
        </w:rPr>
        <w:t>items are extremely discriminative (</w:t>
      </w:r>
      <w:r w:rsidRPr="00927198">
        <w:rPr>
          <w:rFonts w:ascii="Garamond" w:hAnsi="Garamond"/>
          <w:i/>
        </w:rPr>
        <w:t>a</w:t>
      </w:r>
      <w:r>
        <w:rPr>
          <w:rFonts w:ascii="Garamond" w:hAnsi="Garamond"/>
        </w:rPr>
        <w:t>=4.1</w:t>
      </w:r>
      <w:r w:rsidR="000C5FAF">
        <w:rPr>
          <w:rFonts w:ascii="Garamond" w:hAnsi="Garamond"/>
        </w:rPr>
        <w:t>0</w:t>
      </w:r>
      <w:r>
        <w:rPr>
          <w:rFonts w:ascii="Garamond" w:hAnsi="Garamond"/>
        </w:rPr>
        <w:t>-10.</w:t>
      </w:r>
      <w:r w:rsidR="000C5FAF">
        <w:rPr>
          <w:rFonts w:ascii="Garamond" w:hAnsi="Garamond"/>
        </w:rPr>
        <w:t>7</w:t>
      </w:r>
      <w:r>
        <w:rPr>
          <w:rFonts w:ascii="Garamond" w:hAnsi="Garamond"/>
        </w:rPr>
        <w:t xml:space="preserve">). The item with the strongest discriminative power was </w:t>
      </w:r>
      <w:r w:rsidRPr="006D2A42">
        <w:rPr>
          <w:rFonts w:ascii="Garamond" w:hAnsi="Garamond"/>
          <w:i/>
        </w:rPr>
        <w:t xml:space="preserve">“Worries about someone trying to harm me have been really hard to control” </w:t>
      </w:r>
      <w:r>
        <w:rPr>
          <w:rFonts w:ascii="Garamond" w:hAnsi="Garamond"/>
        </w:rPr>
        <w:t>(</w:t>
      </w:r>
      <w:r w:rsidRPr="003E2DB0">
        <w:rPr>
          <w:rFonts w:ascii="Garamond" w:hAnsi="Garamond"/>
          <w:i/>
        </w:rPr>
        <w:t>a</w:t>
      </w:r>
      <w:r>
        <w:rPr>
          <w:rFonts w:ascii="Garamond" w:hAnsi="Garamond"/>
        </w:rPr>
        <w:t>=10.</w:t>
      </w:r>
      <w:r w:rsidR="000C5FAF">
        <w:rPr>
          <w:rFonts w:ascii="Garamond" w:hAnsi="Garamond"/>
        </w:rPr>
        <w:t>7</w:t>
      </w:r>
      <w:r>
        <w:rPr>
          <w:rFonts w:ascii="Garamond" w:hAnsi="Garamond"/>
        </w:rPr>
        <w:t>),</w:t>
      </w:r>
      <w:r w:rsidR="007B3825">
        <w:rPr>
          <w:rFonts w:ascii="Garamond" w:hAnsi="Garamond"/>
        </w:rPr>
        <w:t xml:space="preserve"> suggesting</w:t>
      </w:r>
      <w:r>
        <w:rPr>
          <w:rFonts w:ascii="Garamond" w:hAnsi="Garamond"/>
        </w:rPr>
        <w:t xml:space="preserve"> endorsement of this item was the most indicative of severe </w:t>
      </w:r>
      <w:r w:rsidR="00427859">
        <w:rPr>
          <w:rFonts w:ascii="Garamond" w:hAnsi="Garamond"/>
        </w:rPr>
        <w:t>paranoia</w:t>
      </w:r>
      <w:r>
        <w:rPr>
          <w:rFonts w:ascii="Garamond" w:hAnsi="Garamond"/>
        </w:rPr>
        <w:t xml:space="preserve"> worry. As shown in Figure 1, all five items tended to discriminate at higher levels of theta. </w:t>
      </w:r>
      <w:r w:rsidR="00B373B1">
        <w:rPr>
          <w:rFonts w:ascii="Garamond" w:hAnsi="Garamond"/>
        </w:rPr>
        <w:t>Indeed, t</w:t>
      </w:r>
      <w:r w:rsidR="00E3255A">
        <w:rPr>
          <w:rFonts w:ascii="Garamond" w:hAnsi="Garamond"/>
        </w:rPr>
        <w:t xml:space="preserve">he steep expected score function in Figure 2 shows people at the average level (theta=0) have a low probability of scoring above zero, whereas </w:t>
      </w:r>
      <w:r w:rsidR="00B373B1">
        <w:rPr>
          <w:rFonts w:ascii="Garamond" w:hAnsi="Garamond"/>
        </w:rPr>
        <w:t xml:space="preserve">item </w:t>
      </w:r>
      <w:r w:rsidR="00E3255A">
        <w:rPr>
          <w:rFonts w:ascii="Garamond" w:hAnsi="Garamond"/>
        </w:rPr>
        <w:t>endorsement is strongly indicative of severe paranoia worry.</w:t>
      </w:r>
      <w:r w:rsidR="00C40E09" w:rsidRPr="00C40E09">
        <w:rPr>
          <w:noProof/>
          <w:lang w:eastAsia="en-GB"/>
        </w:rPr>
        <w:t xml:space="preserve"> </w:t>
      </w:r>
    </w:p>
    <w:p w14:paraId="787D3910" w14:textId="0329A03A" w:rsidR="00BC71AF" w:rsidRDefault="007C4871" w:rsidP="007C50A8">
      <w:pPr>
        <w:spacing w:line="360" w:lineRule="auto"/>
        <w:jc w:val="both"/>
        <w:rPr>
          <w:rFonts w:ascii="Garamond" w:hAnsi="Garamond"/>
        </w:rPr>
      </w:pPr>
      <w:r>
        <w:rPr>
          <w:rFonts w:ascii="Garamond" w:hAnsi="Garamond"/>
        </w:rPr>
        <w:t xml:space="preserve">The </w:t>
      </w:r>
      <w:r w:rsidR="006D2FA1">
        <w:rPr>
          <w:rFonts w:ascii="Garamond" w:hAnsi="Garamond"/>
        </w:rPr>
        <w:t>test information</w:t>
      </w:r>
      <w:r>
        <w:rPr>
          <w:rFonts w:ascii="Garamond" w:hAnsi="Garamond"/>
        </w:rPr>
        <w:t xml:space="preserve"> function </w:t>
      </w:r>
      <w:r w:rsidR="002F1F68">
        <w:rPr>
          <w:rFonts w:ascii="Garamond" w:hAnsi="Garamond"/>
        </w:rPr>
        <w:t xml:space="preserve">in Figure 2 </w:t>
      </w:r>
      <w:r>
        <w:rPr>
          <w:rFonts w:ascii="Garamond" w:hAnsi="Garamond"/>
        </w:rPr>
        <w:t>confirms that overall the PWQ provides an extremely high level of information, but primarily across the higher end of the paranoia w</w:t>
      </w:r>
      <w:r w:rsidR="002F1F68">
        <w:rPr>
          <w:rFonts w:ascii="Garamond" w:hAnsi="Garamond"/>
        </w:rPr>
        <w:t>orry distribution. The PWQ had</w:t>
      </w:r>
      <w:r>
        <w:rPr>
          <w:rFonts w:ascii="Garamond" w:hAnsi="Garamond"/>
        </w:rPr>
        <w:t xml:space="preserve"> excellent reliability with equi</w:t>
      </w:r>
      <w:r w:rsidR="002F1F68">
        <w:rPr>
          <w:rFonts w:ascii="Garamond" w:hAnsi="Garamond"/>
        </w:rPr>
        <w:t xml:space="preserve">valent alpha values </w:t>
      </w:r>
      <w:r w:rsidR="006D2FA1">
        <w:rPr>
          <w:rFonts w:ascii="Garamond" w:hAnsi="Garamond"/>
        </w:rPr>
        <w:t>higher than</w:t>
      </w:r>
      <w:r w:rsidR="002F1F68">
        <w:rPr>
          <w:rFonts w:ascii="Garamond" w:hAnsi="Garamond"/>
        </w:rPr>
        <w:t xml:space="preserve"> 0.95 </w:t>
      </w:r>
      <w:r w:rsidR="006D2FA1">
        <w:rPr>
          <w:rFonts w:ascii="Garamond" w:hAnsi="Garamond"/>
        </w:rPr>
        <w:t>within</w:t>
      </w:r>
      <w:r w:rsidR="002F1F68">
        <w:rPr>
          <w:rFonts w:ascii="Garamond" w:hAnsi="Garamond"/>
        </w:rPr>
        <w:t xml:space="preserve"> </w:t>
      </w:r>
      <w:r>
        <w:rPr>
          <w:rFonts w:ascii="Garamond" w:hAnsi="Garamond"/>
        </w:rPr>
        <w:t xml:space="preserve">0.29-2.05 SDs above the average levels of paranoia worry. Precision was also high </w:t>
      </w:r>
      <w:r w:rsidR="002F1F68">
        <w:rPr>
          <w:rFonts w:ascii="Garamond" w:hAnsi="Garamond"/>
        </w:rPr>
        <w:t xml:space="preserve">in this range </w:t>
      </w:r>
      <w:r>
        <w:rPr>
          <w:rFonts w:ascii="Garamond" w:hAnsi="Garamond"/>
        </w:rPr>
        <w:t>with extremely small standard errors (0.1</w:t>
      </w:r>
      <w:r w:rsidR="000C5FAF">
        <w:rPr>
          <w:rFonts w:ascii="Garamond" w:hAnsi="Garamond"/>
        </w:rPr>
        <w:t>1</w:t>
      </w:r>
      <w:r>
        <w:rPr>
          <w:rFonts w:ascii="Garamond" w:hAnsi="Garamond"/>
        </w:rPr>
        <w:t>-0.22). The maximum information obtained was 82.</w:t>
      </w:r>
      <w:r w:rsidR="000C5FAF">
        <w:rPr>
          <w:rFonts w:ascii="Garamond" w:hAnsi="Garamond"/>
        </w:rPr>
        <w:t>8</w:t>
      </w:r>
      <w:r>
        <w:rPr>
          <w:rFonts w:ascii="Garamond" w:hAnsi="Garamond"/>
        </w:rPr>
        <w:t xml:space="preserve"> (SE=0.11) at a theta level of 0.78, equivalent to a reliability of α=0.99. Conversely, the PWQ items discriminate less well at the lower </w:t>
      </w:r>
      <w:r w:rsidR="00FF1F6C">
        <w:rPr>
          <w:rFonts w:ascii="Garamond" w:hAnsi="Garamond"/>
        </w:rPr>
        <w:t>end of the spectrum, with</w:t>
      </w:r>
      <w:r>
        <w:rPr>
          <w:rFonts w:ascii="Garamond" w:hAnsi="Garamond"/>
        </w:rPr>
        <w:t xml:space="preserve"> little information obtained at </w:t>
      </w:r>
      <w:r w:rsidR="00FF1F6C">
        <w:rPr>
          <w:rFonts w:ascii="Garamond" w:hAnsi="Garamond"/>
        </w:rPr>
        <w:t>theta values below zero. T</w:t>
      </w:r>
      <w:r>
        <w:rPr>
          <w:rFonts w:ascii="Garamond" w:hAnsi="Garamond"/>
        </w:rPr>
        <w:t>he reliability of the PWQ starts to drop below α=0.85 after -0.01 SDs below and 2.27 SDs above the av</w:t>
      </w:r>
      <w:r w:rsidR="002F1F68">
        <w:rPr>
          <w:rFonts w:ascii="Garamond" w:hAnsi="Garamond"/>
        </w:rPr>
        <w:t>erage levels of paranoia worry where standard errors rapidly increase</w:t>
      </w:r>
      <w:r w:rsidR="006D2FA1">
        <w:rPr>
          <w:rFonts w:ascii="Garamond" w:hAnsi="Garamond"/>
        </w:rPr>
        <w:t xml:space="preserve"> (Figure 2)</w:t>
      </w:r>
      <w:r w:rsidR="002F1F68">
        <w:rPr>
          <w:rFonts w:ascii="Garamond" w:hAnsi="Garamond"/>
        </w:rPr>
        <w:t xml:space="preserve">. </w:t>
      </w:r>
      <w:r w:rsidRPr="0094494B">
        <w:rPr>
          <w:rFonts w:ascii="Garamond" w:hAnsi="Garamond"/>
        </w:rPr>
        <w:t>Test-retest reliability over 1 week was excellent with a</w:t>
      </w:r>
      <w:r w:rsidR="0094494B">
        <w:rPr>
          <w:rFonts w:ascii="Garamond" w:hAnsi="Garamond"/>
        </w:rPr>
        <w:t>n intra-class correlation of 0.96 (95% CI=0.95-0.98, p&lt;0.001)</w:t>
      </w:r>
      <w:r>
        <w:rPr>
          <w:rFonts w:ascii="Garamond" w:hAnsi="Garamond"/>
        </w:rPr>
        <w:t xml:space="preserve">. These findings suggest the PWQ is highly discriminative of severe levels of paranoia worry for use in clinical populations. </w:t>
      </w:r>
    </w:p>
    <w:p w14:paraId="1465C2C4" w14:textId="770313D2" w:rsidR="007C4871" w:rsidRDefault="007C4871" w:rsidP="007C50A8">
      <w:pPr>
        <w:spacing w:line="360" w:lineRule="auto"/>
        <w:jc w:val="both"/>
        <w:rPr>
          <w:rFonts w:ascii="Garamond" w:hAnsi="Garamond"/>
        </w:rPr>
      </w:pPr>
      <w:r>
        <w:rPr>
          <w:rFonts w:ascii="Garamond" w:hAnsi="Garamond"/>
        </w:rPr>
        <w:t xml:space="preserve"> </w:t>
      </w:r>
    </w:p>
    <w:p w14:paraId="1EC8EF2B" w14:textId="560098B7" w:rsidR="00E722F7" w:rsidRDefault="00E722F7" w:rsidP="007C50A8">
      <w:pPr>
        <w:spacing w:line="360" w:lineRule="auto"/>
        <w:rPr>
          <w:rFonts w:ascii="Garamond" w:hAnsi="Garamond"/>
          <w:b/>
          <w:szCs w:val="24"/>
        </w:rPr>
      </w:pPr>
    </w:p>
    <w:p w14:paraId="03731C65" w14:textId="77777777" w:rsidR="0051380B" w:rsidRDefault="0051380B" w:rsidP="007C50A8">
      <w:pPr>
        <w:spacing w:line="360" w:lineRule="auto"/>
        <w:rPr>
          <w:rFonts w:ascii="Garamond" w:hAnsi="Garamond"/>
          <w:b/>
          <w:szCs w:val="24"/>
        </w:rPr>
      </w:pPr>
      <w:r>
        <w:rPr>
          <w:rFonts w:ascii="Garamond" w:hAnsi="Garamond"/>
          <w:b/>
          <w:szCs w:val="24"/>
        </w:rPr>
        <w:t xml:space="preserve">Concurrent validity </w:t>
      </w:r>
    </w:p>
    <w:p w14:paraId="721501CA" w14:textId="3DA12AC0" w:rsidR="0051380B" w:rsidRDefault="0051380B" w:rsidP="007C50A8">
      <w:pPr>
        <w:spacing w:line="360" w:lineRule="auto"/>
        <w:jc w:val="both"/>
        <w:rPr>
          <w:rFonts w:ascii="Garamond" w:hAnsi="Garamond"/>
          <w:szCs w:val="24"/>
        </w:rPr>
      </w:pPr>
      <w:r w:rsidRPr="00924CCD">
        <w:rPr>
          <w:rFonts w:ascii="Garamond" w:hAnsi="Garamond"/>
          <w:szCs w:val="24"/>
        </w:rPr>
        <w:t xml:space="preserve">The concurrent validity of the scales </w:t>
      </w:r>
      <w:r>
        <w:rPr>
          <w:rFonts w:ascii="Garamond" w:hAnsi="Garamond"/>
          <w:szCs w:val="24"/>
        </w:rPr>
        <w:t xml:space="preserve">was demonstrated by </w:t>
      </w:r>
      <w:r w:rsidRPr="00924CCD">
        <w:rPr>
          <w:rFonts w:ascii="Garamond" w:hAnsi="Garamond"/>
          <w:szCs w:val="24"/>
        </w:rPr>
        <w:t xml:space="preserve">the correlations </w:t>
      </w:r>
      <w:r>
        <w:rPr>
          <w:rFonts w:ascii="Garamond" w:hAnsi="Garamond"/>
          <w:szCs w:val="24"/>
        </w:rPr>
        <w:t>with other</w:t>
      </w:r>
      <w:r w:rsidRPr="00924CCD">
        <w:rPr>
          <w:rFonts w:ascii="Garamond" w:hAnsi="Garamond"/>
          <w:szCs w:val="24"/>
        </w:rPr>
        <w:t xml:space="preserve"> measures of worry, anxiety, and paranoia </w:t>
      </w:r>
      <w:r>
        <w:rPr>
          <w:rFonts w:ascii="Garamond" w:hAnsi="Garamond"/>
          <w:szCs w:val="24"/>
        </w:rPr>
        <w:t xml:space="preserve">(Table 2). For both the non-clinical and persecutory delusion samples, the DWQ demonstrated a distinct pattern of strong correlations with related measures of worry (i.e. PSWQ, perseverative thinking, generalised anxiety, and anxiety symptoms) and a moderate association with paranoia. Conversely, the PWQ was strongly related to paranoia and moderately correlated with measures of worry and anxiety. </w:t>
      </w:r>
    </w:p>
    <w:p w14:paraId="1A2E6B66" w14:textId="77777777" w:rsidR="00065C1E" w:rsidRDefault="00065C1E" w:rsidP="007C50A8">
      <w:pPr>
        <w:spacing w:line="360" w:lineRule="auto"/>
        <w:jc w:val="both"/>
        <w:rPr>
          <w:rFonts w:ascii="Garamond" w:hAnsi="Garamond"/>
          <w:szCs w:val="24"/>
        </w:rPr>
      </w:pPr>
    </w:p>
    <w:p w14:paraId="2AF29DF1" w14:textId="3AAC4A49" w:rsidR="0051380B" w:rsidRDefault="0051380B" w:rsidP="007C50A8">
      <w:pPr>
        <w:spacing w:line="360" w:lineRule="auto"/>
        <w:jc w:val="both"/>
        <w:rPr>
          <w:rFonts w:ascii="Garamond" w:hAnsi="Garamond"/>
        </w:rPr>
      </w:pPr>
      <w:r>
        <w:rPr>
          <w:rFonts w:ascii="Garamond" w:hAnsi="Garamond"/>
        </w:rPr>
        <w:t>Further supporting the construct validity of each scale, there was a signif</w:t>
      </w:r>
      <w:r w:rsidR="007B3825">
        <w:rPr>
          <w:rFonts w:ascii="Garamond" w:hAnsi="Garamond"/>
        </w:rPr>
        <w:t xml:space="preserve">icant group effect on the </w:t>
      </w:r>
      <w:r>
        <w:rPr>
          <w:rFonts w:ascii="Garamond" w:hAnsi="Garamond"/>
        </w:rPr>
        <w:t>DWQ (</w:t>
      </w:r>
      <w:proofErr w:type="gramStart"/>
      <w:r w:rsidRPr="00A65496">
        <w:rPr>
          <w:rFonts w:ascii="Garamond" w:hAnsi="Garamond"/>
          <w:i/>
        </w:rPr>
        <w:t>F</w:t>
      </w:r>
      <w:r>
        <w:rPr>
          <w:rFonts w:ascii="Garamond" w:hAnsi="Garamond"/>
        </w:rPr>
        <w:t>(</w:t>
      </w:r>
      <w:proofErr w:type="gramEnd"/>
      <w:r>
        <w:rPr>
          <w:rFonts w:ascii="Garamond" w:hAnsi="Garamond"/>
        </w:rPr>
        <w:t>3,44</w:t>
      </w:r>
      <w:r w:rsidR="00056317">
        <w:rPr>
          <w:rFonts w:ascii="Garamond" w:hAnsi="Garamond"/>
        </w:rPr>
        <w:t>1</w:t>
      </w:r>
      <w:r>
        <w:rPr>
          <w:rFonts w:ascii="Garamond" w:hAnsi="Garamond"/>
        </w:rPr>
        <w:t>)=9</w:t>
      </w:r>
      <w:r w:rsidR="00056317">
        <w:rPr>
          <w:rFonts w:ascii="Garamond" w:hAnsi="Garamond"/>
        </w:rPr>
        <w:t>7</w:t>
      </w:r>
      <w:r>
        <w:rPr>
          <w:rFonts w:ascii="Garamond" w:hAnsi="Garamond"/>
        </w:rPr>
        <w:t xml:space="preserve">, </w:t>
      </w:r>
      <w:r w:rsidRPr="00755681">
        <w:rPr>
          <w:rFonts w:ascii="Garamond" w:hAnsi="Garamond"/>
          <w:i/>
        </w:rPr>
        <w:t>p</w:t>
      </w:r>
      <w:r>
        <w:rPr>
          <w:rFonts w:ascii="Garamond" w:hAnsi="Garamond"/>
        </w:rPr>
        <w:t>&lt;0.001) and PWQ (</w:t>
      </w:r>
      <w:r w:rsidRPr="00A65496">
        <w:rPr>
          <w:rFonts w:ascii="Garamond" w:hAnsi="Garamond"/>
          <w:i/>
        </w:rPr>
        <w:t>F</w:t>
      </w:r>
      <w:r>
        <w:rPr>
          <w:rFonts w:ascii="Garamond" w:hAnsi="Garamond"/>
        </w:rPr>
        <w:t>(3,44</w:t>
      </w:r>
      <w:r w:rsidR="00056317">
        <w:rPr>
          <w:rFonts w:ascii="Garamond" w:hAnsi="Garamond"/>
        </w:rPr>
        <w:t>1</w:t>
      </w:r>
      <w:r>
        <w:rPr>
          <w:rFonts w:ascii="Garamond" w:hAnsi="Garamond"/>
        </w:rPr>
        <w:t>)=2</w:t>
      </w:r>
      <w:r w:rsidR="00056317">
        <w:rPr>
          <w:rFonts w:ascii="Garamond" w:hAnsi="Garamond"/>
        </w:rPr>
        <w:t>55.5</w:t>
      </w:r>
      <w:r>
        <w:rPr>
          <w:rFonts w:ascii="Garamond" w:hAnsi="Garamond"/>
        </w:rPr>
        <w:t xml:space="preserve">, </w:t>
      </w:r>
      <w:r w:rsidRPr="00755681">
        <w:rPr>
          <w:rFonts w:ascii="Garamond" w:hAnsi="Garamond"/>
          <w:i/>
        </w:rPr>
        <w:t>p</w:t>
      </w:r>
      <w:r>
        <w:rPr>
          <w:rFonts w:ascii="Garamond" w:hAnsi="Garamond"/>
        </w:rPr>
        <w:t xml:space="preserve">&lt;0.001) scores </w:t>
      </w:r>
      <w:r w:rsidR="00BC71AF">
        <w:rPr>
          <w:rFonts w:ascii="Garamond" w:hAnsi="Garamond"/>
        </w:rPr>
        <w:t>for</w:t>
      </w:r>
      <w:r>
        <w:rPr>
          <w:rFonts w:ascii="Garamond" w:hAnsi="Garamond"/>
        </w:rPr>
        <w:t xml:space="preserve"> the </w:t>
      </w:r>
      <w:r w:rsidR="00EE49D5">
        <w:rPr>
          <w:rFonts w:ascii="Garamond" w:hAnsi="Garamond"/>
        </w:rPr>
        <w:t xml:space="preserve">four </w:t>
      </w:r>
      <w:r>
        <w:rPr>
          <w:rFonts w:ascii="Garamond" w:hAnsi="Garamond"/>
        </w:rPr>
        <w:t>groups</w:t>
      </w:r>
      <w:r w:rsidR="00EE49D5">
        <w:rPr>
          <w:rFonts w:ascii="Garamond" w:hAnsi="Garamond"/>
        </w:rPr>
        <w:t xml:space="preserve"> (non-clinical, non-clinical GAD, psychosis, SAD) (see Table 3)</w:t>
      </w:r>
      <w:r>
        <w:rPr>
          <w:rFonts w:ascii="Garamond" w:hAnsi="Garamond"/>
        </w:rPr>
        <w:t>. As expected, the highest scores on the DWQ were observed in the GAD and persecutory delusion groups (mean difference=1.</w:t>
      </w:r>
      <w:r w:rsidR="00056317">
        <w:rPr>
          <w:rFonts w:ascii="Garamond" w:hAnsi="Garamond"/>
        </w:rPr>
        <w:t>4</w:t>
      </w:r>
      <w:r>
        <w:rPr>
          <w:rFonts w:ascii="Garamond" w:hAnsi="Garamond"/>
        </w:rPr>
        <w:t xml:space="preserve">, </w:t>
      </w:r>
      <w:r w:rsidRPr="00A65496">
        <w:rPr>
          <w:rFonts w:ascii="Garamond" w:hAnsi="Garamond"/>
          <w:i/>
        </w:rPr>
        <w:t>p</w:t>
      </w:r>
      <w:r>
        <w:rPr>
          <w:rFonts w:ascii="Garamond" w:hAnsi="Garamond"/>
        </w:rPr>
        <w:t>=0.</w:t>
      </w:r>
      <w:r w:rsidR="00056317">
        <w:rPr>
          <w:rFonts w:ascii="Garamond" w:hAnsi="Garamond"/>
        </w:rPr>
        <w:t>78</w:t>
      </w:r>
      <w:r>
        <w:rPr>
          <w:rFonts w:ascii="Garamond" w:hAnsi="Garamond"/>
        </w:rPr>
        <w:t xml:space="preserve">). Participants in </w:t>
      </w:r>
      <w:r>
        <w:rPr>
          <w:rFonts w:ascii="Garamond" w:hAnsi="Garamond"/>
        </w:rPr>
        <w:lastRenderedPageBreak/>
        <w:t>these two groups scored significantly higher (</w:t>
      </w:r>
      <w:r w:rsidRPr="00A65496">
        <w:rPr>
          <w:rFonts w:ascii="Garamond" w:hAnsi="Garamond"/>
          <w:i/>
        </w:rPr>
        <w:t>p</w:t>
      </w:r>
      <w:r>
        <w:rPr>
          <w:rFonts w:ascii="Garamond" w:hAnsi="Garamond"/>
        </w:rPr>
        <w:t xml:space="preserve">&lt;0.001) than the </w:t>
      </w:r>
      <w:r w:rsidRPr="00A65496">
        <w:rPr>
          <w:rFonts w:ascii="Garamond" w:hAnsi="Garamond"/>
        </w:rPr>
        <w:t>remaining participants from the general population</w:t>
      </w:r>
      <w:r>
        <w:rPr>
          <w:rFonts w:ascii="Garamond" w:hAnsi="Garamond"/>
        </w:rPr>
        <w:t xml:space="preserve"> </w:t>
      </w:r>
      <w:r w:rsidRPr="00A65496">
        <w:rPr>
          <w:rFonts w:ascii="Garamond" w:hAnsi="Garamond"/>
        </w:rPr>
        <w:t xml:space="preserve">and patients with </w:t>
      </w:r>
      <w:r w:rsidR="00882CA3">
        <w:rPr>
          <w:rFonts w:ascii="Garamond" w:hAnsi="Garamond"/>
        </w:rPr>
        <w:t>SAD</w:t>
      </w:r>
      <w:r>
        <w:rPr>
          <w:rFonts w:ascii="Garamond" w:hAnsi="Garamond"/>
        </w:rPr>
        <w:t xml:space="preserve">. </w:t>
      </w:r>
      <w:r w:rsidR="00882CA3">
        <w:rPr>
          <w:rFonts w:ascii="Garamond" w:hAnsi="Garamond"/>
        </w:rPr>
        <w:t>As would be expected, p</w:t>
      </w:r>
      <w:r w:rsidRPr="00A65496">
        <w:rPr>
          <w:rFonts w:ascii="Garamond" w:hAnsi="Garamond"/>
        </w:rPr>
        <w:t xml:space="preserve">atients with </w:t>
      </w:r>
      <w:r w:rsidR="00882CA3">
        <w:rPr>
          <w:rFonts w:ascii="Garamond" w:hAnsi="Garamond"/>
        </w:rPr>
        <w:t>SAD</w:t>
      </w:r>
      <w:r w:rsidRPr="00A65496">
        <w:rPr>
          <w:rFonts w:ascii="Garamond" w:hAnsi="Garamond"/>
        </w:rPr>
        <w:t xml:space="preserve"> also scored significantly higher than those in the general population</w:t>
      </w:r>
      <w:r>
        <w:rPr>
          <w:rFonts w:ascii="Garamond" w:hAnsi="Garamond"/>
        </w:rPr>
        <w:t xml:space="preserve"> (</w:t>
      </w:r>
      <w:r w:rsidRPr="00A65496">
        <w:rPr>
          <w:rFonts w:ascii="Garamond" w:hAnsi="Garamond"/>
          <w:i/>
        </w:rPr>
        <w:t>p</w:t>
      </w:r>
      <w:r>
        <w:rPr>
          <w:rFonts w:ascii="Garamond" w:hAnsi="Garamond"/>
        </w:rPr>
        <w:t>&lt;0.001)</w:t>
      </w:r>
      <w:r w:rsidRPr="00A65496">
        <w:rPr>
          <w:rFonts w:ascii="Garamond" w:hAnsi="Garamond"/>
        </w:rPr>
        <w:t>.</w:t>
      </w:r>
      <w:r>
        <w:rPr>
          <w:rFonts w:ascii="Garamond" w:hAnsi="Garamond"/>
        </w:rPr>
        <w:t xml:space="preserve"> In line with the PWQ as a clinical measure of paranoid worry, patients with persecutory delusions scored s</w:t>
      </w:r>
      <w:r w:rsidR="00065C1E">
        <w:rPr>
          <w:rFonts w:ascii="Garamond" w:hAnsi="Garamond"/>
        </w:rPr>
        <w:t>ignificantly</w:t>
      </w:r>
      <w:r>
        <w:rPr>
          <w:rFonts w:ascii="Garamond" w:hAnsi="Garamond"/>
        </w:rPr>
        <w:t xml:space="preserve"> higher than all other subgroups</w:t>
      </w:r>
      <w:r w:rsidR="00065C1E">
        <w:rPr>
          <w:rFonts w:ascii="Garamond" w:hAnsi="Garamond"/>
        </w:rPr>
        <w:t xml:space="preserve"> (</w:t>
      </w:r>
      <w:r w:rsidR="00065C1E" w:rsidRPr="00065C1E">
        <w:rPr>
          <w:rFonts w:ascii="Garamond" w:hAnsi="Garamond"/>
          <w:i/>
        </w:rPr>
        <w:t>p</w:t>
      </w:r>
      <w:r w:rsidR="00065C1E">
        <w:rPr>
          <w:rFonts w:ascii="Garamond" w:hAnsi="Garamond"/>
        </w:rPr>
        <w:t>&lt;0.001)</w:t>
      </w:r>
      <w:r>
        <w:rPr>
          <w:rFonts w:ascii="Garamond" w:hAnsi="Garamond"/>
        </w:rPr>
        <w:t xml:space="preserve">. Participants in the high GAD </w:t>
      </w:r>
      <w:r w:rsidR="008C0E36">
        <w:rPr>
          <w:rFonts w:ascii="Garamond" w:hAnsi="Garamond"/>
        </w:rPr>
        <w:t>sub</w:t>
      </w:r>
      <w:r>
        <w:rPr>
          <w:rFonts w:ascii="Garamond" w:hAnsi="Garamond"/>
        </w:rPr>
        <w:t>group scored significantly higher (</w:t>
      </w:r>
      <w:r w:rsidRPr="00A65496">
        <w:rPr>
          <w:rFonts w:ascii="Garamond" w:hAnsi="Garamond"/>
          <w:i/>
        </w:rPr>
        <w:t>p</w:t>
      </w:r>
      <w:r>
        <w:rPr>
          <w:rFonts w:ascii="Garamond" w:hAnsi="Garamond"/>
        </w:rPr>
        <w:t xml:space="preserve">&lt;0.001) than patients with </w:t>
      </w:r>
      <w:r w:rsidR="00755681">
        <w:rPr>
          <w:rFonts w:ascii="Garamond" w:hAnsi="Garamond"/>
        </w:rPr>
        <w:t>SAD</w:t>
      </w:r>
      <w:r>
        <w:rPr>
          <w:rFonts w:ascii="Garamond" w:hAnsi="Garamond"/>
        </w:rPr>
        <w:t xml:space="preserve"> and general </w:t>
      </w:r>
      <w:r w:rsidR="00B121B7">
        <w:rPr>
          <w:rFonts w:ascii="Garamond" w:hAnsi="Garamond"/>
        </w:rPr>
        <w:t>p</w:t>
      </w:r>
      <w:r>
        <w:rPr>
          <w:rFonts w:ascii="Garamond" w:hAnsi="Garamond"/>
        </w:rPr>
        <w:t>opulation controls</w:t>
      </w:r>
      <w:r w:rsidR="00065C1E">
        <w:rPr>
          <w:rFonts w:ascii="Garamond" w:hAnsi="Garamond"/>
        </w:rPr>
        <w:t>, both of which</w:t>
      </w:r>
      <w:r>
        <w:rPr>
          <w:rFonts w:ascii="Garamond" w:hAnsi="Garamond"/>
        </w:rPr>
        <w:t xml:space="preserve"> had similarly low scores (</w:t>
      </w:r>
      <w:r w:rsidRPr="00A65496">
        <w:rPr>
          <w:rFonts w:ascii="Garamond" w:hAnsi="Garamond"/>
          <w:i/>
        </w:rPr>
        <w:t>p</w:t>
      </w:r>
      <w:r>
        <w:rPr>
          <w:rFonts w:ascii="Garamond" w:hAnsi="Garamond"/>
        </w:rPr>
        <w:t>=0.7</w:t>
      </w:r>
      <w:r w:rsidR="00056317">
        <w:rPr>
          <w:rFonts w:ascii="Garamond" w:hAnsi="Garamond"/>
        </w:rPr>
        <w:t>4</w:t>
      </w:r>
      <w:r>
        <w:rPr>
          <w:rFonts w:ascii="Garamond" w:hAnsi="Garamond"/>
        </w:rPr>
        <w:t>).</w:t>
      </w:r>
    </w:p>
    <w:p w14:paraId="73FBA1D3" w14:textId="77777777" w:rsidR="00E10797" w:rsidRDefault="00E10797" w:rsidP="007C50A8">
      <w:pPr>
        <w:spacing w:line="360" w:lineRule="auto"/>
        <w:jc w:val="both"/>
        <w:rPr>
          <w:rFonts w:ascii="Garamond" w:hAnsi="Garamond"/>
        </w:rPr>
      </w:pPr>
    </w:p>
    <w:p w14:paraId="7B1D30ED" w14:textId="7896968B" w:rsidR="003E63E7" w:rsidRPr="00200B45" w:rsidRDefault="003E63E7" w:rsidP="00E10797">
      <w:pPr>
        <w:spacing w:after="100" w:afterAutospacing="1" w:line="360" w:lineRule="auto"/>
        <w:jc w:val="center"/>
        <w:rPr>
          <w:rFonts w:ascii="Garamond" w:eastAsia="Times New Roman" w:hAnsi="Garamond" w:cs="Times New Roman"/>
          <w:color w:val="000000"/>
          <w:sz w:val="24"/>
          <w:szCs w:val="24"/>
          <w:lang w:eastAsia="en-GB"/>
        </w:rPr>
      </w:pPr>
      <w:r w:rsidRPr="00200B45">
        <w:rPr>
          <w:rFonts w:ascii="Garamond" w:eastAsia="Times New Roman" w:hAnsi="Garamond" w:cs="Times New Roman"/>
          <w:color w:val="000000"/>
          <w:sz w:val="24"/>
          <w:szCs w:val="24"/>
          <w:lang w:eastAsia="en-GB"/>
        </w:rPr>
        <w:t>-----------------------------------</w:t>
      </w:r>
      <w:r w:rsidR="00EE49D5">
        <w:rPr>
          <w:rFonts w:ascii="Garamond" w:eastAsia="Times New Roman" w:hAnsi="Garamond" w:cs="Times New Roman"/>
          <w:color w:val="000000"/>
          <w:sz w:val="24"/>
          <w:szCs w:val="24"/>
          <w:lang w:eastAsia="en-GB"/>
        </w:rPr>
        <w:t>--</w:t>
      </w:r>
    </w:p>
    <w:p w14:paraId="29EB0071" w14:textId="1F70FAEA" w:rsidR="003E63E7" w:rsidRDefault="003E63E7" w:rsidP="00E10797">
      <w:pPr>
        <w:spacing w:after="100" w:afterAutospacing="1" w:line="360" w:lineRule="auto"/>
        <w:jc w:val="center"/>
        <w:rPr>
          <w:rFonts w:ascii="Garamond" w:hAnsi="Garamond"/>
        </w:rPr>
      </w:pPr>
      <w:r>
        <w:rPr>
          <w:rFonts w:ascii="Garamond" w:hAnsi="Garamond"/>
        </w:rPr>
        <w:t>Table</w:t>
      </w:r>
      <w:r w:rsidR="00EE49D5">
        <w:rPr>
          <w:rFonts w:ascii="Garamond" w:hAnsi="Garamond"/>
        </w:rPr>
        <w:t>s</w:t>
      </w:r>
      <w:r>
        <w:rPr>
          <w:rFonts w:ascii="Garamond" w:hAnsi="Garamond"/>
        </w:rPr>
        <w:t xml:space="preserve"> </w:t>
      </w:r>
      <w:r w:rsidR="00EE49D5">
        <w:rPr>
          <w:rFonts w:ascii="Garamond" w:hAnsi="Garamond"/>
        </w:rPr>
        <w:t>2 and 3</w:t>
      </w:r>
      <w:r>
        <w:rPr>
          <w:rFonts w:ascii="Garamond" w:hAnsi="Garamond"/>
        </w:rPr>
        <w:t xml:space="preserve"> about here</w:t>
      </w:r>
    </w:p>
    <w:p w14:paraId="377CAAC5" w14:textId="441A56F8" w:rsidR="003E63E7" w:rsidRPr="00200B45" w:rsidRDefault="003E63E7" w:rsidP="00E10797">
      <w:pPr>
        <w:spacing w:after="100" w:afterAutospacing="1" w:line="360" w:lineRule="auto"/>
        <w:jc w:val="center"/>
        <w:rPr>
          <w:rFonts w:ascii="Garamond" w:eastAsia="Times New Roman" w:hAnsi="Garamond" w:cs="Times New Roman"/>
          <w:color w:val="000000"/>
          <w:sz w:val="24"/>
          <w:szCs w:val="24"/>
          <w:lang w:eastAsia="en-GB"/>
        </w:rPr>
      </w:pPr>
      <w:r w:rsidRPr="00200B45">
        <w:rPr>
          <w:rFonts w:ascii="Garamond" w:eastAsia="Times New Roman" w:hAnsi="Garamond" w:cs="Times New Roman"/>
          <w:color w:val="000000"/>
          <w:sz w:val="24"/>
          <w:szCs w:val="24"/>
          <w:lang w:eastAsia="en-GB"/>
        </w:rPr>
        <w:t>-----------------------------------</w:t>
      </w:r>
      <w:r w:rsidR="00EE49D5">
        <w:rPr>
          <w:rFonts w:ascii="Garamond" w:eastAsia="Times New Roman" w:hAnsi="Garamond" w:cs="Times New Roman"/>
          <w:color w:val="000000"/>
          <w:sz w:val="24"/>
          <w:szCs w:val="24"/>
          <w:lang w:eastAsia="en-GB"/>
        </w:rPr>
        <w:t>--</w:t>
      </w:r>
    </w:p>
    <w:p w14:paraId="4401152F" w14:textId="77777777" w:rsidR="00EE49D5" w:rsidRDefault="00EE49D5" w:rsidP="00E10797">
      <w:pPr>
        <w:spacing w:after="100" w:afterAutospacing="1" w:line="360" w:lineRule="auto"/>
        <w:jc w:val="both"/>
        <w:rPr>
          <w:rFonts w:ascii="Garamond" w:hAnsi="Garamond"/>
          <w:b/>
        </w:rPr>
      </w:pPr>
    </w:p>
    <w:p w14:paraId="2A3BF0A1" w14:textId="77777777" w:rsidR="00A65496" w:rsidRPr="00E12AD7" w:rsidRDefault="00A65496" w:rsidP="007C50A8">
      <w:pPr>
        <w:spacing w:line="360" w:lineRule="auto"/>
        <w:jc w:val="both"/>
        <w:rPr>
          <w:rFonts w:ascii="Garamond" w:hAnsi="Garamond"/>
          <w:b/>
        </w:rPr>
      </w:pPr>
      <w:r w:rsidRPr="00E12AD7">
        <w:rPr>
          <w:rFonts w:ascii="Garamond" w:hAnsi="Garamond"/>
          <w:b/>
        </w:rPr>
        <w:t>Sensitivity to change</w:t>
      </w:r>
    </w:p>
    <w:p w14:paraId="2B9226D5" w14:textId="16BEB211" w:rsidR="00D40D92" w:rsidRDefault="008C0E36" w:rsidP="007C50A8">
      <w:pPr>
        <w:spacing w:line="360" w:lineRule="auto"/>
        <w:jc w:val="both"/>
        <w:rPr>
          <w:rFonts w:ascii="Garamond" w:hAnsi="Garamond"/>
          <w:szCs w:val="24"/>
        </w:rPr>
      </w:pPr>
      <w:r>
        <w:rPr>
          <w:rFonts w:ascii="Garamond" w:hAnsi="Garamond"/>
          <w:szCs w:val="24"/>
        </w:rPr>
        <w:t>Forty-three</w:t>
      </w:r>
      <w:r w:rsidR="00A65496" w:rsidRPr="006540DD">
        <w:rPr>
          <w:rFonts w:ascii="Garamond" w:hAnsi="Garamond"/>
          <w:szCs w:val="24"/>
        </w:rPr>
        <w:t xml:space="preserve"> patients with persecutory delusions </w:t>
      </w:r>
      <w:r w:rsidR="00A65496">
        <w:rPr>
          <w:rFonts w:ascii="Garamond" w:hAnsi="Garamond"/>
          <w:szCs w:val="24"/>
        </w:rPr>
        <w:t xml:space="preserve">(mean age=41.0, SD=10.6, female=28%, male=72%) repeated the questionnaires </w:t>
      </w:r>
      <w:r w:rsidR="00E1287C">
        <w:rPr>
          <w:rFonts w:ascii="Garamond" w:hAnsi="Garamond"/>
          <w:szCs w:val="24"/>
        </w:rPr>
        <w:t>either 8 (</w:t>
      </w:r>
      <w:r w:rsidR="00E1287C" w:rsidRPr="006E6C45">
        <w:rPr>
          <w:rFonts w:ascii="Garamond" w:hAnsi="Garamond"/>
          <w:i/>
          <w:szCs w:val="24"/>
        </w:rPr>
        <w:t>n</w:t>
      </w:r>
      <w:r w:rsidR="00E1287C">
        <w:rPr>
          <w:rFonts w:ascii="Garamond" w:hAnsi="Garamond"/>
          <w:szCs w:val="24"/>
        </w:rPr>
        <w:t>=</w:t>
      </w:r>
      <w:r w:rsidR="006E6C45">
        <w:rPr>
          <w:rFonts w:ascii="Garamond" w:hAnsi="Garamond"/>
          <w:szCs w:val="24"/>
        </w:rPr>
        <w:t>27</w:t>
      </w:r>
      <w:r w:rsidR="00E1287C">
        <w:rPr>
          <w:rFonts w:ascii="Garamond" w:hAnsi="Garamond"/>
          <w:szCs w:val="24"/>
        </w:rPr>
        <w:t>), 16 (</w:t>
      </w:r>
      <w:r w:rsidR="00E1287C" w:rsidRPr="006E6C45">
        <w:rPr>
          <w:rFonts w:ascii="Garamond" w:hAnsi="Garamond"/>
          <w:i/>
          <w:szCs w:val="24"/>
        </w:rPr>
        <w:t>n</w:t>
      </w:r>
      <w:r w:rsidR="00E1287C">
        <w:rPr>
          <w:rFonts w:ascii="Garamond" w:hAnsi="Garamond"/>
          <w:szCs w:val="24"/>
        </w:rPr>
        <w:t>=</w:t>
      </w:r>
      <w:r w:rsidR="006E6C45">
        <w:rPr>
          <w:rFonts w:ascii="Garamond" w:hAnsi="Garamond"/>
          <w:szCs w:val="24"/>
        </w:rPr>
        <w:t>14</w:t>
      </w:r>
      <w:r w:rsidR="00E1287C">
        <w:rPr>
          <w:rFonts w:ascii="Garamond" w:hAnsi="Garamond"/>
          <w:szCs w:val="24"/>
        </w:rPr>
        <w:t xml:space="preserve">) or </w:t>
      </w:r>
      <w:r w:rsidR="00A65496">
        <w:rPr>
          <w:rFonts w:ascii="Garamond" w:hAnsi="Garamond"/>
          <w:szCs w:val="24"/>
        </w:rPr>
        <w:t>24 weeks</w:t>
      </w:r>
      <w:r w:rsidR="00E1287C">
        <w:rPr>
          <w:rFonts w:ascii="Garamond" w:hAnsi="Garamond"/>
          <w:szCs w:val="24"/>
        </w:rPr>
        <w:t xml:space="preserve"> (</w:t>
      </w:r>
      <w:r w:rsidR="00E1287C" w:rsidRPr="006E6C45">
        <w:rPr>
          <w:rFonts w:ascii="Garamond" w:hAnsi="Garamond"/>
          <w:i/>
          <w:szCs w:val="24"/>
        </w:rPr>
        <w:t>n</w:t>
      </w:r>
      <w:r w:rsidR="00E1287C">
        <w:rPr>
          <w:rFonts w:ascii="Garamond" w:hAnsi="Garamond"/>
          <w:szCs w:val="24"/>
        </w:rPr>
        <w:t>=</w:t>
      </w:r>
      <w:r w:rsidR="006E6C45">
        <w:rPr>
          <w:rFonts w:ascii="Garamond" w:hAnsi="Garamond"/>
          <w:szCs w:val="24"/>
        </w:rPr>
        <w:t>2</w:t>
      </w:r>
      <w:r w:rsidR="00E1287C">
        <w:rPr>
          <w:rFonts w:ascii="Garamond" w:hAnsi="Garamond"/>
          <w:szCs w:val="24"/>
        </w:rPr>
        <w:t>)</w:t>
      </w:r>
      <w:r w:rsidR="00A65496">
        <w:rPr>
          <w:rFonts w:ascii="Garamond" w:hAnsi="Garamond"/>
          <w:szCs w:val="24"/>
        </w:rPr>
        <w:t xml:space="preserve"> later. </w:t>
      </w:r>
      <w:r w:rsidR="00E1287C">
        <w:rPr>
          <w:rFonts w:ascii="Garamond" w:hAnsi="Garamond"/>
          <w:szCs w:val="24"/>
        </w:rPr>
        <w:t>Across th</w:t>
      </w:r>
      <w:r w:rsidR="00065C1E">
        <w:rPr>
          <w:rFonts w:ascii="Garamond" w:hAnsi="Garamond"/>
          <w:szCs w:val="24"/>
        </w:rPr>
        <w:t>is</w:t>
      </w:r>
      <w:r w:rsidR="00E1287C">
        <w:rPr>
          <w:rFonts w:ascii="Garamond" w:hAnsi="Garamond"/>
          <w:szCs w:val="24"/>
        </w:rPr>
        <w:t xml:space="preserve"> whole group</w:t>
      </w:r>
      <w:r w:rsidR="00654263">
        <w:rPr>
          <w:rFonts w:ascii="Garamond" w:hAnsi="Garamond"/>
          <w:szCs w:val="24"/>
        </w:rPr>
        <w:t xml:space="preserve"> (which comprised both </w:t>
      </w:r>
      <w:r w:rsidR="00EE49D5">
        <w:rPr>
          <w:rFonts w:ascii="Garamond" w:hAnsi="Garamond"/>
          <w:szCs w:val="24"/>
        </w:rPr>
        <w:t xml:space="preserve">randomisation </w:t>
      </w:r>
      <w:r w:rsidR="00654263">
        <w:rPr>
          <w:rFonts w:ascii="Garamond" w:hAnsi="Garamond"/>
          <w:szCs w:val="24"/>
        </w:rPr>
        <w:t>arms of the trial)</w:t>
      </w:r>
      <w:r w:rsidR="00294E01">
        <w:rPr>
          <w:rFonts w:ascii="Garamond" w:hAnsi="Garamond"/>
          <w:szCs w:val="24"/>
        </w:rPr>
        <w:t>,</w:t>
      </w:r>
      <w:r w:rsidR="00E1287C">
        <w:rPr>
          <w:rFonts w:ascii="Garamond" w:hAnsi="Garamond"/>
          <w:szCs w:val="24"/>
        </w:rPr>
        <w:t xml:space="preserve"> </w:t>
      </w:r>
      <w:r w:rsidR="00294E01">
        <w:rPr>
          <w:rFonts w:ascii="Garamond" w:hAnsi="Garamond"/>
          <w:szCs w:val="24"/>
        </w:rPr>
        <w:t>c</w:t>
      </w:r>
      <w:r w:rsidR="00881FC0">
        <w:rPr>
          <w:rFonts w:ascii="Garamond" w:hAnsi="Garamond"/>
          <w:szCs w:val="24"/>
        </w:rPr>
        <w:t xml:space="preserve">hanges in the DWQ </w:t>
      </w:r>
      <w:r w:rsidR="001C59EA">
        <w:rPr>
          <w:rFonts w:ascii="Garamond" w:hAnsi="Garamond"/>
          <w:szCs w:val="24"/>
        </w:rPr>
        <w:t>were moderately correlated with change</w:t>
      </w:r>
      <w:r w:rsidR="00D75BEC">
        <w:rPr>
          <w:rFonts w:ascii="Garamond" w:hAnsi="Garamond"/>
          <w:szCs w:val="24"/>
        </w:rPr>
        <w:t>s</w:t>
      </w:r>
      <w:r w:rsidR="001C59EA">
        <w:rPr>
          <w:rFonts w:ascii="Garamond" w:hAnsi="Garamond"/>
          <w:szCs w:val="24"/>
        </w:rPr>
        <w:t xml:space="preserve"> in the </w:t>
      </w:r>
      <w:r w:rsidR="00881FC0">
        <w:rPr>
          <w:rFonts w:ascii="Garamond" w:hAnsi="Garamond"/>
          <w:szCs w:val="24"/>
        </w:rPr>
        <w:t>PS</w:t>
      </w:r>
      <w:r w:rsidR="00063F85">
        <w:rPr>
          <w:rFonts w:ascii="Garamond" w:hAnsi="Garamond"/>
          <w:szCs w:val="24"/>
        </w:rPr>
        <w:t>W</w:t>
      </w:r>
      <w:r w:rsidR="00881FC0">
        <w:rPr>
          <w:rFonts w:ascii="Garamond" w:hAnsi="Garamond"/>
          <w:szCs w:val="24"/>
        </w:rPr>
        <w:t>Q (</w:t>
      </w:r>
      <w:r w:rsidR="00881FC0" w:rsidRPr="00881FC0">
        <w:rPr>
          <w:rFonts w:ascii="Garamond" w:hAnsi="Garamond"/>
          <w:i/>
          <w:szCs w:val="24"/>
        </w:rPr>
        <w:t>r</w:t>
      </w:r>
      <w:r w:rsidR="00881FC0">
        <w:rPr>
          <w:rFonts w:ascii="Garamond" w:hAnsi="Garamond"/>
          <w:szCs w:val="24"/>
        </w:rPr>
        <w:t xml:space="preserve">=0.50, </w:t>
      </w:r>
      <w:r w:rsidR="00881FC0" w:rsidRPr="00881FC0">
        <w:rPr>
          <w:rFonts w:ascii="Garamond" w:hAnsi="Garamond"/>
          <w:i/>
          <w:szCs w:val="24"/>
        </w:rPr>
        <w:t>p</w:t>
      </w:r>
      <w:r w:rsidR="00881FC0">
        <w:rPr>
          <w:rFonts w:ascii="Garamond" w:hAnsi="Garamond"/>
          <w:szCs w:val="24"/>
        </w:rPr>
        <w:t>&lt;0.001)</w:t>
      </w:r>
      <w:r w:rsidR="001C59EA">
        <w:rPr>
          <w:rFonts w:ascii="Garamond" w:hAnsi="Garamond"/>
          <w:szCs w:val="24"/>
        </w:rPr>
        <w:t xml:space="preserve"> and the general</w:t>
      </w:r>
      <w:r w:rsidR="00654263">
        <w:rPr>
          <w:rFonts w:ascii="Garamond" w:hAnsi="Garamond"/>
          <w:szCs w:val="24"/>
        </w:rPr>
        <w:t xml:space="preserve"> psychopathology</w:t>
      </w:r>
      <w:r w:rsidR="001C59EA">
        <w:rPr>
          <w:rFonts w:ascii="Garamond" w:hAnsi="Garamond"/>
          <w:szCs w:val="24"/>
        </w:rPr>
        <w:t xml:space="preserve"> subscale of the PANSS (</w:t>
      </w:r>
      <w:r w:rsidR="001C59EA" w:rsidRPr="00755681">
        <w:rPr>
          <w:rFonts w:ascii="Garamond" w:hAnsi="Garamond"/>
          <w:i/>
          <w:szCs w:val="24"/>
        </w:rPr>
        <w:t>r</w:t>
      </w:r>
      <w:r w:rsidR="001C59EA">
        <w:rPr>
          <w:rFonts w:ascii="Garamond" w:hAnsi="Garamond"/>
          <w:szCs w:val="24"/>
        </w:rPr>
        <w:t xml:space="preserve">=0.34, </w:t>
      </w:r>
      <w:r w:rsidR="001C59EA" w:rsidRPr="00755681">
        <w:rPr>
          <w:rFonts w:ascii="Garamond" w:hAnsi="Garamond"/>
          <w:i/>
          <w:szCs w:val="24"/>
        </w:rPr>
        <w:t>p</w:t>
      </w:r>
      <w:r w:rsidR="001C59EA">
        <w:rPr>
          <w:rFonts w:ascii="Garamond" w:hAnsi="Garamond"/>
          <w:szCs w:val="24"/>
        </w:rPr>
        <w:t>=0.028)</w:t>
      </w:r>
      <w:r w:rsidR="00881FC0">
        <w:rPr>
          <w:rFonts w:ascii="Garamond" w:hAnsi="Garamond"/>
          <w:szCs w:val="24"/>
        </w:rPr>
        <w:t xml:space="preserve">, although </w:t>
      </w:r>
      <w:r w:rsidR="00130E82">
        <w:rPr>
          <w:rFonts w:ascii="Garamond" w:hAnsi="Garamond"/>
          <w:szCs w:val="24"/>
        </w:rPr>
        <w:t xml:space="preserve">overall </w:t>
      </w:r>
      <w:r w:rsidR="00881FC0">
        <w:rPr>
          <w:rFonts w:ascii="Garamond" w:hAnsi="Garamond"/>
          <w:szCs w:val="24"/>
        </w:rPr>
        <w:t xml:space="preserve">there was no significant </w:t>
      </w:r>
      <w:r w:rsidR="00130E82">
        <w:rPr>
          <w:rFonts w:ascii="Garamond" w:hAnsi="Garamond"/>
          <w:szCs w:val="24"/>
        </w:rPr>
        <w:t>change</w:t>
      </w:r>
      <w:r w:rsidR="00881FC0">
        <w:rPr>
          <w:rFonts w:ascii="Garamond" w:hAnsi="Garamond"/>
          <w:szCs w:val="24"/>
        </w:rPr>
        <w:t xml:space="preserve"> in worry on either the DWQ (ES=0.31, </w:t>
      </w:r>
      <w:r w:rsidR="00881FC0" w:rsidRPr="00881FC0">
        <w:rPr>
          <w:rFonts w:ascii="Garamond" w:hAnsi="Garamond"/>
          <w:i/>
          <w:szCs w:val="24"/>
        </w:rPr>
        <w:t>p</w:t>
      </w:r>
      <w:r w:rsidR="00881FC0">
        <w:rPr>
          <w:rFonts w:ascii="Garamond" w:hAnsi="Garamond"/>
          <w:szCs w:val="24"/>
        </w:rPr>
        <w:t xml:space="preserve">&gt;0.05) or the PSWQ (ES=0.07, </w:t>
      </w:r>
      <w:r w:rsidR="00881FC0" w:rsidRPr="00881FC0">
        <w:rPr>
          <w:rFonts w:ascii="Garamond" w:hAnsi="Garamond"/>
          <w:i/>
          <w:szCs w:val="24"/>
        </w:rPr>
        <w:t>p</w:t>
      </w:r>
      <w:r w:rsidR="00881FC0">
        <w:rPr>
          <w:rFonts w:ascii="Garamond" w:hAnsi="Garamond"/>
          <w:szCs w:val="24"/>
        </w:rPr>
        <w:t xml:space="preserve">&gt;0.05). </w:t>
      </w:r>
      <w:r w:rsidR="00755681">
        <w:rPr>
          <w:rFonts w:ascii="Garamond" w:hAnsi="Garamond"/>
          <w:szCs w:val="24"/>
        </w:rPr>
        <w:t xml:space="preserve">Twelve </w:t>
      </w:r>
      <w:r w:rsidR="004E40D5">
        <w:rPr>
          <w:rFonts w:ascii="Garamond" w:hAnsi="Garamond"/>
          <w:szCs w:val="24"/>
        </w:rPr>
        <w:t xml:space="preserve">participants </w:t>
      </w:r>
      <w:r w:rsidR="00A66771">
        <w:rPr>
          <w:rFonts w:ascii="Garamond" w:hAnsi="Garamond"/>
          <w:szCs w:val="24"/>
        </w:rPr>
        <w:t xml:space="preserve">completed the assessments directly before and after </w:t>
      </w:r>
      <w:r w:rsidR="004E40D5">
        <w:rPr>
          <w:rFonts w:ascii="Garamond" w:hAnsi="Garamond"/>
          <w:szCs w:val="24"/>
        </w:rPr>
        <w:t xml:space="preserve">the worry </w:t>
      </w:r>
      <w:r w:rsidR="00A66771">
        <w:rPr>
          <w:rFonts w:ascii="Garamond" w:hAnsi="Garamond"/>
          <w:szCs w:val="24"/>
        </w:rPr>
        <w:t>treatment</w:t>
      </w:r>
      <w:r w:rsidR="004E40D5">
        <w:rPr>
          <w:rFonts w:ascii="Garamond" w:hAnsi="Garamond"/>
          <w:szCs w:val="24"/>
        </w:rPr>
        <w:t xml:space="preserve">. </w:t>
      </w:r>
      <w:r>
        <w:rPr>
          <w:rFonts w:ascii="Garamond" w:hAnsi="Garamond"/>
          <w:szCs w:val="24"/>
        </w:rPr>
        <w:t>In these participants r</w:t>
      </w:r>
      <w:r w:rsidR="006E6C45">
        <w:rPr>
          <w:rFonts w:ascii="Garamond" w:hAnsi="Garamond"/>
          <w:szCs w:val="24"/>
        </w:rPr>
        <w:t>eductions</w:t>
      </w:r>
      <w:r w:rsidR="004E40D5">
        <w:rPr>
          <w:rFonts w:ascii="Garamond" w:hAnsi="Garamond"/>
          <w:szCs w:val="24"/>
        </w:rPr>
        <w:t xml:space="preserve"> in worry were observed </w:t>
      </w:r>
      <w:r w:rsidR="00294E01">
        <w:rPr>
          <w:rFonts w:ascii="Garamond" w:hAnsi="Garamond"/>
          <w:szCs w:val="24"/>
        </w:rPr>
        <w:t>for the DWQ (ES=</w:t>
      </w:r>
      <w:r w:rsidR="004E40D5">
        <w:rPr>
          <w:rFonts w:ascii="Garamond" w:hAnsi="Garamond"/>
          <w:szCs w:val="24"/>
        </w:rPr>
        <w:t>1.2</w:t>
      </w:r>
      <w:r w:rsidR="00294E01">
        <w:rPr>
          <w:rFonts w:ascii="Garamond" w:hAnsi="Garamond"/>
          <w:szCs w:val="24"/>
        </w:rPr>
        <w:t xml:space="preserve">, </w:t>
      </w:r>
      <w:r w:rsidR="00003F87" w:rsidRPr="00003F87">
        <w:rPr>
          <w:rFonts w:ascii="Garamond" w:hAnsi="Garamond"/>
          <w:i/>
          <w:szCs w:val="24"/>
        </w:rPr>
        <w:t>v</w:t>
      </w:r>
      <w:r w:rsidR="00003F87">
        <w:rPr>
          <w:rFonts w:ascii="Garamond" w:hAnsi="Garamond"/>
          <w:szCs w:val="24"/>
        </w:rPr>
        <w:t xml:space="preserve">=54, </w:t>
      </w:r>
      <w:r w:rsidR="00003F87" w:rsidRPr="00003F87">
        <w:rPr>
          <w:rFonts w:ascii="Garamond" w:hAnsi="Garamond"/>
          <w:i/>
          <w:szCs w:val="24"/>
        </w:rPr>
        <w:t>p</w:t>
      </w:r>
      <w:r w:rsidR="00003F87">
        <w:rPr>
          <w:rFonts w:ascii="Garamond" w:hAnsi="Garamond"/>
          <w:szCs w:val="24"/>
        </w:rPr>
        <w:t>=0.03)</w:t>
      </w:r>
      <w:r w:rsidR="00294E01">
        <w:rPr>
          <w:rFonts w:ascii="Garamond" w:hAnsi="Garamond"/>
          <w:szCs w:val="24"/>
        </w:rPr>
        <w:t xml:space="preserve"> and the PSWQ (ES=</w:t>
      </w:r>
      <w:r w:rsidR="004E40D5">
        <w:rPr>
          <w:rFonts w:ascii="Garamond" w:hAnsi="Garamond"/>
          <w:szCs w:val="24"/>
        </w:rPr>
        <w:t>0.9</w:t>
      </w:r>
      <w:r w:rsidR="00294E01">
        <w:rPr>
          <w:rFonts w:ascii="Garamond" w:hAnsi="Garamond"/>
          <w:szCs w:val="24"/>
        </w:rPr>
        <w:t xml:space="preserve">, </w:t>
      </w:r>
      <w:r w:rsidR="00003F87" w:rsidRPr="00003F87">
        <w:rPr>
          <w:rFonts w:ascii="Garamond" w:hAnsi="Garamond"/>
          <w:i/>
          <w:szCs w:val="24"/>
        </w:rPr>
        <w:t>v</w:t>
      </w:r>
      <w:r w:rsidR="00003F87">
        <w:rPr>
          <w:rFonts w:ascii="Garamond" w:hAnsi="Garamond"/>
          <w:szCs w:val="24"/>
        </w:rPr>
        <w:t xml:space="preserve">=74.5, </w:t>
      </w:r>
      <w:r w:rsidR="00003F87" w:rsidRPr="00003F87">
        <w:rPr>
          <w:rFonts w:ascii="Garamond" w:hAnsi="Garamond"/>
          <w:i/>
          <w:szCs w:val="24"/>
        </w:rPr>
        <w:t>p</w:t>
      </w:r>
      <w:r w:rsidR="00003F87">
        <w:rPr>
          <w:rFonts w:ascii="Garamond" w:hAnsi="Garamond"/>
          <w:szCs w:val="24"/>
        </w:rPr>
        <w:t>=0.003)</w:t>
      </w:r>
      <w:r w:rsidR="004E40D5">
        <w:rPr>
          <w:rFonts w:ascii="Garamond" w:hAnsi="Garamond"/>
          <w:szCs w:val="24"/>
        </w:rPr>
        <w:t>. Using the</w:t>
      </w:r>
      <w:r w:rsidR="00D75BEC">
        <w:rPr>
          <w:rFonts w:ascii="Garamond" w:hAnsi="Garamond"/>
          <w:szCs w:val="24"/>
        </w:rPr>
        <w:t xml:space="preserve"> RCI,</w:t>
      </w:r>
      <w:r w:rsidR="004E40D5">
        <w:rPr>
          <w:rFonts w:ascii="Garamond" w:hAnsi="Garamond"/>
          <w:szCs w:val="24"/>
        </w:rPr>
        <w:t xml:space="preserve"> 8</w:t>
      </w:r>
      <w:r>
        <w:rPr>
          <w:rFonts w:ascii="Garamond" w:hAnsi="Garamond"/>
          <w:szCs w:val="24"/>
        </w:rPr>
        <w:t>/</w:t>
      </w:r>
      <w:r w:rsidR="004E40D5">
        <w:rPr>
          <w:rFonts w:ascii="Garamond" w:hAnsi="Garamond"/>
          <w:szCs w:val="24"/>
        </w:rPr>
        <w:t>12 participants showed a</w:t>
      </w:r>
      <w:r w:rsidR="00684566">
        <w:rPr>
          <w:rFonts w:ascii="Garamond" w:hAnsi="Garamond"/>
          <w:szCs w:val="24"/>
        </w:rPr>
        <w:t xml:space="preserve"> reliable </w:t>
      </w:r>
      <w:r w:rsidR="00D40D92">
        <w:rPr>
          <w:rFonts w:ascii="Garamond" w:hAnsi="Garamond"/>
          <w:szCs w:val="24"/>
        </w:rPr>
        <w:t xml:space="preserve">reduction in </w:t>
      </w:r>
      <w:r w:rsidR="00923E7B">
        <w:rPr>
          <w:rFonts w:ascii="Garamond" w:hAnsi="Garamond"/>
          <w:szCs w:val="24"/>
        </w:rPr>
        <w:t xml:space="preserve">DWQ </w:t>
      </w:r>
      <w:r w:rsidR="00D40D92">
        <w:rPr>
          <w:rFonts w:ascii="Garamond" w:hAnsi="Garamond"/>
          <w:szCs w:val="24"/>
        </w:rPr>
        <w:t xml:space="preserve">worry </w:t>
      </w:r>
      <w:r w:rsidR="00923E7B">
        <w:rPr>
          <w:rFonts w:ascii="Garamond" w:hAnsi="Garamond"/>
          <w:szCs w:val="24"/>
        </w:rPr>
        <w:t>scores</w:t>
      </w:r>
      <w:r w:rsidR="004E40D5">
        <w:rPr>
          <w:rFonts w:ascii="Garamond" w:hAnsi="Garamond"/>
          <w:szCs w:val="24"/>
        </w:rPr>
        <w:t xml:space="preserve"> following the intervention</w:t>
      </w:r>
      <w:r w:rsidR="00755681">
        <w:rPr>
          <w:rFonts w:ascii="Garamond" w:hAnsi="Garamond"/>
          <w:szCs w:val="24"/>
        </w:rPr>
        <w:t xml:space="preserve"> (</w:t>
      </w:r>
      <w:r>
        <w:rPr>
          <w:rFonts w:ascii="Garamond" w:hAnsi="Garamond"/>
          <w:szCs w:val="24"/>
        </w:rPr>
        <w:t>s</w:t>
      </w:r>
      <w:r w:rsidR="001C0271">
        <w:rPr>
          <w:rFonts w:ascii="Garamond" w:hAnsi="Garamond"/>
          <w:szCs w:val="24"/>
        </w:rPr>
        <w:t>upplementary materials</w:t>
      </w:r>
      <w:r w:rsidR="00755681">
        <w:rPr>
          <w:rFonts w:ascii="Garamond" w:hAnsi="Garamond"/>
          <w:szCs w:val="24"/>
        </w:rPr>
        <w:t>)</w:t>
      </w:r>
      <w:r w:rsidR="004E40D5">
        <w:rPr>
          <w:rFonts w:ascii="Garamond" w:hAnsi="Garamond"/>
          <w:szCs w:val="24"/>
        </w:rPr>
        <w:t>. Notably,</w:t>
      </w:r>
      <w:r w:rsidR="004B420E">
        <w:rPr>
          <w:rFonts w:ascii="Garamond" w:hAnsi="Garamond"/>
          <w:szCs w:val="24"/>
        </w:rPr>
        <w:t xml:space="preserve"> 4 </w:t>
      </w:r>
      <w:r w:rsidR="004E40D5">
        <w:rPr>
          <w:rFonts w:ascii="Garamond" w:hAnsi="Garamond"/>
          <w:szCs w:val="24"/>
        </w:rPr>
        <w:t>of these patients d</w:t>
      </w:r>
      <w:r w:rsidR="004B420E">
        <w:rPr>
          <w:rFonts w:ascii="Garamond" w:hAnsi="Garamond"/>
          <w:szCs w:val="24"/>
        </w:rPr>
        <w:t>id not show</w:t>
      </w:r>
      <w:r w:rsidR="004E40D5">
        <w:rPr>
          <w:rFonts w:ascii="Garamond" w:hAnsi="Garamond"/>
          <w:szCs w:val="24"/>
        </w:rPr>
        <w:t xml:space="preserve"> corresponding reliable</w:t>
      </w:r>
      <w:r w:rsidR="004B420E">
        <w:rPr>
          <w:rFonts w:ascii="Garamond" w:hAnsi="Garamond"/>
          <w:szCs w:val="24"/>
        </w:rPr>
        <w:t xml:space="preserve"> changes on the PSWQ</w:t>
      </w:r>
      <w:r w:rsidR="00294E01">
        <w:rPr>
          <w:rFonts w:ascii="Garamond" w:hAnsi="Garamond"/>
          <w:szCs w:val="24"/>
        </w:rPr>
        <w:t xml:space="preserve"> (</w:t>
      </w:r>
      <w:r w:rsidR="00652BF8">
        <w:rPr>
          <w:rFonts w:ascii="Garamond" w:hAnsi="Garamond"/>
          <w:szCs w:val="24"/>
        </w:rPr>
        <w:t>only 5 participants showed a significant reduction</w:t>
      </w:r>
      <w:r w:rsidR="00294E01">
        <w:rPr>
          <w:rFonts w:ascii="Garamond" w:hAnsi="Garamond"/>
          <w:szCs w:val="24"/>
        </w:rPr>
        <w:t xml:space="preserve"> on this scale)</w:t>
      </w:r>
      <w:r w:rsidR="004B420E">
        <w:rPr>
          <w:rFonts w:ascii="Garamond" w:hAnsi="Garamond"/>
          <w:szCs w:val="24"/>
        </w:rPr>
        <w:t xml:space="preserve">. </w:t>
      </w:r>
      <w:r w:rsidR="004E40D5">
        <w:rPr>
          <w:rFonts w:ascii="Garamond" w:hAnsi="Garamond"/>
          <w:szCs w:val="24"/>
        </w:rPr>
        <w:t>Only 1 participant with a</w:t>
      </w:r>
      <w:r w:rsidR="00652BF8">
        <w:rPr>
          <w:rFonts w:ascii="Garamond" w:hAnsi="Garamond"/>
          <w:szCs w:val="24"/>
        </w:rPr>
        <w:t xml:space="preserve"> significant</w:t>
      </w:r>
      <w:r w:rsidR="004E40D5">
        <w:rPr>
          <w:rFonts w:ascii="Garamond" w:hAnsi="Garamond"/>
          <w:szCs w:val="24"/>
        </w:rPr>
        <w:t xml:space="preserve"> RCI on the PSWQ did not show a significant change on the DWQ. </w:t>
      </w:r>
      <w:r w:rsidR="00D40D92">
        <w:rPr>
          <w:rFonts w:ascii="Garamond" w:hAnsi="Garamond"/>
          <w:szCs w:val="24"/>
        </w:rPr>
        <w:t xml:space="preserve">These findings indicate the DWQ </w:t>
      </w:r>
      <w:r w:rsidR="00294E01">
        <w:rPr>
          <w:rFonts w:ascii="Garamond" w:hAnsi="Garamond"/>
          <w:szCs w:val="24"/>
        </w:rPr>
        <w:t>might</w:t>
      </w:r>
      <w:r w:rsidR="004E40D5">
        <w:rPr>
          <w:rFonts w:ascii="Garamond" w:hAnsi="Garamond"/>
          <w:szCs w:val="24"/>
        </w:rPr>
        <w:t xml:space="preserve"> </w:t>
      </w:r>
      <w:r w:rsidR="00294E01">
        <w:rPr>
          <w:rFonts w:ascii="Garamond" w:hAnsi="Garamond"/>
          <w:szCs w:val="24"/>
        </w:rPr>
        <w:t xml:space="preserve">have greater sensitivity </w:t>
      </w:r>
      <w:r w:rsidR="00D40D92">
        <w:rPr>
          <w:rFonts w:ascii="Garamond" w:hAnsi="Garamond"/>
          <w:szCs w:val="24"/>
        </w:rPr>
        <w:t>to</w:t>
      </w:r>
      <w:r w:rsidR="004B420E">
        <w:rPr>
          <w:rFonts w:ascii="Garamond" w:hAnsi="Garamond"/>
          <w:szCs w:val="24"/>
        </w:rPr>
        <w:t xml:space="preserve"> </w:t>
      </w:r>
      <w:r w:rsidR="00652BF8">
        <w:rPr>
          <w:rFonts w:ascii="Garamond" w:hAnsi="Garamond"/>
          <w:szCs w:val="24"/>
        </w:rPr>
        <w:t xml:space="preserve">reductions </w:t>
      </w:r>
      <w:r w:rsidR="004E40D5">
        <w:rPr>
          <w:rFonts w:ascii="Garamond" w:hAnsi="Garamond"/>
          <w:szCs w:val="24"/>
        </w:rPr>
        <w:t>i</w:t>
      </w:r>
      <w:r w:rsidR="004B420E">
        <w:rPr>
          <w:rFonts w:ascii="Garamond" w:hAnsi="Garamond"/>
          <w:szCs w:val="24"/>
        </w:rPr>
        <w:t>n worry</w:t>
      </w:r>
      <w:r w:rsidR="00652BF8">
        <w:rPr>
          <w:rFonts w:ascii="Garamond" w:hAnsi="Garamond"/>
          <w:szCs w:val="24"/>
        </w:rPr>
        <w:t xml:space="preserve"> compared to </w:t>
      </w:r>
      <w:r w:rsidR="006E6C45">
        <w:rPr>
          <w:rFonts w:ascii="Garamond" w:hAnsi="Garamond"/>
          <w:szCs w:val="24"/>
        </w:rPr>
        <w:t>the PSWQ</w:t>
      </w:r>
      <w:r w:rsidR="00652BF8">
        <w:rPr>
          <w:rFonts w:ascii="Garamond" w:hAnsi="Garamond"/>
          <w:szCs w:val="24"/>
        </w:rPr>
        <w:t>.</w:t>
      </w:r>
      <w:r w:rsidR="00D40D92">
        <w:rPr>
          <w:rFonts w:ascii="Garamond" w:hAnsi="Garamond"/>
          <w:szCs w:val="24"/>
        </w:rPr>
        <w:t xml:space="preserve"> </w:t>
      </w:r>
    </w:p>
    <w:p w14:paraId="1132CF8A" w14:textId="75D3C962" w:rsidR="00E1287C" w:rsidRDefault="00D75BEC" w:rsidP="007C50A8">
      <w:pPr>
        <w:spacing w:line="360" w:lineRule="auto"/>
        <w:jc w:val="both"/>
        <w:rPr>
          <w:rFonts w:ascii="Garamond" w:hAnsi="Garamond"/>
          <w:szCs w:val="24"/>
        </w:rPr>
      </w:pPr>
      <w:r>
        <w:rPr>
          <w:rFonts w:ascii="Garamond" w:hAnsi="Garamond"/>
          <w:szCs w:val="24"/>
        </w:rPr>
        <w:t>C</w:t>
      </w:r>
      <w:r w:rsidR="00294E01" w:rsidRPr="00294E01">
        <w:rPr>
          <w:rFonts w:ascii="Garamond" w:hAnsi="Garamond"/>
          <w:szCs w:val="24"/>
        </w:rPr>
        <w:t xml:space="preserve">hanges on the PWQ were strongly correlated with changes in </w:t>
      </w:r>
      <w:r w:rsidR="00923E7B">
        <w:rPr>
          <w:rFonts w:ascii="Garamond" w:hAnsi="Garamond"/>
          <w:szCs w:val="24"/>
        </w:rPr>
        <w:t xml:space="preserve">GPTS </w:t>
      </w:r>
      <w:r w:rsidR="00294E01" w:rsidRPr="00294E01">
        <w:rPr>
          <w:rFonts w:ascii="Garamond" w:hAnsi="Garamond"/>
          <w:szCs w:val="24"/>
        </w:rPr>
        <w:t>paranoia (</w:t>
      </w:r>
      <w:r w:rsidR="00294E01" w:rsidRPr="00755681">
        <w:rPr>
          <w:rFonts w:ascii="Garamond" w:hAnsi="Garamond"/>
          <w:i/>
          <w:szCs w:val="24"/>
        </w:rPr>
        <w:t>r</w:t>
      </w:r>
      <w:r w:rsidR="00294E01" w:rsidRPr="00294E01">
        <w:rPr>
          <w:rFonts w:ascii="Garamond" w:hAnsi="Garamond"/>
          <w:szCs w:val="24"/>
        </w:rPr>
        <w:t xml:space="preserve">=0.61, </w:t>
      </w:r>
      <w:r w:rsidR="00294E01" w:rsidRPr="00755681">
        <w:rPr>
          <w:rFonts w:ascii="Garamond" w:hAnsi="Garamond"/>
          <w:i/>
          <w:szCs w:val="24"/>
        </w:rPr>
        <w:t>p</w:t>
      </w:r>
      <w:r w:rsidR="00294E01" w:rsidRPr="00294E01">
        <w:rPr>
          <w:rFonts w:ascii="Garamond" w:hAnsi="Garamond"/>
          <w:szCs w:val="24"/>
        </w:rPr>
        <w:t>&lt;0.001) and DWQ worry scores (</w:t>
      </w:r>
      <w:r w:rsidR="00294E01" w:rsidRPr="00755681">
        <w:rPr>
          <w:rFonts w:ascii="Garamond" w:hAnsi="Garamond"/>
          <w:i/>
          <w:szCs w:val="24"/>
        </w:rPr>
        <w:t>r</w:t>
      </w:r>
      <w:r w:rsidR="00294E01" w:rsidRPr="00294E01">
        <w:rPr>
          <w:rFonts w:ascii="Garamond" w:hAnsi="Garamond"/>
          <w:szCs w:val="24"/>
        </w:rPr>
        <w:t xml:space="preserve">=0.74, </w:t>
      </w:r>
      <w:r w:rsidR="00294E01" w:rsidRPr="00755681">
        <w:rPr>
          <w:rFonts w:ascii="Garamond" w:hAnsi="Garamond"/>
          <w:i/>
          <w:szCs w:val="24"/>
        </w:rPr>
        <w:t>p</w:t>
      </w:r>
      <w:r w:rsidR="00294E01" w:rsidRPr="00294E01">
        <w:rPr>
          <w:rFonts w:ascii="Garamond" w:hAnsi="Garamond"/>
          <w:szCs w:val="24"/>
        </w:rPr>
        <w:t>&lt;0.001)</w:t>
      </w:r>
      <w:r w:rsidR="00294E01">
        <w:rPr>
          <w:rFonts w:ascii="Garamond" w:hAnsi="Garamond"/>
          <w:szCs w:val="24"/>
        </w:rPr>
        <w:t>, although there were no significant changes</w:t>
      </w:r>
      <w:r w:rsidR="00923E7B">
        <w:rPr>
          <w:rFonts w:ascii="Garamond" w:hAnsi="Garamond"/>
          <w:szCs w:val="24"/>
        </w:rPr>
        <w:t xml:space="preserve"> between the two time points</w:t>
      </w:r>
      <w:r w:rsidR="00294E01">
        <w:rPr>
          <w:rFonts w:ascii="Garamond" w:hAnsi="Garamond"/>
          <w:szCs w:val="24"/>
        </w:rPr>
        <w:t xml:space="preserve"> in </w:t>
      </w:r>
      <w:r w:rsidR="00923E7B">
        <w:rPr>
          <w:rFonts w:ascii="Garamond" w:hAnsi="Garamond"/>
          <w:szCs w:val="24"/>
        </w:rPr>
        <w:t xml:space="preserve">PWQ </w:t>
      </w:r>
      <w:r w:rsidR="00130E82">
        <w:rPr>
          <w:rFonts w:ascii="Garamond" w:hAnsi="Garamond"/>
          <w:szCs w:val="24"/>
        </w:rPr>
        <w:t xml:space="preserve">paranoid worry </w:t>
      </w:r>
      <w:r w:rsidR="00923E7B">
        <w:rPr>
          <w:rFonts w:ascii="Garamond" w:hAnsi="Garamond"/>
          <w:szCs w:val="24"/>
        </w:rPr>
        <w:t>(</w:t>
      </w:r>
      <w:r w:rsidR="00130E82">
        <w:rPr>
          <w:rFonts w:ascii="Garamond" w:hAnsi="Garamond"/>
          <w:szCs w:val="24"/>
        </w:rPr>
        <w:t>ES=0.2</w:t>
      </w:r>
      <w:r w:rsidR="00321EFA">
        <w:rPr>
          <w:rFonts w:ascii="Garamond" w:hAnsi="Garamond"/>
          <w:szCs w:val="24"/>
        </w:rPr>
        <w:t>9</w:t>
      </w:r>
      <w:r w:rsidR="00130E82">
        <w:rPr>
          <w:rFonts w:ascii="Garamond" w:hAnsi="Garamond"/>
          <w:szCs w:val="24"/>
        </w:rPr>
        <w:t xml:space="preserve">, </w:t>
      </w:r>
      <w:r w:rsidR="00130E82" w:rsidRPr="00130E82">
        <w:rPr>
          <w:rFonts w:ascii="Garamond" w:hAnsi="Garamond"/>
          <w:i/>
          <w:szCs w:val="24"/>
        </w:rPr>
        <w:t>p</w:t>
      </w:r>
      <w:r w:rsidR="00130E82">
        <w:rPr>
          <w:rFonts w:ascii="Garamond" w:hAnsi="Garamond"/>
          <w:szCs w:val="24"/>
        </w:rPr>
        <w:t xml:space="preserve">&gt;0.05) or </w:t>
      </w:r>
      <w:r w:rsidR="00923E7B">
        <w:rPr>
          <w:rFonts w:ascii="Garamond" w:hAnsi="Garamond"/>
          <w:szCs w:val="24"/>
        </w:rPr>
        <w:t xml:space="preserve">GPTS </w:t>
      </w:r>
      <w:r w:rsidR="00130E82">
        <w:rPr>
          <w:rFonts w:ascii="Garamond" w:hAnsi="Garamond"/>
          <w:szCs w:val="24"/>
        </w:rPr>
        <w:t xml:space="preserve">paranoid thoughts (ES=0.25, </w:t>
      </w:r>
      <w:r w:rsidR="00130E82" w:rsidRPr="00130E82">
        <w:rPr>
          <w:rFonts w:ascii="Garamond" w:hAnsi="Garamond"/>
          <w:i/>
          <w:szCs w:val="24"/>
        </w:rPr>
        <w:t>p</w:t>
      </w:r>
      <w:r w:rsidR="00130E82">
        <w:rPr>
          <w:rFonts w:ascii="Garamond" w:hAnsi="Garamond"/>
          <w:szCs w:val="24"/>
        </w:rPr>
        <w:t>&gt;0.05)</w:t>
      </w:r>
      <w:r w:rsidR="00923E7B">
        <w:rPr>
          <w:rFonts w:ascii="Garamond" w:hAnsi="Garamond"/>
          <w:szCs w:val="24"/>
        </w:rPr>
        <w:t xml:space="preserve"> scores.</w:t>
      </w:r>
      <w:r w:rsidR="00AA7A42">
        <w:rPr>
          <w:rFonts w:ascii="Garamond" w:hAnsi="Garamond"/>
          <w:szCs w:val="24"/>
        </w:rPr>
        <w:t xml:space="preserve"> </w:t>
      </w:r>
      <w:r w:rsidR="00923E7B">
        <w:rPr>
          <w:rFonts w:ascii="Garamond" w:hAnsi="Garamond"/>
          <w:szCs w:val="24"/>
        </w:rPr>
        <w:t>N</w:t>
      </w:r>
      <w:r w:rsidR="00130E82">
        <w:rPr>
          <w:rFonts w:ascii="Garamond" w:hAnsi="Garamond"/>
          <w:szCs w:val="24"/>
        </w:rPr>
        <w:t>otably, the correlation between change in paranoid worry and worry measured by the PSWQ (</w:t>
      </w:r>
      <w:r w:rsidR="00130E82" w:rsidRPr="00130E82">
        <w:rPr>
          <w:rFonts w:ascii="Garamond" w:hAnsi="Garamond"/>
          <w:i/>
          <w:szCs w:val="24"/>
        </w:rPr>
        <w:t>r</w:t>
      </w:r>
      <w:r w:rsidR="00130E82">
        <w:rPr>
          <w:rFonts w:ascii="Garamond" w:hAnsi="Garamond"/>
          <w:szCs w:val="24"/>
        </w:rPr>
        <w:t xml:space="preserve">=0.42, </w:t>
      </w:r>
      <w:r w:rsidR="00130E82" w:rsidRPr="00130E82">
        <w:rPr>
          <w:rFonts w:ascii="Garamond" w:hAnsi="Garamond"/>
          <w:i/>
          <w:szCs w:val="24"/>
        </w:rPr>
        <w:t>p</w:t>
      </w:r>
      <w:r w:rsidR="00130E82">
        <w:rPr>
          <w:rFonts w:ascii="Garamond" w:hAnsi="Garamond"/>
          <w:szCs w:val="24"/>
        </w:rPr>
        <w:t xml:space="preserve">=0.005) was not as strong as the correlation with the DWQ. </w:t>
      </w:r>
      <w:r w:rsidR="006E6C45">
        <w:rPr>
          <w:rFonts w:ascii="Garamond" w:hAnsi="Garamond"/>
          <w:szCs w:val="24"/>
        </w:rPr>
        <w:t>In the</w:t>
      </w:r>
      <w:r w:rsidR="00652BF8">
        <w:rPr>
          <w:rFonts w:ascii="Garamond" w:hAnsi="Garamond"/>
          <w:szCs w:val="24"/>
        </w:rPr>
        <w:t xml:space="preserve"> subgroup of</w:t>
      </w:r>
      <w:r w:rsidR="006E6C45">
        <w:rPr>
          <w:rFonts w:ascii="Garamond" w:hAnsi="Garamond"/>
          <w:szCs w:val="24"/>
        </w:rPr>
        <w:t xml:space="preserve"> 12 participants who received the worry intervention between the measurements, </w:t>
      </w:r>
      <w:r w:rsidR="00AA7A42">
        <w:rPr>
          <w:rFonts w:ascii="Garamond" w:hAnsi="Garamond"/>
          <w:szCs w:val="24"/>
        </w:rPr>
        <w:t xml:space="preserve">large changes were observed in both paranoid worry (ES=1.45, </w:t>
      </w:r>
      <w:r w:rsidR="00AA7A42" w:rsidRPr="00AA7A42">
        <w:rPr>
          <w:rFonts w:ascii="Garamond" w:hAnsi="Garamond"/>
          <w:i/>
          <w:szCs w:val="24"/>
        </w:rPr>
        <w:t>v</w:t>
      </w:r>
      <w:r w:rsidR="00AA7A42">
        <w:rPr>
          <w:rFonts w:ascii="Garamond" w:hAnsi="Garamond"/>
          <w:szCs w:val="24"/>
        </w:rPr>
        <w:t xml:space="preserve">=66, </w:t>
      </w:r>
      <w:r w:rsidR="00AA7A42" w:rsidRPr="00AA7A42">
        <w:rPr>
          <w:rFonts w:ascii="Garamond" w:hAnsi="Garamond"/>
          <w:i/>
          <w:szCs w:val="24"/>
        </w:rPr>
        <w:t>p</w:t>
      </w:r>
      <w:r w:rsidR="00AA7A42">
        <w:rPr>
          <w:rFonts w:ascii="Garamond" w:hAnsi="Garamond"/>
          <w:szCs w:val="24"/>
        </w:rPr>
        <w:t>=</w:t>
      </w:r>
      <w:r w:rsidR="00AA7A42" w:rsidRPr="00AA7A42">
        <w:rPr>
          <w:rFonts w:ascii="Garamond" w:hAnsi="Garamond"/>
          <w:szCs w:val="24"/>
        </w:rPr>
        <w:t>0.00</w:t>
      </w:r>
      <w:r w:rsidR="00AA7A42">
        <w:rPr>
          <w:rFonts w:ascii="Garamond" w:hAnsi="Garamond"/>
          <w:szCs w:val="24"/>
        </w:rPr>
        <w:t xml:space="preserve">2) and paranoid thoughts (ES=1.6, </w:t>
      </w:r>
      <w:r w:rsidR="00AA7A42" w:rsidRPr="00AA7A42">
        <w:rPr>
          <w:rFonts w:ascii="Garamond" w:hAnsi="Garamond"/>
          <w:i/>
          <w:szCs w:val="24"/>
        </w:rPr>
        <w:t>v</w:t>
      </w:r>
      <w:r w:rsidR="00AA7A42">
        <w:rPr>
          <w:rFonts w:ascii="Garamond" w:hAnsi="Garamond"/>
          <w:szCs w:val="24"/>
        </w:rPr>
        <w:t xml:space="preserve">=63, </w:t>
      </w:r>
      <w:r w:rsidR="00AA7A42" w:rsidRPr="00AA7A42">
        <w:rPr>
          <w:rFonts w:ascii="Garamond" w:hAnsi="Garamond"/>
          <w:i/>
          <w:szCs w:val="24"/>
        </w:rPr>
        <w:t>p</w:t>
      </w:r>
      <w:r w:rsidR="00AA7A42">
        <w:rPr>
          <w:rFonts w:ascii="Garamond" w:hAnsi="Garamond"/>
          <w:szCs w:val="24"/>
        </w:rPr>
        <w:t>=</w:t>
      </w:r>
      <w:r w:rsidR="00AA7A42" w:rsidRPr="00AA7A42">
        <w:rPr>
          <w:rFonts w:ascii="Garamond" w:hAnsi="Garamond"/>
          <w:szCs w:val="24"/>
        </w:rPr>
        <w:t>0.004</w:t>
      </w:r>
      <w:r w:rsidR="00AA7A42">
        <w:rPr>
          <w:rFonts w:ascii="Garamond" w:hAnsi="Garamond"/>
          <w:szCs w:val="24"/>
        </w:rPr>
        <w:t xml:space="preserve">). </w:t>
      </w:r>
      <w:r w:rsidR="00652BF8">
        <w:rPr>
          <w:rFonts w:ascii="Garamond" w:hAnsi="Garamond"/>
          <w:szCs w:val="24"/>
        </w:rPr>
        <w:t xml:space="preserve">Following the </w:t>
      </w:r>
      <w:r w:rsidR="00652BF8">
        <w:rPr>
          <w:rFonts w:ascii="Garamond" w:hAnsi="Garamond"/>
          <w:szCs w:val="24"/>
        </w:rPr>
        <w:lastRenderedPageBreak/>
        <w:t>intervention, t</w:t>
      </w:r>
      <w:r w:rsidR="00684566">
        <w:rPr>
          <w:rFonts w:ascii="Garamond" w:hAnsi="Garamond"/>
          <w:szCs w:val="24"/>
        </w:rPr>
        <w:t>he PWQ was able to detect reliable reductions in paranoid worry in 9</w:t>
      </w:r>
      <w:r>
        <w:rPr>
          <w:rFonts w:ascii="Garamond" w:hAnsi="Garamond"/>
          <w:szCs w:val="24"/>
        </w:rPr>
        <w:t>/</w:t>
      </w:r>
      <w:r w:rsidR="00684566">
        <w:rPr>
          <w:rFonts w:ascii="Garamond" w:hAnsi="Garamond"/>
          <w:szCs w:val="24"/>
        </w:rPr>
        <w:t>12 patients</w:t>
      </w:r>
      <w:r w:rsidR="00294E01">
        <w:rPr>
          <w:rFonts w:ascii="Garamond" w:hAnsi="Garamond"/>
          <w:szCs w:val="24"/>
        </w:rPr>
        <w:t xml:space="preserve">, which </w:t>
      </w:r>
      <w:r w:rsidR="00684566">
        <w:rPr>
          <w:rFonts w:ascii="Garamond" w:hAnsi="Garamond"/>
          <w:szCs w:val="24"/>
        </w:rPr>
        <w:t>corresponded with reliable improvements in paranoia as measured by the GPTS.</w:t>
      </w:r>
      <w:r w:rsidR="00923E7B">
        <w:rPr>
          <w:rFonts w:ascii="Garamond" w:hAnsi="Garamond"/>
          <w:szCs w:val="24"/>
        </w:rPr>
        <w:t xml:space="preserve"> </w:t>
      </w:r>
    </w:p>
    <w:p w14:paraId="0C6B4044" w14:textId="77777777" w:rsidR="00612052" w:rsidRDefault="00612052" w:rsidP="007C50A8">
      <w:pPr>
        <w:spacing w:line="360" w:lineRule="auto"/>
        <w:jc w:val="both"/>
        <w:rPr>
          <w:rFonts w:ascii="Garamond" w:hAnsi="Garamond"/>
          <w:b/>
        </w:rPr>
      </w:pPr>
    </w:p>
    <w:p w14:paraId="4ADA55CD" w14:textId="0E6751B8" w:rsidR="00AB0C08" w:rsidRPr="00662055" w:rsidRDefault="00483145" w:rsidP="007C50A8">
      <w:pPr>
        <w:spacing w:line="360" w:lineRule="auto"/>
        <w:jc w:val="both"/>
        <w:rPr>
          <w:rFonts w:ascii="Garamond" w:hAnsi="Garamond"/>
          <w:b/>
        </w:rPr>
      </w:pPr>
      <w:r>
        <w:rPr>
          <w:rFonts w:ascii="Garamond" w:hAnsi="Garamond"/>
          <w:b/>
        </w:rPr>
        <w:t>C</w:t>
      </w:r>
      <w:r w:rsidR="001963E4" w:rsidRPr="00662055">
        <w:rPr>
          <w:rFonts w:ascii="Garamond" w:hAnsi="Garamond"/>
          <w:b/>
        </w:rPr>
        <w:t>linical cut-off scores</w:t>
      </w:r>
      <w:r w:rsidR="00AB0C08" w:rsidRPr="00662055">
        <w:rPr>
          <w:rFonts w:ascii="Garamond" w:hAnsi="Garamond"/>
          <w:b/>
        </w:rPr>
        <w:t xml:space="preserve"> </w:t>
      </w:r>
    </w:p>
    <w:p w14:paraId="5388A5C6" w14:textId="08BC9D92" w:rsidR="00B57FC7" w:rsidRDefault="001963E4" w:rsidP="007C50A8">
      <w:pPr>
        <w:spacing w:line="360" w:lineRule="auto"/>
        <w:jc w:val="both"/>
        <w:rPr>
          <w:rFonts w:ascii="Garamond" w:hAnsi="Garamond"/>
        </w:rPr>
      </w:pPr>
      <w:r w:rsidRPr="00662055">
        <w:rPr>
          <w:rFonts w:ascii="Garamond" w:hAnsi="Garamond"/>
        </w:rPr>
        <w:t xml:space="preserve">The ROC curves for both </w:t>
      </w:r>
      <w:r w:rsidR="00B57FC7">
        <w:rPr>
          <w:rFonts w:ascii="Garamond" w:hAnsi="Garamond"/>
        </w:rPr>
        <w:t>questionnaires</w:t>
      </w:r>
      <w:r w:rsidRPr="00662055">
        <w:rPr>
          <w:rFonts w:ascii="Garamond" w:hAnsi="Garamond"/>
        </w:rPr>
        <w:t xml:space="preserve"> a</w:t>
      </w:r>
      <w:r w:rsidR="00D75BEC">
        <w:rPr>
          <w:rFonts w:ascii="Garamond" w:hAnsi="Garamond"/>
        </w:rPr>
        <w:t xml:space="preserve">nd the </w:t>
      </w:r>
      <w:r w:rsidRPr="00662055">
        <w:rPr>
          <w:rFonts w:ascii="Garamond" w:hAnsi="Garamond"/>
        </w:rPr>
        <w:t>sensitivity and specificity at differen</w:t>
      </w:r>
      <w:r w:rsidR="002446BA">
        <w:rPr>
          <w:rFonts w:ascii="Garamond" w:hAnsi="Garamond"/>
        </w:rPr>
        <w:t xml:space="preserve">t thresholds </w:t>
      </w:r>
      <w:r w:rsidR="007A658A">
        <w:rPr>
          <w:rFonts w:ascii="Garamond" w:hAnsi="Garamond"/>
        </w:rPr>
        <w:t>are</w:t>
      </w:r>
      <w:r w:rsidR="002446BA">
        <w:rPr>
          <w:rFonts w:ascii="Garamond" w:hAnsi="Garamond"/>
        </w:rPr>
        <w:t xml:space="preserve"> shown in </w:t>
      </w:r>
      <w:r w:rsidR="001C0271">
        <w:rPr>
          <w:rFonts w:ascii="Garamond" w:hAnsi="Garamond"/>
        </w:rPr>
        <w:t>the supplementary materials</w:t>
      </w:r>
      <w:r w:rsidRPr="00662055">
        <w:rPr>
          <w:rFonts w:ascii="Garamond" w:hAnsi="Garamond"/>
        </w:rPr>
        <w:t xml:space="preserve">. </w:t>
      </w:r>
    </w:p>
    <w:p w14:paraId="0335852C" w14:textId="4D2016CA" w:rsidR="008749A6" w:rsidRDefault="00483145" w:rsidP="007C50A8">
      <w:pPr>
        <w:spacing w:line="360" w:lineRule="auto"/>
        <w:jc w:val="both"/>
        <w:rPr>
          <w:rFonts w:ascii="Garamond" w:hAnsi="Garamond"/>
        </w:rPr>
      </w:pPr>
      <w:proofErr w:type="gramStart"/>
      <w:r w:rsidRPr="00B6405A">
        <w:rPr>
          <w:rFonts w:ascii="Garamond" w:hAnsi="Garamond"/>
          <w:i/>
        </w:rPr>
        <w:t>Dunn Worry Questionnaire</w:t>
      </w:r>
      <w:r w:rsidR="00D3334A" w:rsidRPr="00B6405A">
        <w:rPr>
          <w:rFonts w:ascii="Garamond" w:hAnsi="Garamond"/>
          <w:i/>
        </w:rPr>
        <w:t xml:space="preserve"> (DWQ)</w:t>
      </w:r>
      <w:r w:rsidR="00B57FC7" w:rsidRPr="00B6405A">
        <w:rPr>
          <w:rFonts w:ascii="Garamond" w:hAnsi="Garamond"/>
          <w:i/>
        </w:rPr>
        <w:t>.</w:t>
      </w:r>
      <w:proofErr w:type="gramEnd"/>
      <w:r w:rsidR="00B57FC7">
        <w:rPr>
          <w:rFonts w:ascii="Garamond" w:hAnsi="Garamond"/>
        </w:rPr>
        <w:t xml:space="preserve"> </w:t>
      </w:r>
      <w:r w:rsidR="00AB0C08" w:rsidRPr="00662055">
        <w:rPr>
          <w:rFonts w:ascii="Garamond" w:hAnsi="Garamond"/>
        </w:rPr>
        <w:t xml:space="preserve">The ROC analysis </w:t>
      </w:r>
      <w:r w:rsidR="00B57FC7">
        <w:rPr>
          <w:rFonts w:ascii="Garamond" w:hAnsi="Garamond"/>
        </w:rPr>
        <w:t xml:space="preserve">for the DWQ </w:t>
      </w:r>
      <w:r w:rsidR="00AB0C08" w:rsidRPr="00662055">
        <w:rPr>
          <w:rFonts w:ascii="Garamond" w:hAnsi="Garamond"/>
        </w:rPr>
        <w:t xml:space="preserve">provided an AUC </w:t>
      </w:r>
      <w:r w:rsidR="000D76C7" w:rsidRPr="00662055">
        <w:rPr>
          <w:rFonts w:ascii="Garamond" w:hAnsi="Garamond"/>
        </w:rPr>
        <w:t>of</w:t>
      </w:r>
      <w:r w:rsidR="00AB0C08" w:rsidRPr="00662055">
        <w:rPr>
          <w:rFonts w:ascii="Garamond" w:hAnsi="Garamond"/>
        </w:rPr>
        <w:t xml:space="preserve"> </w:t>
      </w:r>
      <w:r w:rsidR="00A65496" w:rsidRPr="00662055">
        <w:rPr>
          <w:rFonts w:ascii="Garamond" w:hAnsi="Garamond"/>
        </w:rPr>
        <w:t>0.</w:t>
      </w:r>
      <w:r w:rsidR="00A65496">
        <w:rPr>
          <w:rFonts w:ascii="Garamond" w:hAnsi="Garamond"/>
        </w:rPr>
        <w:t>9</w:t>
      </w:r>
      <w:r w:rsidR="00E26068">
        <w:rPr>
          <w:rFonts w:ascii="Garamond" w:hAnsi="Garamond"/>
        </w:rPr>
        <w:t>0</w:t>
      </w:r>
      <w:r w:rsidR="00A65496" w:rsidRPr="00662055">
        <w:rPr>
          <w:rFonts w:ascii="Garamond" w:hAnsi="Garamond"/>
        </w:rPr>
        <w:t xml:space="preserve"> (95% CI</w:t>
      </w:r>
      <w:r w:rsidR="00927BBF">
        <w:rPr>
          <w:rFonts w:ascii="Garamond" w:hAnsi="Garamond"/>
        </w:rPr>
        <w:t>=</w:t>
      </w:r>
      <w:r w:rsidR="00A65496" w:rsidRPr="00662055">
        <w:rPr>
          <w:rFonts w:ascii="Garamond" w:hAnsi="Garamond"/>
        </w:rPr>
        <w:t>0.</w:t>
      </w:r>
      <w:r w:rsidR="00A65496">
        <w:rPr>
          <w:rFonts w:ascii="Garamond" w:hAnsi="Garamond"/>
        </w:rPr>
        <w:t>86</w:t>
      </w:r>
      <w:r w:rsidR="00A65496" w:rsidRPr="00662055">
        <w:rPr>
          <w:rFonts w:ascii="Garamond" w:hAnsi="Garamond"/>
        </w:rPr>
        <w:t>-0.</w:t>
      </w:r>
      <w:r w:rsidR="00A65496">
        <w:rPr>
          <w:rFonts w:ascii="Garamond" w:hAnsi="Garamond"/>
        </w:rPr>
        <w:t>95</w:t>
      </w:r>
      <w:r w:rsidR="00A65496" w:rsidRPr="00662055">
        <w:rPr>
          <w:rFonts w:ascii="Garamond" w:hAnsi="Garamond"/>
        </w:rPr>
        <w:t>)</w:t>
      </w:r>
      <w:r w:rsidR="00AB0C08" w:rsidRPr="00662055">
        <w:rPr>
          <w:rFonts w:ascii="Garamond" w:hAnsi="Garamond"/>
        </w:rPr>
        <w:t xml:space="preserve">, </w:t>
      </w:r>
      <w:r w:rsidR="00657A2C">
        <w:rPr>
          <w:rFonts w:ascii="Garamond" w:hAnsi="Garamond"/>
        </w:rPr>
        <w:t xml:space="preserve">demonstrating </w:t>
      </w:r>
      <w:r w:rsidR="00AB0C08" w:rsidRPr="00662055">
        <w:rPr>
          <w:rFonts w:ascii="Garamond" w:hAnsi="Garamond"/>
        </w:rPr>
        <w:t>a</w:t>
      </w:r>
      <w:r w:rsidR="00A65496">
        <w:rPr>
          <w:rFonts w:ascii="Garamond" w:hAnsi="Garamond"/>
        </w:rPr>
        <w:t>n excellent</w:t>
      </w:r>
      <w:r w:rsidR="00AB0C08" w:rsidRPr="00662055">
        <w:rPr>
          <w:rFonts w:ascii="Garamond" w:hAnsi="Garamond"/>
        </w:rPr>
        <w:t xml:space="preserve"> level of discriminatory power. </w:t>
      </w:r>
      <w:r w:rsidR="00154012">
        <w:rPr>
          <w:rFonts w:ascii="Garamond" w:hAnsi="Garamond"/>
        </w:rPr>
        <w:t xml:space="preserve">This indicates that a person with clinically identified levels of worry is </w:t>
      </w:r>
      <w:r w:rsidR="00A65496">
        <w:rPr>
          <w:rFonts w:ascii="Garamond" w:hAnsi="Garamond"/>
        </w:rPr>
        <w:t>91%</w:t>
      </w:r>
      <w:r w:rsidR="00154012">
        <w:rPr>
          <w:rFonts w:ascii="Garamond" w:hAnsi="Garamond"/>
        </w:rPr>
        <w:t xml:space="preserve"> more likely to have a higher score on the </w:t>
      </w:r>
      <w:r w:rsidR="00B57FC7">
        <w:rPr>
          <w:rFonts w:ascii="Garamond" w:hAnsi="Garamond"/>
        </w:rPr>
        <w:t>DWQ</w:t>
      </w:r>
      <w:r w:rsidR="00154012">
        <w:rPr>
          <w:rFonts w:ascii="Garamond" w:hAnsi="Garamond"/>
        </w:rPr>
        <w:t xml:space="preserve"> than someone in the general population. </w:t>
      </w:r>
      <w:r w:rsidR="001963E4" w:rsidRPr="00662055">
        <w:rPr>
          <w:rFonts w:ascii="Garamond" w:hAnsi="Garamond"/>
        </w:rPr>
        <w:t>This analysis identified</w:t>
      </w:r>
      <w:r w:rsidR="00F41E7B" w:rsidRPr="00662055">
        <w:rPr>
          <w:rFonts w:ascii="Garamond" w:hAnsi="Garamond"/>
        </w:rPr>
        <w:t xml:space="preserve"> the closest threshold to the optimal cut-off point</w:t>
      </w:r>
      <w:r w:rsidR="001963E4" w:rsidRPr="00662055">
        <w:rPr>
          <w:rFonts w:ascii="Garamond" w:hAnsi="Garamond"/>
        </w:rPr>
        <w:t xml:space="preserve"> </w:t>
      </w:r>
      <w:r w:rsidR="00F41E7B" w:rsidRPr="00662055">
        <w:rPr>
          <w:rFonts w:ascii="Garamond" w:hAnsi="Garamond"/>
        </w:rPr>
        <w:t xml:space="preserve">was </w:t>
      </w:r>
      <w:r w:rsidR="000D76C7" w:rsidRPr="00662055">
        <w:rPr>
          <w:rFonts w:ascii="Garamond" w:hAnsi="Garamond"/>
        </w:rPr>
        <w:t>a score of 21 or above</w:t>
      </w:r>
      <w:r w:rsidR="00F41E7B" w:rsidRPr="00662055">
        <w:rPr>
          <w:rFonts w:ascii="Garamond" w:hAnsi="Garamond"/>
        </w:rPr>
        <w:t xml:space="preserve">, </w:t>
      </w:r>
      <w:r w:rsidR="000D76C7" w:rsidRPr="00662055">
        <w:rPr>
          <w:rFonts w:ascii="Garamond" w:hAnsi="Garamond"/>
        </w:rPr>
        <w:t>provid</w:t>
      </w:r>
      <w:r w:rsidR="00F41E7B" w:rsidRPr="00662055">
        <w:rPr>
          <w:rFonts w:ascii="Garamond" w:hAnsi="Garamond"/>
        </w:rPr>
        <w:t>ing</w:t>
      </w:r>
      <w:r w:rsidR="000D76C7" w:rsidRPr="00662055">
        <w:rPr>
          <w:rFonts w:ascii="Garamond" w:hAnsi="Garamond"/>
        </w:rPr>
        <w:t xml:space="preserve"> a sensitivity of 0.88 (95% CI</w:t>
      </w:r>
      <w:r w:rsidR="00927BBF">
        <w:rPr>
          <w:rFonts w:ascii="Garamond" w:hAnsi="Garamond"/>
        </w:rPr>
        <w:t>=</w:t>
      </w:r>
      <w:r w:rsidR="000D76C7" w:rsidRPr="00662055">
        <w:rPr>
          <w:rFonts w:ascii="Garamond" w:hAnsi="Garamond"/>
        </w:rPr>
        <w:t>0.8</w:t>
      </w:r>
      <w:r w:rsidR="002A684E">
        <w:rPr>
          <w:rFonts w:ascii="Garamond" w:hAnsi="Garamond"/>
        </w:rPr>
        <w:t>0</w:t>
      </w:r>
      <w:r w:rsidR="000D76C7" w:rsidRPr="00662055">
        <w:rPr>
          <w:rFonts w:ascii="Garamond" w:hAnsi="Garamond"/>
        </w:rPr>
        <w:t>-0.95) and specificity of 0.</w:t>
      </w:r>
      <w:r w:rsidR="00A65496">
        <w:rPr>
          <w:rFonts w:ascii="Garamond" w:hAnsi="Garamond"/>
        </w:rPr>
        <w:t>83</w:t>
      </w:r>
      <w:r w:rsidR="000D76C7" w:rsidRPr="00662055">
        <w:rPr>
          <w:rFonts w:ascii="Garamond" w:hAnsi="Garamond"/>
        </w:rPr>
        <w:t xml:space="preserve"> (</w:t>
      </w:r>
      <w:r w:rsidR="00F41E7B" w:rsidRPr="00662055">
        <w:rPr>
          <w:rFonts w:ascii="Garamond" w:hAnsi="Garamond"/>
        </w:rPr>
        <w:t>95% CI</w:t>
      </w:r>
      <w:r w:rsidR="00927BBF">
        <w:rPr>
          <w:rFonts w:ascii="Garamond" w:hAnsi="Garamond"/>
        </w:rPr>
        <w:t>=</w:t>
      </w:r>
      <w:r w:rsidR="000D76C7" w:rsidRPr="00662055">
        <w:rPr>
          <w:rFonts w:ascii="Garamond" w:hAnsi="Garamond"/>
        </w:rPr>
        <w:t>0.</w:t>
      </w:r>
      <w:r w:rsidR="00A65496">
        <w:rPr>
          <w:rFonts w:ascii="Garamond" w:hAnsi="Garamond"/>
        </w:rPr>
        <w:t>78-0.8</w:t>
      </w:r>
      <w:r w:rsidR="00E26068">
        <w:rPr>
          <w:rFonts w:ascii="Garamond" w:hAnsi="Garamond"/>
        </w:rPr>
        <w:t>7</w:t>
      </w:r>
      <w:r w:rsidR="000D76C7" w:rsidRPr="00662055">
        <w:rPr>
          <w:rFonts w:ascii="Garamond" w:hAnsi="Garamond"/>
        </w:rPr>
        <w:t>)</w:t>
      </w:r>
      <w:r w:rsidR="00927BBF">
        <w:rPr>
          <w:rFonts w:ascii="Garamond" w:hAnsi="Garamond"/>
        </w:rPr>
        <w:t>.</w:t>
      </w:r>
    </w:p>
    <w:p w14:paraId="4A1D4D99" w14:textId="733797E2" w:rsidR="00754ADE" w:rsidRDefault="00754ADE" w:rsidP="007C50A8">
      <w:pPr>
        <w:spacing w:line="360" w:lineRule="auto"/>
        <w:jc w:val="both"/>
        <w:rPr>
          <w:rFonts w:ascii="Garamond" w:hAnsi="Garamond"/>
        </w:rPr>
      </w:pPr>
      <w:proofErr w:type="gramStart"/>
      <w:r w:rsidRPr="00B6405A">
        <w:rPr>
          <w:rFonts w:ascii="Garamond" w:hAnsi="Garamond"/>
          <w:i/>
        </w:rPr>
        <w:t>Paranoia Worries Questionnaire (PWQ).</w:t>
      </w:r>
      <w:proofErr w:type="gramEnd"/>
      <w:r>
        <w:rPr>
          <w:rFonts w:ascii="Garamond" w:hAnsi="Garamond"/>
        </w:rPr>
        <w:t xml:space="preserve"> The PWQ</w:t>
      </w:r>
      <w:r w:rsidRPr="00662055">
        <w:rPr>
          <w:rFonts w:ascii="Garamond" w:hAnsi="Garamond"/>
        </w:rPr>
        <w:t xml:space="preserve"> </w:t>
      </w:r>
      <w:r w:rsidR="003F5885">
        <w:rPr>
          <w:rFonts w:ascii="Garamond" w:hAnsi="Garamond"/>
        </w:rPr>
        <w:t>had</w:t>
      </w:r>
      <w:r w:rsidRPr="00662055">
        <w:rPr>
          <w:rFonts w:ascii="Garamond" w:hAnsi="Garamond"/>
        </w:rPr>
        <w:t xml:space="preserve"> an excellent ability to discriminate non-clinical and clinical levels of </w:t>
      </w:r>
      <w:r w:rsidR="00226F86">
        <w:rPr>
          <w:rFonts w:ascii="Garamond" w:hAnsi="Garamond"/>
        </w:rPr>
        <w:t>paranoia</w:t>
      </w:r>
      <w:r w:rsidRPr="00662055">
        <w:rPr>
          <w:rFonts w:ascii="Garamond" w:hAnsi="Garamond"/>
        </w:rPr>
        <w:t xml:space="preserve"> worry with an AUC of 0.95 (95% CI</w:t>
      </w:r>
      <w:r w:rsidR="00657A2C">
        <w:rPr>
          <w:rFonts w:ascii="Garamond" w:hAnsi="Garamond"/>
        </w:rPr>
        <w:t>=</w:t>
      </w:r>
      <w:r w:rsidRPr="00662055">
        <w:rPr>
          <w:rFonts w:ascii="Garamond" w:hAnsi="Garamond"/>
        </w:rPr>
        <w:t xml:space="preserve">0.9-0.98). </w:t>
      </w:r>
      <w:r w:rsidR="00923E7B">
        <w:rPr>
          <w:rFonts w:ascii="Garamond" w:hAnsi="Garamond"/>
        </w:rPr>
        <w:t>This indicates</w:t>
      </w:r>
      <w:r>
        <w:rPr>
          <w:rFonts w:ascii="Garamond" w:hAnsi="Garamond"/>
        </w:rPr>
        <w:t xml:space="preserve"> a person with </w:t>
      </w:r>
      <w:r w:rsidR="00657A2C">
        <w:rPr>
          <w:rFonts w:ascii="Garamond" w:hAnsi="Garamond"/>
        </w:rPr>
        <w:t xml:space="preserve">a </w:t>
      </w:r>
      <w:r>
        <w:rPr>
          <w:rFonts w:ascii="Garamond" w:hAnsi="Garamond"/>
        </w:rPr>
        <w:t xml:space="preserve">clinically diagnosed persecutory delusion is 95% more likely to have a higher </w:t>
      </w:r>
      <w:r w:rsidR="00923E7B">
        <w:rPr>
          <w:rFonts w:ascii="Garamond" w:hAnsi="Garamond"/>
        </w:rPr>
        <w:t xml:space="preserve">PWQ </w:t>
      </w:r>
      <w:r>
        <w:rPr>
          <w:rFonts w:ascii="Garamond" w:hAnsi="Garamond"/>
        </w:rPr>
        <w:t xml:space="preserve">score than someone in the general population. </w:t>
      </w:r>
      <w:r w:rsidRPr="00662055">
        <w:rPr>
          <w:rFonts w:ascii="Garamond" w:hAnsi="Garamond"/>
        </w:rPr>
        <w:t>Th</w:t>
      </w:r>
      <w:r>
        <w:rPr>
          <w:rFonts w:ascii="Garamond" w:hAnsi="Garamond"/>
        </w:rPr>
        <w:t>e ROC analysis</w:t>
      </w:r>
      <w:r w:rsidRPr="00662055">
        <w:rPr>
          <w:rFonts w:ascii="Garamond" w:hAnsi="Garamond"/>
        </w:rPr>
        <w:t xml:space="preserve"> identified the closest threshold to the optimal cut-off point was a score of </w:t>
      </w:r>
      <w:r>
        <w:rPr>
          <w:rFonts w:ascii="Garamond" w:hAnsi="Garamond"/>
        </w:rPr>
        <w:t>5</w:t>
      </w:r>
      <w:r w:rsidRPr="00662055">
        <w:rPr>
          <w:rFonts w:ascii="Garamond" w:hAnsi="Garamond"/>
        </w:rPr>
        <w:t xml:space="preserve"> or above, provid</w:t>
      </w:r>
      <w:r>
        <w:rPr>
          <w:rFonts w:ascii="Garamond" w:hAnsi="Garamond"/>
        </w:rPr>
        <w:t>ing</w:t>
      </w:r>
      <w:r w:rsidRPr="00662055">
        <w:rPr>
          <w:rFonts w:ascii="Garamond" w:hAnsi="Garamond"/>
        </w:rPr>
        <w:t xml:space="preserve"> a sensitivity of 0.9</w:t>
      </w:r>
      <w:r>
        <w:rPr>
          <w:rFonts w:ascii="Garamond" w:hAnsi="Garamond"/>
        </w:rPr>
        <w:t>1</w:t>
      </w:r>
      <w:r w:rsidRPr="00662055">
        <w:rPr>
          <w:rFonts w:ascii="Garamond" w:hAnsi="Garamond"/>
        </w:rPr>
        <w:t xml:space="preserve"> (95% CI=0.8</w:t>
      </w:r>
      <w:r>
        <w:rPr>
          <w:rFonts w:ascii="Garamond" w:hAnsi="Garamond"/>
        </w:rPr>
        <w:t>4-0.9</w:t>
      </w:r>
      <w:r w:rsidR="00802533">
        <w:rPr>
          <w:rFonts w:ascii="Garamond" w:hAnsi="Garamond"/>
        </w:rPr>
        <w:t>6</w:t>
      </w:r>
      <w:r w:rsidRPr="00662055">
        <w:rPr>
          <w:rFonts w:ascii="Garamond" w:hAnsi="Garamond"/>
        </w:rPr>
        <w:t>) and specificity of 0.8</w:t>
      </w:r>
      <w:r w:rsidR="00802533">
        <w:rPr>
          <w:rFonts w:ascii="Garamond" w:hAnsi="Garamond"/>
        </w:rPr>
        <w:t>9</w:t>
      </w:r>
      <w:r w:rsidRPr="00662055">
        <w:rPr>
          <w:rFonts w:ascii="Garamond" w:hAnsi="Garamond"/>
        </w:rPr>
        <w:t xml:space="preserve"> (95% CI</w:t>
      </w:r>
      <w:r w:rsidR="00657A2C">
        <w:rPr>
          <w:rFonts w:ascii="Garamond" w:hAnsi="Garamond"/>
        </w:rPr>
        <w:t>=</w:t>
      </w:r>
      <w:r w:rsidRPr="00662055">
        <w:rPr>
          <w:rFonts w:ascii="Garamond" w:hAnsi="Garamond"/>
        </w:rPr>
        <w:t>0.8</w:t>
      </w:r>
      <w:r w:rsidR="00802533">
        <w:rPr>
          <w:rFonts w:ascii="Garamond" w:hAnsi="Garamond"/>
        </w:rPr>
        <w:t>5</w:t>
      </w:r>
      <w:r w:rsidRPr="00662055">
        <w:rPr>
          <w:rFonts w:ascii="Garamond" w:hAnsi="Garamond"/>
        </w:rPr>
        <w:t xml:space="preserve">-0.92). </w:t>
      </w:r>
      <w:r>
        <w:rPr>
          <w:rFonts w:ascii="Garamond" w:hAnsi="Garamond"/>
        </w:rPr>
        <w:t xml:space="preserve">This same threshold was identified when the analysis was repeated with the </w:t>
      </w:r>
      <w:r w:rsidR="003F5885">
        <w:rPr>
          <w:rFonts w:ascii="Garamond" w:hAnsi="Garamond"/>
        </w:rPr>
        <w:t xml:space="preserve">SAD </w:t>
      </w:r>
      <w:r>
        <w:rPr>
          <w:rFonts w:ascii="Garamond" w:hAnsi="Garamond"/>
        </w:rPr>
        <w:t>group as controls (AUC=0.96, 95% CI=0.</w:t>
      </w:r>
      <w:r w:rsidR="00802533">
        <w:rPr>
          <w:rFonts w:ascii="Garamond" w:hAnsi="Garamond"/>
        </w:rPr>
        <w:t>93</w:t>
      </w:r>
      <w:r>
        <w:rPr>
          <w:rFonts w:ascii="Garamond" w:hAnsi="Garamond"/>
        </w:rPr>
        <w:t>-0.99), where a score of 5 provided a sensitivity of 0.91 (95% CI=0.8</w:t>
      </w:r>
      <w:r w:rsidR="00802533">
        <w:rPr>
          <w:rFonts w:ascii="Garamond" w:hAnsi="Garamond"/>
        </w:rPr>
        <w:t>4</w:t>
      </w:r>
      <w:r>
        <w:rPr>
          <w:rFonts w:ascii="Garamond" w:hAnsi="Garamond"/>
        </w:rPr>
        <w:t>-0.97) and a specificity of 0.91 (</w:t>
      </w:r>
      <w:r w:rsidR="00657A2C">
        <w:rPr>
          <w:rFonts w:ascii="Garamond" w:hAnsi="Garamond"/>
        </w:rPr>
        <w:t xml:space="preserve">95% </w:t>
      </w:r>
      <w:r>
        <w:rPr>
          <w:rFonts w:ascii="Garamond" w:hAnsi="Garamond"/>
        </w:rPr>
        <w:t xml:space="preserve">CI=0.84-0.96). This demonstrates that even within clinical populations, a PWQ score of 5 or above is highly indicative of severe </w:t>
      </w:r>
      <w:r w:rsidR="007D6F45">
        <w:rPr>
          <w:rFonts w:ascii="Garamond" w:hAnsi="Garamond"/>
        </w:rPr>
        <w:t>paranoia</w:t>
      </w:r>
      <w:r>
        <w:rPr>
          <w:rFonts w:ascii="Garamond" w:hAnsi="Garamond"/>
        </w:rPr>
        <w:t xml:space="preserve"> worry in the context of persecutory delusions.</w:t>
      </w:r>
    </w:p>
    <w:p w14:paraId="04FBC766" w14:textId="77777777" w:rsidR="00754ADE" w:rsidRDefault="00754ADE" w:rsidP="007C50A8">
      <w:pPr>
        <w:spacing w:after="0" w:line="360" w:lineRule="auto"/>
        <w:jc w:val="both"/>
        <w:rPr>
          <w:rFonts w:ascii="Garamond" w:hAnsi="Garamond"/>
        </w:rPr>
      </w:pPr>
    </w:p>
    <w:p w14:paraId="0C75F509" w14:textId="5C8CF26E" w:rsidR="00FC567F" w:rsidRDefault="00FC567F" w:rsidP="007C50A8">
      <w:pPr>
        <w:spacing w:line="360" w:lineRule="auto"/>
        <w:rPr>
          <w:rFonts w:ascii="Garamond" w:hAnsi="Garamond"/>
          <w:b/>
        </w:rPr>
      </w:pPr>
    </w:p>
    <w:p w14:paraId="3A230BB3" w14:textId="77777777" w:rsidR="00B6405A" w:rsidRDefault="00B6405A">
      <w:pPr>
        <w:rPr>
          <w:rFonts w:ascii="Garamond" w:hAnsi="Garamond"/>
          <w:b/>
        </w:rPr>
      </w:pPr>
      <w:r>
        <w:rPr>
          <w:rFonts w:ascii="Garamond" w:hAnsi="Garamond"/>
          <w:b/>
        </w:rPr>
        <w:br w:type="page"/>
      </w:r>
    </w:p>
    <w:p w14:paraId="013D2460" w14:textId="17DDFC41" w:rsidR="008E046D" w:rsidRDefault="004A58F8" w:rsidP="007C50A8">
      <w:pPr>
        <w:spacing w:line="360" w:lineRule="auto"/>
        <w:rPr>
          <w:rFonts w:ascii="Garamond" w:hAnsi="Garamond"/>
          <w:b/>
        </w:rPr>
      </w:pPr>
      <w:r>
        <w:rPr>
          <w:rFonts w:ascii="Garamond" w:hAnsi="Garamond"/>
          <w:b/>
        </w:rPr>
        <w:lastRenderedPageBreak/>
        <w:t>D</w:t>
      </w:r>
      <w:r w:rsidR="008E046D" w:rsidRPr="00AB19D0">
        <w:rPr>
          <w:rFonts w:ascii="Garamond" w:hAnsi="Garamond"/>
          <w:b/>
        </w:rPr>
        <w:t>ISCUSSION</w:t>
      </w:r>
    </w:p>
    <w:p w14:paraId="64508B5A" w14:textId="77777777" w:rsidR="00427859" w:rsidRPr="00AB19D0" w:rsidRDefault="00427859" w:rsidP="007C50A8">
      <w:pPr>
        <w:spacing w:line="360" w:lineRule="auto"/>
        <w:rPr>
          <w:rFonts w:ascii="Garamond" w:hAnsi="Garamond"/>
          <w:b/>
        </w:rPr>
      </w:pPr>
    </w:p>
    <w:p w14:paraId="13881682" w14:textId="54C80E63" w:rsidR="00AB19D0" w:rsidRDefault="00D33B11" w:rsidP="007C50A8">
      <w:pPr>
        <w:spacing w:line="360" w:lineRule="auto"/>
        <w:jc w:val="both"/>
        <w:rPr>
          <w:rFonts w:ascii="Garamond" w:hAnsi="Garamond"/>
        </w:rPr>
      </w:pPr>
      <w:r w:rsidRPr="00AB19D0">
        <w:rPr>
          <w:rFonts w:ascii="Garamond" w:hAnsi="Garamond"/>
        </w:rPr>
        <w:t xml:space="preserve">It is increasingly recognised that mental health conditions arise from multiple interacting factors that cross diagnostic boundaries. Worry is a plausible contributory factor to many mental health conditions, as shown in </w:t>
      </w:r>
      <w:r w:rsidR="000645B9">
        <w:rPr>
          <w:rFonts w:ascii="Garamond" w:hAnsi="Garamond"/>
        </w:rPr>
        <w:t xml:space="preserve">a </w:t>
      </w:r>
      <w:r w:rsidR="004F5DE0" w:rsidRPr="00AB19D0">
        <w:rPr>
          <w:rFonts w:ascii="Garamond" w:hAnsi="Garamond"/>
        </w:rPr>
        <w:t xml:space="preserve">recent analysis of epidemiological survey data using a dynamic Bayesian network approach </w:t>
      </w:r>
      <w:r w:rsidRPr="00AB19D0">
        <w:rPr>
          <w:rFonts w:ascii="Garamond" w:hAnsi="Garamond"/>
        </w:rPr>
        <w:t>(</w:t>
      </w:r>
      <w:proofErr w:type="spellStart"/>
      <w:r w:rsidR="004F5DE0" w:rsidRPr="00AB19D0">
        <w:rPr>
          <w:rFonts w:ascii="Garamond" w:hAnsi="Garamond"/>
        </w:rPr>
        <w:t>Kuipers</w:t>
      </w:r>
      <w:proofErr w:type="spellEnd"/>
      <w:r w:rsidR="004F5DE0" w:rsidRPr="00AB19D0">
        <w:rPr>
          <w:rFonts w:ascii="Garamond" w:hAnsi="Garamond"/>
        </w:rPr>
        <w:t xml:space="preserve"> et al, 2018</w:t>
      </w:r>
      <w:r w:rsidRPr="00AB19D0">
        <w:rPr>
          <w:rFonts w:ascii="Garamond" w:hAnsi="Garamond"/>
        </w:rPr>
        <w:t xml:space="preserve">). </w:t>
      </w:r>
      <w:r w:rsidR="004F5DE0" w:rsidRPr="00AB19D0">
        <w:rPr>
          <w:rFonts w:ascii="Garamond" w:hAnsi="Garamond"/>
        </w:rPr>
        <w:t xml:space="preserve">Our clinical and research experience is that the assessment of worry can be improved. Therefore we developed a new scale of </w:t>
      </w:r>
      <w:r w:rsidR="0071268C">
        <w:rPr>
          <w:rFonts w:ascii="Garamond" w:hAnsi="Garamond"/>
        </w:rPr>
        <w:t xml:space="preserve">general </w:t>
      </w:r>
      <w:r w:rsidR="004F5DE0" w:rsidRPr="00AB19D0">
        <w:rPr>
          <w:rFonts w:ascii="Garamond" w:hAnsi="Garamond"/>
        </w:rPr>
        <w:t xml:space="preserve">problematic worry, combining classical test theory with latent trait models, that has a clear time period, is </w:t>
      </w:r>
      <w:r w:rsidR="00427859">
        <w:rPr>
          <w:rFonts w:ascii="Garamond" w:hAnsi="Garamond"/>
        </w:rPr>
        <w:t>straightforward</w:t>
      </w:r>
      <w:r w:rsidR="004F5DE0" w:rsidRPr="00AB19D0">
        <w:rPr>
          <w:rFonts w:ascii="Garamond" w:hAnsi="Garamond"/>
        </w:rPr>
        <w:t xml:space="preserve"> to complete, and </w:t>
      </w:r>
      <w:r w:rsidR="00923E7B">
        <w:rPr>
          <w:rFonts w:ascii="Garamond" w:hAnsi="Garamond"/>
        </w:rPr>
        <w:t>includes</w:t>
      </w:r>
      <w:r w:rsidR="004F5DE0" w:rsidRPr="00AB19D0">
        <w:rPr>
          <w:rFonts w:ascii="Garamond" w:hAnsi="Garamond"/>
        </w:rPr>
        <w:t xml:space="preserve"> the impact of the thinking style.</w:t>
      </w:r>
      <w:r w:rsidR="00734CAE">
        <w:rPr>
          <w:rFonts w:ascii="Garamond" w:hAnsi="Garamond"/>
        </w:rPr>
        <w:t xml:space="preserve"> </w:t>
      </w:r>
      <w:r w:rsidR="00AB19D0">
        <w:rPr>
          <w:rFonts w:ascii="Garamond" w:hAnsi="Garamond"/>
        </w:rPr>
        <w:t xml:space="preserve">The IRT </w:t>
      </w:r>
      <w:r w:rsidR="00734CAE">
        <w:rPr>
          <w:rFonts w:ascii="Garamond" w:hAnsi="Garamond"/>
        </w:rPr>
        <w:t>analysis shows that the Dunn Worry Questionnaire</w:t>
      </w:r>
      <w:r w:rsidR="00B622CB">
        <w:rPr>
          <w:rFonts w:ascii="Garamond" w:hAnsi="Garamond"/>
        </w:rPr>
        <w:t xml:space="preserve"> </w:t>
      </w:r>
      <w:r w:rsidR="0082111E">
        <w:rPr>
          <w:rFonts w:ascii="Garamond" w:hAnsi="Garamond"/>
        </w:rPr>
        <w:t>reliab</w:t>
      </w:r>
      <w:r w:rsidR="00B622CB">
        <w:rPr>
          <w:rFonts w:ascii="Garamond" w:hAnsi="Garamond"/>
        </w:rPr>
        <w:t>ly</w:t>
      </w:r>
      <w:r w:rsidR="0082111E">
        <w:rPr>
          <w:rFonts w:ascii="Garamond" w:hAnsi="Garamond"/>
        </w:rPr>
        <w:t xml:space="preserve"> </w:t>
      </w:r>
      <w:r w:rsidR="00B622CB">
        <w:rPr>
          <w:rFonts w:ascii="Garamond" w:hAnsi="Garamond"/>
        </w:rPr>
        <w:t>assesses</w:t>
      </w:r>
      <w:r w:rsidR="0082111E">
        <w:rPr>
          <w:rFonts w:ascii="Garamond" w:hAnsi="Garamond"/>
        </w:rPr>
        <w:t xml:space="preserve"> t</w:t>
      </w:r>
      <w:r w:rsidR="00AB19D0">
        <w:rPr>
          <w:rFonts w:ascii="Garamond" w:hAnsi="Garamond"/>
        </w:rPr>
        <w:t>he</w:t>
      </w:r>
      <w:r w:rsidR="00734CAE">
        <w:rPr>
          <w:rFonts w:ascii="Garamond" w:hAnsi="Garamond"/>
        </w:rPr>
        <w:t xml:space="preserve"> range of</w:t>
      </w:r>
      <w:r w:rsidR="00923E7B">
        <w:rPr>
          <w:rFonts w:ascii="Garamond" w:hAnsi="Garamond"/>
        </w:rPr>
        <w:t xml:space="preserve"> worry severity </w:t>
      </w:r>
      <w:r w:rsidR="00AB19D0">
        <w:rPr>
          <w:rFonts w:ascii="Garamond" w:hAnsi="Garamond"/>
        </w:rPr>
        <w:t>across the non-clinical and clinical population</w:t>
      </w:r>
      <w:r w:rsidR="00427859">
        <w:rPr>
          <w:rFonts w:ascii="Garamond" w:hAnsi="Garamond"/>
        </w:rPr>
        <w:t xml:space="preserve"> and can discriminate</w:t>
      </w:r>
      <w:r w:rsidR="00734CAE">
        <w:rPr>
          <w:rFonts w:ascii="Garamond" w:hAnsi="Garamond"/>
        </w:rPr>
        <w:t xml:space="preserve"> between</w:t>
      </w:r>
      <w:r w:rsidR="00427859">
        <w:rPr>
          <w:rFonts w:ascii="Garamond" w:hAnsi="Garamond"/>
        </w:rPr>
        <w:t xml:space="preserve"> different levels of </w:t>
      </w:r>
      <w:r w:rsidR="00734CAE">
        <w:rPr>
          <w:rFonts w:ascii="Garamond" w:hAnsi="Garamond"/>
        </w:rPr>
        <w:t xml:space="preserve">this spectrum. </w:t>
      </w:r>
      <w:r w:rsidR="00427859">
        <w:rPr>
          <w:rFonts w:ascii="Garamond" w:hAnsi="Garamond"/>
        </w:rPr>
        <w:t xml:space="preserve">Internal reliability and test-retest reliability were </w:t>
      </w:r>
      <w:r w:rsidR="00734CAE">
        <w:rPr>
          <w:rFonts w:ascii="Garamond" w:hAnsi="Garamond"/>
        </w:rPr>
        <w:t>extremely</w:t>
      </w:r>
      <w:r w:rsidR="00427859">
        <w:rPr>
          <w:rFonts w:ascii="Garamond" w:hAnsi="Garamond"/>
        </w:rPr>
        <w:t xml:space="preserve"> high. </w:t>
      </w:r>
      <w:r w:rsidR="000645B9">
        <w:rPr>
          <w:rFonts w:ascii="Garamond" w:hAnsi="Garamond"/>
        </w:rPr>
        <w:t>Sensitivity to change was established and c</w:t>
      </w:r>
      <w:r w:rsidR="00734CAE">
        <w:rPr>
          <w:rFonts w:ascii="Garamond" w:hAnsi="Garamond"/>
        </w:rPr>
        <w:t xml:space="preserve">onvergent validity was </w:t>
      </w:r>
      <w:r w:rsidR="000645B9">
        <w:rPr>
          <w:rFonts w:ascii="Garamond" w:hAnsi="Garamond"/>
        </w:rPr>
        <w:t xml:space="preserve">shown </w:t>
      </w:r>
      <w:r w:rsidR="00734CAE">
        <w:rPr>
          <w:rFonts w:ascii="Garamond" w:hAnsi="Garamond"/>
        </w:rPr>
        <w:t xml:space="preserve">with </w:t>
      </w:r>
      <w:r w:rsidR="00427859">
        <w:rPr>
          <w:rFonts w:ascii="Garamond" w:hAnsi="Garamond"/>
        </w:rPr>
        <w:t xml:space="preserve">existing </w:t>
      </w:r>
      <w:r w:rsidR="00734CAE">
        <w:rPr>
          <w:rFonts w:ascii="Garamond" w:hAnsi="Garamond"/>
        </w:rPr>
        <w:t>assessments</w:t>
      </w:r>
      <w:r w:rsidR="00427859">
        <w:rPr>
          <w:rFonts w:ascii="Garamond" w:hAnsi="Garamond"/>
        </w:rPr>
        <w:t xml:space="preserve"> of worry, perseverative negative thinking, and generalised anxiety disorders.</w:t>
      </w:r>
      <w:r w:rsidR="00FD55B2">
        <w:rPr>
          <w:rFonts w:ascii="Garamond" w:hAnsi="Garamond"/>
        </w:rPr>
        <w:t xml:space="preserve"> </w:t>
      </w:r>
      <w:r w:rsidR="000645B9">
        <w:rPr>
          <w:rFonts w:ascii="Garamond" w:hAnsi="Garamond"/>
        </w:rPr>
        <w:t xml:space="preserve">As would be expected, individuals </w:t>
      </w:r>
      <w:r w:rsidR="003F5885">
        <w:rPr>
          <w:rFonts w:ascii="Garamond" w:hAnsi="Garamond"/>
        </w:rPr>
        <w:t xml:space="preserve">from the general population </w:t>
      </w:r>
      <w:r w:rsidR="000645B9">
        <w:rPr>
          <w:rFonts w:ascii="Garamond" w:hAnsi="Garamond"/>
        </w:rPr>
        <w:t xml:space="preserve">meeting cut-offs for generalised anxiety disorder and patients with persecutory delusions scored more highly on the DWQ than patients with social anxiety disorder, who had higher scores than non-clinical controls. </w:t>
      </w:r>
      <w:r w:rsidR="00670792">
        <w:rPr>
          <w:rFonts w:ascii="Garamond" w:hAnsi="Garamond"/>
        </w:rPr>
        <w:t>A psychometrically strong, comprehensible measure of problematic worry has been produced.</w:t>
      </w:r>
    </w:p>
    <w:p w14:paraId="60255A01" w14:textId="77777777" w:rsidR="00427859" w:rsidRPr="00AB19D0" w:rsidRDefault="00427859" w:rsidP="007C50A8">
      <w:pPr>
        <w:spacing w:line="360" w:lineRule="auto"/>
        <w:jc w:val="both"/>
        <w:rPr>
          <w:rFonts w:ascii="Garamond" w:hAnsi="Garamond"/>
        </w:rPr>
      </w:pPr>
    </w:p>
    <w:p w14:paraId="795CD3EA" w14:textId="36CAB5DC" w:rsidR="004C3C67" w:rsidRDefault="004C3C67" w:rsidP="007C50A8">
      <w:pPr>
        <w:spacing w:line="360" w:lineRule="auto"/>
        <w:jc w:val="both"/>
        <w:rPr>
          <w:rFonts w:ascii="Garamond" w:hAnsi="Garamond"/>
        </w:rPr>
      </w:pPr>
      <w:r>
        <w:rPr>
          <w:rFonts w:ascii="Garamond" w:hAnsi="Garamond"/>
        </w:rPr>
        <w:t xml:space="preserve">In a clear illustration of the trans-diagnostic importance of worry, we have shown in the Worry Intervention Trial that treating worry in patients with psychosis leads to a reduction in persecutory delusions (Freeman et al, 2015). The best treatment approaches regularly monitor the key outcome. We therefore also developed a brief measure of problematic worry focussed on paranoid content, the Paranoia Worries Questionnaire. </w:t>
      </w:r>
      <w:r w:rsidR="00790E7E">
        <w:rPr>
          <w:rFonts w:ascii="Garamond" w:hAnsi="Garamond"/>
        </w:rPr>
        <w:t>In contrast to the DWQ</w:t>
      </w:r>
      <w:r w:rsidR="009E7787">
        <w:rPr>
          <w:rFonts w:ascii="Garamond" w:hAnsi="Garamond"/>
        </w:rPr>
        <w:t>,</w:t>
      </w:r>
      <w:r w:rsidR="00790E7E">
        <w:rPr>
          <w:rFonts w:ascii="Garamond" w:hAnsi="Garamond"/>
        </w:rPr>
        <w:t xml:space="preserve"> reliable across non-clinical and clinical levels of worry, t</w:t>
      </w:r>
      <w:r>
        <w:rPr>
          <w:rFonts w:ascii="Garamond" w:hAnsi="Garamond"/>
        </w:rPr>
        <w:t xml:space="preserve">he </w:t>
      </w:r>
      <w:r w:rsidR="00790E7E">
        <w:rPr>
          <w:rFonts w:ascii="Garamond" w:hAnsi="Garamond"/>
        </w:rPr>
        <w:t>PWQ</w:t>
      </w:r>
      <w:r w:rsidR="00C44652">
        <w:rPr>
          <w:rFonts w:ascii="Garamond" w:hAnsi="Garamond"/>
        </w:rPr>
        <w:t xml:space="preserve"> is most reliable for those at the clinical end of the spectrum. The items are </w:t>
      </w:r>
      <w:r w:rsidR="00AC5EBA">
        <w:rPr>
          <w:rFonts w:ascii="Garamond" w:hAnsi="Garamond"/>
        </w:rPr>
        <w:t xml:space="preserve">primarily </w:t>
      </w:r>
      <w:r w:rsidRPr="004C3C67">
        <w:rPr>
          <w:rFonts w:ascii="Garamond" w:hAnsi="Garamond"/>
        </w:rPr>
        <w:t>discriminative of severe levels of paranoia worry</w:t>
      </w:r>
      <w:r>
        <w:rPr>
          <w:rFonts w:ascii="Garamond" w:hAnsi="Garamond"/>
        </w:rPr>
        <w:t xml:space="preserve">, which makes it ideal for the intended use </w:t>
      </w:r>
      <w:r w:rsidR="00C90B07">
        <w:rPr>
          <w:rFonts w:ascii="Garamond" w:hAnsi="Garamond"/>
        </w:rPr>
        <w:t xml:space="preserve">in treatment </w:t>
      </w:r>
      <w:r>
        <w:rPr>
          <w:rFonts w:ascii="Garamond" w:hAnsi="Garamond"/>
        </w:rPr>
        <w:t xml:space="preserve">with patients with psychosis. </w:t>
      </w:r>
      <w:r w:rsidR="007D6F45">
        <w:rPr>
          <w:rFonts w:ascii="Garamond" w:hAnsi="Garamond"/>
        </w:rPr>
        <w:t xml:space="preserve">To </w:t>
      </w:r>
      <w:r w:rsidR="00AC5EBA">
        <w:rPr>
          <w:rFonts w:ascii="Garamond" w:hAnsi="Garamond"/>
        </w:rPr>
        <w:t>s</w:t>
      </w:r>
      <w:r>
        <w:rPr>
          <w:rFonts w:ascii="Garamond" w:hAnsi="Garamond"/>
        </w:rPr>
        <w:t xml:space="preserve">core on the measure </w:t>
      </w:r>
      <w:r w:rsidR="007D6F45">
        <w:rPr>
          <w:rFonts w:ascii="Garamond" w:hAnsi="Garamond"/>
        </w:rPr>
        <w:t>requires bot</w:t>
      </w:r>
      <w:r>
        <w:rPr>
          <w:rFonts w:ascii="Garamond" w:hAnsi="Garamond"/>
        </w:rPr>
        <w:t>h paranoid fears and worry.</w:t>
      </w:r>
      <w:r w:rsidRPr="004C3C67">
        <w:t xml:space="preserve"> </w:t>
      </w:r>
      <w:r>
        <w:rPr>
          <w:rFonts w:ascii="Garamond" w:hAnsi="Garamond"/>
        </w:rPr>
        <w:t>The scale has extremely high</w:t>
      </w:r>
      <w:r w:rsidRPr="004C3C67">
        <w:rPr>
          <w:rFonts w:ascii="Garamond" w:hAnsi="Garamond"/>
        </w:rPr>
        <w:t xml:space="preserve"> internal reliability</w:t>
      </w:r>
      <w:r w:rsidR="0082111E">
        <w:rPr>
          <w:rFonts w:ascii="Garamond" w:hAnsi="Garamond"/>
        </w:rPr>
        <w:t xml:space="preserve"> </w:t>
      </w:r>
      <w:r w:rsidR="00C44652">
        <w:rPr>
          <w:rFonts w:ascii="Garamond" w:hAnsi="Garamond"/>
        </w:rPr>
        <w:t>at severe levels of paranoia worry</w:t>
      </w:r>
      <w:r w:rsidR="009E7787">
        <w:rPr>
          <w:rFonts w:ascii="Garamond" w:hAnsi="Garamond"/>
        </w:rPr>
        <w:t xml:space="preserve"> and</w:t>
      </w:r>
      <w:r w:rsidR="00790E7E">
        <w:rPr>
          <w:rFonts w:ascii="Garamond" w:hAnsi="Garamond"/>
        </w:rPr>
        <w:t xml:space="preserve"> excellent </w:t>
      </w:r>
      <w:r w:rsidRPr="004C3C67">
        <w:rPr>
          <w:rFonts w:ascii="Garamond" w:hAnsi="Garamond"/>
        </w:rPr>
        <w:t>test-retest reliability</w:t>
      </w:r>
      <w:proofErr w:type="gramStart"/>
      <w:r w:rsidR="00D15143">
        <w:rPr>
          <w:rFonts w:ascii="Garamond" w:hAnsi="Garamond"/>
        </w:rPr>
        <w:t>.</w:t>
      </w:r>
      <w:r w:rsidRPr="004C3C67">
        <w:rPr>
          <w:rFonts w:ascii="Garamond" w:hAnsi="Garamond"/>
        </w:rPr>
        <w:t>.</w:t>
      </w:r>
      <w:proofErr w:type="gramEnd"/>
      <w:r w:rsidR="000B1FEA">
        <w:rPr>
          <w:rFonts w:ascii="Garamond" w:hAnsi="Garamond"/>
        </w:rPr>
        <w:t xml:space="preserve"> It is associated with scores on assessments for paranoia in particular but also negative repetitive thinking. </w:t>
      </w:r>
      <w:r w:rsidR="00C120A7">
        <w:rPr>
          <w:rFonts w:ascii="Garamond" w:hAnsi="Garamond"/>
        </w:rPr>
        <w:t>In the context of the treatment trial, the PWQ showed sensitivity to clinical change.</w:t>
      </w:r>
    </w:p>
    <w:p w14:paraId="5CED7F09" w14:textId="77777777" w:rsidR="004C3C67" w:rsidRDefault="004C3C67" w:rsidP="007C50A8">
      <w:pPr>
        <w:spacing w:line="360" w:lineRule="auto"/>
        <w:jc w:val="both"/>
        <w:rPr>
          <w:rFonts w:ascii="Garamond" w:hAnsi="Garamond"/>
        </w:rPr>
      </w:pPr>
    </w:p>
    <w:p w14:paraId="407C7EB6" w14:textId="7EA20E9F" w:rsidR="000F24D4" w:rsidRPr="005E77A0" w:rsidRDefault="00333AE2" w:rsidP="007C50A8">
      <w:pPr>
        <w:spacing w:line="360" w:lineRule="auto"/>
        <w:jc w:val="both"/>
        <w:rPr>
          <w:rFonts w:ascii="Garamond" w:hAnsi="Garamond"/>
        </w:rPr>
      </w:pPr>
      <w:r>
        <w:rPr>
          <w:rFonts w:ascii="Garamond" w:hAnsi="Garamond"/>
        </w:rPr>
        <w:t xml:space="preserve">There are limitations in the development of the questionnaires. </w:t>
      </w:r>
      <w:r w:rsidR="000F24D4">
        <w:rPr>
          <w:rFonts w:ascii="Garamond" w:hAnsi="Garamond"/>
        </w:rPr>
        <w:t>The questionnaire</w:t>
      </w:r>
      <w:r w:rsidR="000B1FEA">
        <w:rPr>
          <w:rFonts w:ascii="Garamond" w:hAnsi="Garamond"/>
        </w:rPr>
        <w:t>s</w:t>
      </w:r>
      <w:r w:rsidR="000F24D4">
        <w:rPr>
          <w:rFonts w:ascii="Garamond" w:hAnsi="Garamond"/>
        </w:rPr>
        <w:t xml:space="preserve"> w</w:t>
      </w:r>
      <w:r w:rsidR="000B1FEA">
        <w:rPr>
          <w:rFonts w:ascii="Garamond" w:hAnsi="Garamond"/>
        </w:rPr>
        <w:t>ere</w:t>
      </w:r>
      <w:r w:rsidR="000F24D4">
        <w:rPr>
          <w:rFonts w:ascii="Garamond" w:hAnsi="Garamond"/>
        </w:rPr>
        <w:t xml:space="preserve"> not tested with patients with generalised anxiety disorder, which is considered the </w:t>
      </w:r>
      <w:r>
        <w:rPr>
          <w:rFonts w:ascii="Garamond" w:hAnsi="Garamond"/>
        </w:rPr>
        <w:t xml:space="preserve">archetypal </w:t>
      </w:r>
      <w:r w:rsidR="000F24D4">
        <w:rPr>
          <w:rFonts w:ascii="Garamond" w:hAnsi="Garamond"/>
        </w:rPr>
        <w:t>disorder of worry. It would be valuable for the questionnaire</w:t>
      </w:r>
      <w:r w:rsidR="000B1FEA">
        <w:rPr>
          <w:rFonts w:ascii="Garamond" w:hAnsi="Garamond"/>
        </w:rPr>
        <w:t>s</w:t>
      </w:r>
      <w:r w:rsidR="000F24D4">
        <w:rPr>
          <w:rFonts w:ascii="Garamond" w:hAnsi="Garamond"/>
        </w:rPr>
        <w:t xml:space="preserve"> to be tested with this patient group. However, individuals with persecutory delusions</w:t>
      </w:r>
      <w:r w:rsidR="00C120A7">
        <w:rPr>
          <w:rFonts w:ascii="Garamond" w:hAnsi="Garamond"/>
        </w:rPr>
        <w:t>, who were tested in this study,</w:t>
      </w:r>
      <w:r w:rsidR="000F24D4">
        <w:rPr>
          <w:rFonts w:ascii="Garamond" w:hAnsi="Garamond"/>
        </w:rPr>
        <w:t xml:space="preserve"> </w:t>
      </w:r>
      <w:r w:rsidR="00B6405A">
        <w:rPr>
          <w:rFonts w:ascii="Garamond" w:hAnsi="Garamond"/>
        </w:rPr>
        <w:t xml:space="preserve">typically </w:t>
      </w:r>
      <w:r w:rsidR="000F24D4">
        <w:rPr>
          <w:rFonts w:ascii="Garamond" w:hAnsi="Garamond"/>
        </w:rPr>
        <w:t>have levels of worry comparable to patients with GAD</w:t>
      </w:r>
      <w:r w:rsidR="00314B2A">
        <w:rPr>
          <w:rFonts w:ascii="Garamond" w:hAnsi="Garamond"/>
        </w:rPr>
        <w:t xml:space="preserve"> (Freeman &amp; </w:t>
      </w:r>
      <w:proofErr w:type="spellStart"/>
      <w:r w:rsidR="00314B2A">
        <w:rPr>
          <w:rFonts w:ascii="Garamond" w:hAnsi="Garamond"/>
        </w:rPr>
        <w:t>Garety</w:t>
      </w:r>
      <w:proofErr w:type="spellEnd"/>
      <w:r w:rsidR="00314B2A">
        <w:rPr>
          <w:rFonts w:ascii="Garamond" w:hAnsi="Garamond"/>
        </w:rPr>
        <w:t>, 1999)</w:t>
      </w:r>
      <w:r w:rsidR="000F24D4">
        <w:rPr>
          <w:rFonts w:ascii="Garamond" w:hAnsi="Garamond"/>
        </w:rPr>
        <w:t xml:space="preserve">. Both the non-clinical individuals screening positive for GAD and </w:t>
      </w:r>
      <w:r w:rsidR="000F24D4">
        <w:rPr>
          <w:rFonts w:ascii="Garamond" w:hAnsi="Garamond"/>
        </w:rPr>
        <w:lastRenderedPageBreak/>
        <w:t xml:space="preserve">the patients with persecutory delusions </w:t>
      </w:r>
      <w:r w:rsidR="00124068">
        <w:rPr>
          <w:rFonts w:ascii="Garamond" w:hAnsi="Garamond"/>
        </w:rPr>
        <w:t>scored</w:t>
      </w:r>
      <w:r w:rsidR="000F24D4">
        <w:rPr>
          <w:rFonts w:ascii="Garamond" w:hAnsi="Garamond"/>
        </w:rPr>
        <w:t xml:space="preserve"> high</w:t>
      </w:r>
      <w:r w:rsidR="00124068">
        <w:rPr>
          <w:rFonts w:ascii="Garamond" w:hAnsi="Garamond"/>
        </w:rPr>
        <w:t>ly</w:t>
      </w:r>
      <w:r w:rsidR="000F24D4">
        <w:rPr>
          <w:rFonts w:ascii="Garamond" w:hAnsi="Garamond"/>
        </w:rPr>
        <w:t xml:space="preserve"> on the </w:t>
      </w:r>
      <w:r w:rsidR="000B1FEA">
        <w:rPr>
          <w:rFonts w:ascii="Garamond" w:hAnsi="Garamond"/>
        </w:rPr>
        <w:t xml:space="preserve">new </w:t>
      </w:r>
      <w:r w:rsidR="00C120A7">
        <w:rPr>
          <w:rFonts w:ascii="Garamond" w:hAnsi="Garamond"/>
        </w:rPr>
        <w:t xml:space="preserve">general </w:t>
      </w:r>
      <w:r w:rsidR="000F24D4">
        <w:rPr>
          <w:rFonts w:ascii="Garamond" w:hAnsi="Garamond"/>
        </w:rPr>
        <w:t xml:space="preserve">worry measures. </w:t>
      </w:r>
      <w:r w:rsidR="000B1FEA">
        <w:rPr>
          <w:rFonts w:ascii="Garamond" w:hAnsi="Garamond"/>
        </w:rPr>
        <w:t xml:space="preserve">We think it </w:t>
      </w:r>
      <w:r w:rsidR="000F24D4">
        <w:rPr>
          <w:rFonts w:ascii="Garamond" w:hAnsi="Garamond"/>
        </w:rPr>
        <w:t xml:space="preserve">highly unlikely that a different pattern would be found </w:t>
      </w:r>
      <w:r w:rsidR="000B1FEA">
        <w:rPr>
          <w:rFonts w:ascii="Garamond" w:hAnsi="Garamond"/>
        </w:rPr>
        <w:t>for</w:t>
      </w:r>
      <w:r w:rsidR="000F24D4">
        <w:rPr>
          <w:rFonts w:ascii="Garamond" w:hAnsi="Garamond"/>
        </w:rPr>
        <w:t xml:space="preserve"> patients with GAD. </w:t>
      </w:r>
      <w:r w:rsidR="000B1FEA">
        <w:rPr>
          <w:rFonts w:ascii="Garamond" w:hAnsi="Garamond"/>
        </w:rPr>
        <w:t xml:space="preserve">The development of the assessments would have benefited from greater </w:t>
      </w:r>
      <w:r w:rsidR="000B1FEA" w:rsidRPr="005E77A0">
        <w:rPr>
          <w:rFonts w:ascii="Garamond" w:hAnsi="Garamond"/>
        </w:rPr>
        <w:t>input from patients. Patients only gave feedback on the ease of completion of the initial item pool and subsequent scales. In</w:t>
      </w:r>
      <w:r w:rsidR="000B1FEA" w:rsidRPr="0071268C">
        <w:rPr>
          <w:rFonts w:ascii="Garamond" w:hAnsi="Garamond"/>
        </w:rPr>
        <w:t xml:space="preserve"> the years since the development of the measures we have developed much more rigorous patient involvement procedures.</w:t>
      </w:r>
      <w:r w:rsidRPr="001044F7">
        <w:rPr>
          <w:rFonts w:ascii="Garamond" w:hAnsi="Garamond"/>
        </w:rPr>
        <w:t xml:space="preserve"> </w:t>
      </w:r>
      <w:r w:rsidR="005E77A0" w:rsidRPr="001044F7">
        <w:rPr>
          <w:rFonts w:ascii="Garamond" w:hAnsi="Garamond"/>
        </w:rPr>
        <w:t>Further</w:t>
      </w:r>
      <w:r w:rsidR="005E77A0">
        <w:rPr>
          <w:rFonts w:ascii="Garamond" w:hAnsi="Garamond"/>
        </w:rPr>
        <w:t xml:space="preserve">, the participant groups, clinical and non-clinical, were unlikely to have been </w:t>
      </w:r>
      <w:r w:rsidR="00612052">
        <w:rPr>
          <w:rFonts w:ascii="Garamond" w:hAnsi="Garamond"/>
        </w:rPr>
        <w:t>fully</w:t>
      </w:r>
      <w:r w:rsidR="005E77A0">
        <w:rPr>
          <w:rFonts w:ascii="Garamond" w:hAnsi="Garamond"/>
        </w:rPr>
        <w:t xml:space="preserve"> representative of the populations</w:t>
      </w:r>
      <w:r w:rsidR="00B6405A">
        <w:rPr>
          <w:rFonts w:ascii="Garamond" w:hAnsi="Garamond"/>
        </w:rPr>
        <w:t xml:space="preserve"> from which they were drawn</w:t>
      </w:r>
      <w:r w:rsidR="005E77A0">
        <w:rPr>
          <w:rFonts w:ascii="Garamond" w:hAnsi="Garamond"/>
        </w:rPr>
        <w:t>.</w:t>
      </w:r>
      <w:r w:rsidR="005E77A0" w:rsidRPr="001044F7">
        <w:rPr>
          <w:rFonts w:ascii="Garamond" w:hAnsi="Garamond"/>
        </w:rPr>
        <w:t xml:space="preserve"> </w:t>
      </w:r>
      <w:r w:rsidRPr="005E77A0">
        <w:rPr>
          <w:rFonts w:ascii="Garamond" w:hAnsi="Garamond"/>
        </w:rPr>
        <w:t>The true potential of the questionnaires will only be known with use.</w:t>
      </w:r>
    </w:p>
    <w:p w14:paraId="166726DD" w14:textId="77777777" w:rsidR="0045578C" w:rsidRDefault="0045578C" w:rsidP="007C50A8">
      <w:pPr>
        <w:spacing w:line="360" w:lineRule="auto"/>
        <w:rPr>
          <w:rFonts w:ascii="Garamond" w:hAnsi="Garamond"/>
          <w:b/>
        </w:rPr>
      </w:pPr>
    </w:p>
    <w:p w14:paraId="63D8CAB5" w14:textId="77777777" w:rsidR="00BC71AF" w:rsidRDefault="00BC71AF" w:rsidP="007C50A8">
      <w:pPr>
        <w:spacing w:line="360" w:lineRule="auto"/>
        <w:rPr>
          <w:rFonts w:ascii="Garamond" w:hAnsi="Garamond"/>
          <w:b/>
        </w:rPr>
      </w:pPr>
    </w:p>
    <w:p w14:paraId="6ACC385E" w14:textId="77777777" w:rsidR="00E10797" w:rsidRDefault="00E10797">
      <w:pPr>
        <w:rPr>
          <w:rFonts w:ascii="Garamond" w:hAnsi="Garamond"/>
          <w:b/>
        </w:rPr>
      </w:pPr>
      <w:r>
        <w:rPr>
          <w:rFonts w:ascii="Garamond" w:hAnsi="Garamond"/>
          <w:b/>
        </w:rPr>
        <w:br w:type="page"/>
      </w:r>
    </w:p>
    <w:p w14:paraId="119FF356" w14:textId="6DF4FE49" w:rsidR="008E046D" w:rsidRPr="00333AE2" w:rsidRDefault="008E046D" w:rsidP="007C50A8">
      <w:pPr>
        <w:spacing w:line="360" w:lineRule="auto"/>
        <w:rPr>
          <w:rFonts w:ascii="Garamond" w:hAnsi="Garamond"/>
          <w:b/>
        </w:rPr>
      </w:pPr>
      <w:r w:rsidRPr="00333AE2">
        <w:rPr>
          <w:rFonts w:ascii="Garamond" w:hAnsi="Garamond"/>
          <w:b/>
        </w:rPr>
        <w:lastRenderedPageBreak/>
        <w:t>ACKNOWLEDGEMENTS</w:t>
      </w:r>
    </w:p>
    <w:p w14:paraId="53C481A7" w14:textId="0CE9DAEA" w:rsidR="00306E86" w:rsidRDefault="00306E86" w:rsidP="00E10797">
      <w:pPr>
        <w:spacing w:line="360" w:lineRule="auto"/>
        <w:jc w:val="both"/>
        <w:rPr>
          <w:rFonts w:ascii="Garamond" w:hAnsi="Garamond"/>
        </w:rPr>
      </w:pPr>
      <w:r w:rsidRPr="00306E86">
        <w:rPr>
          <w:rFonts w:ascii="Garamond" w:hAnsi="Garamond"/>
        </w:rPr>
        <w:t xml:space="preserve">Graham Dunn </w:t>
      </w:r>
      <w:r>
        <w:rPr>
          <w:rFonts w:ascii="Garamond" w:hAnsi="Garamond"/>
        </w:rPr>
        <w:t>passed away</w:t>
      </w:r>
      <w:r w:rsidRPr="00306E86">
        <w:rPr>
          <w:rFonts w:ascii="Garamond" w:hAnsi="Garamond"/>
        </w:rPr>
        <w:t xml:space="preserve"> in January 2019. Graham was a wonderful methodologist, statistician, mentor, and friend - he will be mi</w:t>
      </w:r>
      <w:r>
        <w:rPr>
          <w:rFonts w:ascii="Garamond" w:hAnsi="Garamond"/>
        </w:rPr>
        <w:t>ssed enormously.</w:t>
      </w:r>
    </w:p>
    <w:p w14:paraId="34AEC8E6" w14:textId="77777777" w:rsidR="00306E86" w:rsidRDefault="00306E86" w:rsidP="00E10797">
      <w:pPr>
        <w:spacing w:line="360" w:lineRule="auto"/>
        <w:jc w:val="both"/>
        <w:rPr>
          <w:rFonts w:ascii="Garamond" w:hAnsi="Garamond"/>
        </w:rPr>
      </w:pPr>
    </w:p>
    <w:p w14:paraId="78DA3757" w14:textId="1BABAB58" w:rsidR="008E046D" w:rsidRPr="00333AE2" w:rsidRDefault="008E046D" w:rsidP="00E10797">
      <w:pPr>
        <w:spacing w:line="360" w:lineRule="auto"/>
        <w:jc w:val="both"/>
        <w:rPr>
          <w:rFonts w:ascii="Garamond" w:hAnsi="Garamond"/>
        </w:rPr>
      </w:pPr>
      <w:r w:rsidRPr="00333AE2">
        <w:rPr>
          <w:rFonts w:ascii="Garamond" w:hAnsi="Garamond"/>
        </w:rPr>
        <w:t>This</w:t>
      </w:r>
      <w:r w:rsidR="00EA3213" w:rsidRPr="00333AE2">
        <w:rPr>
          <w:rFonts w:ascii="Garamond" w:hAnsi="Garamond"/>
        </w:rPr>
        <w:t xml:space="preserve"> study was supported by the</w:t>
      </w:r>
      <w:r w:rsidRPr="00333AE2">
        <w:rPr>
          <w:rFonts w:ascii="Garamond" w:hAnsi="Garamond"/>
        </w:rPr>
        <w:t xml:space="preserve"> WIT project (09/160/06)</w:t>
      </w:r>
      <w:r w:rsidR="00EA3213" w:rsidRPr="00333AE2">
        <w:rPr>
          <w:rFonts w:ascii="Garamond" w:hAnsi="Garamond"/>
        </w:rPr>
        <w:t xml:space="preserve"> which was funded by a grant from </w:t>
      </w:r>
      <w:r w:rsidRPr="00333AE2">
        <w:rPr>
          <w:rFonts w:ascii="Garamond" w:hAnsi="Garamond"/>
        </w:rPr>
        <w:t>the Efficacy and Mechanism Evaluation (EME) Programme, and is funded by the UK Medical Research Council (MRC) and managed by the UK NHS National Institute for Health Research (NIHR) on behalf of the MRC-NIHR partnership. DF is supported by a NIHR Research Professorship.</w:t>
      </w:r>
      <w:r w:rsidR="00061D33" w:rsidRPr="00061D33">
        <w:t xml:space="preserve"> </w:t>
      </w:r>
      <w:r w:rsidR="00061D33" w:rsidRPr="00061D33">
        <w:rPr>
          <w:rFonts w:ascii="Garamond" w:hAnsi="Garamond"/>
        </w:rPr>
        <w:t xml:space="preserve">AE and DMC are funded by the </w:t>
      </w:r>
      <w:proofErr w:type="spellStart"/>
      <w:r w:rsidR="00061D33" w:rsidRPr="00061D33">
        <w:rPr>
          <w:rFonts w:ascii="Garamond" w:hAnsi="Garamond"/>
        </w:rPr>
        <w:t>Wellcome</w:t>
      </w:r>
      <w:proofErr w:type="spellEnd"/>
      <w:r w:rsidR="00061D33" w:rsidRPr="00061D33">
        <w:rPr>
          <w:rFonts w:ascii="Garamond" w:hAnsi="Garamond"/>
        </w:rPr>
        <w:t xml:space="preserve"> Trust (200796).</w:t>
      </w:r>
    </w:p>
    <w:p w14:paraId="36611EDA" w14:textId="77777777" w:rsidR="008E046D" w:rsidRPr="00333AE2" w:rsidRDefault="008E046D" w:rsidP="007C50A8">
      <w:pPr>
        <w:spacing w:line="360" w:lineRule="auto"/>
        <w:rPr>
          <w:rFonts w:ascii="Garamond" w:hAnsi="Garamond"/>
        </w:rPr>
      </w:pPr>
    </w:p>
    <w:p w14:paraId="46E9680A" w14:textId="77777777" w:rsidR="008E046D" w:rsidRPr="00333AE2" w:rsidRDefault="008E046D" w:rsidP="007C50A8">
      <w:pPr>
        <w:spacing w:line="360" w:lineRule="auto"/>
        <w:rPr>
          <w:rFonts w:ascii="Garamond" w:hAnsi="Garamond"/>
          <w:b/>
        </w:rPr>
      </w:pPr>
      <w:r w:rsidRPr="00333AE2">
        <w:rPr>
          <w:rFonts w:ascii="Garamond" w:hAnsi="Garamond"/>
          <w:b/>
        </w:rPr>
        <w:t>CONFLICTS OF INTEREST</w:t>
      </w:r>
    </w:p>
    <w:p w14:paraId="42123017" w14:textId="77777777" w:rsidR="00754ADE" w:rsidRDefault="00EA3213">
      <w:pPr>
        <w:rPr>
          <w:rFonts w:ascii="Garamond" w:hAnsi="Garamond"/>
        </w:rPr>
      </w:pPr>
      <w:proofErr w:type="gramStart"/>
      <w:r w:rsidRPr="00333AE2">
        <w:rPr>
          <w:rFonts w:ascii="Garamond" w:hAnsi="Garamond"/>
        </w:rPr>
        <w:t>None.</w:t>
      </w:r>
      <w:proofErr w:type="gramEnd"/>
    </w:p>
    <w:p w14:paraId="0A48648D" w14:textId="77777777" w:rsidR="00BC71AF" w:rsidRPr="00AE35D5" w:rsidRDefault="00BC71AF" w:rsidP="00BC71AF">
      <w:pPr>
        <w:rPr>
          <w:rFonts w:ascii="Garamond" w:hAnsi="Garamond"/>
          <w:b/>
          <w:sz w:val="24"/>
          <w:szCs w:val="24"/>
        </w:rPr>
      </w:pPr>
      <w:r w:rsidRPr="00861784">
        <w:rPr>
          <w:rFonts w:ascii="Garamond" w:hAnsi="Garamond"/>
          <w:sz w:val="24"/>
          <w:szCs w:val="24"/>
        </w:rPr>
        <w:br w:type="page"/>
      </w:r>
      <w:r>
        <w:rPr>
          <w:rFonts w:ascii="Garamond" w:hAnsi="Garamond"/>
          <w:b/>
          <w:sz w:val="24"/>
          <w:szCs w:val="24"/>
        </w:rPr>
        <w:lastRenderedPageBreak/>
        <w:t>Appendix</w:t>
      </w:r>
      <w:r w:rsidRPr="00AE35D5">
        <w:rPr>
          <w:rFonts w:ascii="Garamond" w:hAnsi="Garamond"/>
          <w:b/>
          <w:sz w:val="24"/>
          <w:szCs w:val="24"/>
        </w:rPr>
        <w:t xml:space="preserve"> </w:t>
      </w:r>
    </w:p>
    <w:p w14:paraId="51AE5090" w14:textId="77777777" w:rsidR="00BC71AF" w:rsidRDefault="00BC71AF" w:rsidP="00BC71AF">
      <w:pPr>
        <w:rPr>
          <w:rFonts w:ascii="Garamond" w:hAnsi="Garamond"/>
          <w:b/>
          <w:sz w:val="24"/>
          <w:szCs w:val="24"/>
        </w:rPr>
      </w:pPr>
    </w:p>
    <w:p w14:paraId="27557337" w14:textId="77777777" w:rsidR="00BC71AF" w:rsidRDefault="00BC71AF" w:rsidP="00BC71AF">
      <w:pPr>
        <w:rPr>
          <w:b/>
          <w:bCs/>
        </w:rPr>
      </w:pPr>
      <w:r w:rsidRPr="00AE35D5">
        <w:rPr>
          <w:rFonts w:ascii="Garamond" w:hAnsi="Garamond"/>
          <w:b/>
          <w:sz w:val="24"/>
          <w:szCs w:val="24"/>
        </w:rPr>
        <w:t>1. The Dunn Worry Questionnaire</w:t>
      </w:r>
    </w:p>
    <w:p w14:paraId="1431C2B9" w14:textId="77777777" w:rsidR="00BC71AF" w:rsidRPr="0064597B" w:rsidRDefault="00BC71AF" w:rsidP="00BC71AF">
      <w:pPr>
        <w:pStyle w:val="Default"/>
        <w:rPr>
          <w:b/>
          <w:bCs/>
          <w:sz w:val="22"/>
          <w:szCs w:val="22"/>
        </w:rPr>
      </w:pPr>
      <w:r w:rsidRPr="0064597B">
        <w:rPr>
          <w:bCs/>
          <w:sz w:val="22"/>
          <w:szCs w:val="22"/>
        </w:rPr>
        <w:t xml:space="preserve">Please circle the numbers that best describe your experience </w:t>
      </w:r>
      <w:r w:rsidRPr="0064597B">
        <w:rPr>
          <w:b/>
          <w:bCs/>
          <w:sz w:val="22"/>
          <w:szCs w:val="22"/>
        </w:rPr>
        <w:t>in the past month</w:t>
      </w:r>
      <w:r>
        <w:rPr>
          <w:b/>
          <w:bCs/>
          <w:sz w:val="22"/>
          <w:szCs w:val="22"/>
        </w:rPr>
        <w:t>.</w:t>
      </w:r>
    </w:p>
    <w:p w14:paraId="54080075" w14:textId="77777777" w:rsidR="00BC71AF" w:rsidRDefault="00BC71AF" w:rsidP="00BC71AF">
      <w:pPr>
        <w:pStyle w:val="Default"/>
        <w:spacing w:line="120" w:lineRule="exact"/>
        <w:ind w:left="709" w:right="431" w:hanging="601"/>
        <w:jc w:val="center"/>
        <w:rPr>
          <w:b/>
          <w:bCs/>
          <w:sz w:val="28"/>
          <w:szCs w:val="28"/>
        </w:rPr>
      </w:pPr>
    </w:p>
    <w:tbl>
      <w:tblPr>
        <w:tblW w:w="8931" w:type="dxa"/>
        <w:tblInd w:w="-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3557"/>
        <w:gridCol w:w="1110"/>
        <w:gridCol w:w="1003"/>
        <w:gridCol w:w="1087"/>
        <w:gridCol w:w="948"/>
        <w:gridCol w:w="1226"/>
      </w:tblGrid>
      <w:tr w:rsidR="00BC71AF" w14:paraId="589CE233" w14:textId="77777777" w:rsidTr="007C6E71">
        <w:trPr>
          <w:trHeight w:val="845"/>
        </w:trPr>
        <w:tc>
          <w:tcPr>
            <w:tcW w:w="3557" w:type="dxa"/>
            <w:shd w:val="clear" w:color="auto" w:fill="8DB3E2"/>
            <w:vAlign w:val="center"/>
          </w:tcPr>
          <w:p w14:paraId="52066CC2" w14:textId="77777777" w:rsidR="00BC71AF" w:rsidRPr="00754ADE" w:rsidRDefault="00BC71AF" w:rsidP="008405E3">
            <w:pPr>
              <w:pStyle w:val="Default"/>
              <w:jc w:val="center"/>
              <w:rPr>
                <w:sz w:val="22"/>
              </w:rPr>
            </w:pPr>
          </w:p>
        </w:tc>
        <w:tc>
          <w:tcPr>
            <w:tcW w:w="1110" w:type="dxa"/>
            <w:shd w:val="clear" w:color="auto" w:fill="8DB3E2"/>
            <w:vAlign w:val="center"/>
          </w:tcPr>
          <w:p w14:paraId="5B8729AA" w14:textId="77777777" w:rsidR="00BC71AF" w:rsidRPr="007C6E71" w:rsidRDefault="00BC71AF" w:rsidP="008405E3">
            <w:pPr>
              <w:pStyle w:val="Default"/>
              <w:jc w:val="center"/>
              <w:rPr>
                <w:sz w:val="22"/>
              </w:rPr>
            </w:pPr>
            <w:r w:rsidRPr="007C6E71">
              <w:rPr>
                <w:bCs/>
                <w:sz w:val="22"/>
              </w:rPr>
              <w:t>None of the time</w:t>
            </w:r>
          </w:p>
        </w:tc>
        <w:tc>
          <w:tcPr>
            <w:tcW w:w="1003" w:type="dxa"/>
            <w:shd w:val="clear" w:color="auto" w:fill="8DB3E2"/>
            <w:vAlign w:val="center"/>
          </w:tcPr>
          <w:p w14:paraId="6B563AC4" w14:textId="77777777" w:rsidR="00BC71AF" w:rsidRPr="007C6E71" w:rsidRDefault="00BC71AF" w:rsidP="008405E3">
            <w:pPr>
              <w:pStyle w:val="Default"/>
              <w:jc w:val="center"/>
              <w:rPr>
                <w:sz w:val="22"/>
              </w:rPr>
            </w:pPr>
            <w:r w:rsidRPr="007C6E71">
              <w:rPr>
                <w:bCs/>
                <w:sz w:val="22"/>
              </w:rPr>
              <w:t>Rarely</w:t>
            </w:r>
          </w:p>
        </w:tc>
        <w:tc>
          <w:tcPr>
            <w:tcW w:w="1087" w:type="dxa"/>
            <w:shd w:val="clear" w:color="auto" w:fill="8DB3E2"/>
            <w:vAlign w:val="center"/>
          </w:tcPr>
          <w:p w14:paraId="66197380" w14:textId="77777777" w:rsidR="00BC71AF" w:rsidRPr="007C6E71" w:rsidRDefault="00BC71AF" w:rsidP="008405E3">
            <w:pPr>
              <w:pStyle w:val="Default"/>
              <w:jc w:val="center"/>
              <w:rPr>
                <w:sz w:val="22"/>
              </w:rPr>
            </w:pPr>
            <w:r w:rsidRPr="007C6E71">
              <w:rPr>
                <w:bCs/>
                <w:sz w:val="22"/>
              </w:rPr>
              <w:t>Some of the time</w:t>
            </w:r>
          </w:p>
        </w:tc>
        <w:tc>
          <w:tcPr>
            <w:tcW w:w="948" w:type="dxa"/>
            <w:shd w:val="clear" w:color="auto" w:fill="8DB3E2"/>
            <w:vAlign w:val="center"/>
          </w:tcPr>
          <w:p w14:paraId="7970F0E7" w14:textId="77777777" w:rsidR="00BC71AF" w:rsidRPr="007C6E71" w:rsidRDefault="00BC71AF" w:rsidP="008405E3">
            <w:pPr>
              <w:pStyle w:val="Default"/>
              <w:jc w:val="center"/>
              <w:rPr>
                <w:sz w:val="22"/>
              </w:rPr>
            </w:pPr>
            <w:r w:rsidRPr="007C6E71">
              <w:rPr>
                <w:bCs/>
                <w:sz w:val="22"/>
              </w:rPr>
              <w:t>Often</w:t>
            </w:r>
          </w:p>
        </w:tc>
        <w:tc>
          <w:tcPr>
            <w:tcW w:w="1226" w:type="dxa"/>
            <w:shd w:val="clear" w:color="auto" w:fill="8DB3E2"/>
            <w:vAlign w:val="center"/>
          </w:tcPr>
          <w:p w14:paraId="7CD6D456" w14:textId="77777777" w:rsidR="00BC71AF" w:rsidRPr="007C6E71" w:rsidRDefault="00BC71AF" w:rsidP="008405E3">
            <w:pPr>
              <w:pStyle w:val="Default"/>
              <w:jc w:val="center"/>
              <w:rPr>
                <w:sz w:val="22"/>
              </w:rPr>
            </w:pPr>
            <w:r w:rsidRPr="007C6E71">
              <w:rPr>
                <w:bCs/>
                <w:sz w:val="22"/>
              </w:rPr>
              <w:t>All of the time</w:t>
            </w:r>
          </w:p>
        </w:tc>
      </w:tr>
      <w:tr w:rsidR="00BC71AF" w:rsidRPr="00E01FF0" w14:paraId="45F0BB51" w14:textId="77777777" w:rsidTr="007C6E71">
        <w:trPr>
          <w:trHeight w:val="521"/>
        </w:trPr>
        <w:tc>
          <w:tcPr>
            <w:tcW w:w="3557" w:type="dxa"/>
            <w:vAlign w:val="center"/>
          </w:tcPr>
          <w:p w14:paraId="159E9B37" w14:textId="77777777" w:rsidR="00BC71AF" w:rsidRPr="007C6E71" w:rsidRDefault="00BC71AF" w:rsidP="008405E3">
            <w:pPr>
              <w:pStyle w:val="Default"/>
              <w:rPr>
                <w:sz w:val="22"/>
              </w:rPr>
            </w:pPr>
          </w:p>
          <w:p w14:paraId="00B55AE9" w14:textId="77777777" w:rsidR="00BC71AF" w:rsidRPr="007C6E71" w:rsidRDefault="00BC71AF" w:rsidP="008405E3">
            <w:pPr>
              <w:pStyle w:val="Default"/>
              <w:rPr>
                <w:sz w:val="22"/>
              </w:rPr>
            </w:pPr>
            <w:r w:rsidRPr="007C6E71">
              <w:rPr>
                <w:sz w:val="22"/>
              </w:rPr>
              <w:t xml:space="preserve">I’ve been worrying a lot. </w:t>
            </w:r>
          </w:p>
          <w:p w14:paraId="486D4C86" w14:textId="77777777" w:rsidR="00BC71AF" w:rsidRPr="007C6E71" w:rsidRDefault="00BC71AF" w:rsidP="008405E3">
            <w:pPr>
              <w:pStyle w:val="Default"/>
              <w:rPr>
                <w:sz w:val="22"/>
              </w:rPr>
            </w:pPr>
          </w:p>
        </w:tc>
        <w:tc>
          <w:tcPr>
            <w:tcW w:w="1110" w:type="dxa"/>
            <w:vAlign w:val="center"/>
          </w:tcPr>
          <w:p w14:paraId="241D8D25" w14:textId="77777777" w:rsidR="00BC71AF" w:rsidRPr="007C6E71" w:rsidRDefault="00BC71AF" w:rsidP="008405E3">
            <w:pPr>
              <w:pStyle w:val="Default"/>
              <w:jc w:val="center"/>
              <w:rPr>
                <w:color w:val="auto"/>
                <w:sz w:val="22"/>
              </w:rPr>
            </w:pPr>
            <w:r w:rsidRPr="007C6E71">
              <w:rPr>
                <w:bCs/>
                <w:color w:val="auto"/>
                <w:sz w:val="22"/>
              </w:rPr>
              <w:t>0</w:t>
            </w:r>
          </w:p>
        </w:tc>
        <w:tc>
          <w:tcPr>
            <w:tcW w:w="1003" w:type="dxa"/>
            <w:vAlign w:val="center"/>
          </w:tcPr>
          <w:p w14:paraId="1CBC88EE" w14:textId="77777777" w:rsidR="00BC71AF" w:rsidRPr="007C6E71" w:rsidRDefault="00BC71AF" w:rsidP="008405E3">
            <w:pPr>
              <w:pStyle w:val="Default"/>
              <w:jc w:val="center"/>
              <w:rPr>
                <w:color w:val="auto"/>
                <w:sz w:val="22"/>
              </w:rPr>
            </w:pPr>
            <w:r w:rsidRPr="007C6E71">
              <w:rPr>
                <w:bCs/>
                <w:color w:val="auto"/>
                <w:sz w:val="22"/>
              </w:rPr>
              <w:t>1</w:t>
            </w:r>
          </w:p>
        </w:tc>
        <w:tc>
          <w:tcPr>
            <w:tcW w:w="1087" w:type="dxa"/>
            <w:vAlign w:val="center"/>
          </w:tcPr>
          <w:p w14:paraId="07DDC6B1" w14:textId="77777777" w:rsidR="00BC71AF" w:rsidRPr="007C6E71" w:rsidRDefault="00BC71AF" w:rsidP="008405E3">
            <w:pPr>
              <w:pStyle w:val="Default"/>
              <w:jc w:val="center"/>
              <w:rPr>
                <w:color w:val="auto"/>
                <w:sz w:val="22"/>
              </w:rPr>
            </w:pPr>
            <w:r w:rsidRPr="007C6E71">
              <w:rPr>
                <w:bCs/>
                <w:color w:val="auto"/>
                <w:sz w:val="22"/>
              </w:rPr>
              <w:t>2</w:t>
            </w:r>
          </w:p>
        </w:tc>
        <w:tc>
          <w:tcPr>
            <w:tcW w:w="948" w:type="dxa"/>
            <w:vAlign w:val="center"/>
          </w:tcPr>
          <w:p w14:paraId="621C1890" w14:textId="77777777" w:rsidR="00BC71AF" w:rsidRPr="007C6E71" w:rsidRDefault="00BC71AF" w:rsidP="008405E3">
            <w:pPr>
              <w:pStyle w:val="Default"/>
              <w:jc w:val="center"/>
              <w:rPr>
                <w:color w:val="auto"/>
                <w:sz w:val="22"/>
              </w:rPr>
            </w:pPr>
            <w:r w:rsidRPr="007C6E71">
              <w:rPr>
                <w:bCs/>
                <w:color w:val="auto"/>
                <w:sz w:val="22"/>
              </w:rPr>
              <w:t>3</w:t>
            </w:r>
          </w:p>
        </w:tc>
        <w:tc>
          <w:tcPr>
            <w:tcW w:w="1226" w:type="dxa"/>
            <w:vAlign w:val="center"/>
          </w:tcPr>
          <w:p w14:paraId="6AE74937" w14:textId="77777777" w:rsidR="00BC71AF" w:rsidRPr="007C6E71" w:rsidRDefault="00BC71AF" w:rsidP="008405E3">
            <w:pPr>
              <w:pStyle w:val="Default"/>
              <w:jc w:val="center"/>
              <w:rPr>
                <w:color w:val="auto"/>
                <w:sz w:val="22"/>
              </w:rPr>
            </w:pPr>
            <w:r w:rsidRPr="007C6E71">
              <w:rPr>
                <w:bCs/>
                <w:color w:val="auto"/>
                <w:sz w:val="22"/>
              </w:rPr>
              <w:t>4</w:t>
            </w:r>
          </w:p>
        </w:tc>
      </w:tr>
      <w:tr w:rsidR="00BC71AF" w14:paraId="50B28C94" w14:textId="77777777" w:rsidTr="007C6E71">
        <w:trPr>
          <w:trHeight w:val="521"/>
        </w:trPr>
        <w:tc>
          <w:tcPr>
            <w:tcW w:w="3557" w:type="dxa"/>
            <w:shd w:val="clear" w:color="auto" w:fill="C6D9F1"/>
            <w:vAlign w:val="center"/>
          </w:tcPr>
          <w:p w14:paraId="3F4EE153" w14:textId="77777777" w:rsidR="00BC71AF" w:rsidRPr="007C6E71" w:rsidRDefault="00BC71AF" w:rsidP="008405E3">
            <w:pPr>
              <w:pStyle w:val="Default"/>
              <w:rPr>
                <w:sz w:val="22"/>
              </w:rPr>
            </w:pPr>
          </w:p>
          <w:p w14:paraId="50271142" w14:textId="77777777" w:rsidR="00BC71AF" w:rsidRPr="007C6E71" w:rsidRDefault="00BC71AF" w:rsidP="008405E3">
            <w:pPr>
              <w:pStyle w:val="Default"/>
              <w:rPr>
                <w:sz w:val="22"/>
              </w:rPr>
            </w:pPr>
            <w:r w:rsidRPr="007C6E71">
              <w:rPr>
                <w:sz w:val="22"/>
              </w:rPr>
              <w:t>In my mind I have been going over problems again and again.</w:t>
            </w:r>
          </w:p>
          <w:p w14:paraId="05CDDE3B" w14:textId="77777777" w:rsidR="00BC71AF" w:rsidRPr="007C6E71" w:rsidRDefault="00BC71AF" w:rsidP="008405E3">
            <w:pPr>
              <w:pStyle w:val="Default"/>
              <w:rPr>
                <w:sz w:val="22"/>
              </w:rPr>
            </w:pPr>
          </w:p>
        </w:tc>
        <w:tc>
          <w:tcPr>
            <w:tcW w:w="1110" w:type="dxa"/>
            <w:shd w:val="clear" w:color="auto" w:fill="C6D9F1"/>
            <w:vAlign w:val="center"/>
          </w:tcPr>
          <w:p w14:paraId="45D33B53" w14:textId="77777777" w:rsidR="00BC71AF" w:rsidRPr="007C6E71" w:rsidRDefault="00BC71AF" w:rsidP="008405E3">
            <w:pPr>
              <w:pStyle w:val="Default"/>
              <w:jc w:val="center"/>
              <w:rPr>
                <w:color w:val="auto"/>
                <w:sz w:val="22"/>
              </w:rPr>
            </w:pPr>
            <w:r w:rsidRPr="007C6E71">
              <w:rPr>
                <w:bCs/>
                <w:color w:val="auto"/>
                <w:sz w:val="22"/>
              </w:rPr>
              <w:t>0</w:t>
            </w:r>
          </w:p>
        </w:tc>
        <w:tc>
          <w:tcPr>
            <w:tcW w:w="1003" w:type="dxa"/>
            <w:shd w:val="clear" w:color="auto" w:fill="C6D9F1"/>
            <w:vAlign w:val="center"/>
          </w:tcPr>
          <w:p w14:paraId="5397BA57" w14:textId="77777777" w:rsidR="00BC71AF" w:rsidRPr="007C6E71" w:rsidRDefault="00BC71AF" w:rsidP="008405E3">
            <w:pPr>
              <w:pStyle w:val="Default"/>
              <w:jc w:val="center"/>
              <w:rPr>
                <w:color w:val="auto"/>
                <w:sz w:val="22"/>
              </w:rPr>
            </w:pPr>
            <w:r w:rsidRPr="007C6E71">
              <w:rPr>
                <w:bCs/>
                <w:color w:val="auto"/>
                <w:sz w:val="22"/>
              </w:rPr>
              <w:t>1</w:t>
            </w:r>
          </w:p>
        </w:tc>
        <w:tc>
          <w:tcPr>
            <w:tcW w:w="1087" w:type="dxa"/>
            <w:shd w:val="clear" w:color="auto" w:fill="C6D9F1"/>
            <w:vAlign w:val="center"/>
          </w:tcPr>
          <w:p w14:paraId="7ED4779D" w14:textId="77777777" w:rsidR="00BC71AF" w:rsidRPr="007C6E71" w:rsidRDefault="00BC71AF" w:rsidP="008405E3">
            <w:pPr>
              <w:pStyle w:val="Default"/>
              <w:jc w:val="center"/>
              <w:rPr>
                <w:color w:val="auto"/>
                <w:sz w:val="22"/>
              </w:rPr>
            </w:pPr>
            <w:r w:rsidRPr="007C6E71">
              <w:rPr>
                <w:bCs/>
                <w:color w:val="auto"/>
                <w:sz w:val="22"/>
              </w:rPr>
              <w:t>2</w:t>
            </w:r>
          </w:p>
        </w:tc>
        <w:tc>
          <w:tcPr>
            <w:tcW w:w="948" w:type="dxa"/>
            <w:shd w:val="clear" w:color="auto" w:fill="C6D9F1"/>
            <w:vAlign w:val="center"/>
          </w:tcPr>
          <w:p w14:paraId="37FDC456" w14:textId="77777777" w:rsidR="00BC71AF" w:rsidRPr="007C6E71" w:rsidRDefault="00BC71AF" w:rsidP="008405E3">
            <w:pPr>
              <w:pStyle w:val="Default"/>
              <w:jc w:val="center"/>
              <w:rPr>
                <w:color w:val="auto"/>
                <w:sz w:val="22"/>
              </w:rPr>
            </w:pPr>
            <w:r w:rsidRPr="007C6E71">
              <w:rPr>
                <w:bCs/>
                <w:color w:val="auto"/>
                <w:sz w:val="22"/>
              </w:rPr>
              <w:t>3</w:t>
            </w:r>
          </w:p>
        </w:tc>
        <w:tc>
          <w:tcPr>
            <w:tcW w:w="1226" w:type="dxa"/>
            <w:shd w:val="clear" w:color="auto" w:fill="C6D9F1"/>
            <w:vAlign w:val="center"/>
          </w:tcPr>
          <w:p w14:paraId="1D61EC4A" w14:textId="77777777" w:rsidR="00BC71AF" w:rsidRPr="007C6E71" w:rsidRDefault="00BC71AF" w:rsidP="008405E3">
            <w:pPr>
              <w:pStyle w:val="Default"/>
              <w:jc w:val="center"/>
              <w:rPr>
                <w:color w:val="auto"/>
                <w:sz w:val="22"/>
              </w:rPr>
            </w:pPr>
            <w:r w:rsidRPr="007C6E71">
              <w:rPr>
                <w:bCs/>
                <w:color w:val="auto"/>
                <w:sz w:val="22"/>
              </w:rPr>
              <w:t>4</w:t>
            </w:r>
          </w:p>
        </w:tc>
      </w:tr>
      <w:tr w:rsidR="00BC71AF" w:rsidRPr="00E01FF0" w14:paraId="30CC094F" w14:textId="77777777" w:rsidTr="007C6E71">
        <w:trPr>
          <w:trHeight w:val="521"/>
        </w:trPr>
        <w:tc>
          <w:tcPr>
            <w:tcW w:w="3557" w:type="dxa"/>
            <w:vAlign w:val="center"/>
          </w:tcPr>
          <w:p w14:paraId="6CC7DE5B" w14:textId="77777777" w:rsidR="00BC71AF" w:rsidRPr="007C6E71" w:rsidRDefault="00BC71AF" w:rsidP="008405E3">
            <w:pPr>
              <w:pStyle w:val="Default"/>
              <w:rPr>
                <w:sz w:val="22"/>
              </w:rPr>
            </w:pPr>
          </w:p>
          <w:p w14:paraId="4AAA4C08" w14:textId="77777777" w:rsidR="00BC71AF" w:rsidRPr="007C6E71" w:rsidRDefault="00BC71AF" w:rsidP="008405E3">
            <w:pPr>
              <w:pStyle w:val="Default"/>
              <w:rPr>
                <w:sz w:val="22"/>
              </w:rPr>
            </w:pPr>
            <w:r w:rsidRPr="007C6E71">
              <w:rPr>
                <w:sz w:val="22"/>
              </w:rPr>
              <w:t>There was little I could do to stop worrying.</w:t>
            </w:r>
          </w:p>
          <w:p w14:paraId="0233BC3B" w14:textId="77777777" w:rsidR="00BC71AF" w:rsidRPr="007C6E71" w:rsidRDefault="00BC71AF" w:rsidP="008405E3">
            <w:pPr>
              <w:pStyle w:val="Default"/>
              <w:rPr>
                <w:sz w:val="22"/>
              </w:rPr>
            </w:pPr>
          </w:p>
        </w:tc>
        <w:tc>
          <w:tcPr>
            <w:tcW w:w="1110" w:type="dxa"/>
            <w:vAlign w:val="center"/>
          </w:tcPr>
          <w:p w14:paraId="15C8D770" w14:textId="77777777" w:rsidR="00BC71AF" w:rsidRPr="007C6E71" w:rsidRDefault="00BC71AF" w:rsidP="008405E3">
            <w:pPr>
              <w:pStyle w:val="Default"/>
              <w:jc w:val="center"/>
              <w:rPr>
                <w:color w:val="auto"/>
                <w:sz w:val="22"/>
              </w:rPr>
            </w:pPr>
            <w:r w:rsidRPr="007C6E71">
              <w:rPr>
                <w:bCs/>
                <w:color w:val="auto"/>
                <w:sz w:val="22"/>
              </w:rPr>
              <w:t>0</w:t>
            </w:r>
          </w:p>
        </w:tc>
        <w:tc>
          <w:tcPr>
            <w:tcW w:w="1003" w:type="dxa"/>
            <w:vAlign w:val="center"/>
          </w:tcPr>
          <w:p w14:paraId="54FD996A" w14:textId="77777777" w:rsidR="00BC71AF" w:rsidRPr="007C6E71" w:rsidRDefault="00BC71AF" w:rsidP="008405E3">
            <w:pPr>
              <w:pStyle w:val="Default"/>
              <w:jc w:val="center"/>
              <w:rPr>
                <w:color w:val="auto"/>
                <w:sz w:val="22"/>
              </w:rPr>
            </w:pPr>
            <w:r w:rsidRPr="007C6E71">
              <w:rPr>
                <w:bCs/>
                <w:color w:val="auto"/>
                <w:sz w:val="22"/>
              </w:rPr>
              <w:t>1</w:t>
            </w:r>
          </w:p>
        </w:tc>
        <w:tc>
          <w:tcPr>
            <w:tcW w:w="1087" w:type="dxa"/>
            <w:vAlign w:val="center"/>
          </w:tcPr>
          <w:p w14:paraId="1FF34B0E" w14:textId="77777777" w:rsidR="00BC71AF" w:rsidRPr="007C6E71" w:rsidRDefault="00BC71AF" w:rsidP="008405E3">
            <w:pPr>
              <w:pStyle w:val="Default"/>
              <w:jc w:val="center"/>
              <w:rPr>
                <w:color w:val="auto"/>
                <w:sz w:val="22"/>
              </w:rPr>
            </w:pPr>
            <w:r w:rsidRPr="007C6E71">
              <w:rPr>
                <w:bCs/>
                <w:color w:val="auto"/>
                <w:sz w:val="22"/>
              </w:rPr>
              <w:t>2</w:t>
            </w:r>
          </w:p>
        </w:tc>
        <w:tc>
          <w:tcPr>
            <w:tcW w:w="948" w:type="dxa"/>
            <w:vAlign w:val="center"/>
          </w:tcPr>
          <w:p w14:paraId="53931FDE" w14:textId="77777777" w:rsidR="00BC71AF" w:rsidRPr="007C6E71" w:rsidRDefault="00BC71AF" w:rsidP="008405E3">
            <w:pPr>
              <w:pStyle w:val="Default"/>
              <w:jc w:val="center"/>
              <w:rPr>
                <w:color w:val="auto"/>
                <w:sz w:val="22"/>
              </w:rPr>
            </w:pPr>
            <w:r w:rsidRPr="007C6E71">
              <w:rPr>
                <w:bCs/>
                <w:color w:val="auto"/>
                <w:sz w:val="22"/>
              </w:rPr>
              <w:t>3</w:t>
            </w:r>
          </w:p>
        </w:tc>
        <w:tc>
          <w:tcPr>
            <w:tcW w:w="1226" w:type="dxa"/>
            <w:vAlign w:val="center"/>
          </w:tcPr>
          <w:p w14:paraId="4E3A61F0" w14:textId="77777777" w:rsidR="00BC71AF" w:rsidRPr="007C6E71" w:rsidRDefault="00BC71AF" w:rsidP="008405E3">
            <w:pPr>
              <w:pStyle w:val="Default"/>
              <w:jc w:val="center"/>
              <w:rPr>
                <w:color w:val="auto"/>
                <w:sz w:val="22"/>
              </w:rPr>
            </w:pPr>
            <w:r w:rsidRPr="007C6E71">
              <w:rPr>
                <w:bCs/>
                <w:color w:val="auto"/>
                <w:sz w:val="22"/>
              </w:rPr>
              <w:t>4</w:t>
            </w:r>
          </w:p>
        </w:tc>
      </w:tr>
      <w:tr w:rsidR="00BC71AF" w14:paraId="058B0426" w14:textId="77777777" w:rsidTr="007C6E71">
        <w:trPr>
          <w:trHeight w:val="522"/>
        </w:trPr>
        <w:tc>
          <w:tcPr>
            <w:tcW w:w="3557" w:type="dxa"/>
            <w:shd w:val="clear" w:color="auto" w:fill="C6D9F1"/>
            <w:vAlign w:val="center"/>
          </w:tcPr>
          <w:p w14:paraId="1E8DDC5D" w14:textId="77777777" w:rsidR="00BC71AF" w:rsidRPr="007C6E71" w:rsidRDefault="00BC71AF" w:rsidP="008405E3">
            <w:pPr>
              <w:pStyle w:val="Default"/>
              <w:rPr>
                <w:sz w:val="22"/>
              </w:rPr>
            </w:pPr>
          </w:p>
          <w:p w14:paraId="434BAC42" w14:textId="77777777" w:rsidR="00BC71AF" w:rsidRPr="007C6E71" w:rsidRDefault="00BC71AF" w:rsidP="008405E3">
            <w:pPr>
              <w:pStyle w:val="Default"/>
              <w:rPr>
                <w:sz w:val="22"/>
              </w:rPr>
            </w:pPr>
            <w:r w:rsidRPr="007C6E71">
              <w:rPr>
                <w:sz w:val="22"/>
              </w:rPr>
              <w:t>I have been worrying even though I didn’t want to.</w:t>
            </w:r>
          </w:p>
          <w:p w14:paraId="491C3CF6" w14:textId="77777777" w:rsidR="00BC71AF" w:rsidRPr="007C6E71" w:rsidRDefault="00BC71AF" w:rsidP="008405E3">
            <w:pPr>
              <w:pStyle w:val="Default"/>
              <w:rPr>
                <w:sz w:val="22"/>
              </w:rPr>
            </w:pPr>
          </w:p>
        </w:tc>
        <w:tc>
          <w:tcPr>
            <w:tcW w:w="1110" w:type="dxa"/>
            <w:shd w:val="clear" w:color="auto" w:fill="C6D9F1"/>
            <w:vAlign w:val="center"/>
          </w:tcPr>
          <w:p w14:paraId="5B5B932A" w14:textId="77777777" w:rsidR="00BC71AF" w:rsidRPr="007C6E71" w:rsidRDefault="00BC71AF" w:rsidP="008405E3">
            <w:pPr>
              <w:pStyle w:val="Default"/>
              <w:jc w:val="center"/>
              <w:rPr>
                <w:color w:val="auto"/>
                <w:sz w:val="22"/>
              </w:rPr>
            </w:pPr>
            <w:r w:rsidRPr="007C6E71">
              <w:rPr>
                <w:bCs/>
                <w:color w:val="auto"/>
                <w:sz w:val="22"/>
              </w:rPr>
              <w:t>0</w:t>
            </w:r>
          </w:p>
        </w:tc>
        <w:tc>
          <w:tcPr>
            <w:tcW w:w="1003" w:type="dxa"/>
            <w:shd w:val="clear" w:color="auto" w:fill="C6D9F1"/>
            <w:vAlign w:val="center"/>
          </w:tcPr>
          <w:p w14:paraId="63299E61" w14:textId="77777777" w:rsidR="00BC71AF" w:rsidRPr="007C6E71" w:rsidRDefault="00BC71AF" w:rsidP="008405E3">
            <w:pPr>
              <w:pStyle w:val="Default"/>
              <w:jc w:val="center"/>
              <w:rPr>
                <w:color w:val="auto"/>
                <w:sz w:val="22"/>
              </w:rPr>
            </w:pPr>
            <w:r w:rsidRPr="007C6E71">
              <w:rPr>
                <w:bCs/>
                <w:color w:val="auto"/>
                <w:sz w:val="22"/>
              </w:rPr>
              <w:t>1</w:t>
            </w:r>
          </w:p>
        </w:tc>
        <w:tc>
          <w:tcPr>
            <w:tcW w:w="1087" w:type="dxa"/>
            <w:shd w:val="clear" w:color="auto" w:fill="C6D9F1"/>
            <w:vAlign w:val="center"/>
          </w:tcPr>
          <w:p w14:paraId="4EADCD33" w14:textId="77777777" w:rsidR="00BC71AF" w:rsidRPr="007C6E71" w:rsidRDefault="00BC71AF" w:rsidP="008405E3">
            <w:pPr>
              <w:pStyle w:val="Default"/>
              <w:jc w:val="center"/>
              <w:rPr>
                <w:color w:val="auto"/>
                <w:sz w:val="22"/>
              </w:rPr>
            </w:pPr>
            <w:r w:rsidRPr="007C6E71">
              <w:rPr>
                <w:bCs/>
                <w:color w:val="auto"/>
                <w:sz w:val="22"/>
              </w:rPr>
              <w:t>2</w:t>
            </w:r>
          </w:p>
        </w:tc>
        <w:tc>
          <w:tcPr>
            <w:tcW w:w="948" w:type="dxa"/>
            <w:shd w:val="clear" w:color="auto" w:fill="C6D9F1"/>
            <w:vAlign w:val="center"/>
          </w:tcPr>
          <w:p w14:paraId="7CA5EED2" w14:textId="77777777" w:rsidR="00BC71AF" w:rsidRPr="007C6E71" w:rsidRDefault="00BC71AF" w:rsidP="008405E3">
            <w:pPr>
              <w:pStyle w:val="Default"/>
              <w:jc w:val="center"/>
              <w:rPr>
                <w:color w:val="auto"/>
                <w:sz w:val="22"/>
              </w:rPr>
            </w:pPr>
            <w:r w:rsidRPr="007C6E71">
              <w:rPr>
                <w:bCs/>
                <w:color w:val="auto"/>
                <w:sz w:val="22"/>
              </w:rPr>
              <w:t>3</w:t>
            </w:r>
          </w:p>
        </w:tc>
        <w:tc>
          <w:tcPr>
            <w:tcW w:w="1226" w:type="dxa"/>
            <w:shd w:val="clear" w:color="auto" w:fill="C6D9F1"/>
            <w:vAlign w:val="center"/>
          </w:tcPr>
          <w:p w14:paraId="04C7F191" w14:textId="77777777" w:rsidR="00BC71AF" w:rsidRPr="007C6E71" w:rsidRDefault="00BC71AF" w:rsidP="008405E3">
            <w:pPr>
              <w:pStyle w:val="Default"/>
              <w:jc w:val="center"/>
              <w:rPr>
                <w:color w:val="auto"/>
                <w:sz w:val="22"/>
              </w:rPr>
            </w:pPr>
            <w:r w:rsidRPr="007C6E71">
              <w:rPr>
                <w:bCs/>
                <w:color w:val="auto"/>
                <w:sz w:val="22"/>
              </w:rPr>
              <w:t>4</w:t>
            </w:r>
          </w:p>
        </w:tc>
      </w:tr>
      <w:tr w:rsidR="00BC71AF" w:rsidRPr="00E01FF0" w14:paraId="0E0EF7C5" w14:textId="77777777" w:rsidTr="007C6E71">
        <w:trPr>
          <w:trHeight w:val="521"/>
        </w:trPr>
        <w:tc>
          <w:tcPr>
            <w:tcW w:w="3557" w:type="dxa"/>
            <w:vAlign w:val="center"/>
          </w:tcPr>
          <w:p w14:paraId="412AC952" w14:textId="77777777" w:rsidR="00BC71AF" w:rsidRPr="007C6E71" w:rsidRDefault="00BC71AF" w:rsidP="008405E3">
            <w:pPr>
              <w:pStyle w:val="Default"/>
              <w:rPr>
                <w:sz w:val="22"/>
              </w:rPr>
            </w:pPr>
          </w:p>
          <w:p w14:paraId="217A2C60" w14:textId="77777777" w:rsidR="00BC71AF" w:rsidRPr="007C6E71" w:rsidRDefault="00BC71AF" w:rsidP="008405E3">
            <w:pPr>
              <w:pStyle w:val="Default"/>
              <w:rPr>
                <w:sz w:val="22"/>
              </w:rPr>
            </w:pPr>
            <w:r w:rsidRPr="007C6E71">
              <w:rPr>
                <w:sz w:val="22"/>
              </w:rPr>
              <w:t>Worry has stopped me focussing on important things in my day.</w:t>
            </w:r>
          </w:p>
          <w:p w14:paraId="670533B1" w14:textId="77777777" w:rsidR="00BC71AF" w:rsidRPr="007C6E71" w:rsidRDefault="00BC71AF" w:rsidP="008405E3">
            <w:pPr>
              <w:pStyle w:val="Default"/>
              <w:rPr>
                <w:sz w:val="22"/>
              </w:rPr>
            </w:pPr>
          </w:p>
        </w:tc>
        <w:tc>
          <w:tcPr>
            <w:tcW w:w="1110" w:type="dxa"/>
            <w:vAlign w:val="center"/>
          </w:tcPr>
          <w:p w14:paraId="4D9CFED1" w14:textId="77777777" w:rsidR="00BC71AF" w:rsidRPr="007C6E71" w:rsidRDefault="00BC71AF" w:rsidP="008405E3">
            <w:pPr>
              <w:pStyle w:val="Default"/>
              <w:jc w:val="center"/>
              <w:rPr>
                <w:color w:val="auto"/>
                <w:sz w:val="22"/>
              </w:rPr>
            </w:pPr>
            <w:r w:rsidRPr="007C6E71">
              <w:rPr>
                <w:bCs/>
                <w:color w:val="auto"/>
                <w:sz w:val="22"/>
              </w:rPr>
              <w:t>0</w:t>
            </w:r>
          </w:p>
        </w:tc>
        <w:tc>
          <w:tcPr>
            <w:tcW w:w="1003" w:type="dxa"/>
            <w:vAlign w:val="center"/>
          </w:tcPr>
          <w:p w14:paraId="1AE878E3" w14:textId="77777777" w:rsidR="00BC71AF" w:rsidRPr="007C6E71" w:rsidRDefault="00BC71AF" w:rsidP="008405E3">
            <w:pPr>
              <w:pStyle w:val="Default"/>
              <w:jc w:val="center"/>
              <w:rPr>
                <w:color w:val="auto"/>
                <w:sz w:val="22"/>
              </w:rPr>
            </w:pPr>
            <w:r w:rsidRPr="007C6E71">
              <w:rPr>
                <w:bCs/>
                <w:color w:val="auto"/>
                <w:sz w:val="22"/>
              </w:rPr>
              <w:t>1</w:t>
            </w:r>
          </w:p>
        </w:tc>
        <w:tc>
          <w:tcPr>
            <w:tcW w:w="1087" w:type="dxa"/>
            <w:vAlign w:val="center"/>
          </w:tcPr>
          <w:p w14:paraId="63725196" w14:textId="77777777" w:rsidR="00BC71AF" w:rsidRPr="007C6E71" w:rsidRDefault="00BC71AF" w:rsidP="008405E3">
            <w:pPr>
              <w:pStyle w:val="Default"/>
              <w:jc w:val="center"/>
              <w:rPr>
                <w:color w:val="auto"/>
                <w:sz w:val="22"/>
              </w:rPr>
            </w:pPr>
            <w:r w:rsidRPr="007C6E71">
              <w:rPr>
                <w:bCs/>
                <w:color w:val="auto"/>
                <w:sz w:val="22"/>
              </w:rPr>
              <w:t>2</w:t>
            </w:r>
          </w:p>
        </w:tc>
        <w:tc>
          <w:tcPr>
            <w:tcW w:w="948" w:type="dxa"/>
            <w:vAlign w:val="center"/>
          </w:tcPr>
          <w:p w14:paraId="33B0DF61" w14:textId="77777777" w:rsidR="00BC71AF" w:rsidRPr="007C6E71" w:rsidRDefault="00BC71AF" w:rsidP="008405E3">
            <w:pPr>
              <w:pStyle w:val="Default"/>
              <w:jc w:val="center"/>
              <w:rPr>
                <w:color w:val="auto"/>
                <w:sz w:val="22"/>
              </w:rPr>
            </w:pPr>
            <w:r w:rsidRPr="007C6E71">
              <w:rPr>
                <w:bCs/>
                <w:color w:val="auto"/>
                <w:sz w:val="22"/>
              </w:rPr>
              <w:t>3</w:t>
            </w:r>
          </w:p>
        </w:tc>
        <w:tc>
          <w:tcPr>
            <w:tcW w:w="1226" w:type="dxa"/>
            <w:vAlign w:val="center"/>
          </w:tcPr>
          <w:p w14:paraId="237657B1" w14:textId="77777777" w:rsidR="00BC71AF" w:rsidRPr="007C6E71" w:rsidRDefault="00BC71AF" w:rsidP="008405E3">
            <w:pPr>
              <w:pStyle w:val="Default"/>
              <w:jc w:val="center"/>
              <w:rPr>
                <w:color w:val="auto"/>
                <w:sz w:val="22"/>
              </w:rPr>
            </w:pPr>
            <w:r w:rsidRPr="007C6E71">
              <w:rPr>
                <w:bCs/>
                <w:color w:val="auto"/>
                <w:sz w:val="22"/>
              </w:rPr>
              <w:t>4</w:t>
            </w:r>
          </w:p>
        </w:tc>
      </w:tr>
      <w:tr w:rsidR="00BC71AF" w14:paraId="4C7563DC" w14:textId="77777777" w:rsidTr="007C6E71">
        <w:trPr>
          <w:trHeight w:val="521"/>
        </w:trPr>
        <w:tc>
          <w:tcPr>
            <w:tcW w:w="3557" w:type="dxa"/>
            <w:shd w:val="clear" w:color="auto" w:fill="C6D9F1"/>
            <w:vAlign w:val="center"/>
          </w:tcPr>
          <w:p w14:paraId="6F440B91" w14:textId="77777777" w:rsidR="00BC71AF" w:rsidRPr="007C6E71" w:rsidRDefault="00BC71AF" w:rsidP="008405E3">
            <w:pPr>
              <w:pStyle w:val="Default"/>
              <w:rPr>
                <w:sz w:val="22"/>
              </w:rPr>
            </w:pPr>
          </w:p>
          <w:p w14:paraId="207CB310" w14:textId="77777777" w:rsidR="00BC71AF" w:rsidRPr="007C6E71" w:rsidRDefault="00BC71AF" w:rsidP="008405E3">
            <w:pPr>
              <w:pStyle w:val="Default"/>
              <w:rPr>
                <w:sz w:val="22"/>
              </w:rPr>
            </w:pPr>
            <w:r w:rsidRPr="007C6E71">
              <w:rPr>
                <w:sz w:val="22"/>
              </w:rPr>
              <w:t>Worry has stopped me sleeping.</w:t>
            </w:r>
          </w:p>
          <w:p w14:paraId="6AEE2A2D" w14:textId="77777777" w:rsidR="00BC71AF" w:rsidRPr="007C6E71" w:rsidRDefault="00BC71AF" w:rsidP="008405E3">
            <w:pPr>
              <w:pStyle w:val="Default"/>
              <w:rPr>
                <w:sz w:val="22"/>
              </w:rPr>
            </w:pPr>
          </w:p>
        </w:tc>
        <w:tc>
          <w:tcPr>
            <w:tcW w:w="1110" w:type="dxa"/>
            <w:shd w:val="clear" w:color="auto" w:fill="C6D9F1"/>
            <w:vAlign w:val="center"/>
          </w:tcPr>
          <w:p w14:paraId="4DD4F77C" w14:textId="77777777" w:rsidR="00BC71AF" w:rsidRPr="007C6E71" w:rsidRDefault="00BC71AF" w:rsidP="008405E3">
            <w:pPr>
              <w:pStyle w:val="Default"/>
              <w:jc w:val="center"/>
              <w:rPr>
                <w:color w:val="auto"/>
                <w:sz w:val="22"/>
              </w:rPr>
            </w:pPr>
            <w:r w:rsidRPr="007C6E71">
              <w:rPr>
                <w:bCs/>
                <w:color w:val="auto"/>
                <w:sz w:val="22"/>
              </w:rPr>
              <w:t>0</w:t>
            </w:r>
          </w:p>
        </w:tc>
        <w:tc>
          <w:tcPr>
            <w:tcW w:w="1003" w:type="dxa"/>
            <w:shd w:val="clear" w:color="auto" w:fill="C6D9F1"/>
            <w:vAlign w:val="center"/>
          </w:tcPr>
          <w:p w14:paraId="7E27228A" w14:textId="77777777" w:rsidR="00BC71AF" w:rsidRPr="007C6E71" w:rsidRDefault="00BC71AF" w:rsidP="008405E3">
            <w:pPr>
              <w:pStyle w:val="Default"/>
              <w:jc w:val="center"/>
              <w:rPr>
                <w:color w:val="auto"/>
                <w:sz w:val="22"/>
              </w:rPr>
            </w:pPr>
            <w:r w:rsidRPr="007C6E71">
              <w:rPr>
                <w:bCs/>
                <w:color w:val="auto"/>
                <w:sz w:val="22"/>
              </w:rPr>
              <w:t>1</w:t>
            </w:r>
          </w:p>
        </w:tc>
        <w:tc>
          <w:tcPr>
            <w:tcW w:w="1087" w:type="dxa"/>
            <w:shd w:val="clear" w:color="auto" w:fill="C6D9F1"/>
            <w:vAlign w:val="center"/>
          </w:tcPr>
          <w:p w14:paraId="3E6507D0" w14:textId="77777777" w:rsidR="00BC71AF" w:rsidRPr="007C6E71" w:rsidRDefault="00BC71AF" w:rsidP="008405E3">
            <w:pPr>
              <w:pStyle w:val="Default"/>
              <w:jc w:val="center"/>
              <w:rPr>
                <w:color w:val="auto"/>
                <w:sz w:val="22"/>
              </w:rPr>
            </w:pPr>
            <w:r w:rsidRPr="007C6E71">
              <w:rPr>
                <w:bCs/>
                <w:color w:val="auto"/>
                <w:sz w:val="22"/>
              </w:rPr>
              <w:t>2</w:t>
            </w:r>
          </w:p>
        </w:tc>
        <w:tc>
          <w:tcPr>
            <w:tcW w:w="948" w:type="dxa"/>
            <w:shd w:val="clear" w:color="auto" w:fill="C6D9F1"/>
            <w:vAlign w:val="center"/>
          </w:tcPr>
          <w:p w14:paraId="44E97DD2" w14:textId="77777777" w:rsidR="00BC71AF" w:rsidRPr="007C6E71" w:rsidRDefault="00BC71AF" w:rsidP="008405E3">
            <w:pPr>
              <w:pStyle w:val="Default"/>
              <w:jc w:val="center"/>
              <w:rPr>
                <w:color w:val="auto"/>
                <w:sz w:val="22"/>
              </w:rPr>
            </w:pPr>
            <w:r w:rsidRPr="007C6E71">
              <w:rPr>
                <w:bCs/>
                <w:color w:val="auto"/>
                <w:sz w:val="22"/>
              </w:rPr>
              <w:t>3</w:t>
            </w:r>
          </w:p>
        </w:tc>
        <w:tc>
          <w:tcPr>
            <w:tcW w:w="1226" w:type="dxa"/>
            <w:shd w:val="clear" w:color="auto" w:fill="C6D9F1"/>
            <w:vAlign w:val="center"/>
          </w:tcPr>
          <w:p w14:paraId="4C8CB12A" w14:textId="77777777" w:rsidR="00BC71AF" w:rsidRPr="007C6E71" w:rsidRDefault="00BC71AF" w:rsidP="008405E3">
            <w:pPr>
              <w:pStyle w:val="Default"/>
              <w:jc w:val="center"/>
              <w:rPr>
                <w:color w:val="auto"/>
                <w:sz w:val="22"/>
              </w:rPr>
            </w:pPr>
            <w:r w:rsidRPr="007C6E71">
              <w:rPr>
                <w:bCs/>
                <w:color w:val="auto"/>
                <w:sz w:val="22"/>
              </w:rPr>
              <w:t>4</w:t>
            </w:r>
          </w:p>
        </w:tc>
      </w:tr>
      <w:tr w:rsidR="00BC71AF" w:rsidRPr="00E01FF0" w14:paraId="2CE7208E" w14:textId="77777777" w:rsidTr="007C6E71">
        <w:trPr>
          <w:trHeight w:val="522"/>
        </w:trPr>
        <w:tc>
          <w:tcPr>
            <w:tcW w:w="3557" w:type="dxa"/>
            <w:vAlign w:val="center"/>
          </w:tcPr>
          <w:p w14:paraId="4E84D353" w14:textId="77777777" w:rsidR="00BC71AF" w:rsidRPr="007C6E71" w:rsidRDefault="00BC71AF" w:rsidP="008405E3">
            <w:pPr>
              <w:pStyle w:val="Default"/>
              <w:rPr>
                <w:sz w:val="22"/>
              </w:rPr>
            </w:pPr>
          </w:p>
          <w:p w14:paraId="58AC0047" w14:textId="77777777" w:rsidR="00BC71AF" w:rsidRPr="007C6E71" w:rsidRDefault="00BC71AF" w:rsidP="008405E3">
            <w:pPr>
              <w:pStyle w:val="Default"/>
              <w:rPr>
                <w:sz w:val="22"/>
              </w:rPr>
            </w:pPr>
            <w:r w:rsidRPr="007C6E71">
              <w:rPr>
                <w:sz w:val="22"/>
              </w:rPr>
              <w:t>Worry has caused me to feel upset.</w:t>
            </w:r>
          </w:p>
          <w:p w14:paraId="59937790" w14:textId="77777777" w:rsidR="00BC71AF" w:rsidRPr="007C6E71" w:rsidRDefault="00BC71AF" w:rsidP="008405E3">
            <w:pPr>
              <w:pStyle w:val="Default"/>
              <w:rPr>
                <w:sz w:val="22"/>
              </w:rPr>
            </w:pPr>
          </w:p>
        </w:tc>
        <w:tc>
          <w:tcPr>
            <w:tcW w:w="1110" w:type="dxa"/>
            <w:vAlign w:val="center"/>
          </w:tcPr>
          <w:p w14:paraId="095EAC01" w14:textId="77777777" w:rsidR="00BC71AF" w:rsidRPr="007C6E71" w:rsidRDefault="00BC71AF" w:rsidP="008405E3">
            <w:pPr>
              <w:pStyle w:val="Default"/>
              <w:jc w:val="center"/>
              <w:rPr>
                <w:color w:val="auto"/>
                <w:sz w:val="22"/>
              </w:rPr>
            </w:pPr>
            <w:r w:rsidRPr="007C6E71">
              <w:rPr>
                <w:bCs/>
                <w:color w:val="auto"/>
                <w:sz w:val="22"/>
              </w:rPr>
              <w:t>0</w:t>
            </w:r>
          </w:p>
        </w:tc>
        <w:tc>
          <w:tcPr>
            <w:tcW w:w="1003" w:type="dxa"/>
            <w:vAlign w:val="center"/>
          </w:tcPr>
          <w:p w14:paraId="0FF949EE" w14:textId="77777777" w:rsidR="00BC71AF" w:rsidRPr="007C6E71" w:rsidRDefault="00BC71AF" w:rsidP="008405E3">
            <w:pPr>
              <w:pStyle w:val="Default"/>
              <w:jc w:val="center"/>
              <w:rPr>
                <w:color w:val="auto"/>
                <w:sz w:val="22"/>
              </w:rPr>
            </w:pPr>
            <w:r w:rsidRPr="007C6E71">
              <w:rPr>
                <w:bCs/>
                <w:color w:val="auto"/>
                <w:sz w:val="22"/>
              </w:rPr>
              <w:t>1</w:t>
            </w:r>
          </w:p>
        </w:tc>
        <w:tc>
          <w:tcPr>
            <w:tcW w:w="1087" w:type="dxa"/>
            <w:vAlign w:val="center"/>
          </w:tcPr>
          <w:p w14:paraId="6995DF57" w14:textId="77777777" w:rsidR="00BC71AF" w:rsidRPr="007C6E71" w:rsidRDefault="00BC71AF" w:rsidP="008405E3">
            <w:pPr>
              <w:pStyle w:val="Default"/>
              <w:jc w:val="center"/>
              <w:rPr>
                <w:color w:val="auto"/>
                <w:sz w:val="22"/>
              </w:rPr>
            </w:pPr>
            <w:r w:rsidRPr="007C6E71">
              <w:rPr>
                <w:bCs/>
                <w:color w:val="auto"/>
                <w:sz w:val="22"/>
              </w:rPr>
              <w:t>2</w:t>
            </w:r>
          </w:p>
        </w:tc>
        <w:tc>
          <w:tcPr>
            <w:tcW w:w="948" w:type="dxa"/>
            <w:vAlign w:val="center"/>
          </w:tcPr>
          <w:p w14:paraId="35A5E911" w14:textId="77777777" w:rsidR="00BC71AF" w:rsidRPr="007C6E71" w:rsidRDefault="00BC71AF" w:rsidP="008405E3">
            <w:pPr>
              <w:pStyle w:val="Default"/>
              <w:jc w:val="center"/>
              <w:rPr>
                <w:color w:val="auto"/>
                <w:sz w:val="22"/>
              </w:rPr>
            </w:pPr>
            <w:r w:rsidRPr="007C6E71">
              <w:rPr>
                <w:bCs/>
                <w:color w:val="auto"/>
                <w:sz w:val="22"/>
              </w:rPr>
              <w:t>3</w:t>
            </w:r>
          </w:p>
        </w:tc>
        <w:tc>
          <w:tcPr>
            <w:tcW w:w="1226" w:type="dxa"/>
            <w:vAlign w:val="center"/>
          </w:tcPr>
          <w:p w14:paraId="38EB108F" w14:textId="77777777" w:rsidR="00BC71AF" w:rsidRPr="007C6E71" w:rsidRDefault="00BC71AF" w:rsidP="008405E3">
            <w:pPr>
              <w:pStyle w:val="Default"/>
              <w:jc w:val="center"/>
              <w:rPr>
                <w:color w:val="auto"/>
                <w:sz w:val="22"/>
              </w:rPr>
            </w:pPr>
            <w:r w:rsidRPr="007C6E71">
              <w:rPr>
                <w:bCs/>
                <w:color w:val="auto"/>
                <w:sz w:val="22"/>
              </w:rPr>
              <w:t>4</w:t>
            </w:r>
          </w:p>
        </w:tc>
      </w:tr>
      <w:tr w:rsidR="00BC71AF" w14:paraId="0BB755EF" w14:textId="77777777" w:rsidTr="007C6E71">
        <w:trPr>
          <w:trHeight w:val="521"/>
        </w:trPr>
        <w:tc>
          <w:tcPr>
            <w:tcW w:w="3557" w:type="dxa"/>
            <w:shd w:val="clear" w:color="auto" w:fill="C6D9F1"/>
            <w:vAlign w:val="center"/>
          </w:tcPr>
          <w:p w14:paraId="39D8C2ED" w14:textId="77777777" w:rsidR="00BC71AF" w:rsidRPr="007C6E71" w:rsidRDefault="00BC71AF" w:rsidP="008405E3">
            <w:pPr>
              <w:pStyle w:val="Default"/>
              <w:rPr>
                <w:sz w:val="22"/>
              </w:rPr>
            </w:pPr>
          </w:p>
          <w:p w14:paraId="4BBAC1AF" w14:textId="77777777" w:rsidR="00BC71AF" w:rsidRPr="007C6E71" w:rsidRDefault="00BC71AF" w:rsidP="008405E3">
            <w:pPr>
              <w:pStyle w:val="Default"/>
              <w:rPr>
                <w:sz w:val="22"/>
              </w:rPr>
            </w:pPr>
            <w:r w:rsidRPr="007C6E71">
              <w:rPr>
                <w:sz w:val="22"/>
              </w:rPr>
              <w:t>Worry has made me feel stressed.</w:t>
            </w:r>
          </w:p>
          <w:p w14:paraId="56A52A45" w14:textId="77777777" w:rsidR="00BC71AF" w:rsidRPr="007C6E71" w:rsidRDefault="00BC71AF" w:rsidP="008405E3">
            <w:pPr>
              <w:pStyle w:val="Default"/>
              <w:rPr>
                <w:sz w:val="22"/>
              </w:rPr>
            </w:pPr>
          </w:p>
        </w:tc>
        <w:tc>
          <w:tcPr>
            <w:tcW w:w="1110" w:type="dxa"/>
            <w:shd w:val="clear" w:color="auto" w:fill="C6D9F1"/>
            <w:vAlign w:val="center"/>
          </w:tcPr>
          <w:p w14:paraId="19536EC9" w14:textId="77777777" w:rsidR="00BC71AF" w:rsidRPr="007C6E71" w:rsidRDefault="00BC71AF" w:rsidP="008405E3">
            <w:pPr>
              <w:pStyle w:val="Default"/>
              <w:jc w:val="center"/>
              <w:rPr>
                <w:color w:val="auto"/>
                <w:sz w:val="22"/>
              </w:rPr>
            </w:pPr>
            <w:r w:rsidRPr="007C6E71">
              <w:rPr>
                <w:bCs/>
                <w:color w:val="auto"/>
                <w:sz w:val="22"/>
              </w:rPr>
              <w:t>0</w:t>
            </w:r>
          </w:p>
        </w:tc>
        <w:tc>
          <w:tcPr>
            <w:tcW w:w="1003" w:type="dxa"/>
            <w:shd w:val="clear" w:color="auto" w:fill="C6D9F1"/>
            <w:vAlign w:val="center"/>
          </w:tcPr>
          <w:p w14:paraId="30CDE711" w14:textId="77777777" w:rsidR="00BC71AF" w:rsidRPr="007C6E71" w:rsidRDefault="00BC71AF" w:rsidP="008405E3">
            <w:pPr>
              <w:pStyle w:val="Default"/>
              <w:jc w:val="center"/>
              <w:rPr>
                <w:color w:val="auto"/>
                <w:sz w:val="22"/>
              </w:rPr>
            </w:pPr>
            <w:r w:rsidRPr="007C6E71">
              <w:rPr>
                <w:bCs/>
                <w:color w:val="auto"/>
                <w:sz w:val="22"/>
              </w:rPr>
              <w:t>1</w:t>
            </w:r>
          </w:p>
        </w:tc>
        <w:tc>
          <w:tcPr>
            <w:tcW w:w="1087" w:type="dxa"/>
            <w:shd w:val="clear" w:color="auto" w:fill="C6D9F1"/>
            <w:vAlign w:val="center"/>
          </w:tcPr>
          <w:p w14:paraId="66264D0B" w14:textId="77777777" w:rsidR="00BC71AF" w:rsidRPr="007C6E71" w:rsidRDefault="00BC71AF" w:rsidP="008405E3">
            <w:pPr>
              <w:pStyle w:val="Default"/>
              <w:jc w:val="center"/>
              <w:rPr>
                <w:color w:val="auto"/>
                <w:sz w:val="22"/>
              </w:rPr>
            </w:pPr>
            <w:r w:rsidRPr="007C6E71">
              <w:rPr>
                <w:bCs/>
                <w:color w:val="auto"/>
                <w:sz w:val="22"/>
              </w:rPr>
              <w:t>2</w:t>
            </w:r>
          </w:p>
        </w:tc>
        <w:tc>
          <w:tcPr>
            <w:tcW w:w="948" w:type="dxa"/>
            <w:shd w:val="clear" w:color="auto" w:fill="C6D9F1"/>
            <w:vAlign w:val="center"/>
          </w:tcPr>
          <w:p w14:paraId="66667EFA" w14:textId="77777777" w:rsidR="00BC71AF" w:rsidRPr="007C6E71" w:rsidRDefault="00BC71AF" w:rsidP="008405E3">
            <w:pPr>
              <w:pStyle w:val="Default"/>
              <w:jc w:val="center"/>
              <w:rPr>
                <w:color w:val="auto"/>
                <w:sz w:val="22"/>
              </w:rPr>
            </w:pPr>
            <w:r w:rsidRPr="007C6E71">
              <w:rPr>
                <w:bCs/>
                <w:color w:val="auto"/>
                <w:sz w:val="22"/>
              </w:rPr>
              <w:t>3</w:t>
            </w:r>
          </w:p>
        </w:tc>
        <w:tc>
          <w:tcPr>
            <w:tcW w:w="1226" w:type="dxa"/>
            <w:shd w:val="clear" w:color="auto" w:fill="C6D9F1"/>
            <w:vAlign w:val="center"/>
          </w:tcPr>
          <w:p w14:paraId="052230D0" w14:textId="77777777" w:rsidR="00BC71AF" w:rsidRPr="007C6E71" w:rsidRDefault="00BC71AF" w:rsidP="008405E3">
            <w:pPr>
              <w:pStyle w:val="Default"/>
              <w:jc w:val="center"/>
              <w:rPr>
                <w:color w:val="auto"/>
                <w:sz w:val="22"/>
              </w:rPr>
            </w:pPr>
            <w:r w:rsidRPr="007C6E71">
              <w:rPr>
                <w:bCs/>
                <w:color w:val="auto"/>
                <w:sz w:val="22"/>
              </w:rPr>
              <w:t>4</w:t>
            </w:r>
          </w:p>
        </w:tc>
      </w:tr>
      <w:tr w:rsidR="00BC71AF" w:rsidRPr="00E01FF0" w14:paraId="07795860" w14:textId="77777777" w:rsidTr="007C6E71">
        <w:trPr>
          <w:trHeight w:val="521"/>
        </w:trPr>
        <w:tc>
          <w:tcPr>
            <w:tcW w:w="3557" w:type="dxa"/>
            <w:vAlign w:val="center"/>
          </w:tcPr>
          <w:p w14:paraId="13687869" w14:textId="77777777" w:rsidR="00BC71AF" w:rsidRPr="007C6E71" w:rsidRDefault="00BC71AF" w:rsidP="008405E3">
            <w:pPr>
              <w:pStyle w:val="Default"/>
              <w:rPr>
                <w:sz w:val="22"/>
              </w:rPr>
            </w:pPr>
          </w:p>
          <w:p w14:paraId="29E00BAB" w14:textId="77777777" w:rsidR="00BC71AF" w:rsidRPr="007C6E71" w:rsidRDefault="00BC71AF" w:rsidP="008405E3">
            <w:pPr>
              <w:pStyle w:val="Default"/>
              <w:rPr>
                <w:sz w:val="22"/>
              </w:rPr>
            </w:pPr>
            <w:r w:rsidRPr="007C6E71">
              <w:rPr>
                <w:sz w:val="22"/>
              </w:rPr>
              <w:t>Worry has made me feel anxious.</w:t>
            </w:r>
          </w:p>
          <w:p w14:paraId="132C6974" w14:textId="77777777" w:rsidR="00BC71AF" w:rsidRPr="007C6E71" w:rsidRDefault="00BC71AF" w:rsidP="008405E3">
            <w:pPr>
              <w:pStyle w:val="Default"/>
              <w:rPr>
                <w:sz w:val="22"/>
              </w:rPr>
            </w:pPr>
          </w:p>
        </w:tc>
        <w:tc>
          <w:tcPr>
            <w:tcW w:w="1110" w:type="dxa"/>
            <w:vAlign w:val="center"/>
          </w:tcPr>
          <w:p w14:paraId="29D641D0" w14:textId="77777777" w:rsidR="00BC71AF" w:rsidRPr="007C6E71" w:rsidRDefault="00BC71AF" w:rsidP="008405E3">
            <w:pPr>
              <w:pStyle w:val="Default"/>
              <w:jc w:val="center"/>
              <w:rPr>
                <w:color w:val="auto"/>
                <w:sz w:val="22"/>
              </w:rPr>
            </w:pPr>
            <w:r w:rsidRPr="007C6E71">
              <w:rPr>
                <w:bCs/>
                <w:color w:val="auto"/>
                <w:sz w:val="22"/>
              </w:rPr>
              <w:t>0</w:t>
            </w:r>
          </w:p>
        </w:tc>
        <w:tc>
          <w:tcPr>
            <w:tcW w:w="1003" w:type="dxa"/>
            <w:vAlign w:val="center"/>
          </w:tcPr>
          <w:p w14:paraId="1BA784A8" w14:textId="77777777" w:rsidR="00BC71AF" w:rsidRPr="007C6E71" w:rsidRDefault="00BC71AF" w:rsidP="008405E3">
            <w:pPr>
              <w:pStyle w:val="Default"/>
              <w:jc w:val="center"/>
              <w:rPr>
                <w:color w:val="auto"/>
                <w:sz w:val="22"/>
              </w:rPr>
            </w:pPr>
            <w:r w:rsidRPr="007C6E71">
              <w:rPr>
                <w:bCs/>
                <w:color w:val="auto"/>
                <w:sz w:val="22"/>
              </w:rPr>
              <w:t>1</w:t>
            </w:r>
          </w:p>
        </w:tc>
        <w:tc>
          <w:tcPr>
            <w:tcW w:w="1087" w:type="dxa"/>
            <w:vAlign w:val="center"/>
          </w:tcPr>
          <w:p w14:paraId="0498EE70" w14:textId="77777777" w:rsidR="00BC71AF" w:rsidRPr="007C6E71" w:rsidRDefault="00BC71AF" w:rsidP="008405E3">
            <w:pPr>
              <w:pStyle w:val="Default"/>
              <w:jc w:val="center"/>
              <w:rPr>
                <w:color w:val="auto"/>
                <w:sz w:val="22"/>
              </w:rPr>
            </w:pPr>
            <w:r w:rsidRPr="007C6E71">
              <w:rPr>
                <w:bCs/>
                <w:color w:val="auto"/>
                <w:sz w:val="22"/>
              </w:rPr>
              <w:t>2</w:t>
            </w:r>
          </w:p>
        </w:tc>
        <w:tc>
          <w:tcPr>
            <w:tcW w:w="948" w:type="dxa"/>
            <w:vAlign w:val="center"/>
          </w:tcPr>
          <w:p w14:paraId="79FFE426" w14:textId="77777777" w:rsidR="00BC71AF" w:rsidRPr="007C6E71" w:rsidRDefault="00BC71AF" w:rsidP="008405E3">
            <w:pPr>
              <w:pStyle w:val="Default"/>
              <w:jc w:val="center"/>
              <w:rPr>
                <w:color w:val="auto"/>
                <w:sz w:val="22"/>
              </w:rPr>
            </w:pPr>
            <w:r w:rsidRPr="007C6E71">
              <w:rPr>
                <w:bCs/>
                <w:color w:val="auto"/>
                <w:sz w:val="22"/>
              </w:rPr>
              <w:t>3</w:t>
            </w:r>
          </w:p>
        </w:tc>
        <w:tc>
          <w:tcPr>
            <w:tcW w:w="1226" w:type="dxa"/>
            <w:vAlign w:val="center"/>
          </w:tcPr>
          <w:p w14:paraId="68E07F1D" w14:textId="77777777" w:rsidR="00BC71AF" w:rsidRPr="007C6E71" w:rsidRDefault="00BC71AF" w:rsidP="008405E3">
            <w:pPr>
              <w:pStyle w:val="Default"/>
              <w:jc w:val="center"/>
              <w:rPr>
                <w:color w:val="auto"/>
                <w:sz w:val="22"/>
              </w:rPr>
            </w:pPr>
            <w:r w:rsidRPr="007C6E71">
              <w:rPr>
                <w:bCs/>
                <w:color w:val="auto"/>
                <w:sz w:val="22"/>
              </w:rPr>
              <w:t>4</w:t>
            </w:r>
          </w:p>
        </w:tc>
      </w:tr>
      <w:tr w:rsidR="00BC71AF" w14:paraId="0C85F792" w14:textId="77777777" w:rsidTr="007C6E71">
        <w:trPr>
          <w:trHeight w:val="521"/>
        </w:trPr>
        <w:tc>
          <w:tcPr>
            <w:tcW w:w="3557" w:type="dxa"/>
            <w:shd w:val="clear" w:color="auto" w:fill="C6D9F1"/>
            <w:vAlign w:val="center"/>
          </w:tcPr>
          <w:p w14:paraId="5540105F" w14:textId="77777777" w:rsidR="00BC71AF" w:rsidRPr="007C6E71" w:rsidRDefault="00BC71AF" w:rsidP="008405E3">
            <w:pPr>
              <w:pStyle w:val="Default"/>
              <w:rPr>
                <w:sz w:val="22"/>
              </w:rPr>
            </w:pPr>
          </w:p>
          <w:p w14:paraId="15C100E1" w14:textId="77777777" w:rsidR="00BC71AF" w:rsidRPr="007C6E71" w:rsidRDefault="00BC71AF" w:rsidP="008405E3">
            <w:pPr>
              <w:pStyle w:val="Default"/>
              <w:rPr>
                <w:sz w:val="22"/>
              </w:rPr>
            </w:pPr>
            <w:r w:rsidRPr="007C6E71">
              <w:rPr>
                <w:sz w:val="22"/>
              </w:rPr>
              <w:t>Worry has made me feel hopeless.</w:t>
            </w:r>
          </w:p>
          <w:p w14:paraId="284B6E96" w14:textId="77777777" w:rsidR="00BC71AF" w:rsidRPr="007C6E71" w:rsidRDefault="00BC71AF" w:rsidP="008405E3">
            <w:pPr>
              <w:pStyle w:val="Default"/>
              <w:rPr>
                <w:sz w:val="22"/>
              </w:rPr>
            </w:pPr>
          </w:p>
        </w:tc>
        <w:tc>
          <w:tcPr>
            <w:tcW w:w="1110" w:type="dxa"/>
            <w:shd w:val="clear" w:color="auto" w:fill="C6D9F1"/>
            <w:vAlign w:val="center"/>
          </w:tcPr>
          <w:p w14:paraId="70DE48D4" w14:textId="77777777" w:rsidR="00BC71AF" w:rsidRPr="007C6E71" w:rsidRDefault="00BC71AF" w:rsidP="008405E3">
            <w:pPr>
              <w:pStyle w:val="Default"/>
              <w:jc w:val="center"/>
              <w:rPr>
                <w:color w:val="auto"/>
                <w:sz w:val="22"/>
              </w:rPr>
            </w:pPr>
            <w:r w:rsidRPr="007C6E71">
              <w:rPr>
                <w:bCs/>
                <w:color w:val="auto"/>
                <w:sz w:val="22"/>
              </w:rPr>
              <w:t>0</w:t>
            </w:r>
          </w:p>
        </w:tc>
        <w:tc>
          <w:tcPr>
            <w:tcW w:w="1003" w:type="dxa"/>
            <w:shd w:val="clear" w:color="auto" w:fill="C6D9F1"/>
            <w:vAlign w:val="center"/>
          </w:tcPr>
          <w:p w14:paraId="1A9CF324" w14:textId="77777777" w:rsidR="00BC71AF" w:rsidRPr="007C6E71" w:rsidRDefault="00BC71AF" w:rsidP="008405E3">
            <w:pPr>
              <w:pStyle w:val="Default"/>
              <w:jc w:val="center"/>
              <w:rPr>
                <w:color w:val="auto"/>
                <w:sz w:val="22"/>
              </w:rPr>
            </w:pPr>
            <w:r w:rsidRPr="007C6E71">
              <w:rPr>
                <w:bCs/>
                <w:color w:val="auto"/>
                <w:sz w:val="22"/>
              </w:rPr>
              <w:t>1</w:t>
            </w:r>
          </w:p>
        </w:tc>
        <w:tc>
          <w:tcPr>
            <w:tcW w:w="1087" w:type="dxa"/>
            <w:shd w:val="clear" w:color="auto" w:fill="C6D9F1"/>
            <w:vAlign w:val="center"/>
          </w:tcPr>
          <w:p w14:paraId="122864CD" w14:textId="77777777" w:rsidR="00BC71AF" w:rsidRPr="007C6E71" w:rsidRDefault="00BC71AF" w:rsidP="008405E3">
            <w:pPr>
              <w:pStyle w:val="Default"/>
              <w:jc w:val="center"/>
              <w:rPr>
                <w:color w:val="auto"/>
                <w:sz w:val="22"/>
              </w:rPr>
            </w:pPr>
            <w:r w:rsidRPr="007C6E71">
              <w:rPr>
                <w:bCs/>
                <w:color w:val="auto"/>
                <w:sz w:val="22"/>
              </w:rPr>
              <w:t>2</w:t>
            </w:r>
          </w:p>
        </w:tc>
        <w:tc>
          <w:tcPr>
            <w:tcW w:w="948" w:type="dxa"/>
            <w:shd w:val="clear" w:color="auto" w:fill="C6D9F1"/>
            <w:vAlign w:val="center"/>
          </w:tcPr>
          <w:p w14:paraId="32AFD335" w14:textId="77777777" w:rsidR="00BC71AF" w:rsidRPr="007C6E71" w:rsidRDefault="00BC71AF" w:rsidP="008405E3">
            <w:pPr>
              <w:pStyle w:val="Default"/>
              <w:jc w:val="center"/>
              <w:rPr>
                <w:color w:val="auto"/>
                <w:sz w:val="22"/>
              </w:rPr>
            </w:pPr>
            <w:r w:rsidRPr="007C6E71">
              <w:rPr>
                <w:bCs/>
                <w:color w:val="auto"/>
                <w:sz w:val="22"/>
              </w:rPr>
              <w:t>3</w:t>
            </w:r>
          </w:p>
        </w:tc>
        <w:tc>
          <w:tcPr>
            <w:tcW w:w="1226" w:type="dxa"/>
            <w:shd w:val="clear" w:color="auto" w:fill="C6D9F1"/>
            <w:vAlign w:val="center"/>
          </w:tcPr>
          <w:p w14:paraId="1E465DB7" w14:textId="77777777" w:rsidR="00BC71AF" w:rsidRPr="007C6E71" w:rsidRDefault="00BC71AF" w:rsidP="008405E3">
            <w:pPr>
              <w:pStyle w:val="Default"/>
              <w:jc w:val="center"/>
              <w:rPr>
                <w:color w:val="auto"/>
                <w:sz w:val="22"/>
              </w:rPr>
            </w:pPr>
            <w:r w:rsidRPr="007C6E71">
              <w:rPr>
                <w:bCs/>
                <w:color w:val="auto"/>
                <w:sz w:val="22"/>
              </w:rPr>
              <w:t>4</w:t>
            </w:r>
          </w:p>
        </w:tc>
      </w:tr>
    </w:tbl>
    <w:p w14:paraId="0A775776" w14:textId="77777777" w:rsidR="00BC71AF" w:rsidRDefault="00BC71AF" w:rsidP="00BC71AF">
      <w:pPr>
        <w:rPr>
          <w:rFonts w:ascii="Garamond" w:hAnsi="Garamond"/>
          <w:sz w:val="24"/>
          <w:szCs w:val="24"/>
          <w:highlight w:val="yellow"/>
        </w:rPr>
      </w:pPr>
    </w:p>
    <w:p w14:paraId="1F62FEEB" w14:textId="77777777" w:rsidR="00BC71AF" w:rsidRDefault="00BC71AF" w:rsidP="00BC71AF">
      <w:pPr>
        <w:rPr>
          <w:rFonts w:ascii="Garamond" w:hAnsi="Garamond"/>
          <w:b/>
          <w:sz w:val="24"/>
          <w:szCs w:val="24"/>
        </w:rPr>
      </w:pPr>
    </w:p>
    <w:p w14:paraId="33DA47ED" w14:textId="77777777" w:rsidR="00BC71AF" w:rsidRDefault="00BC71AF" w:rsidP="00BC71AF">
      <w:pPr>
        <w:rPr>
          <w:rFonts w:ascii="Garamond" w:hAnsi="Garamond"/>
          <w:b/>
          <w:sz w:val="24"/>
          <w:szCs w:val="24"/>
        </w:rPr>
      </w:pPr>
      <w:r>
        <w:rPr>
          <w:rFonts w:ascii="Garamond" w:hAnsi="Garamond"/>
          <w:b/>
          <w:sz w:val="24"/>
          <w:szCs w:val="24"/>
        </w:rPr>
        <w:br w:type="page"/>
      </w:r>
    </w:p>
    <w:p w14:paraId="58061EAC" w14:textId="77777777" w:rsidR="00BC71AF" w:rsidRDefault="00BC71AF" w:rsidP="00BC71AF">
      <w:pPr>
        <w:rPr>
          <w:rFonts w:ascii="Garamond" w:hAnsi="Garamond"/>
          <w:b/>
          <w:sz w:val="24"/>
          <w:szCs w:val="24"/>
        </w:rPr>
      </w:pPr>
      <w:r>
        <w:rPr>
          <w:rFonts w:ascii="Garamond" w:hAnsi="Garamond"/>
          <w:b/>
          <w:sz w:val="24"/>
          <w:szCs w:val="24"/>
        </w:rPr>
        <w:lastRenderedPageBreak/>
        <w:t xml:space="preserve">2. </w:t>
      </w:r>
      <w:r w:rsidRPr="00AE35D5">
        <w:rPr>
          <w:rFonts w:ascii="Garamond" w:hAnsi="Garamond"/>
          <w:b/>
          <w:sz w:val="24"/>
          <w:szCs w:val="24"/>
        </w:rPr>
        <w:t>The Paranoia Worries Questionnaire</w:t>
      </w:r>
    </w:p>
    <w:p w14:paraId="7DD38293" w14:textId="77777777" w:rsidR="00BC71AF" w:rsidRPr="0064597B" w:rsidRDefault="00BC71AF" w:rsidP="00BC71AF">
      <w:pPr>
        <w:pStyle w:val="Default"/>
        <w:tabs>
          <w:tab w:val="left" w:pos="8640"/>
        </w:tabs>
        <w:rPr>
          <w:bCs/>
          <w:sz w:val="22"/>
          <w:szCs w:val="22"/>
        </w:rPr>
      </w:pPr>
      <w:r w:rsidRPr="0064597B">
        <w:rPr>
          <w:bCs/>
          <w:sz w:val="22"/>
          <w:szCs w:val="22"/>
        </w:rPr>
        <w:t>The following items concern worries you may have about others trying to upset or harm you.</w:t>
      </w:r>
    </w:p>
    <w:p w14:paraId="3645364B" w14:textId="77777777" w:rsidR="00BC71AF" w:rsidRDefault="00BC71AF" w:rsidP="00BC71AF">
      <w:pPr>
        <w:pStyle w:val="Default"/>
        <w:rPr>
          <w:rFonts w:ascii="Garamond" w:hAnsi="Garamond"/>
        </w:rPr>
      </w:pPr>
      <w:r w:rsidRPr="0064597B">
        <w:rPr>
          <w:bCs/>
          <w:sz w:val="22"/>
          <w:szCs w:val="22"/>
        </w:rPr>
        <w:t xml:space="preserve">Please circle the numbers that best describe your experience </w:t>
      </w:r>
      <w:r w:rsidRPr="0064597B">
        <w:rPr>
          <w:b/>
          <w:bCs/>
          <w:sz w:val="22"/>
          <w:szCs w:val="22"/>
        </w:rPr>
        <w:t>in the past month</w:t>
      </w:r>
      <w:r>
        <w:rPr>
          <w:b/>
          <w:bCs/>
          <w:sz w:val="22"/>
          <w:szCs w:val="22"/>
        </w:rPr>
        <w:t>.</w:t>
      </w:r>
    </w:p>
    <w:tbl>
      <w:tblPr>
        <w:tblpPr w:leftFromText="180" w:rightFromText="180" w:vertAnchor="page" w:horzAnchor="margin" w:tblpY="2837"/>
        <w:tblW w:w="8909" w:type="dxa"/>
        <w:tblBorders>
          <w:top w:val="nil"/>
          <w:left w:val="nil"/>
          <w:bottom w:val="nil"/>
          <w:right w:val="nil"/>
        </w:tblBorders>
        <w:tblLook w:val="0000" w:firstRow="0" w:lastRow="0" w:firstColumn="0" w:lastColumn="0" w:noHBand="0" w:noVBand="0"/>
      </w:tblPr>
      <w:tblGrid>
        <w:gridCol w:w="3917"/>
        <w:gridCol w:w="967"/>
        <w:gridCol w:w="967"/>
        <w:gridCol w:w="968"/>
        <w:gridCol w:w="967"/>
        <w:gridCol w:w="1123"/>
      </w:tblGrid>
      <w:tr w:rsidR="00BC71AF" w14:paraId="458F612A" w14:textId="77777777" w:rsidTr="007C6E71">
        <w:trPr>
          <w:trHeight w:val="878"/>
        </w:trPr>
        <w:tc>
          <w:tcPr>
            <w:tcW w:w="3917" w:type="dxa"/>
            <w:tcBorders>
              <w:top w:val="single" w:sz="12" w:space="0" w:color="000000"/>
              <w:left w:val="single" w:sz="12" w:space="0" w:color="000000"/>
              <w:bottom w:val="single" w:sz="8" w:space="0" w:color="000000"/>
              <w:right w:val="single" w:sz="8" w:space="0" w:color="000000"/>
            </w:tcBorders>
            <w:shd w:val="clear" w:color="auto" w:fill="8DB3E2"/>
            <w:vAlign w:val="center"/>
          </w:tcPr>
          <w:p w14:paraId="18409C83" w14:textId="77777777" w:rsidR="00BC71AF" w:rsidRPr="00754ADE" w:rsidRDefault="00BC71AF" w:rsidP="008405E3">
            <w:pPr>
              <w:pStyle w:val="Default"/>
              <w:jc w:val="center"/>
              <w:rPr>
                <w:sz w:val="22"/>
                <w:szCs w:val="22"/>
              </w:rPr>
            </w:pPr>
          </w:p>
        </w:tc>
        <w:tc>
          <w:tcPr>
            <w:tcW w:w="967" w:type="dxa"/>
            <w:tcBorders>
              <w:top w:val="single" w:sz="12" w:space="0" w:color="000000"/>
              <w:left w:val="single" w:sz="8" w:space="0" w:color="000000"/>
              <w:bottom w:val="single" w:sz="8" w:space="0" w:color="000000"/>
              <w:right w:val="single" w:sz="8" w:space="0" w:color="000000"/>
            </w:tcBorders>
            <w:shd w:val="clear" w:color="auto" w:fill="8DB3E2"/>
            <w:vAlign w:val="center"/>
          </w:tcPr>
          <w:p w14:paraId="01C10916" w14:textId="77777777" w:rsidR="00BC71AF" w:rsidRPr="007C6E71" w:rsidRDefault="00BC71AF" w:rsidP="008405E3">
            <w:pPr>
              <w:pStyle w:val="Default"/>
              <w:jc w:val="center"/>
              <w:rPr>
                <w:sz w:val="22"/>
                <w:szCs w:val="22"/>
              </w:rPr>
            </w:pPr>
            <w:r w:rsidRPr="007C6E71">
              <w:rPr>
                <w:bCs/>
                <w:sz w:val="22"/>
                <w:szCs w:val="22"/>
              </w:rPr>
              <w:t>None of the time</w:t>
            </w:r>
          </w:p>
        </w:tc>
        <w:tc>
          <w:tcPr>
            <w:tcW w:w="967" w:type="dxa"/>
            <w:tcBorders>
              <w:top w:val="single" w:sz="12" w:space="0" w:color="000000"/>
              <w:left w:val="single" w:sz="8" w:space="0" w:color="000000"/>
              <w:bottom w:val="single" w:sz="8" w:space="0" w:color="000000"/>
              <w:right w:val="single" w:sz="8" w:space="0" w:color="000000"/>
            </w:tcBorders>
            <w:shd w:val="clear" w:color="auto" w:fill="8DB3E2"/>
            <w:vAlign w:val="center"/>
          </w:tcPr>
          <w:p w14:paraId="65864D02" w14:textId="77777777" w:rsidR="00BC71AF" w:rsidRPr="007C6E71" w:rsidRDefault="00BC71AF" w:rsidP="008405E3">
            <w:pPr>
              <w:pStyle w:val="Default"/>
              <w:jc w:val="center"/>
              <w:rPr>
                <w:sz w:val="22"/>
                <w:szCs w:val="22"/>
              </w:rPr>
            </w:pPr>
            <w:r w:rsidRPr="007C6E71">
              <w:rPr>
                <w:bCs/>
                <w:sz w:val="22"/>
                <w:szCs w:val="22"/>
              </w:rPr>
              <w:t>Rarely</w:t>
            </w:r>
          </w:p>
        </w:tc>
        <w:tc>
          <w:tcPr>
            <w:tcW w:w="968" w:type="dxa"/>
            <w:tcBorders>
              <w:top w:val="single" w:sz="12" w:space="0" w:color="000000"/>
              <w:left w:val="single" w:sz="8" w:space="0" w:color="000000"/>
              <w:bottom w:val="single" w:sz="8" w:space="0" w:color="000000"/>
              <w:right w:val="single" w:sz="8" w:space="0" w:color="000000"/>
            </w:tcBorders>
            <w:shd w:val="clear" w:color="auto" w:fill="8DB3E2"/>
            <w:vAlign w:val="center"/>
          </w:tcPr>
          <w:p w14:paraId="6C453286" w14:textId="77777777" w:rsidR="00BC71AF" w:rsidRPr="007C6E71" w:rsidRDefault="00BC71AF" w:rsidP="008405E3">
            <w:pPr>
              <w:pStyle w:val="Default"/>
              <w:jc w:val="center"/>
              <w:rPr>
                <w:sz w:val="22"/>
                <w:szCs w:val="22"/>
              </w:rPr>
            </w:pPr>
            <w:r w:rsidRPr="007C6E71">
              <w:rPr>
                <w:bCs/>
                <w:sz w:val="22"/>
                <w:szCs w:val="22"/>
              </w:rPr>
              <w:t>Some of the time</w:t>
            </w:r>
          </w:p>
        </w:tc>
        <w:tc>
          <w:tcPr>
            <w:tcW w:w="967" w:type="dxa"/>
            <w:tcBorders>
              <w:top w:val="single" w:sz="12" w:space="0" w:color="000000"/>
              <w:left w:val="single" w:sz="8" w:space="0" w:color="000000"/>
              <w:bottom w:val="single" w:sz="8" w:space="0" w:color="000000"/>
              <w:right w:val="single" w:sz="8" w:space="0" w:color="000000"/>
            </w:tcBorders>
            <w:shd w:val="clear" w:color="auto" w:fill="8DB3E2"/>
            <w:vAlign w:val="center"/>
          </w:tcPr>
          <w:p w14:paraId="35B025A2" w14:textId="77777777" w:rsidR="00BC71AF" w:rsidRPr="007C6E71" w:rsidRDefault="00BC71AF" w:rsidP="008405E3">
            <w:pPr>
              <w:pStyle w:val="Default"/>
              <w:jc w:val="center"/>
              <w:rPr>
                <w:sz w:val="22"/>
                <w:szCs w:val="22"/>
              </w:rPr>
            </w:pPr>
            <w:r w:rsidRPr="007C6E71">
              <w:rPr>
                <w:bCs/>
                <w:sz w:val="22"/>
                <w:szCs w:val="22"/>
              </w:rPr>
              <w:t>Often</w:t>
            </w:r>
          </w:p>
        </w:tc>
        <w:tc>
          <w:tcPr>
            <w:tcW w:w="1123" w:type="dxa"/>
            <w:tcBorders>
              <w:top w:val="single" w:sz="12" w:space="0" w:color="000000"/>
              <w:left w:val="single" w:sz="8" w:space="0" w:color="000000"/>
              <w:bottom w:val="single" w:sz="8" w:space="0" w:color="000000"/>
              <w:right w:val="single" w:sz="12" w:space="0" w:color="000000"/>
            </w:tcBorders>
            <w:shd w:val="clear" w:color="auto" w:fill="8DB3E2"/>
            <w:vAlign w:val="center"/>
          </w:tcPr>
          <w:p w14:paraId="41A0815B" w14:textId="77777777" w:rsidR="00BC71AF" w:rsidRPr="007C6E71" w:rsidRDefault="00BC71AF" w:rsidP="008405E3">
            <w:pPr>
              <w:pStyle w:val="Default"/>
              <w:jc w:val="center"/>
              <w:rPr>
                <w:sz w:val="22"/>
                <w:szCs w:val="22"/>
              </w:rPr>
            </w:pPr>
            <w:r w:rsidRPr="007C6E71">
              <w:rPr>
                <w:bCs/>
                <w:sz w:val="22"/>
                <w:szCs w:val="22"/>
              </w:rPr>
              <w:t>All of the time</w:t>
            </w:r>
          </w:p>
        </w:tc>
      </w:tr>
      <w:tr w:rsidR="00BC71AF" w:rsidRPr="00E01FF0" w14:paraId="58284418" w14:textId="77777777" w:rsidTr="007C6E71">
        <w:trPr>
          <w:trHeight w:val="542"/>
        </w:trPr>
        <w:tc>
          <w:tcPr>
            <w:tcW w:w="3917" w:type="dxa"/>
            <w:tcBorders>
              <w:top w:val="single" w:sz="8" w:space="0" w:color="000000"/>
              <w:left w:val="single" w:sz="12" w:space="0" w:color="000000"/>
              <w:bottom w:val="single" w:sz="8" w:space="0" w:color="000000"/>
              <w:right w:val="single" w:sz="8" w:space="0" w:color="000000"/>
            </w:tcBorders>
            <w:vAlign w:val="center"/>
          </w:tcPr>
          <w:p w14:paraId="288F71AF" w14:textId="77777777" w:rsidR="00BC71AF" w:rsidRPr="007C6E71" w:rsidRDefault="00BC71AF" w:rsidP="008405E3">
            <w:pPr>
              <w:pStyle w:val="Default"/>
              <w:rPr>
                <w:sz w:val="22"/>
                <w:szCs w:val="22"/>
              </w:rPr>
            </w:pPr>
          </w:p>
          <w:p w14:paraId="22090FDB" w14:textId="77777777" w:rsidR="00BC71AF" w:rsidRPr="007C6E71" w:rsidRDefault="00BC71AF" w:rsidP="008405E3">
            <w:pPr>
              <w:pStyle w:val="Default"/>
              <w:rPr>
                <w:sz w:val="22"/>
                <w:szCs w:val="22"/>
              </w:rPr>
            </w:pPr>
            <w:r w:rsidRPr="007C6E71">
              <w:rPr>
                <w:sz w:val="22"/>
                <w:szCs w:val="22"/>
              </w:rPr>
              <w:t xml:space="preserve">I’ve been worrying about someone trying to harm me. </w:t>
            </w:r>
          </w:p>
          <w:p w14:paraId="50B210C3" w14:textId="77777777" w:rsidR="00BC71AF" w:rsidRPr="007C6E71" w:rsidRDefault="00BC71AF" w:rsidP="008405E3">
            <w:pPr>
              <w:pStyle w:val="Default"/>
              <w:rPr>
                <w:sz w:val="22"/>
                <w:szCs w:val="22"/>
              </w:rPr>
            </w:pPr>
          </w:p>
        </w:tc>
        <w:tc>
          <w:tcPr>
            <w:tcW w:w="967" w:type="dxa"/>
            <w:tcBorders>
              <w:top w:val="single" w:sz="8" w:space="0" w:color="000000"/>
              <w:left w:val="single" w:sz="8" w:space="0" w:color="000000"/>
              <w:bottom w:val="single" w:sz="8" w:space="0" w:color="000000"/>
              <w:right w:val="single" w:sz="8" w:space="0" w:color="000000"/>
            </w:tcBorders>
            <w:vAlign w:val="center"/>
          </w:tcPr>
          <w:p w14:paraId="5A39D843" w14:textId="77777777" w:rsidR="00BC71AF" w:rsidRPr="007C6E71" w:rsidRDefault="00BC71AF" w:rsidP="008405E3">
            <w:pPr>
              <w:pStyle w:val="Default"/>
              <w:jc w:val="center"/>
              <w:rPr>
                <w:color w:val="auto"/>
                <w:sz w:val="22"/>
                <w:szCs w:val="22"/>
              </w:rPr>
            </w:pPr>
            <w:r w:rsidRPr="007C6E71">
              <w:rPr>
                <w:bCs/>
                <w:color w:val="auto"/>
                <w:sz w:val="22"/>
                <w:szCs w:val="22"/>
              </w:rPr>
              <w:t>0</w:t>
            </w:r>
          </w:p>
        </w:tc>
        <w:tc>
          <w:tcPr>
            <w:tcW w:w="967" w:type="dxa"/>
            <w:tcBorders>
              <w:top w:val="single" w:sz="8" w:space="0" w:color="000000"/>
              <w:left w:val="single" w:sz="8" w:space="0" w:color="000000"/>
              <w:bottom w:val="single" w:sz="8" w:space="0" w:color="000000"/>
              <w:right w:val="single" w:sz="8" w:space="0" w:color="000000"/>
            </w:tcBorders>
            <w:vAlign w:val="center"/>
          </w:tcPr>
          <w:p w14:paraId="782A70DB" w14:textId="77777777" w:rsidR="00BC71AF" w:rsidRPr="007C6E71" w:rsidRDefault="00BC71AF" w:rsidP="008405E3">
            <w:pPr>
              <w:pStyle w:val="Default"/>
              <w:jc w:val="center"/>
              <w:rPr>
                <w:color w:val="auto"/>
                <w:sz w:val="22"/>
                <w:szCs w:val="22"/>
              </w:rPr>
            </w:pPr>
            <w:r w:rsidRPr="007C6E71">
              <w:rPr>
                <w:bCs/>
                <w:color w:val="auto"/>
                <w:sz w:val="22"/>
                <w:szCs w:val="22"/>
              </w:rPr>
              <w:t>1</w:t>
            </w:r>
          </w:p>
        </w:tc>
        <w:tc>
          <w:tcPr>
            <w:tcW w:w="968" w:type="dxa"/>
            <w:tcBorders>
              <w:top w:val="single" w:sz="8" w:space="0" w:color="000000"/>
              <w:left w:val="single" w:sz="8" w:space="0" w:color="000000"/>
              <w:bottom w:val="single" w:sz="8" w:space="0" w:color="000000"/>
              <w:right w:val="single" w:sz="8" w:space="0" w:color="000000"/>
            </w:tcBorders>
            <w:vAlign w:val="center"/>
          </w:tcPr>
          <w:p w14:paraId="0F387EB1" w14:textId="77777777" w:rsidR="00BC71AF" w:rsidRPr="007C6E71" w:rsidRDefault="00BC71AF" w:rsidP="008405E3">
            <w:pPr>
              <w:pStyle w:val="Default"/>
              <w:jc w:val="center"/>
              <w:rPr>
                <w:color w:val="auto"/>
                <w:sz w:val="22"/>
                <w:szCs w:val="22"/>
              </w:rPr>
            </w:pPr>
            <w:r w:rsidRPr="007C6E71">
              <w:rPr>
                <w:bCs/>
                <w:color w:val="auto"/>
                <w:sz w:val="22"/>
                <w:szCs w:val="22"/>
              </w:rPr>
              <w:t>2</w:t>
            </w:r>
          </w:p>
        </w:tc>
        <w:tc>
          <w:tcPr>
            <w:tcW w:w="967" w:type="dxa"/>
            <w:tcBorders>
              <w:top w:val="single" w:sz="8" w:space="0" w:color="000000"/>
              <w:left w:val="single" w:sz="8" w:space="0" w:color="000000"/>
              <w:bottom w:val="single" w:sz="8" w:space="0" w:color="000000"/>
              <w:right w:val="single" w:sz="8" w:space="0" w:color="000000"/>
            </w:tcBorders>
            <w:vAlign w:val="center"/>
          </w:tcPr>
          <w:p w14:paraId="05610CD1" w14:textId="77777777" w:rsidR="00BC71AF" w:rsidRPr="007C6E71" w:rsidRDefault="00BC71AF" w:rsidP="008405E3">
            <w:pPr>
              <w:pStyle w:val="Default"/>
              <w:jc w:val="center"/>
              <w:rPr>
                <w:color w:val="auto"/>
                <w:sz w:val="22"/>
                <w:szCs w:val="22"/>
              </w:rPr>
            </w:pPr>
            <w:r w:rsidRPr="007C6E71">
              <w:rPr>
                <w:bCs/>
                <w:color w:val="auto"/>
                <w:sz w:val="22"/>
                <w:szCs w:val="22"/>
              </w:rPr>
              <w:t>3</w:t>
            </w:r>
          </w:p>
        </w:tc>
        <w:tc>
          <w:tcPr>
            <w:tcW w:w="1123" w:type="dxa"/>
            <w:tcBorders>
              <w:top w:val="single" w:sz="8" w:space="0" w:color="000000"/>
              <w:left w:val="single" w:sz="8" w:space="0" w:color="000000"/>
              <w:bottom w:val="single" w:sz="8" w:space="0" w:color="000000"/>
              <w:right w:val="single" w:sz="12" w:space="0" w:color="000000"/>
            </w:tcBorders>
            <w:vAlign w:val="center"/>
          </w:tcPr>
          <w:p w14:paraId="77357076" w14:textId="77777777" w:rsidR="00BC71AF" w:rsidRPr="007C6E71" w:rsidRDefault="00BC71AF" w:rsidP="008405E3">
            <w:pPr>
              <w:pStyle w:val="Default"/>
              <w:jc w:val="center"/>
              <w:rPr>
                <w:color w:val="auto"/>
                <w:sz w:val="22"/>
                <w:szCs w:val="22"/>
              </w:rPr>
            </w:pPr>
            <w:r w:rsidRPr="007C6E71">
              <w:rPr>
                <w:bCs/>
                <w:color w:val="auto"/>
                <w:sz w:val="22"/>
                <w:szCs w:val="22"/>
              </w:rPr>
              <w:t>4</w:t>
            </w:r>
          </w:p>
        </w:tc>
      </w:tr>
      <w:tr w:rsidR="00BC71AF" w14:paraId="42D2CB1D" w14:textId="77777777" w:rsidTr="007C6E71">
        <w:trPr>
          <w:trHeight w:val="542"/>
        </w:trPr>
        <w:tc>
          <w:tcPr>
            <w:tcW w:w="3917" w:type="dxa"/>
            <w:tcBorders>
              <w:top w:val="single" w:sz="8" w:space="0" w:color="000000"/>
              <w:left w:val="single" w:sz="12" w:space="0" w:color="000000"/>
              <w:bottom w:val="single" w:sz="8" w:space="0" w:color="000000"/>
              <w:right w:val="single" w:sz="8" w:space="0" w:color="000000"/>
            </w:tcBorders>
            <w:shd w:val="clear" w:color="auto" w:fill="C6D9F1"/>
            <w:vAlign w:val="center"/>
          </w:tcPr>
          <w:p w14:paraId="1BC935D8" w14:textId="77777777" w:rsidR="00BC71AF" w:rsidRPr="007C6E71" w:rsidRDefault="00BC71AF" w:rsidP="008405E3">
            <w:pPr>
              <w:pStyle w:val="Default"/>
              <w:rPr>
                <w:sz w:val="22"/>
                <w:szCs w:val="22"/>
              </w:rPr>
            </w:pPr>
          </w:p>
          <w:p w14:paraId="1123733E" w14:textId="77777777" w:rsidR="00BC71AF" w:rsidRPr="007C6E71" w:rsidRDefault="00BC71AF" w:rsidP="008405E3">
            <w:pPr>
              <w:pStyle w:val="Default"/>
              <w:rPr>
                <w:sz w:val="22"/>
                <w:szCs w:val="22"/>
              </w:rPr>
            </w:pPr>
            <w:r w:rsidRPr="007C6E71">
              <w:rPr>
                <w:sz w:val="22"/>
                <w:szCs w:val="22"/>
              </w:rPr>
              <w:t>Anything and everything has set my mind thinking about people trying to upset me.</w:t>
            </w:r>
          </w:p>
          <w:p w14:paraId="1808C7D9" w14:textId="77777777" w:rsidR="00BC71AF" w:rsidRPr="007C6E71" w:rsidRDefault="00BC71AF" w:rsidP="008405E3">
            <w:pPr>
              <w:pStyle w:val="Default"/>
              <w:rPr>
                <w:sz w:val="22"/>
                <w:szCs w:val="22"/>
              </w:rPr>
            </w:pPr>
          </w:p>
        </w:tc>
        <w:tc>
          <w:tcPr>
            <w:tcW w:w="967"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23E79DC2" w14:textId="77777777" w:rsidR="00BC71AF" w:rsidRPr="007C6E71" w:rsidRDefault="00BC71AF" w:rsidP="008405E3">
            <w:pPr>
              <w:pStyle w:val="Default"/>
              <w:jc w:val="center"/>
              <w:rPr>
                <w:color w:val="auto"/>
                <w:sz w:val="22"/>
                <w:szCs w:val="22"/>
              </w:rPr>
            </w:pPr>
            <w:r w:rsidRPr="007C6E71">
              <w:rPr>
                <w:bCs/>
                <w:color w:val="auto"/>
                <w:sz w:val="22"/>
                <w:szCs w:val="22"/>
              </w:rPr>
              <w:t>0</w:t>
            </w:r>
          </w:p>
        </w:tc>
        <w:tc>
          <w:tcPr>
            <w:tcW w:w="967"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079BF1B9" w14:textId="77777777" w:rsidR="00BC71AF" w:rsidRPr="007C6E71" w:rsidRDefault="00BC71AF" w:rsidP="008405E3">
            <w:pPr>
              <w:pStyle w:val="Default"/>
              <w:jc w:val="center"/>
              <w:rPr>
                <w:color w:val="auto"/>
                <w:sz w:val="22"/>
                <w:szCs w:val="22"/>
              </w:rPr>
            </w:pPr>
            <w:r w:rsidRPr="007C6E71">
              <w:rPr>
                <w:bCs/>
                <w:color w:val="auto"/>
                <w:sz w:val="22"/>
                <w:szCs w:val="22"/>
              </w:rPr>
              <w:t>1</w:t>
            </w:r>
          </w:p>
        </w:tc>
        <w:tc>
          <w:tcPr>
            <w:tcW w:w="968"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0494FC4F" w14:textId="77777777" w:rsidR="00BC71AF" w:rsidRPr="007C6E71" w:rsidRDefault="00BC71AF" w:rsidP="008405E3">
            <w:pPr>
              <w:pStyle w:val="Default"/>
              <w:jc w:val="center"/>
              <w:rPr>
                <w:color w:val="auto"/>
                <w:sz w:val="22"/>
                <w:szCs w:val="22"/>
              </w:rPr>
            </w:pPr>
            <w:r w:rsidRPr="007C6E71">
              <w:rPr>
                <w:bCs/>
                <w:color w:val="auto"/>
                <w:sz w:val="22"/>
                <w:szCs w:val="22"/>
              </w:rPr>
              <w:t>2</w:t>
            </w:r>
          </w:p>
        </w:tc>
        <w:tc>
          <w:tcPr>
            <w:tcW w:w="967"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62A01BB8" w14:textId="77777777" w:rsidR="00BC71AF" w:rsidRPr="007C6E71" w:rsidRDefault="00BC71AF" w:rsidP="008405E3">
            <w:pPr>
              <w:pStyle w:val="Default"/>
              <w:jc w:val="center"/>
              <w:rPr>
                <w:color w:val="auto"/>
                <w:sz w:val="22"/>
                <w:szCs w:val="22"/>
              </w:rPr>
            </w:pPr>
            <w:r w:rsidRPr="007C6E71">
              <w:rPr>
                <w:bCs/>
                <w:color w:val="auto"/>
                <w:sz w:val="22"/>
                <w:szCs w:val="22"/>
              </w:rPr>
              <w:t>3</w:t>
            </w:r>
          </w:p>
        </w:tc>
        <w:tc>
          <w:tcPr>
            <w:tcW w:w="1123" w:type="dxa"/>
            <w:tcBorders>
              <w:top w:val="single" w:sz="8" w:space="0" w:color="000000"/>
              <w:left w:val="single" w:sz="8" w:space="0" w:color="000000"/>
              <w:bottom w:val="single" w:sz="8" w:space="0" w:color="000000"/>
              <w:right w:val="single" w:sz="12" w:space="0" w:color="000000"/>
            </w:tcBorders>
            <w:shd w:val="clear" w:color="auto" w:fill="C6D9F1"/>
            <w:vAlign w:val="center"/>
          </w:tcPr>
          <w:p w14:paraId="33544473" w14:textId="77777777" w:rsidR="00BC71AF" w:rsidRPr="007C6E71" w:rsidRDefault="00BC71AF" w:rsidP="008405E3">
            <w:pPr>
              <w:pStyle w:val="Default"/>
              <w:jc w:val="center"/>
              <w:rPr>
                <w:color w:val="auto"/>
                <w:sz w:val="22"/>
                <w:szCs w:val="22"/>
              </w:rPr>
            </w:pPr>
            <w:r w:rsidRPr="007C6E71">
              <w:rPr>
                <w:bCs/>
                <w:color w:val="auto"/>
                <w:sz w:val="22"/>
                <w:szCs w:val="22"/>
              </w:rPr>
              <w:t>4</w:t>
            </w:r>
          </w:p>
        </w:tc>
      </w:tr>
      <w:tr w:rsidR="00BC71AF" w:rsidRPr="00E01FF0" w14:paraId="52369055" w14:textId="77777777" w:rsidTr="007C6E71">
        <w:trPr>
          <w:trHeight w:val="542"/>
        </w:trPr>
        <w:tc>
          <w:tcPr>
            <w:tcW w:w="3917" w:type="dxa"/>
            <w:tcBorders>
              <w:top w:val="single" w:sz="8" w:space="0" w:color="000000"/>
              <w:left w:val="single" w:sz="12" w:space="0" w:color="000000"/>
              <w:bottom w:val="single" w:sz="8" w:space="0" w:color="000000"/>
              <w:right w:val="single" w:sz="8" w:space="0" w:color="000000"/>
            </w:tcBorders>
            <w:vAlign w:val="center"/>
          </w:tcPr>
          <w:p w14:paraId="2BC7017C" w14:textId="77777777" w:rsidR="00BC71AF" w:rsidRPr="007C6E71" w:rsidRDefault="00BC71AF" w:rsidP="008405E3">
            <w:pPr>
              <w:pStyle w:val="Default"/>
              <w:rPr>
                <w:sz w:val="22"/>
                <w:szCs w:val="22"/>
              </w:rPr>
            </w:pPr>
          </w:p>
          <w:p w14:paraId="0C90C5BF" w14:textId="77777777" w:rsidR="00BC71AF" w:rsidRPr="007C6E71" w:rsidRDefault="00BC71AF" w:rsidP="008405E3">
            <w:pPr>
              <w:pStyle w:val="Default"/>
              <w:rPr>
                <w:sz w:val="22"/>
                <w:szCs w:val="22"/>
              </w:rPr>
            </w:pPr>
            <w:r w:rsidRPr="007C6E71">
              <w:rPr>
                <w:sz w:val="22"/>
                <w:szCs w:val="22"/>
              </w:rPr>
              <w:t>It has been hard to clear my head of suspicions.</w:t>
            </w:r>
          </w:p>
          <w:p w14:paraId="28FEDFBE" w14:textId="77777777" w:rsidR="00BC71AF" w:rsidRPr="007C6E71" w:rsidRDefault="00BC71AF" w:rsidP="008405E3">
            <w:pPr>
              <w:pStyle w:val="Default"/>
              <w:rPr>
                <w:sz w:val="22"/>
                <w:szCs w:val="22"/>
              </w:rPr>
            </w:pPr>
          </w:p>
        </w:tc>
        <w:tc>
          <w:tcPr>
            <w:tcW w:w="967" w:type="dxa"/>
            <w:tcBorders>
              <w:top w:val="single" w:sz="8" w:space="0" w:color="000000"/>
              <w:left w:val="single" w:sz="8" w:space="0" w:color="000000"/>
              <w:bottom w:val="single" w:sz="8" w:space="0" w:color="000000"/>
              <w:right w:val="single" w:sz="8" w:space="0" w:color="000000"/>
            </w:tcBorders>
            <w:vAlign w:val="center"/>
          </w:tcPr>
          <w:p w14:paraId="54DA4E12" w14:textId="77777777" w:rsidR="00BC71AF" w:rsidRPr="007C6E71" w:rsidRDefault="00BC71AF" w:rsidP="008405E3">
            <w:pPr>
              <w:pStyle w:val="Default"/>
              <w:jc w:val="center"/>
              <w:rPr>
                <w:color w:val="auto"/>
                <w:sz w:val="22"/>
                <w:szCs w:val="22"/>
              </w:rPr>
            </w:pPr>
            <w:r w:rsidRPr="007C6E71">
              <w:rPr>
                <w:bCs/>
                <w:color w:val="auto"/>
                <w:sz w:val="22"/>
                <w:szCs w:val="22"/>
              </w:rPr>
              <w:t>0</w:t>
            </w:r>
          </w:p>
        </w:tc>
        <w:tc>
          <w:tcPr>
            <w:tcW w:w="967" w:type="dxa"/>
            <w:tcBorders>
              <w:top w:val="single" w:sz="8" w:space="0" w:color="000000"/>
              <w:left w:val="single" w:sz="8" w:space="0" w:color="000000"/>
              <w:bottom w:val="single" w:sz="8" w:space="0" w:color="000000"/>
              <w:right w:val="single" w:sz="8" w:space="0" w:color="000000"/>
            </w:tcBorders>
            <w:vAlign w:val="center"/>
          </w:tcPr>
          <w:p w14:paraId="55F1DE68" w14:textId="77777777" w:rsidR="00BC71AF" w:rsidRPr="007C6E71" w:rsidRDefault="00BC71AF" w:rsidP="008405E3">
            <w:pPr>
              <w:pStyle w:val="Default"/>
              <w:jc w:val="center"/>
              <w:rPr>
                <w:color w:val="auto"/>
                <w:sz w:val="22"/>
                <w:szCs w:val="22"/>
              </w:rPr>
            </w:pPr>
            <w:r w:rsidRPr="007C6E71">
              <w:rPr>
                <w:bCs/>
                <w:color w:val="auto"/>
                <w:sz w:val="22"/>
                <w:szCs w:val="22"/>
              </w:rPr>
              <w:t>1</w:t>
            </w:r>
          </w:p>
        </w:tc>
        <w:tc>
          <w:tcPr>
            <w:tcW w:w="968" w:type="dxa"/>
            <w:tcBorders>
              <w:top w:val="single" w:sz="8" w:space="0" w:color="000000"/>
              <w:left w:val="single" w:sz="8" w:space="0" w:color="000000"/>
              <w:bottom w:val="single" w:sz="8" w:space="0" w:color="000000"/>
              <w:right w:val="single" w:sz="8" w:space="0" w:color="000000"/>
            </w:tcBorders>
            <w:vAlign w:val="center"/>
          </w:tcPr>
          <w:p w14:paraId="3AEE1BC4" w14:textId="77777777" w:rsidR="00BC71AF" w:rsidRPr="007C6E71" w:rsidRDefault="00BC71AF" w:rsidP="008405E3">
            <w:pPr>
              <w:pStyle w:val="Default"/>
              <w:jc w:val="center"/>
              <w:rPr>
                <w:color w:val="auto"/>
                <w:sz w:val="22"/>
                <w:szCs w:val="22"/>
              </w:rPr>
            </w:pPr>
            <w:r w:rsidRPr="007C6E71">
              <w:rPr>
                <w:bCs/>
                <w:color w:val="auto"/>
                <w:sz w:val="22"/>
                <w:szCs w:val="22"/>
              </w:rPr>
              <w:t>2</w:t>
            </w:r>
          </w:p>
        </w:tc>
        <w:tc>
          <w:tcPr>
            <w:tcW w:w="967" w:type="dxa"/>
            <w:tcBorders>
              <w:top w:val="single" w:sz="8" w:space="0" w:color="000000"/>
              <w:left w:val="single" w:sz="8" w:space="0" w:color="000000"/>
              <w:bottom w:val="single" w:sz="8" w:space="0" w:color="000000"/>
              <w:right w:val="single" w:sz="8" w:space="0" w:color="000000"/>
            </w:tcBorders>
            <w:vAlign w:val="center"/>
          </w:tcPr>
          <w:p w14:paraId="5BABFBD4" w14:textId="77777777" w:rsidR="00BC71AF" w:rsidRPr="007C6E71" w:rsidRDefault="00BC71AF" w:rsidP="008405E3">
            <w:pPr>
              <w:pStyle w:val="Default"/>
              <w:jc w:val="center"/>
              <w:rPr>
                <w:color w:val="auto"/>
                <w:sz w:val="22"/>
                <w:szCs w:val="22"/>
              </w:rPr>
            </w:pPr>
            <w:r w:rsidRPr="007C6E71">
              <w:rPr>
                <w:bCs/>
                <w:color w:val="auto"/>
                <w:sz w:val="22"/>
                <w:szCs w:val="22"/>
              </w:rPr>
              <w:t>3</w:t>
            </w:r>
          </w:p>
        </w:tc>
        <w:tc>
          <w:tcPr>
            <w:tcW w:w="1123" w:type="dxa"/>
            <w:tcBorders>
              <w:top w:val="single" w:sz="8" w:space="0" w:color="000000"/>
              <w:left w:val="single" w:sz="8" w:space="0" w:color="000000"/>
              <w:bottom w:val="single" w:sz="8" w:space="0" w:color="000000"/>
              <w:right w:val="single" w:sz="12" w:space="0" w:color="000000"/>
            </w:tcBorders>
            <w:vAlign w:val="center"/>
          </w:tcPr>
          <w:p w14:paraId="6FE8D4BF" w14:textId="77777777" w:rsidR="00BC71AF" w:rsidRPr="007C6E71" w:rsidRDefault="00BC71AF" w:rsidP="008405E3">
            <w:pPr>
              <w:pStyle w:val="Default"/>
              <w:jc w:val="center"/>
              <w:rPr>
                <w:color w:val="auto"/>
                <w:sz w:val="22"/>
                <w:szCs w:val="22"/>
              </w:rPr>
            </w:pPr>
            <w:r w:rsidRPr="007C6E71">
              <w:rPr>
                <w:bCs/>
                <w:color w:val="auto"/>
                <w:sz w:val="22"/>
                <w:szCs w:val="22"/>
              </w:rPr>
              <w:t>4</w:t>
            </w:r>
          </w:p>
        </w:tc>
      </w:tr>
      <w:tr w:rsidR="00BC71AF" w:rsidRPr="00E01FF0" w14:paraId="5DF4A61B" w14:textId="77777777" w:rsidTr="00732156">
        <w:trPr>
          <w:trHeight w:val="542"/>
        </w:trPr>
        <w:tc>
          <w:tcPr>
            <w:tcW w:w="3917" w:type="dxa"/>
            <w:tcBorders>
              <w:top w:val="single" w:sz="8" w:space="0" w:color="000000"/>
              <w:left w:val="single" w:sz="12" w:space="0" w:color="000000"/>
              <w:bottom w:val="single" w:sz="8" w:space="0" w:color="000000"/>
              <w:right w:val="single" w:sz="8" w:space="0" w:color="000000"/>
            </w:tcBorders>
            <w:shd w:val="clear" w:color="auto" w:fill="C6D9F1"/>
            <w:vAlign w:val="center"/>
          </w:tcPr>
          <w:p w14:paraId="124BEAC4" w14:textId="77777777" w:rsidR="00BC71AF" w:rsidRPr="007C6E71" w:rsidRDefault="00BC71AF" w:rsidP="008405E3">
            <w:pPr>
              <w:pStyle w:val="Default"/>
              <w:rPr>
                <w:sz w:val="22"/>
                <w:szCs w:val="22"/>
              </w:rPr>
            </w:pPr>
          </w:p>
          <w:p w14:paraId="057A2B89" w14:textId="77777777" w:rsidR="00BC71AF" w:rsidRPr="007C6E71" w:rsidRDefault="00BC71AF" w:rsidP="008405E3">
            <w:pPr>
              <w:pStyle w:val="Default"/>
              <w:rPr>
                <w:sz w:val="22"/>
                <w:szCs w:val="22"/>
              </w:rPr>
            </w:pPr>
            <w:r w:rsidRPr="007C6E71">
              <w:rPr>
                <w:sz w:val="22"/>
                <w:szCs w:val="22"/>
              </w:rPr>
              <w:t>Worries about someone trying to harm me have been really hard to control.</w:t>
            </w:r>
          </w:p>
        </w:tc>
        <w:tc>
          <w:tcPr>
            <w:tcW w:w="967"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3AE4E170" w14:textId="77777777" w:rsidR="00BC71AF" w:rsidRPr="007C6E71" w:rsidRDefault="00BC71AF" w:rsidP="008405E3">
            <w:pPr>
              <w:pStyle w:val="Default"/>
              <w:jc w:val="center"/>
              <w:rPr>
                <w:color w:val="auto"/>
                <w:sz w:val="22"/>
                <w:szCs w:val="22"/>
              </w:rPr>
            </w:pPr>
            <w:r w:rsidRPr="007C6E71">
              <w:rPr>
                <w:bCs/>
                <w:color w:val="auto"/>
                <w:sz w:val="22"/>
                <w:szCs w:val="22"/>
              </w:rPr>
              <w:t>0</w:t>
            </w:r>
          </w:p>
        </w:tc>
        <w:tc>
          <w:tcPr>
            <w:tcW w:w="967"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79A96824" w14:textId="77777777" w:rsidR="00BC71AF" w:rsidRPr="007C6E71" w:rsidRDefault="00BC71AF" w:rsidP="008405E3">
            <w:pPr>
              <w:pStyle w:val="Default"/>
              <w:jc w:val="center"/>
              <w:rPr>
                <w:color w:val="auto"/>
                <w:sz w:val="22"/>
                <w:szCs w:val="22"/>
              </w:rPr>
            </w:pPr>
            <w:r w:rsidRPr="007C6E71">
              <w:rPr>
                <w:bCs/>
                <w:color w:val="auto"/>
                <w:sz w:val="22"/>
                <w:szCs w:val="22"/>
              </w:rPr>
              <w:t>1</w:t>
            </w:r>
          </w:p>
        </w:tc>
        <w:tc>
          <w:tcPr>
            <w:tcW w:w="968"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730D20D7" w14:textId="77777777" w:rsidR="00BC71AF" w:rsidRPr="007C6E71" w:rsidRDefault="00BC71AF" w:rsidP="008405E3">
            <w:pPr>
              <w:pStyle w:val="Default"/>
              <w:jc w:val="center"/>
              <w:rPr>
                <w:color w:val="auto"/>
                <w:sz w:val="22"/>
                <w:szCs w:val="22"/>
              </w:rPr>
            </w:pPr>
            <w:r w:rsidRPr="007C6E71">
              <w:rPr>
                <w:bCs/>
                <w:color w:val="auto"/>
                <w:sz w:val="22"/>
                <w:szCs w:val="22"/>
              </w:rPr>
              <w:t>2</w:t>
            </w:r>
          </w:p>
        </w:tc>
        <w:tc>
          <w:tcPr>
            <w:tcW w:w="967"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59B1CA5F" w14:textId="77777777" w:rsidR="00BC71AF" w:rsidRPr="007C6E71" w:rsidRDefault="00BC71AF" w:rsidP="008405E3">
            <w:pPr>
              <w:pStyle w:val="Default"/>
              <w:jc w:val="center"/>
              <w:rPr>
                <w:color w:val="auto"/>
                <w:sz w:val="22"/>
                <w:szCs w:val="22"/>
              </w:rPr>
            </w:pPr>
            <w:r w:rsidRPr="007C6E71">
              <w:rPr>
                <w:bCs/>
                <w:color w:val="auto"/>
                <w:sz w:val="22"/>
                <w:szCs w:val="22"/>
              </w:rPr>
              <w:t>3</w:t>
            </w:r>
          </w:p>
        </w:tc>
        <w:tc>
          <w:tcPr>
            <w:tcW w:w="1123" w:type="dxa"/>
            <w:tcBorders>
              <w:top w:val="single" w:sz="8" w:space="0" w:color="000000"/>
              <w:left w:val="single" w:sz="8" w:space="0" w:color="000000"/>
              <w:bottom w:val="single" w:sz="8" w:space="0" w:color="000000"/>
              <w:right w:val="single" w:sz="12" w:space="0" w:color="000000"/>
            </w:tcBorders>
            <w:shd w:val="clear" w:color="auto" w:fill="C6D9F1"/>
            <w:vAlign w:val="center"/>
          </w:tcPr>
          <w:p w14:paraId="14AD7881" w14:textId="77777777" w:rsidR="00BC71AF" w:rsidRPr="007C6E71" w:rsidRDefault="00BC71AF" w:rsidP="008405E3">
            <w:pPr>
              <w:pStyle w:val="Default"/>
              <w:jc w:val="center"/>
              <w:rPr>
                <w:color w:val="auto"/>
                <w:sz w:val="22"/>
                <w:szCs w:val="22"/>
              </w:rPr>
            </w:pPr>
            <w:r w:rsidRPr="007C6E71">
              <w:rPr>
                <w:bCs/>
                <w:color w:val="auto"/>
                <w:sz w:val="22"/>
                <w:szCs w:val="22"/>
              </w:rPr>
              <w:t>4</w:t>
            </w:r>
          </w:p>
        </w:tc>
      </w:tr>
      <w:tr w:rsidR="00BC71AF" w14:paraId="0F61F604" w14:textId="77777777" w:rsidTr="00732156">
        <w:trPr>
          <w:trHeight w:val="542"/>
        </w:trPr>
        <w:tc>
          <w:tcPr>
            <w:tcW w:w="3917" w:type="dxa"/>
            <w:tcBorders>
              <w:top w:val="single" w:sz="8" w:space="0" w:color="000000"/>
              <w:left w:val="single" w:sz="12" w:space="0" w:color="000000"/>
              <w:bottom w:val="single" w:sz="12" w:space="0" w:color="000000"/>
              <w:right w:val="single" w:sz="8" w:space="0" w:color="000000"/>
            </w:tcBorders>
            <w:shd w:val="clear" w:color="auto" w:fill="FFFFFF" w:themeFill="background1"/>
            <w:vAlign w:val="center"/>
          </w:tcPr>
          <w:p w14:paraId="0D955153" w14:textId="77777777" w:rsidR="00BC71AF" w:rsidRPr="007C6E71" w:rsidRDefault="00BC71AF" w:rsidP="008405E3">
            <w:pPr>
              <w:pStyle w:val="Default"/>
              <w:rPr>
                <w:sz w:val="22"/>
                <w:szCs w:val="22"/>
              </w:rPr>
            </w:pPr>
          </w:p>
          <w:p w14:paraId="345D85C4" w14:textId="77777777" w:rsidR="00BC71AF" w:rsidRPr="007C6E71" w:rsidRDefault="00BC71AF" w:rsidP="008405E3">
            <w:pPr>
              <w:pStyle w:val="Default"/>
              <w:rPr>
                <w:sz w:val="22"/>
                <w:szCs w:val="22"/>
              </w:rPr>
            </w:pPr>
            <w:r w:rsidRPr="007C6E71">
              <w:rPr>
                <w:sz w:val="22"/>
                <w:szCs w:val="22"/>
              </w:rPr>
              <w:t>Thinking about the possible attacks on me has made me feel stressed.</w:t>
            </w:r>
          </w:p>
          <w:p w14:paraId="02E174EB" w14:textId="77777777" w:rsidR="00BC71AF" w:rsidRPr="007C6E71" w:rsidRDefault="00BC71AF" w:rsidP="008405E3">
            <w:pPr>
              <w:pStyle w:val="Default"/>
              <w:rPr>
                <w:sz w:val="22"/>
                <w:szCs w:val="22"/>
              </w:rPr>
            </w:pPr>
          </w:p>
        </w:tc>
        <w:tc>
          <w:tcPr>
            <w:tcW w:w="967" w:type="dxa"/>
            <w:tcBorders>
              <w:top w:val="single" w:sz="8" w:space="0" w:color="000000"/>
              <w:left w:val="single" w:sz="8" w:space="0" w:color="000000"/>
              <w:bottom w:val="single" w:sz="12" w:space="0" w:color="000000"/>
              <w:right w:val="single" w:sz="8" w:space="0" w:color="000000"/>
            </w:tcBorders>
            <w:shd w:val="clear" w:color="auto" w:fill="FFFFFF" w:themeFill="background1"/>
            <w:vAlign w:val="center"/>
          </w:tcPr>
          <w:p w14:paraId="1E4EFE24" w14:textId="77777777" w:rsidR="00BC71AF" w:rsidRPr="007C6E71" w:rsidRDefault="00BC71AF" w:rsidP="008405E3">
            <w:pPr>
              <w:pStyle w:val="Default"/>
              <w:jc w:val="center"/>
              <w:rPr>
                <w:color w:val="auto"/>
                <w:sz w:val="22"/>
                <w:szCs w:val="22"/>
              </w:rPr>
            </w:pPr>
            <w:r w:rsidRPr="007C6E71">
              <w:rPr>
                <w:bCs/>
                <w:color w:val="auto"/>
                <w:sz w:val="22"/>
                <w:szCs w:val="22"/>
              </w:rPr>
              <w:t>0</w:t>
            </w:r>
          </w:p>
        </w:tc>
        <w:tc>
          <w:tcPr>
            <w:tcW w:w="967" w:type="dxa"/>
            <w:tcBorders>
              <w:top w:val="single" w:sz="8" w:space="0" w:color="000000"/>
              <w:left w:val="single" w:sz="8" w:space="0" w:color="000000"/>
              <w:bottom w:val="single" w:sz="12" w:space="0" w:color="000000"/>
              <w:right w:val="single" w:sz="8" w:space="0" w:color="000000"/>
            </w:tcBorders>
            <w:shd w:val="clear" w:color="auto" w:fill="FFFFFF" w:themeFill="background1"/>
            <w:vAlign w:val="center"/>
          </w:tcPr>
          <w:p w14:paraId="57786958" w14:textId="77777777" w:rsidR="00BC71AF" w:rsidRPr="007C6E71" w:rsidRDefault="00BC71AF" w:rsidP="008405E3">
            <w:pPr>
              <w:pStyle w:val="Default"/>
              <w:jc w:val="center"/>
              <w:rPr>
                <w:color w:val="auto"/>
                <w:sz w:val="22"/>
                <w:szCs w:val="22"/>
              </w:rPr>
            </w:pPr>
            <w:r w:rsidRPr="007C6E71">
              <w:rPr>
                <w:bCs/>
                <w:color w:val="auto"/>
                <w:sz w:val="22"/>
                <w:szCs w:val="22"/>
              </w:rPr>
              <w:t>1</w:t>
            </w:r>
          </w:p>
        </w:tc>
        <w:tc>
          <w:tcPr>
            <w:tcW w:w="968" w:type="dxa"/>
            <w:tcBorders>
              <w:top w:val="single" w:sz="8" w:space="0" w:color="000000"/>
              <w:left w:val="single" w:sz="8" w:space="0" w:color="000000"/>
              <w:bottom w:val="single" w:sz="12" w:space="0" w:color="000000"/>
              <w:right w:val="single" w:sz="8" w:space="0" w:color="000000"/>
            </w:tcBorders>
            <w:shd w:val="clear" w:color="auto" w:fill="FFFFFF" w:themeFill="background1"/>
            <w:vAlign w:val="center"/>
          </w:tcPr>
          <w:p w14:paraId="416E43A3" w14:textId="77777777" w:rsidR="00BC71AF" w:rsidRPr="007C6E71" w:rsidRDefault="00BC71AF" w:rsidP="008405E3">
            <w:pPr>
              <w:pStyle w:val="Default"/>
              <w:jc w:val="center"/>
              <w:rPr>
                <w:color w:val="auto"/>
                <w:sz w:val="22"/>
                <w:szCs w:val="22"/>
              </w:rPr>
            </w:pPr>
            <w:r w:rsidRPr="007C6E71">
              <w:rPr>
                <w:bCs/>
                <w:color w:val="auto"/>
                <w:sz w:val="22"/>
                <w:szCs w:val="22"/>
              </w:rPr>
              <w:t>2</w:t>
            </w:r>
          </w:p>
        </w:tc>
        <w:tc>
          <w:tcPr>
            <w:tcW w:w="967" w:type="dxa"/>
            <w:tcBorders>
              <w:top w:val="single" w:sz="8" w:space="0" w:color="000000"/>
              <w:left w:val="single" w:sz="8" w:space="0" w:color="000000"/>
              <w:bottom w:val="single" w:sz="12" w:space="0" w:color="000000"/>
              <w:right w:val="single" w:sz="8" w:space="0" w:color="000000"/>
            </w:tcBorders>
            <w:shd w:val="clear" w:color="auto" w:fill="FFFFFF" w:themeFill="background1"/>
            <w:vAlign w:val="center"/>
          </w:tcPr>
          <w:p w14:paraId="3E25A8EB" w14:textId="77777777" w:rsidR="00BC71AF" w:rsidRPr="007C6E71" w:rsidRDefault="00BC71AF" w:rsidP="008405E3">
            <w:pPr>
              <w:pStyle w:val="Default"/>
              <w:jc w:val="center"/>
              <w:rPr>
                <w:color w:val="auto"/>
                <w:sz w:val="22"/>
                <w:szCs w:val="22"/>
              </w:rPr>
            </w:pPr>
            <w:r w:rsidRPr="007C6E71">
              <w:rPr>
                <w:bCs/>
                <w:color w:val="auto"/>
                <w:sz w:val="22"/>
                <w:szCs w:val="22"/>
              </w:rPr>
              <w:t>3</w:t>
            </w:r>
          </w:p>
        </w:tc>
        <w:tc>
          <w:tcPr>
            <w:tcW w:w="1123" w:type="dxa"/>
            <w:tcBorders>
              <w:top w:val="single" w:sz="8" w:space="0" w:color="000000"/>
              <w:left w:val="single" w:sz="8" w:space="0" w:color="000000"/>
              <w:bottom w:val="single" w:sz="12" w:space="0" w:color="000000"/>
              <w:right w:val="single" w:sz="12" w:space="0" w:color="000000"/>
            </w:tcBorders>
            <w:shd w:val="clear" w:color="auto" w:fill="FFFFFF" w:themeFill="background1"/>
            <w:vAlign w:val="center"/>
          </w:tcPr>
          <w:p w14:paraId="45CE1E01" w14:textId="77777777" w:rsidR="00BC71AF" w:rsidRPr="007C6E71" w:rsidRDefault="00BC71AF" w:rsidP="008405E3">
            <w:pPr>
              <w:pStyle w:val="Default"/>
              <w:jc w:val="center"/>
              <w:rPr>
                <w:color w:val="auto"/>
                <w:sz w:val="22"/>
                <w:szCs w:val="22"/>
              </w:rPr>
            </w:pPr>
            <w:r w:rsidRPr="007C6E71">
              <w:rPr>
                <w:bCs/>
                <w:color w:val="auto"/>
                <w:sz w:val="22"/>
                <w:szCs w:val="22"/>
              </w:rPr>
              <w:t>4</w:t>
            </w:r>
          </w:p>
        </w:tc>
      </w:tr>
    </w:tbl>
    <w:p w14:paraId="55B3B758" w14:textId="1A0EA859" w:rsidR="00BC71AF" w:rsidRDefault="00BC71AF">
      <w:pPr>
        <w:rPr>
          <w:rFonts w:ascii="Garamond" w:hAnsi="Garamond"/>
          <w:b/>
          <w:sz w:val="24"/>
          <w:szCs w:val="24"/>
        </w:rPr>
      </w:pPr>
      <w:r>
        <w:rPr>
          <w:rFonts w:ascii="Garamond" w:hAnsi="Garamond"/>
          <w:sz w:val="24"/>
          <w:szCs w:val="24"/>
        </w:rPr>
        <w:br w:type="page"/>
      </w:r>
    </w:p>
    <w:p w14:paraId="43C5731F" w14:textId="7AC79533" w:rsidR="00754ADE" w:rsidRPr="0064597B" w:rsidRDefault="00754ADE" w:rsidP="00754ADE">
      <w:pPr>
        <w:rPr>
          <w:rFonts w:ascii="Garamond" w:hAnsi="Garamond"/>
          <w:b/>
          <w:sz w:val="24"/>
          <w:szCs w:val="24"/>
        </w:rPr>
      </w:pPr>
      <w:r w:rsidRPr="0064597B">
        <w:rPr>
          <w:rFonts w:ascii="Garamond" w:hAnsi="Garamond"/>
          <w:b/>
          <w:sz w:val="24"/>
          <w:szCs w:val="24"/>
        </w:rPr>
        <w:lastRenderedPageBreak/>
        <w:t>REFERENCES</w:t>
      </w:r>
    </w:p>
    <w:p w14:paraId="63C562CB" w14:textId="72BB1895" w:rsidR="0035375A" w:rsidRPr="0045578C" w:rsidRDefault="0035375A" w:rsidP="00E10797">
      <w:pPr>
        <w:jc w:val="both"/>
        <w:rPr>
          <w:rFonts w:ascii="Garamond" w:hAnsi="Garamond"/>
        </w:rPr>
      </w:pPr>
      <w:proofErr w:type="gramStart"/>
      <w:r w:rsidRPr="0045578C">
        <w:rPr>
          <w:rFonts w:ascii="Garamond" w:eastAsia="Times New Roman" w:hAnsi="Garamond" w:cs="Arial"/>
          <w:color w:val="222222"/>
          <w:shd w:val="clear" w:color="auto" w:fill="FFFFFF"/>
          <w:lang w:eastAsia="zh-CN"/>
        </w:rPr>
        <w:t>Baker FB</w:t>
      </w:r>
      <w:r w:rsidR="00F66EA1" w:rsidRPr="0045578C">
        <w:rPr>
          <w:rFonts w:ascii="Garamond" w:eastAsia="Times New Roman" w:hAnsi="Garamond" w:cs="Arial"/>
          <w:color w:val="222222"/>
          <w:shd w:val="clear" w:color="auto" w:fill="FFFFFF"/>
          <w:lang w:eastAsia="zh-CN"/>
        </w:rPr>
        <w:t xml:space="preserve"> and </w:t>
      </w:r>
      <w:r w:rsidRPr="0045578C">
        <w:rPr>
          <w:rFonts w:ascii="Garamond" w:eastAsia="Times New Roman" w:hAnsi="Garamond" w:cs="Arial"/>
          <w:color w:val="222222"/>
          <w:shd w:val="clear" w:color="auto" w:fill="FFFFFF"/>
          <w:lang w:eastAsia="zh-CN"/>
        </w:rPr>
        <w:t>Kim, SH (2017)</w:t>
      </w:r>
      <w:r w:rsidR="00861784">
        <w:rPr>
          <w:rFonts w:ascii="Garamond" w:eastAsia="Times New Roman" w:hAnsi="Garamond" w:cs="Arial"/>
          <w:color w:val="222222"/>
          <w:shd w:val="clear" w:color="auto" w:fill="FFFFFF"/>
          <w:lang w:eastAsia="zh-CN"/>
        </w:rPr>
        <w:t>.</w:t>
      </w:r>
      <w:proofErr w:type="gramEnd"/>
      <w:r w:rsidRPr="0045578C">
        <w:rPr>
          <w:rFonts w:ascii="Garamond" w:eastAsia="Times New Roman" w:hAnsi="Garamond" w:cs="Arial"/>
          <w:color w:val="222222"/>
          <w:shd w:val="clear" w:color="auto" w:fill="FFFFFF"/>
          <w:lang w:eastAsia="zh-CN"/>
        </w:rPr>
        <w:t> </w:t>
      </w:r>
      <w:r w:rsidRPr="0045578C">
        <w:rPr>
          <w:rFonts w:ascii="Garamond" w:eastAsia="Times New Roman" w:hAnsi="Garamond" w:cs="Arial"/>
          <w:i/>
          <w:iCs/>
          <w:color w:val="222222"/>
          <w:lang w:eastAsia="zh-CN"/>
        </w:rPr>
        <w:t>The basics of item response theory using R</w:t>
      </w:r>
      <w:r w:rsidRPr="0045578C">
        <w:rPr>
          <w:rFonts w:ascii="Garamond" w:eastAsia="Times New Roman" w:hAnsi="Garamond" w:cs="Arial"/>
          <w:color w:val="222222"/>
          <w:shd w:val="clear" w:color="auto" w:fill="FFFFFF"/>
          <w:lang w:eastAsia="zh-CN"/>
        </w:rPr>
        <w:t xml:space="preserve">. Springer International Publishing: Cham, Switzerland </w:t>
      </w:r>
    </w:p>
    <w:p w14:paraId="08DE40B6" w14:textId="0EAAF794" w:rsidR="00754ADE" w:rsidRPr="0045578C" w:rsidRDefault="0035375A" w:rsidP="00E10797">
      <w:pPr>
        <w:spacing w:line="288" w:lineRule="auto"/>
        <w:jc w:val="both"/>
        <w:rPr>
          <w:rFonts w:ascii="Garamond" w:hAnsi="Garamond"/>
        </w:rPr>
      </w:pPr>
      <w:proofErr w:type="gramStart"/>
      <w:r w:rsidRPr="0045578C">
        <w:rPr>
          <w:rFonts w:ascii="Garamond" w:hAnsi="Garamond"/>
        </w:rPr>
        <w:t>Beck AT</w:t>
      </w:r>
      <w:r w:rsidR="00754ADE" w:rsidRPr="0045578C">
        <w:rPr>
          <w:rFonts w:ascii="Garamond" w:hAnsi="Garamond"/>
        </w:rPr>
        <w:t>, Epstein</w:t>
      </w:r>
      <w:r w:rsidRPr="0045578C">
        <w:rPr>
          <w:rFonts w:ascii="Garamond" w:hAnsi="Garamond"/>
        </w:rPr>
        <w:t xml:space="preserve"> N</w:t>
      </w:r>
      <w:r w:rsidR="00754ADE" w:rsidRPr="0045578C">
        <w:rPr>
          <w:rFonts w:ascii="Garamond" w:hAnsi="Garamond"/>
        </w:rPr>
        <w:t>, Brown</w:t>
      </w:r>
      <w:r w:rsidR="00F66EA1" w:rsidRPr="0045578C">
        <w:rPr>
          <w:rFonts w:ascii="Garamond" w:hAnsi="Garamond"/>
        </w:rPr>
        <w:t xml:space="preserve"> G and </w:t>
      </w:r>
      <w:r w:rsidR="00754ADE" w:rsidRPr="0045578C">
        <w:rPr>
          <w:rFonts w:ascii="Garamond" w:hAnsi="Garamond"/>
        </w:rPr>
        <w:t>Steer R (1988)</w:t>
      </w:r>
      <w:r w:rsidR="00861784">
        <w:rPr>
          <w:rFonts w:ascii="Garamond" w:hAnsi="Garamond"/>
        </w:rPr>
        <w:t>.</w:t>
      </w:r>
      <w:proofErr w:type="gramEnd"/>
      <w:r w:rsidR="00754ADE" w:rsidRPr="0045578C">
        <w:rPr>
          <w:rFonts w:ascii="Garamond" w:hAnsi="Garamond"/>
        </w:rPr>
        <w:t xml:space="preserve"> An inventory for measuring clinical anxiety: psychometric properties. </w:t>
      </w:r>
      <w:r w:rsidR="00754ADE" w:rsidRPr="0045578C">
        <w:rPr>
          <w:rFonts w:ascii="Garamond" w:hAnsi="Garamond"/>
          <w:i/>
        </w:rPr>
        <w:t>Journal of Consulting and Clinical Psychology</w:t>
      </w:r>
      <w:r w:rsidR="00754ADE" w:rsidRPr="0045578C">
        <w:rPr>
          <w:rFonts w:ascii="Garamond" w:hAnsi="Garamond"/>
        </w:rPr>
        <w:t xml:space="preserve"> </w:t>
      </w:r>
      <w:r w:rsidR="00754ADE" w:rsidRPr="0045578C">
        <w:rPr>
          <w:rFonts w:ascii="Garamond" w:hAnsi="Garamond"/>
          <w:b/>
        </w:rPr>
        <w:t>56</w:t>
      </w:r>
      <w:r w:rsidR="00754ADE" w:rsidRPr="0045578C">
        <w:rPr>
          <w:rFonts w:ascii="Garamond" w:hAnsi="Garamond"/>
        </w:rPr>
        <w:t>, 893-897.</w:t>
      </w:r>
    </w:p>
    <w:p w14:paraId="51652E6E" w14:textId="4FE8AE86" w:rsidR="00754ADE" w:rsidRDefault="00754ADE" w:rsidP="00E10797">
      <w:pPr>
        <w:spacing w:line="288" w:lineRule="auto"/>
        <w:jc w:val="both"/>
        <w:rPr>
          <w:rFonts w:ascii="Garamond" w:hAnsi="Garamond"/>
        </w:rPr>
      </w:pPr>
      <w:proofErr w:type="spellStart"/>
      <w:proofErr w:type="gramStart"/>
      <w:r w:rsidRPr="0045578C">
        <w:rPr>
          <w:rFonts w:ascii="Garamond" w:hAnsi="Garamond"/>
        </w:rPr>
        <w:t>Borkovec</w:t>
      </w:r>
      <w:proofErr w:type="spellEnd"/>
      <w:r w:rsidRPr="0045578C">
        <w:rPr>
          <w:rFonts w:ascii="Garamond" w:hAnsi="Garamond"/>
        </w:rPr>
        <w:t>, T</w:t>
      </w:r>
      <w:r w:rsidR="00F66EA1" w:rsidRPr="0045578C">
        <w:rPr>
          <w:rFonts w:ascii="Garamond" w:hAnsi="Garamond"/>
        </w:rPr>
        <w:t>D and</w:t>
      </w:r>
      <w:r w:rsidRPr="0045578C">
        <w:rPr>
          <w:rFonts w:ascii="Garamond" w:hAnsi="Garamond"/>
        </w:rPr>
        <w:t xml:space="preserve"> </w:t>
      </w:r>
      <w:proofErr w:type="spellStart"/>
      <w:r w:rsidRPr="0045578C">
        <w:rPr>
          <w:rFonts w:ascii="Garamond" w:hAnsi="Garamond"/>
        </w:rPr>
        <w:t>Inz</w:t>
      </w:r>
      <w:proofErr w:type="spellEnd"/>
      <w:r w:rsidRPr="0045578C">
        <w:rPr>
          <w:rFonts w:ascii="Garamond" w:hAnsi="Garamond"/>
        </w:rPr>
        <w:t xml:space="preserve"> J (1990)</w:t>
      </w:r>
      <w:r w:rsidR="00861784">
        <w:rPr>
          <w:rFonts w:ascii="Garamond" w:hAnsi="Garamond"/>
        </w:rPr>
        <w:t>.</w:t>
      </w:r>
      <w:proofErr w:type="gramEnd"/>
      <w:r w:rsidRPr="0045578C">
        <w:rPr>
          <w:rFonts w:ascii="Garamond" w:hAnsi="Garamond"/>
        </w:rPr>
        <w:t xml:space="preserve"> The nature of worry in generalized anxiety disorder: A predominance of thought activity. </w:t>
      </w:r>
      <w:r w:rsidRPr="0045578C">
        <w:rPr>
          <w:rFonts w:ascii="Garamond" w:hAnsi="Garamond"/>
          <w:i/>
        </w:rPr>
        <w:t>Behaviour Research and Therapy</w:t>
      </w:r>
      <w:r w:rsidRPr="0045578C">
        <w:rPr>
          <w:rFonts w:ascii="Garamond" w:hAnsi="Garamond"/>
        </w:rPr>
        <w:t xml:space="preserve"> </w:t>
      </w:r>
      <w:r w:rsidRPr="0045578C">
        <w:rPr>
          <w:rFonts w:ascii="Garamond" w:hAnsi="Garamond"/>
          <w:b/>
        </w:rPr>
        <w:t>28</w:t>
      </w:r>
      <w:r w:rsidRPr="0045578C">
        <w:rPr>
          <w:rFonts w:ascii="Garamond" w:hAnsi="Garamond"/>
        </w:rPr>
        <w:t>, 153–158.</w:t>
      </w:r>
    </w:p>
    <w:p w14:paraId="6238CCE1" w14:textId="383638F9" w:rsidR="005E77A0" w:rsidRPr="0045578C" w:rsidRDefault="005E77A0" w:rsidP="00E10797">
      <w:pPr>
        <w:spacing w:line="288" w:lineRule="auto"/>
        <w:jc w:val="both"/>
        <w:rPr>
          <w:rFonts w:ascii="Garamond" w:hAnsi="Garamond"/>
        </w:rPr>
      </w:pPr>
      <w:proofErr w:type="spellStart"/>
      <w:proofErr w:type="gramStart"/>
      <w:r w:rsidRPr="005E77A0">
        <w:rPr>
          <w:rFonts w:ascii="Garamond" w:hAnsi="Garamond"/>
        </w:rPr>
        <w:t>Bortolotti</w:t>
      </w:r>
      <w:proofErr w:type="spellEnd"/>
      <w:r>
        <w:rPr>
          <w:rFonts w:ascii="Garamond" w:hAnsi="Garamond"/>
        </w:rPr>
        <w:t xml:space="preserve">, S., </w:t>
      </w:r>
      <w:proofErr w:type="spellStart"/>
      <w:r>
        <w:rPr>
          <w:rFonts w:ascii="Garamond" w:hAnsi="Garamond"/>
        </w:rPr>
        <w:t>Tezza</w:t>
      </w:r>
      <w:proofErr w:type="spellEnd"/>
      <w:r>
        <w:rPr>
          <w:rFonts w:ascii="Garamond" w:hAnsi="Garamond"/>
        </w:rPr>
        <w:t xml:space="preserve">, R., de Andrade, D., </w:t>
      </w:r>
      <w:proofErr w:type="spellStart"/>
      <w:r>
        <w:rPr>
          <w:rFonts w:ascii="Garamond" w:hAnsi="Garamond"/>
        </w:rPr>
        <w:t>Bornia</w:t>
      </w:r>
      <w:proofErr w:type="spellEnd"/>
      <w:r>
        <w:rPr>
          <w:rFonts w:ascii="Garamond" w:hAnsi="Garamond"/>
        </w:rPr>
        <w:t xml:space="preserve">, A., &amp; </w:t>
      </w:r>
      <w:r w:rsidR="001355BB">
        <w:rPr>
          <w:rFonts w:ascii="Garamond" w:hAnsi="Garamond"/>
        </w:rPr>
        <w:t>de Sousa, A. (2013).</w:t>
      </w:r>
      <w:proofErr w:type="gramEnd"/>
      <w:r w:rsidR="001355BB">
        <w:rPr>
          <w:rFonts w:ascii="Garamond" w:hAnsi="Garamond"/>
        </w:rPr>
        <w:t xml:space="preserve"> </w:t>
      </w:r>
      <w:proofErr w:type="gramStart"/>
      <w:r w:rsidR="001355BB">
        <w:rPr>
          <w:rFonts w:ascii="Garamond" w:hAnsi="Garamond"/>
        </w:rPr>
        <w:t>Relevance and advantages of using the item response theory.</w:t>
      </w:r>
      <w:proofErr w:type="gramEnd"/>
      <w:r w:rsidR="001355BB">
        <w:rPr>
          <w:rFonts w:ascii="Garamond" w:hAnsi="Garamond"/>
        </w:rPr>
        <w:t xml:space="preserve"> Quality and Quantity, 47, 2341-2360.</w:t>
      </w:r>
    </w:p>
    <w:p w14:paraId="69C5764D" w14:textId="2A17DDC1" w:rsidR="00B622CB" w:rsidRDefault="00B622CB" w:rsidP="00E10797">
      <w:pPr>
        <w:spacing w:line="288" w:lineRule="auto"/>
        <w:jc w:val="both"/>
        <w:rPr>
          <w:rFonts w:ascii="Garamond" w:hAnsi="Garamond"/>
        </w:rPr>
      </w:pPr>
      <w:r w:rsidRPr="00B622CB">
        <w:rPr>
          <w:rFonts w:ascii="Garamond" w:hAnsi="Garamond"/>
        </w:rPr>
        <w:t>Brown</w:t>
      </w:r>
      <w:r w:rsidR="00306E86">
        <w:rPr>
          <w:rFonts w:ascii="Garamond" w:hAnsi="Garamond"/>
        </w:rPr>
        <w:t>,</w:t>
      </w:r>
      <w:r w:rsidRPr="00B622CB">
        <w:rPr>
          <w:rFonts w:ascii="Garamond" w:hAnsi="Garamond"/>
        </w:rPr>
        <w:t xml:space="preserve"> T</w:t>
      </w:r>
      <w:r w:rsidR="00306E86">
        <w:rPr>
          <w:rFonts w:ascii="Garamond" w:hAnsi="Garamond"/>
        </w:rPr>
        <w:t>.</w:t>
      </w:r>
      <w:r w:rsidR="00B6405A">
        <w:rPr>
          <w:rFonts w:ascii="Garamond" w:hAnsi="Garamond"/>
        </w:rPr>
        <w:t xml:space="preserve"> </w:t>
      </w:r>
      <w:r w:rsidRPr="00B622CB">
        <w:rPr>
          <w:rFonts w:ascii="Garamond" w:hAnsi="Garamond"/>
        </w:rPr>
        <w:t xml:space="preserve">(2003). Confirmatory factor analysis of the Penn State Worry Questionnaire: Multiple factors or method effects? </w:t>
      </w:r>
      <w:proofErr w:type="gramStart"/>
      <w:r w:rsidRPr="00B622CB">
        <w:rPr>
          <w:rFonts w:ascii="Garamond" w:hAnsi="Garamond"/>
          <w:i/>
        </w:rPr>
        <w:t>Behaviour research and therapy</w:t>
      </w:r>
      <w:r w:rsidRPr="00B622CB">
        <w:rPr>
          <w:rFonts w:ascii="Garamond" w:hAnsi="Garamond"/>
        </w:rPr>
        <w:t xml:space="preserve"> </w:t>
      </w:r>
      <w:r w:rsidRPr="00B622CB">
        <w:rPr>
          <w:rFonts w:ascii="Garamond" w:hAnsi="Garamond"/>
          <w:b/>
        </w:rPr>
        <w:t>41</w:t>
      </w:r>
      <w:r w:rsidRPr="00B622CB">
        <w:rPr>
          <w:rFonts w:ascii="Garamond" w:hAnsi="Garamond"/>
        </w:rPr>
        <w:t>, 1411-1426.</w:t>
      </w:r>
      <w:proofErr w:type="gramEnd"/>
    </w:p>
    <w:p w14:paraId="6165D5D3" w14:textId="688FA54D" w:rsidR="00F74AEC" w:rsidRPr="0045578C" w:rsidRDefault="00F66EA1" w:rsidP="00E10797">
      <w:pPr>
        <w:spacing w:line="288" w:lineRule="auto"/>
        <w:jc w:val="both"/>
        <w:rPr>
          <w:rFonts w:ascii="Garamond" w:hAnsi="Garamond"/>
        </w:rPr>
      </w:pPr>
      <w:r w:rsidRPr="0045578C">
        <w:rPr>
          <w:rFonts w:ascii="Garamond" w:hAnsi="Garamond"/>
        </w:rPr>
        <w:t>Brown</w:t>
      </w:r>
      <w:r w:rsidR="00F74AEC" w:rsidRPr="0045578C">
        <w:rPr>
          <w:rFonts w:ascii="Garamond" w:hAnsi="Garamond"/>
        </w:rPr>
        <w:t xml:space="preserve"> TA</w:t>
      </w:r>
      <w:r w:rsidRPr="0045578C">
        <w:rPr>
          <w:rFonts w:ascii="Garamond" w:hAnsi="Garamond"/>
        </w:rPr>
        <w:t xml:space="preserve">, </w:t>
      </w:r>
      <w:proofErr w:type="spellStart"/>
      <w:r w:rsidRPr="0045578C">
        <w:rPr>
          <w:rFonts w:ascii="Garamond" w:hAnsi="Garamond"/>
        </w:rPr>
        <w:t>DiNardo</w:t>
      </w:r>
      <w:proofErr w:type="spellEnd"/>
      <w:r w:rsidR="00F74AEC" w:rsidRPr="0045578C">
        <w:rPr>
          <w:rFonts w:ascii="Garamond" w:hAnsi="Garamond"/>
        </w:rPr>
        <w:t xml:space="preserve"> P </w:t>
      </w:r>
      <w:r w:rsidRPr="0045578C">
        <w:rPr>
          <w:rFonts w:ascii="Garamond" w:hAnsi="Garamond"/>
        </w:rPr>
        <w:t>and Barlow D</w:t>
      </w:r>
      <w:r w:rsidR="00F74AEC" w:rsidRPr="0045578C">
        <w:rPr>
          <w:rFonts w:ascii="Garamond" w:hAnsi="Garamond"/>
        </w:rPr>
        <w:t>H (1996)</w:t>
      </w:r>
      <w:r w:rsidR="00861784">
        <w:rPr>
          <w:rFonts w:ascii="Garamond" w:hAnsi="Garamond"/>
        </w:rPr>
        <w:t>.</w:t>
      </w:r>
      <w:r w:rsidR="00F74AEC" w:rsidRPr="0045578C">
        <w:rPr>
          <w:rFonts w:ascii="Garamond" w:hAnsi="Garamond"/>
        </w:rPr>
        <w:t xml:space="preserve"> </w:t>
      </w:r>
      <w:r w:rsidR="00F74AEC" w:rsidRPr="0045578C">
        <w:rPr>
          <w:rFonts w:ascii="Garamond" w:hAnsi="Garamond"/>
          <w:i/>
        </w:rPr>
        <w:t xml:space="preserve">Anxiety and </w:t>
      </w:r>
      <w:r w:rsidRPr="0045578C">
        <w:rPr>
          <w:rFonts w:ascii="Garamond" w:hAnsi="Garamond"/>
          <w:i/>
        </w:rPr>
        <w:t>related d</w:t>
      </w:r>
      <w:r w:rsidR="00F74AEC" w:rsidRPr="0045578C">
        <w:rPr>
          <w:rFonts w:ascii="Garamond" w:hAnsi="Garamond"/>
          <w:i/>
        </w:rPr>
        <w:t xml:space="preserve">isorders </w:t>
      </w:r>
      <w:r w:rsidRPr="0045578C">
        <w:rPr>
          <w:rFonts w:ascii="Garamond" w:hAnsi="Garamond"/>
          <w:i/>
        </w:rPr>
        <w:t>interview s</w:t>
      </w:r>
      <w:r w:rsidR="00F74AEC" w:rsidRPr="0045578C">
        <w:rPr>
          <w:rFonts w:ascii="Garamond" w:hAnsi="Garamond"/>
          <w:i/>
        </w:rPr>
        <w:t xml:space="preserve">chedule for DSM-IV. </w:t>
      </w:r>
      <w:proofErr w:type="spellStart"/>
      <w:r w:rsidR="00F74AEC" w:rsidRPr="0045578C">
        <w:rPr>
          <w:rFonts w:ascii="Garamond" w:hAnsi="Garamond"/>
        </w:rPr>
        <w:t>Graywind</w:t>
      </w:r>
      <w:proofErr w:type="spellEnd"/>
      <w:r w:rsidR="00F74AEC" w:rsidRPr="0045578C">
        <w:rPr>
          <w:rFonts w:ascii="Garamond" w:hAnsi="Garamond"/>
        </w:rPr>
        <w:t xml:space="preserve"> Publications</w:t>
      </w:r>
      <w:r w:rsidRPr="0045578C">
        <w:rPr>
          <w:rFonts w:ascii="Garamond" w:hAnsi="Garamond"/>
        </w:rPr>
        <w:t>: Albany, NY.</w:t>
      </w:r>
    </w:p>
    <w:p w14:paraId="27A01D50" w14:textId="13656C2F" w:rsidR="0035375A" w:rsidRDefault="0035375A" w:rsidP="00E10797">
      <w:pPr>
        <w:pStyle w:val="CommentText"/>
        <w:jc w:val="both"/>
        <w:rPr>
          <w:rFonts w:ascii="Garamond" w:hAnsi="Garamond"/>
          <w:sz w:val="22"/>
          <w:szCs w:val="22"/>
        </w:rPr>
      </w:pPr>
      <w:r w:rsidRPr="0045578C">
        <w:rPr>
          <w:rFonts w:ascii="Garamond" w:hAnsi="Garamond"/>
          <w:sz w:val="22"/>
          <w:szCs w:val="22"/>
        </w:rPr>
        <w:t xml:space="preserve">Chalmers RP (2012). </w:t>
      </w:r>
      <w:proofErr w:type="spellStart"/>
      <w:r w:rsidR="00861784">
        <w:rPr>
          <w:rFonts w:ascii="Garamond" w:hAnsi="Garamond"/>
          <w:sz w:val="22"/>
          <w:szCs w:val="22"/>
        </w:rPr>
        <w:t>M</w:t>
      </w:r>
      <w:r w:rsidRPr="0045578C">
        <w:rPr>
          <w:rFonts w:ascii="Garamond" w:hAnsi="Garamond"/>
          <w:sz w:val="22"/>
          <w:szCs w:val="22"/>
        </w:rPr>
        <w:t>irt</w:t>
      </w:r>
      <w:proofErr w:type="spellEnd"/>
      <w:r w:rsidRPr="0045578C">
        <w:rPr>
          <w:rFonts w:ascii="Garamond" w:hAnsi="Garamond"/>
          <w:sz w:val="22"/>
          <w:szCs w:val="22"/>
        </w:rPr>
        <w:t xml:space="preserve">: a multidimensional item response theory package for the r environment. </w:t>
      </w:r>
      <w:r w:rsidRPr="0045578C">
        <w:rPr>
          <w:rFonts w:ascii="Garamond" w:hAnsi="Garamond"/>
          <w:i/>
          <w:sz w:val="22"/>
          <w:szCs w:val="22"/>
        </w:rPr>
        <w:t>Journal of Statistical Software</w:t>
      </w:r>
      <w:r w:rsidRPr="0045578C">
        <w:rPr>
          <w:rFonts w:ascii="Garamond" w:hAnsi="Garamond"/>
          <w:sz w:val="22"/>
          <w:szCs w:val="22"/>
        </w:rPr>
        <w:t xml:space="preserve"> </w:t>
      </w:r>
      <w:r w:rsidRPr="0045578C">
        <w:rPr>
          <w:rFonts w:ascii="Garamond" w:hAnsi="Garamond"/>
          <w:b/>
          <w:sz w:val="22"/>
          <w:szCs w:val="22"/>
        </w:rPr>
        <w:t>48</w:t>
      </w:r>
      <w:r w:rsidRPr="0045578C">
        <w:rPr>
          <w:rFonts w:ascii="Garamond" w:hAnsi="Garamond"/>
          <w:sz w:val="22"/>
          <w:szCs w:val="22"/>
        </w:rPr>
        <w:t xml:space="preserve">, 1-29. </w:t>
      </w:r>
    </w:p>
    <w:p w14:paraId="00EE4757" w14:textId="5390E28E" w:rsidR="00331F05" w:rsidRDefault="00331F05" w:rsidP="00331F05">
      <w:pPr>
        <w:pStyle w:val="CommentText"/>
        <w:jc w:val="both"/>
        <w:rPr>
          <w:rFonts w:ascii="Garamond" w:hAnsi="Garamond"/>
          <w:sz w:val="22"/>
          <w:szCs w:val="22"/>
        </w:rPr>
      </w:pPr>
      <w:r w:rsidRPr="00331F05">
        <w:rPr>
          <w:rFonts w:ascii="Garamond" w:hAnsi="Garamond"/>
          <w:sz w:val="22"/>
          <w:szCs w:val="22"/>
        </w:rPr>
        <w:t>Davey</w:t>
      </w:r>
      <w:r>
        <w:rPr>
          <w:rFonts w:ascii="Garamond" w:hAnsi="Garamond"/>
          <w:sz w:val="22"/>
          <w:szCs w:val="22"/>
        </w:rPr>
        <w:t>,</w:t>
      </w:r>
      <w:r w:rsidRPr="00331F05">
        <w:rPr>
          <w:rFonts w:ascii="Garamond" w:hAnsi="Garamond"/>
          <w:sz w:val="22"/>
          <w:szCs w:val="22"/>
        </w:rPr>
        <w:t xml:space="preserve"> G</w:t>
      </w:r>
      <w:r>
        <w:rPr>
          <w:rFonts w:ascii="Garamond" w:hAnsi="Garamond"/>
          <w:sz w:val="22"/>
          <w:szCs w:val="22"/>
        </w:rPr>
        <w:t>.</w:t>
      </w:r>
      <w:r w:rsidRPr="00331F05">
        <w:rPr>
          <w:rFonts w:ascii="Garamond" w:hAnsi="Garamond"/>
          <w:sz w:val="22"/>
          <w:szCs w:val="22"/>
        </w:rPr>
        <w:t>C</w:t>
      </w:r>
      <w:r>
        <w:rPr>
          <w:rFonts w:ascii="Garamond" w:hAnsi="Garamond"/>
          <w:sz w:val="22"/>
          <w:szCs w:val="22"/>
        </w:rPr>
        <w:t>. &amp;</w:t>
      </w:r>
      <w:r w:rsidRPr="00331F05">
        <w:rPr>
          <w:rFonts w:ascii="Garamond" w:hAnsi="Garamond"/>
          <w:sz w:val="22"/>
          <w:szCs w:val="22"/>
        </w:rPr>
        <w:t xml:space="preserve"> </w:t>
      </w:r>
      <w:proofErr w:type="spellStart"/>
      <w:r w:rsidRPr="00331F05">
        <w:rPr>
          <w:rFonts w:ascii="Garamond" w:hAnsi="Garamond"/>
          <w:sz w:val="22"/>
          <w:szCs w:val="22"/>
        </w:rPr>
        <w:t>Meeten</w:t>
      </w:r>
      <w:proofErr w:type="spellEnd"/>
      <w:r>
        <w:rPr>
          <w:rFonts w:ascii="Garamond" w:hAnsi="Garamond"/>
          <w:sz w:val="22"/>
          <w:szCs w:val="22"/>
        </w:rPr>
        <w:t>,</w:t>
      </w:r>
      <w:r w:rsidRPr="00331F05">
        <w:rPr>
          <w:rFonts w:ascii="Garamond" w:hAnsi="Garamond"/>
          <w:sz w:val="22"/>
          <w:szCs w:val="22"/>
        </w:rPr>
        <w:t xml:space="preserve"> F.</w:t>
      </w:r>
      <w:r>
        <w:rPr>
          <w:rFonts w:ascii="Garamond" w:hAnsi="Garamond"/>
          <w:sz w:val="22"/>
          <w:szCs w:val="22"/>
        </w:rPr>
        <w:t xml:space="preserve"> (2016). </w:t>
      </w:r>
      <w:r w:rsidRPr="00331F05">
        <w:rPr>
          <w:rFonts w:ascii="Garamond" w:hAnsi="Garamond"/>
          <w:sz w:val="22"/>
          <w:szCs w:val="22"/>
        </w:rPr>
        <w:t xml:space="preserve">The perseverative worry </w:t>
      </w:r>
      <w:proofErr w:type="spellStart"/>
      <w:r w:rsidRPr="00331F05">
        <w:rPr>
          <w:rFonts w:ascii="Garamond" w:hAnsi="Garamond"/>
          <w:sz w:val="22"/>
          <w:szCs w:val="22"/>
        </w:rPr>
        <w:t>bout</w:t>
      </w:r>
      <w:proofErr w:type="spellEnd"/>
      <w:r w:rsidRPr="00331F05">
        <w:rPr>
          <w:rFonts w:ascii="Garamond" w:hAnsi="Garamond"/>
          <w:sz w:val="22"/>
          <w:szCs w:val="22"/>
        </w:rPr>
        <w:t>: A review of cognitive, affective and motivational factors that contribute to worry perseveration.</w:t>
      </w:r>
      <w:r w:rsidRPr="00331F05">
        <w:t xml:space="preserve"> </w:t>
      </w:r>
      <w:r w:rsidRPr="00331F05">
        <w:rPr>
          <w:rFonts w:ascii="Garamond" w:hAnsi="Garamond"/>
          <w:sz w:val="22"/>
          <w:szCs w:val="22"/>
        </w:rPr>
        <w:t>Biol</w:t>
      </w:r>
      <w:r>
        <w:rPr>
          <w:rFonts w:ascii="Garamond" w:hAnsi="Garamond"/>
          <w:sz w:val="22"/>
          <w:szCs w:val="22"/>
        </w:rPr>
        <w:t>ogical Psychology,</w:t>
      </w:r>
      <w:r w:rsidRPr="00331F05">
        <w:rPr>
          <w:rFonts w:ascii="Garamond" w:hAnsi="Garamond"/>
          <w:sz w:val="22"/>
          <w:szCs w:val="22"/>
        </w:rPr>
        <w:t xml:space="preserve"> 121</w:t>
      </w:r>
      <w:r>
        <w:rPr>
          <w:rFonts w:ascii="Garamond" w:hAnsi="Garamond"/>
          <w:sz w:val="22"/>
          <w:szCs w:val="22"/>
        </w:rPr>
        <w:t xml:space="preserve">, </w:t>
      </w:r>
      <w:r w:rsidRPr="00331F05">
        <w:rPr>
          <w:rFonts w:ascii="Garamond" w:hAnsi="Garamond"/>
          <w:sz w:val="22"/>
          <w:szCs w:val="22"/>
        </w:rPr>
        <w:t xml:space="preserve">233-243. </w:t>
      </w:r>
    </w:p>
    <w:p w14:paraId="399895A1" w14:textId="3A762CB2" w:rsidR="00D429C9" w:rsidRDefault="00D429C9" w:rsidP="00E10797">
      <w:pPr>
        <w:spacing w:line="288" w:lineRule="auto"/>
        <w:jc w:val="both"/>
        <w:rPr>
          <w:rFonts w:ascii="Garamond" w:hAnsi="Garamond"/>
        </w:rPr>
      </w:pPr>
      <w:r>
        <w:rPr>
          <w:rFonts w:ascii="Garamond" w:hAnsi="Garamond"/>
        </w:rPr>
        <w:t xml:space="preserve">Egan JP (1975). </w:t>
      </w:r>
      <w:r w:rsidRPr="00D429C9">
        <w:rPr>
          <w:rFonts w:ascii="Garamond" w:hAnsi="Garamond"/>
          <w:i/>
        </w:rPr>
        <w:t>Signal detection theory and ROC analysis.</w:t>
      </w:r>
      <w:r>
        <w:rPr>
          <w:rFonts w:ascii="Garamond" w:hAnsi="Garamond"/>
        </w:rPr>
        <w:t xml:space="preserve"> Academic Press: New York. </w:t>
      </w:r>
    </w:p>
    <w:p w14:paraId="31B30129" w14:textId="5C7CAFDB" w:rsidR="00754ADE" w:rsidRPr="0045578C" w:rsidRDefault="00754ADE" w:rsidP="00E10797">
      <w:pPr>
        <w:spacing w:line="288" w:lineRule="auto"/>
        <w:jc w:val="both"/>
        <w:rPr>
          <w:rFonts w:ascii="Garamond" w:hAnsi="Garamond"/>
        </w:rPr>
      </w:pPr>
      <w:proofErr w:type="spellStart"/>
      <w:r w:rsidRPr="0045578C">
        <w:rPr>
          <w:rFonts w:ascii="Garamond" w:hAnsi="Garamond"/>
        </w:rPr>
        <w:t>E</w:t>
      </w:r>
      <w:r w:rsidR="00F66EA1" w:rsidRPr="0045578C">
        <w:rPr>
          <w:rFonts w:ascii="Garamond" w:hAnsi="Garamond"/>
        </w:rPr>
        <w:t>hring</w:t>
      </w:r>
      <w:proofErr w:type="spellEnd"/>
      <w:r w:rsidR="00F66EA1" w:rsidRPr="0045578C">
        <w:rPr>
          <w:rFonts w:ascii="Garamond" w:hAnsi="Garamond"/>
        </w:rPr>
        <w:t xml:space="preserve"> T</w:t>
      </w:r>
      <w:r w:rsidRPr="0045578C">
        <w:rPr>
          <w:rFonts w:ascii="Garamond" w:hAnsi="Garamond"/>
        </w:rPr>
        <w:t xml:space="preserve">, Zetsche U, </w:t>
      </w:r>
      <w:proofErr w:type="spellStart"/>
      <w:r w:rsidRPr="0045578C">
        <w:rPr>
          <w:rFonts w:ascii="Garamond" w:hAnsi="Garamond"/>
        </w:rPr>
        <w:t>Weidacker</w:t>
      </w:r>
      <w:proofErr w:type="spellEnd"/>
      <w:r w:rsidRPr="0045578C">
        <w:rPr>
          <w:rFonts w:ascii="Garamond" w:hAnsi="Garamond"/>
        </w:rPr>
        <w:t xml:space="preserve"> K, Wahl</w:t>
      </w:r>
      <w:r w:rsidR="00F66EA1" w:rsidRPr="0045578C">
        <w:rPr>
          <w:rFonts w:ascii="Garamond" w:hAnsi="Garamond"/>
        </w:rPr>
        <w:t xml:space="preserve"> K, </w:t>
      </w:r>
      <w:proofErr w:type="spellStart"/>
      <w:r w:rsidR="00F66EA1" w:rsidRPr="0045578C">
        <w:rPr>
          <w:rFonts w:ascii="Garamond" w:hAnsi="Garamond"/>
        </w:rPr>
        <w:t>Schönfeld</w:t>
      </w:r>
      <w:proofErr w:type="spellEnd"/>
      <w:r w:rsidRPr="0045578C">
        <w:rPr>
          <w:rFonts w:ascii="Garamond" w:hAnsi="Garamond"/>
        </w:rPr>
        <w:t xml:space="preserve"> S</w:t>
      </w:r>
      <w:r w:rsidR="00F66EA1" w:rsidRPr="0045578C">
        <w:rPr>
          <w:rFonts w:ascii="Garamond" w:hAnsi="Garamond"/>
        </w:rPr>
        <w:t xml:space="preserve"> and</w:t>
      </w:r>
      <w:r w:rsidRPr="0045578C">
        <w:rPr>
          <w:rFonts w:ascii="Garamond" w:hAnsi="Garamond"/>
        </w:rPr>
        <w:t xml:space="preserve"> Ehlers A (2011)</w:t>
      </w:r>
      <w:r w:rsidR="00861784">
        <w:rPr>
          <w:rFonts w:ascii="Garamond" w:hAnsi="Garamond"/>
        </w:rPr>
        <w:t>.</w:t>
      </w:r>
      <w:r w:rsidRPr="0045578C">
        <w:rPr>
          <w:rFonts w:ascii="Garamond" w:hAnsi="Garamond"/>
        </w:rPr>
        <w:t xml:space="preserve"> The </w:t>
      </w:r>
      <w:r w:rsidR="00F66EA1" w:rsidRPr="0045578C">
        <w:rPr>
          <w:rFonts w:ascii="Garamond" w:hAnsi="Garamond"/>
        </w:rPr>
        <w:t>P</w:t>
      </w:r>
      <w:r w:rsidRPr="0045578C">
        <w:rPr>
          <w:rFonts w:ascii="Garamond" w:hAnsi="Garamond"/>
        </w:rPr>
        <w:t xml:space="preserve">erseverative Thinking Questionnaire (PTQ): Validation of a content-independent measure of repetitive negative thinking. </w:t>
      </w:r>
      <w:r w:rsidRPr="0045578C">
        <w:rPr>
          <w:rFonts w:ascii="Garamond" w:hAnsi="Garamond"/>
          <w:i/>
        </w:rPr>
        <w:t>Journal of Behaviour Therapy and Experimental Psychiatry</w:t>
      </w:r>
      <w:r w:rsidRPr="0045578C">
        <w:rPr>
          <w:rFonts w:ascii="Garamond" w:hAnsi="Garamond"/>
        </w:rPr>
        <w:t xml:space="preserve"> </w:t>
      </w:r>
      <w:r w:rsidRPr="0045578C">
        <w:rPr>
          <w:rFonts w:ascii="Garamond" w:hAnsi="Garamond"/>
          <w:b/>
        </w:rPr>
        <w:t>42</w:t>
      </w:r>
      <w:r w:rsidRPr="0045578C">
        <w:rPr>
          <w:rFonts w:ascii="Garamond" w:hAnsi="Garamond"/>
        </w:rPr>
        <w:t>, 225-232.</w:t>
      </w:r>
    </w:p>
    <w:p w14:paraId="3B405B82" w14:textId="37290077" w:rsidR="00754ADE" w:rsidRPr="0045578C" w:rsidRDefault="00754ADE" w:rsidP="00E10797">
      <w:pPr>
        <w:spacing w:line="288" w:lineRule="auto"/>
        <w:jc w:val="both"/>
        <w:rPr>
          <w:rFonts w:ascii="Garamond" w:hAnsi="Garamond"/>
        </w:rPr>
      </w:pPr>
      <w:r w:rsidRPr="0045578C">
        <w:rPr>
          <w:rFonts w:ascii="Garamond" w:hAnsi="Garamond"/>
        </w:rPr>
        <w:t xml:space="preserve">Freeman, D. (2016). Persecutory delusions: a cognitive perspective on understanding and treatment. </w:t>
      </w:r>
      <w:r w:rsidRPr="0045578C">
        <w:rPr>
          <w:rFonts w:ascii="Garamond" w:hAnsi="Garamond"/>
          <w:i/>
        </w:rPr>
        <w:t>The Lancet Psychiatry</w:t>
      </w:r>
      <w:r w:rsidRPr="0045578C">
        <w:rPr>
          <w:rFonts w:ascii="Garamond" w:hAnsi="Garamond"/>
        </w:rPr>
        <w:t xml:space="preserve"> </w:t>
      </w:r>
      <w:r w:rsidRPr="0045578C">
        <w:rPr>
          <w:rFonts w:ascii="Garamond" w:hAnsi="Garamond"/>
          <w:b/>
        </w:rPr>
        <w:t>3</w:t>
      </w:r>
      <w:r w:rsidRPr="0045578C">
        <w:rPr>
          <w:rFonts w:ascii="Garamond" w:hAnsi="Garamond"/>
        </w:rPr>
        <w:t>, 685-692.</w:t>
      </w:r>
    </w:p>
    <w:p w14:paraId="2F036D5C" w14:textId="36735B9F" w:rsidR="00754ADE" w:rsidRPr="0045578C" w:rsidRDefault="00754ADE" w:rsidP="00E10797">
      <w:pPr>
        <w:spacing w:line="288" w:lineRule="auto"/>
        <w:jc w:val="both"/>
        <w:rPr>
          <w:rFonts w:ascii="Garamond" w:hAnsi="Garamond"/>
        </w:rPr>
      </w:pPr>
      <w:r w:rsidRPr="0045578C">
        <w:rPr>
          <w:rFonts w:ascii="Garamond" w:hAnsi="Garamond"/>
        </w:rPr>
        <w:t xml:space="preserve">Freeman D, Dunn G, </w:t>
      </w:r>
      <w:proofErr w:type="spellStart"/>
      <w:r w:rsidRPr="0045578C">
        <w:rPr>
          <w:rFonts w:ascii="Garamond" w:hAnsi="Garamond"/>
        </w:rPr>
        <w:t>Startup</w:t>
      </w:r>
      <w:proofErr w:type="spellEnd"/>
      <w:r w:rsidRPr="0045578C">
        <w:rPr>
          <w:rFonts w:ascii="Garamond" w:hAnsi="Garamond"/>
        </w:rPr>
        <w:t xml:space="preserve"> H, Pugh K, </w:t>
      </w:r>
      <w:proofErr w:type="spellStart"/>
      <w:r w:rsidRPr="0045578C">
        <w:rPr>
          <w:rFonts w:ascii="Garamond" w:hAnsi="Garamond"/>
        </w:rPr>
        <w:t>Cordwell</w:t>
      </w:r>
      <w:proofErr w:type="spellEnd"/>
      <w:r w:rsidRPr="0045578C">
        <w:rPr>
          <w:rFonts w:ascii="Garamond" w:hAnsi="Garamond"/>
        </w:rPr>
        <w:t xml:space="preserve"> J, </w:t>
      </w:r>
      <w:proofErr w:type="spellStart"/>
      <w:r w:rsidRPr="0045578C">
        <w:rPr>
          <w:rFonts w:ascii="Garamond" w:hAnsi="Garamond"/>
        </w:rPr>
        <w:t>Mander</w:t>
      </w:r>
      <w:proofErr w:type="spellEnd"/>
      <w:r w:rsidRPr="0045578C">
        <w:rPr>
          <w:rFonts w:ascii="Garamond" w:hAnsi="Garamond"/>
        </w:rPr>
        <w:t xml:space="preserve"> H, </w:t>
      </w:r>
      <w:proofErr w:type="spellStart"/>
      <w:r w:rsidRPr="0045578C">
        <w:rPr>
          <w:rFonts w:ascii="Garamond" w:hAnsi="Garamond"/>
        </w:rPr>
        <w:t>Cernis</w:t>
      </w:r>
      <w:proofErr w:type="spellEnd"/>
      <w:r w:rsidR="00F66EA1" w:rsidRPr="0045578C">
        <w:rPr>
          <w:rFonts w:ascii="Garamond" w:hAnsi="Garamond"/>
        </w:rPr>
        <w:t xml:space="preserve"> E, </w:t>
      </w:r>
      <w:proofErr w:type="spellStart"/>
      <w:r w:rsidR="00F66EA1" w:rsidRPr="0045578C">
        <w:rPr>
          <w:rFonts w:ascii="Garamond" w:hAnsi="Garamond"/>
        </w:rPr>
        <w:t>Wingham</w:t>
      </w:r>
      <w:proofErr w:type="spellEnd"/>
      <w:r w:rsidR="00F66EA1" w:rsidRPr="0045578C">
        <w:rPr>
          <w:rFonts w:ascii="Garamond" w:hAnsi="Garamond"/>
        </w:rPr>
        <w:t xml:space="preserve"> G</w:t>
      </w:r>
      <w:r w:rsidRPr="0045578C">
        <w:rPr>
          <w:rFonts w:ascii="Garamond" w:hAnsi="Garamond"/>
        </w:rPr>
        <w:t xml:space="preserve">, </w:t>
      </w:r>
      <w:proofErr w:type="spellStart"/>
      <w:r w:rsidRPr="0045578C">
        <w:rPr>
          <w:rFonts w:ascii="Garamond" w:hAnsi="Garamond"/>
        </w:rPr>
        <w:t>Shirvell</w:t>
      </w:r>
      <w:proofErr w:type="spellEnd"/>
      <w:r w:rsidRPr="0045578C">
        <w:rPr>
          <w:rFonts w:ascii="Garamond" w:hAnsi="Garamond"/>
        </w:rPr>
        <w:t xml:space="preserve"> K, </w:t>
      </w:r>
      <w:r w:rsidR="00F66EA1" w:rsidRPr="0045578C">
        <w:rPr>
          <w:rFonts w:ascii="Garamond" w:hAnsi="Garamond"/>
        </w:rPr>
        <w:t xml:space="preserve">and </w:t>
      </w:r>
      <w:proofErr w:type="spellStart"/>
      <w:r w:rsidR="00F66EA1" w:rsidRPr="0045578C">
        <w:rPr>
          <w:rFonts w:ascii="Garamond" w:hAnsi="Garamond"/>
        </w:rPr>
        <w:t>Kingdon</w:t>
      </w:r>
      <w:proofErr w:type="spellEnd"/>
      <w:r w:rsidR="00F66EA1" w:rsidRPr="0045578C">
        <w:rPr>
          <w:rFonts w:ascii="Garamond" w:hAnsi="Garamond"/>
        </w:rPr>
        <w:t xml:space="preserve"> D</w:t>
      </w:r>
      <w:r w:rsidRPr="0045578C">
        <w:rPr>
          <w:rFonts w:ascii="Garamond" w:hAnsi="Garamond"/>
        </w:rPr>
        <w:t xml:space="preserve"> (2015)</w:t>
      </w:r>
      <w:r w:rsidR="00861784">
        <w:rPr>
          <w:rFonts w:ascii="Garamond" w:hAnsi="Garamond"/>
        </w:rPr>
        <w:t>.</w:t>
      </w:r>
      <w:r w:rsidRPr="0045578C">
        <w:rPr>
          <w:rFonts w:ascii="Garamond" w:hAnsi="Garamond"/>
        </w:rPr>
        <w:t xml:space="preserve"> Effects of cognitive behaviour therapy for worry on persecutory delusions in patients with psychosis (WIT): a parallel, single-blind, randomised controlled trial with a mediation analysis. </w:t>
      </w:r>
      <w:r w:rsidRPr="0045578C">
        <w:rPr>
          <w:rFonts w:ascii="Garamond" w:hAnsi="Garamond"/>
          <w:i/>
        </w:rPr>
        <w:t>The Lancet Psychiatry</w:t>
      </w:r>
      <w:r w:rsidRPr="0045578C">
        <w:rPr>
          <w:rFonts w:ascii="Garamond" w:hAnsi="Garamond"/>
        </w:rPr>
        <w:t xml:space="preserve"> </w:t>
      </w:r>
      <w:r w:rsidRPr="0045578C">
        <w:rPr>
          <w:rFonts w:ascii="Garamond" w:hAnsi="Garamond"/>
          <w:b/>
        </w:rPr>
        <w:t>2</w:t>
      </w:r>
      <w:r w:rsidRPr="0045578C">
        <w:rPr>
          <w:rFonts w:ascii="Garamond" w:hAnsi="Garamond"/>
        </w:rPr>
        <w:t>, 305-313.</w:t>
      </w:r>
    </w:p>
    <w:p w14:paraId="318721D0" w14:textId="5FA912AB" w:rsidR="00754ADE" w:rsidRPr="0045578C" w:rsidRDefault="00F66EA1" w:rsidP="00E10797">
      <w:pPr>
        <w:spacing w:line="288" w:lineRule="auto"/>
        <w:jc w:val="both"/>
        <w:rPr>
          <w:rFonts w:ascii="Garamond" w:hAnsi="Garamond"/>
        </w:rPr>
      </w:pPr>
      <w:proofErr w:type="gramStart"/>
      <w:r w:rsidRPr="0045578C">
        <w:rPr>
          <w:rFonts w:ascii="Garamond" w:hAnsi="Garamond"/>
        </w:rPr>
        <w:t>Freeman D</w:t>
      </w:r>
      <w:r w:rsidR="00754ADE" w:rsidRPr="0045578C">
        <w:rPr>
          <w:rFonts w:ascii="Garamond" w:hAnsi="Garamond"/>
        </w:rPr>
        <w:t xml:space="preserve"> </w:t>
      </w:r>
      <w:r w:rsidRPr="0045578C">
        <w:rPr>
          <w:rFonts w:ascii="Garamond" w:hAnsi="Garamond"/>
        </w:rPr>
        <w:t>and</w:t>
      </w:r>
      <w:r w:rsidR="00754ADE" w:rsidRPr="0045578C">
        <w:rPr>
          <w:rFonts w:ascii="Garamond" w:hAnsi="Garamond"/>
        </w:rPr>
        <w:t xml:space="preserve"> </w:t>
      </w:r>
      <w:proofErr w:type="spellStart"/>
      <w:r w:rsidR="00754ADE" w:rsidRPr="0045578C">
        <w:rPr>
          <w:rFonts w:ascii="Garamond" w:hAnsi="Garamond"/>
        </w:rPr>
        <w:t>Garety</w:t>
      </w:r>
      <w:proofErr w:type="spellEnd"/>
      <w:r w:rsidR="00754ADE" w:rsidRPr="0045578C">
        <w:rPr>
          <w:rFonts w:ascii="Garamond" w:hAnsi="Garamond"/>
        </w:rPr>
        <w:t xml:space="preserve"> P</w:t>
      </w:r>
      <w:r w:rsidRPr="0045578C">
        <w:rPr>
          <w:rFonts w:ascii="Garamond" w:hAnsi="Garamond"/>
        </w:rPr>
        <w:t>A</w:t>
      </w:r>
      <w:r w:rsidR="00754ADE" w:rsidRPr="0045578C">
        <w:rPr>
          <w:rFonts w:ascii="Garamond" w:hAnsi="Garamond"/>
        </w:rPr>
        <w:t xml:space="preserve"> (1999)</w:t>
      </w:r>
      <w:r w:rsidR="00861784">
        <w:rPr>
          <w:rFonts w:ascii="Garamond" w:hAnsi="Garamond"/>
        </w:rPr>
        <w:t>.</w:t>
      </w:r>
      <w:proofErr w:type="gramEnd"/>
      <w:r w:rsidR="00754ADE" w:rsidRPr="0045578C">
        <w:rPr>
          <w:rFonts w:ascii="Garamond" w:hAnsi="Garamond"/>
        </w:rPr>
        <w:t xml:space="preserve"> </w:t>
      </w:r>
      <w:proofErr w:type="gramStart"/>
      <w:r w:rsidR="00754ADE" w:rsidRPr="0045578C">
        <w:rPr>
          <w:rFonts w:ascii="Garamond" w:hAnsi="Garamond"/>
        </w:rPr>
        <w:t>Worry,</w:t>
      </w:r>
      <w:proofErr w:type="gramEnd"/>
      <w:r w:rsidR="00754ADE" w:rsidRPr="0045578C">
        <w:rPr>
          <w:rFonts w:ascii="Garamond" w:hAnsi="Garamond"/>
        </w:rPr>
        <w:t xml:space="preserve"> worry processes and dimensions of delusions. </w:t>
      </w:r>
      <w:r w:rsidR="00754ADE" w:rsidRPr="0045578C">
        <w:rPr>
          <w:rFonts w:ascii="Garamond" w:hAnsi="Garamond"/>
          <w:i/>
        </w:rPr>
        <w:t xml:space="preserve">Behavioural </w:t>
      </w:r>
      <w:r w:rsidR="00E10797">
        <w:rPr>
          <w:rFonts w:ascii="Garamond" w:hAnsi="Garamond"/>
          <w:i/>
        </w:rPr>
        <w:t xml:space="preserve">and </w:t>
      </w:r>
      <w:r w:rsidR="00754ADE" w:rsidRPr="0045578C">
        <w:rPr>
          <w:rFonts w:ascii="Garamond" w:hAnsi="Garamond"/>
          <w:i/>
        </w:rPr>
        <w:t>Cognitive Psychotherapy</w:t>
      </w:r>
      <w:r w:rsidR="00754ADE" w:rsidRPr="0045578C">
        <w:rPr>
          <w:rFonts w:ascii="Garamond" w:hAnsi="Garamond"/>
        </w:rPr>
        <w:t xml:space="preserve"> </w:t>
      </w:r>
      <w:r w:rsidR="00754ADE" w:rsidRPr="0045578C">
        <w:rPr>
          <w:rFonts w:ascii="Garamond" w:hAnsi="Garamond"/>
          <w:b/>
        </w:rPr>
        <w:t>27</w:t>
      </w:r>
      <w:r w:rsidR="00754ADE" w:rsidRPr="0045578C">
        <w:rPr>
          <w:rFonts w:ascii="Garamond" w:hAnsi="Garamond"/>
        </w:rPr>
        <w:t>, 47-62.</w:t>
      </w:r>
    </w:p>
    <w:p w14:paraId="46655113" w14:textId="2B8152AD" w:rsidR="00754ADE" w:rsidRPr="0045578C" w:rsidRDefault="00754ADE" w:rsidP="00E10797">
      <w:pPr>
        <w:spacing w:line="288" w:lineRule="auto"/>
        <w:jc w:val="both"/>
        <w:rPr>
          <w:rFonts w:ascii="Garamond" w:hAnsi="Garamond"/>
        </w:rPr>
      </w:pPr>
      <w:r w:rsidRPr="0045578C">
        <w:rPr>
          <w:rFonts w:ascii="Garamond" w:hAnsi="Garamond"/>
        </w:rPr>
        <w:t>Freeman</w:t>
      </w:r>
      <w:r w:rsidR="00F66EA1" w:rsidRPr="0045578C">
        <w:rPr>
          <w:rFonts w:ascii="Garamond" w:hAnsi="Garamond"/>
        </w:rPr>
        <w:t xml:space="preserve"> D</w:t>
      </w:r>
      <w:r w:rsidRPr="0045578C">
        <w:rPr>
          <w:rFonts w:ascii="Garamond" w:hAnsi="Garamond"/>
        </w:rPr>
        <w:t>, Stahl</w:t>
      </w:r>
      <w:r w:rsidR="00F66EA1" w:rsidRPr="0045578C">
        <w:rPr>
          <w:rFonts w:ascii="Garamond" w:hAnsi="Garamond"/>
        </w:rPr>
        <w:t xml:space="preserve"> D, McManus </w:t>
      </w:r>
      <w:r w:rsidRPr="0045578C">
        <w:rPr>
          <w:rFonts w:ascii="Garamond" w:hAnsi="Garamond"/>
        </w:rPr>
        <w:t>S, Meltzer</w:t>
      </w:r>
      <w:r w:rsidR="00F66EA1" w:rsidRPr="0045578C">
        <w:rPr>
          <w:rFonts w:ascii="Garamond" w:hAnsi="Garamond"/>
        </w:rPr>
        <w:t xml:space="preserve"> H</w:t>
      </w:r>
      <w:r w:rsidRPr="0045578C">
        <w:rPr>
          <w:rFonts w:ascii="Garamond" w:hAnsi="Garamond"/>
        </w:rPr>
        <w:t xml:space="preserve">, </w:t>
      </w:r>
      <w:proofErr w:type="spellStart"/>
      <w:r w:rsidRPr="0045578C">
        <w:rPr>
          <w:rFonts w:ascii="Garamond" w:hAnsi="Garamond"/>
        </w:rPr>
        <w:t>Brugh</w:t>
      </w:r>
      <w:r w:rsidR="00F66EA1" w:rsidRPr="0045578C">
        <w:rPr>
          <w:rFonts w:ascii="Garamond" w:hAnsi="Garamond"/>
        </w:rPr>
        <w:t>a</w:t>
      </w:r>
      <w:proofErr w:type="spellEnd"/>
      <w:r w:rsidRPr="0045578C">
        <w:rPr>
          <w:rFonts w:ascii="Garamond" w:hAnsi="Garamond"/>
        </w:rPr>
        <w:t xml:space="preserve"> T, Wiles N, </w:t>
      </w:r>
      <w:r w:rsidR="00F66EA1" w:rsidRPr="0045578C">
        <w:rPr>
          <w:rFonts w:ascii="Garamond" w:hAnsi="Garamond"/>
        </w:rPr>
        <w:t>and</w:t>
      </w:r>
      <w:r w:rsidRPr="0045578C">
        <w:rPr>
          <w:rFonts w:ascii="Garamond" w:hAnsi="Garamond"/>
        </w:rPr>
        <w:t xml:space="preserve"> </w:t>
      </w:r>
      <w:proofErr w:type="spellStart"/>
      <w:r w:rsidRPr="0045578C">
        <w:rPr>
          <w:rFonts w:ascii="Garamond" w:hAnsi="Garamond"/>
        </w:rPr>
        <w:t>Bebbington</w:t>
      </w:r>
      <w:proofErr w:type="spellEnd"/>
      <w:r w:rsidR="00F66EA1" w:rsidRPr="0045578C">
        <w:rPr>
          <w:rFonts w:ascii="Garamond" w:hAnsi="Garamond"/>
        </w:rPr>
        <w:t xml:space="preserve"> P</w:t>
      </w:r>
      <w:r w:rsidRPr="0045578C">
        <w:rPr>
          <w:rFonts w:ascii="Garamond" w:hAnsi="Garamond"/>
        </w:rPr>
        <w:t xml:space="preserve"> (2012)</w:t>
      </w:r>
      <w:r w:rsidR="00861784">
        <w:rPr>
          <w:rFonts w:ascii="Garamond" w:hAnsi="Garamond"/>
        </w:rPr>
        <w:t>.</w:t>
      </w:r>
      <w:r w:rsidRPr="0045578C">
        <w:rPr>
          <w:rFonts w:ascii="Garamond" w:hAnsi="Garamond"/>
        </w:rPr>
        <w:t xml:space="preserve"> </w:t>
      </w:r>
      <w:proofErr w:type="gramStart"/>
      <w:r w:rsidRPr="0045578C">
        <w:rPr>
          <w:rFonts w:ascii="Garamond" w:hAnsi="Garamond"/>
        </w:rPr>
        <w:t>Insomnia, worry, anxiety and depression as predictors of the occurrence and persistence of paranoid thinking.</w:t>
      </w:r>
      <w:proofErr w:type="gramEnd"/>
      <w:r w:rsidRPr="0045578C">
        <w:rPr>
          <w:rFonts w:ascii="Garamond" w:hAnsi="Garamond"/>
        </w:rPr>
        <w:t xml:space="preserve"> </w:t>
      </w:r>
      <w:r w:rsidRPr="0045578C">
        <w:rPr>
          <w:rFonts w:ascii="Garamond" w:hAnsi="Garamond"/>
          <w:i/>
        </w:rPr>
        <w:t>Social Psychiat</w:t>
      </w:r>
      <w:r w:rsidR="00F66EA1" w:rsidRPr="0045578C">
        <w:rPr>
          <w:rFonts w:ascii="Garamond" w:hAnsi="Garamond"/>
          <w:i/>
        </w:rPr>
        <w:t>ry and Psychiatric Epidemiology</w:t>
      </w:r>
      <w:r w:rsidRPr="0045578C">
        <w:rPr>
          <w:rFonts w:ascii="Garamond" w:hAnsi="Garamond"/>
        </w:rPr>
        <w:t xml:space="preserve"> </w:t>
      </w:r>
      <w:r w:rsidRPr="0045578C">
        <w:rPr>
          <w:rFonts w:ascii="Garamond" w:hAnsi="Garamond"/>
          <w:b/>
        </w:rPr>
        <w:t>47</w:t>
      </w:r>
      <w:r w:rsidRPr="0045578C">
        <w:rPr>
          <w:rFonts w:ascii="Garamond" w:hAnsi="Garamond"/>
        </w:rPr>
        <w:t>, 1195-1203.</w:t>
      </w:r>
    </w:p>
    <w:p w14:paraId="37E42955" w14:textId="1B4D7AE3" w:rsidR="00754ADE" w:rsidRPr="0045578C" w:rsidRDefault="00F66EA1" w:rsidP="00E10797">
      <w:pPr>
        <w:spacing w:line="288" w:lineRule="auto"/>
        <w:jc w:val="both"/>
        <w:rPr>
          <w:rFonts w:ascii="Garamond" w:hAnsi="Garamond"/>
        </w:rPr>
      </w:pPr>
      <w:proofErr w:type="gramStart"/>
      <w:r w:rsidRPr="0045578C">
        <w:rPr>
          <w:rFonts w:ascii="Garamond" w:hAnsi="Garamond"/>
        </w:rPr>
        <w:t>Green</w:t>
      </w:r>
      <w:r w:rsidR="00754ADE" w:rsidRPr="0045578C">
        <w:rPr>
          <w:rFonts w:ascii="Garamond" w:hAnsi="Garamond"/>
        </w:rPr>
        <w:t xml:space="preserve"> C</w:t>
      </w:r>
      <w:r w:rsidRPr="0045578C">
        <w:rPr>
          <w:rFonts w:ascii="Garamond" w:hAnsi="Garamond"/>
        </w:rPr>
        <w:t>, Freeman D</w:t>
      </w:r>
      <w:r w:rsidR="00754ADE" w:rsidRPr="0045578C">
        <w:rPr>
          <w:rFonts w:ascii="Garamond" w:hAnsi="Garamond"/>
        </w:rPr>
        <w:t xml:space="preserve">, </w:t>
      </w:r>
      <w:proofErr w:type="spellStart"/>
      <w:r w:rsidR="00754ADE" w:rsidRPr="0045578C">
        <w:rPr>
          <w:rFonts w:ascii="Garamond" w:hAnsi="Garamond"/>
        </w:rPr>
        <w:t>Kuipers</w:t>
      </w:r>
      <w:proofErr w:type="spellEnd"/>
      <w:r w:rsidRPr="0045578C">
        <w:rPr>
          <w:rFonts w:ascii="Garamond" w:hAnsi="Garamond"/>
        </w:rPr>
        <w:t xml:space="preserve"> E</w:t>
      </w:r>
      <w:r w:rsidR="00754ADE" w:rsidRPr="0045578C">
        <w:rPr>
          <w:rFonts w:ascii="Garamond" w:hAnsi="Garamond"/>
        </w:rPr>
        <w:t xml:space="preserve">, </w:t>
      </w:r>
      <w:proofErr w:type="spellStart"/>
      <w:r w:rsidR="00754ADE" w:rsidRPr="0045578C">
        <w:rPr>
          <w:rFonts w:ascii="Garamond" w:hAnsi="Garamond"/>
        </w:rPr>
        <w:t>Beb</w:t>
      </w:r>
      <w:r w:rsidRPr="0045578C">
        <w:rPr>
          <w:rFonts w:ascii="Garamond" w:hAnsi="Garamond"/>
        </w:rPr>
        <w:t>bington</w:t>
      </w:r>
      <w:proofErr w:type="spellEnd"/>
      <w:r w:rsidR="00754ADE" w:rsidRPr="0045578C">
        <w:rPr>
          <w:rFonts w:ascii="Garamond" w:hAnsi="Garamond"/>
        </w:rPr>
        <w:t xml:space="preserve"> P, Fowler</w:t>
      </w:r>
      <w:r w:rsidRPr="0045578C">
        <w:rPr>
          <w:rFonts w:ascii="Garamond" w:hAnsi="Garamond"/>
        </w:rPr>
        <w:t xml:space="preserve"> D</w:t>
      </w:r>
      <w:r w:rsidR="00754ADE" w:rsidRPr="0045578C">
        <w:rPr>
          <w:rFonts w:ascii="Garamond" w:hAnsi="Garamond"/>
        </w:rPr>
        <w:t xml:space="preserve">, Dunn G, </w:t>
      </w:r>
      <w:r w:rsidRPr="0045578C">
        <w:rPr>
          <w:rFonts w:ascii="Garamond" w:hAnsi="Garamond"/>
        </w:rPr>
        <w:t>and</w:t>
      </w:r>
      <w:r w:rsidR="00754ADE" w:rsidRPr="0045578C">
        <w:rPr>
          <w:rFonts w:ascii="Garamond" w:hAnsi="Garamond"/>
        </w:rPr>
        <w:t xml:space="preserve"> </w:t>
      </w:r>
      <w:proofErr w:type="spellStart"/>
      <w:r w:rsidR="00754ADE" w:rsidRPr="0045578C">
        <w:rPr>
          <w:rFonts w:ascii="Garamond" w:hAnsi="Garamond"/>
        </w:rPr>
        <w:t>Garety</w:t>
      </w:r>
      <w:proofErr w:type="spellEnd"/>
      <w:r w:rsidR="00754ADE" w:rsidRPr="0045578C">
        <w:rPr>
          <w:rFonts w:ascii="Garamond" w:hAnsi="Garamond"/>
        </w:rPr>
        <w:t xml:space="preserve"> P</w:t>
      </w:r>
      <w:r w:rsidRPr="0045578C">
        <w:rPr>
          <w:rFonts w:ascii="Garamond" w:hAnsi="Garamond"/>
        </w:rPr>
        <w:t>A</w:t>
      </w:r>
      <w:r w:rsidR="00754ADE" w:rsidRPr="0045578C">
        <w:rPr>
          <w:rFonts w:ascii="Garamond" w:hAnsi="Garamond"/>
        </w:rPr>
        <w:t xml:space="preserve"> (2008)</w:t>
      </w:r>
      <w:r w:rsidR="00861784">
        <w:rPr>
          <w:rFonts w:ascii="Garamond" w:hAnsi="Garamond"/>
        </w:rPr>
        <w:t>.</w:t>
      </w:r>
      <w:proofErr w:type="gramEnd"/>
      <w:r w:rsidR="00754ADE" w:rsidRPr="0045578C">
        <w:rPr>
          <w:rFonts w:ascii="Garamond" w:hAnsi="Garamond"/>
        </w:rPr>
        <w:t xml:space="preserve"> </w:t>
      </w:r>
      <w:proofErr w:type="gramStart"/>
      <w:r w:rsidR="00754ADE" w:rsidRPr="0045578C">
        <w:rPr>
          <w:rFonts w:ascii="Garamond" w:hAnsi="Garamond"/>
        </w:rPr>
        <w:t>Measuring ideas of persecution and reference: the Green et al Paranoid Thought Scales (G-PTS).</w:t>
      </w:r>
      <w:proofErr w:type="gramEnd"/>
      <w:r w:rsidR="00754ADE" w:rsidRPr="0045578C">
        <w:rPr>
          <w:rFonts w:ascii="Garamond" w:hAnsi="Garamond"/>
        </w:rPr>
        <w:t xml:space="preserve"> </w:t>
      </w:r>
      <w:r w:rsidR="00754ADE" w:rsidRPr="0045578C">
        <w:rPr>
          <w:rFonts w:ascii="Garamond" w:hAnsi="Garamond"/>
          <w:i/>
        </w:rPr>
        <w:t>Psychological Medicine</w:t>
      </w:r>
      <w:r w:rsidR="00754ADE" w:rsidRPr="0045578C">
        <w:rPr>
          <w:rFonts w:ascii="Garamond" w:hAnsi="Garamond"/>
        </w:rPr>
        <w:t xml:space="preserve"> </w:t>
      </w:r>
      <w:r w:rsidR="00754ADE" w:rsidRPr="0045578C">
        <w:rPr>
          <w:rFonts w:ascii="Garamond" w:hAnsi="Garamond"/>
          <w:b/>
        </w:rPr>
        <w:t>38</w:t>
      </w:r>
      <w:r w:rsidR="00754ADE" w:rsidRPr="0045578C">
        <w:rPr>
          <w:rFonts w:ascii="Garamond" w:hAnsi="Garamond"/>
        </w:rPr>
        <w:t>, 101-111.</w:t>
      </w:r>
    </w:p>
    <w:p w14:paraId="26FF2920" w14:textId="0670073F" w:rsidR="0035375A" w:rsidRPr="0045578C" w:rsidRDefault="0035375A" w:rsidP="00E10797">
      <w:pPr>
        <w:pStyle w:val="CommentText"/>
        <w:jc w:val="both"/>
        <w:rPr>
          <w:rFonts w:ascii="Garamond" w:hAnsi="Garamond"/>
          <w:sz w:val="22"/>
          <w:szCs w:val="22"/>
        </w:rPr>
      </w:pPr>
      <w:r w:rsidRPr="0045578C">
        <w:rPr>
          <w:rFonts w:ascii="Garamond" w:hAnsi="Garamond"/>
          <w:sz w:val="22"/>
          <w:szCs w:val="22"/>
        </w:rPr>
        <w:t xml:space="preserve">Jacobson N, </w:t>
      </w:r>
      <w:proofErr w:type="spellStart"/>
      <w:r w:rsidRPr="0045578C">
        <w:rPr>
          <w:rFonts w:ascii="Garamond" w:hAnsi="Garamond"/>
          <w:sz w:val="22"/>
          <w:szCs w:val="22"/>
        </w:rPr>
        <w:t>Truax</w:t>
      </w:r>
      <w:proofErr w:type="spellEnd"/>
      <w:r w:rsidRPr="0045578C">
        <w:rPr>
          <w:rFonts w:ascii="Garamond" w:hAnsi="Garamond"/>
          <w:sz w:val="22"/>
          <w:szCs w:val="22"/>
        </w:rPr>
        <w:t xml:space="preserve"> P (1991)</w:t>
      </w:r>
      <w:r w:rsidR="00861784">
        <w:rPr>
          <w:rFonts w:ascii="Garamond" w:hAnsi="Garamond"/>
          <w:sz w:val="22"/>
          <w:szCs w:val="22"/>
        </w:rPr>
        <w:t>.</w:t>
      </w:r>
      <w:r w:rsidRPr="0045578C">
        <w:rPr>
          <w:rFonts w:ascii="Garamond" w:hAnsi="Garamond"/>
          <w:sz w:val="22"/>
          <w:szCs w:val="22"/>
        </w:rPr>
        <w:t xml:space="preserve"> Clinical significance: a statistical approach to defining meaningful change in psychotherapy research. </w:t>
      </w:r>
      <w:r w:rsidRPr="0045578C">
        <w:rPr>
          <w:rFonts w:ascii="Garamond" w:hAnsi="Garamond"/>
          <w:i/>
          <w:sz w:val="22"/>
          <w:szCs w:val="22"/>
        </w:rPr>
        <w:t>Journal of Consulting and Clinical Psychology</w:t>
      </w:r>
      <w:r w:rsidRPr="0045578C">
        <w:rPr>
          <w:rFonts w:ascii="Garamond" w:hAnsi="Garamond"/>
          <w:sz w:val="22"/>
          <w:szCs w:val="22"/>
        </w:rPr>
        <w:t xml:space="preserve"> </w:t>
      </w:r>
      <w:r w:rsidRPr="0045578C">
        <w:rPr>
          <w:rFonts w:ascii="Garamond" w:hAnsi="Garamond"/>
          <w:b/>
          <w:sz w:val="22"/>
          <w:szCs w:val="22"/>
        </w:rPr>
        <w:t>59</w:t>
      </w:r>
      <w:r w:rsidRPr="0045578C">
        <w:rPr>
          <w:rFonts w:ascii="Garamond" w:hAnsi="Garamond"/>
          <w:sz w:val="22"/>
          <w:szCs w:val="22"/>
        </w:rPr>
        <w:t>, 12–19.</w:t>
      </w:r>
    </w:p>
    <w:p w14:paraId="3ECF14AA" w14:textId="5E8EFF9A" w:rsidR="00654263" w:rsidRPr="0045578C" w:rsidRDefault="00654263" w:rsidP="00E10797">
      <w:pPr>
        <w:spacing w:line="288" w:lineRule="auto"/>
        <w:jc w:val="both"/>
        <w:rPr>
          <w:rFonts w:ascii="Garamond" w:hAnsi="Garamond"/>
        </w:rPr>
      </w:pPr>
      <w:r w:rsidRPr="0045578C">
        <w:rPr>
          <w:rFonts w:ascii="Garamond" w:hAnsi="Garamond"/>
        </w:rPr>
        <w:t xml:space="preserve">Kay SR (1991). </w:t>
      </w:r>
      <w:proofErr w:type="gramStart"/>
      <w:r w:rsidRPr="0045578C">
        <w:rPr>
          <w:rFonts w:ascii="Garamond" w:hAnsi="Garamond"/>
          <w:i/>
        </w:rPr>
        <w:t>Positive and Negative Syndromes in Schizophrenia.</w:t>
      </w:r>
      <w:proofErr w:type="gramEnd"/>
      <w:r w:rsidR="00F66EA1" w:rsidRPr="0045578C">
        <w:rPr>
          <w:rFonts w:ascii="Garamond" w:hAnsi="Garamond"/>
        </w:rPr>
        <w:t xml:space="preserve"> Brunner: New York.</w:t>
      </w:r>
    </w:p>
    <w:p w14:paraId="47127D24" w14:textId="12D2B8E2" w:rsidR="00754ADE" w:rsidRPr="0045578C" w:rsidRDefault="00754ADE" w:rsidP="00E10797">
      <w:pPr>
        <w:spacing w:line="288" w:lineRule="auto"/>
        <w:jc w:val="both"/>
        <w:rPr>
          <w:rFonts w:ascii="Garamond" w:hAnsi="Garamond"/>
        </w:rPr>
      </w:pPr>
      <w:proofErr w:type="spellStart"/>
      <w:proofErr w:type="gramStart"/>
      <w:r w:rsidRPr="0045578C">
        <w:rPr>
          <w:rFonts w:ascii="Garamond" w:hAnsi="Garamond"/>
        </w:rPr>
        <w:lastRenderedPageBreak/>
        <w:t>Kuipers</w:t>
      </w:r>
      <w:proofErr w:type="spellEnd"/>
      <w:r w:rsidRPr="0045578C">
        <w:rPr>
          <w:rFonts w:ascii="Garamond" w:hAnsi="Garamond"/>
        </w:rPr>
        <w:t xml:space="preserve"> J</w:t>
      </w:r>
      <w:r w:rsidR="00F66EA1" w:rsidRPr="0045578C">
        <w:rPr>
          <w:rFonts w:ascii="Garamond" w:hAnsi="Garamond"/>
        </w:rPr>
        <w:t xml:space="preserve">, </w:t>
      </w:r>
      <w:proofErr w:type="spellStart"/>
      <w:r w:rsidR="00F66EA1" w:rsidRPr="0045578C">
        <w:rPr>
          <w:rFonts w:ascii="Garamond" w:hAnsi="Garamond"/>
        </w:rPr>
        <w:t>Moffa</w:t>
      </w:r>
      <w:proofErr w:type="spellEnd"/>
      <w:r w:rsidR="00F66EA1" w:rsidRPr="0045578C">
        <w:rPr>
          <w:rFonts w:ascii="Garamond" w:hAnsi="Garamond"/>
        </w:rPr>
        <w:t xml:space="preserve"> G</w:t>
      </w:r>
      <w:r w:rsidRPr="0045578C">
        <w:rPr>
          <w:rFonts w:ascii="Garamond" w:hAnsi="Garamond"/>
        </w:rPr>
        <w:t xml:space="preserve">, </w:t>
      </w:r>
      <w:proofErr w:type="spellStart"/>
      <w:r w:rsidRPr="0045578C">
        <w:rPr>
          <w:rFonts w:ascii="Garamond" w:hAnsi="Garamond"/>
        </w:rPr>
        <w:t>Kuipers</w:t>
      </w:r>
      <w:proofErr w:type="spellEnd"/>
      <w:r w:rsidRPr="0045578C">
        <w:rPr>
          <w:rFonts w:ascii="Garamond" w:hAnsi="Garamond"/>
        </w:rPr>
        <w:t xml:space="preserve"> E, Freeman</w:t>
      </w:r>
      <w:r w:rsidR="00F66EA1" w:rsidRPr="0045578C">
        <w:rPr>
          <w:rFonts w:ascii="Garamond" w:hAnsi="Garamond"/>
        </w:rPr>
        <w:t xml:space="preserve"> D</w:t>
      </w:r>
      <w:r w:rsidRPr="0045578C">
        <w:rPr>
          <w:rFonts w:ascii="Garamond" w:hAnsi="Garamond"/>
        </w:rPr>
        <w:t xml:space="preserve"> </w:t>
      </w:r>
      <w:r w:rsidR="00F66EA1" w:rsidRPr="0045578C">
        <w:rPr>
          <w:rFonts w:ascii="Garamond" w:hAnsi="Garamond"/>
        </w:rPr>
        <w:t>and</w:t>
      </w:r>
      <w:r w:rsidRPr="0045578C">
        <w:rPr>
          <w:rFonts w:ascii="Garamond" w:hAnsi="Garamond"/>
        </w:rPr>
        <w:t xml:space="preserve"> </w:t>
      </w:r>
      <w:proofErr w:type="spellStart"/>
      <w:r w:rsidRPr="0045578C">
        <w:rPr>
          <w:rFonts w:ascii="Garamond" w:hAnsi="Garamond"/>
        </w:rPr>
        <w:t>Bebbington</w:t>
      </w:r>
      <w:proofErr w:type="spellEnd"/>
      <w:r w:rsidR="00F66EA1" w:rsidRPr="0045578C">
        <w:rPr>
          <w:rFonts w:ascii="Garamond" w:hAnsi="Garamond"/>
        </w:rPr>
        <w:t xml:space="preserve"> </w:t>
      </w:r>
      <w:r w:rsidRPr="0045578C">
        <w:rPr>
          <w:rFonts w:ascii="Garamond" w:hAnsi="Garamond"/>
        </w:rPr>
        <w:t>P (2018)</w:t>
      </w:r>
      <w:r w:rsidR="00861784">
        <w:rPr>
          <w:rFonts w:ascii="Garamond" w:hAnsi="Garamond"/>
        </w:rPr>
        <w:t>.</w:t>
      </w:r>
      <w:proofErr w:type="gramEnd"/>
      <w:r w:rsidRPr="0045578C">
        <w:rPr>
          <w:rFonts w:ascii="Garamond" w:hAnsi="Garamond"/>
        </w:rPr>
        <w:t xml:space="preserve"> Links between psychotic and neurotic symptoms in the general population: An analysis of longitudinal British National Survey data using Directed Acyclic Graphs. </w:t>
      </w:r>
      <w:proofErr w:type="gramStart"/>
      <w:r w:rsidRPr="0045578C">
        <w:rPr>
          <w:rFonts w:ascii="Garamond" w:hAnsi="Garamond"/>
          <w:i/>
        </w:rPr>
        <w:t>Psychological Medicine</w:t>
      </w:r>
      <w:r w:rsidRPr="0045578C">
        <w:rPr>
          <w:rFonts w:ascii="Garamond" w:hAnsi="Garamond"/>
        </w:rPr>
        <w:t>.</w:t>
      </w:r>
      <w:proofErr w:type="gramEnd"/>
      <w:r w:rsidRPr="0045578C">
        <w:rPr>
          <w:rFonts w:ascii="Garamond" w:hAnsi="Garamond"/>
        </w:rPr>
        <w:t xml:space="preserve"> </w:t>
      </w:r>
      <w:proofErr w:type="gramStart"/>
      <w:r w:rsidRPr="0045578C">
        <w:rPr>
          <w:rFonts w:ascii="Garamond" w:hAnsi="Garamond"/>
        </w:rPr>
        <w:t>Published online: 29 May 2018</w:t>
      </w:r>
      <w:r w:rsidR="00F66EA1" w:rsidRPr="0045578C">
        <w:rPr>
          <w:rFonts w:ascii="Garamond" w:hAnsi="Garamond"/>
        </w:rPr>
        <w:t>.</w:t>
      </w:r>
      <w:proofErr w:type="gramEnd"/>
    </w:p>
    <w:p w14:paraId="05A974DE" w14:textId="390B6409" w:rsidR="0035375A" w:rsidRPr="0045578C" w:rsidRDefault="0035375A" w:rsidP="00E10797">
      <w:pPr>
        <w:pStyle w:val="CommentText"/>
        <w:jc w:val="both"/>
        <w:rPr>
          <w:rFonts w:ascii="Garamond" w:hAnsi="Garamond"/>
          <w:sz w:val="22"/>
          <w:szCs w:val="22"/>
        </w:rPr>
      </w:pPr>
      <w:r w:rsidRPr="0045578C">
        <w:rPr>
          <w:rFonts w:ascii="Garamond" w:hAnsi="Garamond"/>
          <w:sz w:val="22"/>
          <w:szCs w:val="22"/>
        </w:rPr>
        <w:t xml:space="preserve">Lopez-Raton M, </w:t>
      </w:r>
      <w:proofErr w:type="spellStart"/>
      <w:r w:rsidRPr="0045578C">
        <w:rPr>
          <w:rFonts w:ascii="Garamond" w:hAnsi="Garamond"/>
          <w:sz w:val="22"/>
          <w:szCs w:val="22"/>
        </w:rPr>
        <w:t>Xose</w:t>
      </w:r>
      <w:proofErr w:type="spellEnd"/>
      <w:r w:rsidRPr="0045578C">
        <w:rPr>
          <w:rFonts w:ascii="Garamond" w:hAnsi="Garamond"/>
          <w:sz w:val="22"/>
          <w:szCs w:val="22"/>
        </w:rPr>
        <w:t xml:space="preserve"> Rodriguez-Alvarez M, </w:t>
      </w:r>
      <w:proofErr w:type="spellStart"/>
      <w:r w:rsidRPr="0045578C">
        <w:rPr>
          <w:rFonts w:ascii="Garamond" w:hAnsi="Garamond"/>
          <w:sz w:val="22"/>
          <w:szCs w:val="22"/>
        </w:rPr>
        <w:t>Cadarso</w:t>
      </w:r>
      <w:proofErr w:type="spellEnd"/>
      <w:r w:rsidRPr="0045578C">
        <w:rPr>
          <w:rFonts w:ascii="Garamond" w:hAnsi="Garamond"/>
          <w:sz w:val="22"/>
          <w:szCs w:val="22"/>
        </w:rPr>
        <w:t xml:space="preserve"> Suarez C, </w:t>
      </w:r>
      <w:proofErr w:type="spellStart"/>
      <w:r w:rsidRPr="0045578C">
        <w:rPr>
          <w:rFonts w:ascii="Garamond" w:hAnsi="Garamond"/>
          <w:sz w:val="22"/>
          <w:szCs w:val="22"/>
        </w:rPr>
        <w:t>Gude</w:t>
      </w:r>
      <w:proofErr w:type="spellEnd"/>
      <w:r w:rsidRPr="0045578C">
        <w:rPr>
          <w:rFonts w:ascii="Garamond" w:hAnsi="Garamond"/>
          <w:sz w:val="22"/>
          <w:szCs w:val="22"/>
        </w:rPr>
        <w:t xml:space="preserve"> </w:t>
      </w:r>
      <w:proofErr w:type="spellStart"/>
      <w:r w:rsidRPr="0045578C">
        <w:rPr>
          <w:rFonts w:ascii="Garamond" w:hAnsi="Garamond"/>
          <w:sz w:val="22"/>
          <w:szCs w:val="22"/>
        </w:rPr>
        <w:t>Sampedro</w:t>
      </w:r>
      <w:proofErr w:type="spellEnd"/>
      <w:r w:rsidRPr="0045578C">
        <w:rPr>
          <w:rFonts w:ascii="Garamond" w:hAnsi="Garamond"/>
          <w:sz w:val="22"/>
          <w:szCs w:val="22"/>
        </w:rPr>
        <w:t xml:space="preserve"> F (2014)</w:t>
      </w:r>
      <w:r w:rsidR="00861784">
        <w:rPr>
          <w:rFonts w:ascii="Garamond" w:hAnsi="Garamond"/>
          <w:sz w:val="22"/>
          <w:szCs w:val="22"/>
        </w:rPr>
        <w:t>.</w:t>
      </w:r>
      <w:r w:rsidRPr="0045578C">
        <w:rPr>
          <w:rFonts w:ascii="Garamond" w:hAnsi="Garamond"/>
          <w:sz w:val="22"/>
          <w:szCs w:val="22"/>
        </w:rPr>
        <w:t xml:space="preserve"> </w:t>
      </w:r>
      <w:proofErr w:type="spellStart"/>
      <w:r w:rsidRPr="0045578C">
        <w:rPr>
          <w:rFonts w:ascii="Garamond" w:hAnsi="Garamond"/>
          <w:sz w:val="22"/>
          <w:szCs w:val="22"/>
        </w:rPr>
        <w:t>OptimalCutpoints</w:t>
      </w:r>
      <w:proofErr w:type="spellEnd"/>
      <w:r w:rsidRPr="0045578C">
        <w:rPr>
          <w:rFonts w:ascii="Garamond" w:hAnsi="Garamond"/>
          <w:sz w:val="22"/>
          <w:szCs w:val="22"/>
        </w:rPr>
        <w:t xml:space="preserve">: an R package for selecting optimal </w:t>
      </w:r>
      <w:proofErr w:type="spellStart"/>
      <w:r w:rsidRPr="0045578C">
        <w:rPr>
          <w:rFonts w:ascii="Garamond" w:hAnsi="Garamond"/>
          <w:sz w:val="22"/>
          <w:szCs w:val="22"/>
        </w:rPr>
        <w:t>cutpoints</w:t>
      </w:r>
      <w:proofErr w:type="spellEnd"/>
      <w:r w:rsidRPr="0045578C">
        <w:rPr>
          <w:rFonts w:ascii="Garamond" w:hAnsi="Garamond"/>
          <w:sz w:val="22"/>
          <w:szCs w:val="22"/>
        </w:rPr>
        <w:t xml:space="preserve"> in diagnostic tests. </w:t>
      </w:r>
      <w:r w:rsidRPr="0045578C">
        <w:rPr>
          <w:rFonts w:ascii="Garamond" w:hAnsi="Garamond"/>
          <w:i/>
          <w:sz w:val="22"/>
          <w:szCs w:val="22"/>
        </w:rPr>
        <w:t>Journal of Statistical Software</w:t>
      </w:r>
      <w:r w:rsidRPr="0045578C">
        <w:rPr>
          <w:rFonts w:ascii="Garamond" w:hAnsi="Garamond"/>
          <w:sz w:val="22"/>
          <w:szCs w:val="22"/>
        </w:rPr>
        <w:t xml:space="preserve"> </w:t>
      </w:r>
      <w:r w:rsidRPr="0045578C">
        <w:rPr>
          <w:rFonts w:ascii="Garamond" w:hAnsi="Garamond"/>
          <w:b/>
          <w:sz w:val="22"/>
          <w:szCs w:val="22"/>
        </w:rPr>
        <w:t>61</w:t>
      </w:r>
      <w:r w:rsidRPr="0045578C">
        <w:rPr>
          <w:rFonts w:ascii="Garamond" w:hAnsi="Garamond"/>
          <w:sz w:val="22"/>
          <w:szCs w:val="22"/>
        </w:rPr>
        <w:t xml:space="preserve">, 1-36. </w:t>
      </w:r>
    </w:p>
    <w:p w14:paraId="2B57B10F" w14:textId="05096E03" w:rsidR="00754ADE" w:rsidRPr="0045578C" w:rsidRDefault="00754ADE" w:rsidP="00E10797">
      <w:pPr>
        <w:spacing w:line="288" w:lineRule="auto"/>
        <w:jc w:val="both"/>
        <w:rPr>
          <w:rFonts w:ascii="Garamond" w:hAnsi="Garamond"/>
        </w:rPr>
      </w:pPr>
      <w:proofErr w:type="spellStart"/>
      <w:proofErr w:type="gramStart"/>
      <w:r w:rsidRPr="0045578C">
        <w:rPr>
          <w:rFonts w:ascii="Garamond" w:hAnsi="Garamond"/>
        </w:rPr>
        <w:t>L</w:t>
      </w:r>
      <w:r w:rsidR="00F66EA1" w:rsidRPr="0045578C">
        <w:rPr>
          <w:rFonts w:ascii="Garamond" w:hAnsi="Garamond"/>
        </w:rPr>
        <w:t>ovibond</w:t>
      </w:r>
      <w:proofErr w:type="spellEnd"/>
      <w:r w:rsidR="00F66EA1" w:rsidRPr="0045578C">
        <w:rPr>
          <w:rFonts w:ascii="Garamond" w:hAnsi="Garamond"/>
        </w:rPr>
        <w:t xml:space="preserve"> </w:t>
      </w:r>
      <w:r w:rsidRPr="0045578C">
        <w:rPr>
          <w:rFonts w:ascii="Garamond" w:hAnsi="Garamond"/>
        </w:rPr>
        <w:t xml:space="preserve">P </w:t>
      </w:r>
      <w:r w:rsidR="00F66EA1" w:rsidRPr="0045578C">
        <w:rPr>
          <w:rFonts w:ascii="Garamond" w:hAnsi="Garamond"/>
        </w:rPr>
        <w:t>and</w:t>
      </w:r>
      <w:r w:rsidRPr="0045578C">
        <w:rPr>
          <w:rFonts w:ascii="Garamond" w:hAnsi="Garamond"/>
        </w:rPr>
        <w:t xml:space="preserve"> </w:t>
      </w:r>
      <w:proofErr w:type="spellStart"/>
      <w:r w:rsidRPr="0045578C">
        <w:rPr>
          <w:rFonts w:ascii="Garamond" w:hAnsi="Garamond"/>
        </w:rPr>
        <w:t>Lovibond</w:t>
      </w:r>
      <w:proofErr w:type="spellEnd"/>
      <w:r w:rsidRPr="0045578C">
        <w:rPr>
          <w:rFonts w:ascii="Garamond" w:hAnsi="Garamond"/>
        </w:rPr>
        <w:t xml:space="preserve"> SH (1995)</w:t>
      </w:r>
      <w:r w:rsidR="00861784">
        <w:rPr>
          <w:rFonts w:ascii="Garamond" w:hAnsi="Garamond"/>
        </w:rPr>
        <w:t>.</w:t>
      </w:r>
      <w:proofErr w:type="gramEnd"/>
      <w:r w:rsidRPr="0045578C">
        <w:rPr>
          <w:rFonts w:ascii="Garamond" w:hAnsi="Garamond"/>
        </w:rPr>
        <w:t xml:space="preserve"> </w:t>
      </w:r>
      <w:proofErr w:type="gramStart"/>
      <w:r w:rsidRPr="0045578C">
        <w:rPr>
          <w:rFonts w:ascii="Garamond" w:hAnsi="Garamond"/>
        </w:rPr>
        <w:t>The structure of negative emotional states.</w:t>
      </w:r>
      <w:proofErr w:type="gramEnd"/>
      <w:r w:rsidR="00F66EA1" w:rsidRPr="0045578C">
        <w:rPr>
          <w:rFonts w:ascii="Garamond" w:hAnsi="Garamond"/>
        </w:rPr>
        <w:t xml:space="preserve"> </w:t>
      </w:r>
      <w:r w:rsidR="00F66EA1" w:rsidRPr="0045578C">
        <w:rPr>
          <w:rFonts w:ascii="Garamond" w:hAnsi="Garamond"/>
          <w:i/>
        </w:rPr>
        <w:t>Behaviour Research and Therapy</w:t>
      </w:r>
      <w:r w:rsidRPr="0045578C">
        <w:rPr>
          <w:rFonts w:ascii="Garamond" w:hAnsi="Garamond"/>
        </w:rPr>
        <w:t xml:space="preserve"> </w:t>
      </w:r>
      <w:r w:rsidRPr="0045578C">
        <w:rPr>
          <w:rFonts w:ascii="Garamond" w:hAnsi="Garamond"/>
          <w:b/>
        </w:rPr>
        <w:t>33</w:t>
      </w:r>
      <w:r w:rsidRPr="0045578C">
        <w:rPr>
          <w:rFonts w:ascii="Garamond" w:hAnsi="Garamond"/>
        </w:rPr>
        <w:t>, 335-343.</w:t>
      </w:r>
    </w:p>
    <w:p w14:paraId="5E306443" w14:textId="55CE1A2B" w:rsidR="00754ADE" w:rsidRPr="0045578C" w:rsidRDefault="00F66EA1" w:rsidP="00E10797">
      <w:pPr>
        <w:spacing w:line="288" w:lineRule="auto"/>
        <w:jc w:val="both"/>
        <w:rPr>
          <w:rFonts w:ascii="Garamond" w:hAnsi="Garamond"/>
        </w:rPr>
      </w:pPr>
      <w:proofErr w:type="gramStart"/>
      <w:r w:rsidRPr="0045578C">
        <w:rPr>
          <w:rFonts w:ascii="Garamond" w:hAnsi="Garamond"/>
        </w:rPr>
        <w:t>Meyer T</w:t>
      </w:r>
      <w:r w:rsidR="00754ADE" w:rsidRPr="0045578C">
        <w:rPr>
          <w:rFonts w:ascii="Garamond" w:hAnsi="Garamond"/>
        </w:rPr>
        <w:t>J, Miller</w:t>
      </w:r>
      <w:r w:rsidRPr="0045578C">
        <w:rPr>
          <w:rFonts w:ascii="Garamond" w:hAnsi="Garamond"/>
        </w:rPr>
        <w:t xml:space="preserve"> M</w:t>
      </w:r>
      <w:r w:rsidR="00754ADE" w:rsidRPr="0045578C">
        <w:rPr>
          <w:rFonts w:ascii="Garamond" w:hAnsi="Garamond"/>
        </w:rPr>
        <w:t>L</w:t>
      </w:r>
      <w:r w:rsidRPr="0045578C">
        <w:rPr>
          <w:rFonts w:ascii="Garamond" w:hAnsi="Garamond"/>
        </w:rPr>
        <w:t>, Metzger</w:t>
      </w:r>
      <w:r w:rsidR="00754ADE" w:rsidRPr="0045578C">
        <w:rPr>
          <w:rFonts w:ascii="Garamond" w:hAnsi="Garamond"/>
        </w:rPr>
        <w:t xml:space="preserve"> R</w:t>
      </w:r>
      <w:r w:rsidRPr="0045578C">
        <w:rPr>
          <w:rFonts w:ascii="Garamond" w:hAnsi="Garamond"/>
        </w:rPr>
        <w:t xml:space="preserve">L &amp; </w:t>
      </w:r>
      <w:proofErr w:type="spellStart"/>
      <w:r w:rsidRPr="0045578C">
        <w:rPr>
          <w:rFonts w:ascii="Garamond" w:hAnsi="Garamond"/>
        </w:rPr>
        <w:t>Borkovec</w:t>
      </w:r>
      <w:proofErr w:type="spellEnd"/>
      <w:r w:rsidR="00754ADE" w:rsidRPr="0045578C">
        <w:rPr>
          <w:rFonts w:ascii="Garamond" w:hAnsi="Garamond"/>
        </w:rPr>
        <w:t xml:space="preserve"> T</w:t>
      </w:r>
      <w:r w:rsidRPr="0045578C">
        <w:rPr>
          <w:rFonts w:ascii="Garamond" w:hAnsi="Garamond"/>
        </w:rPr>
        <w:t>D</w:t>
      </w:r>
      <w:r w:rsidR="00861784">
        <w:rPr>
          <w:rFonts w:ascii="Garamond" w:hAnsi="Garamond"/>
        </w:rPr>
        <w:t xml:space="preserve"> (1990).</w:t>
      </w:r>
      <w:proofErr w:type="gramEnd"/>
      <w:r w:rsidR="00754ADE" w:rsidRPr="0045578C">
        <w:rPr>
          <w:rFonts w:ascii="Garamond" w:hAnsi="Garamond"/>
        </w:rPr>
        <w:t xml:space="preserve"> </w:t>
      </w:r>
      <w:proofErr w:type="gramStart"/>
      <w:r w:rsidR="00754ADE" w:rsidRPr="0045578C">
        <w:rPr>
          <w:rFonts w:ascii="Garamond" w:hAnsi="Garamond"/>
        </w:rPr>
        <w:t>Development and validation of the Penn State Worry Questionnaire.</w:t>
      </w:r>
      <w:proofErr w:type="gramEnd"/>
      <w:r w:rsidR="00754ADE" w:rsidRPr="0045578C">
        <w:rPr>
          <w:rFonts w:ascii="Garamond" w:hAnsi="Garamond"/>
        </w:rPr>
        <w:t xml:space="preserve"> </w:t>
      </w:r>
      <w:r w:rsidR="00754ADE" w:rsidRPr="0045578C">
        <w:rPr>
          <w:rFonts w:ascii="Garamond" w:hAnsi="Garamond"/>
          <w:i/>
        </w:rPr>
        <w:t>Behaviour Research and Therapy</w:t>
      </w:r>
      <w:r w:rsidR="00754ADE" w:rsidRPr="0045578C">
        <w:rPr>
          <w:rFonts w:ascii="Garamond" w:hAnsi="Garamond"/>
        </w:rPr>
        <w:t xml:space="preserve"> </w:t>
      </w:r>
      <w:r w:rsidR="00754ADE" w:rsidRPr="0045578C">
        <w:rPr>
          <w:rFonts w:ascii="Garamond" w:hAnsi="Garamond"/>
          <w:b/>
        </w:rPr>
        <w:t>28</w:t>
      </w:r>
      <w:r w:rsidR="00754ADE" w:rsidRPr="0045578C">
        <w:rPr>
          <w:rFonts w:ascii="Garamond" w:hAnsi="Garamond"/>
        </w:rPr>
        <w:t>, 487-495.</w:t>
      </w:r>
    </w:p>
    <w:p w14:paraId="01835A0D" w14:textId="5ECEBC7C" w:rsidR="00754ADE" w:rsidRPr="0045578C" w:rsidRDefault="00754ADE" w:rsidP="00E10797">
      <w:pPr>
        <w:spacing w:line="288" w:lineRule="auto"/>
        <w:jc w:val="both"/>
        <w:rPr>
          <w:rFonts w:ascii="Garamond" w:hAnsi="Garamond"/>
        </w:rPr>
      </w:pPr>
      <w:r w:rsidRPr="0045578C">
        <w:rPr>
          <w:rFonts w:ascii="Garamond" w:hAnsi="Garamond"/>
        </w:rPr>
        <w:t>Moore M</w:t>
      </w:r>
      <w:r w:rsidR="00F66EA1" w:rsidRPr="0045578C">
        <w:rPr>
          <w:rFonts w:ascii="Garamond" w:hAnsi="Garamond"/>
        </w:rPr>
        <w:t>, Anderson</w:t>
      </w:r>
      <w:r w:rsidRPr="0045578C">
        <w:rPr>
          <w:rFonts w:ascii="Garamond" w:hAnsi="Garamond"/>
        </w:rPr>
        <w:t xml:space="preserve"> N, Barnes J</w:t>
      </w:r>
      <w:r w:rsidR="00F66EA1" w:rsidRPr="0045578C">
        <w:rPr>
          <w:rFonts w:ascii="Garamond" w:hAnsi="Garamond"/>
        </w:rPr>
        <w:t xml:space="preserve">, Haigh </w:t>
      </w:r>
      <w:r w:rsidRPr="0045578C">
        <w:rPr>
          <w:rFonts w:ascii="Garamond" w:hAnsi="Garamond"/>
        </w:rPr>
        <w:t xml:space="preserve">E, </w:t>
      </w:r>
      <w:r w:rsidR="00F66EA1" w:rsidRPr="0045578C">
        <w:rPr>
          <w:rFonts w:ascii="Garamond" w:hAnsi="Garamond"/>
        </w:rPr>
        <w:t xml:space="preserve">and </w:t>
      </w:r>
      <w:r w:rsidRPr="0045578C">
        <w:rPr>
          <w:rFonts w:ascii="Garamond" w:hAnsi="Garamond"/>
        </w:rPr>
        <w:t>Fresco</w:t>
      </w:r>
      <w:r w:rsidR="00F66EA1" w:rsidRPr="0045578C">
        <w:rPr>
          <w:rFonts w:ascii="Garamond" w:hAnsi="Garamond"/>
        </w:rPr>
        <w:t xml:space="preserve"> D </w:t>
      </w:r>
      <w:r w:rsidRPr="0045578C">
        <w:rPr>
          <w:rFonts w:ascii="Garamond" w:hAnsi="Garamond"/>
        </w:rPr>
        <w:t>(2014)</w:t>
      </w:r>
      <w:r w:rsidR="00861784">
        <w:rPr>
          <w:rFonts w:ascii="Garamond" w:hAnsi="Garamond"/>
        </w:rPr>
        <w:t>.</w:t>
      </w:r>
      <w:r w:rsidRPr="0045578C">
        <w:rPr>
          <w:rFonts w:ascii="Garamond" w:hAnsi="Garamond"/>
        </w:rPr>
        <w:t xml:space="preserve"> </w:t>
      </w:r>
      <w:proofErr w:type="gramStart"/>
      <w:r w:rsidRPr="0045578C">
        <w:rPr>
          <w:rFonts w:ascii="Garamond" w:hAnsi="Garamond"/>
        </w:rPr>
        <w:t>Using the GAD-Q-IV to identify generalized anxiety disorder in psychiatric treatment seeking and primary care medical sample</w:t>
      </w:r>
      <w:r w:rsidR="00F66EA1" w:rsidRPr="0045578C">
        <w:rPr>
          <w:rFonts w:ascii="Garamond" w:hAnsi="Garamond"/>
        </w:rPr>
        <w:t>s.</w:t>
      </w:r>
      <w:proofErr w:type="gramEnd"/>
      <w:r w:rsidR="00F66EA1" w:rsidRPr="0045578C">
        <w:rPr>
          <w:rFonts w:ascii="Garamond" w:hAnsi="Garamond"/>
        </w:rPr>
        <w:t xml:space="preserve"> </w:t>
      </w:r>
      <w:r w:rsidR="00F66EA1" w:rsidRPr="0045578C">
        <w:rPr>
          <w:rFonts w:ascii="Garamond" w:hAnsi="Garamond"/>
          <w:i/>
        </w:rPr>
        <w:t>Journal of Anxiety Disorders</w:t>
      </w:r>
      <w:r w:rsidRPr="0045578C">
        <w:rPr>
          <w:rFonts w:ascii="Garamond" w:hAnsi="Garamond"/>
        </w:rPr>
        <w:t xml:space="preserve"> </w:t>
      </w:r>
      <w:r w:rsidRPr="0045578C">
        <w:rPr>
          <w:rFonts w:ascii="Garamond" w:hAnsi="Garamond"/>
          <w:b/>
        </w:rPr>
        <w:t>28</w:t>
      </w:r>
      <w:r w:rsidRPr="0045578C">
        <w:rPr>
          <w:rFonts w:ascii="Garamond" w:hAnsi="Garamond"/>
        </w:rPr>
        <w:t>, 25-30.</w:t>
      </w:r>
    </w:p>
    <w:p w14:paraId="272253EE" w14:textId="3C21CB39" w:rsidR="00754ADE" w:rsidRPr="0045578C" w:rsidRDefault="00754ADE" w:rsidP="00E10797">
      <w:pPr>
        <w:spacing w:line="288" w:lineRule="auto"/>
        <w:jc w:val="both"/>
        <w:rPr>
          <w:rFonts w:ascii="Garamond" w:hAnsi="Garamond"/>
        </w:rPr>
      </w:pPr>
      <w:r w:rsidRPr="0045578C">
        <w:rPr>
          <w:rFonts w:ascii="Garamond" w:hAnsi="Garamond"/>
        </w:rPr>
        <w:t xml:space="preserve">Newman M, </w:t>
      </w:r>
      <w:proofErr w:type="spellStart"/>
      <w:r w:rsidRPr="0045578C">
        <w:rPr>
          <w:rFonts w:ascii="Garamond" w:hAnsi="Garamond"/>
        </w:rPr>
        <w:t>Zuellig</w:t>
      </w:r>
      <w:proofErr w:type="spellEnd"/>
      <w:r w:rsidRPr="0045578C">
        <w:rPr>
          <w:rFonts w:ascii="Garamond" w:hAnsi="Garamond"/>
        </w:rPr>
        <w:t xml:space="preserve"> A, Kachin</w:t>
      </w:r>
      <w:r w:rsidR="00F66EA1" w:rsidRPr="0045578C">
        <w:rPr>
          <w:rFonts w:ascii="Garamond" w:hAnsi="Garamond"/>
        </w:rPr>
        <w:t xml:space="preserve"> K</w:t>
      </w:r>
      <w:r w:rsidRPr="0045578C">
        <w:rPr>
          <w:rFonts w:ascii="Garamond" w:hAnsi="Garamond"/>
        </w:rPr>
        <w:t xml:space="preserve">, </w:t>
      </w:r>
      <w:proofErr w:type="spellStart"/>
      <w:r w:rsidRPr="0045578C">
        <w:rPr>
          <w:rFonts w:ascii="Garamond" w:hAnsi="Garamond"/>
        </w:rPr>
        <w:t>Constantino</w:t>
      </w:r>
      <w:proofErr w:type="spellEnd"/>
      <w:r w:rsidRPr="0045578C">
        <w:rPr>
          <w:rFonts w:ascii="Garamond" w:hAnsi="Garamond"/>
        </w:rPr>
        <w:t xml:space="preserve"> M, </w:t>
      </w:r>
      <w:proofErr w:type="spellStart"/>
      <w:r w:rsidRPr="0045578C">
        <w:rPr>
          <w:rFonts w:ascii="Garamond" w:hAnsi="Garamond"/>
        </w:rPr>
        <w:t>Przeworski</w:t>
      </w:r>
      <w:proofErr w:type="spellEnd"/>
      <w:r w:rsidRPr="0045578C">
        <w:rPr>
          <w:rFonts w:ascii="Garamond" w:hAnsi="Garamond"/>
        </w:rPr>
        <w:t xml:space="preserve"> A, Erickson T, </w:t>
      </w:r>
      <w:r w:rsidR="00F66EA1" w:rsidRPr="0045578C">
        <w:rPr>
          <w:rFonts w:ascii="Garamond" w:hAnsi="Garamond"/>
        </w:rPr>
        <w:t>and</w:t>
      </w:r>
      <w:r w:rsidRPr="0045578C">
        <w:rPr>
          <w:rFonts w:ascii="Garamond" w:hAnsi="Garamond"/>
        </w:rPr>
        <w:t xml:space="preserve"> Cashman-McGrath L</w:t>
      </w:r>
      <w:r w:rsidR="00F66EA1" w:rsidRPr="0045578C">
        <w:rPr>
          <w:rFonts w:ascii="Garamond" w:hAnsi="Garamond"/>
        </w:rPr>
        <w:t xml:space="preserve"> (2002)</w:t>
      </w:r>
      <w:r w:rsidR="00861784">
        <w:rPr>
          <w:rFonts w:ascii="Garamond" w:hAnsi="Garamond"/>
        </w:rPr>
        <w:t>.</w:t>
      </w:r>
      <w:r w:rsidRPr="0045578C">
        <w:rPr>
          <w:rFonts w:ascii="Garamond" w:hAnsi="Garamond"/>
        </w:rPr>
        <w:t xml:space="preserve"> Preliminary reliability and validity of the Generalized Anxiety Disorder Questionnaire–IV: A revised self-report diagnostic measure of generalized anxiety disorder. </w:t>
      </w:r>
      <w:proofErr w:type="spellStart"/>
      <w:r w:rsidR="00F66EA1" w:rsidRPr="0045578C">
        <w:rPr>
          <w:rFonts w:ascii="Garamond" w:hAnsi="Garamond"/>
          <w:i/>
        </w:rPr>
        <w:t>Behavior</w:t>
      </w:r>
      <w:proofErr w:type="spellEnd"/>
      <w:r w:rsidR="00F66EA1" w:rsidRPr="0045578C">
        <w:rPr>
          <w:rFonts w:ascii="Garamond" w:hAnsi="Garamond"/>
          <w:i/>
        </w:rPr>
        <w:t xml:space="preserve"> Therapy</w:t>
      </w:r>
      <w:r w:rsidR="00F66EA1" w:rsidRPr="0045578C">
        <w:rPr>
          <w:rFonts w:ascii="Garamond" w:hAnsi="Garamond"/>
        </w:rPr>
        <w:t xml:space="preserve"> </w:t>
      </w:r>
      <w:r w:rsidRPr="0045578C">
        <w:rPr>
          <w:rFonts w:ascii="Garamond" w:hAnsi="Garamond"/>
          <w:b/>
        </w:rPr>
        <w:t>33</w:t>
      </w:r>
      <w:r w:rsidRPr="0045578C">
        <w:rPr>
          <w:rFonts w:ascii="Garamond" w:hAnsi="Garamond"/>
        </w:rPr>
        <w:t>, 215–233.</w:t>
      </w:r>
    </w:p>
    <w:p w14:paraId="59EE9474" w14:textId="777E0BF1" w:rsidR="0076196C" w:rsidRPr="0045578C" w:rsidRDefault="00861784" w:rsidP="00E10797">
      <w:pPr>
        <w:pStyle w:val="CommentText"/>
        <w:jc w:val="both"/>
        <w:rPr>
          <w:rFonts w:ascii="Garamond" w:hAnsi="Garamond"/>
          <w:sz w:val="22"/>
          <w:szCs w:val="22"/>
        </w:rPr>
      </w:pPr>
      <w:r>
        <w:rPr>
          <w:rFonts w:ascii="Garamond" w:hAnsi="Garamond"/>
          <w:sz w:val="22"/>
          <w:szCs w:val="22"/>
        </w:rPr>
        <w:t>O’Connor BP (</w:t>
      </w:r>
      <w:r w:rsidR="0076196C" w:rsidRPr="00861784">
        <w:rPr>
          <w:rFonts w:ascii="Garamond" w:hAnsi="Garamond"/>
          <w:sz w:val="22"/>
          <w:szCs w:val="22"/>
        </w:rPr>
        <w:t>2017</w:t>
      </w:r>
      <w:r>
        <w:rPr>
          <w:rFonts w:ascii="Garamond" w:hAnsi="Garamond"/>
          <w:sz w:val="22"/>
          <w:szCs w:val="22"/>
        </w:rPr>
        <w:t xml:space="preserve">). </w:t>
      </w:r>
      <w:proofErr w:type="gramStart"/>
      <w:r>
        <w:rPr>
          <w:rFonts w:ascii="Garamond" w:hAnsi="Garamond"/>
          <w:sz w:val="22"/>
          <w:szCs w:val="22"/>
        </w:rPr>
        <w:t>An illustration of the effects of fluctuations in test information on measurement error, the attenuation of effect sizes, and diagnostic reliability.</w:t>
      </w:r>
      <w:proofErr w:type="gramEnd"/>
      <w:r>
        <w:rPr>
          <w:rFonts w:ascii="Garamond" w:hAnsi="Garamond"/>
          <w:sz w:val="22"/>
          <w:szCs w:val="22"/>
        </w:rPr>
        <w:t xml:space="preserve"> </w:t>
      </w:r>
      <w:proofErr w:type="gramStart"/>
      <w:r w:rsidRPr="00861784">
        <w:rPr>
          <w:rFonts w:ascii="Garamond" w:hAnsi="Garamond"/>
          <w:i/>
          <w:sz w:val="22"/>
          <w:szCs w:val="22"/>
        </w:rPr>
        <w:t>Psychological Assessment</w:t>
      </w:r>
      <w:r w:rsidRPr="00861784">
        <w:rPr>
          <w:rFonts w:ascii="Garamond" w:hAnsi="Garamond"/>
          <w:sz w:val="22"/>
          <w:szCs w:val="22"/>
        </w:rPr>
        <w:t xml:space="preserve"> </w:t>
      </w:r>
      <w:r w:rsidRPr="00861784">
        <w:rPr>
          <w:rFonts w:ascii="Garamond" w:hAnsi="Garamond"/>
          <w:b/>
          <w:sz w:val="22"/>
          <w:szCs w:val="22"/>
        </w:rPr>
        <w:t>30</w:t>
      </w:r>
      <w:r w:rsidRPr="00861784">
        <w:rPr>
          <w:rFonts w:ascii="Garamond" w:hAnsi="Garamond"/>
          <w:sz w:val="22"/>
          <w:szCs w:val="22"/>
        </w:rPr>
        <w:t>, 991-1003.</w:t>
      </w:r>
      <w:proofErr w:type="gramEnd"/>
    </w:p>
    <w:p w14:paraId="387705B4" w14:textId="399D0C45" w:rsidR="0035375A" w:rsidRPr="0045578C" w:rsidRDefault="0035375A" w:rsidP="00E10797">
      <w:pPr>
        <w:jc w:val="both"/>
        <w:rPr>
          <w:rFonts w:ascii="Garamond" w:hAnsi="Garamond"/>
        </w:rPr>
      </w:pPr>
      <w:r w:rsidRPr="0045578C">
        <w:rPr>
          <w:rFonts w:ascii="Garamond" w:hAnsi="Garamond"/>
        </w:rPr>
        <w:t xml:space="preserve">Orlando M, </w:t>
      </w:r>
      <w:proofErr w:type="spellStart"/>
      <w:r w:rsidRPr="0045578C">
        <w:rPr>
          <w:rFonts w:ascii="Garamond" w:hAnsi="Garamond"/>
        </w:rPr>
        <w:t>Thissen</w:t>
      </w:r>
      <w:proofErr w:type="spellEnd"/>
      <w:r w:rsidRPr="0045578C">
        <w:rPr>
          <w:rFonts w:ascii="Garamond" w:hAnsi="Garamond"/>
        </w:rPr>
        <w:t xml:space="preserve"> D (2000)</w:t>
      </w:r>
      <w:r w:rsidR="00861784">
        <w:rPr>
          <w:rFonts w:ascii="Garamond" w:hAnsi="Garamond"/>
        </w:rPr>
        <w:t>.</w:t>
      </w:r>
      <w:r w:rsidRPr="0045578C">
        <w:rPr>
          <w:rFonts w:ascii="Garamond" w:hAnsi="Garamond"/>
        </w:rPr>
        <w:t xml:space="preserve"> Likelihood-based item fit indices for dichotomous item response theory models. </w:t>
      </w:r>
      <w:r w:rsidRPr="0045578C">
        <w:rPr>
          <w:rFonts w:ascii="Garamond" w:hAnsi="Garamond"/>
          <w:i/>
        </w:rPr>
        <w:t>Applied Psychological Measurement</w:t>
      </w:r>
      <w:r w:rsidRPr="0045578C">
        <w:rPr>
          <w:rFonts w:ascii="Garamond" w:hAnsi="Garamond"/>
        </w:rPr>
        <w:t xml:space="preserve"> </w:t>
      </w:r>
      <w:r w:rsidRPr="0045578C">
        <w:rPr>
          <w:rFonts w:ascii="Garamond" w:hAnsi="Garamond"/>
          <w:b/>
        </w:rPr>
        <w:t>24,</w:t>
      </w:r>
      <w:r w:rsidRPr="0045578C">
        <w:rPr>
          <w:rFonts w:ascii="Garamond" w:hAnsi="Garamond"/>
        </w:rPr>
        <w:t xml:space="preserve"> 50-64</w:t>
      </w:r>
    </w:p>
    <w:p w14:paraId="22E4A412" w14:textId="58EC864F" w:rsidR="0035375A" w:rsidRPr="0045578C" w:rsidRDefault="0035375A" w:rsidP="00E10797">
      <w:pPr>
        <w:pStyle w:val="CommentText"/>
        <w:jc w:val="both"/>
        <w:rPr>
          <w:rFonts w:ascii="Garamond" w:hAnsi="Garamond"/>
          <w:sz w:val="22"/>
          <w:szCs w:val="22"/>
        </w:rPr>
      </w:pPr>
      <w:proofErr w:type="gramStart"/>
      <w:r w:rsidRPr="0045578C">
        <w:rPr>
          <w:rFonts w:ascii="Garamond" w:hAnsi="Garamond"/>
          <w:sz w:val="22"/>
          <w:szCs w:val="22"/>
        </w:rPr>
        <w:t xml:space="preserve">Orlando </w:t>
      </w:r>
      <w:proofErr w:type="spellStart"/>
      <w:r w:rsidRPr="0045578C">
        <w:rPr>
          <w:rFonts w:ascii="Garamond" w:hAnsi="Garamond"/>
          <w:sz w:val="22"/>
          <w:szCs w:val="22"/>
        </w:rPr>
        <w:t>Edelen</w:t>
      </w:r>
      <w:proofErr w:type="spellEnd"/>
      <w:r w:rsidRPr="0045578C">
        <w:rPr>
          <w:rFonts w:ascii="Garamond" w:hAnsi="Garamond"/>
          <w:sz w:val="22"/>
          <w:szCs w:val="22"/>
        </w:rPr>
        <w:t xml:space="preserve"> M, &amp; Reeve BB (2007)</w:t>
      </w:r>
      <w:r w:rsidR="00861784">
        <w:rPr>
          <w:rFonts w:ascii="Garamond" w:hAnsi="Garamond"/>
          <w:sz w:val="22"/>
          <w:szCs w:val="22"/>
        </w:rPr>
        <w:t>.</w:t>
      </w:r>
      <w:proofErr w:type="gramEnd"/>
      <w:r w:rsidRPr="0045578C">
        <w:rPr>
          <w:rFonts w:ascii="Garamond" w:hAnsi="Garamond"/>
          <w:sz w:val="22"/>
          <w:szCs w:val="22"/>
        </w:rPr>
        <w:t xml:space="preserve"> </w:t>
      </w:r>
      <w:proofErr w:type="gramStart"/>
      <w:r w:rsidRPr="0045578C">
        <w:rPr>
          <w:rFonts w:ascii="Garamond" w:hAnsi="Garamond"/>
          <w:sz w:val="22"/>
          <w:szCs w:val="22"/>
        </w:rPr>
        <w:t xml:space="preserve">Applying item response theory (IRT) </w:t>
      </w:r>
      <w:proofErr w:type="spellStart"/>
      <w:r w:rsidRPr="0045578C">
        <w:rPr>
          <w:rFonts w:ascii="Garamond" w:hAnsi="Garamond"/>
          <w:sz w:val="22"/>
          <w:szCs w:val="22"/>
        </w:rPr>
        <w:t>modeling</w:t>
      </w:r>
      <w:proofErr w:type="spellEnd"/>
      <w:r w:rsidRPr="0045578C">
        <w:rPr>
          <w:rFonts w:ascii="Garamond" w:hAnsi="Garamond"/>
          <w:sz w:val="22"/>
          <w:szCs w:val="22"/>
        </w:rPr>
        <w:t xml:space="preserve"> to questionnaire development, evaluation, and refinement.</w:t>
      </w:r>
      <w:proofErr w:type="gramEnd"/>
      <w:r w:rsidRPr="0045578C">
        <w:rPr>
          <w:rFonts w:ascii="Garamond" w:hAnsi="Garamond"/>
          <w:sz w:val="22"/>
          <w:szCs w:val="22"/>
        </w:rPr>
        <w:t xml:space="preserve"> </w:t>
      </w:r>
      <w:r w:rsidRPr="0045578C">
        <w:rPr>
          <w:rFonts w:ascii="Garamond" w:hAnsi="Garamond"/>
          <w:i/>
          <w:sz w:val="22"/>
          <w:szCs w:val="22"/>
        </w:rPr>
        <w:t xml:space="preserve">Quality of Life Research </w:t>
      </w:r>
      <w:r w:rsidRPr="0045578C">
        <w:rPr>
          <w:rFonts w:ascii="Garamond" w:hAnsi="Garamond"/>
          <w:b/>
          <w:i/>
          <w:sz w:val="22"/>
          <w:szCs w:val="22"/>
        </w:rPr>
        <w:t>16</w:t>
      </w:r>
      <w:r w:rsidRPr="0045578C">
        <w:rPr>
          <w:rFonts w:ascii="Garamond" w:hAnsi="Garamond"/>
          <w:sz w:val="22"/>
          <w:szCs w:val="22"/>
        </w:rPr>
        <w:t xml:space="preserve">, 5-18. </w:t>
      </w:r>
    </w:p>
    <w:p w14:paraId="124FD73D" w14:textId="04E97D56" w:rsidR="0035375A" w:rsidRPr="0045578C" w:rsidRDefault="0035375A" w:rsidP="00E10797">
      <w:pPr>
        <w:jc w:val="both"/>
        <w:rPr>
          <w:rFonts w:ascii="Garamond" w:hAnsi="Garamond"/>
          <w:noProof/>
        </w:rPr>
      </w:pPr>
      <w:r w:rsidRPr="0045578C">
        <w:rPr>
          <w:rFonts w:ascii="Garamond" w:hAnsi="Garamond"/>
          <w:noProof/>
        </w:rPr>
        <w:t>R Core Team (2013)</w:t>
      </w:r>
      <w:r w:rsidR="00861784">
        <w:rPr>
          <w:rFonts w:ascii="Garamond" w:hAnsi="Garamond"/>
          <w:noProof/>
        </w:rPr>
        <w:t>.</w:t>
      </w:r>
      <w:r w:rsidRPr="0045578C">
        <w:rPr>
          <w:rFonts w:ascii="Garamond" w:hAnsi="Garamond"/>
          <w:noProof/>
        </w:rPr>
        <w:t xml:space="preserve"> </w:t>
      </w:r>
      <w:r w:rsidRPr="0045578C">
        <w:rPr>
          <w:rFonts w:ascii="Garamond" w:hAnsi="Garamond"/>
          <w:i/>
          <w:noProof/>
        </w:rPr>
        <w:t>R: A language and environment for statistical computing</w:t>
      </w:r>
      <w:r w:rsidRPr="0045578C">
        <w:rPr>
          <w:rFonts w:ascii="Garamond" w:hAnsi="Garamond"/>
          <w:noProof/>
        </w:rPr>
        <w:t xml:space="preserve">. </w:t>
      </w:r>
      <w:r w:rsidRPr="0045578C">
        <w:rPr>
          <w:rFonts w:ascii="Garamond" w:hAnsi="Garamond"/>
          <w:i/>
          <w:noProof/>
        </w:rPr>
        <w:t>R Foundation for Statistical Computing.</w:t>
      </w:r>
      <w:r w:rsidRPr="0045578C">
        <w:rPr>
          <w:rFonts w:ascii="Garamond" w:hAnsi="Garamond"/>
          <w:noProof/>
        </w:rPr>
        <w:t xml:space="preserve"> </w:t>
      </w:r>
      <w:hyperlink r:id="rId8" w:history="1">
        <w:r w:rsidRPr="0045578C">
          <w:rPr>
            <w:rStyle w:val="Hyperlink"/>
            <w:rFonts w:ascii="Garamond" w:hAnsi="Garamond"/>
            <w:noProof/>
          </w:rPr>
          <w:t>http://www.R-project.org/2013</w:t>
        </w:r>
      </w:hyperlink>
    </w:p>
    <w:p w14:paraId="6AFA9592" w14:textId="0C7A10A8" w:rsidR="00754ADE" w:rsidRPr="0045578C" w:rsidRDefault="00F66EA1" w:rsidP="00E10797">
      <w:pPr>
        <w:spacing w:line="288" w:lineRule="auto"/>
        <w:jc w:val="both"/>
        <w:rPr>
          <w:rFonts w:ascii="Garamond" w:hAnsi="Garamond"/>
        </w:rPr>
      </w:pPr>
      <w:proofErr w:type="spellStart"/>
      <w:r w:rsidRPr="0045578C">
        <w:rPr>
          <w:rFonts w:ascii="Garamond" w:hAnsi="Garamond"/>
        </w:rPr>
        <w:t>Reise</w:t>
      </w:r>
      <w:proofErr w:type="spellEnd"/>
      <w:r w:rsidR="00754ADE" w:rsidRPr="0045578C">
        <w:rPr>
          <w:rFonts w:ascii="Garamond" w:hAnsi="Garamond"/>
        </w:rPr>
        <w:t xml:space="preserve"> S</w:t>
      </w:r>
      <w:r w:rsidRPr="0045578C">
        <w:rPr>
          <w:rFonts w:ascii="Garamond" w:hAnsi="Garamond"/>
        </w:rPr>
        <w:t>, Henson J</w:t>
      </w:r>
      <w:r w:rsidR="00754ADE" w:rsidRPr="0045578C">
        <w:rPr>
          <w:rFonts w:ascii="Garamond" w:hAnsi="Garamond"/>
        </w:rPr>
        <w:t xml:space="preserve"> (2003)</w:t>
      </w:r>
      <w:r w:rsidR="00861784">
        <w:rPr>
          <w:rFonts w:ascii="Garamond" w:hAnsi="Garamond"/>
        </w:rPr>
        <w:t>.</w:t>
      </w:r>
      <w:r w:rsidR="00754ADE" w:rsidRPr="0045578C">
        <w:rPr>
          <w:rFonts w:ascii="Garamond" w:hAnsi="Garamond"/>
        </w:rPr>
        <w:t xml:space="preserve"> A discussion of modern versus traditional psychometrics as applied to personality assessment scales. </w:t>
      </w:r>
      <w:r w:rsidR="00754ADE" w:rsidRPr="0045578C">
        <w:rPr>
          <w:rFonts w:ascii="Garamond" w:hAnsi="Garamond"/>
          <w:i/>
        </w:rPr>
        <w:t>Journal of Personality Assessment</w:t>
      </w:r>
      <w:r w:rsidR="00754ADE" w:rsidRPr="0045578C">
        <w:rPr>
          <w:rFonts w:ascii="Garamond" w:hAnsi="Garamond"/>
        </w:rPr>
        <w:t xml:space="preserve"> </w:t>
      </w:r>
      <w:r w:rsidR="00754ADE" w:rsidRPr="0045578C">
        <w:rPr>
          <w:rFonts w:ascii="Garamond" w:hAnsi="Garamond"/>
          <w:b/>
        </w:rPr>
        <w:t>81</w:t>
      </w:r>
      <w:r w:rsidR="00754ADE" w:rsidRPr="0045578C">
        <w:rPr>
          <w:rFonts w:ascii="Garamond" w:hAnsi="Garamond"/>
        </w:rPr>
        <w:t>, 93–103.</w:t>
      </w:r>
    </w:p>
    <w:p w14:paraId="6130B1BF" w14:textId="41DDAA4A" w:rsidR="0035375A" w:rsidRPr="0045578C" w:rsidRDefault="0035375A" w:rsidP="00E10797">
      <w:pPr>
        <w:jc w:val="both"/>
        <w:rPr>
          <w:rFonts w:ascii="Garamond" w:hAnsi="Garamond"/>
        </w:rPr>
      </w:pPr>
      <w:proofErr w:type="spellStart"/>
      <w:r w:rsidRPr="0045578C">
        <w:rPr>
          <w:rFonts w:ascii="Garamond" w:hAnsi="Garamond"/>
        </w:rPr>
        <w:t>Revelle</w:t>
      </w:r>
      <w:proofErr w:type="spellEnd"/>
      <w:r w:rsidRPr="0045578C">
        <w:rPr>
          <w:rFonts w:ascii="Garamond" w:hAnsi="Garamond"/>
        </w:rPr>
        <w:t>, W (2018)</w:t>
      </w:r>
      <w:r w:rsidR="00861784">
        <w:rPr>
          <w:rFonts w:ascii="Garamond" w:hAnsi="Garamond"/>
        </w:rPr>
        <w:t>.</w:t>
      </w:r>
      <w:r w:rsidRPr="0045578C">
        <w:rPr>
          <w:rFonts w:ascii="Garamond" w:hAnsi="Garamond"/>
        </w:rPr>
        <w:t xml:space="preserve"> </w:t>
      </w:r>
      <w:r w:rsidRPr="0045578C">
        <w:rPr>
          <w:rFonts w:ascii="Garamond" w:hAnsi="Garamond"/>
          <w:i/>
        </w:rPr>
        <w:t>Psych: procedures for personality and psychological research</w:t>
      </w:r>
      <w:r w:rsidRPr="0045578C">
        <w:rPr>
          <w:rFonts w:ascii="Garamond" w:hAnsi="Garamond"/>
        </w:rPr>
        <w:t xml:space="preserve">. </w:t>
      </w:r>
      <w:proofErr w:type="spellStart"/>
      <w:r w:rsidRPr="0045578C">
        <w:rPr>
          <w:rFonts w:ascii="Garamond" w:hAnsi="Garamond"/>
        </w:rPr>
        <w:t>Northwestern</w:t>
      </w:r>
      <w:proofErr w:type="spellEnd"/>
      <w:r w:rsidRPr="0045578C">
        <w:rPr>
          <w:rFonts w:ascii="Garamond" w:hAnsi="Garamond"/>
        </w:rPr>
        <w:t xml:space="preserve"> University: Illinois, USA, https://CRAN.R-project.org/package=psych Version = 1.8.4.</w:t>
      </w:r>
    </w:p>
    <w:p w14:paraId="24939510" w14:textId="6FDAA7A1" w:rsidR="0035375A" w:rsidRPr="0045578C" w:rsidRDefault="0035375A" w:rsidP="00E10797">
      <w:pPr>
        <w:pStyle w:val="CommentText"/>
        <w:jc w:val="both"/>
        <w:rPr>
          <w:rFonts w:ascii="Garamond" w:hAnsi="Garamond"/>
          <w:sz w:val="22"/>
          <w:szCs w:val="22"/>
        </w:rPr>
      </w:pPr>
      <w:r w:rsidRPr="0045578C">
        <w:rPr>
          <w:rFonts w:ascii="Garamond" w:hAnsi="Garamond"/>
          <w:sz w:val="22"/>
          <w:szCs w:val="22"/>
        </w:rPr>
        <w:t xml:space="preserve">Robin X, </w:t>
      </w:r>
      <w:proofErr w:type="spellStart"/>
      <w:r w:rsidRPr="0045578C">
        <w:rPr>
          <w:rFonts w:ascii="Garamond" w:hAnsi="Garamond"/>
          <w:sz w:val="22"/>
          <w:szCs w:val="22"/>
        </w:rPr>
        <w:t>Turck</w:t>
      </w:r>
      <w:proofErr w:type="spellEnd"/>
      <w:r w:rsidRPr="0045578C">
        <w:rPr>
          <w:rFonts w:ascii="Garamond" w:hAnsi="Garamond"/>
          <w:sz w:val="22"/>
          <w:szCs w:val="22"/>
        </w:rPr>
        <w:t xml:space="preserve"> N, </w:t>
      </w:r>
      <w:proofErr w:type="spellStart"/>
      <w:r w:rsidRPr="0045578C">
        <w:rPr>
          <w:rFonts w:ascii="Garamond" w:hAnsi="Garamond"/>
          <w:sz w:val="22"/>
          <w:szCs w:val="22"/>
        </w:rPr>
        <w:t>Hainard</w:t>
      </w:r>
      <w:proofErr w:type="spellEnd"/>
      <w:r w:rsidRPr="0045578C">
        <w:rPr>
          <w:rFonts w:ascii="Garamond" w:hAnsi="Garamond"/>
          <w:sz w:val="22"/>
          <w:szCs w:val="22"/>
        </w:rPr>
        <w:t xml:space="preserve"> A, </w:t>
      </w:r>
      <w:proofErr w:type="spellStart"/>
      <w:r w:rsidRPr="0045578C">
        <w:rPr>
          <w:rFonts w:ascii="Garamond" w:hAnsi="Garamond"/>
          <w:sz w:val="22"/>
          <w:szCs w:val="22"/>
        </w:rPr>
        <w:t>Tiberti</w:t>
      </w:r>
      <w:proofErr w:type="spellEnd"/>
      <w:r w:rsidRPr="0045578C">
        <w:rPr>
          <w:rFonts w:ascii="Garamond" w:hAnsi="Garamond"/>
          <w:sz w:val="22"/>
          <w:szCs w:val="22"/>
        </w:rPr>
        <w:t xml:space="preserve"> N, </w:t>
      </w:r>
      <w:proofErr w:type="spellStart"/>
      <w:r w:rsidRPr="0045578C">
        <w:rPr>
          <w:rFonts w:ascii="Garamond" w:hAnsi="Garamond"/>
          <w:sz w:val="22"/>
          <w:szCs w:val="22"/>
        </w:rPr>
        <w:t>Lisacek</w:t>
      </w:r>
      <w:proofErr w:type="spellEnd"/>
      <w:r w:rsidRPr="0045578C">
        <w:rPr>
          <w:rFonts w:ascii="Garamond" w:hAnsi="Garamond"/>
          <w:sz w:val="22"/>
          <w:szCs w:val="22"/>
        </w:rPr>
        <w:t xml:space="preserve"> F, Sanchez JC, Müller M (2011)</w:t>
      </w:r>
      <w:r w:rsidR="00861784">
        <w:rPr>
          <w:rFonts w:ascii="Garamond" w:hAnsi="Garamond"/>
          <w:sz w:val="22"/>
          <w:szCs w:val="22"/>
        </w:rPr>
        <w:t>.</w:t>
      </w:r>
      <w:r w:rsidRPr="0045578C">
        <w:rPr>
          <w:rFonts w:ascii="Garamond" w:hAnsi="Garamond"/>
          <w:sz w:val="22"/>
          <w:szCs w:val="22"/>
        </w:rPr>
        <w:t xml:space="preserve"> </w:t>
      </w:r>
      <w:proofErr w:type="spellStart"/>
      <w:proofErr w:type="gramStart"/>
      <w:r w:rsidRPr="0045578C">
        <w:rPr>
          <w:rFonts w:ascii="Garamond" w:hAnsi="Garamond"/>
          <w:sz w:val="22"/>
          <w:szCs w:val="22"/>
        </w:rPr>
        <w:t>pROC</w:t>
      </w:r>
      <w:proofErr w:type="spellEnd"/>
      <w:proofErr w:type="gramEnd"/>
      <w:r w:rsidRPr="0045578C">
        <w:rPr>
          <w:rFonts w:ascii="Garamond" w:hAnsi="Garamond"/>
          <w:sz w:val="22"/>
          <w:szCs w:val="22"/>
        </w:rPr>
        <w:t xml:space="preserve">: an open-source package for R and S+ to </w:t>
      </w:r>
      <w:proofErr w:type="spellStart"/>
      <w:r w:rsidRPr="0045578C">
        <w:rPr>
          <w:rFonts w:ascii="Garamond" w:hAnsi="Garamond"/>
          <w:sz w:val="22"/>
          <w:szCs w:val="22"/>
        </w:rPr>
        <w:t>analyze</w:t>
      </w:r>
      <w:proofErr w:type="spellEnd"/>
      <w:r w:rsidRPr="0045578C">
        <w:rPr>
          <w:rFonts w:ascii="Garamond" w:hAnsi="Garamond"/>
          <w:sz w:val="22"/>
          <w:szCs w:val="22"/>
        </w:rPr>
        <w:t xml:space="preserve"> and compare ROC curves. </w:t>
      </w:r>
      <w:r w:rsidRPr="0045578C">
        <w:rPr>
          <w:rFonts w:ascii="Garamond" w:hAnsi="Garamond"/>
          <w:i/>
          <w:sz w:val="22"/>
          <w:szCs w:val="22"/>
        </w:rPr>
        <w:t>BMC Bioinformatics</w:t>
      </w:r>
      <w:r w:rsidRPr="0045578C">
        <w:rPr>
          <w:rFonts w:ascii="Garamond" w:hAnsi="Garamond"/>
          <w:sz w:val="22"/>
          <w:szCs w:val="22"/>
        </w:rPr>
        <w:t xml:space="preserve"> </w:t>
      </w:r>
      <w:r w:rsidRPr="0045578C">
        <w:rPr>
          <w:rFonts w:ascii="Garamond" w:hAnsi="Garamond"/>
          <w:b/>
          <w:sz w:val="22"/>
          <w:szCs w:val="22"/>
        </w:rPr>
        <w:t>12</w:t>
      </w:r>
      <w:r w:rsidRPr="0045578C">
        <w:rPr>
          <w:rFonts w:ascii="Garamond" w:hAnsi="Garamond"/>
          <w:sz w:val="22"/>
          <w:szCs w:val="22"/>
        </w:rPr>
        <w:t xml:space="preserve">, 1-8. </w:t>
      </w:r>
    </w:p>
    <w:p w14:paraId="2A48EBA7" w14:textId="1A07AEAB" w:rsidR="00754ADE" w:rsidRPr="0045578C" w:rsidRDefault="00754ADE" w:rsidP="00E10797">
      <w:pPr>
        <w:spacing w:line="288" w:lineRule="auto"/>
        <w:jc w:val="both"/>
        <w:rPr>
          <w:rFonts w:ascii="Garamond" w:hAnsi="Garamond"/>
        </w:rPr>
      </w:pPr>
      <w:proofErr w:type="spellStart"/>
      <w:r w:rsidRPr="0045578C">
        <w:rPr>
          <w:rFonts w:ascii="Garamond" w:hAnsi="Garamond"/>
        </w:rPr>
        <w:t>Startup</w:t>
      </w:r>
      <w:proofErr w:type="spellEnd"/>
      <w:r w:rsidRPr="0045578C">
        <w:rPr>
          <w:rFonts w:ascii="Garamond" w:hAnsi="Garamond"/>
        </w:rPr>
        <w:t xml:space="preserve"> </w:t>
      </w:r>
      <w:proofErr w:type="gramStart"/>
      <w:r w:rsidRPr="0045578C">
        <w:rPr>
          <w:rFonts w:ascii="Garamond" w:hAnsi="Garamond"/>
        </w:rPr>
        <w:t>H</w:t>
      </w:r>
      <w:r w:rsidR="00D8621C" w:rsidRPr="0045578C">
        <w:rPr>
          <w:rFonts w:ascii="Garamond" w:hAnsi="Garamond"/>
        </w:rPr>
        <w:t>M,</w:t>
      </w:r>
      <w:proofErr w:type="gramEnd"/>
      <w:r w:rsidR="00D8621C" w:rsidRPr="0045578C">
        <w:rPr>
          <w:rFonts w:ascii="Garamond" w:hAnsi="Garamond"/>
        </w:rPr>
        <w:t xml:space="preserve"> and</w:t>
      </w:r>
      <w:r w:rsidRPr="0045578C">
        <w:rPr>
          <w:rFonts w:ascii="Garamond" w:hAnsi="Garamond"/>
        </w:rPr>
        <w:t xml:space="preserve"> Erickson TM. (2006). </w:t>
      </w:r>
      <w:proofErr w:type="gramStart"/>
      <w:r w:rsidRPr="0045578C">
        <w:rPr>
          <w:rFonts w:ascii="Garamond" w:hAnsi="Garamond"/>
        </w:rPr>
        <w:t>The</w:t>
      </w:r>
      <w:proofErr w:type="gramEnd"/>
      <w:r w:rsidRPr="0045578C">
        <w:rPr>
          <w:rFonts w:ascii="Garamond" w:hAnsi="Garamond"/>
        </w:rPr>
        <w:t xml:space="preserve"> Penn State Worry Questionnaire (PSWQ). In GCL</w:t>
      </w:r>
      <w:r w:rsidR="00D8621C" w:rsidRPr="0045578C">
        <w:rPr>
          <w:rFonts w:ascii="Garamond" w:hAnsi="Garamond"/>
        </w:rPr>
        <w:t xml:space="preserve"> Davey and</w:t>
      </w:r>
      <w:r w:rsidRPr="0045578C">
        <w:rPr>
          <w:rFonts w:ascii="Garamond" w:hAnsi="Garamond"/>
        </w:rPr>
        <w:t xml:space="preserve"> </w:t>
      </w:r>
      <w:proofErr w:type="gramStart"/>
      <w:r w:rsidRPr="0045578C">
        <w:rPr>
          <w:rFonts w:ascii="Garamond" w:hAnsi="Garamond"/>
        </w:rPr>
        <w:t>A</w:t>
      </w:r>
      <w:proofErr w:type="gramEnd"/>
      <w:r w:rsidRPr="0045578C">
        <w:rPr>
          <w:rFonts w:ascii="Garamond" w:hAnsi="Garamond"/>
        </w:rPr>
        <w:t xml:space="preserve"> Wells, (Eds.), Worry and its Psychological Disorders (pp 101-120). </w:t>
      </w:r>
      <w:r w:rsidR="00D8621C" w:rsidRPr="0045578C">
        <w:rPr>
          <w:rFonts w:ascii="Garamond" w:hAnsi="Garamond"/>
        </w:rPr>
        <w:t xml:space="preserve">Wiley: </w:t>
      </w:r>
      <w:r w:rsidRPr="0045578C">
        <w:rPr>
          <w:rFonts w:ascii="Garamond" w:hAnsi="Garamond"/>
        </w:rPr>
        <w:t>Chichester</w:t>
      </w:r>
      <w:r w:rsidR="00D8621C" w:rsidRPr="0045578C">
        <w:rPr>
          <w:rFonts w:ascii="Garamond" w:hAnsi="Garamond"/>
        </w:rPr>
        <w:t>.</w:t>
      </w:r>
    </w:p>
    <w:p w14:paraId="4A852D39" w14:textId="325DC805" w:rsidR="00754ADE" w:rsidRPr="0045578C" w:rsidRDefault="00754ADE" w:rsidP="00E10797">
      <w:pPr>
        <w:spacing w:line="288" w:lineRule="auto"/>
        <w:jc w:val="both"/>
        <w:rPr>
          <w:rFonts w:ascii="Garamond" w:hAnsi="Garamond"/>
        </w:rPr>
      </w:pPr>
      <w:proofErr w:type="spellStart"/>
      <w:r w:rsidRPr="0045578C">
        <w:rPr>
          <w:rFonts w:ascii="Garamond" w:hAnsi="Garamond"/>
        </w:rPr>
        <w:t>S</w:t>
      </w:r>
      <w:r w:rsidR="00D8621C" w:rsidRPr="0045578C">
        <w:rPr>
          <w:rFonts w:ascii="Garamond" w:hAnsi="Garamond"/>
        </w:rPr>
        <w:t>ternheim</w:t>
      </w:r>
      <w:proofErr w:type="spellEnd"/>
      <w:r w:rsidRPr="0045578C">
        <w:rPr>
          <w:rFonts w:ascii="Garamond" w:hAnsi="Garamond"/>
        </w:rPr>
        <w:t xml:space="preserve"> L, </w:t>
      </w:r>
      <w:proofErr w:type="spellStart"/>
      <w:r w:rsidRPr="0045578C">
        <w:rPr>
          <w:rFonts w:ascii="Garamond" w:hAnsi="Garamond"/>
        </w:rPr>
        <w:t>Startup</w:t>
      </w:r>
      <w:proofErr w:type="spellEnd"/>
      <w:r w:rsidRPr="0045578C">
        <w:rPr>
          <w:rFonts w:ascii="Garamond" w:hAnsi="Garamond"/>
        </w:rPr>
        <w:t xml:space="preserve"> H, </w:t>
      </w:r>
      <w:proofErr w:type="spellStart"/>
      <w:r w:rsidRPr="0045578C">
        <w:rPr>
          <w:rFonts w:ascii="Garamond" w:hAnsi="Garamond"/>
        </w:rPr>
        <w:t>Saeidi</w:t>
      </w:r>
      <w:proofErr w:type="spellEnd"/>
      <w:r w:rsidRPr="0045578C">
        <w:rPr>
          <w:rFonts w:ascii="Garamond" w:hAnsi="Garamond"/>
        </w:rPr>
        <w:t xml:space="preserve"> S</w:t>
      </w:r>
      <w:r w:rsidR="00D8621C" w:rsidRPr="0045578C">
        <w:rPr>
          <w:rFonts w:ascii="Garamond" w:hAnsi="Garamond"/>
        </w:rPr>
        <w:t>, Morgan</w:t>
      </w:r>
      <w:r w:rsidRPr="0045578C">
        <w:rPr>
          <w:rFonts w:ascii="Garamond" w:hAnsi="Garamond"/>
        </w:rPr>
        <w:t xml:space="preserve"> J, Hugo P, Russell</w:t>
      </w:r>
      <w:r w:rsidR="00D8621C" w:rsidRPr="0045578C">
        <w:rPr>
          <w:rFonts w:ascii="Garamond" w:hAnsi="Garamond"/>
        </w:rPr>
        <w:t xml:space="preserve"> A</w:t>
      </w:r>
      <w:r w:rsidRPr="0045578C">
        <w:rPr>
          <w:rFonts w:ascii="Garamond" w:hAnsi="Garamond"/>
        </w:rPr>
        <w:t xml:space="preserve"> </w:t>
      </w:r>
      <w:r w:rsidR="00D8621C" w:rsidRPr="0045578C">
        <w:rPr>
          <w:rFonts w:ascii="Garamond" w:hAnsi="Garamond"/>
        </w:rPr>
        <w:t>and Schmidt</w:t>
      </w:r>
      <w:r w:rsidRPr="0045578C">
        <w:rPr>
          <w:rFonts w:ascii="Garamond" w:hAnsi="Garamond"/>
        </w:rPr>
        <w:t xml:space="preserve"> U (2012)</w:t>
      </w:r>
      <w:r w:rsidR="00861784">
        <w:rPr>
          <w:rFonts w:ascii="Garamond" w:hAnsi="Garamond"/>
        </w:rPr>
        <w:t>.</w:t>
      </w:r>
      <w:r w:rsidRPr="0045578C">
        <w:rPr>
          <w:rFonts w:ascii="Garamond" w:hAnsi="Garamond"/>
        </w:rPr>
        <w:t xml:space="preserve"> </w:t>
      </w:r>
      <w:proofErr w:type="gramStart"/>
      <w:r w:rsidRPr="0045578C">
        <w:rPr>
          <w:rFonts w:ascii="Garamond" w:hAnsi="Garamond"/>
        </w:rPr>
        <w:t>Understanding catastrophic worry in eating disorders.</w:t>
      </w:r>
      <w:proofErr w:type="gramEnd"/>
      <w:r w:rsidRPr="0045578C">
        <w:rPr>
          <w:rFonts w:ascii="Garamond" w:hAnsi="Garamond"/>
        </w:rPr>
        <w:t xml:space="preserve"> </w:t>
      </w:r>
      <w:r w:rsidRPr="0045578C">
        <w:rPr>
          <w:rFonts w:ascii="Garamond" w:hAnsi="Garamond"/>
          <w:i/>
        </w:rPr>
        <w:t xml:space="preserve">Journal of </w:t>
      </w:r>
      <w:proofErr w:type="spellStart"/>
      <w:r w:rsidR="00D8621C" w:rsidRPr="0045578C">
        <w:rPr>
          <w:rFonts w:ascii="Garamond" w:hAnsi="Garamond"/>
          <w:i/>
        </w:rPr>
        <w:t>B</w:t>
      </w:r>
      <w:r w:rsidRPr="0045578C">
        <w:rPr>
          <w:rFonts w:ascii="Garamond" w:hAnsi="Garamond"/>
          <w:i/>
        </w:rPr>
        <w:t>ehavior</w:t>
      </w:r>
      <w:proofErr w:type="spellEnd"/>
      <w:r w:rsidRPr="0045578C">
        <w:rPr>
          <w:rFonts w:ascii="Garamond" w:hAnsi="Garamond"/>
          <w:i/>
        </w:rPr>
        <w:t xml:space="preserve"> Therapy and Experimental Psychiatry</w:t>
      </w:r>
      <w:r w:rsidRPr="0045578C">
        <w:rPr>
          <w:rFonts w:ascii="Garamond" w:hAnsi="Garamond"/>
        </w:rPr>
        <w:t xml:space="preserve"> </w:t>
      </w:r>
      <w:r w:rsidRPr="0045578C">
        <w:rPr>
          <w:rFonts w:ascii="Garamond" w:hAnsi="Garamond"/>
          <w:b/>
        </w:rPr>
        <w:t>43</w:t>
      </w:r>
      <w:r w:rsidRPr="0045578C">
        <w:rPr>
          <w:rFonts w:ascii="Garamond" w:hAnsi="Garamond"/>
        </w:rPr>
        <w:t>, 1095-1103.</w:t>
      </w:r>
    </w:p>
    <w:p w14:paraId="7224CF74" w14:textId="52CF3D75" w:rsidR="00754ADE" w:rsidRPr="0045578C" w:rsidRDefault="00D8621C" w:rsidP="00E10797">
      <w:pPr>
        <w:spacing w:line="288" w:lineRule="auto"/>
        <w:jc w:val="both"/>
        <w:rPr>
          <w:rFonts w:ascii="Garamond" w:hAnsi="Garamond"/>
        </w:rPr>
      </w:pPr>
      <w:r w:rsidRPr="0045578C">
        <w:rPr>
          <w:rFonts w:ascii="Garamond" w:hAnsi="Garamond"/>
        </w:rPr>
        <w:t>Tennant R</w:t>
      </w:r>
      <w:r w:rsidR="00754ADE" w:rsidRPr="0045578C">
        <w:rPr>
          <w:rFonts w:ascii="Garamond" w:hAnsi="Garamond"/>
        </w:rPr>
        <w:t xml:space="preserve">, Hiller L, </w:t>
      </w:r>
      <w:proofErr w:type="spellStart"/>
      <w:r w:rsidR="00754ADE" w:rsidRPr="0045578C">
        <w:rPr>
          <w:rFonts w:ascii="Garamond" w:hAnsi="Garamond"/>
        </w:rPr>
        <w:t>Fishwic</w:t>
      </w:r>
      <w:r w:rsidRPr="0045578C">
        <w:rPr>
          <w:rFonts w:ascii="Garamond" w:hAnsi="Garamond"/>
        </w:rPr>
        <w:t>k</w:t>
      </w:r>
      <w:proofErr w:type="spellEnd"/>
      <w:r w:rsidR="00754ADE" w:rsidRPr="0045578C">
        <w:rPr>
          <w:rFonts w:ascii="Garamond" w:hAnsi="Garamond"/>
        </w:rPr>
        <w:t xml:space="preserve"> R, Platt S, Joseph S</w:t>
      </w:r>
      <w:r w:rsidRPr="0045578C">
        <w:rPr>
          <w:rFonts w:ascii="Garamond" w:hAnsi="Garamond"/>
        </w:rPr>
        <w:t xml:space="preserve">, </w:t>
      </w:r>
      <w:proofErr w:type="spellStart"/>
      <w:r w:rsidRPr="0045578C">
        <w:rPr>
          <w:rFonts w:ascii="Garamond" w:hAnsi="Garamond"/>
        </w:rPr>
        <w:t>Weich</w:t>
      </w:r>
      <w:proofErr w:type="spellEnd"/>
      <w:r w:rsidR="00754ADE" w:rsidRPr="0045578C">
        <w:rPr>
          <w:rFonts w:ascii="Garamond" w:hAnsi="Garamond"/>
        </w:rPr>
        <w:t xml:space="preserve"> S</w:t>
      </w:r>
      <w:r w:rsidRPr="0045578C">
        <w:rPr>
          <w:rFonts w:ascii="Garamond" w:hAnsi="Garamond"/>
        </w:rPr>
        <w:t>, Parkinson</w:t>
      </w:r>
      <w:r w:rsidR="00754ADE" w:rsidRPr="0045578C">
        <w:rPr>
          <w:rFonts w:ascii="Garamond" w:hAnsi="Garamond"/>
        </w:rPr>
        <w:t xml:space="preserve"> J, Secker S, </w:t>
      </w:r>
      <w:r w:rsidRPr="0045578C">
        <w:rPr>
          <w:rFonts w:ascii="Garamond" w:hAnsi="Garamond"/>
        </w:rPr>
        <w:t>and Stewart-Brown</w:t>
      </w:r>
      <w:r w:rsidR="00754ADE" w:rsidRPr="0045578C">
        <w:rPr>
          <w:rFonts w:ascii="Garamond" w:hAnsi="Garamond"/>
        </w:rPr>
        <w:t xml:space="preserve"> S (2007)</w:t>
      </w:r>
      <w:r w:rsidR="00861784">
        <w:rPr>
          <w:rFonts w:ascii="Garamond" w:hAnsi="Garamond"/>
        </w:rPr>
        <w:t>.</w:t>
      </w:r>
      <w:r w:rsidR="00754ADE" w:rsidRPr="0045578C">
        <w:rPr>
          <w:rFonts w:ascii="Garamond" w:hAnsi="Garamond"/>
        </w:rPr>
        <w:t xml:space="preserve"> The Warwick-Edinburgh Mental Well-being Scale (WEMWBS): development and UK validation. </w:t>
      </w:r>
      <w:proofErr w:type="gramStart"/>
      <w:r w:rsidR="00754ADE" w:rsidRPr="0045578C">
        <w:rPr>
          <w:rFonts w:ascii="Garamond" w:hAnsi="Garamond"/>
          <w:i/>
        </w:rPr>
        <w:t>Health &amp; Quality of Life Outcomes</w:t>
      </w:r>
      <w:r w:rsidR="00754ADE" w:rsidRPr="0045578C">
        <w:rPr>
          <w:rFonts w:ascii="Garamond" w:hAnsi="Garamond"/>
        </w:rPr>
        <w:t xml:space="preserve"> </w:t>
      </w:r>
      <w:r w:rsidR="00754ADE" w:rsidRPr="0045578C">
        <w:rPr>
          <w:rFonts w:ascii="Garamond" w:hAnsi="Garamond"/>
          <w:b/>
        </w:rPr>
        <w:t>5</w:t>
      </w:r>
      <w:r w:rsidRPr="0045578C">
        <w:rPr>
          <w:rFonts w:ascii="Garamond" w:hAnsi="Garamond"/>
        </w:rPr>
        <w:t>,</w:t>
      </w:r>
      <w:r w:rsidR="00754ADE" w:rsidRPr="0045578C">
        <w:rPr>
          <w:rFonts w:ascii="Garamond" w:hAnsi="Garamond"/>
        </w:rPr>
        <w:t xml:space="preserve"> 63.</w:t>
      </w:r>
      <w:proofErr w:type="gramEnd"/>
    </w:p>
    <w:p w14:paraId="1570F9C8" w14:textId="6FF41B2D" w:rsidR="00B622CB" w:rsidRDefault="00B622CB" w:rsidP="00E10797">
      <w:pPr>
        <w:spacing w:line="288" w:lineRule="auto"/>
        <w:jc w:val="both"/>
        <w:rPr>
          <w:rFonts w:ascii="Garamond" w:hAnsi="Garamond"/>
        </w:rPr>
      </w:pPr>
      <w:proofErr w:type="gramStart"/>
      <w:r w:rsidRPr="00B622CB">
        <w:rPr>
          <w:rFonts w:ascii="Garamond" w:hAnsi="Garamond"/>
        </w:rPr>
        <w:t xml:space="preserve">Van </w:t>
      </w:r>
      <w:proofErr w:type="spellStart"/>
      <w:r w:rsidRPr="00B622CB">
        <w:rPr>
          <w:rFonts w:ascii="Garamond" w:hAnsi="Garamond"/>
        </w:rPr>
        <w:t>Sonderen</w:t>
      </w:r>
      <w:proofErr w:type="spellEnd"/>
      <w:r w:rsidR="00306E86">
        <w:rPr>
          <w:rFonts w:ascii="Garamond" w:hAnsi="Garamond"/>
        </w:rPr>
        <w:t>,</w:t>
      </w:r>
      <w:r w:rsidRPr="00B622CB">
        <w:rPr>
          <w:rFonts w:ascii="Garamond" w:hAnsi="Garamond"/>
        </w:rPr>
        <w:t xml:space="preserve"> E</w:t>
      </w:r>
      <w:r w:rsidR="00306E86">
        <w:rPr>
          <w:rFonts w:ascii="Garamond" w:hAnsi="Garamond"/>
        </w:rPr>
        <w:t>.</w:t>
      </w:r>
      <w:r w:rsidRPr="00B622CB">
        <w:rPr>
          <w:rFonts w:ascii="Garamond" w:hAnsi="Garamond"/>
        </w:rPr>
        <w:t xml:space="preserve">, </w:t>
      </w:r>
      <w:proofErr w:type="spellStart"/>
      <w:r w:rsidRPr="00B622CB">
        <w:rPr>
          <w:rFonts w:ascii="Garamond" w:hAnsi="Garamond"/>
        </w:rPr>
        <w:t>Sanderman</w:t>
      </w:r>
      <w:proofErr w:type="spellEnd"/>
      <w:r w:rsidR="00306E86">
        <w:rPr>
          <w:rFonts w:ascii="Garamond" w:hAnsi="Garamond"/>
        </w:rPr>
        <w:t>,</w:t>
      </w:r>
      <w:r w:rsidRPr="00B622CB">
        <w:rPr>
          <w:rFonts w:ascii="Garamond" w:hAnsi="Garamond"/>
        </w:rPr>
        <w:t xml:space="preserve"> R</w:t>
      </w:r>
      <w:r w:rsidR="00306E86">
        <w:rPr>
          <w:rFonts w:ascii="Garamond" w:hAnsi="Garamond"/>
        </w:rPr>
        <w:t>.</w:t>
      </w:r>
      <w:r w:rsidRPr="00B622CB">
        <w:rPr>
          <w:rFonts w:ascii="Garamond" w:hAnsi="Garamond"/>
        </w:rPr>
        <w:t xml:space="preserve">, </w:t>
      </w:r>
      <w:r w:rsidR="00306E86">
        <w:rPr>
          <w:rFonts w:ascii="Garamond" w:hAnsi="Garamond"/>
        </w:rPr>
        <w:t>&amp;</w:t>
      </w:r>
      <w:r w:rsidRPr="00B622CB">
        <w:rPr>
          <w:rFonts w:ascii="Garamond" w:hAnsi="Garamond"/>
        </w:rPr>
        <w:t xml:space="preserve"> Coyne</w:t>
      </w:r>
      <w:r w:rsidR="00306E86">
        <w:rPr>
          <w:rFonts w:ascii="Garamond" w:hAnsi="Garamond"/>
        </w:rPr>
        <w:t>,</w:t>
      </w:r>
      <w:r>
        <w:rPr>
          <w:rFonts w:ascii="Garamond" w:hAnsi="Garamond"/>
        </w:rPr>
        <w:t xml:space="preserve"> </w:t>
      </w:r>
      <w:r w:rsidRPr="00B622CB">
        <w:rPr>
          <w:rFonts w:ascii="Garamond" w:hAnsi="Garamond"/>
        </w:rPr>
        <w:t>J</w:t>
      </w:r>
      <w:r w:rsidR="00306E86">
        <w:rPr>
          <w:rFonts w:ascii="Garamond" w:hAnsi="Garamond"/>
        </w:rPr>
        <w:t>.</w:t>
      </w:r>
      <w:r w:rsidRPr="00B622CB">
        <w:rPr>
          <w:rFonts w:ascii="Garamond" w:hAnsi="Garamond"/>
        </w:rPr>
        <w:t xml:space="preserve"> (2013).</w:t>
      </w:r>
      <w:proofErr w:type="gramEnd"/>
      <w:r w:rsidRPr="00B622CB">
        <w:rPr>
          <w:rFonts w:ascii="Garamond" w:hAnsi="Garamond"/>
        </w:rPr>
        <w:t xml:space="preserve"> </w:t>
      </w:r>
      <w:proofErr w:type="gramStart"/>
      <w:r w:rsidRPr="00B622CB">
        <w:rPr>
          <w:rFonts w:ascii="Garamond" w:hAnsi="Garamond"/>
        </w:rPr>
        <w:t>Ineffectiveness of reverse wording of questionnaire items.</w:t>
      </w:r>
      <w:proofErr w:type="gramEnd"/>
      <w:r w:rsidRPr="00B622CB">
        <w:rPr>
          <w:rFonts w:ascii="Garamond" w:hAnsi="Garamond"/>
        </w:rPr>
        <w:t xml:space="preserve"> </w:t>
      </w:r>
      <w:proofErr w:type="spellStart"/>
      <w:proofErr w:type="gramStart"/>
      <w:r w:rsidRPr="00B622CB">
        <w:rPr>
          <w:rFonts w:ascii="Garamond" w:hAnsi="Garamond"/>
          <w:i/>
        </w:rPr>
        <w:t>PloS</w:t>
      </w:r>
      <w:proofErr w:type="spellEnd"/>
      <w:r w:rsidRPr="00B622CB">
        <w:rPr>
          <w:rFonts w:ascii="Garamond" w:hAnsi="Garamond"/>
          <w:i/>
        </w:rPr>
        <w:t xml:space="preserve"> one</w:t>
      </w:r>
      <w:r w:rsidRPr="00B622CB">
        <w:rPr>
          <w:rFonts w:ascii="Garamond" w:hAnsi="Garamond"/>
        </w:rPr>
        <w:t xml:space="preserve">, </w:t>
      </w:r>
      <w:r w:rsidRPr="00B622CB">
        <w:rPr>
          <w:rFonts w:ascii="Garamond" w:hAnsi="Garamond"/>
          <w:b/>
        </w:rPr>
        <w:t>8</w:t>
      </w:r>
      <w:r w:rsidRPr="00B622CB">
        <w:rPr>
          <w:rFonts w:ascii="Garamond" w:hAnsi="Garamond"/>
        </w:rPr>
        <w:t>, e68967.</w:t>
      </w:r>
      <w:proofErr w:type="gramEnd"/>
    </w:p>
    <w:p w14:paraId="093776A0" w14:textId="6666EBCD" w:rsidR="00754ADE" w:rsidRPr="0045578C" w:rsidRDefault="00754ADE" w:rsidP="00E10797">
      <w:pPr>
        <w:spacing w:line="288" w:lineRule="auto"/>
        <w:jc w:val="both"/>
        <w:rPr>
          <w:rFonts w:ascii="Garamond" w:hAnsi="Garamond"/>
        </w:rPr>
      </w:pPr>
      <w:r w:rsidRPr="0045578C">
        <w:rPr>
          <w:rFonts w:ascii="Garamond" w:hAnsi="Garamond"/>
        </w:rPr>
        <w:t>Watkins E</w:t>
      </w:r>
      <w:r w:rsidR="00D8621C" w:rsidRPr="0045578C">
        <w:rPr>
          <w:rFonts w:ascii="Garamond" w:hAnsi="Garamond"/>
        </w:rPr>
        <w:t xml:space="preserve"> (2008)</w:t>
      </w:r>
      <w:r w:rsidR="00861784">
        <w:rPr>
          <w:rFonts w:ascii="Garamond" w:hAnsi="Garamond"/>
        </w:rPr>
        <w:t>.</w:t>
      </w:r>
      <w:r w:rsidRPr="0045578C">
        <w:rPr>
          <w:rFonts w:ascii="Garamond" w:hAnsi="Garamond"/>
        </w:rPr>
        <w:t xml:space="preserve"> </w:t>
      </w:r>
      <w:proofErr w:type="gramStart"/>
      <w:r w:rsidRPr="0045578C">
        <w:rPr>
          <w:rFonts w:ascii="Garamond" w:hAnsi="Garamond"/>
        </w:rPr>
        <w:t>Constructive and unconstructive repetitive thought.</w:t>
      </w:r>
      <w:proofErr w:type="gramEnd"/>
      <w:r w:rsidRPr="0045578C">
        <w:rPr>
          <w:rFonts w:ascii="Garamond" w:hAnsi="Garamond"/>
        </w:rPr>
        <w:t xml:space="preserve"> </w:t>
      </w:r>
      <w:r w:rsidRPr="0045578C">
        <w:rPr>
          <w:rFonts w:ascii="Garamond" w:hAnsi="Garamond"/>
          <w:i/>
        </w:rPr>
        <w:t>Psychological Bulletin</w:t>
      </w:r>
      <w:r w:rsidRPr="0045578C">
        <w:rPr>
          <w:rFonts w:ascii="Garamond" w:hAnsi="Garamond"/>
        </w:rPr>
        <w:t xml:space="preserve"> </w:t>
      </w:r>
      <w:r w:rsidRPr="0045578C">
        <w:rPr>
          <w:rFonts w:ascii="Garamond" w:hAnsi="Garamond"/>
          <w:b/>
        </w:rPr>
        <w:t>134</w:t>
      </w:r>
      <w:r w:rsidRPr="0045578C">
        <w:rPr>
          <w:rFonts w:ascii="Garamond" w:hAnsi="Garamond"/>
        </w:rPr>
        <w:t>, 163-206.</w:t>
      </w:r>
    </w:p>
    <w:p w14:paraId="12ADF3E2" w14:textId="229E44AF" w:rsidR="00B622CB" w:rsidRDefault="00B622CB" w:rsidP="00E10797">
      <w:pPr>
        <w:spacing w:line="288" w:lineRule="auto"/>
        <w:jc w:val="both"/>
        <w:rPr>
          <w:rFonts w:ascii="Garamond" w:hAnsi="Garamond"/>
        </w:rPr>
      </w:pPr>
      <w:r w:rsidRPr="00B622CB">
        <w:rPr>
          <w:rFonts w:ascii="Garamond" w:hAnsi="Garamond"/>
        </w:rPr>
        <w:lastRenderedPageBreak/>
        <w:t>Woods</w:t>
      </w:r>
      <w:r w:rsidR="00306E86">
        <w:rPr>
          <w:rFonts w:ascii="Garamond" w:hAnsi="Garamond"/>
        </w:rPr>
        <w:t>,</w:t>
      </w:r>
      <w:r w:rsidRPr="00B622CB">
        <w:rPr>
          <w:rFonts w:ascii="Garamond" w:hAnsi="Garamond"/>
        </w:rPr>
        <w:t xml:space="preserve"> C</w:t>
      </w:r>
      <w:r w:rsidR="00306E86">
        <w:rPr>
          <w:rFonts w:ascii="Garamond" w:hAnsi="Garamond"/>
        </w:rPr>
        <w:t>.</w:t>
      </w:r>
      <w:r w:rsidRPr="00B622CB">
        <w:rPr>
          <w:rFonts w:ascii="Garamond" w:hAnsi="Garamond"/>
        </w:rPr>
        <w:t>M</w:t>
      </w:r>
      <w:r w:rsidR="00306E86">
        <w:rPr>
          <w:rFonts w:ascii="Garamond" w:hAnsi="Garamond"/>
        </w:rPr>
        <w:t>.</w:t>
      </w:r>
      <w:r w:rsidRPr="00B622CB">
        <w:rPr>
          <w:rFonts w:ascii="Garamond" w:hAnsi="Garamond"/>
        </w:rPr>
        <w:t xml:space="preserve"> (2006). Careless responding to reverse-worded items: Implications for confirmatory factor analysis. </w:t>
      </w:r>
      <w:r w:rsidRPr="00B622CB">
        <w:rPr>
          <w:rFonts w:ascii="Garamond" w:hAnsi="Garamond"/>
          <w:i/>
        </w:rPr>
        <w:t xml:space="preserve">Journal of Psychopathology and </w:t>
      </w:r>
      <w:proofErr w:type="spellStart"/>
      <w:r w:rsidRPr="00B622CB">
        <w:rPr>
          <w:rFonts w:ascii="Garamond" w:hAnsi="Garamond"/>
          <w:i/>
        </w:rPr>
        <w:t>Behavioral</w:t>
      </w:r>
      <w:proofErr w:type="spellEnd"/>
      <w:r w:rsidRPr="00B622CB">
        <w:rPr>
          <w:rFonts w:ascii="Garamond" w:hAnsi="Garamond"/>
          <w:i/>
        </w:rPr>
        <w:t xml:space="preserve"> Assessment</w:t>
      </w:r>
      <w:r w:rsidRPr="00B622CB">
        <w:rPr>
          <w:rFonts w:ascii="Garamond" w:hAnsi="Garamond"/>
        </w:rPr>
        <w:t xml:space="preserve"> </w:t>
      </w:r>
      <w:r w:rsidRPr="00B622CB">
        <w:rPr>
          <w:rFonts w:ascii="Garamond" w:hAnsi="Garamond"/>
          <w:b/>
        </w:rPr>
        <w:t>28</w:t>
      </w:r>
      <w:r w:rsidRPr="00B622CB">
        <w:rPr>
          <w:rFonts w:ascii="Garamond" w:hAnsi="Garamond"/>
        </w:rPr>
        <w:t>, 18</w:t>
      </w:r>
      <w:r>
        <w:rPr>
          <w:rFonts w:ascii="Garamond" w:hAnsi="Garamond"/>
        </w:rPr>
        <w:t>9-194</w:t>
      </w:r>
      <w:r w:rsidRPr="00B622CB">
        <w:rPr>
          <w:rFonts w:ascii="Garamond" w:hAnsi="Garamond"/>
        </w:rPr>
        <w:t>.</w:t>
      </w:r>
    </w:p>
    <w:p w14:paraId="2FCE97BE" w14:textId="10A12FA8" w:rsidR="00754ADE" w:rsidRPr="0045578C" w:rsidRDefault="00754ADE" w:rsidP="00E10797">
      <w:pPr>
        <w:spacing w:line="288" w:lineRule="auto"/>
        <w:jc w:val="both"/>
        <w:rPr>
          <w:rFonts w:ascii="Garamond" w:hAnsi="Garamond"/>
        </w:rPr>
      </w:pPr>
      <w:r w:rsidRPr="0045578C">
        <w:rPr>
          <w:rFonts w:ascii="Garamond" w:hAnsi="Garamond"/>
        </w:rPr>
        <w:t xml:space="preserve">Yao B, </w:t>
      </w:r>
      <w:proofErr w:type="spellStart"/>
      <w:r w:rsidRPr="0045578C">
        <w:rPr>
          <w:rFonts w:ascii="Garamond" w:hAnsi="Garamond"/>
        </w:rPr>
        <w:t>Sripada</w:t>
      </w:r>
      <w:proofErr w:type="spellEnd"/>
      <w:r w:rsidRPr="0045578C">
        <w:rPr>
          <w:rFonts w:ascii="Garamond" w:hAnsi="Garamond"/>
        </w:rPr>
        <w:t xml:space="preserve"> R</w:t>
      </w:r>
      <w:r w:rsidR="00D8621C" w:rsidRPr="0045578C">
        <w:rPr>
          <w:rFonts w:ascii="Garamond" w:hAnsi="Garamond"/>
        </w:rPr>
        <w:t xml:space="preserve">, </w:t>
      </w:r>
      <w:proofErr w:type="spellStart"/>
      <w:r w:rsidR="00D8621C" w:rsidRPr="0045578C">
        <w:rPr>
          <w:rFonts w:ascii="Garamond" w:hAnsi="Garamond"/>
        </w:rPr>
        <w:t>Klumpp</w:t>
      </w:r>
      <w:proofErr w:type="spellEnd"/>
      <w:r w:rsidR="00D8621C" w:rsidRPr="0045578C">
        <w:rPr>
          <w:rFonts w:ascii="Garamond" w:hAnsi="Garamond"/>
        </w:rPr>
        <w:t xml:space="preserve"> H</w:t>
      </w:r>
      <w:r w:rsidRPr="0045578C">
        <w:rPr>
          <w:rFonts w:ascii="Garamond" w:hAnsi="Garamond"/>
        </w:rPr>
        <w:t>, Abelson J</w:t>
      </w:r>
      <w:r w:rsidR="00D8621C" w:rsidRPr="0045578C">
        <w:rPr>
          <w:rFonts w:ascii="Garamond" w:hAnsi="Garamond"/>
        </w:rPr>
        <w:t xml:space="preserve">, </w:t>
      </w:r>
      <w:proofErr w:type="spellStart"/>
      <w:r w:rsidR="00D8621C" w:rsidRPr="0045578C">
        <w:rPr>
          <w:rFonts w:ascii="Garamond" w:hAnsi="Garamond"/>
        </w:rPr>
        <w:t>Muzik</w:t>
      </w:r>
      <w:proofErr w:type="spellEnd"/>
      <w:r w:rsidR="00D8621C" w:rsidRPr="0045578C">
        <w:rPr>
          <w:rFonts w:ascii="Garamond" w:hAnsi="Garamond"/>
        </w:rPr>
        <w:t xml:space="preserve"> M</w:t>
      </w:r>
      <w:r w:rsidRPr="0045578C">
        <w:rPr>
          <w:rFonts w:ascii="Garamond" w:hAnsi="Garamond"/>
        </w:rPr>
        <w:t>, Zhao</w:t>
      </w:r>
      <w:r w:rsidR="00D8621C" w:rsidRPr="0045578C">
        <w:rPr>
          <w:rFonts w:ascii="Garamond" w:hAnsi="Garamond"/>
        </w:rPr>
        <w:t xml:space="preserve"> Z, Rosenblum K</w:t>
      </w:r>
      <w:r w:rsidRPr="0045578C">
        <w:rPr>
          <w:rFonts w:ascii="Garamond" w:hAnsi="Garamond"/>
        </w:rPr>
        <w:t xml:space="preserve">, Briggs H, </w:t>
      </w:r>
      <w:proofErr w:type="spellStart"/>
      <w:r w:rsidRPr="0045578C">
        <w:rPr>
          <w:rFonts w:ascii="Garamond" w:hAnsi="Garamond"/>
        </w:rPr>
        <w:t>Kaston</w:t>
      </w:r>
      <w:proofErr w:type="spellEnd"/>
      <w:r w:rsidR="00D8621C" w:rsidRPr="0045578C">
        <w:rPr>
          <w:rFonts w:ascii="Garamond" w:hAnsi="Garamond"/>
        </w:rPr>
        <w:t xml:space="preserve"> M</w:t>
      </w:r>
      <w:r w:rsidRPr="0045578C">
        <w:rPr>
          <w:rFonts w:ascii="Garamond" w:hAnsi="Garamond"/>
        </w:rPr>
        <w:t xml:space="preserve">, </w:t>
      </w:r>
      <w:r w:rsidR="00D8621C" w:rsidRPr="0045578C">
        <w:rPr>
          <w:rFonts w:ascii="Garamond" w:hAnsi="Garamond"/>
        </w:rPr>
        <w:t>and</w:t>
      </w:r>
      <w:r w:rsidRPr="0045578C">
        <w:rPr>
          <w:rFonts w:ascii="Garamond" w:hAnsi="Garamond"/>
        </w:rPr>
        <w:t xml:space="preserve"> Warren R (2016)</w:t>
      </w:r>
      <w:r w:rsidR="00861784">
        <w:rPr>
          <w:rFonts w:ascii="Garamond" w:hAnsi="Garamond"/>
        </w:rPr>
        <w:t>.</w:t>
      </w:r>
      <w:r w:rsidRPr="0045578C">
        <w:rPr>
          <w:rFonts w:ascii="Garamond" w:hAnsi="Garamond"/>
        </w:rPr>
        <w:t xml:space="preserve"> Penn State Worry Questionnaire - 10: A new tool for measurement-based care. </w:t>
      </w:r>
      <w:r w:rsidRPr="0045578C">
        <w:rPr>
          <w:rFonts w:ascii="Garamond" w:hAnsi="Garamond"/>
          <w:i/>
        </w:rPr>
        <w:t>Psychiatry Research</w:t>
      </w:r>
      <w:r w:rsidRPr="0045578C">
        <w:rPr>
          <w:rFonts w:ascii="Garamond" w:hAnsi="Garamond"/>
        </w:rPr>
        <w:t xml:space="preserve"> </w:t>
      </w:r>
      <w:r w:rsidRPr="0045578C">
        <w:rPr>
          <w:rFonts w:ascii="Garamond" w:hAnsi="Garamond"/>
          <w:b/>
        </w:rPr>
        <w:t>239</w:t>
      </w:r>
      <w:r w:rsidRPr="0045578C">
        <w:rPr>
          <w:rFonts w:ascii="Garamond" w:hAnsi="Garamond"/>
        </w:rPr>
        <w:t>, 62-67.</w:t>
      </w:r>
    </w:p>
    <w:p w14:paraId="16674BBE" w14:textId="244B389A" w:rsidR="0035375A" w:rsidRPr="0045578C" w:rsidRDefault="0035375A" w:rsidP="00E10797">
      <w:pPr>
        <w:spacing w:before="100" w:beforeAutospacing="1" w:after="100" w:afterAutospacing="1"/>
        <w:jc w:val="both"/>
        <w:rPr>
          <w:rFonts w:ascii="Garamond" w:hAnsi="Garamond"/>
        </w:rPr>
      </w:pPr>
      <w:r w:rsidRPr="0045578C">
        <w:rPr>
          <w:rFonts w:ascii="Garamond" w:hAnsi="Garamond" w:cs="Arial"/>
        </w:rPr>
        <w:t>Yen WM (1993)</w:t>
      </w:r>
      <w:r w:rsidR="00861784">
        <w:rPr>
          <w:rFonts w:ascii="Garamond" w:hAnsi="Garamond" w:cs="Arial"/>
        </w:rPr>
        <w:t>.</w:t>
      </w:r>
      <w:r w:rsidRPr="0045578C">
        <w:rPr>
          <w:rFonts w:ascii="Garamond" w:hAnsi="Garamond" w:cs="Arial"/>
        </w:rPr>
        <w:t xml:space="preserve"> </w:t>
      </w:r>
      <w:proofErr w:type="gramStart"/>
      <w:r w:rsidRPr="0045578C">
        <w:rPr>
          <w:rFonts w:ascii="Garamond" w:hAnsi="Garamond" w:cs="Arial"/>
        </w:rPr>
        <w:t>Scaling performance assessments: strategies for managing local item dependence.</w:t>
      </w:r>
      <w:proofErr w:type="gramEnd"/>
      <w:r w:rsidRPr="0045578C">
        <w:rPr>
          <w:rFonts w:ascii="Garamond" w:hAnsi="Garamond" w:cs="Arial"/>
        </w:rPr>
        <w:t> </w:t>
      </w:r>
      <w:proofErr w:type="gramStart"/>
      <w:r w:rsidRPr="0045578C">
        <w:rPr>
          <w:rFonts w:ascii="Garamond" w:hAnsi="Garamond" w:cs="Arial"/>
          <w:i/>
          <w:iCs/>
        </w:rPr>
        <w:t>Journal of educational measurement</w:t>
      </w:r>
      <w:r w:rsidRPr="0045578C">
        <w:rPr>
          <w:rFonts w:ascii="Garamond" w:hAnsi="Garamond" w:cs="Arial"/>
        </w:rPr>
        <w:t> </w:t>
      </w:r>
      <w:r w:rsidRPr="0045578C">
        <w:rPr>
          <w:rFonts w:ascii="Garamond" w:hAnsi="Garamond" w:cs="Arial"/>
          <w:b/>
          <w:iCs/>
        </w:rPr>
        <w:t>30</w:t>
      </w:r>
      <w:r w:rsidRPr="0045578C">
        <w:rPr>
          <w:rFonts w:ascii="Garamond" w:hAnsi="Garamond" w:cs="Arial"/>
        </w:rPr>
        <w:t>, 187-213.</w:t>
      </w:r>
      <w:proofErr w:type="gramEnd"/>
    </w:p>
    <w:p w14:paraId="23A00FAB" w14:textId="74C7440F" w:rsidR="00754ADE" w:rsidRPr="0045578C" w:rsidRDefault="00D8621C" w:rsidP="00E10797">
      <w:pPr>
        <w:spacing w:line="288" w:lineRule="auto"/>
        <w:jc w:val="both"/>
        <w:rPr>
          <w:rFonts w:ascii="Garamond" w:hAnsi="Garamond"/>
        </w:rPr>
      </w:pPr>
      <w:r w:rsidRPr="0045578C">
        <w:rPr>
          <w:rFonts w:ascii="Garamond" w:hAnsi="Garamond"/>
        </w:rPr>
        <w:t>Yilmaz</w:t>
      </w:r>
      <w:r w:rsidR="00754ADE" w:rsidRPr="0045578C">
        <w:rPr>
          <w:rFonts w:ascii="Garamond" w:hAnsi="Garamond"/>
        </w:rPr>
        <w:t xml:space="preserve"> A, </w:t>
      </w:r>
      <w:proofErr w:type="spellStart"/>
      <w:r w:rsidR="00754ADE" w:rsidRPr="0045578C">
        <w:rPr>
          <w:rFonts w:ascii="Garamond" w:hAnsi="Garamond"/>
        </w:rPr>
        <w:t>Gençöz</w:t>
      </w:r>
      <w:proofErr w:type="spellEnd"/>
      <w:r w:rsidR="00754ADE" w:rsidRPr="0045578C">
        <w:rPr>
          <w:rFonts w:ascii="Garamond" w:hAnsi="Garamond"/>
        </w:rPr>
        <w:t xml:space="preserve"> T </w:t>
      </w:r>
      <w:r w:rsidRPr="0045578C">
        <w:rPr>
          <w:rFonts w:ascii="Garamond" w:hAnsi="Garamond"/>
        </w:rPr>
        <w:t>and</w:t>
      </w:r>
      <w:r w:rsidR="00754ADE" w:rsidRPr="0045578C">
        <w:rPr>
          <w:rFonts w:ascii="Garamond" w:hAnsi="Garamond"/>
        </w:rPr>
        <w:t xml:space="preserve"> Wells A (2008)</w:t>
      </w:r>
      <w:r w:rsidR="00861784">
        <w:rPr>
          <w:rFonts w:ascii="Garamond" w:hAnsi="Garamond"/>
        </w:rPr>
        <w:t>.</w:t>
      </w:r>
      <w:r w:rsidR="00754ADE" w:rsidRPr="0045578C">
        <w:rPr>
          <w:rFonts w:ascii="Garamond" w:hAnsi="Garamond"/>
        </w:rPr>
        <w:t xml:space="preserve"> </w:t>
      </w:r>
      <w:proofErr w:type="gramStart"/>
      <w:r w:rsidR="00754ADE" w:rsidRPr="0045578C">
        <w:rPr>
          <w:rFonts w:ascii="Garamond" w:hAnsi="Garamond"/>
        </w:rPr>
        <w:t>Psychometric characteristics of the Penn State Worry Questionnaire and Metacognitions Questionnaire</w:t>
      </w:r>
      <w:r w:rsidR="00754ADE" w:rsidRPr="0045578C">
        <w:rPr>
          <w:rFonts w:ascii="Cambria Math" w:hAnsi="Cambria Math" w:cs="Cambria Math"/>
        </w:rPr>
        <w:t>‐</w:t>
      </w:r>
      <w:r w:rsidR="00754ADE" w:rsidRPr="0045578C">
        <w:rPr>
          <w:rFonts w:ascii="Garamond" w:hAnsi="Garamond"/>
        </w:rPr>
        <w:t>30 and metacognitive predictors of worry and obsessive</w:t>
      </w:r>
      <w:r w:rsidR="00754ADE" w:rsidRPr="0045578C">
        <w:rPr>
          <w:rFonts w:ascii="Garamond" w:hAnsi="Garamond" w:cs="Garamond"/>
        </w:rPr>
        <w:t>–</w:t>
      </w:r>
      <w:r w:rsidR="00754ADE" w:rsidRPr="0045578C">
        <w:rPr>
          <w:rFonts w:ascii="Garamond" w:hAnsi="Garamond"/>
        </w:rPr>
        <w:t>compulsive symptoms in a Turkish sample.</w:t>
      </w:r>
      <w:proofErr w:type="gramEnd"/>
      <w:r w:rsidR="00754ADE" w:rsidRPr="0045578C">
        <w:rPr>
          <w:rFonts w:ascii="Garamond" w:hAnsi="Garamond"/>
        </w:rPr>
        <w:t xml:space="preserve"> </w:t>
      </w:r>
      <w:r w:rsidR="00754ADE" w:rsidRPr="0045578C">
        <w:rPr>
          <w:rFonts w:ascii="Garamond" w:hAnsi="Garamond"/>
          <w:i/>
        </w:rPr>
        <w:t>Clinical Psychology and Psychotherapy</w:t>
      </w:r>
      <w:r w:rsidR="00754ADE" w:rsidRPr="0045578C">
        <w:rPr>
          <w:rFonts w:ascii="Garamond" w:hAnsi="Garamond"/>
        </w:rPr>
        <w:t xml:space="preserve"> </w:t>
      </w:r>
      <w:r w:rsidR="00754ADE" w:rsidRPr="0045578C">
        <w:rPr>
          <w:rFonts w:ascii="Garamond" w:hAnsi="Garamond"/>
          <w:b/>
        </w:rPr>
        <w:t>15</w:t>
      </w:r>
      <w:r w:rsidR="00754ADE" w:rsidRPr="0045578C">
        <w:rPr>
          <w:rFonts w:ascii="Garamond" w:hAnsi="Garamond"/>
        </w:rPr>
        <w:t>, 424-439.</w:t>
      </w:r>
    </w:p>
    <w:p w14:paraId="5141C365" w14:textId="77777777" w:rsidR="0035375A" w:rsidRPr="0045578C" w:rsidRDefault="0035375A" w:rsidP="00E10797">
      <w:pPr>
        <w:pStyle w:val="CommentText"/>
        <w:jc w:val="both"/>
        <w:rPr>
          <w:rFonts w:ascii="Garamond" w:hAnsi="Garamond"/>
          <w:sz w:val="22"/>
          <w:szCs w:val="22"/>
        </w:rPr>
      </w:pPr>
      <w:proofErr w:type="spellStart"/>
      <w:r w:rsidRPr="0045578C">
        <w:rPr>
          <w:rFonts w:ascii="Garamond" w:eastAsia="Times New Roman" w:hAnsi="Garamond" w:cs="Arial"/>
          <w:color w:val="222222"/>
          <w:sz w:val="22"/>
          <w:szCs w:val="22"/>
          <w:shd w:val="clear" w:color="auto" w:fill="FFFFFF"/>
          <w:lang w:eastAsia="zh-CN"/>
        </w:rPr>
        <w:t>Youden</w:t>
      </w:r>
      <w:proofErr w:type="spellEnd"/>
      <w:r w:rsidRPr="0045578C">
        <w:rPr>
          <w:rFonts w:ascii="Garamond" w:eastAsia="Times New Roman" w:hAnsi="Garamond" w:cs="Arial"/>
          <w:color w:val="222222"/>
          <w:sz w:val="22"/>
          <w:szCs w:val="22"/>
          <w:shd w:val="clear" w:color="auto" w:fill="FFFFFF"/>
          <w:lang w:eastAsia="zh-CN"/>
        </w:rPr>
        <w:t xml:space="preserve"> WJ (1950). </w:t>
      </w:r>
      <w:proofErr w:type="gramStart"/>
      <w:r w:rsidRPr="0045578C">
        <w:rPr>
          <w:rFonts w:ascii="Garamond" w:eastAsia="Times New Roman" w:hAnsi="Garamond" w:cs="Arial"/>
          <w:color w:val="222222"/>
          <w:sz w:val="22"/>
          <w:szCs w:val="22"/>
          <w:shd w:val="clear" w:color="auto" w:fill="FFFFFF"/>
          <w:lang w:eastAsia="zh-CN"/>
        </w:rPr>
        <w:t>Index for rating diagnostic tests.</w:t>
      </w:r>
      <w:proofErr w:type="gramEnd"/>
      <w:r w:rsidRPr="0045578C">
        <w:rPr>
          <w:rFonts w:ascii="Garamond" w:eastAsia="Times New Roman" w:hAnsi="Garamond" w:cs="Arial"/>
          <w:color w:val="222222"/>
          <w:sz w:val="22"/>
          <w:szCs w:val="22"/>
          <w:shd w:val="clear" w:color="auto" w:fill="FFFFFF"/>
          <w:lang w:eastAsia="zh-CN"/>
        </w:rPr>
        <w:t> </w:t>
      </w:r>
      <w:r w:rsidRPr="0045578C">
        <w:rPr>
          <w:rFonts w:ascii="Garamond" w:eastAsia="Times New Roman" w:hAnsi="Garamond" w:cs="Arial"/>
          <w:i/>
          <w:iCs/>
          <w:color w:val="222222"/>
          <w:sz w:val="22"/>
          <w:szCs w:val="22"/>
          <w:lang w:eastAsia="zh-CN"/>
        </w:rPr>
        <w:t>Cancer</w:t>
      </w:r>
      <w:r w:rsidRPr="0045578C">
        <w:rPr>
          <w:rFonts w:ascii="Garamond" w:eastAsia="Times New Roman" w:hAnsi="Garamond" w:cs="Arial"/>
          <w:color w:val="222222"/>
          <w:sz w:val="22"/>
          <w:szCs w:val="22"/>
          <w:shd w:val="clear" w:color="auto" w:fill="FFFFFF"/>
          <w:lang w:eastAsia="zh-CN"/>
        </w:rPr>
        <w:t> </w:t>
      </w:r>
      <w:r w:rsidRPr="0045578C">
        <w:rPr>
          <w:rFonts w:ascii="Garamond" w:eastAsia="Times New Roman" w:hAnsi="Garamond" w:cs="Arial"/>
          <w:b/>
          <w:iCs/>
          <w:color w:val="222222"/>
          <w:sz w:val="22"/>
          <w:szCs w:val="22"/>
          <w:lang w:eastAsia="zh-CN"/>
        </w:rPr>
        <w:t>3</w:t>
      </w:r>
      <w:r w:rsidRPr="0045578C">
        <w:rPr>
          <w:rFonts w:ascii="Garamond" w:eastAsia="Times New Roman" w:hAnsi="Garamond" w:cs="Arial"/>
          <w:color w:val="222222"/>
          <w:sz w:val="22"/>
          <w:szCs w:val="22"/>
          <w:shd w:val="clear" w:color="auto" w:fill="FFFFFF"/>
          <w:lang w:eastAsia="zh-CN"/>
        </w:rPr>
        <w:t>, 32-35.</w:t>
      </w:r>
    </w:p>
    <w:p w14:paraId="30C6AF59" w14:textId="77777777" w:rsidR="0035375A" w:rsidRDefault="0035375A" w:rsidP="00754ADE">
      <w:pPr>
        <w:spacing w:line="288" w:lineRule="auto"/>
        <w:jc w:val="both"/>
        <w:rPr>
          <w:rFonts w:ascii="Garamond" w:hAnsi="Garamond"/>
          <w:sz w:val="24"/>
          <w:szCs w:val="24"/>
        </w:rPr>
      </w:pPr>
    </w:p>
    <w:p w14:paraId="4E85DD13" w14:textId="77777777" w:rsidR="00754ADE" w:rsidRDefault="00754ADE" w:rsidP="00754ADE">
      <w:pPr>
        <w:spacing w:line="288" w:lineRule="auto"/>
        <w:jc w:val="both"/>
        <w:rPr>
          <w:rFonts w:ascii="Garamond" w:hAnsi="Garamond"/>
          <w:sz w:val="24"/>
          <w:szCs w:val="24"/>
        </w:rPr>
      </w:pPr>
    </w:p>
    <w:p w14:paraId="3B7732B3" w14:textId="0C871598" w:rsidR="00BC71AF" w:rsidRPr="00407B71" w:rsidRDefault="00873832" w:rsidP="00BC71AF">
      <w:pPr>
        <w:rPr>
          <w:rFonts w:ascii="Garamond" w:hAnsi="Garamond"/>
          <w:b/>
          <w:u w:val="single"/>
        </w:rPr>
      </w:pPr>
      <w:r>
        <w:rPr>
          <w:rFonts w:ascii="Garamond" w:hAnsi="Garamond"/>
          <w:b/>
          <w:u w:val="single"/>
        </w:rPr>
        <w:br w:type="page"/>
      </w:r>
    </w:p>
    <w:p w14:paraId="3A6D489E" w14:textId="23280CCE" w:rsidR="007C6E71" w:rsidRDefault="007C6E71" w:rsidP="007C6E71">
      <w:pPr>
        <w:spacing w:after="0" w:line="288" w:lineRule="auto"/>
        <w:jc w:val="both"/>
        <w:rPr>
          <w:rFonts w:ascii="Garamond" w:hAnsi="Garamond"/>
        </w:rPr>
      </w:pPr>
      <w:proofErr w:type="gramStart"/>
      <w:r w:rsidRPr="008954F7">
        <w:rPr>
          <w:rFonts w:ascii="Garamond" w:hAnsi="Garamond"/>
          <w:b/>
        </w:rPr>
        <w:lastRenderedPageBreak/>
        <w:t>Table 1.</w:t>
      </w:r>
      <w:proofErr w:type="gramEnd"/>
      <w:r>
        <w:rPr>
          <w:rFonts w:ascii="Garamond" w:hAnsi="Garamond"/>
        </w:rPr>
        <w:t xml:space="preserve"> IRT parameters for </w:t>
      </w:r>
      <w:r w:rsidR="0005472F">
        <w:rPr>
          <w:rFonts w:ascii="Garamond" w:hAnsi="Garamond"/>
        </w:rPr>
        <w:t xml:space="preserve">the </w:t>
      </w:r>
      <w:r>
        <w:rPr>
          <w:rFonts w:ascii="Garamond" w:hAnsi="Garamond"/>
        </w:rPr>
        <w:t xml:space="preserve">final versions </w:t>
      </w:r>
      <w:r w:rsidR="0005472F">
        <w:rPr>
          <w:rFonts w:ascii="Garamond" w:hAnsi="Garamond"/>
        </w:rPr>
        <w:t xml:space="preserve">of the </w:t>
      </w:r>
      <w:r>
        <w:rPr>
          <w:rFonts w:ascii="Garamond" w:hAnsi="Garamond"/>
        </w:rPr>
        <w:t>DWQ and PWQ with the cross-validation sample (</w:t>
      </w:r>
      <w:r w:rsidRPr="006E6C45">
        <w:rPr>
          <w:rFonts w:ascii="Garamond" w:hAnsi="Garamond"/>
          <w:i/>
        </w:rPr>
        <w:t>n</w:t>
      </w:r>
      <w:r>
        <w:rPr>
          <w:rFonts w:ascii="Garamond" w:hAnsi="Garamond"/>
        </w:rPr>
        <w:t xml:space="preserve">=449). Standard errors are shown in parentheses. </w:t>
      </w:r>
    </w:p>
    <w:p w14:paraId="3562C39B" w14:textId="77777777" w:rsidR="00E10797" w:rsidRDefault="00E10797" w:rsidP="007C6E71">
      <w:pPr>
        <w:spacing w:after="0" w:line="288" w:lineRule="auto"/>
        <w:jc w:val="both"/>
        <w:rPr>
          <w:rFonts w:ascii="Garamond" w:hAnsi="Garamond"/>
        </w:rPr>
      </w:pPr>
    </w:p>
    <w:tbl>
      <w:tblPr>
        <w:tblStyle w:val="TableGrid"/>
        <w:tblW w:w="93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134"/>
        <w:gridCol w:w="1134"/>
        <w:gridCol w:w="1134"/>
        <w:gridCol w:w="1134"/>
        <w:gridCol w:w="1086"/>
      </w:tblGrid>
      <w:tr w:rsidR="007C6E71" w14:paraId="19E68B9A" w14:textId="77777777" w:rsidTr="00962D21">
        <w:tc>
          <w:tcPr>
            <w:tcW w:w="3686" w:type="dxa"/>
            <w:tcBorders>
              <w:top w:val="single" w:sz="4" w:space="0" w:color="auto"/>
              <w:bottom w:val="single" w:sz="4" w:space="0" w:color="auto"/>
            </w:tcBorders>
          </w:tcPr>
          <w:p w14:paraId="0D87BA1B" w14:textId="6045A27A" w:rsidR="007C6E71" w:rsidRDefault="00226F86" w:rsidP="00E10797">
            <w:pPr>
              <w:spacing w:line="360" w:lineRule="auto"/>
              <w:jc w:val="both"/>
              <w:rPr>
                <w:rFonts w:ascii="Garamond" w:hAnsi="Garamond"/>
                <w:b/>
              </w:rPr>
            </w:pPr>
            <w:r>
              <w:rPr>
                <w:rFonts w:ascii="Garamond" w:hAnsi="Garamond"/>
                <w:b/>
                <w:sz w:val="20"/>
              </w:rPr>
              <w:t>Dunn</w:t>
            </w:r>
            <w:r w:rsidR="007C6E71" w:rsidRPr="003E2DB0">
              <w:rPr>
                <w:rFonts w:ascii="Garamond" w:hAnsi="Garamond"/>
                <w:b/>
                <w:sz w:val="20"/>
              </w:rPr>
              <w:t xml:space="preserve"> Worry </w:t>
            </w:r>
            <w:r>
              <w:rPr>
                <w:rFonts w:ascii="Garamond" w:hAnsi="Garamond"/>
                <w:b/>
                <w:sz w:val="20"/>
              </w:rPr>
              <w:t>Questionnaire</w:t>
            </w:r>
          </w:p>
        </w:tc>
        <w:tc>
          <w:tcPr>
            <w:tcW w:w="1134" w:type="dxa"/>
            <w:tcBorders>
              <w:top w:val="single" w:sz="4" w:space="0" w:color="auto"/>
              <w:bottom w:val="single" w:sz="4" w:space="0" w:color="auto"/>
            </w:tcBorders>
            <w:vAlign w:val="center"/>
          </w:tcPr>
          <w:p w14:paraId="2AFB5615" w14:textId="77777777" w:rsidR="007C6E71" w:rsidRPr="003E2DB0" w:rsidRDefault="007C6E71" w:rsidP="00E10797">
            <w:pPr>
              <w:spacing w:line="360" w:lineRule="auto"/>
              <w:jc w:val="center"/>
              <w:rPr>
                <w:rFonts w:ascii="Garamond" w:hAnsi="Garamond"/>
                <w:b/>
              </w:rPr>
            </w:pPr>
            <w:r w:rsidRPr="003E2DB0">
              <w:rPr>
                <w:rFonts w:ascii="Garamond" w:eastAsia="Times New Roman" w:hAnsi="Garamond" w:cs="Calibri"/>
                <w:b/>
                <w:i/>
                <w:color w:val="000000"/>
                <w:sz w:val="20"/>
                <w:szCs w:val="20"/>
                <w:lang w:eastAsia="en-GB"/>
              </w:rPr>
              <w:t>a</w:t>
            </w:r>
          </w:p>
        </w:tc>
        <w:tc>
          <w:tcPr>
            <w:tcW w:w="1134" w:type="dxa"/>
            <w:tcBorders>
              <w:top w:val="single" w:sz="4" w:space="0" w:color="auto"/>
              <w:bottom w:val="single" w:sz="4" w:space="0" w:color="auto"/>
            </w:tcBorders>
            <w:vAlign w:val="center"/>
          </w:tcPr>
          <w:p w14:paraId="072226EB" w14:textId="77777777" w:rsidR="007C6E71" w:rsidRPr="003E2DB0" w:rsidRDefault="007C6E71" w:rsidP="00E10797">
            <w:pPr>
              <w:spacing w:line="360" w:lineRule="auto"/>
              <w:jc w:val="center"/>
              <w:rPr>
                <w:rFonts w:ascii="Garamond" w:hAnsi="Garamond"/>
                <w:b/>
              </w:rPr>
            </w:pPr>
            <w:r w:rsidRPr="003E2DB0">
              <w:rPr>
                <w:rFonts w:ascii="Garamond" w:eastAsia="Times New Roman" w:hAnsi="Garamond" w:cs="Calibri"/>
                <w:b/>
                <w:i/>
                <w:color w:val="000000"/>
                <w:sz w:val="20"/>
                <w:szCs w:val="20"/>
                <w:lang w:eastAsia="en-GB"/>
              </w:rPr>
              <w:t>b</w:t>
            </w:r>
            <w:r w:rsidRPr="003E2DB0">
              <w:rPr>
                <w:rFonts w:ascii="Garamond" w:eastAsia="Times New Roman" w:hAnsi="Garamond" w:cs="Calibri"/>
                <w:b/>
                <w:i/>
                <w:color w:val="000000"/>
                <w:sz w:val="20"/>
                <w:szCs w:val="20"/>
                <w:vertAlign w:val="subscript"/>
                <w:lang w:eastAsia="en-GB"/>
              </w:rPr>
              <w:t>1</w:t>
            </w:r>
          </w:p>
        </w:tc>
        <w:tc>
          <w:tcPr>
            <w:tcW w:w="1134" w:type="dxa"/>
            <w:tcBorders>
              <w:top w:val="single" w:sz="4" w:space="0" w:color="auto"/>
              <w:bottom w:val="single" w:sz="4" w:space="0" w:color="auto"/>
            </w:tcBorders>
            <w:vAlign w:val="center"/>
          </w:tcPr>
          <w:p w14:paraId="443BBD31" w14:textId="77777777" w:rsidR="007C6E71" w:rsidRPr="003E2DB0" w:rsidRDefault="007C6E71" w:rsidP="00E10797">
            <w:pPr>
              <w:spacing w:line="360" w:lineRule="auto"/>
              <w:jc w:val="center"/>
              <w:rPr>
                <w:rFonts w:ascii="Garamond" w:hAnsi="Garamond"/>
                <w:b/>
              </w:rPr>
            </w:pPr>
            <w:r w:rsidRPr="003E2DB0">
              <w:rPr>
                <w:rFonts w:ascii="Garamond" w:eastAsia="Times New Roman" w:hAnsi="Garamond" w:cs="Calibri"/>
                <w:b/>
                <w:i/>
                <w:color w:val="000000"/>
                <w:sz w:val="20"/>
                <w:szCs w:val="20"/>
                <w:lang w:eastAsia="en-GB"/>
              </w:rPr>
              <w:t>b</w:t>
            </w:r>
            <w:r w:rsidRPr="003E2DB0">
              <w:rPr>
                <w:rFonts w:ascii="Garamond" w:eastAsia="Times New Roman" w:hAnsi="Garamond" w:cs="Calibri"/>
                <w:b/>
                <w:i/>
                <w:color w:val="000000"/>
                <w:sz w:val="20"/>
                <w:szCs w:val="20"/>
                <w:vertAlign w:val="subscript"/>
                <w:lang w:eastAsia="en-GB"/>
              </w:rPr>
              <w:t>2</w:t>
            </w:r>
          </w:p>
        </w:tc>
        <w:tc>
          <w:tcPr>
            <w:tcW w:w="1134" w:type="dxa"/>
            <w:tcBorders>
              <w:top w:val="single" w:sz="4" w:space="0" w:color="auto"/>
              <w:bottom w:val="single" w:sz="4" w:space="0" w:color="auto"/>
            </w:tcBorders>
            <w:vAlign w:val="center"/>
          </w:tcPr>
          <w:p w14:paraId="42D5E701" w14:textId="77777777" w:rsidR="007C6E71" w:rsidRPr="003E2DB0" w:rsidRDefault="007C6E71" w:rsidP="00E10797">
            <w:pPr>
              <w:spacing w:line="360" w:lineRule="auto"/>
              <w:jc w:val="center"/>
              <w:rPr>
                <w:rFonts w:ascii="Garamond" w:hAnsi="Garamond"/>
                <w:b/>
              </w:rPr>
            </w:pPr>
            <w:r w:rsidRPr="003E2DB0">
              <w:rPr>
                <w:rFonts w:ascii="Garamond" w:eastAsia="Times New Roman" w:hAnsi="Garamond" w:cs="Calibri"/>
                <w:b/>
                <w:i/>
                <w:color w:val="000000"/>
                <w:sz w:val="20"/>
                <w:szCs w:val="20"/>
                <w:lang w:eastAsia="en-GB"/>
              </w:rPr>
              <w:t>b</w:t>
            </w:r>
            <w:r w:rsidRPr="003E2DB0">
              <w:rPr>
                <w:rFonts w:ascii="Garamond" w:eastAsia="Times New Roman" w:hAnsi="Garamond" w:cs="Calibri"/>
                <w:b/>
                <w:i/>
                <w:color w:val="000000"/>
                <w:sz w:val="20"/>
                <w:szCs w:val="20"/>
                <w:vertAlign w:val="subscript"/>
                <w:lang w:eastAsia="en-GB"/>
              </w:rPr>
              <w:t>3</w:t>
            </w:r>
          </w:p>
        </w:tc>
        <w:tc>
          <w:tcPr>
            <w:tcW w:w="1086" w:type="dxa"/>
            <w:tcBorders>
              <w:top w:val="single" w:sz="4" w:space="0" w:color="auto"/>
              <w:bottom w:val="single" w:sz="4" w:space="0" w:color="auto"/>
            </w:tcBorders>
            <w:vAlign w:val="center"/>
          </w:tcPr>
          <w:p w14:paraId="230BE1EA" w14:textId="77777777" w:rsidR="007C6E71" w:rsidRPr="003E2DB0" w:rsidRDefault="007C6E71" w:rsidP="00E10797">
            <w:pPr>
              <w:spacing w:line="360" w:lineRule="auto"/>
              <w:jc w:val="center"/>
              <w:rPr>
                <w:rFonts w:ascii="Garamond" w:hAnsi="Garamond"/>
                <w:b/>
              </w:rPr>
            </w:pPr>
            <w:r w:rsidRPr="003E2DB0">
              <w:rPr>
                <w:rFonts w:ascii="Garamond" w:eastAsia="Times New Roman" w:hAnsi="Garamond" w:cs="Calibri"/>
                <w:b/>
                <w:i/>
                <w:color w:val="000000"/>
                <w:sz w:val="20"/>
                <w:szCs w:val="20"/>
                <w:lang w:eastAsia="en-GB"/>
              </w:rPr>
              <w:t>b</w:t>
            </w:r>
            <w:r w:rsidRPr="003E2DB0">
              <w:rPr>
                <w:rFonts w:ascii="Garamond" w:eastAsia="Times New Roman" w:hAnsi="Garamond" w:cs="Calibri"/>
                <w:b/>
                <w:i/>
                <w:color w:val="000000"/>
                <w:sz w:val="20"/>
                <w:szCs w:val="20"/>
                <w:vertAlign w:val="subscript"/>
                <w:lang w:eastAsia="en-GB"/>
              </w:rPr>
              <w:t>4</w:t>
            </w:r>
          </w:p>
        </w:tc>
      </w:tr>
      <w:tr w:rsidR="00D641E1" w14:paraId="4B124132" w14:textId="77777777" w:rsidTr="00962D21">
        <w:trPr>
          <w:trHeight w:val="257"/>
        </w:trPr>
        <w:tc>
          <w:tcPr>
            <w:tcW w:w="3686" w:type="dxa"/>
            <w:tcBorders>
              <w:top w:val="single" w:sz="4" w:space="0" w:color="auto"/>
              <w:left w:val="nil"/>
              <w:bottom w:val="nil"/>
              <w:right w:val="nil"/>
            </w:tcBorders>
            <w:vAlign w:val="center"/>
          </w:tcPr>
          <w:p w14:paraId="3C865243" w14:textId="77777777" w:rsidR="00D641E1" w:rsidRPr="008530F5" w:rsidRDefault="00D641E1" w:rsidP="00D641E1">
            <w:pPr>
              <w:pStyle w:val="ListParagraph"/>
              <w:numPr>
                <w:ilvl w:val="0"/>
                <w:numId w:val="18"/>
              </w:numPr>
              <w:spacing w:after="60" w:line="360" w:lineRule="auto"/>
              <w:ind w:left="318" w:hanging="284"/>
              <w:rPr>
                <w:rFonts w:ascii="Garamond" w:hAnsi="Garamond"/>
                <w:b/>
                <w:sz w:val="20"/>
                <w:szCs w:val="20"/>
              </w:rPr>
            </w:pPr>
            <w:r w:rsidRPr="008530F5">
              <w:rPr>
                <w:rFonts w:ascii="Garamond" w:eastAsia="Times New Roman" w:hAnsi="Garamond" w:cs="Calibri"/>
                <w:color w:val="000000"/>
                <w:sz w:val="20"/>
                <w:szCs w:val="20"/>
                <w:lang w:eastAsia="en-GB"/>
              </w:rPr>
              <w:t>I’ve been worrying a lot</w:t>
            </w:r>
          </w:p>
        </w:tc>
        <w:tc>
          <w:tcPr>
            <w:tcW w:w="1134" w:type="dxa"/>
            <w:tcBorders>
              <w:top w:val="single" w:sz="4" w:space="0" w:color="auto"/>
              <w:left w:val="nil"/>
              <w:bottom w:val="nil"/>
              <w:right w:val="nil"/>
            </w:tcBorders>
            <w:vAlign w:val="center"/>
          </w:tcPr>
          <w:p w14:paraId="080E9A7A" w14:textId="767B6B86" w:rsidR="00D641E1" w:rsidRPr="00B70147" w:rsidRDefault="00D641E1" w:rsidP="00D641E1">
            <w:pPr>
              <w:spacing w:after="60" w:line="360" w:lineRule="auto"/>
              <w:jc w:val="center"/>
              <w:rPr>
                <w:rFonts w:ascii="Garamond" w:hAnsi="Garamond"/>
                <w:b/>
                <w:sz w:val="20"/>
              </w:rPr>
            </w:pPr>
            <w:r w:rsidRPr="00B70147">
              <w:rPr>
                <w:rFonts w:ascii="Garamond" w:hAnsi="Garamond"/>
                <w:sz w:val="20"/>
              </w:rPr>
              <w:t>3.</w:t>
            </w:r>
            <w:r>
              <w:rPr>
                <w:rFonts w:ascii="Garamond" w:hAnsi="Garamond"/>
                <w:sz w:val="20"/>
              </w:rPr>
              <w:t>81 (0.29)</w:t>
            </w:r>
          </w:p>
        </w:tc>
        <w:tc>
          <w:tcPr>
            <w:tcW w:w="1134" w:type="dxa"/>
            <w:tcBorders>
              <w:top w:val="single" w:sz="4" w:space="0" w:color="auto"/>
              <w:left w:val="nil"/>
              <w:bottom w:val="nil"/>
              <w:right w:val="nil"/>
            </w:tcBorders>
            <w:vAlign w:val="center"/>
          </w:tcPr>
          <w:p w14:paraId="3348EE66" w14:textId="5819C1F8" w:rsidR="00D641E1" w:rsidRPr="00B70147" w:rsidRDefault="00D641E1" w:rsidP="00D641E1">
            <w:pPr>
              <w:spacing w:after="60" w:line="360" w:lineRule="auto"/>
              <w:jc w:val="center"/>
              <w:rPr>
                <w:rFonts w:ascii="Garamond" w:hAnsi="Garamond"/>
                <w:b/>
                <w:sz w:val="20"/>
              </w:rPr>
            </w:pPr>
            <w:r w:rsidRPr="00B70147">
              <w:rPr>
                <w:rFonts w:ascii="Garamond" w:hAnsi="Garamond"/>
                <w:sz w:val="20"/>
              </w:rPr>
              <w:t>-1.7</w:t>
            </w:r>
            <w:r>
              <w:rPr>
                <w:rFonts w:ascii="Garamond" w:hAnsi="Garamond"/>
                <w:sz w:val="20"/>
              </w:rPr>
              <w:t>8 (0.12)</w:t>
            </w:r>
          </w:p>
        </w:tc>
        <w:tc>
          <w:tcPr>
            <w:tcW w:w="1134" w:type="dxa"/>
            <w:tcBorders>
              <w:top w:val="single" w:sz="4" w:space="0" w:color="auto"/>
              <w:left w:val="nil"/>
              <w:bottom w:val="nil"/>
              <w:right w:val="nil"/>
            </w:tcBorders>
            <w:vAlign w:val="center"/>
          </w:tcPr>
          <w:p w14:paraId="0FEE7BC0" w14:textId="19DEE757" w:rsidR="00D641E1" w:rsidRPr="00B70147" w:rsidRDefault="00D641E1" w:rsidP="00D641E1">
            <w:pPr>
              <w:spacing w:after="60" w:line="360" w:lineRule="auto"/>
              <w:jc w:val="center"/>
              <w:rPr>
                <w:rFonts w:ascii="Garamond" w:hAnsi="Garamond"/>
                <w:b/>
                <w:sz w:val="20"/>
              </w:rPr>
            </w:pPr>
            <w:r w:rsidRPr="00B70147">
              <w:rPr>
                <w:rFonts w:ascii="Garamond" w:hAnsi="Garamond"/>
                <w:sz w:val="20"/>
              </w:rPr>
              <w:t>-0.89</w:t>
            </w:r>
            <w:r>
              <w:rPr>
                <w:rFonts w:ascii="Garamond" w:hAnsi="Garamond"/>
                <w:sz w:val="20"/>
              </w:rPr>
              <w:t xml:space="preserve"> (0.08)</w:t>
            </w:r>
          </w:p>
        </w:tc>
        <w:tc>
          <w:tcPr>
            <w:tcW w:w="1134" w:type="dxa"/>
            <w:tcBorders>
              <w:top w:val="single" w:sz="4" w:space="0" w:color="auto"/>
              <w:left w:val="nil"/>
              <w:bottom w:val="nil"/>
              <w:right w:val="nil"/>
            </w:tcBorders>
            <w:vAlign w:val="center"/>
          </w:tcPr>
          <w:p w14:paraId="4B0E2D2C" w14:textId="017E62DA" w:rsidR="00D641E1" w:rsidRPr="00B70147" w:rsidRDefault="00D641E1" w:rsidP="00D641E1">
            <w:pPr>
              <w:spacing w:after="60" w:line="360" w:lineRule="auto"/>
              <w:jc w:val="center"/>
              <w:rPr>
                <w:rFonts w:ascii="Garamond" w:hAnsi="Garamond"/>
                <w:b/>
                <w:sz w:val="20"/>
              </w:rPr>
            </w:pPr>
            <w:r w:rsidRPr="00B70147">
              <w:rPr>
                <w:rFonts w:ascii="Garamond" w:hAnsi="Garamond"/>
                <w:sz w:val="20"/>
              </w:rPr>
              <w:t>0.1</w:t>
            </w:r>
            <w:r>
              <w:rPr>
                <w:rFonts w:ascii="Garamond" w:hAnsi="Garamond"/>
                <w:sz w:val="20"/>
              </w:rPr>
              <w:t xml:space="preserve"> (0.06)</w:t>
            </w:r>
          </w:p>
        </w:tc>
        <w:tc>
          <w:tcPr>
            <w:tcW w:w="1086" w:type="dxa"/>
            <w:tcBorders>
              <w:top w:val="single" w:sz="4" w:space="0" w:color="auto"/>
              <w:left w:val="nil"/>
              <w:bottom w:val="nil"/>
              <w:right w:val="nil"/>
            </w:tcBorders>
            <w:vAlign w:val="center"/>
          </w:tcPr>
          <w:p w14:paraId="79E7C234" w14:textId="5135D89F" w:rsidR="00D641E1" w:rsidRPr="00B70147" w:rsidRDefault="00D641E1" w:rsidP="00D641E1">
            <w:pPr>
              <w:spacing w:after="60" w:line="360" w:lineRule="auto"/>
              <w:jc w:val="center"/>
              <w:rPr>
                <w:rFonts w:ascii="Garamond" w:hAnsi="Garamond"/>
                <w:b/>
                <w:sz w:val="20"/>
              </w:rPr>
            </w:pPr>
            <w:r w:rsidRPr="00B70147">
              <w:rPr>
                <w:rFonts w:ascii="Garamond" w:hAnsi="Garamond"/>
                <w:sz w:val="20"/>
              </w:rPr>
              <w:t>1.1</w:t>
            </w:r>
            <w:r>
              <w:rPr>
                <w:rFonts w:ascii="Garamond" w:hAnsi="Garamond"/>
                <w:sz w:val="20"/>
              </w:rPr>
              <w:t>5 (0.08)</w:t>
            </w:r>
          </w:p>
        </w:tc>
      </w:tr>
      <w:tr w:rsidR="00D641E1" w14:paraId="45A7E087" w14:textId="77777777" w:rsidTr="00962D21">
        <w:trPr>
          <w:trHeight w:val="361"/>
        </w:trPr>
        <w:tc>
          <w:tcPr>
            <w:tcW w:w="3686" w:type="dxa"/>
            <w:tcBorders>
              <w:top w:val="nil"/>
              <w:left w:val="nil"/>
              <w:bottom w:val="nil"/>
              <w:right w:val="nil"/>
            </w:tcBorders>
            <w:vAlign w:val="center"/>
          </w:tcPr>
          <w:p w14:paraId="165C0231" w14:textId="77777777" w:rsidR="00D641E1" w:rsidRPr="008530F5" w:rsidRDefault="00D641E1" w:rsidP="00D641E1">
            <w:pPr>
              <w:pStyle w:val="ListParagraph"/>
              <w:numPr>
                <w:ilvl w:val="0"/>
                <w:numId w:val="18"/>
              </w:numPr>
              <w:spacing w:line="360" w:lineRule="auto"/>
              <w:ind w:left="318" w:hanging="284"/>
              <w:rPr>
                <w:rFonts w:ascii="Garamond" w:hAnsi="Garamond"/>
                <w:b/>
                <w:sz w:val="20"/>
                <w:szCs w:val="20"/>
              </w:rPr>
            </w:pPr>
            <w:r w:rsidRPr="008530F5">
              <w:rPr>
                <w:rFonts w:ascii="Garamond" w:eastAsia="Times New Roman" w:hAnsi="Garamond" w:cs="Calibri"/>
                <w:color w:val="000000"/>
                <w:sz w:val="20"/>
                <w:szCs w:val="20"/>
                <w:lang w:eastAsia="en-GB"/>
              </w:rPr>
              <w:t>In my mind I have been going over problems again and again</w:t>
            </w:r>
          </w:p>
        </w:tc>
        <w:tc>
          <w:tcPr>
            <w:tcW w:w="1134" w:type="dxa"/>
            <w:tcBorders>
              <w:top w:val="nil"/>
              <w:left w:val="nil"/>
              <w:bottom w:val="nil"/>
              <w:right w:val="nil"/>
            </w:tcBorders>
            <w:vAlign w:val="center"/>
          </w:tcPr>
          <w:p w14:paraId="62CCE246" w14:textId="135F4814" w:rsidR="00D641E1" w:rsidRPr="00B70147" w:rsidRDefault="00D641E1" w:rsidP="00D641E1">
            <w:pPr>
              <w:spacing w:after="60" w:line="360" w:lineRule="auto"/>
              <w:jc w:val="center"/>
              <w:rPr>
                <w:rFonts w:ascii="Garamond" w:hAnsi="Garamond"/>
                <w:b/>
                <w:sz w:val="20"/>
              </w:rPr>
            </w:pPr>
            <w:r w:rsidRPr="00B70147">
              <w:rPr>
                <w:rFonts w:ascii="Garamond" w:hAnsi="Garamond"/>
                <w:sz w:val="20"/>
              </w:rPr>
              <w:t>4.1</w:t>
            </w:r>
            <w:r>
              <w:rPr>
                <w:rFonts w:ascii="Garamond" w:hAnsi="Garamond"/>
                <w:sz w:val="20"/>
              </w:rPr>
              <w:t>8 (0.32)</w:t>
            </w:r>
          </w:p>
        </w:tc>
        <w:tc>
          <w:tcPr>
            <w:tcW w:w="1134" w:type="dxa"/>
            <w:tcBorders>
              <w:top w:val="nil"/>
              <w:left w:val="nil"/>
              <w:bottom w:val="nil"/>
              <w:right w:val="nil"/>
            </w:tcBorders>
            <w:vAlign w:val="center"/>
          </w:tcPr>
          <w:p w14:paraId="6911746A" w14:textId="0D11FC3D" w:rsidR="00D641E1" w:rsidRPr="00B70147" w:rsidRDefault="00D641E1" w:rsidP="00D641E1">
            <w:pPr>
              <w:spacing w:after="60" w:line="360" w:lineRule="auto"/>
              <w:jc w:val="center"/>
              <w:rPr>
                <w:rFonts w:ascii="Garamond" w:hAnsi="Garamond"/>
                <w:b/>
                <w:sz w:val="20"/>
              </w:rPr>
            </w:pPr>
            <w:r w:rsidRPr="00B70147">
              <w:rPr>
                <w:rFonts w:ascii="Garamond" w:hAnsi="Garamond"/>
                <w:sz w:val="20"/>
              </w:rPr>
              <w:t>-1.5</w:t>
            </w:r>
            <w:r>
              <w:rPr>
                <w:rFonts w:ascii="Garamond" w:hAnsi="Garamond"/>
                <w:sz w:val="20"/>
              </w:rPr>
              <w:t>6 (0.10)</w:t>
            </w:r>
          </w:p>
        </w:tc>
        <w:tc>
          <w:tcPr>
            <w:tcW w:w="1134" w:type="dxa"/>
            <w:tcBorders>
              <w:top w:val="nil"/>
              <w:left w:val="nil"/>
              <w:bottom w:val="nil"/>
              <w:right w:val="nil"/>
            </w:tcBorders>
            <w:vAlign w:val="center"/>
          </w:tcPr>
          <w:p w14:paraId="5DABF04E" w14:textId="3E4E9435" w:rsidR="00D641E1" w:rsidRPr="00B70147" w:rsidRDefault="00D641E1" w:rsidP="00D641E1">
            <w:pPr>
              <w:spacing w:after="60" w:line="360" w:lineRule="auto"/>
              <w:jc w:val="center"/>
              <w:rPr>
                <w:rFonts w:ascii="Garamond" w:hAnsi="Garamond"/>
                <w:b/>
                <w:sz w:val="20"/>
              </w:rPr>
            </w:pPr>
            <w:r w:rsidRPr="00B70147">
              <w:rPr>
                <w:rFonts w:ascii="Garamond" w:hAnsi="Garamond"/>
                <w:sz w:val="20"/>
              </w:rPr>
              <w:t>-0.82</w:t>
            </w:r>
            <w:r>
              <w:rPr>
                <w:rFonts w:ascii="Garamond" w:hAnsi="Garamond"/>
                <w:sz w:val="20"/>
              </w:rPr>
              <w:t xml:space="preserve"> (0.07)</w:t>
            </w:r>
          </w:p>
        </w:tc>
        <w:tc>
          <w:tcPr>
            <w:tcW w:w="1134" w:type="dxa"/>
            <w:tcBorders>
              <w:top w:val="nil"/>
              <w:left w:val="nil"/>
              <w:bottom w:val="nil"/>
              <w:right w:val="nil"/>
            </w:tcBorders>
            <w:vAlign w:val="center"/>
          </w:tcPr>
          <w:p w14:paraId="282ECC76" w14:textId="605D986B" w:rsidR="00D641E1" w:rsidRPr="00B70147" w:rsidRDefault="00D641E1" w:rsidP="00D641E1">
            <w:pPr>
              <w:spacing w:line="360" w:lineRule="auto"/>
              <w:jc w:val="center"/>
              <w:rPr>
                <w:rFonts w:ascii="Garamond" w:hAnsi="Garamond"/>
                <w:b/>
                <w:sz w:val="20"/>
              </w:rPr>
            </w:pPr>
            <w:r w:rsidRPr="00B70147">
              <w:rPr>
                <w:rFonts w:ascii="Garamond" w:hAnsi="Garamond"/>
                <w:sz w:val="20"/>
              </w:rPr>
              <w:t>0.11</w:t>
            </w:r>
            <w:r>
              <w:rPr>
                <w:rFonts w:ascii="Garamond" w:hAnsi="Garamond"/>
                <w:sz w:val="20"/>
              </w:rPr>
              <w:t xml:space="preserve"> (0.06)</w:t>
            </w:r>
          </w:p>
        </w:tc>
        <w:tc>
          <w:tcPr>
            <w:tcW w:w="1086" w:type="dxa"/>
            <w:tcBorders>
              <w:top w:val="nil"/>
              <w:left w:val="nil"/>
              <w:bottom w:val="nil"/>
              <w:right w:val="nil"/>
            </w:tcBorders>
            <w:vAlign w:val="center"/>
          </w:tcPr>
          <w:p w14:paraId="26668277" w14:textId="6B6D4CB0" w:rsidR="00D641E1" w:rsidRPr="00B70147" w:rsidRDefault="00D641E1" w:rsidP="00D641E1">
            <w:pPr>
              <w:spacing w:after="60" w:line="360" w:lineRule="auto"/>
              <w:jc w:val="center"/>
              <w:rPr>
                <w:rFonts w:ascii="Garamond" w:hAnsi="Garamond"/>
                <w:b/>
                <w:sz w:val="20"/>
              </w:rPr>
            </w:pPr>
            <w:r w:rsidRPr="00B70147">
              <w:rPr>
                <w:rFonts w:ascii="Garamond" w:hAnsi="Garamond"/>
                <w:sz w:val="20"/>
              </w:rPr>
              <w:t>1.0</w:t>
            </w:r>
            <w:r>
              <w:rPr>
                <w:rFonts w:ascii="Garamond" w:hAnsi="Garamond"/>
                <w:sz w:val="20"/>
              </w:rPr>
              <w:t>6 (0.08)</w:t>
            </w:r>
          </w:p>
        </w:tc>
      </w:tr>
      <w:tr w:rsidR="00D641E1" w14:paraId="5FA7D8A6" w14:textId="77777777" w:rsidTr="00962D21">
        <w:tc>
          <w:tcPr>
            <w:tcW w:w="3686" w:type="dxa"/>
            <w:tcBorders>
              <w:top w:val="nil"/>
              <w:left w:val="nil"/>
              <w:bottom w:val="nil"/>
              <w:right w:val="nil"/>
            </w:tcBorders>
            <w:vAlign w:val="center"/>
          </w:tcPr>
          <w:p w14:paraId="545D77F4" w14:textId="77777777" w:rsidR="00D641E1" w:rsidRPr="008530F5" w:rsidRDefault="00D641E1" w:rsidP="00D641E1">
            <w:pPr>
              <w:pStyle w:val="ListParagraph"/>
              <w:numPr>
                <w:ilvl w:val="0"/>
                <w:numId w:val="18"/>
              </w:numPr>
              <w:spacing w:line="360" w:lineRule="auto"/>
              <w:ind w:left="318" w:hanging="284"/>
              <w:rPr>
                <w:rFonts w:ascii="Garamond" w:hAnsi="Garamond"/>
                <w:b/>
                <w:sz w:val="20"/>
                <w:szCs w:val="20"/>
              </w:rPr>
            </w:pPr>
            <w:r w:rsidRPr="008530F5">
              <w:rPr>
                <w:rFonts w:ascii="Garamond" w:eastAsia="Times New Roman" w:hAnsi="Garamond" w:cs="Calibri"/>
                <w:color w:val="000000"/>
                <w:sz w:val="20"/>
                <w:szCs w:val="20"/>
                <w:lang w:eastAsia="en-GB"/>
              </w:rPr>
              <w:t>There was little I could do to stop worrying</w:t>
            </w:r>
          </w:p>
        </w:tc>
        <w:tc>
          <w:tcPr>
            <w:tcW w:w="1134" w:type="dxa"/>
            <w:tcBorders>
              <w:top w:val="nil"/>
              <w:left w:val="nil"/>
              <w:bottom w:val="nil"/>
              <w:right w:val="nil"/>
            </w:tcBorders>
            <w:vAlign w:val="center"/>
          </w:tcPr>
          <w:p w14:paraId="20CFAE79" w14:textId="0D8185DC" w:rsidR="00D641E1" w:rsidRPr="00B70147" w:rsidRDefault="00D641E1" w:rsidP="00D641E1">
            <w:pPr>
              <w:spacing w:after="60" w:line="360" w:lineRule="auto"/>
              <w:jc w:val="center"/>
              <w:rPr>
                <w:rFonts w:ascii="Garamond" w:hAnsi="Garamond"/>
                <w:b/>
                <w:sz w:val="20"/>
              </w:rPr>
            </w:pPr>
            <w:r>
              <w:rPr>
                <w:rFonts w:ascii="Garamond" w:hAnsi="Garamond"/>
                <w:sz w:val="20"/>
              </w:rPr>
              <w:t>4.02 (0.30)</w:t>
            </w:r>
          </w:p>
        </w:tc>
        <w:tc>
          <w:tcPr>
            <w:tcW w:w="1134" w:type="dxa"/>
            <w:tcBorders>
              <w:top w:val="nil"/>
              <w:left w:val="nil"/>
              <w:bottom w:val="nil"/>
              <w:right w:val="nil"/>
            </w:tcBorders>
            <w:vAlign w:val="center"/>
          </w:tcPr>
          <w:p w14:paraId="5A6521D6" w14:textId="36878BC5" w:rsidR="00D641E1" w:rsidRPr="00B70147" w:rsidRDefault="00D641E1" w:rsidP="00D641E1">
            <w:pPr>
              <w:spacing w:after="60" w:line="360" w:lineRule="auto"/>
              <w:jc w:val="center"/>
              <w:rPr>
                <w:rFonts w:ascii="Garamond" w:hAnsi="Garamond"/>
                <w:b/>
                <w:sz w:val="20"/>
              </w:rPr>
            </w:pPr>
            <w:r w:rsidRPr="00B70147">
              <w:rPr>
                <w:rFonts w:ascii="Garamond" w:hAnsi="Garamond"/>
                <w:sz w:val="20"/>
              </w:rPr>
              <w:t>-1.07</w:t>
            </w:r>
            <w:r>
              <w:rPr>
                <w:rFonts w:ascii="Garamond" w:hAnsi="Garamond"/>
                <w:sz w:val="20"/>
              </w:rPr>
              <w:t xml:space="preserve"> (0.08)</w:t>
            </w:r>
          </w:p>
        </w:tc>
        <w:tc>
          <w:tcPr>
            <w:tcW w:w="1134" w:type="dxa"/>
            <w:tcBorders>
              <w:top w:val="nil"/>
              <w:left w:val="nil"/>
              <w:bottom w:val="nil"/>
              <w:right w:val="nil"/>
            </w:tcBorders>
            <w:vAlign w:val="center"/>
          </w:tcPr>
          <w:p w14:paraId="74CFEC53" w14:textId="5BABA1AF" w:rsidR="00D641E1" w:rsidRPr="00B70147" w:rsidRDefault="00D641E1" w:rsidP="00D641E1">
            <w:pPr>
              <w:spacing w:after="60" w:line="360" w:lineRule="auto"/>
              <w:jc w:val="center"/>
              <w:rPr>
                <w:rFonts w:ascii="Garamond" w:hAnsi="Garamond"/>
                <w:b/>
                <w:sz w:val="20"/>
              </w:rPr>
            </w:pPr>
            <w:r w:rsidRPr="00B70147">
              <w:rPr>
                <w:rFonts w:ascii="Garamond" w:hAnsi="Garamond"/>
                <w:sz w:val="20"/>
              </w:rPr>
              <w:t>-0.2</w:t>
            </w:r>
            <w:r>
              <w:rPr>
                <w:rFonts w:ascii="Garamond" w:hAnsi="Garamond"/>
                <w:sz w:val="20"/>
              </w:rPr>
              <w:t>2 (0.06)</w:t>
            </w:r>
          </w:p>
        </w:tc>
        <w:tc>
          <w:tcPr>
            <w:tcW w:w="1134" w:type="dxa"/>
            <w:tcBorders>
              <w:top w:val="nil"/>
              <w:left w:val="nil"/>
              <w:bottom w:val="nil"/>
              <w:right w:val="nil"/>
            </w:tcBorders>
            <w:vAlign w:val="center"/>
          </w:tcPr>
          <w:p w14:paraId="67AA2755" w14:textId="14F85616" w:rsidR="00D641E1" w:rsidRPr="00B70147" w:rsidRDefault="00D641E1" w:rsidP="00D641E1">
            <w:pPr>
              <w:spacing w:after="60" w:line="360" w:lineRule="auto"/>
              <w:jc w:val="center"/>
              <w:rPr>
                <w:rFonts w:ascii="Garamond" w:hAnsi="Garamond"/>
                <w:b/>
                <w:sz w:val="20"/>
              </w:rPr>
            </w:pPr>
            <w:r w:rsidRPr="00B70147">
              <w:rPr>
                <w:rFonts w:ascii="Garamond" w:hAnsi="Garamond"/>
                <w:sz w:val="20"/>
              </w:rPr>
              <w:t>0.57</w:t>
            </w:r>
            <w:r>
              <w:rPr>
                <w:rFonts w:ascii="Garamond" w:hAnsi="Garamond"/>
                <w:sz w:val="20"/>
              </w:rPr>
              <w:t xml:space="preserve"> (0.07)</w:t>
            </w:r>
          </w:p>
        </w:tc>
        <w:tc>
          <w:tcPr>
            <w:tcW w:w="1086" w:type="dxa"/>
            <w:tcBorders>
              <w:top w:val="nil"/>
              <w:left w:val="nil"/>
              <w:bottom w:val="nil"/>
              <w:right w:val="nil"/>
            </w:tcBorders>
            <w:vAlign w:val="center"/>
          </w:tcPr>
          <w:p w14:paraId="05B3D966" w14:textId="49DD03C6" w:rsidR="00D641E1" w:rsidRPr="00B70147" w:rsidRDefault="00D641E1" w:rsidP="00D641E1">
            <w:pPr>
              <w:spacing w:after="60" w:line="360" w:lineRule="auto"/>
              <w:jc w:val="center"/>
              <w:rPr>
                <w:rFonts w:ascii="Garamond" w:hAnsi="Garamond"/>
                <w:b/>
                <w:sz w:val="20"/>
              </w:rPr>
            </w:pPr>
            <w:r w:rsidRPr="00B70147">
              <w:rPr>
                <w:rFonts w:ascii="Garamond" w:hAnsi="Garamond"/>
                <w:sz w:val="20"/>
              </w:rPr>
              <w:t>1.</w:t>
            </w:r>
            <w:r>
              <w:rPr>
                <w:rFonts w:ascii="Garamond" w:hAnsi="Garamond"/>
                <w:sz w:val="20"/>
              </w:rPr>
              <w:t>29 (0.09)</w:t>
            </w:r>
          </w:p>
        </w:tc>
      </w:tr>
      <w:tr w:rsidR="00D641E1" w14:paraId="632E8141" w14:textId="77777777" w:rsidTr="00962D21">
        <w:tc>
          <w:tcPr>
            <w:tcW w:w="3686" w:type="dxa"/>
            <w:tcBorders>
              <w:top w:val="nil"/>
              <w:left w:val="nil"/>
              <w:bottom w:val="nil"/>
              <w:right w:val="nil"/>
            </w:tcBorders>
            <w:vAlign w:val="center"/>
          </w:tcPr>
          <w:p w14:paraId="452F33CB" w14:textId="03540B1F" w:rsidR="00D641E1" w:rsidRPr="008530F5" w:rsidRDefault="00D641E1" w:rsidP="00D641E1">
            <w:pPr>
              <w:pStyle w:val="ListParagraph"/>
              <w:numPr>
                <w:ilvl w:val="0"/>
                <w:numId w:val="18"/>
              </w:numPr>
              <w:spacing w:line="360" w:lineRule="auto"/>
              <w:ind w:left="318" w:hanging="284"/>
              <w:rPr>
                <w:rFonts w:ascii="Garamond" w:hAnsi="Garamond"/>
                <w:b/>
                <w:sz w:val="20"/>
                <w:szCs w:val="20"/>
              </w:rPr>
            </w:pPr>
            <w:r w:rsidRPr="008530F5">
              <w:rPr>
                <w:rFonts w:ascii="Garamond" w:eastAsia="Times New Roman" w:hAnsi="Garamond" w:cs="Calibri"/>
                <w:color w:val="000000"/>
                <w:sz w:val="20"/>
                <w:szCs w:val="20"/>
                <w:lang w:eastAsia="en-GB"/>
              </w:rPr>
              <w:t>I have been worrying even though I didn’t</w:t>
            </w:r>
            <w:r>
              <w:rPr>
                <w:rFonts w:ascii="Garamond" w:eastAsia="Times New Roman" w:hAnsi="Garamond" w:cs="Calibri"/>
                <w:color w:val="000000"/>
                <w:sz w:val="20"/>
                <w:szCs w:val="20"/>
                <w:lang w:eastAsia="en-GB"/>
              </w:rPr>
              <w:t xml:space="preserve"> </w:t>
            </w:r>
            <w:r w:rsidRPr="008530F5">
              <w:rPr>
                <w:rFonts w:ascii="Garamond" w:eastAsia="Times New Roman" w:hAnsi="Garamond" w:cs="Calibri"/>
                <w:color w:val="000000"/>
                <w:sz w:val="20"/>
                <w:szCs w:val="20"/>
                <w:lang w:eastAsia="en-GB"/>
              </w:rPr>
              <w:t>want to</w:t>
            </w:r>
          </w:p>
        </w:tc>
        <w:tc>
          <w:tcPr>
            <w:tcW w:w="1134" w:type="dxa"/>
            <w:tcBorders>
              <w:top w:val="nil"/>
              <w:left w:val="nil"/>
              <w:bottom w:val="nil"/>
              <w:right w:val="nil"/>
            </w:tcBorders>
            <w:vAlign w:val="center"/>
          </w:tcPr>
          <w:p w14:paraId="3EE2C445" w14:textId="2DF3FBF1" w:rsidR="00D641E1" w:rsidRPr="00B70147" w:rsidRDefault="00D641E1" w:rsidP="00D641E1">
            <w:pPr>
              <w:spacing w:after="60" w:line="360" w:lineRule="auto"/>
              <w:jc w:val="center"/>
              <w:rPr>
                <w:rFonts w:ascii="Garamond" w:hAnsi="Garamond"/>
                <w:b/>
                <w:sz w:val="20"/>
              </w:rPr>
            </w:pPr>
            <w:r w:rsidRPr="00B70147">
              <w:rPr>
                <w:rFonts w:ascii="Garamond" w:hAnsi="Garamond"/>
                <w:sz w:val="20"/>
              </w:rPr>
              <w:t>5.0</w:t>
            </w:r>
            <w:r>
              <w:rPr>
                <w:rFonts w:ascii="Garamond" w:hAnsi="Garamond"/>
                <w:sz w:val="20"/>
              </w:rPr>
              <w:t>3 (0.40)</w:t>
            </w:r>
          </w:p>
        </w:tc>
        <w:tc>
          <w:tcPr>
            <w:tcW w:w="1134" w:type="dxa"/>
            <w:tcBorders>
              <w:top w:val="nil"/>
              <w:left w:val="nil"/>
              <w:bottom w:val="nil"/>
              <w:right w:val="nil"/>
            </w:tcBorders>
            <w:vAlign w:val="center"/>
          </w:tcPr>
          <w:p w14:paraId="1C905686" w14:textId="37975CB8" w:rsidR="00D641E1" w:rsidRPr="00B70147" w:rsidRDefault="00D641E1" w:rsidP="00D641E1">
            <w:pPr>
              <w:spacing w:after="60" w:line="360" w:lineRule="auto"/>
              <w:jc w:val="center"/>
              <w:rPr>
                <w:rFonts w:ascii="Garamond" w:hAnsi="Garamond"/>
                <w:b/>
                <w:sz w:val="20"/>
              </w:rPr>
            </w:pPr>
            <w:r w:rsidRPr="00B70147">
              <w:rPr>
                <w:rFonts w:ascii="Garamond" w:hAnsi="Garamond"/>
                <w:sz w:val="20"/>
              </w:rPr>
              <w:t>-1.06</w:t>
            </w:r>
            <w:r>
              <w:rPr>
                <w:rFonts w:ascii="Garamond" w:hAnsi="Garamond"/>
                <w:sz w:val="20"/>
              </w:rPr>
              <w:t xml:space="preserve"> (0.08)</w:t>
            </w:r>
          </w:p>
        </w:tc>
        <w:tc>
          <w:tcPr>
            <w:tcW w:w="1134" w:type="dxa"/>
            <w:tcBorders>
              <w:top w:val="nil"/>
              <w:left w:val="nil"/>
              <w:bottom w:val="nil"/>
              <w:right w:val="nil"/>
            </w:tcBorders>
            <w:vAlign w:val="center"/>
          </w:tcPr>
          <w:p w14:paraId="685402C8" w14:textId="0295D842" w:rsidR="00D641E1" w:rsidRPr="00B70147" w:rsidRDefault="00D641E1" w:rsidP="00D641E1">
            <w:pPr>
              <w:spacing w:after="60" w:line="360" w:lineRule="auto"/>
              <w:jc w:val="center"/>
              <w:rPr>
                <w:rFonts w:ascii="Garamond" w:hAnsi="Garamond"/>
                <w:b/>
                <w:sz w:val="20"/>
              </w:rPr>
            </w:pPr>
            <w:r w:rsidRPr="00B70147">
              <w:rPr>
                <w:rFonts w:ascii="Garamond" w:hAnsi="Garamond"/>
                <w:sz w:val="20"/>
              </w:rPr>
              <w:t>-0.51</w:t>
            </w:r>
            <w:r>
              <w:rPr>
                <w:rFonts w:ascii="Garamond" w:hAnsi="Garamond"/>
                <w:sz w:val="20"/>
              </w:rPr>
              <w:t xml:space="preserve"> (0.06)</w:t>
            </w:r>
          </w:p>
        </w:tc>
        <w:tc>
          <w:tcPr>
            <w:tcW w:w="1134" w:type="dxa"/>
            <w:tcBorders>
              <w:top w:val="nil"/>
              <w:left w:val="nil"/>
              <w:bottom w:val="nil"/>
              <w:right w:val="nil"/>
            </w:tcBorders>
            <w:vAlign w:val="center"/>
          </w:tcPr>
          <w:p w14:paraId="79FBA405" w14:textId="1C09D042" w:rsidR="00D641E1" w:rsidRPr="00B70147" w:rsidRDefault="00D641E1" w:rsidP="00D641E1">
            <w:pPr>
              <w:spacing w:after="60" w:line="360" w:lineRule="auto"/>
              <w:jc w:val="center"/>
              <w:rPr>
                <w:rFonts w:ascii="Garamond" w:hAnsi="Garamond"/>
                <w:b/>
                <w:sz w:val="20"/>
              </w:rPr>
            </w:pPr>
            <w:r w:rsidRPr="00B70147">
              <w:rPr>
                <w:rFonts w:ascii="Garamond" w:hAnsi="Garamond"/>
                <w:sz w:val="20"/>
              </w:rPr>
              <w:t>0.2</w:t>
            </w:r>
            <w:r>
              <w:rPr>
                <w:rFonts w:ascii="Garamond" w:hAnsi="Garamond"/>
                <w:sz w:val="20"/>
              </w:rPr>
              <w:t>2 (0.06)</w:t>
            </w:r>
          </w:p>
        </w:tc>
        <w:tc>
          <w:tcPr>
            <w:tcW w:w="1086" w:type="dxa"/>
            <w:tcBorders>
              <w:top w:val="nil"/>
              <w:left w:val="nil"/>
              <w:bottom w:val="nil"/>
              <w:right w:val="nil"/>
            </w:tcBorders>
            <w:vAlign w:val="center"/>
          </w:tcPr>
          <w:p w14:paraId="45D04D33" w14:textId="4179C25C" w:rsidR="00D641E1" w:rsidRPr="00B70147" w:rsidRDefault="00D641E1" w:rsidP="00D641E1">
            <w:pPr>
              <w:spacing w:after="60" w:line="360" w:lineRule="auto"/>
              <w:jc w:val="center"/>
              <w:rPr>
                <w:rFonts w:ascii="Garamond" w:hAnsi="Garamond"/>
                <w:b/>
                <w:sz w:val="20"/>
              </w:rPr>
            </w:pPr>
            <w:r w:rsidRPr="00B70147">
              <w:rPr>
                <w:rFonts w:ascii="Garamond" w:hAnsi="Garamond"/>
                <w:sz w:val="20"/>
              </w:rPr>
              <w:t>1.2</w:t>
            </w:r>
            <w:r>
              <w:rPr>
                <w:rFonts w:ascii="Garamond" w:hAnsi="Garamond"/>
                <w:sz w:val="20"/>
              </w:rPr>
              <w:t>4 (0.08)</w:t>
            </w:r>
          </w:p>
        </w:tc>
      </w:tr>
      <w:tr w:rsidR="00D641E1" w14:paraId="44AB23F7" w14:textId="77777777" w:rsidTr="00962D21">
        <w:tc>
          <w:tcPr>
            <w:tcW w:w="3686" w:type="dxa"/>
            <w:tcBorders>
              <w:top w:val="nil"/>
              <w:left w:val="nil"/>
              <w:bottom w:val="nil"/>
              <w:right w:val="nil"/>
            </w:tcBorders>
            <w:vAlign w:val="center"/>
          </w:tcPr>
          <w:p w14:paraId="0A2191C1" w14:textId="77777777" w:rsidR="00D641E1" w:rsidRPr="008530F5" w:rsidRDefault="00D641E1" w:rsidP="00D641E1">
            <w:pPr>
              <w:pStyle w:val="ListParagraph"/>
              <w:numPr>
                <w:ilvl w:val="0"/>
                <w:numId w:val="18"/>
              </w:numPr>
              <w:spacing w:line="360" w:lineRule="auto"/>
              <w:ind w:left="318" w:hanging="284"/>
              <w:rPr>
                <w:rFonts w:ascii="Garamond" w:hAnsi="Garamond"/>
                <w:b/>
                <w:sz w:val="20"/>
                <w:szCs w:val="20"/>
              </w:rPr>
            </w:pPr>
            <w:r w:rsidRPr="008530F5">
              <w:rPr>
                <w:rFonts w:ascii="Garamond" w:eastAsia="Times New Roman" w:hAnsi="Garamond" w:cs="Calibri"/>
                <w:color w:val="000000"/>
                <w:sz w:val="20"/>
                <w:szCs w:val="20"/>
                <w:lang w:eastAsia="en-GB"/>
              </w:rPr>
              <w:t>Worry has stopped me focussing on important things in my day</w:t>
            </w:r>
          </w:p>
        </w:tc>
        <w:tc>
          <w:tcPr>
            <w:tcW w:w="1134" w:type="dxa"/>
            <w:tcBorders>
              <w:top w:val="nil"/>
              <w:left w:val="nil"/>
              <w:bottom w:val="nil"/>
              <w:right w:val="nil"/>
            </w:tcBorders>
            <w:vAlign w:val="center"/>
          </w:tcPr>
          <w:p w14:paraId="44E1453F" w14:textId="74D48D79" w:rsidR="00D641E1" w:rsidRPr="00B70147" w:rsidRDefault="00D641E1" w:rsidP="00D641E1">
            <w:pPr>
              <w:spacing w:after="60" w:line="360" w:lineRule="auto"/>
              <w:jc w:val="center"/>
              <w:rPr>
                <w:rFonts w:ascii="Garamond" w:hAnsi="Garamond"/>
                <w:b/>
                <w:sz w:val="20"/>
              </w:rPr>
            </w:pPr>
            <w:r w:rsidRPr="00B70147">
              <w:rPr>
                <w:rFonts w:ascii="Garamond" w:hAnsi="Garamond"/>
                <w:sz w:val="20"/>
              </w:rPr>
              <w:t>3.4</w:t>
            </w:r>
            <w:r>
              <w:rPr>
                <w:rFonts w:ascii="Garamond" w:hAnsi="Garamond"/>
                <w:sz w:val="20"/>
              </w:rPr>
              <w:t>9 (0.26)</w:t>
            </w:r>
          </w:p>
        </w:tc>
        <w:tc>
          <w:tcPr>
            <w:tcW w:w="1134" w:type="dxa"/>
            <w:tcBorders>
              <w:top w:val="nil"/>
              <w:left w:val="nil"/>
              <w:bottom w:val="nil"/>
              <w:right w:val="nil"/>
            </w:tcBorders>
            <w:vAlign w:val="center"/>
          </w:tcPr>
          <w:p w14:paraId="112A5B34" w14:textId="6B2E2AE3" w:rsidR="00D641E1" w:rsidRPr="00B70147" w:rsidRDefault="00D641E1" w:rsidP="00D641E1">
            <w:pPr>
              <w:spacing w:after="60" w:line="360" w:lineRule="auto"/>
              <w:jc w:val="center"/>
              <w:rPr>
                <w:rFonts w:ascii="Garamond" w:hAnsi="Garamond"/>
                <w:b/>
                <w:sz w:val="20"/>
              </w:rPr>
            </w:pPr>
            <w:r w:rsidRPr="00B70147">
              <w:rPr>
                <w:rFonts w:ascii="Garamond" w:hAnsi="Garamond"/>
                <w:sz w:val="20"/>
              </w:rPr>
              <w:t>-0.76</w:t>
            </w:r>
            <w:r>
              <w:rPr>
                <w:rFonts w:ascii="Garamond" w:hAnsi="Garamond"/>
                <w:sz w:val="20"/>
              </w:rPr>
              <w:t xml:space="preserve"> (0.08)</w:t>
            </w:r>
          </w:p>
        </w:tc>
        <w:tc>
          <w:tcPr>
            <w:tcW w:w="1134" w:type="dxa"/>
            <w:tcBorders>
              <w:top w:val="nil"/>
              <w:left w:val="nil"/>
              <w:bottom w:val="nil"/>
              <w:right w:val="nil"/>
            </w:tcBorders>
            <w:vAlign w:val="center"/>
          </w:tcPr>
          <w:p w14:paraId="20F9A126" w14:textId="02F23B0C" w:rsidR="00D641E1" w:rsidRPr="00B70147" w:rsidRDefault="00D641E1" w:rsidP="00D641E1">
            <w:pPr>
              <w:spacing w:after="60" w:line="360" w:lineRule="auto"/>
              <w:jc w:val="center"/>
              <w:rPr>
                <w:rFonts w:ascii="Garamond" w:hAnsi="Garamond"/>
                <w:b/>
                <w:sz w:val="20"/>
              </w:rPr>
            </w:pPr>
            <w:r w:rsidRPr="00B70147">
              <w:rPr>
                <w:rFonts w:ascii="Garamond" w:hAnsi="Garamond"/>
                <w:sz w:val="20"/>
              </w:rPr>
              <w:t>-0.0</w:t>
            </w:r>
            <w:r>
              <w:rPr>
                <w:rFonts w:ascii="Garamond" w:hAnsi="Garamond"/>
                <w:sz w:val="20"/>
              </w:rPr>
              <w:t>8 (0.06)</w:t>
            </w:r>
          </w:p>
        </w:tc>
        <w:tc>
          <w:tcPr>
            <w:tcW w:w="1134" w:type="dxa"/>
            <w:tcBorders>
              <w:top w:val="nil"/>
              <w:left w:val="nil"/>
              <w:bottom w:val="nil"/>
              <w:right w:val="nil"/>
            </w:tcBorders>
            <w:vAlign w:val="center"/>
          </w:tcPr>
          <w:p w14:paraId="23A7FEAE" w14:textId="4396DC0F" w:rsidR="00D641E1" w:rsidRPr="00B70147" w:rsidRDefault="00D641E1" w:rsidP="00D641E1">
            <w:pPr>
              <w:spacing w:after="60" w:line="360" w:lineRule="auto"/>
              <w:jc w:val="center"/>
              <w:rPr>
                <w:rFonts w:ascii="Garamond" w:hAnsi="Garamond"/>
                <w:b/>
                <w:sz w:val="20"/>
              </w:rPr>
            </w:pPr>
            <w:r w:rsidRPr="00B70147">
              <w:rPr>
                <w:rFonts w:ascii="Garamond" w:hAnsi="Garamond"/>
                <w:sz w:val="20"/>
              </w:rPr>
              <w:t>0.6</w:t>
            </w:r>
            <w:r>
              <w:rPr>
                <w:rFonts w:ascii="Garamond" w:hAnsi="Garamond"/>
                <w:sz w:val="20"/>
              </w:rPr>
              <w:t>0 (0.07)</w:t>
            </w:r>
          </w:p>
        </w:tc>
        <w:tc>
          <w:tcPr>
            <w:tcW w:w="1086" w:type="dxa"/>
            <w:tcBorders>
              <w:top w:val="nil"/>
              <w:left w:val="nil"/>
              <w:bottom w:val="nil"/>
              <w:right w:val="nil"/>
            </w:tcBorders>
            <w:vAlign w:val="center"/>
          </w:tcPr>
          <w:p w14:paraId="7EE224CF" w14:textId="4453AC1B" w:rsidR="00D641E1" w:rsidRPr="00B70147" w:rsidRDefault="00D641E1" w:rsidP="00D641E1">
            <w:pPr>
              <w:spacing w:after="60" w:line="360" w:lineRule="auto"/>
              <w:jc w:val="center"/>
              <w:rPr>
                <w:rFonts w:ascii="Garamond" w:hAnsi="Garamond"/>
                <w:b/>
                <w:sz w:val="20"/>
              </w:rPr>
            </w:pPr>
            <w:r w:rsidRPr="00B70147">
              <w:rPr>
                <w:rFonts w:ascii="Garamond" w:hAnsi="Garamond"/>
                <w:sz w:val="20"/>
              </w:rPr>
              <w:t>1.5</w:t>
            </w:r>
            <w:r>
              <w:rPr>
                <w:rFonts w:ascii="Garamond" w:hAnsi="Garamond"/>
                <w:sz w:val="20"/>
              </w:rPr>
              <w:t>7 (0.11)</w:t>
            </w:r>
          </w:p>
        </w:tc>
      </w:tr>
      <w:tr w:rsidR="00D641E1" w14:paraId="3CC0CC88" w14:textId="77777777" w:rsidTr="00962D21">
        <w:tc>
          <w:tcPr>
            <w:tcW w:w="3686" w:type="dxa"/>
            <w:tcBorders>
              <w:top w:val="nil"/>
              <w:left w:val="nil"/>
              <w:bottom w:val="nil"/>
              <w:right w:val="nil"/>
            </w:tcBorders>
            <w:vAlign w:val="center"/>
          </w:tcPr>
          <w:p w14:paraId="748FA3DA" w14:textId="77777777" w:rsidR="00D641E1" w:rsidRPr="008530F5" w:rsidRDefault="00D641E1" w:rsidP="00D641E1">
            <w:pPr>
              <w:pStyle w:val="ListParagraph"/>
              <w:numPr>
                <w:ilvl w:val="0"/>
                <w:numId w:val="18"/>
              </w:numPr>
              <w:spacing w:line="360" w:lineRule="auto"/>
              <w:ind w:left="318" w:hanging="284"/>
              <w:rPr>
                <w:rFonts w:ascii="Garamond" w:hAnsi="Garamond"/>
                <w:b/>
                <w:sz w:val="20"/>
                <w:szCs w:val="20"/>
              </w:rPr>
            </w:pPr>
            <w:r w:rsidRPr="008530F5">
              <w:rPr>
                <w:rFonts w:ascii="Garamond" w:eastAsia="Times New Roman" w:hAnsi="Garamond" w:cs="Calibri"/>
                <w:color w:val="000000"/>
                <w:sz w:val="20"/>
                <w:szCs w:val="20"/>
                <w:lang w:eastAsia="en-GB"/>
              </w:rPr>
              <w:t>Worry has stopped me sleeping</w:t>
            </w:r>
          </w:p>
        </w:tc>
        <w:tc>
          <w:tcPr>
            <w:tcW w:w="1134" w:type="dxa"/>
            <w:tcBorders>
              <w:top w:val="nil"/>
              <w:left w:val="nil"/>
              <w:bottom w:val="nil"/>
              <w:right w:val="nil"/>
            </w:tcBorders>
            <w:vAlign w:val="center"/>
          </w:tcPr>
          <w:p w14:paraId="458DDC54" w14:textId="30E6BB22" w:rsidR="00D641E1" w:rsidRPr="00B70147" w:rsidRDefault="00D641E1" w:rsidP="00D641E1">
            <w:pPr>
              <w:spacing w:after="60" w:line="360" w:lineRule="auto"/>
              <w:jc w:val="center"/>
              <w:rPr>
                <w:rFonts w:ascii="Garamond" w:hAnsi="Garamond"/>
                <w:b/>
                <w:sz w:val="20"/>
              </w:rPr>
            </w:pPr>
            <w:r w:rsidRPr="00B70147">
              <w:rPr>
                <w:rFonts w:ascii="Garamond" w:hAnsi="Garamond"/>
                <w:sz w:val="20"/>
              </w:rPr>
              <w:t>1.9</w:t>
            </w:r>
            <w:r>
              <w:rPr>
                <w:rFonts w:ascii="Garamond" w:hAnsi="Garamond"/>
                <w:sz w:val="20"/>
              </w:rPr>
              <w:t>8 (0.16)</w:t>
            </w:r>
          </w:p>
        </w:tc>
        <w:tc>
          <w:tcPr>
            <w:tcW w:w="1134" w:type="dxa"/>
            <w:tcBorders>
              <w:top w:val="nil"/>
              <w:left w:val="nil"/>
              <w:bottom w:val="nil"/>
              <w:right w:val="nil"/>
            </w:tcBorders>
            <w:vAlign w:val="center"/>
          </w:tcPr>
          <w:p w14:paraId="6E4A5F59" w14:textId="5D3B60C8" w:rsidR="00D641E1" w:rsidRPr="00B70147" w:rsidRDefault="00D641E1" w:rsidP="00D641E1">
            <w:pPr>
              <w:spacing w:after="60" w:line="360" w:lineRule="auto"/>
              <w:jc w:val="center"/>
              <w:rPr>
                <w:rFonts w:ascii="Garamond" w:hAnsi="Garamond"/>
                <w:b/>
                <w:sz w:val="20"/>
              </w:rPr>
            </w:pPr>
            <w:r w:rsidRPr="00B70147">
              <w:rPr>
                <w:rFonts w:ascii="Garamond" w:hAnsi="Garamond"/>
                <w:sz w:val="20"/>
              </w:rPr>
              <w:t>-0.77</w:t>
            </w:r>
            <w:r>
              <w:rPr>
                <w:rFonts w:ascii="Garamond" w:hAnsi="Garamond"/>
                <w:sz w:val="20"/>
              </w:rPr>
              <w:t xml:space="preserve"> (0.09)</w:t>
            </w:r>
          </w:p>
        </w:tc>
        <w:tc>
          <w:tcPr>
            <w:tcW w:w="1134" w:type="dxa"/>
            <w:tcBorders>
              <w:top w:val="nil"/>
              <w:left w:val="nil"/>
              <w:bottom w:val="nil"/>
              <w:right w:val="nil"/>
            </w:tcBorders>
            <w:vAlign w:val="center"/>
          </w:tcPr>
          <w:p w14:paraId="3638DB8F" w14:textId="7FD9B27A" w:rsidR="00D641E1" w:rsidRPr="00B70147" w:rsidRDefault="00D641E1" w:rsidP="00D641E1">
            <w:pPr>
              <w:spacing w:after="60" w:line="360" w:lineRule="auto"/>
              <w:jc w:val="center"/>
              <w:rPr>
                <w:rFonts w:ascii="Garamond" w:hAnsi="Garamond"/>
                <w:b/>
                <w:sz w:val="20"/>
              </w:rPr>
            </w:pPr>
            <w:r w:rsidRPr="00B70147">
              <w:rPr>
                <w:rFonts w:ascii="Garamond" w:hAnsi="Garamond"/>
                <w:sz w:val="20"/>
              </w:rPr>
              <w:t>0.0</w:t>
            </w:r>
            <w:r>
              <w:rPr>
                <w:rFonts w:ascii="Garamond" w:hAnsi="Garamond"/>
                <w:sz w:val="20"/>
              </w:rPr>
              <w:t>1 (0.08)</w:t>
            </w:r>
          </w:p>
        </w:tc>
        <w:tc>
          <w:tcPr>
            <w:tcW w:w="1134" w:type="dxa"/>
            <w:tcBorders>
              <w:top w:val="nil"/>
              <w:left w:val="nil"/>
              <w:bottom w:val="nil"/>
              <w:right w:val="nil"/>
            </w:tcBorders>
            <w:vAlign w:val="center"/>
          </w:tcPr>
          <w:p w14:paraId="3E4BCB1A" w14:textId="002EEB55" w:rsidR="00D641E1" w:rsidRPr="00B70147" w:rsidRDefault="00D641E1" w:rsidP="00D641E1">
            <w:pPr>
              <w:spacing w:after="60" w:line="360" w:lineRule="auto"/>
              <w:jc w:val="center"/>
              <w:rPr>
                <w:rFonts w:ascii="Garamond" w:hAnsi="Garamond"/>
                <w:b/>
                <w:sz w:val="20"/>
              </w:rPr>
            </w:pPr>
            <w:r w:rsidRPr="00B70147">
              <w:rPr>
                <w:rFonts w:ascii="Garamond" w:hAnsi="Garamond"/>
                <w:sz w:val="20"/>
              </w:rPr>
              <w:t>1.0</w:t>
            </w:r>
            <w:r>
              <w:rPr>
                <w:rFonts w:ascii="Garamond" w:hAnsi="Garamond"/>
                <w:sz w:val="20"/>
              </w:rPr>
              <w:t>1 (0.10)</w:t>
            </w:r>
          </w:p>
        </w:tc>
        <w:tc>
          <w:tcPr>
            <w:tcW w:w="1086" w:type="dxa"/>
            <w:tcBorders>
              <w:top w:val="nil"/>
              <w:left w:val="nil"/>
              <w:bottom w:val="nil"/>
              <w:right w:val="nil"/>
            </w:tcBorders>
            <w:vAlign w:val="center"/>
          </w:tcPr>
          <w:p w14:paraId="7CBB693A" w14:textId="5481E7EF" w:rsidR="00D641E1" w:rsidRPr="00B70147" w:rsidRDefault="00D641E1" w:rsidP="00D641E1">
            <w:pPr>
              <w:spacing w:after="60" w:line="360" w:lineRule="auto"/>
              <w:jc w:val="center"/>
              <w:rPr>
                <w:rFonts w:ascii="Garamond" w:hAnsi="Garamond"/>
                <w:b/>
                <w:sz w:val="20"/>
              </w:rPr>
            </w:pPr>
            <w:r w:rsidRPr="00B70147">
              <w:rPr>
                <w:rFonts w:ascii="Garamond" w:hAnsi="Garamond"/>
                <w:sz w:val="20"/>
              </w:rPr>
              <w:t>1.9</w:t>
            </w:r>
            <w:r>
              <w:rPr>
                <w:rFonts w:ascii="Garamond" w:hAnsi="Garamond"/>
                <w:sz w:val="20"/>
              </w:rPr>
              <w:t>5 (0.16)</w:t>
            </w:r>
          </w:p>
        </w:tc>
      </w:tr>
      <w:tr w:rsidR="00D641E1" w14:paraId="0E032B2C" w14:textId="77777777" w:rsidTr="00962D21">
        <w:tc>
          <w:tcPr>
            <w:tcW w:w="3686" w:type="dxa"/>
            <w:tcBorders>
              <w:top w:val="nil"/>
              <w:left w:val="nil"/>
              <w:bottom w:val="nil"/>
              <w:right w:val="nil"/>
            </w:tcBorders>
            <w:vAlign w:val="center"/>
          </w:tcPr>
          <w:p w14:paraId="4B735DFD" w14:textId="77777777" w:rsidR="00D641E1" w:rsidRPr="008530F5" w:rsidRDefault="00D641E1" w:rsidP="00D641E1">
            <w:pPr>
              <w:pStyle w:val="ListParagraph"/>
              <w:numPr>
                <w:ilvl w:val="0"/>
                <w:numId w:val="18"/>
              </w:numPr>
              <w:spacing w:line="360" w:lineRule="auto"/>
              <w:ind w:left="318" w:hanging="284"/>
              <w:rPr>
                <w:rFonts w:ascii="Garamond" w:hAnsi="Garamond"/>
                <w:b/>
                <w:sz w:val="20"/>
                <w:szCs w:val="20"/>
              </w:rPr>
            </w:pPr>
            <w:r w:rsidRPr="008530F5">
              <w:rPr>
                <w:rFonts w:ascii="Garamond" w:eastAsia="Times New Roman" w:hAnsi="Garamond" w:cs="Calibri"/>
                <w:color w:val="000000"/>
                <w:sz w:val="20"/>
                <w:szCs w:val="20"/>
                <w:lang w:eastAsia="en-GB"/>
              </w:rPr>
              <w:t>Worry has caused me to feel upset</w:t>
            </w:r>
          </w:p>
        </w:tc>
        <w:tc>
          <w:tcPr>
            <w:tcW w:w="1134" w:type="dxa"/>
            <w:tcBorders>
              <w:top w:val="nil"/>
              <w:left w:val="nil"/>
              <w:bottom w:val="nil"/>
              <w:right w:val="nil"/>
            </w:tcBorders>
            <w:vAlign w:val="center"/>
          </w:tcPr>
          <w:p w14:paraId="23E991EC" w14:textId="503D450F" w:rsidR="00D641E1" w:rsidRPr="00B70147" w:rsidRDefault="00D641E1" w:rsidP="00D641E1">
            <w:pPr>
              <w:spacing w:after="60" w:line="360" w:lineRule="auto"/>
              <w:jc w:val="center"/>
              <w:rPr>
                <w:rFonts w:ascii="Garamond" w:hAnsi="Garamond"/>
                <w:b/>
                <w:sz w:val="20"/>
              </w:rPr>
            </w:pPr>
            <w:r w:rsidRPr="00B70147">
              <w:rPr>
                <w:rFonts w:ascii="Garamond" w:hAnsi="Garamond"/>
                <w:sz w:val="20"/>
              </w:rPr>
              <w:t>4.</w:t>
            </w:r>
            <w:r>
              <w:rPr>
                <w:rFonts w:ascii="Garamond" w:hAnsi="Garamond"/>
                <w:sz w:val="20"/>
              </w:rPr>
              <w:t>11 (0.31)</w:t>
            </w:r>
          </w:p>
        </w:tc>
        <w:tc>
          <w:tcPr>
            <w:tcW w:w="1134" w:type="dxa"/>
            <w:tcBorders>
              <w:top w:val="nil"/>
              <w:left w:val="nil"/>
              <w:bottom w:val="nil"/>
              <w:right w:val="nil"/>
            </w:tcBorders>
            <w:vAlign w:val="center"/>
          </w:tcPr>
          <w:p w14:paraId="528FCA7F" w14:textId="638FD37A" w:rsidR="00D641E1" w:rsidRPr="00B70147" w:rsidRDefault="00D641E1" w:rsidP="00D641E1">
            <w:pPr>
              <w:spacing w:after="60" w:line="360" w:lineRule="auto"/>
              <w:jc w:val="center"/>
              <w:rPr>
                <w:rFonts w:ascii="Garamond" w:hAnsi="Garamond"/>
                <w:b/>
                <w:sz w:val="20"/>
              </w:rPr>
            </w:pPr>
            <w:r w:rsidRPr="00B70147">
              <w:rPr>
                <w:rFonts w:ascii="Garamond" w:hAnsi="Garamond"/>
                <w:sz w:val="20"/>
              </w:rPr>
              <w:t>-0.90</w:t>
            </w:r>
            <w:r>
              <w:rPr>
                <w:rFonts w:ascii="Garamond" w:hAnsi="Garamond"/>
                <w:sz w:val="20"/>
              </w:rPr>
              <w:t xml:space="preserve"> (0.08)</w:t>
            </w:r>
          </w:p>
        </w:tc>
        <w:tc>
          <w:tcPr>
            <w:tcW w:w="1134" w:type="dxa"/>
            <w:tcBorders>
              <w:top w:val="nil"/>
              <w:left w:val="nil"/>
              <w:bottom w:val="nil"/>
              <w:right w:val="nil"/>
            </w:tcBorders>
            <w:vAlign w:val="center"/>
          </w:tcPr>
          <w:p w14:paraId="71585A14" w14:textId="5E6F410E" w:rsidR="00D641E1" w:rsidRPr="00B70147" w:rsidRDefault="00D641E1" w:rsidP="00D641E1">
            <w:pPr>
              <w:spacing w:after="60" w:line="360" w:lineRule="auto"/>
              <w:jc w:val="center"/>
              <w:rPr>
                <w:rFonts w:ascii="Garamond" w:hAnsi="Garamond"/>
                <w:b/>
                <w:sz w:val="20"/>
              </w:rPr>
            </w:pPr>
            <w:r w:rsidRPr="00B70147">
              <w:rPr>
                <w:rFonts w:ascii="Garamond" w:hAnsi="Garamond"/>
                <w:sz w:val="20"/>
              </w:rPr>
              <w:t>-0.34</w:t>
            </w:r>
            <w:r>
              <w:rPr>
                <w:rFonts w:ascii="Garamond" w:hAnsi="Garamond"/>
                <w:sz w:val="20"/>
              </w:rPr>
              <w:t xml:space="preserve"> (0.06)</w:t>
            </w:r>
          </w:p>
        </w:tc>
        <w:tc>
          <w:tcPr>
            <w:tcW w:w="1134" w:type="dxa"/>
            <w:tcBorders>
              <w:top w:val="nil"/>
              <w:left w:val="nil"/>
              <w:bottom w:val="nil"/>
              <w:right w:val="nil"/>
            </w:tcBorders>
            <w:vAlign w:val="center"/>
          </w:tcPr>
          <w:p w14:paraId="65849957" w14:textId="6EB06AF7" w:rsidR="00D641E1" w:rsidRPr="00B70147" w:rsidRDefault="00D641E1" w:rsidP="00D641E1">
            <w:pPr>
              <w:spacing w:after="60" w:line="360" w:lineRule="auto"/>
              <w:jc w:val="center"/>
              <w:rPr>
                <w:rFonts w:ascii="Garamond" w:hAnsi="Garamond"/>
                <w:b/>
                <w:sz w:val="20"/>
              </w:rPr>
            </w:pPr>
            <w:r w:rsidRPr="00B70147">
              <w:rPr>
                <w:rFonts w:ascii="Garamond" w:hAnsi="Garamond"/>
                <w:sz w:val="20"/>
              </w:rPr>
              <w:t>0.4</w:t>
            </w:r>
            <w:r>
              <w:rPr>
                <w:rFonts w:ascii="Garamond" w:hAnsi="Garamond"/>
                <w:sz w:val="20"/>
              </w:rPr>
              <w:t>7 (0.07)</w:t>
            </w:r>
          </w:p>
        </w:tc>
        <w:tc>
          <w:tcPr>
            <w:tcW w:w="1086" w:type="dxa"/>
            <w:tcBorders>
              <w:top w:val="nil"/>
              <w:left w:val="nil"/>
              <w:bottom w:val="nil"/>
              <w:right w:val="nil"/>
            </w:tcBorders>
            <w:vAlign w:val="center"/>
          </w:tcPr>
          <w:p w14:paraId="2AFB83FC" w14:textId="2484BFBB" w:rsidR="00D641E1" w:rsidRPr="00B70147" w:rsidRDefault="00D641E1" w:rsidP="00D641E1">
            <w:pPr>
              <w:spacing w:after="60" w:line="360" w:lineRule="auto"/>
              <w:jc w:val="center"/>
              <w:rPr>
                <w:rFonts w:ascii="Garamond" w:hAnsi="Garamond"/>
                <w:b/>
                <w:sz w:val="20"/>
              </w:rPr>
            </w:pPr>
            <w:r w:rsidRPr="00B70147">
              <w:rPr>
                <w:rFonts w:ascii="Garamond" w:hAnsi="Garamond"/>
                <w:sz w:val="20"/>
              </w:rPr>
              <w:t>1.</w:t>
            </w:r>
            <w:r>
              <w:rPr>
                <w:rFonts w:ascii="Garamond" w:hAnsi="Garamond"/>
                <w:sz w:val="20"/>
              </w:rPr>
              <w:t>49 (0.10)</w:t>
            </w:r>
          </w:p>
        </w:tc>
      </w:tr>
      <w:tr w:rsidR="00D641E1" w14:paraId="7955F0FB" w14:textId="77777777" w:rsidTr="00962D21">
        <w:tc>
          <w:tcPr>
            <w:tcW w:w="3686" w:type="dxa"/>
            <w:tcBorders>
              <w:top w:val="nil"/>
              <w:left w:val="nil"/>
              <w:bottom w:val="nil"/>
              <w:right w:val="nil"/>
            </w:tcBorders>
            <w:vAlign w:val="center"/>
          </w:tcPr>
          <w:p w14:paraId="2A9BFB8C" w14:textId="77777777" w:rsidR="00D641E1" w:rsidRPr="008530F5" w:rsidRDefault="00D641E1" w:rsidP="00D641E1">
            <w:pPr>
              <w:pStyle w:val="ListParagraph"/>
              <w:numPr>
                <w:ilvl w:val="0"/>
                <w:numId w:val="18"/>
              </w:numPr>
              <w:spacing w:line="360" w:lineRule="auto"/>
              <w:ind w:left="318" w:hanging="284"/>
              <w:rPr>
                <w:rFonts w:ascii="Garamond" w:hAnsi="Garamond"/>
                <w:b/>
                <w:sz w:val="20"/>
                <w:szCs w:val="20"/>
              </w:rPr>
            </w:pPr>
            <w:r w:rsidRPr="008530F5">
              <w:rPr>
                <w:rFonts w:ascii="Garamond" w:eastAsia="Times New Roman" w:hAnsi="Garamond" w:cs="Calibri"/>
                <w:color w:val="000000"/>
                <w:sz w:val="20"/>
                <w:szCs w:val="20"/>
                <w:lang w:eastAsia="en-GB"/>
              </w:rPr>
              <w:t>Worry has made me feel stressed</w:t>
            </w:r>
          </w:p>
        </w:tc>
        <w:tc>
          <w:tcPr>
            <w:tcW w:w="1134" w:type="dxa"/>
            <w:tcBorders>
              <w:top w:val="nil"/>
              <w:left w:val="nil"/>
              <w:bottom w:val="nil"/>
              <w:right w:val="nil"/>
            </w:tcBorders>
            <w:vAlign w:val="center"/>
          </w:tcPr>
          <w:p w14:paraId="3D0DE50E" w14:textId="3424939A" w:rsidR="00D641E1" w:rsidRPr="00B70147" w:rsidRDefault="00D641E1" w:rsidP="00D641E1">
            <w:pPr>
              <w:spacing w:after="60" w:line="360" w:lineRule="auto"/>
              <w:jc w:val="center"/>
              <w:rPr>
                <w:rFonts w:ascii="Garamond" w:hAnsi="Garamond"/>
                <w:b/>
                <w:sz w:val="20"/>
              </w:rPr>
            </w:pPr>
            <w:r w:rsidRPr="00B70147">
              <w:rPr>
                <w:rFonts w:ascii="Garamond" w:hAnsi="Garamond"/>
                <w:sz w:val="20"/>
              </w:rPr>
              <w:t>4.2</w:t>
            </w:r>
            <w:r>
              <w:rPr>
                <w:rFonts w:ascii="Garamond" w:hAnsi="Garamond"/>
                <w:sz w:val="20"/>
              </w:rPr>
              <w:t>4 (0.32)</w:t>
            </w:r>
          </w:p>
        </w:tc>
        <w:tc>
          <w:tcPr>
            <w:tcW w:w="1134" w:type="dxa"/>
            <w:tcBorders>
              <w:top w:val="nil"/>
              <w:left w:val="nil"/>
              <w:bottom w:val="nil"/>
              <w:right w:val="nil"/>
            </w:tcBorders>
            <w:vAlign w:val="center"/>
          </w:tcPr>
          <w:p w14:paraId="59191098" w14:textId="68A63BA5" w:rsidR="00D641E1" w:rsidRPr="00B70147" w:rsidRDefault="00D641E1" w:rsidP="00D641E1">
            <w:pPr>
              <w:spacing w:after="60" w:line="360" w:lineRule="auto"/>
              <w:jc w:val="center"/>
              <w:rPr>
                <w:rFonts w:ascii="Garamond" w:hAnsi="Garamond"/>
                <w:b/>
                <w:sz w:val="20"/>
              </w:rPr>
            </w:pPr>
            <w:r w:rsidRPr="00B70147">
              <w:rPr>
                <w:rFonts w:ascii="Garamond" w:hAnsi="Garamond"/>
                <w:sz w:val="20"/>
              </w:rPr>
              <w:t>-1.16</w:t>
            </w:r>
            <w:r>
              <w:rPr>
                <w:rFonts w:ascii="Garamond" w:hAnsi="Garamond"/>
                <w:sz w:val="20"/>
              </w:rPr>
              <w:t xml:space="preserve"> (0.09)</w:t>
            </w:r>
          </w:p>
        </w:tc>
        <w:tc>
          <w:tcPr>
            <w:tcW w:w="1134" w:type="dxa"/>
            <w:tcBorders>
              <w:top w:val="nil"/>
              <w:left w:val="nil"/>
              <w:bottom w:val="nil"/>
              <w:right w:val="nil"/>
            </w:tcBorders>
            <w:vAlign w:val="center"/>
          </w:tcPr>
          <w:p w14:paraId="319E6E23" w14:textId="77EC9F56" w:rsidR="00D641E1" w:rsidRPr="00B70147" w:rsidRDefault="00D641E1" w:rsidP="00D641E1">
            <w:pPr>
              <w:spacing w:after="60" w:line="360" w:lineRule="auto"/>
              <w:jc w:val="center"/>
              <w:rPr>
                <w:rFonts w:ascii="Garamond" w:hAnsi="Garamond"/>
                <w:b/>
                <w:sz w:val="20"/>
              </w:rPr>
            </w:pPr>
            <w:r w:rsidRPr="00B70147">
              <w:rPr>
                <w:rFonts w:ascii="Garamond" w:hAnsi="Garamond"/>
                <w:sz w:val="20"/>
              </w:rPr>
              <w:t>-0.59</w:t>
            </w:r>
            <w:r>
              <w:rPr>
                <w:rFonts w:ascii="Garamond" w:hAnsi="Garamond"/>
                <w:sz w:val="20"/>
              </w:rPr>
              <w:t xml:space="preserve"> (0.07)</w:t>
            </w:r>
          </w:p>
        </w:tc>
        <w:tc>
          <w:tcPr>
            <w:tcW w:w="1134" w:type="dxa"/>
            <w:tcBorders>
              <w:top w:val="nil"/>
              <w:left w:val="nil"/>
              <w:bottom w:val="nil"/>
              <w:right w:val="nil"/>
            </w:tcBorders>
            <w:vAlign w:val="center"/>
          </w:tcPr>
          <w:p w14:paraId="25F4032B" w14:textId="47EA2393" w:rsidR="00D641E1" w:rsidRPr="00B70147" w:rsidRDefault="00D641E1" w:rsidP="00D641E1">
            <w:pPr>
              <w:spacing w:after="60" w:line="360" w:lineRule="auto"/>
              <w:jc w:val="center"/>
              <w:rPr>
                <w:rFonts w:ascii="Garamond" w:hAnsi="Garamond"/>
                <w:b/>
                <w:sz w:val="20"/>
              </w:rPr>
            </w:pPr>
            <w:r w:rsidRPr="00B70147">
              <w:rPr>
                <w:rFonts w:ascii="Garamond" w:hAnsi="Garamond"/>
                <w:sz w:val="20"/>
              </w:rPr>
              <w:t>0.22</w:t>
            </w:r>
            <w:r>
              <w:rPr>
                <w:rFonts w:ascii="Garamond" w:hAnsi="Garamond"/>
                <w:sz w:val="20"/>
              </w:rPr>
              <w:t xml:space="preserve"> (0.06)</w:t>
            </w:r>
          </w:p>
        </w:tc>
        <w:tc>
          <w:tcPr>
            <w:tcW w:w="1086" w:type="dxa"/>
            <w:tcBorders>
              <w:top w:val="nil"/>
              <w:left w:val="nil"/>
              <w:bottom w:val="nil"/>
              <w:right w:val="nil"/>
            </w:tcBorders>
            <w:vAlign w:val="center"/>
          </w:tcPr>
          <w:p w14:paraId="1D2A42EB" w14:textId="114D914C" w:rsidR="00D641E1" w:rsidRPr="00B70147" w:rsidRDefault="00D641E1" w:rsidP="00D641E1">
            <w:pPr>
              <w:spacing w:after="60" w:line="360" w:lineRule="auto"/>
              <w:jc w:val="center"/>
              <w:rPr>
                <w:rFonts w:ascii="Garamond" w:hAnsi="Garamond"/>
                <w:b/>
                <w:sz w:val="20"/>
              </w:rPr>
            </w:pPr>
            <w:r w:rsidRPr="00B70147">
              <w:rPr>
                <w:rFonts w:ascii="Garamond" w:hAnsi="Garamond"/>
                <w:sz w:val="20"/>
              </w:rPr>
              <w:t>1.2</w:t>
            </w:r>
            <w:r>
              <w:rPr>
                <w:rFonts w:ascii="Garamond" w:hAnsi="Garamond"/>
                <w:sz w:val="20"/>
              </w:rPr>
              <w:t>3 (0.09)</w:t>
            </w:r>
          </w:p>
        </w:tc>
      </w:tr>
      <w:tr w:rsidR="00D641E1" w14:paraId="03A72F1F" w14:textId="77777777" w:rsidTr="00962D21">
        <w:tc>
          <w:tcPr>
            <w:tcW w:w="3686" w:type="dxa"/>
            <w:tcBorders>
              <w:top w:val="nil"/>
              <w:left w:val="nil"/>
              <w:bottom w:val="nil"/>
              <w:right w:val="nil"/>
            </w:tcBorders>
            <w:vAlign w:val="center"/>
          </w:tcPr>
          <w:p w14:paraId="710AD58D" w14:textId="77777777" w:rsidR="00D641E1" w:rsidRPr="008530F5" w:rsidRDefault="00D641E1" w:rsidP="00D641E1">
            <w:pPr>
              <w:pStyle w:val="ListParagraph"/>
              <w:numPr>
                <w:ilvl w:val="0"/>
                <w:numId w:val="18"/>
              </w:numPr>
              <w:spacing w:line="360" w:lineRule="auto"/>
              <w:ind w:left="318" w:hanging="284"/>
              <w:rPr>
                <w:rFonts w:ascii="Garamond" w:hAnsi="Garamond"/>
                <w:b/>
                <w:sz w:val="20"/>
                <w:szCs w:val="20"/>
              </w:rPr>
            </w:pPr>
            <w:r w:rsidRPr="008530F5">
              <w:rPr>
                <w:rFonts w:ascii="Garamond" w:eastAsia="Times New Roman" w:hAnsi="Garamond" w:cs="Calibri"/>
                <w:color w:val="000000"/>
                <w:sz w:val="20"/>
                <w:szCs w:val="20"/>
                <w:lang w:eastAsia="en-GB"/>
              </w:rPr>
              <w:t>Worry has made me feel anxious</w:t>
            </w:r>
          </w:p>
        </w:tc>
        <w:tc>
          <w:tcPr>
            <w:tcW w:w="1134" w:type="dxa"/>
            <w:tcBorders>
              <w:top w:val="nil"/>
              <w:left w:val="nil"/>
              <w:bottom w:val="nil"/>
              <w:right w:val="nil"/>
            </w:tcBorders>
            <w:vAlign w:val="center"/>
          </w:tcPr>
          <w:p w14:paraId="47AF728A" w14:textId="101A0710" w:rsidR="00D641E1" w:rsidRPr="00B70147" w:rsidRDefault="00D641E1" w:rsidP="00D641E1">
            <w:pPr>
              <w:spacing w:after="60" w:line="360" w:lineRule="auto"/>
              <w:jc w:val="center"/>
              <w:rPr>
                <w:rFonts w:ascii="Garamond" w:hAnsi="Garamond"/>
                <w:b/>
                <w:sz w:val="20"/>
              </w:rPr>
            </w:pPr>
            <w:r w:rsidRPr="00B70147">
              <w:rPr>
                <w:rFonts w:ascii="Garamond" w:hAnsi="Garamond"/>
                <w:sz w:val="20"/>
              </w:rPr>
              <w:t>4.9</w:t>
            </w:r>
            <w:r>
              <w:rPr>
                <w:rFonts w:ascii="Garamond" w:hAnsi="Garamond"/>
                <w:sz w:val="20"/>
              </w:rPr>
              <w:t>2 (0.39)</w:t>
            </w:r>
          </w:p>
        </w:tc>
        <w:tc>
          <w:tcPr>
            <w:tcW w:w="1134" w:type="dxa"/>
            <w:tcBorders>
              <w:top w:val="nil"/>
              <w:left w:val="nil"/>
              <w:bottom w:val="nil"/>
              <w:right w:val="nil"/>
            </w:tcBorders>
            <w:vAlign w:val="center"/>
          </w:tcPr>
          <w:p w14:paraId="30C9FCC3" w14:textId="42ECF0A8" w:rsidR="00D641E1" w:rsidRPr="00B70147" w:rsidRDefault="00D641E1" w:rsidP="00D641E1">
            <w:pPr>
              <w:spacing w:after="60" w:line="360" w:lineRule="auto"/>
              <w:jc w:val="center"/>
              <w:rPr>
                <w:rFonts w:ascii="Garamond" w:hAnsi="Garamond"/>
                <w:b/>
                <w:sz w:val="20"/>
              </w:rPr>
            </w:pPr>
            <w:r w:rsidRPr="00B70147">
              <w:rPr>
                <w:rFonts w:ascii="Garamond" w:hAnsi="Garamond"/>
                <w:sz w:val="20"/>
              </w:rPr>
              <w:t>-1.05</w:t>
            </w:r>
            <w:r>
              <w:rPr>
                <w:rFonts w:ascii="Garamond" w:hAnsi="Garamond"/>
                <w:sz w:val="20"/>
              </w:rPr>
              <w:t xml:space="preserve"> (0.08)</w:t>
            </w:r>
          </w:p>
        </w:tc>
        <w:tc>
          <w:tcPr>
            <w:tcW w:w="1134" w:type="dxa"/>
            <w:tcBorders>
              <w:top w:val="nil"/>
              <w:left w:val="nil"/>
              <w:bottom w:val="nil"/>
              <w:right w:val="nil"/>
            </w:tcBorders>
            <w:vAlign w:val="center"/>
          </w:tcPr>
          <w:p w14:paraId="4FF29C81" w14:textId="26B613B4" w:rsidR="00D641E1" w:rsidRPr="00B70147" w:rsidRDefault="00D641E1" w:rsidP="00D641E1">
            <w:pPr>
              <w:spacing w:after="60" w:line="360" w:lineRule="auto"/>
              <w:jc w:val="center"/>
              <w:rPr>
                <w:rFonts w:ascii="Garamond" w:hAnsi="Garamond"/>
                <w:b/>
                <w:sz w:val="20"/>
              </w:rPr>
            </w:pPr>
            <w:r w:rsidRPr="00B70147">
              <w:rPr>
                <w:rFonts w:ascii="Garamond" w:hAnsi="Garamond"/>
                <w:sz w:val="20"/>
              </w:rPr>
              <w:t>-0.4</w:t>
            </w:r>
            <w:r>
              <w:rPr>
                <w:rFonts w:ascii="Garamond" w:hAnsi="Garamond"/>
                <w:sz w:val="20"/>
              </w:rPr>
              <w:t>6 (0.06)</w:t>
            </w:r>
          </w:p>
        </w:tc>
        <w:tc>
          <w:tcPr>
            <w:tcW w:w="1134" w:type="dxa"/>
            <w:tcBorders>
              <w:top w:val="nil"/>
              <w:left w:val="nil"/>
              <w:bottom w:val="nil"/>
              <w:right w:val="nil"/>
            </w:tcBorders>
            <w:vAlign w:val="center"/>
          </w:tcPr>
          <w:p w14:paraId="296AEEA3" w14:textId="5B2F70E7" w:rsidR="00D641E1" w:rsidRPr="00B70147" w:rsidRDefault="00D641E1" w:rsidP="00D641E1">
            <w:pPr>
              <w:spacing w:after="60" w:line="360" w:lineRule="auto"/>
              <w:jc w:val="center"/>
              <w:rPr>
                <w:rFonts w:ascii="Garamond" w:hAnsi="Garamond"/>
                <w:b/>
                <w:sz w:val="20"/>
              </w:rPr>
            </w:pPr>
            <w:r w:rsidRPr="00B70147">
              <w:rPr>
                <w:rFonts w:ascii="Garamond" w:hAnsi="Garamond"/>
                <w:sz w:val="20"/>
              </w:rPr>
              <w:t>0.21</w:t>
            </w:r>
            <w:r>
              <w:rPr>
                <w:rFonts w:ascii="Garamond" w:hAnsi="Garamond"/>
                <w:sz w:val="20"/>
              </w:rPr>
              <w:t xml:space="preserve"> (0.06)</w:t>
            </w:r>
          </w:p>
        </w:tc>
        <w:tc>
          <w:tcPr>
            <w:tcW w:w="1086" w:type="dxa"/>
            <w:tcBorders>
              <w:top w:val="nil"/>
              <w:left w:val="nil"/>
              <w:bottom w:val="nil"/>
              <w:right w:val="nil"/>
            </w:tcBorders>
            <w:vAlign w:val="center"/>
          </w:tcPr>
          <w:p w14:paraId="06519AAA" w14:textId="38E3A267" w:rsidR="00D641E1" w:rsidRPr="00B70147" w:rsidRDefault="00D641E1" w:rsidP="00D641E1">
            <w:pPr>
              <w:spacing w:after="60" w:line="360" w:lineRule="auto"/>
              <w:jc w:val="center"/>
              <w:rPr>
                <w:rFonts w:ascii="Garamond" w:hAnsi="Garamond"/>
                <w:b/>
                <w:sz w:val="20"/>
              </w:rPr>
            </w:pPr>
            <w:r w:rsidRPr="00B70147">
              <w:rPr>
                <w:rFonts w:ascii="Garamond" w:hAnsi="Garamond"/>
                <w:sz w:val="20"/>
              </w:rPr>
              <w:t>1.1</w:t>
            </w:r>
            <w:r>
              <w:rPr>
                <w:rFonts w:ascii="Garamond" w:hAnsi="Garamond"/>
                <w:sz w:val="20"/>
              </w:rPr>
              <w:t>2 (0.08)</w:t>
            </w:r>
          </w:p>
        </w:tc>
      </w:tr>
      <w:tr w:rsidR="00D641E1" w14:paraId="1C4A34C5" w14:textId="77777777" w:rsidTr="00962D21">
        <w:tc>
          <w:tcPr>
            <w:tcW w:w="3686" w:type="dxa"/>
            <w:tcBorders>
              <w:top w:val="nil"/>
              <w:left w:val="nil"/>
              <w:bottom w:val="single" w:sz="4" w:space="0" w:color="auto"/>
              <w:right w:val="nil"/>
            </w:tcBorders>
            <w:vAlign w:val="center"/>
          </w:tcPr>
          <w:p w14:paraId="3FC7770D" w14:textId="77777777" w:rsidR="00D641E1" w:rsidRPr="008530F5" w:rsidRDefault="00D641E1" w:rsidP="00D641E1">
            <w:pPr>
              <w:pStyle w:val="ListParagraph"/>
              <w:numPr>
                <w:ilvl w:val="0"/>
                <w:numId w:val="18"/>
              </w:numPr>
              <w:spacing w:line="360" w:lineRule="auto"/>
              <w:ind w:left="318" w:hanging="318"/>
              <w:jc w:val="both"/>
              <w:rPr>
                <w:rFonts w:ascii="Garamond" w:hAnsi="Garamond"/>
                <w:b/>
                <w:sz w:val="20"/>
                <w:szCs w:val="20"/>
              </w:rPr>
            </w:pPr>
            <w:r>
              <w:rPr>
                <w:rFonts w:ascii="Garamond" w:eastAsia="Times New Roman" w:hAnsi="Garamond" w:cs="Calibri"/>
                <w:color w:val="000000"/>
                <w:sz w:val="20"/>
                <w:szCs w:val="20"/>
                <w:lang w:eastAsia="en-GB"/>
              </w:rPr>
              <w:t>W</w:t>
            </w:r>
            <w:r w:rsidRPr="008530F5">
              <w:rPr>
                <w:rFonts w:ascii="Garamond" w:eastAsia="Times New Roman" w:hAnsi="Garamond" w:cs="Calibri"/>
                <w:color w:val="000000"/>
                <w:sz w:val="20"/>
                <w:szCs w:val="20"/>
                <w:lang w:eastAsia="en-GB"/>
              </w:rPr>
              <w:t>orry has made me feel hopeless.</w:t>
            </w:r>
          </w:p>
        </w:tc>
        <w:tc>
          <w:tcPr>
            <w:tcW w:w="1134" w:type="dxa"/>
            <w:tcBorders>
              <w:top w:val="nil"/>
              <w:left w:val="nil"/>
              <w:bottom w:val="single" w:sz="4" w:space="0" w:color="auto"/>
              <w:right w:val="nil"/>
            </w:tcBorders>
            <w:vAlign w:val="center"/>
          </w:tcPr>
          <w:p w14:paraId="622F0FCD" w14:textId="3D7EF88C" w:rsidR="00D641E1" w:rsidRPr="00B70147" w:rsidRDefault="00D641E1" w:rsidP="00D641E1">
            <w:pPr>
              <w:spacing w:after="60" w:line="360" w:lineRule="auto"/>
              <w:jc w:val="center"/>
              <w:rPr>
                <w:rFonts w:ascii="Garamond" w:hAnsi="Garamond"/>
                <w:b/>
                <w:sz w:val="20"/>
              </w:rPr>
            </w:pPr>
            <w:r w:rsidRPr="00B70147">
              <w:rPr>
                <w:rFonts w:ascii="Garamond" w:hAnsi="Garamond"/>
                <w:sz w:val="20"/>
              </w:rPr>
              <w:t>3.1</w:t>
            </w:r>
            <w:r>
              <w:rPr>
                <w:rFonts w:ascii="Garamond" w:hAnsi="Garamond"/>
                <w:sz w:val="20"/>
              </w:rPr>
              <w:t>7 (0.24)</w:t>
            </w:r>
          </w:p>
        </w:tc>
        <w:tc>
          <w:tcPr>
            <w:tcW w:w="1134" w:type="dxa"/>
            <w:tcBorders>
              <w:top w:val="nil"/>
              <w:left w:val="nil"/>
              <w:bottom w:val="single" w:sz="4" w:space="0" w:color="auto"/>
              <w:right w:val="nil"/>
            </w:tcBorders>
            <w:vAlign w:val="center"/>
          </w:tcPr>
          <w:p w14:paraId="427E22C2" w14:textId="08F4A93D" w:rsidR="00D641E1" w:rsidRPr="00B70147" w:rsidRDefault="00D641E1" w:rsidP="00D641E1">
            <w:pPr>
              <w:spacing w:after="60" w:line="360" w:lineRule="auto"/>
              <w:jc w:val="center"/>
              <w:rPr>
                <w:rFonts w:ascii="Garamond" w:hAnsi="Garamond"/>
                <w:b/>
                <w:sz w:val="20"/>
              </w:rPr>
            </w:pPr>
            <w:r w:rsidRPr="00B70147">
              <w:rPr>
                <w:rFonts w:ascii="Garamond" w:hAnsi="Garamond"/>
                <w:sz w:val="20"/>
              </w:rPr>
              <w:t>-0.50</w:t>
            </w:r>
            <w:r>
              <w:rPr>
                <w:rFonts w:ascii="Garamond" w:hAnsi="Garamond"/>
                <w:sz w:val="20"/>
              </w:rPr>
              <w:t xml:space="preserve"> (0.07)</w:t>
            </w:r>
          </w:p>
        </w:tc>
        <w:tc>
          <w:tcPr>
            <w:tcW w:w="1134" w:type="dxa"/>
            <w:tcBorders>
              <w:top w:val="nil"/>
              <w:left w:val="nil"/>
              <w:bottom w:val="single" w:sz="4" w:space="0" w:color="auto"/>
              <w:right w:val="nil"/>
            </w:tcBorders>
            <w:vAlign w:val="center"/>
          </w:tcPr>
          <w:p w14:paraId="7C084CE8" w14:textId="704F05B6" w:rsidR="00D641E1" w:rsidRPr="00B70147" w:rsidRDefault="00D641E1" w:rsidP="00D641E1">
            <w:pPr>
              <w:spacing w:after="60" w:line="360" w:lineRule="auto"/>
              <w:jc w:val="center"/>
              <w:rPr>
                <w:rFonts w:ascii="Garamond" w:hAnsi="Garamond"/>
                <w:b/>
                <w:sz w:val="20"/>
              </w:rPr>
            </w:pPr>
            <w:r w:rsidRPr="00B70147">
              <w:rPr>
                <w:rFonts w:ascii="Garamond" w:hAnsi="Garamond"/>
                <w:sz w:val="20"/>
              </w:rPr>
              <w:t>0.1</w:t>
            </w:r>
            <w:r>
              <w:rPr>
                <w:rFonts w:ascii="Garamond" w:hAnsi="Garamond"/>
                <w:sz w:val="20"/>
              </w:rPr>
              <w:t>1 (0.07)</w:t>
            </w:r>
          </w:p>
        </w:tc>
        <w:tc>
          <w:tcPr>
            <w:tcW w:w="1134" w:type="dxa"/>
            <w:tcBorders>
              <w:top w:val="nil"/>
              <w:left w:val="nil"/>
              <w:bottom w:val="single" w:sz="4" w:space="0" w:color="auto"/>
              <w:right w:val="nil"/>
            </w:tcBorders>
            <w:vAlign w:val="center"/>
          </w:tcPr>
          <w:p w14:paraId="657B57B7" w14:textId="31144AF8" w:rsidR="00D641E1" w:rsidRPr="00B70147" w:rsidRDefault="00D641E1" w:rsidP="00D641E1">
            <w:pPr>
              <w:spacing w:after="60" w:line="360" w:lineRule="auto"/>
              <w:jc w:val="center"/>
              <w:rPr>
                <w:rFonts w:ascii="Garamond" w:hAnsi="Garamond"/>
                <w:b/>
                <w:sz w:val="20"/>
              </w:rPr>
            </w:pPr>
            <w:r w:rsidRPr="00B70147">
              <w:rPr>
                <w:rFonts w:ascii="Garamond" w:hAnsi="Garamond"/>
                <w:sz w:val="20"/>
              </w:rPr>
              <w:t>0.7</w:t>
            </w:r>
            <w:r>
              <w:rPr>
                <w:rFonts w:ascii="Garamond" w:hAnsi="Garamond"/>
                <w:sz w:val="20"/>
              </w:rPr>
              <w:t>1 (0.07)</w:t>
            </w:r>
          </w:p>
        </w:tc>
        <w:tc>
          <w:tcPr>
            <w:tcW w:w="1086" w:type="dxa"/>
            <w:tcBorders>
              <w:top w:val="nil"/>
              <w:left w:val="nil"/>
              <w:bottom w:val="single" w:sz="4" w:space="0" w:color="auto"/>
              <w:right w:val="nil"/>
            </w:tcBorders>
            <w:vAlign w:val="center"/>
          </w:tcPr>
          <w:p w14:paraId="47E0F600" w14:textId="232FAA0F" w:rsidR="00D641E1" w:rsidRPr="00B70147" w:rsidRDefault="00D641E1" w:rsidP="00D641E1">
            <w:pPr>
              <w:spacing w:after="60" w:line="360" w:lineRule="auto"/>
              <w:jc w:val="center"/>
              <w:rPr>
                <w:rFonts w:ascii="Garamond" w:hAnsi="Garamond"/>
                <w:b/>
                <w:sz w:val="20"/>
              </w:rPr>
            </w:pPr>
            <w:r w:rsidRPr="00B70147">
              <w:rPr>
                <w:rFonts w:ascii="Garamond" w:hAnsi="Garamond"/>
                <w:sz w:val="20"/>
              </w:rPr>
              <w:t>1.5</w:t>
            </w:r>
            <w:r>
              <w:rPr>
                <w:rFonts w:ascii="Garamond" w:hAnsi="Garamond"/>
                <w:sz w:val="20"/>
              </w:rPr>
              <w:t>5 (0.11)</w:t>
            </w:r>
          </w:p>
        </w:tc>
      </w:tr>
      <w:tr w:rsidR="007C6E71" w14:paraId="44CC3CFB" w14:textId="77777777" w:rsidTr="00962D21">
        <w:tc>
          <w:tcPr>
            <w:tcW w:w="3686" w:type="dxa"/>
            <w:tcBorders>
              <w:top w:val="single" w:sz="4" w:space="0" w:color="auto"/>
              <w:bottom w:val="single" w:sz="4" w:space="0" w:color="auto"/>
            </w:tcBorders>
            <w:vAlign w:val="center"/>
          </w:tcPr>
          <w:p w14:paraId="65D72A14" w14:textId="1780F680" w:rsidR="007C6E71" w:rsidRPr="00B70147" w:rsidRDefault="00226F86" w:rsidP="00E10797">
            <w:pPr>
              <w:spacing w:line="360" w:lineRule="auto"/>
              <w:rPr>
                <w:rFonts w:ascii="Garamond" w:hAnsi="Garamond"/>
                <w:b/>
                <w:sz w:val="20"/>
                <w:szCs w:val="20"/>
              </w:rPr>
            </w:pPr>
            <w:r>
              <w:rPr>
                <w:rFonts w:ascii="Garamond" w:hAnsi="Garamond"/>
                <w:b/>
                <w:sz w:val="20"/>
                <w:szCs w:val="20"/>
              </w:rPr>
              <w:t>Paranoia Worries Questionnaire</w:t>
            </w:r>
          </w:p>
        </w:tc>
        <w:tc>
          <w:tcPr>
            <w:tcW w:w="1134" w:type="dxa"/>
            <w:tcBorders>
              <w:top w:val="single" w:sz="4" w:space="0" w:color="auto"/>
              <w:bottom w:val="single" w:sz="4" w:space="0" w:color="auto"/>
            </w:tcBorders>
            <w:vAlign w:val="center"/>
          </w:tcPr>
          <w:p w14:paraId="0A762A2B" w14:textId="77777777" w:rsidR="007C6E71" w:rsidRDefault="007C6E71" w:rsidP="00E10797">
            <w:pPr>
              <w:spacing w:line="360" w:lineRule="auto"/>
              <w:jc w:val="center"/>
              <w:rPr>
                <w:rFonts w:ascii="Garamond" w:hAnsi="Garamond"/>
                <w:b/>
              </w:rPr>
            </w:pPr>
            <w:r w:rsidRPr="003E2DB0">
              <w:rPr>
                <w:rFonts w:ascii="Garamond" w:eastAsia="Times New Roman" w:hAnsi="Garamond" w:cs="Calibri"/>
                <w:b/>
                <w:i/>
                <w:color w:val="000000"/>
                <w:sz w:val="20"/>
                <w:szCs w:val="20"/>
                <w:lang w:eastAsia="en-GB"/>
              </w:rPr>
              <w:t>a</w:t>
            </w:r>
          </w:p>
        </w:tc>
        <w:tc>
          <w:tcPr>
            <w:tcW w:w="1134" w:type="dxa"/>
            <w:tcBorders>
              <w:top w:val="single" w:sz="4" w:space="0" w:color="auto"/>
              <w:bottom w:val="single" w:sz="4" w:space="0" w:color="auto"/>
            </w:tcBorders>
            <w:vAlign w:val="center"/>
          </w:tcPr>
          <w:p w14:paraId="723C727C" w14:textId="77777777" w:rsidR="007C6E71" w:rsidRDefault="007C6E71" w:rsidP="00E10797">
            <w:pPr>
              <w:spacing w:line="360" w:lineRule="auto"/>
              <w:jc w:val="center"/>
              <w:rPr>
                <w:rFonts w:ascii="Garamond" w:hAnsi="Garamond"/>
                <w:b/>
              </w:rPr>
            </w:pPr>
            <w:r w:rsidRPr="003E2DB0">
              <w:rPr>
                <w:rFonts w:ascii="Garamond" w:eastAsia="Times New Roman" w:hAnsi="Garamond" w:cs="Calibri"/>
                <w:b/>
                <w:i/>
                <w:color w:val="000000"/>
                <w:sz w:val="20"/>
                <w:szCs w:val="20"/>
                <w:lang w:eastAsia="en-GB"/>
              </w:rPr>
              <w:t>b</w:t>
            </w:r>
            <w:r w:rsidRPr="003E2DB0">
              <w:rPr>
                <w:rFonts w:ascii="Garamond" w:eastAsia="Times New Roman" w:hAnsi="Garamond" w:cs="Calibri"/>
                <w:b/>
                <w:i/>
                <w:color w:val="000000"/>
                <w:sz w:val="20"/>
                <w:szCs w:val="20"/>
                <w:vertAlign w:val="subscript"/>
                <w:lang w:eastAsia="en-GB"/>
              </w:rPr>
              <w:t>1</w:t>
            </w:r>
          </w:p>
        </w:tc>
        <w:tc>
          <w:tcPr>
            <w:tcW w:w="1134" w:type="dxa"/>
            <w:tcBorders>
              <w:top w:val="single" w:sz="4" w:space="0" w:color="auto"/>
              <w:bottom w:val="single" w:sz="4" w:space="0" w:color="auto"/>
            </w:tcBorders>
            <w:vAlign w:val="center"/>
          </w:tcPr>
          <w:p w14:paraId="1400E819" w14:textId="77777777" w:rsidR="007C6E71" w:rsidRDefault="007C6E71" w:rsidP="00E10797">
            <w:pPr>
              <w:spacing w:line="360" w:lineRule="auto"/>
              <w:jc w:val="center"/>
              <w:rPr>
                <w:rFonts w:ascii="Garamond" w:hAnsi="Garamond"/>
                <w:b/>
              </w:rPr>
            </w:pPr>
            <w:r w:rsidRPr="003E2DB0">
              <w:rPr>
                <w:rFonts w:ascii="Garamond" w:eastAsia="Times New Roman" w:hAnsi="Garamond" w:cs="Calibri"/>
                <w:b/>
                <w:i/>
                <w:color w:val="000000"/>
                <w:sz w:val="20"/>
                <w:szCs w:val="20"/>
                <w:lang w:eastAsia="en-GB"/>
              </w:rPr>
              <w:t>b</w:t>
            </w:r>
            <w:r w:rsidRPr="003E2DB0">
              <w:rPr>
                <w:rFonts w:ascii="Garamond" w:eastAsia="Times New Roman" w:hAnsi="Garamond" w:cs="Calibri"/>
                <w:b/>
                <w:i/>
                <w:color w:val="000000"/>
                <w:sz w:val="20"/>
                <w:szCs w:val="20"/>
                <w:vertAlign w:val="subscript"/>
                <w:lang w:eastAsia="en-GB"/>
              </w:rPr>
              <w:t>2</w:t>
            </w:r>
          </w:p>
        </w:tc>
        <w:tc>
          <w:tcPr>
            <w:tcW w:w="1134" w:type="dxa"/>
            <w:tcBorders>
              <w:top w:val="single" w:sz="4" w:space="0" w:color="auto"/>
              <w:bottom w:val="single" w:sz="4" w:space="0" w:color="auto"/>
            </w:tcBorders>
            <w:vAlign w:val="center"/>
          </w:tcPr>
          <w:p w14:paraId="01D4D40A" w14:textId="77777777" w:rsidR="007C6E71" w:rsidRDefault="007C6E71" w:rsidP="00E10797">
            <w:pPr>
              <w:spacing w:line="360" w:lineRule="auto"/>
              <w:jc w:val="center"/>
              <w:rPr>
                <w:rFonts w:ascii="Garamond" w:hAnsi="Garamond"/>
                <w:b/>
              </w:rPr>
            </w:pPr>
            <w:r w:rsidRPr="003E2DB0">
              <w:rPr>
                <w:rFonts w:ascii="Garamond" w:eastAsia="Times New Roman" w:hAnsi="Garamond" w:cs="Calibri"/>
                <w:b/>
                <w:i/>
                <w:color w:val="000000"/>
                <w:sz w:val="20"/>
                <w:szCs w:val="20"/>
                <w:lang w:eastAsia="en-GB"/>
              </w:rPr>
              <w:t>b</w:t>
            </w:r>
            <w:r w:rsidRPr="003E2DB0">
              <w:rPr>
                <w:rFonts w:ascii="Garamond" w:eastAsia="Times New Roman" w:hAnsi="Garamond" w:cs="Calibri"/>
                <w:b/>
                <w:i/>
                <w:color w:val="000000"/>
                <w:sz w:val="20"/>
                <w:szCs w:val="20"/>
                <w:vertAlign w:val="subscript"/>
                <w:lang w:eastAsia="en-GB"/>
              </w:rPr>
              <w:t>3</w:t>
            </w:r>
          </w:p>
        </w:tc>
        <w:tc>
          <w:tcPr>
            <w:tcW w:w="1086" w:type="dxa"/>
            <w:tcBorders>
              <w:top w:val="single" w:sz="4" w:space="0" w:color="auto"/>
              <w:bottom w:val="single" w:sz="4" w:space="0" w:color="auto"/>
            </w:tcBorders>
            <w:vAlign w:val="center"/>
          </w:tcPr>
          <w:p w14:paraId="5CD725A6" w14:textId="77777777" w:rsidR="007C6E71" w:rsidRDefault="007C6E71" w:rsidP="00E10797">
            <w:pPr>
              <w:spacing w:line="360" w:lineRule="auto"/>
              <w:jc w:val="center"/>
              <w:rPr>
                <w:rFonts w:ascii="Garamond" w:hAnsi="Garamond"/>
                <w:b/>
              </w:rPr>
            </w:pPr>
            <w:r w:rsidRPr="003E2DB0">
              <w:rPr>
                <w:rFonts w:ascii="Garamond" w:eastAsia="Times New Roman" w:hAnsi="Garamond" w:cs="Calibri"/>
                <w:b/>
                <w:i/>
                <w:color w:val="000000"/>
                <w:sz w:val="20"/>
                <w:szCs w:val="20"/>
                <w:lang w:eastAsia="en-GB"/>
              </w:rPr>
              <w:t>b</w:t>
            </w:r>
            <w:r w:rsidRPr="003E2DB0">
              <w:rPr>
                <w:rFonts w:ascii="Garamond" w:eastAsia="Times New Roman" w:hAnsi="Garamond" w:cs="Calibri"/>
                <w:b/>
                <w:i/>
                <w:color w:val="000000"/>
                <w:sz w:val="20"/>
                <w:szCs w:val="20"/>
                <w:vertAlign w:val="subscript"/>
                <w:lang w:eastAsia="en-GB"/>
              </w:rPr>
              <w:t>4</w:t>
            </w:r>
          </w:p>
        </w:tc>
      </w:tr>
      <w:tr w:rsidR="000C5FAF" w14:paraId="61F83580" w14:textId="77777777" w:rsidTr="00962D21">
        <w:tc>
          <w:tcPr>
            <w:tcW w:w="3686" w:type="dxa"/>
            <w:tcBorders>
              <w:top w:val="single" w:sz="4" w:space="0" w:color="auto"/>
            </w:tcBorders>
            <w:vAlign w:val="center"/>
          </w:tcPr>
          <w:p w14:paraId="6A4C3456" w14:textId="77777777" w:rsidR="000C5FAF" w:rsidRPr="008530F5" w:rsidRDefault="000C5FAF" w:rsidP="000C5FAF">
            <w:pPr>
              <w:pStyle w:val="ListParagraph"/>
              <w:numPr>
                <w:ilvl w:val="0"/>
                <w:numId w:val="19"/>
              </w:numPr>
              <w:spacing w:line="360" w:lineRule="auto"/>
              <w:ind w:left="318" w:hanging="318"/>
              <w:rPr>
                <w:rFonts w:ascii="Garamond" w:hAnsi="Garamond"/>
                <w:b/>
                <w:sz w:val="20"/>
                <w:szCs w:val="20"/>
              </w:rPr>
            </w:pPr>
            <w:r w:rsidRPr="008530F5">
              <w:rPr>
                <w:rFonts w:ascii="Garamond" w:eastAsia="Times New Roman" w:hAnsi="Garamond" w:cs="Calibri"/>
                <w:sz w:val="20"/>
                <w:szCs w:val="20"/>
                <w:lang w:eastAsia="en-GB"/>
              </w:rPr>
              <w:t>I've been worrying about someone trying to harm me</w:t>
            </w:r>
          </w:p>
        </w:tc>
        <w:tc>
          <w:tcPr>
            <w:tcW w:w="1134" w:type="dxa"/>
            <w:tcBorders>
              <w:top w:val="single" w:sz="4" w:space="0" w:color="auto"/>
            </w:tcBorders>
            <w:vAlign w:val="center"/>
          </w:tcPr>
          <w:p w14:paraId="0880A834" w14:textId="42E6BDEA"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7.57</w:t>
            </w:r>
            <w:r>
              <w:rPr>
                <w:rFonts w:ascii="Garamond" w:hAnsi="Garamond" w:cs="Calibri"/>
                <w:color w:val="000000"/>
                <w:sz w:val="20"/>
              </w:rPr>
              <w:t xml:space="preserve"> (0.94)</w:t>
            </w:r>
          </w:p>
        </w:tc>
        <w:tc>
          <w:tcPr>
            <w:tcW w:w="1134" w:type="dxa"/>
            <w:tcBorders>
              <w:top w:val="single" w:sz="4" w:space="0" w:color="auto"/>
            </w:tcBorders>
            <w:vAlign w:val="center"/>
          </w:tcPr>
          <w:p w14:paraId="4AC18804" w14:textId="7AA60D47"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0.57</w:t>
            </w:r>
            <w:r>
              <w:rPr>
                <w:rFonts w:ascii="Garamond" w:hAnsi="Garamond" w:cs="Calibri"/>
                <w:color w:val="000000"/>
                <w:sz w:val="20"/>
              </w:rPr>
              <w:t xml:space="preserve"> (0.06)</w:t>
            </w:r>
          </w:p>
        </w:tc>
        <w:tc>
          <w:tcPr>
            <w:tcW w:w="1134" w:type="dxa"/>
            <w:tcBorders>
              <w:top w:val="single" w:sz="4" w:space="0" w:color="auto"/>
            </w:tcBorders>
            <w:vAlign w:val="center"/>
          </w:tcPr>
          <w:p w14:paraId="7D8BD2F9" w14:textId="0C7E6E2E"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0.91</w:t>
            </w:r>
            <w:r>
              <w:rPr>
                <w:rFonts w:ascii="Garamond" w:hAnsi="Garamond" w:cs="Calibri"/>
                <w:color w:val="000000"/>
                <w:sz w:val="20"/>
              </w:rPr>
              <w:t xml:space="preserve"> (0.06)</w:t>
            </w:r>
          </w:p>
        </w:tc>
        <w:tc>
          <w:tcPr>
            <w:tcW w:w="1134" w:type="dxa"/>
            <w:tcBorders>
              <w:top w:val="single" w:sz="4" w:space="0" w:color="auto"/>
            </w:tcBorders>
            <w:vAlign w:val="center"/>
          </w:tcPr>
          <w:p w14:paraId="78298C45" w14:textId="1250B835"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1.24</w:t>
            </w:r>
            <w:r>
              <w:rPr>
                <w:rFonts w:ascii="Garamond" w:hAnsi="Garamond" w:cs="Calibri"/>
                <w:color w:val="000000"/>
                <w:sz w:val="20"/>
              </w:rPr>
              <w:t xml:space="preserve"> (0.07)</w:t>
            </w:r>
          </w:p>
        </w:tc>
        <w:tc>
          <w:tcPr>
            <w:tcW w:w="1086" w:type="dxa"/>
            <w:tcBorders>
              <w:top w:val="single" w:sz="4" w:space="0" w:color="auto"/>
            </w:tcBorders>
            <w:vAlign w:val="center"/>
          </w:tcPr>
          <w:p w14:paraId="6CF72FF8" w14:textId="4494B3F5"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1.77</w:t>
            </w:r>
            <w:r>
              <w:rPr>
                <w:rFonts w:ascii="Garamond" w:hAnsi="Garamond" w:cs="Calibri"/>
                <w:color w:val="000000"/>
                <w:sz w:val="20"/>
              </w:rPr>
              <w:t xml:space="preserve"> (0.10)</w:t>
            </w:r>
          </w:p>
        </w:tc>
      </w:tr>
      <w:tr w:rsidR="000C5FAF" w14:paraId="503A7912" w14:textId="77777777" w:rsidTr="00962D21">
        <w:tc>
          <w:tcPr>
            <w:tcW w:w="3686" w:type="dxa"/>
            <w:vAlign w:val="center"/>
          </w:tcPr>
          <w:p w14:paraId="0A296BCF" w14:textId="77777777" w:rsidR="000C5FAF" w:rsidRPr="008530F5" w:rsidRDefault="000C5FAF" w:rsidP="000C5FAF">
            <w:pPr>
              <w:pStyle w:val="ListParagraph"/>
              <w:numPr>
                <w:ilvl w:val="0"/>
                <w:numId w:val="19"/>
              </w:numPr>
              <w:spacing w:line="360" w:lineRule="auto"/>
              <w:ind w:left="318" w:hanging="318"/>
              <w:rPr>
                <w:rFonts w:ascii="Garamond" w:hAnsi="Garamond"/>
                <w:b/>
                <w:sz w:val="20"/>
                <w:szCs w:val="20"/>
              </w:rPr>
            </w:pPr>
            <w:r w:rsidRPr="008530F5">
              <w:rPr>
                <w:rFonts w:ascii="Garamond" w:eastAsia="Times New Roman" w:hAnsi="Garamond" w:cs="Calibri"/>
                <w:sz w:val="20"/>
                <w:szCs w:val="20"/>
                <w:lang w:eastAsia="en-GB"/>
              </w:rPr>
              <w:t>Anything and everything has set my mind thinking about people trying to upset me</w:t>
            </w:r>
          </w:p>
        </w:tc>
        <w:tc>
          <w:tcPr>
            <w:tcW w:w="1134" w:type="dxa"/>
            <w:vAlign w:val="center"/>
          </w:tcPr>
          <w:p w14:paraId="7219A4C9" w14:textId="0567ABCB"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5.</w:t>
            </w:r>
            <w:r>
              <w:rPr>
                <w:rFonts w:ascii="Garamond" w:hAnsi="Garamond" w:cs="Calibri"/>
                <w:color w:val="000000"/>
                <w:sz w:val="20"/>
              </w:rPr>
              <w:t>45 (0.59)</w:t>
            </w:r>
          </w:p>
        </w:tc>
        <w:tc>
          <w:tcPr>
            <w:tcW w:w="1134" w:type="dxa"/>
            <w:vAlign w:val="center"/>
          </w:tcPr>
          <w:p w14:paraId="5CD3A2E3" w14:textId="3A4361CE"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0.41</w:t>
            </w:r>
            <w:r>
              <w:rPr>
                <w:rFonts w:ascii="Garamond" w:hAnsi="Garamond" w:cs="Calibri"/>
                <w:color w:val="000000"/>
                <w:sz w:val="20"/>
              </w:rPr>
              <w:t xml:space="preserve"> (0.06)</w:t>
            </w:r>
          </w:p>
        </w:tc>
        <w:tc>
          <w:tcPr>
            <w:tcW w:w="1134" w:type="dxa"/>
            <w:vAlign w:val="center"/>
          </w:tcPr>
          <w:p w14:paraId="3E1CBFA6" w14:textId="5466B950"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0.9</w:t>
            </w:r>
            <w:r>
              <w:rPr>
                <w:rFonts w:ascii="Garamond" w:hAnsi="Garamond" w:cs="Calibri"/>
                <w:color w:val="000000"/>
                <w:sz w:val="20"/>
              </w:rPr>
              <w:t>1 (0.07)</w:t>
            </w:r>
          </w:p>
        </w:tc>
        <w:tc>
          <w:tcPr>
            <w:tcW w:w="1134" w:type="dxa"/>
            <w:vAlign w:val="center"/>
          </w:tcPr>
          <w:p w14:paraId="6FF10D55" w14:textId="443E39B6"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1.40</w:t>
            </w:r>
            <w:r>
              <w:rPr>
                <w:rFonts w:ascii="Garamond" w:hAnsi="Garamond" w:cs="Calibri"/>
                <w:color w:val="000000"/>
                <w:sz w:val="20"/>
              </w:rPr>
              <w:t xml:space="preserve"> (0.08)</w:t>
            </w:r>
          </w:p>
        </w:tc>
        <w:tc>
          <w:tcPr>
            <w:tcW w:w="1086" w:type="dxa"/>
            <w:vAlign w:val="center"/>
          </w:tcPr>
          <w:p w14:paraId="0D996168" w14:textId="7A9BFDAC"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1.</w:t>
            </w:r>
            <w:r>
              <w:rPr>
                <w:rFonts w:ascii="Garamond" w:hAnsi="Garamond" w:cs="Calibri"/>
                <w:color w:val="000000"/>
                <w:sz w:val="20"/>
              </w:rPr>
              <w:t>89 (0.12)</w:t>
            </w:r>
          </w:p>
        </w:tc>
      </w:tr>
      <w:tr w:rsidR="000C5FAF" w14:paraId="1D0583BA" w14:textId="77777777" w:rsidTr="00962D21">
        <w:tc>
          <w:tcPr>
            <w:tcW w:w="3686" w:type="dxa"/>
            <w:vAlign w:val="center"/>
          </w:tcPr>
          <w:p w14:paraId="6E437A68" w14:textId="77777777" w:rsidR="000C5FAF" w:rsidRPr="008530F5" w:rsidRDefault="000C5FAF" w:rsidP="000C5FAF">
            <w:pPr>
              <w:pStyle w:val="ListParagraph"/>
              <w:numPr>
                <w:ilvl w:val="0"/>
                <w:numId w:val="19"/>
              </w:numPr>
              <w:spacing w:line="360" w:lineRule="auto"/>
              <w:ind w:left="318" w:hanging="318"/>
              <w:rPr>
                <w:rFonts w:ascii="Garamond" w:hAnsi="Garamond"/>
                <w:b/>
                <w:sz w:val="20"/>
                <w:szCs w:val="20"/>
              </w:rPr>
            </w:pPr>
            <w:r w:rsidRPr="008530F5">
              <w:rPr>
                <w:rFonts w:ascii="Garamond" w:eastAsia="Times New Roman" w:hAnsi="Garamond" w:cs="Calibri"/>
                <w:sz w:val="20"/>
                <w:szCs w:val="20"/>
                <w:lang w:eastAsia="en-GB"/>
              </w:rPr>
              <w:t>It has been hard to clear my head of suspicions</w:t>
            </w:r>
          </w:p>
        </w:tc>
        <w:tc>
          <w:tcPr>
            <w:tcW w:w="1134" w:type="dxa"/>
            <w:vAlign w:val="center"/>
          </w:tcPr>
          <w:p w14:paraId="2DBBE3F0" w14:textId="682C23FB"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4.1</w:t>
            </w:r>
            <w:r>
              <w:rPr>
                <w:rFonts w:ascii="Garamond" w:hAnsi="Garamond" w:cs="Calibri"/>
                <w:color w:val="000000"/>
                <w:sz w:val="20"/>
              </w:rPr>
              <w:t>0 (0.39)</w:t>
            </w:r>
          </w:p>
        </w:tc>
        <w:tc>
          <w:tcPr>
            <w:tcW w:w="1134" w:type="dxa"/>
            <w:vAlign w:val="center"/>
          </w:tcPr>
          <w:p w14:paraId="1C244748" w14:textId="787FC2DB"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0.27</w:t>
            </w:r>
            <w:r>
              <w:rPr>
                <w:rFonts w:ascii="Garamond" w:hAnsi="Garamond" w:cs="Calibri"/>
                <w:color w:val="000000"/>
                <w:sz w:val="20"/>
              </w:rPr>
              <w:t xml:space="preserve"> (0.06)</w:t>
            </w:r>
          </w:p>
        </w:tc>
        <w:tc>
          <w:tcPr>
            <w:tcW w:w="1134" w:type="dxa"/>
            <w:vAlign w:val="center"/>
          </w:tcPr>
          <w:p w14:paraId="36CF4782" w14:textId="738C7E7D"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0.74</w:t>
            </w:r>
            <w:r>
              <w:rPr>
                <w:rFonts w:ascii="Garamond" w:hAnsi="Garamond" w:cs="Calibri"/>
                <w:color w:val="000000"/>
                <w:sz w:val="20"/>
              </w:rPr>
              <w:t xml:space="preserve"> (0.07)</w:t>
            </w:r>
          </w:p>
        </w:tc>
        <w:tc>
          <w:tcPr>
            <w:tcW w:w="1134" w:type="dxa"/>
            <w:vAlign w:val="center"/>
          </w:tcPr>
          <w:p w14:paraId="48F72277" w14:textId="1E9FE2EC"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1.15</w:t>
            </w:r>
            <w:r>
              <w:rPr>
                <w:rFonts w:ascii="Garamond" w:hAnsi="Garamond" w:cs="Calibri"/>
                <w:color w:val="000000"/>
                <w:sz w:val="20"/>
              </w:rPr>
              <w:t xml:space="preserve"> (0.08)</w:t>
            </w:r>
          </w:p>
        </w:tc>
        <w:tc>
          <w:tcPr>
            <w:tcW w:w="1086" w:type="dxa"/>
            <w:vAlign w:val="center"/>
          </w:tcPr>
          <w:p w14:paraId="4BF1F9B5" w14:textId="529E7AD7"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1.69</w:t>
            </w:r>
            <w:r>
              <w:rPr>
                <w:rFonts w:ascii="Garamond" w:hAnsi="Garamond" w:cs="Calibri"/>
                <w:color w:val="000000"/>
                <w:sz w:val="20"/>
              </w:rPr>
              <w:t xml:space="preserve"> (0.10)</w:t>
            </w:r>
          </w:p>
        </w:tc>
      </w:tr>
      <w:tr w:rsidR="000C5FAF" w14:paraId="42687B8F" w14:textId="77777777" w:rsidTr="00962D21">
        <w:trPr>
          <w:trHeight w:val="423"/>
        </w:trPr>
        <w:tc>
          <w:tcPr>
            <w:tcW w:w="3686" w:type="dxa"/>
            <w:vAlign w:val="center"/>
          </w:tcPr>
          <w:p w14:paraId="779B2A6B" w14:textId="77777777" w:rsidR="000C5FAF" w:rsidRPr="008530F5" w:rsidRDefault="000C5FAF" w:rsidP="000C5FAF">
            <w:pPr>
              <w:pStyle w:val="ListParagraph"/>
              <w:numPr>
                <w:ilvl w:val="0"/>
                <w:numId w:val="19"/>
              </w:numPr>
              <w:spacing w:line="360" w:lineRule="auto"/>
              <w:ind w:left="318" w:hanging="318"/>
              <w:rPr>
                <w:rFonts w:ascii="Garamond" w:hAnsi="Garamond"/>
                <w:b/>
                <w:sz w:val="20"/>
                <w:szCs w:val="20"/>
              </w:rPr>
            </w:pPr>
            <w:r w:rsidRPr="008530F5">
              <w:rPr>
                <w:rFonts w:ascii="Garamond" w:eastAsia="Times New Roman" w:hAnsi="Garamond" w:cs="Calibri"/>
                <w:sz w:val="20"/>
                <w:szCs w:val="20"/>
                <w:lang w:eastAsia="en-GB"/>
              </w:rPr>
              <w:t>Worries about someone trying to harm me have been really hard to control</w:t>
            </w:r>
          </w:p>
        </w:tc>
        <w:tc>
          <w:tcPr>
            <w:tcW w:w="1134" w:type="dxa"/>
            <w:vAlign w:val="center"/>
          </w:tcPr>
          <w:p w14:paraId="16B73F63" w14:textId="0E8D987D" w:rsidR="000C5FAF" w:rsidRPr="00B70147" w:rsidRDefault="000C5FAF" w:rsidP="000C5FAF">
            <w:pPr>
              <w:spacing w:line="360" w:lineRule="auto"/>
              <w:jc w:val="center"/>
              <w:rPr>
                <w:rFonts w:ascii="Garamond" w:hAnsi="Garamond"/>
                <w:b/>
                <w:sz w:val="20"/>
              </w:rPr>
            </w:pPr>
            <w:r>
              <w:rPr>
                <w:rFonts w:ascii="Garamond" w:hAnsi="Garamond" w:cs="Calibri"/>
                <w:color w:val="000000"/>
                <w:sz w:val="20"/>
              </w:rPr>
              <w:t>10.7 (1.72)</w:t>
            </w:r>
          </w:p>
        </w:tc>
        <w:tc>
          <w:tcPr>
            <w:tcW w:w="1134" w:type="dxa"/>
            <w:vAlign w:val="center"/>
          </w:tcPr>
          <w:p w14:paraId="0F077DD4" w14:textId="7D946CAB"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0.73</w:t>
            </w:r>
            <w:r>
              <w:rPr>
                <w:rFonts w:ascii="Garamond" w:hAnsi="Garamond" w:cs="Calibri"/>
                <w:color w:val="000000"/>
                <w:sz w:val="20"/>
              </w:rPr>
              <w:t xml:space="preserve"> (0.06)</w:t>
            </w:r>
          </w:p>
        </w:tc>
        <w:tc>
          <w:tcPr>
            <w:tcW w:w="1134" w:type="dxa"/>
            <w:vAlign w:val="center"/>
          </w:tcPr>
          <w:p w14:paraId="2D72DEB8" w14:textId="759928B9"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1.00</w:t>
            </w:r>
            <w:r>
              <w:rPr>
                <w:rFonts w:ascii="Garamond" w:hAnsi="Garamond" w:cs="Calibri"/>
                <w:color w:val="000000"/>
                <w:sz w:val="20"/>
              </w:rPr>
              <w:t xml:space="preserve"> (0.06)</w:t>
            </w:r>
          </w:p>
        </w:tc>
        <w:tc>
          <w:tcPr>
            <w:tcW w:w="1134" w:type="dxa"/>
            <w:vAlign w:val="center"/>
          </w:tcPr>
          <w:p w14:paraId="2AD7153B" w14:textId="436B535F"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1.29</w:t>
            </w:r>
            <w:r>
              <w:rPr>
                <w:rFonts w:ascii="Garamond" w:hAnsi="Garamond" w:cs="Calibri"/>
                <w:color w:val="000000"/>
                <w:sz w:val="20"/>
              </w:rPr>
              <w:t xml:space="preserve"> (0.07)</w:t>
            </w:r>
          </w:p>
        </w:tc>
        <w:tc>
          <w:tcPr>
            <w:tcW w:w="1086" w:type="dxa"/>
            <w:vAlign w:val="center"/>
          </w:tcPr>
          <w:p w14:paraId="185650DA" w14:textId="13AC0141"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1.66</w:t>
            </w:r>
            <w:r>
              <w:rPr>
                <w:rFonts w:ascii="Garamond" w:hAnsi="Garamond" w:cs="Calibri"/>
                <w:color w:val="000000"/>
                <w:sz w:val="20"/>
              </w:rPr>
              <w:t xml:space="preserve"> (0.09)</w:t>
            </w:r>
          </w:p>
        </w:tc>
      </w:tr>
      <w:tr w:rsidR="000C5FAF" w14:paraId="5730844A" w14:textId="77777777" w:rsidTr="00962D21">
        <w:tc>
          <w:tcPr>
            <w:tcW w:w="3686" w:type="dxa"/>
            <w:vAlign w:val="center"/>
          </w:tcPr>
          <w:p w14:paraId="3D58F7EA" w14:textId="77777777" w:rsidR="000C5FAF" w:rsidRPr="008530F5" w:rsidRDefault="000C5FAF" w:rsidP="000C5FAF">
            <w:pPr>
              <w:pStyle w:val="ListParagraph"/>
              <w:numPr>
                <w:ilvl w:val="0"/>
                <w:numId w:val="19"/>
              </w:numPr>
              <w:spacing w:line="360" w:lineRule="auto"/>
              <w:ind w:left="318" w:hanging="318"/>
              <w:rPr>
                <w:rFonts w:ascii="Garamond" w:hAnsi="Garamond"/>
                <w:b/>
                <w:sz w:val="20"/>
                <w:szCs w:val="20"/>
              </w:rPr>
            </w:pPr>
            <w:r w:rsidRPr="008530F5">
              <w:rPr>
                <w:rFonts w:ascii="Garamond" w:eastAsia="Times New Roman" w:hAnsi="Garamond" w:cs="Calibri"/>
                <w:sz w:val="20"/>
                <w:szCs w:val="20"/>
                <w:lang w:eastAsia="en-GB"/>
              </w:rPr>
              <w:t>Thinking about the possible attacks on me has made me feel stressed</w:t>
            </w:r>
          </w:p>
        </w:tc>
        <w:tc>
          <w:tcPr>
            <w:tcW w:w="1134" w:type="dxa"/>
            <w:vAlign w:val="center"/>
          </w:tcPr>
          <w:p w14:paraId="192B931E" w14:textId="78565107"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9.1</w:t>
            </w:r>
            <w:r>
              <w:rPr>
                <w:rFonts w:ascii="Garamond" w:hAnsi="Garamond" w:cs="Calibri"/>
                <w:color w:val="000000"/>
                <w:sz w:val="20"/>
              </w:rPr>
              <w:t>7 (1.22)</w:t>
            </w:r>
          </w:p>
        </w:tc>
        <w:tc>
          <w:tcPr>
            <w:tcW w:w="1134" w:type="dxa"/>
            <w:vAlign w:val="center"/>
          </w:tcPr>
          <w:p w14:paraId="37B7A7D6" w14:textId="293F8A7A"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0.66</w:t>
            </w:r>
            <w:r>
              <w:rPr>
                <w:rFonts w:ascii="Garamond" w:hAnsi="Garamond" w:cs="Calibri"/>
                <w:color w:val="000000"/>
                <w:sz w:val="20"/>
              </w:rPr>
              <w:t xml:space="preserve"> (0.06)</w:t>
            </w:r>
          </w:p>
        </w:tc>
        <w:tc>
          <w:tcPr>
            <w:tcW w:w="1134" w:type="dxa"/>
            <w:vAlign w:val="center"/>
          </w:tcPr>
          <w:p w14:paraId="1BAE9097" w14:textId="559B516B"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0.89</w:t>
            </w:r>
            <w:r>
              <w:rPr>
                <w:rFonts w:ascii="Garamond" w:hAnsi="Garamond" w:cs="Calibri"/>
                <w:color w:val="000000"/>
                <w:sz w:val="20"/>
              </w:rPr>
              <w:t xml:space="preserve"> (0.06)</w:t>
            </w:r>
          </w:p>
        </w:tc>
        <w:tc>
          <w:tcPr>
            <w:tcW w:w="1134" w:type="dxa"/>
            <w:vAlign w:val="center"/>
          </w:tcPr>
          <w:p w14:paraId="12EDAE26" w14:textId="12DCFDA8"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1.22</w:t>
            </w:r>
            <w:r>
              <w:rPr>
                <w:rFonts w:ascii="Garamond" w:hAnsi="Garamond" w:cs="Calibri"/>
                <w:color w:val="000000"/>
                <w:sz w:val="20"/>
              </w:rPr>
              <w:t xml:space="preserve"> (0.07)</w:t>
            </w:r>
          </w:p>
        </w:tc>
        <w:tc>
          <w:tcPr>
            <w:tcW w:w="1086" w:type="dxa"/>
            <w:vAlign w:val="center"/>
          </w:tcPr>
          <w:p w14:paraId="433EB19C" w14:textId="534B50EB" w:rsidR="000C5FAF" w:rsidRPr="00B70147" w:rsidRDefault="000C5FAF" w:rsidP="000C5FAF">
            <w:pPr>
              <w:spacing w:line="360" w:lineRule="auto"/>
              <w:jc w:val="center"/>
              <w:rPr>
                <w:rFonts w:ascii="Garamond" w:hAnsi="Garamond"/>
                <w:b/>
                <w:sz w:val="20"/>
              </w:rPr>
            </w:pPr>
            <w:r w:rsidRPr="00B70147">
              <w:rPr>
                <w:rFonts w:ascii="Garamond" w:hAnsi="Garamond" w:cs="Calibri"/>
                <w:color w:val="000000"/>
                <w:sz w:val="20"/>
              </w:rPr>
              <w:t>1.72</w:t>
            </w:r>
            <w:r>
              <w:rPr>
                <w:rFonts w:ascii="Garamond" w:hAnsi="Garamond" w:cs="Calibri"/>
                <w:color w:val="000000"/>
                <w:sz w:val="20"/>
              </w:rPr>
              <w:t xml:space="preserve"> (0.10)</w:t>
            </w:r>
          </w:p>
        </w:tc>
      </w:tr>
    </w:tbl>
    <w:p w14:paraId="7B4FE3D2" w14:textId="77777777" w:rsidR="007C6E71" w:rsidRPr="0020369E" w:rsidRDefault="007C6E71" w:rsidP="00E10797">
      <w:pPr>
        <w:tabs>
          <w:tab w:val="left" w:pos="1637"/>
        </w:tabs>
        <w:spacing w:after="0" w:line="360" w:lineRule="auto"/>
        <w:ind w:left="142"/>
        <w:jc w:val="both"/>
        <w:rPr>
          <w:rFonts w:ascii="Garamond" w:hAnsi="Garamond"/>
          <w:sz w:val="18"/>
        </w:rPr>
      </w:pPr>
      <w:r w:rsidRPr="0020369E">
        <w:rPr>
          <w:rFonts w:ascii="Garamond" w:hAnsi="Garamond"/>
          <w:sz w:val="18"/>
        </w:rPr>
        <w:t xml:space="preserve">Note: </w:t>
      </w:r>
      <w:r w:rsidRPr="0020369E">
        <w:rPr>
          <w:rFonts w:ascii="Garamond" w:hAnsi="Garamond"/>
          <w:i/>
          <w:sz w:val="18"/>
        </w:rPr>
        <w:t>a</w:t>
      </w:r>
      <w:r w:rsidRPr="0020369E">
        <w:rPr>
          <w:rFonts w:ascii="Garamond" w:hAnsi="Garamond"/>
          <w:sz w:val="18"/>
        </w:rPr>
        <w:t xml:space="preserve"> = discrimination, </w:t>
      </w:r>
      <w:r w:rsidRPr="0020369E">
        <w:rPr>
          <w:rFonts w:ascii="Garamond" w:hAnsi="Garamond"/>
          <w:i/>
          <w:sz w:val="18"/>
        </w:rPr>
        <w:t>b</w:t>
      </w:r>
      <w:r w:rsidRPr="0020369E">
        <w:rPr>
          <w:rFonts w:ascii="Garamond" w:hAnsi="Garamond"/>
          <w:sz w:val="18"/>
        </w:rPr>
        <w:t xml:space="preserve"> = difficulty parameters at the category thresholds between 0-1 (</w:t>
      </w:r>
      <w:r w:rsidRPr="0020369E">
        <w:rPr>
          <w:rFonts w:ascii="Garamond" w:hAnsi="Garamond"/>
          <w:i/>
          <w:sz w:val="18"/>
        </w:rPr>
        <w:t>b</w:t>
      </w:r>
      <w:r w:rsidRPr="0020369E">
        <w:rPr>
          <w:rFonts w:ascii="Garamond" w:hAnsi="Garamond"/>
          <w:i/>
          <w:sz w:val="18"/>
          <w:vertAlign w:val="subscript"/>
        </w:rPr>
        <w:t>1</w:t>
      </w:r>
      <w:r w:rsidRPr="0020369E">
        <w:rPr>
          <w:rFonts w:ascii="Garamond" w:hAnsi="Garamond"/>
          <w:sz w:val="18"/>
        </w:rPr>
        <w:t>), 1-2 (</w:t>
      </w:r>
      <w:r w:rsidRPr="0020369E">
        <w:rPr>
          <w:rFonts w:ascii="Garamond" w:hAnsi="Garamond"/>
          <w:i/>
          <w:sz w:val="18"/>
        </w:rPr>
        <w:t>b</w:t>
      </w:r>
      <w:r w:rsidRPr="0020369E">
        <w:rPr>
          <w:rFonts w:ascii="Garamond" w:hAnsi="Garamond"/>
          <w:i/>
          <w:sz w:val="18"/>
          <w:vertAlign w:val="subscript"/>
        </w:rPr>
        <w:t>2</w:t>
      </w:r>
      <w:r w:rsidRPr="0020369E">
        <w:rPr>
          <w:rFonts w:ascii="Garamond" w:hAnsi="Garamond"/>
          <w:sz w:val="18"/>
        </w:rPr>
        <w:t>), 2-3 (</w:t>
      </w:r>
      <w:r w:rsidRPr="0020369E">
        <w:rPr>
          <w:rFonts w:ascii="Garamond" w:hAnsi="Garamond"/>
          <w:i/>
          <w:sz w:val="18"/>
        </w:rPr>
        <w:t>b</w:t>
      </w:r>
      <w:r w:rsidRPr="0020369E">
        <w:rPr>
          <w:rFonts w:ascii="Garamond" w:hAnsi="Garamond"/>
          <w:i/>
          <w:sz w:val="18"/>
          <w:vertAlign w:val="subscript"/>
        </w:rPr>
        <w:t>3</w:t>
      </w:r>
      <w:r w:rsidRPr="0020369E">
        <w:rPr>
          <w:rFonts w:ascii="Garamond" w:hAnsi="Garamond"/>
          <w:sz w:val="18"/>
        </w:rPr>
        <w:t>) and 3-4 (</w:t>
      </w:r>
      <w:r w:rsidRPr="0020369E">
        <w:rPr>
          <w:rFonts w:ascii="Garamond" w:hAnsi="Garamond"/>
          <w:i/>
          <w:sz w:val="18"/>
        </w:rPr>
        <w:t>b</w:t>
      </w:r>
      <w:r w:rsidRPr="0020369E">
        <w:rPr>
          <w:rFonts w:ascii="Garamond" w:hAnsi="Garamond"/>
          <w:i/>
          <w:sz w:val="18"/>
          <w:vertAlign w:val="subscript"/>
        </w:rPr>
        <w:t>4</w:t>
      </w:r>
      <w:r w:rsidRPr="0020369E">
        <w:rPr>
          <w:rFonts w:ascii="Garamond" w:hAnsi="Garamond"/>
          <w:sz w:val="18"/>
        </w:rPr>
        <w:t>)</w:t>
      </w:r>
    </w:p>
    <w:p w14:paraId="42E3E06E" w14:textId="77777777" w:rsidR="007C6E71" w:rsidRDefault="007C6E71" w:rsidP="007C6E71">
      <w:pPr>
        <w:rPr>
          <w:rFonts w:ascii="Garamond" w:hAnsi="Garamond"/>
          <w:b/>
          <w:sz w:val="24"/>
          <w:szCs w:val="24"/>
        </w:rPr>
      </w:pPr>
    </w:p>
    <w:p w14:paraId="2BABFA59" w14:textId="77777777" w:rsidR="00E722F7" w:rsidRDefault="00E722F7">
      <w:pPr>
        <w:rPr>
          <w:rFonts w:ascii="Garamond" w:hAnsi="Garamond"/>
          <w:b/>
          <w:sz w:val="24"/>
          <w:szCs w:val="24"/>
        </w:rPr>
      </w:pPr>
    </w:p>
    <w:p w14:paraId="1153FAA0" w14:textId="77777777" w:rsidR="00200B45" w:rsidRDefault="00200B45">
      <w:pPr>
        <w:rPr>
          <w:rFonts w:ascii="Garamond" w:hAnsi="Garamond"/>
          <w:b/>
          <w:sz w:val="24"/>
          <w:szCs w:val="24"/>
        </w:rPr>
      </w:pPr>
    </w:p>
    <w:p w14:paraId="1EEDA273" w14:textId="77777777" w:rsidR="00BC71AF" w:rsidRDefault="00BC71AF">
      <w:pPr>
        <w:rPr>
          <w:rFonts w:ascii="Garamond" w:hAnsi="Garamond"/>
          <w:b/>
        </w:rPr>
      </w:pPr>
      <w:r>
        <w:rPr>
          <w:rFonts w:ascii="Garamond" w:hAnsi="Garamond"/>
          <w:b/>
        </w:rPr>
        <w:br w:type="page"/>
      </w:r>
    </w:p>
    <w:p w14:paraId="14C3601D" w14:textId="6BF940DD" w:rsidR="00E722F7" w:rsidRDefault="00E722F7" w:rsidP="00E722F7">
      <w:pPr>
        <w:spacing w:after="40" w:line="240" w:lineRule="auto"/>
        <w:jc w:val="both"/>
        <w:rPr>
          <w:rFonts w:ascii="Garamond" w:hAnsi="Garamond"/>
        </w:rPr>
      </w:pPr>
      <w:proofErr w:type="gramStart"/>
      <w:r>
        <w:rPr>
          <w:rFonts w:ascii="Garamond" w:hAnsi="Garamond"/>
          <w:b/>
        </w:rPr>
        <w:lastRenderedPageBreak/>
        <w:t>Table 2</w:t>
      </w:r>
      <w:r>
        <w:rPr>
          <w:rFonts w:ascii="Garamond" w:hAnsi="Garamond"/>
        </w:rPr>
        <w:t>.</w:t>
      </w:r>
      <w:proofErr w:type="gramEnd"/>
      <w:r>
        <w:rPr>
          <w:rFonts w:ascii="Garamond" w:hAnsi="Garamond"/>
        </w:rPr>
        <w:t xml:space="preserve"> Bivariate correlations between the DWQ and PWQ with other measures in the cross-validation sample</w:t>
      </w:r>
      <w:r w:rsidR="00056317">
        <w:rPr>
          <w:rFonts w:ascii="Garamond" w:hAnsi="Garamond"/>
        </w:rPr>
        <w:t>s from the general population (n=273) and patients with persecutory delusions (n=79)</w:t>
      </w:r>
      <w:r>
        <w:rPr>
          <w:rFonts w:ascii="Garamond" w:hAnsi="Garamond"/>
        </w:rPr>
        <w:t xml:space="preserve">. </w:t>
      </w:r>
    </w:p>
    <w:p w14:paraId="6AB23832" w14:textId="77777777" w:rsidR="00DA7522" w:rsidRDefault="00DA7522" w:rsidP="00E722F7">
      <w:pPr>
        <w:spacing w:after="40" w:line="240" w:lineRule="auto"/>
        <w:jc w:val="both"/>
        <w:rPr>
          <w:rFonts w:ascii="Garamond" w:hAnsi="Garamond"/>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9"/>
        <w:gridCol w:w="1692"/>
        <w:gridCol w:w="1376"/>
        <w:gridCol w:w="1413"/>
        <w:gridCol w:w="1376"/>
      </w:tblGrid>
      <w:tr w:rsidR="00E722F7" w14:paraId="17A6B487" w14:textId="77777777" w:rsidTr="00E722F7">
        <w:tc>
          <w:tcPr>
            <w:tcW w:w="3159" w:type="dxa"/>
            <w:tcBorders>
              <w:bottom w:val="nil"/>
            </w:tcBorders>
          </w:tcPr>
          <w:p w14:paraId="264AEDD0" w14:textId="77777777" w:rsidR="00E722F7" w:rsidRPr="00AC5F63" w:rsidRDefault="00E722F7" w:rsidP="00E10797">
            <w:pPr>
              <w:spacing w:line="360" w:lineRule="auto"/>
              <w:jc w:val="both"/>
              <w:rPr>
                <w:rFonts w:ascii="Garamond" w:hAnsi="Garamond"/>
              </w:rPr>
            </w:pPr>
          </w:p>
        </w:tc>
        <w:tc>
          <w:tcPr>
            <w:tcW w:w="3068" w:type="dxa"/>
            <w:gridSpan w:val="2"/>
            <w:tcBorders>
              <w:bottom w:val="nil"/>
            </w:tcBorders>
          </w:tcPr>
          <w:p w14:paraId="2391FDA9" w14:textId="77777777" w:rsidR="00E722F7" w:rsidRPr="0045578C" w:rsidRDefault="00E722F7" w:rsidP="00E10797">
            <w:pPr>
              <w:spacing w:line="360" w:lineRule="auto"/>
              <w:jc w:val="center"/>
              <w:rPr>
                <w:rFonts w:ascii="Garamond" w:hAnsi="Garamond"/>
                <w:b/>
                <w:sz w:val="20"/>
                <w:szCs w:val="20"/>
              </w:rPr>
            </w:pPr>
            <w:r w:rsidRPr="0045578C">
              <w:rPr>
                <w:rFonts w:ascii="Garamond" w:hAnsi="Garamond"/>
                <w:b/>
                <w:sz w:val="20"/>
                <w:szCs w:val="20"/>
              </w:rPr>
              <w:t>General Worries (DWQ)</w:t>
            </w:r>
          </w:p>
        </w:tc>
        <w:tc>
          <w:tcPr>
            <w:tcW w:w="2789" w:type="dxa"/>
            <w:gridSpan w:val="2"/>
            <w:tcBorders>
              <w:bottom w:val="nil"/>
            </w:tcBorders>
          </w:tcPr>
          <w:p w14:paraId="32BCFF9B" w14:textId="77777777" w:rsidR="00E722F7" w:rsidRPr="0045578C" w:rsidRDefault="00E722F7" w:rsidP="00E10797">
            <w:pPr>
              <w:spacing w:line="360" w:lineRule="auto"/>
              <w:jc w:val="center"/>
              <w:rPr>
                <w:rFonts w:ascii="Garamond" w:hAnsi="Garamond"/>
                <w:b/>
                <w:sz w:val="20"/>
                <w:szCs w:val="20"/>
              </w:rPr>
            </w:pPr>
            <w:r w:rsidRPr="0045578C">
              <w:rPr>
                <w:rFonts w:ascii="Garamond" w:hAnsi="Garamond"/>
                <w:b/>
                <w:sz w:val="20"/>
                <w:szCs w:val="20"/>
              </w:rPr>
              <w:t>Paranoia Worries (PWQ)</w:t>
            </w:r>
          </w:p>
        </w:tc>
      </w:tr>
      <w:tr w:rsidR="00E722F7" w14:paraId="116A25F6" w14:textId="77777777" w:rsidTr="00E722F7">
        <w:tc>
          <w:tcPr>
            <w:tcW w:w="3159" w:type="dxa"/>
            <w:tcBorders>
              <w:top w:val="nil"/>
              <w:bottom w:val="single" w:sz="4" w:space="0" w:color="auto"/>
            </w:tcBorders>
          </w:tcPr>
          <w:p w14:paraId="71686300" w14:textId="77777777" w:rsidR="00E722F7" w:rsidRPr="00AC5F63" w:rsidRDefault="00E722F7" w:rsidP="00E10797">
            <w:pPr>
              <w:spacing w:line="360" w:lineRule="auto"/>
              <w:jc w:val="both"/>
              <w:rPr>
                <w:rFonts w:ascii="Garamond" w:hAnsi="Garamond"/>
              </w:rPr>
            </w:pPr>
          </w:p>
        </w:tc>
        <w:tc>
          <w:tcPr>
            <w:tcW w:w="1692" w:type="dxa"/>
            <w:tcBorders>
              <w:top w:val="nil"/>
              <w:bottom w:val="single" w:sz="4" w:space="0" w:color="auto"/>
            </w:tcBorders>
          </w:tcPr>
          <w:p w14:paraId="4CAAED89" w14:textId="77777777" w:rsidR="00E722F7" w:rsidRPr="0045578C" w:rsidRDefault="00E722F7" w:rsidP="00E10797">
            <w:pPr>
              <w:spacing w:line="360" w:lineRule="auto"/>
              <w:jc w:val="center"/>
              <w:rPr>
                <w:rFonts w:ascii="Garamond" w:hAnsi="Garamond"/>
                <w:i/>
                <w:sz w:val="20"/>
                <w:szCs w:val="20"/>
              </w:rPr>
            </w:pPr>
            <w:r w:rsidRPr="0045578C">
              <w:rPr>
                <w:rFonts w:ascii="Garamond" w:hAnsi="Garamond"/>
                <w:i/>
                <w:sz w:val="20"/>
                <w:szCs w:val="20"/>
              </w:rPr>
              <w:t>r</w:t>
            </w:r>
          </w:p>
        </w:tc>
        <w:tc>
          <w:tcPr>
            <w:tcW w:w="1376" w:type="dxa"/>
            <w:tcBorders>
              <w:top w:val="nil"/>
              <w:bottom w:val="single" w:sz="4" w:space="0" w:color="auto"/>
            </w:tcBorders>
          </w:tcPr>
          <w:p w14:paraId="54678865" w14:textId="77777777" w:rsidR="00E722F7" w:rsidRPr="0045578C" w:rsidRDefault="00E722F7" w:rsidP="00E10797">
            <w:pPr>
              <w:spacing w:line="360" w:lineRule="auto"/>
              <w:jc w:val="center"/>
              <w:rPr>
                <w:rFonts w:ascii="Garamond" w:hAnsi="Garamond"/>
                <w:i/>
                <w:sz w:val="20"/>
                <w:szCs w:val="20"/>
              </w:rPr>
            </w:pPr>
            <w:r w:rsidRPr="0045578C">
              <w:rPr>
                <w:rFonts w:ascii="Garamond" w:hAnsi="Garamond"/>
                <w:i/>
                <w:sz w:val="20"/>
                <w:szCs w:val="20"/>
              </w:rPr>
              <w:t>p</w:t>
            </w:r>
          </w:p>
        </w:tc>
        <w:tc>
          <w:tcPr>
            <w:tcW w:w="1413" w:type="dxa"/>
            <w:tcBorders>
              <w:top w:val="nil"/>
              <w:bottom w:val="single" w:sz="4" w:space="0" w:color="auto"/>
            </w:tcBorders>
          </w:tcPr>
          <w:p w14:paraId="22E86C8D" w14:textId="77777777" w:rsidR="00E722F7" w:rsidRPr="0045578C" w:rsidRDefault="00E722F7" w:rsidP="00E10797">
            <w:pPr>
              <w:spacing w:line="360" w:lineRule="auto"/>
              <w:jc w:val="center"/>
              <w:rPr>
                <w:rFonts w:ascii="Garamond" w:hAnsi="Garamond"/>
                <w:i/>
                <w:sz w:val="20"/>
                <w:szCs w:val="20"/>
              </w:rPr>
            </w:pPr>
            <w:r w:rsidRPr="0045578C">
              <w:rPr>
                <w:rFonts w:ascii="Garamond" w:hAnsi="Garamond"/>
                <w:i/>
                <w:sz w:val="20"/>
                <w:szCs w:val="20"/>
              </w:rPr>
              <w:t>r</w:t>
            </w:r>
          </w:p>
        </w:tc>
        <w:tc>
          <w:tcPr>
            <w:tcW w:w="1376" w:type="dxa"/>
            <w:tcBorders>
              <w:top w:val="nil"/>
              <w:bottom w:val="single" w:sz="4" w:space="0" w:color="auto"/>
            </w:tcBorders>
          </w:tcPr>
          <w:p w14:paraId="4999193D" w14:textId="77777777" w:rsidR="00E722F7" w:rsidRPr="0045578C" w:rsidRDefault="00E722F7" w:rsidP="00E10797">
            <w:pPr>
              <w:spacing w:line="360" w:lineRule="auto"/>
              <w:jc w:val="center"/>
              <w:rPr>
                <w:rFonts w:ascii="Garamond" w:hAnsi="Garamond"/>
                <w:i/>
                <w:sz w:val="20"/>
                <w:szCs w:val="20"/>
              </w:rPr>
            </w:pPr>
            <w:r w:rsidRPr="0045578C">
              <w:rPr>
                <w:rFonts w:ascii="Garamond" w:hAnsi="Garamond"/>
                <w:i/>
                <w:sz w:val="20"/>
                <w:szCs w:val="20"/>
              </w:rPr>
              <w:t>p</w:t>
            </w:r>
          </w:p>
        </w:tc>
      </w:tr>
      <w:tr w:rsidR="00E722F7" w14:paraId="7F6A1428" w14:textId="77777777" w:rsidTr="00E722F7">
        <w:tc>
          <w:tcPr>
            <w:tcW w:w="3159" w:type="dxa"/>
            <w:tcBorders>
              <w:top w:val="single" w:sz="4" w:space="0" w:color="auto"/>
            </w:tcBorders>
          </w:tcPr>
          <w:p w14:paraId="303EF7F4" w14:textId="1175FE45" w:rsidR="00E722F7" w:rsidRPr="0045578C" w:rsidRDefault="00E722F7" w:rsidP="0005472F">
            <w:pPr>
              <w:spacing w:line="360" w:lineRule="auto"/>
              <w:jc w:val="both"/>
              <w:rPr>
                <w:rFonts w:ascii="Garamond" w:hAnsi="Garamond"/>
                <w:b/>
                <w:sz w:val="20"/>
                <w:szCs w:val="20"/>
              </w:rPr>
            </w:pPr>
            <w:r w:rsidRPr="0045578C">
              <w:rPr>
                <w:rFonts w:ascii="Garamond" w:hAnsi="Garamond"/>
                <w:b/>
                <w:sz w:val="20"/>
                <w:szCs w:val="20"/>
              </w:rPr>
              <w:t xml:space="preserve">General population </w:t>
            </w:r>
            <w:r w:rsidR="0005472F">
              <w:rPr>
                <w:rFonts w:ascii="Garamond" w:hAnsi="Garamond"/>
                <w:b/>
                <w:sz w:val="20"/>
                <w:szCs w:val="20"/>
              </w:rPr>
              <w:t>group</w:t>
            </w:r>
            <w:r w:rsidRPr="0045578C">
              <w:rPr>
                <w:rFonts w:ascii="Garamond" w:hAnsi="Garamond"/>
                <w:b/>
                <w:sz w:val="20"/>
                <w:szCs w:val="20"/>
              </w:rPr>
              <w:t xml:space="preserve"> </w:t>
            </w:r>
          </w:p>
        </w:tc>
        <w:tc>
          <w:tcPr>
            <w:tcW w:w="1692" w:type="dxa"/>
            <w:tcBorders>
              <w:top w:val="single" w:sz="4" w:space="0" w:color="auto"/>
            </w:tcBorders>
          </w:tcPr>
          <w:p w14:paraId="7ABB1E35" w14:textId="77777777" w:rsidR="00E722F7" w:rsidRPr="0045578C" w:rsidRDefault="00E722F7" w:rsidP="00E10797">
            <w:pPr>
              <w:spacing w:line="360" w:lineRule="auto"/>
              <w:jc w:val="center"/>
              <w:rPr>
                <w:rFonts w:ascii="Garamond" w:hAnsi="Garamond"/>
                <w:b/>
                <w:sz w:val="20"/>
                <w:szCs w:val="20"/>
              </w:rPr>
            </w:pPr>
          </w:p>
        </w:tc>
        <w:tc>
          <w:tcPr>
            <w:tcW w:w="1376" w:type="dxa"/>
            <w:tcBorders>
              <w:top w:val="single" w:sz="4" w:space="0" w:color="auto"/>
            </w:tcBorders>
          </w:tcPr>
          <w:p w14:paraId="7782DDE6" w14:textId="77777777" w:rsidR="00E722F7" w:rsidRPr="0045578C" w:rsidRDefault="00E722F7" w:rsidP="00E10797">
            <w:pPr>
              <w:spacing w:line="360" w:lineRule="auto"/>
              <w:jc w:val="center"/>
              <w:rPr>
                <w:rFonts w:ascii="Garamond" w:hAnsi="Garamond"/>
                <w:b/>
                <w:sz w:val="20"/>
                <w:szCs w:val="20"/>
              </w:rPr>
            </w:pPr>
          </w:p>
        </w:tc>
        <w:tc>
          <w:tcPr>
            <w:tcW w:w="1413" w:type="dxa"/>
            <w:tcBorders>
              <w:top w:val="single" w:sz="4" w:space="0" w:color="auto"/>
            </w:tcBorders>
          </w:tcPr>
          <w:p w14:paraId="7287AA20" w14:textId="77777777" w:rsidR="00E722F7" w:rsidRPr="0045578C" w:rsidRDefault="00E722F7" w:rsidP="00E10797">
            <w:pPr>
              <w:spacing w:line="360" w:lineRule="auto"/>
              <w:jc w:val="center"/>
              <w:rPr>
                <w:rFonts w:ascii="Garamond" w:hAnsi="Garamond"/>
                <w:b/>
                <w:sz w:val="20"/>
                <w:szCs w:val="20"/>
              </w:rPr>
            </w:pPr>
          </w:p>
        </w:tc>
        <w:tc>
          <w:tcPr>
            <w:tcW w:w="1376" w:type="dxa"/>
            <w:tcBorders>
              <w:top w:val="single" w:sz="4" w:space="0" w:color="auto"/>
            </w:tcBorders>
          </w:tcPr>
          <w:p w14:paraId="59968B47" w14:textId="77777777" w:rsidR="00E722F7" w:rsidRPr="0045578C" w:rsidRDefault="00E722F7" w:rsidP="00E10797">
            <w:pPr>
              <w:spacing w:line="360" w:lineRule="auto"/>
              <w:jc w:val="center"/>
              <w:rPr>
                <w:rFonts w:ascii="Garamond" w:hAnsi="Garamond"/>
                <w:b/>
                <w:sz w:val="20"/>
                <w:szCs w:val="20"/>
              </w:rPr>
            </w:pPr>
          </w:p>
        </w:tc>
      </w:tr>
      <w:tr w:rsidR="00056317" w14:paraId="0A10E471" w14:textId="77777777" w:rsidTr="00E722F7">
        <w:tc>
          <w:tcPr>
            <w:tcW w:w="3159" w:type="dxa"/>
          </w:tcPr>
          <w:p w14:paraId="23943BEB" w14:textId="77777777" w:rsidR="00056317" w:rsidRPr="0045578C" w:rsidRDefault="00056317" w:rsidP="00056317">
            <w:pPr>
              <w:spacing w:line="360" w:lineRule="auto"/>
              <w:jc w:val="both"/>
              <w:rPr>
                <w:rFonts w:ascii="Garamond" w:hAnsi="Garamond"/>
                <w:sz w:val="20"/>
                <w:szCs w:val="20"/>
              </w:rPr>
            </w:pPr>
            <w:r w:rsidRPr="0045578C">
              <w:rPr>
                <w:rFonts w:ascii="Garamond" w:hAnsi="Garamond"/>
                <w:sz w:val="20"/>
                <w:szCs w:val="20"/>
              </w:rPr>
              <w:t>Paranoia Worries (PWQ)</w:t>
            </w:r>
          </w:p>
        </w:tc>
        <w:tc>
          <w:tcPr>
            <w:tcW w:w="1692" w:type="dxa"/>
          </w:tcPr>
          <w:p w14:paraId="08CB63BE" w14:textId="7028CFE1" w:rsidR="00056317" w:rsidRPr="0045578C" w:rsidRDefault="00056317" w:rsidP="00056317">
            <w:pPr>
              <w:spacing w:line="360" w:lineRule="auto"/>
              <w:jc w:val="center"/>
              <w:rPr>
                <w:rFonts w:ascii="Garamond" w:hAnsi="Garamond"/>
                <w:b/>
                <w:sz w:val="20"/>
                <w:szCs w:val="20"/>
              </w:rPr>
            </w:pPr>
            <w:r w:rsidRPr="0045578C">
              <w:rPr>
                <w:rFonts w:ascii="Garamond" w:hAnsi="Garamond"/>
                <w:sz w:val="20"/>
                <w:szCs w:val="20"/>
              </w:rPr>
              <w:t>0.4</w:t>
            </w:r>
            <w:r>
              <w:rPr>
                <w:rFonts w:ascii="Garamond" w:hAnsi="Garamond"/>
                <w:sz w:val="20"/>
                <w:szCs w:val="20"/>
              </w:rPr>
              <w:t>6</w:t>
            </w:r>
          </w:p>
        </w:tc>
        <w:tc>
          <w:tcPr>
            <w:tcW w:w="1376" w:type="dxa"/>
          </w:tcPr>
          <w:p w14:paraId="7DBE1A6E" w14:textId="0A342844"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&lt; 0.001</w:t>
            </w:r>
          </w:p>
        </w:tc>
        <w:tc>
          <w:tcPr>
            <w:tcW w:w="1413" w:type="dxa"/>
          </w:tcPr>
          <w:p w14:paraId="0108E6D3" w14:textId="77777777" w:rsidR="00056317" w:rsidRPr="0045578C" w:rsidRDefault="00056317" w:rsidP="00056317">
            <w:pPr>
              <w:spacing w:line="360" w:lineRule="auto"/>
              <w:jc w:val="center"/>
              <w:rPr>
                <w:rFonts w:ascii="Garamond" w:hAnsi="Garamond"/>
                <w:sz w:val="20"/>
                <w:szCs w:val="20"/>
              </w:rPr>
            </w:pPr>
          </w:p>
        </w:tc>
        <w:tc>
          <w:tcPr>
            <w:tcW w:w="1376" w:type="dxa"/>
          </w:tcPr>
          <w:p w14:paraId="4D8BDFAE" w14:textId="77777777" w:rsidR="00056317" w:rsidRPr="0045578C" w:rsidRDefault="00056317" w:rsidP="00056317">
            <w:pPr>
              <w:spacing w:line="360" w:lineRule="auto"/>
              <w:jc w:val="center"/>
              <w:rPr>
                <w:rFonts w:ascii="Garamond" w:hAnsi="Garamond"/>
                <w:sz w:val="20"/>
                <w:szCs w:val="20"/>
              </w:rPr>
            </w:pPr>
          </w:p>
        </w:tc>
      </w:tr>
      <w:tr w:rsidR="00056317" w14:paraId="3CD3AE43" w14:textId="77777777" w:rsidTr="00E722F7">
        <w:tc>
          <w:tcPr>
            <w:tcW w:w="3159" w:type="dxa"/>
          </w:tcPr>
          <w:p w14:paraId="451873E7" w14:textId="77777777" w:rsidR="00056317" w:rsidRPr="0045578C" w:rsidRDefault="00056317" w:rsidP="00056317">
            <w:pPr>
              <w:spacing w:line="360" w:lineRule="auto"/>
              <w:jc w:val="both"/>
              <w:rPr>
                <w:rFonts w:ascii="Garamond" w:hAnsi="Garamond"/>
                <w:sz w:val="20"/>
                <w:szCs w:val="20"/>
              </w:rPr>
            </w:pPr>
            <w:r w:rsidRPr="0045578C">
              <w:rPr>
                <w:rFonts w:ascii="Garamond" w:hAnsi="Garamond"/>
                <w:sz w:val="20"/>
                <w:szCs w:val="20"/>
              </w:rPr>
              <w:t>Worry (PSWQ)</w:t>
            </w:r>
          </w:p>
        </w:tc>
        <w:tc>
          <w:tcPr>
            <w:tcW w:w="1692" w:type="dxa"/>
          </w:tcPr>
          <w:p w14:paraId="56234F3D" w14:textId="36D17A33"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0.7</w:t>
            </w:r>
            <w:r>
              <w:rPr>
                <w:rFonts w:ascii="Garamond" w:hAnsi="Garamond"/>
                <w:sz w:val="20"/>
                <w:szCs w:val="20"/>
              </w:rPr>
              <w:t>3</w:t>
            </w:r>
          </w:p>
        </w:tc>
        <w:tc>
          <w:tcPr>
            <w:tcW w:w="1376" w:type="dxa"/>
          </w:tcPr>
          <w:p w14:paraId="23A3CDB3" w14:textId="3338DE6B"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&lt; 0.001</w:t>
            </w:r>
          </w:p>
        </w:tc>
        <w:tc>
          <w:tcPr>
            <w:tcW w:w="1413" w:type="dxa"/>
          </w:tcPr>
          <w:p w14:paraId="5E170D23" w14:textId="10ADC319"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0.4</w:t>
            </w:r>
            <w:r>
              <w:rPr>
                <w:rFonts w:ascii="Garamond" w:hAnsi="Garamond"/>
                <w:sz w:val="20"/>
                <w:szCs w:val="20"/>
              </w:rPr>
              <w:t>1</w:t>
            </w:r>
          </w:p>
        </w:tc>
        <w:tc>
          <w:tcPr>
            <w:tcW w:w="1376" w:type="dxa"/>
          </w:tcPr>
          <w:p w14:paraId="355FF200" w14:textId="413B8FCD"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&lt; 0.001</w:t>
            </w:r>
          </w:p>
        </w:tc>
      </w:tr>
      <w:tr w:rsidR="00056317" w14:paraId="46FAABC2" w14:textId="77777777" w:rsidTr="00E722F7">
        <w:tc>
          <w:tcPr>
            <w:tcW w:w="3159" w:type="dxa"/>
          </w:tcPr>
          <w:p w14:paraId="1FD10607" w14:textId="77777777" w:rsidR="00056317" w:rsidRPr="0045578C" w:rsidRDefault="00056317" w:rsidP="00056317">
            <w:pPr>
              <w:spacing w:line="360" w:lineRule="auto"/>
              <w:jc w:val="both"/>
              <w:rPr>
                <w:rFonts w:ascii="Garamond" w:hAnsi="Garamond"/>
                <w:sz w:val="20"/>
                <w:szCs w:val="20"/>
              </w:rPr>
            </w:pPr>
            <w:r w:rsidRPr="0045578C">
              <w:rPr>
                <w:rFonts w:ascii="Garamond" w:hAnsi="Garamond"/>
                <w:sz w:val="20"/>
                <w:szCs w:val="20"/>
              </w:rPr>
              <w:t>Perseverative Thinking (PTQ)</w:t>
            </w:r>
          </w:p>
        </w:tc>
        <w:tc>
          <w:tcPr>
            <w:tcW w:w="1692" w:type="dxa"/>
          </w:tcPr>
          <w:p w14:paraId="30E0EB2C" w14:textId="512EB3E9"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0.80</w:t>
            </w:r>
          </w:p>
        </w:tc>
        <w:tc>
          <w:tcPr>
            <w:tcW w:w="1376" w:type="dxa"/>
          </w:tcPr>
          <w:p w14:paraId="3FAACC67" w14:textId="55ED7688"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&lt; 0.001</w:t>
            </w:r>
          </w:p>
        </w:tc>
        <w:tc>
          <w:tcPr>
            <w:tcW w:w="1413" w:type="dxa"/>
          </w:tcPr>
          <w:p w14:paraId="167067F5" w14:textId="36355AAA"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0.</w:t>
            </w:r>
            <w:r>
              <w:rPr>
                <w:rFonts w:ascii="Garamond" w:hAnsi="Garamond"/>
                <w:sz w:val="20"/>
                <w:szCs w:val="20"/>
              </w:rPr>
              <w:t>48</w:t>
            </w:r>
          </w:p>
        </w:tc>
        <w:tc>
          <w:tcPr>
            <w:tcW w:w="1376" w:type="dxa"/>
          </w:tcPr>
          <w:p w14:paraId="7150E1FD" w14:textId="3F396CF7"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&lt; 0.001</w:t>
            </w:r>
          </w:p>
        </w:tc>
      </w:tr>
      <w:tr w:rsidR="00056317" w14:paraId="4792B68F" w14:textId="77777777" w:rsidTr="00E722F7">
        <w:tc>
          <w:tcPr>
            <w:tcW w:w="3159" w:type="dxa"/>
          </w:tcPr>
          <w:p w14:paraId="199C0D44" w14:textId="77777777" w:rsidR="00056317" w:rsidRPr="0045578C" w:rsidRDefault="00056317" w:rsidP="00056317">
            <w:pPr>
              <w:spacing w:line="360" w:lineRule="auto"/>
              <w:jc w:val="both"/>
              <w:rPr>
                <w:rFonts w:ascii="Garamond" w:hAnsi="Garamond"/>
                <w:sz w:val="20"/>
                <w:szCs w:val="20"/>
              </w:rPr>
            </w:pPr>
            <w:r w:rsidRPr="0045578C">
              <w:rPr>
                <w:rFonts w:ascii="Garamond" w:hAnsi="Garamond"/>
                <w:sz w:val="20"/>
                <w:szCs w:val="20"/>
              </w:rPr>
              <w:t>Generalised Anxiety (GAD7)</w:t>
            </w:r>
          </w:p>
        </w:tc>
        <w:tc>
          <w:tcPr>
            <w:tcW w:w="1692" w:type="dxa"/>
          </w:tcPr>
          <w:p w14:paraId="12B5B0BD" w14:textId="7EEE5292"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0.7</w:t>
            </w:r>
            <w:r>
              <w:rPr>
                <w:rFonts w:ascii="Garamond" w:hAnsi="Garamond"/>
                <w:sz w:val="20"/>
                <w:szCs w:val="20"/>
              </w:rPr>
              <w:t>2</w:t>
            </w:r>
          </w:p>
        </w:tc>
        <w:tc>
          <w:tcPr>
            <w:tcW w:w="1376" w:type="dxa"/>
          </w:tcPr>
          <w:p w14:paraId="5F49FDA1" w14:textId="6DE17A7E"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&lt; 0.001</w:t>
            </w:r>
          </w:p>
        </w:tc>
        <w:tc>
          <w:tcPr>
            <w:tcW w:w="1413" w:type="dxa"/>
          </w:tcPr>
          <w:p w14:paraId="3493E175" w14:textId="718D4EEA"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0.4</w:t>
            </w:r>
            <w:r>
              <w:rPr>
                <w:rFonts w:ascii="Garamond" w:hAnsi="Garamond"/>
                <w:sz w:val="20"/>
                <w:szCs w:val="20"/>
              </w:rPr>
              <w:t>9</w:t>
            </w:r>
          </w:p>
        </w:tc>
        <w:tc>
          <w:tcPr>
            <w:tcW w:w="1376" w:type="dxa"/>
          </w:tcPr>
          <w:p w14:paraId="283D026C" w14:textId="4B234E28"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&lt; 0.001</w:t>
            </w:r>
          </w:p>
        </w:tc>
      </w:tr>
      <w:tr w:rsidR="00056317" w14:paraId="19FD2B62" w14:textId="77777777" w:rsidTr="00E722F7">
        <w:tc>
          <w:tcPr>
            <w:tcW w:w="3159" w:type="dxa"/>
          </w:tcPr>
          <w:p w14:paraId="6272772B" w14:textId="77777777" w:rsidR="00056317" w:rsidRPr="0045578C" w:rsidRDefault="00056317" w:rsidP="00056317">
            <w:pPr>
              <w:spacing w:line="360" w:lineRule="auto"/>
              <w:jc w:val="both"/>
              <w:rPr>
                <w:rFonts w:ascii="Garamond" w:hAnsi="Garamond"/>
                <w:sz w:val="20"/>
                <w:szCs w:val="20"/>
              </w:rPr>
            </w:pPr>
            <w:r w:rsidRPr="0045578C">
              <w:rPr>
                <w:rFonts w:ascii="Garamond" w:hAnsi="Garamond"/>
                <w:sz w:val="20"/>
                <w:szCs w:val="20"/>
              </w:rPr>
              <w:t>Anxiety (DASS)</w:t>
            </w:r>
          </w:p>
        </w:tc>
        <w:tc>
          <w:tcPr>
            <w:tcW w:w="1692" w:type="dxa"/>
          </w:tcPr>
          <w:p w14:paraId="5C52AA0D" w14:textId="7E65E346"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0.69</w:t>
            </w:r>
          </w:p>
        </w:tc>
        <w:tc>
          <w:tcPr>
            <w:tcW w:w="1376" w:type="dxa"/>
          </w:tcPr>
          <w:p w14:paraId="6A52911B" w14:textId="442D8CE0"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&lt; 0.001</w:t>
            </w:r>
          </w:p>
        </w:tc>
        <w:tc>
          <w:tcPr>
            <w:tcW w:w="1413" w:type="dxa"/>
          </w:tcPr>
          <w:p w14:paraId="7C95B795" w14:textId="7AE47B4C"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0.</w:t>
            </w:r>
            <w:r>
              <w:rPr>
                <w:rFonts w:ascii="Garamond" w:hAnsi="Garamond"/>
                <w:sz w:val="20"/>
                <w:szCs w:val="20"/>
              </w:rPr>
              <w:t>52</w:t>
            </w:r>
          </w:p>
        </w:tc>
        <w:tc>
          <w:tcPr>
            <w:tcW w:w="1376" w:type="dxa"/>
          </w:tcPr>
          <w:p w14:paraId="16B0DC39" w14:textId="003306AA"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&lt; 0.001</w:t>
            </w:r>
          </w:p>
        </w:tc>
      </w:tr>
      <w:tr w:rsidR="00056317" w14:paraId="7789594E" w14:textId="77777777" w:rsidTr="00E722F7">
        <w:tc>
          <w:tcPr>
            <w:tcW w:w="3159" w:type="dxa"/>
          </w:tcPr>
          <w:p w14:paraId="20761CAE" w14:textId="77777777" w:rsidR="00056317" w:rsidRPr="0045578C" w:rsidRDefault="00056317" w:rsidP="00056317">
            <w:pPr>
              <w:spacing w:line="360" w:lineRule="auto"/>
              <w:jc w:val="both"/>
              <w:rPr>
                <w:rFonts w:ascii="Garamond" w:hAnsi="Garamond"/>
                <w:sz w:val="20"/>
                <w:szCs w:val="20"/>
              </w:rPr>
            </w:pPr>
            <w:r w:rsidRPr="0045578C">
              <w:rPr>
                <w:rFonts w:ascii="Garamond" w:hAnsi="Garamond"/>
                <w:sz w:val="20"/>
                <w:szCs w:val="20"/>
              </w:rPr>
              <w:t>Paranoia (GPTS)</w:t>
            </w:r>
          </w:p>
        </w:tc>
        <w:tc>
          <w:tcPr>
            <w:tcW w:w="1692" w:type="dxa"/>
          </w:tcPr>
          <w:p w14:paraId="6E36FD06" w14:textId="70A6F864"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0.4</w:t>
            </w:r>
            <w:r>
              <w:rPr>
                <w:rFonts w:ascii="Garamond" w:hAnsi="Garamond"/>
                <w:sz w:val="20"/>
                <w:szCs w:val="20"/>
              </w:rPr>
              <w:t>2</w:t>
            </w:r>
          </w:p>
        </w:tc>
        <w:tc>
          <w:tcPr>
            <w:tcW w:w="1376" w:type="dxa"/>
          </w:tcPr>
          <w:p w14:paraId="4E95C9C3" w14:textId="57F38478"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&lt; 0.001</w:t>
            </w:r>
          </w:p>
        </w:tc>
        <w:tc>
          <w:tcPr>
            <w:tcW w:w="1413" w:type="dxa"/>
          </w:tcPr>
          <w:p w14:paraId="636A1DF9" w14:textId="5F91EB15"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0.</w:t>
            </w:r>
            <w:r>
              <w:rPr>
                <w:rFonts w:ascii="Garamond" w:hAnsi="Garamond"/>
                <w:sz w:val="20"/>
                <w:szCs w:val="20"/>
              </w:rPr>
              <w:t>80</w:t>
            </w:r>
          </w:p>
        </w:tc>
        <w:tc>
          <w:tcPr>
            <w:tcW w:w="1376" w:type="dxa"/>
          </w:tcPr>
          <w:p w14:paraId="790CB504" w14:textId="6DC11ABF"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&lt; 0.001</w:t>
            </w:r>
          </w:p>
        </w:tc>
      </w:tr>
      <w:tr w:rsidR="00056317" w14:paraId="160B4A5A" w14:textId="77777777" w:rsidTr="00E722F7">
        <w:tc>
          <w:tcPr>
            <w:tcW w:w="3159" w:type="dxa"/>
          </w:tcPr>
          <w:p w14:paraId="6B33F31B" w14:textId="35B30D4D" w:rsidR="00056317" w:rsidRPr="0045578C" w:rsidRDefault="00056317" w:rsidP="00056317">
            <w:pPr>
              <w:spacing w:line="360" w:lineRule="auto"/>
              <w:jc w:val="both"/>
              <w:rPr>
                <w:rFonts w:ascii="Garamond" w:hAnsi="Garamond"/>
                <w:b/>
                <w:sz w:val="20"/>
                <w:szCs w:val="20"/>
              </w:rPr>
            </w:pPr>
            <w:r w:rsidRPr="0045578C">
              <w:rPr>
                <w:rFonts w:ascii="Garamond" w:hAnsi="Garamond"/>
                <w:b/>
                <w:sz w:val="20"/>
                <w:szCs w:val="20"/>
              </w:rPr>
              <w:t xml:space="preserve">Persecutory delusion </w:t>
            </w:r>
            <w:r>
              <w:rPr>
                <w:rFonts w:ascii="Garamond" w:hAnsi="Garamond"/>
                <w:b/>
                <w:sz w:val="20"/>
                <w:szCs w:val="20"/>
              </w:rPr>
              <w:t>group</w:t>
            </w:r>
          </w:p>
        </w:tc>
        <w:tc>
          <w:tcPr>
            <w:tcW w:w="1692" w:type="dxa"/>
          </w:tcPr>
          <w:p w14:paraId="430230B2" w14:textId="77777777" w:rsidR="00056317" w:rsidRPr="0045578C" w:rsidRDefault="00056317" w:rsidP="00056317">
            <w:pPr>
              <w:spacing w:line="360" w:lineRule="auto"/>
              <w:jc w:val="center"/>
              <w:rPr>
                <w:rFonts w:ascii="Garamond" w:hAnsi="Garamond"/>
                <w:sz w:val="20"/>
                <w:szCs w:val="20"/>
              </w:rPr>
            </w:pPr>
          </w:p>
        </w:tc>
        <w:tc>
          <w:tcPr>
            <w:tcW w:w="1376" w:type="dxa"/>
          </w:tcPr>
          <w:p w14:paraId="4612E711" w14:textId="77777777" w:rsidR="00056317" w:rsidRPr="0045578C" w:rsidRDefault="00056317" w:rsidP="00056317">
            <w:pPr>
              <w:spacing w:line="360" w:lineRule="auto"/>
              <w:jc w:val="center"/>
              <w:rPr>
                <w:rFonts w:ascii="Garamond" w:hAnsi="Garamond"/>
                <w:sz w:val="20"/>
                <w:szCs w:val="20"/>
              </w:rPr>
            </w:pPr>
          </w:p>
        </w:tc>
        <w:tc>
          <w:tcPr>
            <w:tcW w:w="1413" w:type="dxa"/>
          </w:tcPr>
          <w:p w14:paraId="5E375F2D" w14:textId="77777777" w:rsidR="00056317" w:rsidRPr="0045578C" w:rsidRDefault="00056317" w:rsidP="00056317">
            <w:pPr>
              <w:spacing w:line="360" w:lineRule="auto"/>
              <w:jc w:val="center"/>
              <w:rPr>
                <w:rFonts w:ascii="Garamond" w:hAnsi="Garamond"/>
                <w:sz w:val="20"/>
                <w:szCs w:val="20"/>
              </w:rPr>
            </w:pPr>
          </w:p>
        </w:tc>
        <w:tc>
          <w:tcPr>
            <w:tcW w:w="1376" w:type="dxa"/>
          </w:tcPr>
          <w:p w14:paraId="0D4B1FB0" w14:textId="77777777" w:rsidR="00056317" w:rsidRPr="0045578C" w:rsidRDefault="00056317" w:rsidP="00056317">
            <w:pPr>
              <w:spacing w:line="360" w:lineRule="auto"/>
              <w:jc w:val="center"/>
              <w:rPr>
                <w:rFonts w:ascii="Garamond" w:hAnsi="Garamond"/>
                <w:sz w:val="20"/>
                <w:szCs w:val="20"/>
              </w:rPr>
            </w:pPr>
          </w:p>
        </w:tc>
      </w:tr>
      <w:tr w:rsidR="00056317" w14:paraId="7E29BFCD" w14:textId="77777777" w:rsidTr="00E722F7">
        <w:tc>
          <w:tcPr>
            <w:tcW w:w="3159" w:type="dxa"/>
          </w:tcPr>
          <w:p w14:paraId="4A302700" w14:textId="77777777" w:rsidR="00056317" w:rsidRPr="0045578C" w:rsidRDefault="00056317" w:rsidP="00056317">
            <w:pPr>
              <w:spacing w:line="360" w:lineRule="auto"/>
              <w:jc w:val="both"/>
              <w:rPr>
                <w:rFonts w:ascii="Garamond" w:hAnsi="Garamond"/>
                <w:sz w:val="20"/>
                <w:szCs w:val="20"/>
              </w:rPr>
            </w:pPr>
            <w:r w:rsidRPr="0045578C">
              <w:rPr>
                <w:rFonts w:ascii="Garamond" w:hAnsi="Garamond"/>
                <w:sz w:val="20"/>
                <w:szCs w:val="20"/>
              </w:rPr>
              <w:t>Paranoia worries (PWQ)</w:t>
            </w:r>
          </w:p>
        </w:tc>
        <w:tc>
          <w:tcPr>
            <w:tcW w:w="1692" w:type="dxa"/>
          </w:tcPr>
          <w:p w14:paraId="34550FB4" w14:textId="49F09C80"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0.</w:t>
            </w:r>
            <w:r>
              <w:rPr>
                <w:rFonts w:ascii="Garamond" w:hAnsi="Garamond"/>
                <w:sz w:val="20"/>
                <w:szCs w:val="20"/>
              </w:rPr>
              <w:t>69</w:t>
            </w:r>
          </w:p>
        </w:tc>
        <w:tc>
          <w:tcPr>
            <w:tcW w:w="1376" w:type="dxa"/>
          </w:tcPr>
          <w:p w14:paraId="3E484B07" w14:textId="49AA7A4E"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&lt; 0.001</w:t>
            </w:r>
          </w:p>
        </w:tc>
        <w:tc>
          <w:tcPr>
            <w:tcW w:w="1413" w:type="dxa"/>
          </w:tcPr>
          <w:p w14:paraId="76730ED3" w14:textId="77777777" w:rsidR="00056317" w:rsidRPr="0045578C" w:rsidRDefault="00056317" w:rsidP="00056317">
            <w:pPr>
              <w:spacing w:line="360" w:lineRule="auto"/>
              <w:jc w:val="center"/>
              <w:rPr>
                <w:rFonts w:ascii="Garamond" w:hAnsi="Garamond"/>
                <w:sz w:val="20"/>
                <w:szCs w:val="20"/>
              </w:rPr>
            </w:pPr>
          </w:p>
        </w:tc>
        <w:tc>
          <w:tcPr>
            <w:tcW w:w="1376" w:type="dxa"/>
          </w:tcPr>
          <w:p w14:paraId="370CB934" w14:textId="77777777" w:rsidR="00056317" w:rsidRPr="0045578C" w:rsidRDefault="00056317" w:rsidP="00056317">
            <w:pPr>
              <w:spacing w:line="360" w:lineRule="auto"/>
              <w:jc w:val="center"/>
              <w:rPr>
                <w:rFonts w:ascii="Garamond" w:hAnsi="Garamond"/>
                <w:sz w:val="20"/>
                <w:szCs w:val="20"/>
              </w:rPr>
            </w:pPr>
          </w:p>
        </w:tc>
      </w:tr>
      <w:tr w:rsidR="00056317" w14:paraId="46EC8611" w14:textId="77777777" w:rsidTr="00E722F7">
        <w:tc>
          <w:tcPr>
            <w:tcW w:w="3159" w:type="dxa"/>
          </w:tcPr>
          <w:p w14:paraId="22B0195B" w14:textId="77777777" w:rsidR="00056317" w:rsidRPr="0045578C" w:rsidRDefault="00056317" w:rsidP="00056317">
            <w:pPr>
              <w:spacing w:line="360" w:lineRule="auto"/>
              <w:jc w:val="both"/>
              <w:rPr>
                <w:rFonts w:ascii="Garamond" w:hAnsi="Garamond"/>
                <w:sz w:val="20"/>
                <w:szCs w:val="20"/>
              </w:rPr>
            </w:pPr>
            <w:r w:rsidRPr="0045578C">
              <w:rPr>
                <w:rFonts w:ascii="Garamond" w:hAnsi="Garamond"/>
                <w:sz w:val="20"/>
                <w:szCs w:val="20"/>
              </w:rPr>
              <w:t>Worry (PSWQ)</w:t>
            </w:r>
          </w:p>
        </w:tc>
        <w:tc>
          <w:tcPr>
            <w:tcW w:w="1692" w:type="dxa"/>
          </w:tcPr>
          <w:p w14:paraId="58C97187" w14:textId="52EC3EEC"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0.</w:t>
            </w:r>
            <w:r>
              <w:rPr>
                <w:rFonts w:ascii="Garamond" w:hAnsi="Garamond"/>
                <w:sz w:val="20"/>
                <w:szCs w:val="20"/>
              </w:rPr>
              <w:t>70</w:t>
            </w:r>
          </w:p>
        </w:tc>
        <w:tc>
          <w:tcPr>
            <w:tcW w:w="1376" w:type="dxa"/>
          </w:tcPr>
          <w:p w14:paraId="43152E18" w14:textId="6A082E19"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&lt; 0.001</w:t>
            </w:r>
          </w:p>
        </w:tc>
        <w:tc>
          <w:tcPr>
            <w:tcW w:w="1413" w:type="dxa"/>
          </w:tcPr>
          <w:p w14:paraId="1E9637B2" w14:textId="08C9A49E"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0.</w:t>
            </w:r>
            <w:r>
              <w:rPr>
                <w:rFonts w:ascii="Garamond" w:hAnsi="Garamond"/>
                <w:sz w:val="20"/>
                <w:szCs w:val="20"/>
              </w:rPr>
              <w:t>47</w:t>
            </w:r>
          </w:p>
        </w:tc>
        <w:tc>
          <w:tcPr>
            <w:tcW w:w="1376" w:type="dxa"/>
          </w:tcPr>
          <w:p w14:paraId="03E36D80" w14:textId="7F051BCB"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&lt; 0.001</w:t>
            </w:r>
          </w:p>
        </w:tc>
      </w:tr>
      <w:tr w:rsidR="00056317" w14:paraId="0F675DD9" w14:textId="77777777" w:rsidTr="00E722F7">
        <w:tc>
          <w:tcPr>
            <w:tcW w:w="3159" w:type="dxa"/>
          </w:tcPr>
          <w:p w14:paraId="51A7F4CE" w14:textId="1824EF39" w:rsidR="00056317" w:rsidRPr="0045578C" w:rsidRDefault="00056317" w:rsidP="00056317">
            <w:pPr>
              <w:spacing w:line="360" w:lineRule="auto"/>
              <w:jc w:val="both"/>
              <w:rPr>
                <w:rFonts w:ascii="Garamond" w:hAnsi="Garamond"/>
                <w:sz w:val="20"/>
                <w:szCs w:val="20"/>
              </w:rPr>
            </w:pPr>
            <w:r w:rsidRPr="0045578C">
              <w:rPr>
                <w:rFonts w:ascii="Garamond" w:hAnsi="Garamond"/>
                <w:sz w:val="20"/>
                <w:szCs w:val="20"/>
              </w:rPr>
              <w:t>Perseverative Thinking (PTQ)</w:t>
            </w:r>
          </w:p>
        </w:tc>
        <w:tc>
          <w:tcPr>
            <w:tcW w:w="1692" w:type="dxa"/>
          </w:tcPr>
          <w:p w14:paraId="33675795" w14:textId="0EBC459F"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0.6</w:t>
            </w:r>
            <w:r>
              <w:rPr>
                <w:rFonts w:ascii="Garamond" w:hAnsi="Garamond"/>
                <w:sz w:val="20"/>
                <w:szCs w:val="20"/>
              </w:rPr>
              <w:t>3</w:t>
            </w:r>
          </w:p>
        </w:tc>
        <w:tc>
          <w:tcPr>
            <w:tcW w:w="1376" w:type="dxa"/>
          </w:tcPr>
          <w:p w14:paraId="1E97B351" w14:textId="6D1FFC3E"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&lt; 0.001</w:t>
            </w:r>
          </w:p>
        </w:tc>
        <w:tc>
          <w:tcPr>
            <w:tcW w:w="1413" w:type="dxa"/>
          </w:tcPr>
          <w:p w14:paraId="3CC6E924" w14:textId="0BC6249A"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0.5</w:t>
            </w:r>
            <w:r>
              <w:rPr>
                <w:rFonts w:ascii="Garamond" w:hAnsi="Garamond"/>
                <w:sz w:val="20"/>
                <w:szCs w:val="20"/>
              </w:rPr>
              <w:t>3</w:t>
            </w:r>
          </w:p>
        </w:tc>
        <w:tc>
          <w:tcPr>
            <w:tcW w:w="1376" w:type="dxa"/>
          </w:tcPr>
          <w:p w14:paraId="35EAE531" w14:textId="2C44F375"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&lt; 0.001</w:t>
            </w:r>
          </w:p>
        </w:tc>
      </w:tr>
      <w:tr w:rsidR="00056317" w14:paraId="724CDB7B" w14:textId="77777777" w:rsidTr="00E722F7">
        <w:tc>
          <w:tcPr>
            <w:tcW w:w="3159" w:type="dxa"/>
          </w:tcPr>
          <w:p w14:paraId="7AE00759" w14:textId="77777777" w:rsidR="00056317" w:rsidRPr="0045578C" w:rsidRDefault="00056317" w:rsidP="00056317">
            <w:pPr>
              <w:spacing w:line="360" w:lineRule="auto"/>
              <w:jc w:val="both"/>
              <w:rPr>
                <w:rFonts w:ascii="Garamond" w:hAnsi="Garamond"/>
                <w:sz w:val="20"/>
                <w:szCs w:val="20"/>
              </w:rPr>
            </w:pPr>
            <w:r w:rsidRPr="0045578C">
              <w:rPr>
                <w:rFonts w:ascii="Garamond" w:hAnsi="Garamond"/>
                <w:sz w:val="20"/>
                <w:szCs w:val="20"/>
              </w:rPr>
              <w:t>Anxiety (BAI)</w:t>
            </w:r>
          </w:p>
        </w:tc>
        <w:tc>
          <w:tcPr>
            <w:tcW w:w="1692" w:type="dxa"/>
          </w:tcPr>
          <w:p w14:paraId="7F86E4FA" w14:textId="6A84D151"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0.3</w:t>
            </w:r>
            <w:r>
              <w:rPr>
                <w:rFonts w:ascii="Garamond" w:hAnsi="Garamond"/>
                <w:sz w:val="20"/>
                <w:szCs w:val="20"/>
              </w:rPr>
              <w:t>9</w:t>
            </w:r>
          </w:p>
        </w:tc>
        <w:tc>
          <w:tcPr>
            <w:tcW w:w="1376" w:type="dxa"/>
          </w:tcPr>
          <w:p w14:paraId="750B5090" w14:textId="4AD1E768"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&lt; 0.001</w:t>
            </w:r>
          </w:p>
        </w:tc>
        <w:tc>
          <w:tcPr>
            <w:tcW w:w="1413" w:type="dxa"/>
          </w:tcPr>
          <w:p w14:paraId="4E1EAD5B" w14:textId="3BDF1C59"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0.4</w:t>
            </w:r>
            <w:r>
              <w:rPr>
                <w:rFonts w:ascii="Garamond" w:hAnsi="Garamond"/>
                <w:sz w:val="20"/>
                <w:szCs w:val="20"/>
              </w:rPr>
              <w:t>2</w:t>
            </w:r>
          </w:p>
        </w:tc>
        <w:tc>
          <w:tcPr>
            <w:tcW w:w="1376" w:type="dxa"/>
          </w:tcPr>
          <w:p w14:paraId="09ED5E71" w14:textId="74F750FF"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&lt; 0.001</w:t>
            </w:r>
          </w:p>
        </w:tc>
      </w:tr>
      <w:tr w:rsidR="00056317" w14:paraId="0115BF88" w14:textId="77777777" w:rsidTr="00E722F7">
        <w:tc>
          <w:tcPr>
            <w:tcW w:w="3159" w:type="dxa"/>
          </w:tcPr>
          <w:p w14:paraId="098CF400" w14:textId="77777777" w:rsidR="00056317" w:rsidRPr="0045578C" w:rsidRDefault="00056317" w:rsidP="00056317">
            <w:pPr>
              <w:spacing w:line="360" w:lineRule="auto"/>
              <w:jc w:val="both"/>
              <w:rPr>
                <w:rFonts w:ascii="Garamond" w:hAnsi="Garamond"/>
                <w:sz w:val="20"/>
                <w:szCs w:val="20"/>
              </w:rPr>
            </w:pPr>
            <w:r w:rsidRPr="0045578C">
              <w:rPr>
                <w:rFonts w:ascii="Garamond" w:hAnsi="Garamond"/>
                <w:sz w:val="20"/>
                <w:szCs w:val="20"/>
              </w:rPr>
              <w:t>Paranoia (GPTS)</w:t>
            </w:r>
          </w:p>
        </w:tc>
        <w:tc>
          <w:tcPr>
            <w:tcW w:w="1692" w:type="dxa"/>
          </w:tcPr>
          <w:p w14:paraId="7F795047" w14:textId="33C16F94"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0.5</w:t>
            </w:r>
            <w:r>
              <w:rPr>
                <w:rFonts w:ascii="Garamond" w:hAnsi="Garamond"/>
                <w:sz w:val="20"/>
                <w:szCs w:val="20"/>
              </w:rPr>
              <w:t>5</w:t>
            </w:r>
          </w:p>
        </w:tc>
        <w:tc>
          <w:tcPr>
            <w:tcW w:w="1376" w:type="dxa"/>
          </w:tcPr>
          <w:p w14:paraId="6C09C168" w14:textId="68AD0CAA"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&lt; 0.001</w:t>
            </w:r>
          </w:p>
        </w:tc>
        <w:tc>
          <w:tcPr>
            <w:tcW w:w="1413" w:type="dxa"/>
          </w:tcPr>
          <w:p w14:paraId="4D4D984F" w14:textId="1285FF6F"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0.73</w:t>
            </w:r>
          </w:p>
        </w:tc>
        <w:tc>
          <w:tcPr>
            <w:tcW w:w="1376" w:type="dxa"/>
          </w:tcPr>
          <w:p w14:paraId="34D8ED56" w14:textId="07995148" w:rsidR="00056317" w:rsidRPr="0045578C" w:rsidRDefault="00056317" w:rsidP="00056317">
            <w:pPr>
              <w:spacing w:line="360" w:lineRule="auto"/>
              <w:jc w:val="center"/>
              <w:rPr>
                <w:rFonts w:ascii="Garamond" w:hAnsi="Garamond"/>
                <w:sz w:val="20"/>
                <w:szCs w:val="20"/>
              </w:rPr>
            </w:pPr>
            <w:r w:rsidRPr="0045578C">
              <w:rPr>
                <w:rFonts w:ascii="Garamond" w:hAnsi="Garamond"/>
                <w:sz w:val="20"/>
                <w:szCs w:val="20"/>
              </w:rPr>
              <w:t>&lt; 0.001</w:t>
            </w:r>
          </w:p>
        </w:tc>
      </w:tr>
    </w:tbl>
    <w:p w14:paraId="3745580F" w14:textId="77777777" w:rsidR="00E722F7" w:rsidRDefault="00E722F7">
      <w:pPr>
        <w:rPr>
          <w:rFonts w:ascii="Garamond" w:hAnsi="Garamond"/>
          <w:b/>
          <w:sz w:val="24"/>
          <w:szCs w:val="24"/>
        </w:rPr>
      </w:pPr>
    </w:p>
    <w:p w14:paraId="7A4FFD5B" w14:textId="77777777" w:rsidR="00E722F7" w:rsidRDefault="00E722F7">
      <w:pPr>
        <w:rPr>
          <w:rFonts w:ascii="Garamond" w:hAnsi="Garamond"/>
          <w:b/>
          <w:sz w:val="24"/>
          <w:szCs w:val="24"/>
        </w:rPr>
      </w:pPr>
    </w:p>
    <w:p w14:paraId="69B777F4" w14:textId="77777777" w:rsidR="00E722F7" w:rsidRDefault="00E722F7">
      <w:pPr>
        <w:rPr>
          <w:rFonts w:ascii="Garamond" w:hAnsi="Garamond"/>
          <w:b/>
          <w:sz w:val="24"/>
          <w:szCs w:val="24"/>
        </w:rPr>
      </w:pPr>
    </w:p>
    <w:p w14:paraId="3E81BB0F" w14:textId="77777777" w:rsidR="00E722F7" w:rsidRDefault="00E722F7">
      <w:pPr>
        <w:rPr>
          <w:rFonts w:ascii="Garamond" w:hAnsi="Garamond"/>
          <w:b/>
          <w:sz w:val="24"/>
          <w:szCs w:val="24"/>
        </w:rPr>
      </w:pPr>
    </w:p>
    <w:p w14:paraId="11F20C1D" w14:textId="77777777" w:rsidR="00E722F7" w:rsidRDefault="00E722F7">
      <w:pPr>
        <w:rPr>
          <w:rFonts w:ascii="Garamond" w:hAnsi="Garamond"/>
          <w:b/>
          <w:sz w:val="24"/>
          <w:szCs w:val="24"/>
        </w:rPr>
      </w:pPr>
    </w:p>
    <w:p w14:paraId="0DC769F6" w14:textId="77777777" w:rsidR="00E722F7" w:rsidRDefault="00E722F7">
      <w:pPr>
        <w:rPr>
          <w:rFonts w:ascii="Garamond" w:hAnsi="Garamond"/>
          <w:b/>
          <w:sz w:val="24"/>
          <w:szCs w:val="24"/>
        </w:rPr>
      </w:pPr>
    </w:p>
    <w:p w14:paraId="3638C966" w14:textId="77777777" w:rsidR="00E722F7" w:rsidRDefault="00E722F7">
      <w:pPr>
        <w:rPr>
          <w:rFonts w:ascii="Garamond" w:hAnsi="Garamond"/>
          <w:b/>
          <w:sz w:val="24"/>
          <w:szCs w:val="24"/>
        </w:rPr>
      </w:pPr>
    </w:p>
    <w:p w14:paraId="3B932F63" w14:textId="77777777" w:rsidR="00E722F7" w:rsidRDefault="00E722F7">
      <w:pPr>
        <w:rPr>
          <w:rFonts w:ascii="Garamond" w:hAnsi="Garamond"/>
          <w:b/>
          <w:sz w:val="24"/>
          <w:szCs w:val="24"/>
        </w:rPr>
      </w:pPr>
    </w:p>
    <w:p w14:paraId="7F002460" w14:textId="77777777" w:rsidR="00BC71AF" w:rsidRDefault="00BC71AF">
      <w:pPr>
        <w:rPr>
          <w:rFonts w:ascii="Garamond" w:hAnsi="Garamond"/>
        </w:rPr>
      </w:pPr>
      <w:r>
        <w:rPr>
          <w:rFonts w:ascii="Garamond" w:hAnsi="Garamond"/>
        </w:rPr>
        <w:br w:type="page"/>
      </w:r>
    </w:p>
    <w:p w14:paraId="1C3C2656" w14:textId="1D7DD279" w:rsidR="00E722F7" w:rsidRDefault="00E722F7" w:rsidP="00E722F7">
      <w:pPr>
        <w:spacing w:after="100" w:line="240" w:lineRule="auto"/>
        <w:jc w:val="both"/>
        <w:rPr>
          <w:rFonts w:ascii="Garamond" w:hAnsi="Garamond"/>
        </w:rPr>
      </w:pPr>
      <w:proofErr w:type="gramStart"/>
      <w:r>
        <w:rPr>
          <w:rFonts w:ascii="Garamond" w:hAnsi="Garamond"/>
        </w:rPr>
        <w:lastRenderedPageBreak/>
        <w:t>Table 3.</w:t>
      </w:r>
      <w:proofErr w:type="gramEnd"/>
      <w:r>
        <w:rPr>
          <w:rFonts w:ascii="Garamond" w:hAnsi="Garamond"/>
        </w:rPr>
        <w:t xml:space="preserve"> Mean total scores on the DWQ, PWQ, PSWQ, and GPTS across all participant subgroups. </w:t>
      </w:r>
      <w:proofErr w:type="gramStart"/>
      <w:r>
        <w:rPr>
          <w:rFonts w:ascii="Garamond" w:hAnsi="Garamond"/>
        </w:rPr>
        <w:t>Standard deviations in parentheses.</w:t>
      </w:r>
      <w:proofErr w:type="gramEnd"/>
      <w:r>
        <w:rPr>
          <w:rFonts w:ascii="Garamond" w:hAnsi="Garamond"/>
        </w:rPr>
        <w:t xml:space="preserve"> </w:t>
      </w:r>
    </w:p>
    <w:p w14:paraId="5222BB64" w14:textId="77777777" w:rsidR="00DA7522" w:rsidRPr="008749A6" w:rsidRDefault="00DA7522" w:rsidP="00E722F7">
      <w:pPr>
        <w:spacing w:after="100" w:line="240" w:lineRule="auto"/>
        <w:jc w:val="both"/>
        <w:rPr>
          <w:rFonts w:ascii="Garamond" w:hAnsi="Garamond"/>
        </w:rPr>
      </w:pPr>
    </w:p>
    <w:tbl>
      <w:tblPr>
        <w:tblStyle w:val="TableGrid"/>
        <w:tblW w:w="90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1417"/>
        <w:gridCol w:w="1701"/>
        <w:gridCol w:w="1418"/>
        <w:gridCol w:w="1842"/>
      </w:tblGrid>
      <w:tr w:rsidR="00E722F7" w14:paraId="032CDE29" w14:textId="77777777" w:rsidTr="00E722F7">
        <w:tc>
          <w:tcPr>
            <w:tcW w:w="2689" w:type="dxa"/>
            <w:tcBorders>
              <w:top w:val="single" w:sz="4" w:space="0" w:color="auto"/>
              <w:bottom w:val="single" w:sz="4" w:space="0" w:color="auto"/>
            </w:tcBorders>
          </w:tcPr>
          <w:p w14:paraId="4A977C18" w14:textId="77777777" w:rsidR="00E722F7" w:rsidRPr="00DE62A4" w:rsidRDefault="00E722F7" w:rsidP="00E10797">
            <w:pPr>
              <w:spacing w:line="360" w:lineRule="auto"/>
              <w:jc w:val="both"/>
              <w:rPr>
                <w:rFonts w:ascii="Garamond" w:hAnsi="Garamond"/>
                <w:b/>
                <w:sz w:val="20"/>
                <w:szCs w:val="20"/>
              </w:rPr>
            </w:pPr>
          </w:p>
        </w:tc>
        <w:tc>
          <w:tcPr>
            <w:tcW w:w="1417" w:type="dxa"/>
            <w:tcBorders>
              <w:top w:val="single" w:sz="4" w:space="0" w:color="auto"/>
              <w:bottom w:val="single" w:sz="4" w:space="0" w:color="auto"/>
            </w:tcBorders>
            <w:vAlign w:val="center"/>
          </w:tcPr>
          <w:p w14:paraId="3080902B" w14:textId="77777777" w:rsidR="00E722F7" w:rsidRPr="00DE62A4" w:rsidRDefault="00E722F7" w:rsidP="00E10797">
            <w:pPr>
              <w:spacing w:line="360" w:lineRule="auto"/>
              <w:jc w:val="center"/>
              <w:rPr>
                <w:rFonts w:ascii="Garamond" w:hAnsi="Garamond"/>
                <w:b/>
                <w:sz w:val="20"/>
                <w:szCs w:val="20"/>
              </w:rPr>
            </w:pPr>
            <w:r w:rsidRPr="00DE62A4">
              <w:rPr>
                <w:rFonts w:ascii="Garamond" w:hAnsi="Garamond"/>
                <w:b/>
                <w:sz w:val="20"/>
                <w:szCs w:val="20"/>
              </w:rPr>
              <w:t>General worry (DWQ)</w:t>
            </w:r>
          </w:p>
        </w:tc>
        <w:tc>
          <w:tcPr>
            <w:tcW w:w="1701" w:type="dxa"/>
            <w:tcBorders>
              <w:top w:val="single" w:sz="4" w:space="0" w:color="auto"/>
              <w:bottom w:val="single" w:sz="4" w:space="0" w:color="auto"/>
            </w:tcBorders>
            <w:vAlign w:val="center"/>
          </w:tcPr>
          <w:p w14:paraId="4F27873B" w14:textId="77777777" w:rsidR="00E722F7" w:rsidRPr="00DE62A4" w:rsidRDefault="00E722F7" w:rsidP="00E10797">
            <w:pPr>
              <w:spacing w:line="360" w:lineRule="auto"/>
              <w:jc w:val="center"/>
              <w:rPr>
                <w:rFonts w:ascii="Garamond" w:hAnsi="Garamond"/>
                <w:b/>
                <w:sz w:val="20"/>
                <w:szCs w:val="20"/>
              </w:rPr>
            </w:pPr>
            <w:r w:rsidRPr="00DE62A4">
              <w:rPr>
                <w:rFonts w:ascii="Garamond" w:hAnsi="Garamond"/>
                <w:b/>
                <w:sz w:val="20"/>
                <w:szCs w:val="20"/>
              </w:rPr>
              <w:t>Paranoia worries (PWQ)</w:t>
            </w:r>
          </w:p>
        </w:tc>
        <w:tc>
          <w:tcPr>
            <w:tcW w:w="1418" w:type="dxa"/>
            <w:tcBorders>
              <w:top w:val="single" w:sz="4" w:space="0" w:color="auto"/>
              <w:bottom w:val="single" w:sz="4" w:space="0" w:color="auto"/>
            </w:tcBorders>
            <w:vAlign w:val="center"/>
          </w:tcPr>
          <w:p w14:paraId="3A7BB275" w14:textId="77777777" w:rsidR="00E722F7" w:rsidRPr="00DE62A4" w:rsidRDefault="00E722F7" w:rsidP="00E10797">
            <w:pPr>
              <w:spacing w:line="360" w:lineRule="auto"/>
              <w:jc w:val="center"/>
              <w:rPr>
                <w:rFonts w:ascii="Garamond" w:hAnsi="Garamond"/>
                <w:b/>
                <w:sz w:val="20"/>
                <w:szCs w:val="20"/>
              </w:rPr>
            </w:pPr>
            <w:r w:rsidRPr="00DE62A4">
              <w:rPr>
                <w:rFonts w:ascii="Garamond" w:hAnsi="Garamond"/>
                <w:b/>
                <w:sz w:val="20"/>
                <w:szCs w:val="20"/>
              </w:rPr>
              <w:t>Worry (PSWQ)</w:t>
            </w:r>
          </w:p>
        </w:tc>
        <w:tc>
          <w:tcPr>
            <w:tcW w:w="1842" w:type="dxa"/>
            <w:tcBorders>
              <w:top w:val="single" w:sz="4" w:space="0" w:color="auto"/>
              <w:bottom w:val="single" w:sz="4" w:space="0" w:color="auto"/>
            </w:tcBorders>
            <w:vAlign w:val="center"/>
          </w:tcPr>
          <w:p w14:paraId="367A0C0B" w14:textId="77777777" w:rsidR="00E722F7" w:rsidRPr="00DE62A4" w:rsidRDefault="00E722F7" w:rsidP="00E10797">
            <w:pPr>
              <w:spacing w:line="360" w:lineRule="auto"/>
              <w:jc w:val="center"/>
              <w:rPr>
                <w:rFonts w:ascii="Garamond" w:hAnsi="Garamond"/>
                <w:b/>
                <w:sz w:val="20"/>
                <w:szCs w:val="20"/>
              </w:rPr>
            </w:pPr>
            <w:r w:rsidRPr="00DE62A4">
              <w:rPr>
                <w:rFonts w:ascii="Garamond" w:hAnsi="Garamond"/>
                <w:b/>
                <w:sz w:val="20"/>
                <w:szCs w:val="20"/>
              </w:rPr>
              <w:t>Paranoid thoughts (GPTS)</w:t>
            </w:r>
          </w:p>
        </w:tc>
      </w:tr>
      <w:tr w:rsidR="00E722F7" w14:paraId="799A8D46" w14:textId="77777777" w:rsidTr="00E722F7">
        <w:tc>
          <w:tcPr>
            <w:tcW w:w="2689" w:type="dxa"/>
            <w:tcBorders>
              <w:top w:val="single" w:sz="4" w:space="0" w:color="auto"/>
            </w:tcBorders>
          </w:tcPr>
          <w:p w14:paraId="6B538E67" w14:textId="77777777" w:rsidR="00E722F7" w:rsidRPr="00DE62A4" w:rsidRDefault="00E722F7" w:rsidP="00E10797">
            <w:pPr>
              <w:spacing w:line="360" w:lineRule="auto"/>
              <w:jc w:val="both"/>
              <w:rPr>
                <w:rFonts w:ascii="Garamond" w:hAnsi="Garamond"/>
                <w:b/>
                <w:sz w:val="20"/>
                <w:szCs w:val="20"/>
              </w:rPr>
            </w:pPr>
            <w:r w:rsidRPr="00DE62A4">
              <w:rPr>
                <w:rFonts w:ascii="Garamond" w:hAnsi="Garamond"/>
                <w:b/>
                <w:sz w:val="20"/>
                <w:szCs w:val="20"/>
              </w:rPr>
              <w:t>General population</w:t>
            </w:r>
          </w:p>
        </w:tc>
        <w:tc>
          <w:tcPr>
            <w:tcW w:w="1417" w:type="dxa"/>
            <w:tcBorders>
              <w:top w:val="single" w:sz="4" w:space="0" w:color="auto"/>
            </w:tcBorders>
          </w:tcPr>
          <w:p w14:paraId="7F8AF882" w14:textId="77777777" w:rsidR="00E722F7" w:rsidRPr="00DE62A4" w:rsidRDefault="00E722F7" w:rsidP="00E10797">
            <w:pPr>
              <w:spacing w:line="360" w:lineRule="auto"/>
              <w:jc w:val="center"/>
              <w:rPr>
                <w:rFonts w:ascii="Garamond" w:hAnsi="Garamond"/>
                <w:b/>
                <w:sz w:val="20"/>
                <w:szCs w:val="20"/>
              </w:rPr>
            </w:pPr>
          </w:p>
        </w:tc>
        <w:tc>
          <w:tcPr>
            <w:tcW w:w="1701" w:type="dxa"/>
            <w:tcBorders>
              <w:top w:val="single" w:sz="4" w:space="0" w:color="auto"/>
            </w:tcBorders>
          </w:tcPr>
          <w:p w14:paraId="116C8426" w14:textId="77777777" w:rsidR="00E722F7" w:rsidRPr="00DE62A4" w:rsidRDefault="00E722F7" w:rsidP="00E10797">
            <w:pPr>
              <w:spacing w:line="360" w:lineRule="auto"/>
              <w:jc w:val="center"/>
              <w:rPr>
                <w:rFonts w:ascii="Garamond" w:hAnsi="Garamond"/>
                <w:b/>
                <w:sz w:val="20"/>
                <w:szCs w:val="20"/>
              </w:rPr>
            </w:pPr>
          </w:p>
        </w:tc>
        <w:tc>
          <w:tcPr>
            <w:tcW w:w="1418" w:type="dxa"/>
            <w:tcBorders>
              <w:top w:val="single" w:sz="4" w:space="0" w:color="auto"/>
            </w:tcBorders>
          </w:tcPr>
          <w:p w14:paraId="0B164F18" w14:textId="77777777" w:rsidR="00E722F7" w:rsidRPr="00DE62A4" w:rsidRDefault="00E722F7" w:rsidP="00E10797">
            <w:pPr>
              <w:spacing w:line="360" w:lineRule="auto"/>
              <w:jc w:val="center"/>
              <w:rPr>
                <w:rFonts w:ascii="Garamond" w:hAnsi="Garamond"/>
                <w:b/>
                <w:sz w:val="20"/>
                <w:szCs w:val="20"/>
              </w:rPr>
            </w:pPr>
          </w:p>
        </w:tc>
        <w:tc>
          <w:tcPr>
            <w:tcW w:w="1842" w:type="dxa"/>
            <w:tcBorders>
              <w:top w:val="single" w:sz="4" w:space="0" w:color="auto"/>
            </w:tcBorders>
          </w:tcPr>
          <w:p w14:paraId="71E5026A" w14:textId="77777777" w:rsidR="00E722F7" w:rsidRPr="00DE62A4" w:rsidRDefault="00E722F7" w:rsidP="00E10797">
            <w:pPr>
              <w:spacing w:line="360" w:lineRule="auto"/>
              <w:jc w:val="center"/>
              <w:rPr>
                <w:rFonts w:ascii="Garamond" w:hAnsi="Garamond"/>
                <w:b/>
                <w:sz w:val="20"/>
                <w:szCs w:val="20"/>
              </w:rPr>
            </w:pPr>
          </w:p>
        </w:tc>
      </w:tr>
      <w:tr w:rsidR="00056317" w14:paraId="62259058" w14:textId="77777777" w:rsidTr="00E722F7">
        <w:tc>
          <w:tcPr>
            <w:tcW w:w="2689" w:type="dxa"/>
          </w:tcPr>
          <w:p w14:paraId="392A9E81" w14:textId="77777777" w:rsidR="00056317" w:rsidRPr="00DE62A4" w:rsidRDefault="00056317" w:rsidP="00056317">
            <w:pPr>
              <w:spacing w:line="360" w:lineRule="auto"/>
              <w:ind w:firstLine="168"/>
              <w:jc w:val="both"/>
              <w:rPr>
                <w:rFonts w:ascii="Garamond" w:hAnsi="Garamond"/>
                <w:sz w:val="20"/>
                <w:szCs w:val="20"/>
              </w:rPr>
            </w:pPr>
            <w:r w:rsidRPr="00DE62A4">
              <w:rPr>
                <w:rFonts w:ascii="Garamond" w:hAnsi="Garamond"/>
                <w:sz w:val="20"/>
                <w:szCs w:val="20"/>
              </w:rPr>
              <w:t>Controls (</w:t>
            </w:r>
            <w:r w:rsidRPr="00DE62A4">
              <w:rPr>
                <w:rFonts w:ascii="Garamond" w:hAnsi="Garamond"/>
                <w:i/>
                <w:sz w:val="20"/>
                <w:szCs w:val="20"/>
              </w:rPr>
              <w:t>n</w:t>
            </w:r>
            <w:r w:rsidRPr="00DE62A4">
              <w:rPr>
                <w:rFonts w:ascii="Garamond" w:hAnsi="Garamond"/>
                <w:sz w:val="20"/>
                <w:szCs w:val="20"/>
              </w:rPr>
              <w:t>=223)</w:t>
            </w:r>
          </w:p>
        </w:tc>
        <w:tc>
          <w:tcPr>
            <w:tcW w:w="1417" w:type="dxa"/>
          </w:tcPr>
          <w:p w14:paraId="330FA03E" w14:textId="49B3639F" w:rsidR="00056317" w:rsidRPr="00DE62A4" w:rsidRDefault="00056317" w:rsidP="00056317">
            <w:pPr>
              <w:spacing w:line="360" w:lineRule="auto"/>
              <w:jc w:val="center"/>
              <w:rPr>
                <w:rFonts w:ascii="Garamond" w:hAnsi="Garamond"/>
                <w:sz w:val="20"/>
                <w:szCs w:val="20"/>
              </w:rPr>
            </w:pPr>
            <w:r w:rsidRPr="00DE62A4">
              <w:rPr>
                <w:rFonts w:ascii="Garamond" w:hAnsi="Garamond"/>
                <w:sz w:val="20"/>
                <w:szCs w:val="20"/>
              </w:rPr>
              <w:t>12.9 (8.27)</w:t>
            </w:r>
          </w:p>
        </w:tc>
        <w:tc>
          <w:tcPr>
            <w:tcW w:w="1701" w:type="dxa"/>
          </w:tcPr>
          <w:p w14:paraId="79833B25" w14:textId="12BB8924" w:rsidR="00056317" w:rsidRPr="00DE62A4" w:rsidRDefault="00056317" w:rsidP="00056317">
            <w:pPr>
              <w:spacing w:line="360" w:lineRule="auto"/>
              <w:jc w:val="center"/>
              <w:rPr>
                <w:rFonts w:ascii="Garamond" w:hAnsi="Garamond"/>
                <w:sz w:val="20"/>
                <w:szCs w:val="20"/>
              </w:rPr>
            </w:pPr>
            <w:r w:rsidRPr="00DE62A4">
              <w:rPr>
                <w:rFonts w:ascii="Garamond" w:hAnsi="Garamond"/>
                <w:sz w:val="20"/>
                <w:szCs w:val="20"/>
              </w:rPr>
              <w:t>0.91 (2.17)</w:t>
            </w:r>
          </w:p>
        </w:tc>
        <w:tc>
          <w:tcPr>
            <w:tcW w:w="1418" w:type="dxa"/>
          </w:tcPr>
          <w:p w14:paraId="3A80E55D" w14:textId="7FF64146" w:rsidR="00056317" w:rsidRPr="00DE62A4" w:rsidRDefault="00056317" w:rsidP="00056317">
            <w:pPr>
              <w:spacing w:line="360" w:lineRule="auto"/>
              <w:jc w:val="center"/>
              <w:rPr>
                <w:rFonts w:ascii="Garamond" w:hAnsi="Garamond"/>
                <w:sz w:val="20"/>
                <w:szCs w:val="20"/>
              </w:rPr>
            </w:pPr>
            <w:r w:rsidRPr="00DE62A4">
              <w:rPr>
                <w:rFonts w:ascii="Garamond" w:hAnsi="Garamond"/>
                <w:sz w:val="20"/>
                <w:szCs w:val="20"/>
              </w:rPr>
              <w:t>41.0 (11.2)</w:t>
            </w:r>
          </w:p>
        </w:tc>
        <w:tc>
          <w:tcPr>
            <w:tcW w:w="1842" w:type="dxa"/>
          </w:tcPr>
          <w:p w14:paraId="7DEC026A" w14:textId="36F00F63" w:rsidR="00056317" w:rsidRPr="00DE62A4" w:rsidRDefault="00056317" w:rsidP="00056317">
            <w:pPr>
              <w:spacing w:line="360" w:lineRule="auto"/>
              <w:jc w:val="center"/>
              <w:rPr>
                <w:rFonts w:ascii="Garamond" w:hAnsi="Garamond"/>
                <w:sz w:val="20"/>
                <w:szCs w:val="20"/>
              </w:rPr>
            </w:pPr>
            <w:r w:rsidRPr="00DE62A4">
              <w:rPr>
                <w:rFonts w:ascii="Garamond" w:hAnsi="Garamond"/>
                <w:sz w:val="20"/>
                <w:szCs w:val="20"/>
              </w:rPr>
              <w:t>19.5 (7.31)</w:t>
            </w:r>
          </w:p>
        </w:tc>
      </w:tr>
      <w:tr w:rsidR="00056317" w14:paraId="7FCDE258" w14:textId="77777777" w:rsidTr="00E722F7">
        <w:tc>
          <w:tcPr>
            <w:tcW w:w="2689" w:type="dxa"/>
          </w:tcPr>
          <w:p w14:paraId="561F7947" w14:textId="3F1F5BB6" w:rsidR="00056317" w:rsidRPr="00DE62A4" w:rsidRDefault="00056317" w:rsidP="00056317">
            <w:pPr>
              <w:spacing w:line="360" w:lineRule="auto"/>
              <w:ind w:firstLine="168"/>
              <w:jc w:val="both"/>
              <w:rPr>
                <w:rFonts w:ascii="Garamond" w:hAnsi="Garamond"/>
                <w:sz w:val="20"/>
                <w:szCs w:val="20"/>
              </w:rPr>
            </w:pPr>
            <w:r w:rsidRPr="00DE62A4">
              <w:rPr>
                <w:rFonts w:ascii="Garamond" w:hAnsi="Garamond"/>
                <w:sz w:val="20"/>
                <w:szCs w:val="20"/>
              </w:rPr>
              <w:t>GAD (</w:t>
            </w:r>
            <w:r w:rsidRPr="00DE62A4">
              <w:rPr>
                <w:rFonts w:ascii="Garamond" w:hAnsi="Garamond"/>
                <w:i/>
                <w:sz w:val="20"/>
                <w:szCs w:val="20"/>
              </w:rPr>
              <w:t>n</w:t>
            </w:r>
            <w:r w:rsidRPr="00DE62A4">
              <w:rPr>
                <w:rFonts w:ascii="Garamond" w:hAnsi="Garamond"/>
                <w:sz w:val="20"/>
                <w:szCs w:val="20"/>
              </w:rPr>
              <w:t>=51)</w:t>
            </w:r>
          </w:p>
        </w:tc>
        <w:tc>
          <w:tcPr>
            <w:tcW w:w="1417" w:type="dxa"/>
          </w:tcPr>
          <w:p w14:paraId="107C758F" w14:textId="1CF43F55" w:rsidR="00056317" w:rsidRPr="00DE62A4" w:rsidRDefault="00056317" w:rsidP="00056317">
            <w:pPr>
              <w:spacing w:line="360" w:lineRule="auto"/>
              <w:jc w:val="center"/>
              <w:rPr>
                <w:rFonts w:ascii="Garamond" w:hAnsi="Garamond"/>
                <w:sz w:val="20"/>
                <w:szCs w:val="20"/>
              </w:rPr>
            </w:pPr>
            <w:r w:rsidRPr="00DE62A4">
              <w:rPr>
                <w:rFonts w:ascii="Garamond" w:hAnsi="Garamond"/>
                <w:sz w:val="20"/>
                <w:szCs w:val="20"/>
              </w:rPr>
              <w:t>28.</w:t>
            </w:r>
            <w:r>
              <w:rPr>
                <w:rFonts w:ascii="Garamond" w:hAnsi="Garamond"/>
                <w:sz w:val="20"/>
                <w:szCs w:val="20"/>
              </w:rPr>
              <w:t>7</w:t>
            </w:r>
            <w:r w:rsidRPr="00DE62A4">
              <w:rPr>
                <w:rFonts w:ascii="Garamond" w:hAnsi="Garamond"/>
                <w:sz w:val="20"/>
                <w:szCs w:val="20"/>
              </w:rPr>
              <w:t xml:space="preserve"> (7.</w:t>
            </w:r>
            <w:r>
              <w:rPr>
                <w:rFonts w:ascii="Garamond" w:hAnsi="Garamond"/>
                <w:sz w:val="20"/>
                <w:szCs w:val="20"/>
              </w:rPr>
              <w:t>59</w:t>
            </w:r>
            <w:r w:rsidRPr="00DE62A4">
              <w:rPr>
                <w:rFonts w:ascii="Garamond" w:hAnsi="Garamond"/>
                <w:sz w:val="20"/>
                <w:szCs w:val="20"/>
              </w:rPr>
              <w:t>)</w:t>
            </w:r>
          </w:p>
        </w:tc>
        <w:tc>
          <w:tcPr>
            <w:tcW w:w="1701" w:type="dxa"/>
          </w:tcPr>
          <w:p w14:paraId="11B69D7C" w14:textId="4AE168FA" w:rsidR="00056317" w:rsidRPr="00DE62A4" w:rsidRDefault="00056317" w:rsidP="00056317">
            <w:pPr>
              <w:spacing w:line="360" w:lineRule="auto"/>
              <w:jc w:val="center"/>
              <w:rPr>
                <w:rFonts w:ascii="Garamond" w:hAnsi="Garamond"/>
                <w:sz w:val="20"/>
                <w:szCs w:val="20"/>
              </w:rPr>
            </w:pPr>
            <w:r>
              <w:rPr>
                <w:rFonts w:ascii="Garamond" w:hAnsi="Garamond"/>
                <w:sz w:val="20"/>
                <w:szCs w:val="20"/>
              </w:rPr>
              <w:t>4.18</w:t>
            </w:r>
            <w:r w:rsidRPr="00DE62A4">
              <w:rPr>
                <w:rFonts w:ascii="Garamond" w:hAnsi="Garamond"/>
                <w:sz w:val="20"/>
                <w:szCs w:val="20"/>
              </w:rPr>
              <w:t xml:space="preserve"> (</w:t>
            </w:r>
            <w:r>
              <w:rPr>
                <w:rFonts w:ascii="Garamond" w:hAnsi="Garamond"/>
                <w:sz w:val="20"/>
                <w:szCs w:val="20"/>
              </w:rPr>
              <w:t>4.92</w:t>
            </w:r>
            <w:r w:rsidRPr="00DE62A4">
              <w:rPr>
                <w:rFonts w:ascii="Garamond" w:hAnsi="Garamond"/>
                <w:sz w:val="20"/>
                <w:szCs w:val="20"/>
              </w:rPr>
              <w:t>)</w:t>
            </w:r>
          </w:p>
        </w:tc>
        <w:tc>
          <w:tcPr>
            <w:tcW w:w="1418" w:type="dxa"/>
          </w:tcPr>
          <w:p w14:paraId="25C449CF" w14:textId="436E61C7" w:rsidR="00056317" w:rsidRPr="00DE62A4" w:rsidRDefault="00056317" w:rsidP="00056317">
            <w:pPr>
              <w:spacing w:line="360" w:lineRule="auto"/>
              <w:jc w:val="center"/>
              <w:rPr>
                <w:rFonts w:ascii="Garamond" w:hAnsi="Garamond"/>
                <w:sz w:val="20"/>
                <w:szCs w:val="20"/>
              </w:rPr>
            </w:pPr>
            <w:r w:rsidRPr="00DE62A4">
              <w:rPr>
                <w:rFonts w:ascii="Garamond" w:hAnsi="Garamond"/>
                <w:sz w:val="20"/>
                <w:szCs w:val="20"/>
              </w:rPr>
              <w:t>62.</w:t>
            </w:r>
            <w:r>
              <w:rPr>
                <w:rFonts w:ascii="Garamond" w:hAnsi="Garamond"/>
                <w:sz w:val="20"/>
                <w:szCs w:val="20"/>
              </w:rPr>
              <w:t>9</w:t>
            </w:r>
            <w:r w:rsidRPr="00DE62A4">
              <w:rPr>
                <w:rFonts w:ascii="Garamond" w:hAnsi="Garamond"/>
                <w:sz w:val="20"/>
                <w:szCs w:val="20"/>
              </w:rPr>
              <w:t xml:space="preserve"> (11.</w:t>
            </w:r>
            <w:r>
              <w:rPr>
                <w:rFonts w:ascii="Garamond" w:hAnsi="Garamond"/>
                <w:sz w:val="20"/>
                <w:szCs w:val="20"/>
              </w:rPr>
              <w:t>3</w:t>
            </w:r>
            <w:r w:rsidRPr="00DE62A4">
              <w:rPr>
                <w:rFonts w:ascii="Garamond" w:hAnsi="Garamond"/>
                <w:sz w:val="20"/>
                <w:szCs w:val="20"/>
              </w:rPr>
              <w:t>)</w:t>
            </w:r>
          </w:p>
        </w:tc>
        <w:tc>
          <w:tcPr>
            <w:tcW w:w="1842" w:type="dxa"/>
          </w:tcPr>
          <w:p w14:paraId="765040AB" w14:textId="1F3BD9B0" w:rsidR="00056317" w:rsidRPr="00DE62A4" w:rsidRDefault="00056317" w:rsidP="00056317">
            <w:pPr>
              <w:spacing w:line="360" w:lineRule="auto"/>
              <w:jc w:val="center"/>
              <w:rPr>
                <w:rFonts w:ascii="Garamond" w:hAnsi="Garamond"/>
                <w:sz w:val="20"/>
                <w:szCs w:val="20"/>
              </w:rPr>
            </w:pPr>
            <w:r>
              <w:rPr>
                <w:rFonts w:ascii="Garamond" w:hAnsi="Garamond"/>
                <w:sz w:val="20"/>
                <w:szCs w:val="20"/>
              </w:rPr>
              <w:t>30.1</w:t>
            </w:r>
            <w:r w:rsidRPr="00DE62A4">
              <w:rPr>
                <w:rFonts w:ascii="Garamond" w:hAnsi="Garamond"/>
                <w:sz w:val="20"/>
                <w:szCs w:val="20"/>
              </w:rPr>
              <w:t xml:space="preserve"> (19.</w:t>
            </w:r>
            <w:r>
              <w:rPr>
                <w:rFonts w:ascii="Garamond" w:hAnsi="Garamond"/>
                <w:sz w:val="20"/>
                <w:szCs w:val="20"/>
              </w:rPr>
              <w:t>2</w:t>
            </w:r>
            <w:r w:rsidRPr="00DE62A4">
              <w:rPr>
                <w:rFonts w:ascii="Garamond" w:hAnsi="Garamond"/>
                <w:sz w:val="20"/>
                <w:szCs w:val="20"/>
              </w:rPr>
              <w:t>)</w:t>
            </w:r>
          </w:p>
        </w:tc>
      </w:tr>
      <w:tr w:rsidR="00056317" w14:paraId="2EEE01B4" w14:textId="77777777" w:rsidTr="00E722F7">
        <w:tc>
          <w:tcPr>
            <w:tcW w:w="2689" w:type="dxa"/>
          </w:tcPr>
          <w:p w14:paraId="18713E7C" w14:textId="77777777" w:rsidR="00056317" w:rsidRPr="00DE62A4" w:rsidRDefault="00056317" w:rsidP="00056317">
            <w:pPr>
              <w:spacing w:line="360" w:lineRule="auto"/>
              <w:rPr>
                <w:rFonts w:ascii="Garamond" w:hAnsi="Garamond"/>
                <w:b/>
                <w:sz w:val="20"/>
                <w:szCs w:val="20"/>
              </w:rPr>
            </w:pPr>
            <w:r w:rsidRPr="00DE62A4">
              <w:rPr>
                <w:rFonts w:ascii="Garamond" w:hAnsi="Garamond"/>
                <w:b/>
                <w:sz w:val="20"/>
                <w:szCs w:val="20"/>
              </w:rPr>
              <w:t xml:space="preserve">Anxiety disorders </w:t>
            </w:r>
            <w:r w:rsidRPr="00DE62A4">
              <w:rPr>
                <w:rFonts w:ascii="Garamond" w:hAnsi="Garamond"/>
                <w:sz w:val="20"/>
                <w:szCs w:val="20"/>
              </w:rPr>
              <w:t>(</w:t>
            </w:r>
            <w:r w:rsidRPr="00DE62A4">
              <w:rPr>
                <w:rFonts w:ascii="Garamond" w:hAnsi="Garamond"/>
                <w:i/>
                <w:sz w:val="20"/>
                <w:szCs w:val="20"/>
              </w:rPr>
              <w:t>n</w:t>
            </w:r>
            <w:r w:rsidRPr="00DE62A4">
              <w:rPr>
                <w:rFonts w:ascii="Garamond" w:hAnsi="Garamond"/>
                <w:sz w:val="20"/>
                <w:szCs w:val="20"/>
              </w:rPr>
              <w:t>=97)</w:t>
            </w:r>
          </w:p>
        </w:tc>
        <w:tc>
          <w:tcPr>
            <w:tcW w:w="1417" w:type="dxa"/>
          </w:tcPr>
          <w:p w14:paraId="4B76DFE8" w14:textId="62D9EA97" w:rsidR="00056317" w:rsidRPr="00DE62A4" w:rsidRDefault="00056317" w:rsidP="00056317">
            <w:pPr>
              <w:spacing w:line="360" w:lineRule="auto"/>
              <w:jc w:val="center"/>
              <w:rPr>
                <w:rFonts w:ascii="Garamond" w:hAnsi="Garamond"/>
                <w:sz w:val="20"/>
                <w:szCs w:val="20"/>
              </w:rPr>
            </w:pPr>
            <w:r w:rsidRPr="00DE62A4">
              <w:rPr>
                <w:rFonts w:ascii="Garamond" w:hAnsi="Garamond"/>
                <w:sz w:val="20"/>
                <w:szCs w:val="20"/>
              </w:rPr>
              <w:t>22.7 (9.00)</w:t>
            </w:r>
          </w:p>
        </w:tc>
        <w:tc>
          <w:tcPr>
            <w:tcW w:w="1701" w:type="dxa"/>
          </w:tcPr>
          <w:p w14:paraId="2A789E59" w14:textId="522F313F" w:rsidR="00056317" w:rsidRPr="00DE62A4" w:rsidRDefault="00056317" w:rsidP="00056317">
            <w:pPr>
              <w:spacing w:line="360" w:lineRule="auto"/>
              <w:jc w:val="center"/>
              <w:rPr>
                <w:rFonts w:ascii="Garamond" w:hAnsi="Garamond"/>
                <w:sz w:val="20"/>
                <w:szCs w:val="20"/>
              </w:rPr>
            </w:pPr>
            <w:r>
              <w:rPr>
                <w:rFonts w:ascii="Garamond" w:hAnsi="Garamond"/>
                <w:sz w:val="20"/>
                <w:szCs w:val="20"/>
              </w:rPr>
              <w:t>1.31</w:t>
            </w:r>
            <w:r w:rsidRPr="00DE62A4">
              <w:rPr>
                <w:rFonts w:ascii="Garamond" w:hAnsi="Garamond"/>
                <w:sz w:val="20"/>
                <w:szCs w:val="20"/>
              </w:rPr>
              <w:t xml:space="preserve"> (</w:t>
            </w:r>
            <w:r>
              <w:rPr>
                <w:rFonts w:ascii="Garamond" w:hAnsi="Garamond"/>
                <w:sz w:val="20"/>
                <w:szCs w:val="20"/>
              </w:rPr>
              <w:t>2.66</w:t>
            </w:r>
            <w:r w:rsidRPr="00DE62A4">
              <w:rPr>
                <w:rFonts w:ascii="Garamond" w:hAnsi="Garamond"/>
                <w:sz w:val="20"/>
                <w:szCs w:val="20"/>
              </w:rPr>
              <w:t>)</w:t>
            </w:r>
          </w:p>
        </w:tc>
        <w:tc>
          <w:tcPr>
            <w:tcW w:w="1418" w:type="dxa"/>
          </w:tcPr>
          <w:p w14:paraId="705F98B7" w14:textId="2F52826A" w:rsidR="00056317" w:rsidRPr="00DE62A4" w:rsidRDefault="00056317" w:rsidP="00056317">
            <w:pPr>
              <w:spacing w:line="360" w:lineRule="auto"/>
              <w:jc w:val="center"/>
              <w:rPr>
                <w:rFonts w:ascii="Garamond" w:hAnsi="Garamond"/>
                <w:sz w:val="20"/>
                <w:szCs w:val="20"/>
              </w:rPr>
            </w:pPr>
            <w:r>
              <w:rPr>
                <w:rFonts w:ascii="Garamond" w:hAnsi="Garamond"/>
                <w:sz w:val="20"/>
                <w:szCs w:val="20"/>
              </w:rPr>
              <w:t>-</w:t>
            </w:r>
          </w:p>
        </w:tc>
        <w:tc>
          <w:tcPr>
            <w:tcW w:w="1842" w:type="dxa"/>
          </w:tcPr>
          <w:p w14:paraId="1E72A343" w14:textId="47379162" w:rsidR="00056317" w:rsidRPr="00DE62A4" w:rsidRDefault="00056317" w:rsidP="00056317">
            <w:pPr>
              <w:spacing w:line="360" w:lineRule="auto"/>
              <w:jc w:val="center"/>
              <w:rPr>
                <w:rFonts w:ascii="Garamond" w:hAnsi="Garamond"/>
                <w:sz w:val="20"/>
                <w:szCs w:val="20"/>
              </w:rPr>
            </w:pPr>
            <w:r>
              <w:rPr>
                <w:rFonts w:ascii="Garamond" w:hAnsi="Garamond"/>
                <w:sz w:val="20"/>
                <w:szCs w:val="20"/>
              </w:rPr>
              <w:t>-</w:t>
            </w:r>
          </w:p>
        </w:tc>
      </w:tr>
      <w:tr w:rsidR="00056317" w14:paraId="09CC2B6E" w14:textId="77777777" w:rsidTr="00E722F7">
        <w:tc>
          <w:tcPr>
            <w:tcW w:w="2689" w:type="dxa"/>
          </w:tcPr>
          <w:p w14:paraId="7BC4315A" w14:textId="77777777" w:rsidR="00056317" w:rsidRPr="00DE62A4" w:rsidRDefault="00056317" w:rsidP="00056317">
            <w:pPr>
              <w:spacing w:line="360" w:lineRule="auto"/>
              <w:jc w:val="both"/>
              <w:rPr>
                <w:rFonts w:ascii="Garamond" w:hAnsi="Garamond"/>
                <w:b/>
                <w:sz w:val="20"/>
                <w:szCs w:val="20"/>
              </w:rPr>
            </w:pPr>
            <w:r w:rsidRPr="00DE62A4">
              <w:rPr>
                <w:rFonts w:ascii="Garamond" w:hAnsi="Garamond"/>
                <w:b/>
                <w:sz w:val="20"/>
                <w:szCs w:val="20"/>
              </w:rPr>
              <w:t xml:space="preserve">Persecutory delusions </w:t>
            </w:r>
            <w:r w:rsidRPr="00DE62A4">
              <w:rPr>
                <w:rFonts w:ascii="Garamond" w:hAnsi="Garamond"/>
                <w:sz w:val="20"/>
                <w:szCs w:val="20"/>
              </w:rPr>
              <w:t>(n=78)</w:t>
            </w:r>
          </w:p>
        </w:tc>
        <w:tc>
          <w:tcPr>
            <w:tcW w:w="1417" w:type="dxa"/>
          </w:tcPr>
          <w:p w14:paraId="30A6372B" w14:textId="2CAC017F" w:rsidR="00056317" w:rsidRPr="00DE62A4" w:rsidRDefault="00056317" w:rsidP="00056317">
            <w:pPr>
              <w:spacing w:line="360" w:lineRule="auto"/>
              <w:jc w:val="center"/>
              <w:rPr>
                <w:rFonts w:ascii="Garamond" w:hAnsi="Garamond"/>
                <w:sz w:val="20"/>
                <w:szCs w:val="20"/>
              </w:rPr>
            </w:pPr>
            <w:r w:rsidRPr="00DE62A4">
              <w:rPr>
                <w:rFonts w:ascii="Garamond" w:hAnsi="Garamond"/>
                <w:sz w:val="20"/>
                <w:szCs w:val="20"/>
              </w:rPr>
              <w:t>27.3 (7.48)</w:t>
            </w:r>
          </w:p>
        </w:tc>
        <w:tc>
          <w:tcPr>
            <w:tcW w:w="1701" w:type="dxa"/>
          </w:tcPr>
          <w:p w14:paraId="739F2EA1" w14:textId="7E4D61A1" w:rsidR="00056317" w:rsidRPr="00DE62A4" w:rsidRDefault="00056317" w:rsidP="00056317">
            <w:pPr>
              <w:spacing w:line="360" w:lineRule="auto"/>
              <w:jc w:val="center"/>
              <w:rPr>
                <w:rFonts w:ascii="Garamond" w:hAnsi="Garamond"/>
                <w:sz w:val="20"/>
                <w:szCs w:val="20"/>
              </w:rPr>
            </w:pPr>
            <w:r w:rsidRPr="00DE62A4">
              <w:rPr>
                <w:rFonts w:ascii="Garamond" w:hAnsi="Garamond"/>
                <w:sz w:val="20"/>
                <w:szCs w:val="20"/>
              </w:rPr>
              <w:t>12.7 (5.05)</w:t>
            </w:r>
          </w:p>
        </w:tc>
        <w:tc>
          <w:tcPr>
            <w:tcW w:w="1418" w:type="dxa"/>
          </w:tcPr>
          <w:p w14:paraId="3CCCD7AA" w14:textId="241B688D" w:rsidR="00056317" w:rsidRPr="00DE62A4" w:rsidRDefault="00056317" w:rsidP="00056317">
            <w:pPr>
              <w:spacing w:line="360" w:lineRule="auto"/>
              <w:jc w:val="center"/>
              <w:rPr>
                <w:rFonts w:ascii="Garamond" w:hAnsi="Garamond"/>
                <w:sz w:val="20"/>
                <w:szCs w:val="20"/>
              </w:rPr>
            </w:pPr>
            <w:r w:rsidRPr="00DE62A4">
              <w:rPr>
                <w:rFonts w:ascii="Garamond" w:hAnsi="Garamond"/>
                <w:sz w:val="20"/>
                <w:szCs w:val="20"/>
              </w:rPr>
              <w:t>61.6 (11.9)</w:t>
            </w:r>
          </w:p>
        </w:tc>
        <w:tc>
          <w:tcPr>
            <w:tcW w:w="1842" w:type="dxa"/>
          </w:tcPr>
          <w:p w14:paraId="197A744B" w14:textId="2B86760F" w:rsidR="00056317" w:rsidRPr="00DE62A4" w:rsidRDefault="00056317" w:rsidP="00056317">
            <w:pPr>
              <w:spacing w:line="360" w:lineRule="auto"/>
              <w:jc w:val="center"/>
              <w:rPr>
                <w:rFonts w:ascii="Garamond" w:hAnsi="Garamond"/>
                <w:sz w:val="20"/>
                <w:szCs w:val="20"/>
              </w:rPr>
            </w:pPr>
            <w:r w:rsidRPr="00DE62A4">
              <w:rPr>
                <w:rFonts w:ascii="Garamond" w:hAnsi="Garamond"/>
                <w:sz w:val="20"/>
                <w:szCs w:val="20"/>
              </w:rPr>
              <w:t>56.7 (16.5)</w:t>
            </w:r>
          </w:p>
        </w:tc>
      </w:tr>
      <w:tr w:rsidR="00056317" w14:paraId="4F43CD1D" w14:textId="77777777" w:rsidTr="00E722F7">
        <w:tc>
          <w:tcPr>
            <w:tcW w:w="2689" w:type="dxa"/>
          </w:tcPr>
          <w:p w14:paraId="78AAC7B1" w14:textId="77777777" w:rsidR="00056317" w:rsidRPr="00DE62A4" w:rsidRDefault="00056317" w:rsidP="00056317">
            <w:pPr>
              <w:spacing w:line="360" w:lineRule="auto"/>
              <w:jc w:val="both"/>
              <w:rPr>
                <w:rFonts w:ascii="Garamond" w:hAnsi="Garamond"/>
                <w:b/>
                <w:sz w:val="20"/>
                <w:szCs w:val="20"/>
              </w:rPr>
            </w:pPr>
            <w:r w:rsidRPr="00DE62A4">
              <w:rPr>
                <w:rFonts w:ascii="Garamond" w:hAnsi="Garamond"/>
                <w:sz w:val="20"/>
                <w:szCs w:val="20"/>
              </w:rPr>
              <w:t>Clinical follow up (</w:t>
            </w:r>
            <w:r w:rsidRPr="00DE62A4">
              <w:rPr>
                <w:rFonts w:ascii="Garamond" w:hAnsi="Garamond"/>
                <w:i/>
                <w:sz w:val="20"/>
                <w:szCs w:val="20"/>
              </w:rPr>
              <w:t>n</w:t>
            </w:r>
            <w:r w:rsidRPr="00DE62A4">
              <w:rPr>
                <w:rFonts w:ascii="Garamond" w:hAnsi="Garamond"/>
                <w:sz w:val="20"/>
                <w:szCs w:val="20"/>
              </w:rPr>
              <w:t>= 43)</w:t>
            </w:r>
          </w:p>
        </w:tc>
        <w:tc>
          <w:tcPr>
            <w:tcW w:w="1417" w:type="dxa"/>
          </w:tcPr>
          <w:p w14:paraId="4ABBBC00" w14:textId="77777777" w:rsidR="00056317" w:rsidRPr="00DE62A4" w:rsidRDefault="00056317" w:rsidP="00056317">
            <w:pPr>
              <w:spacing w:line="360" w:lineRule="auto"/>
              <w:jc w:val="center"/>
              <w:rPr>
                <w:rFonts w:ascii="Garamond" w:hAnsi="Garamond"/>
                <w:sz w:val="20"/>
                <w:szCs w:val="20"/>
              </w:rPr>
            </w:pPr>
          </w:p>
        </w:tc>
        <w:tc>
          <w:tcPr>
            <w:tcW w:w="1701" w:type="dxa"/>
          </w:tcPr>
          <w:p w14:paraId="1F2818A7" w14:textId="77777777" w:rsidR="00056317" w:rsidRPr="00DE62A4" w:rsidRDefault="00056317" w:rsidP="00056317">
            <w:pPr>
              <w:spacing w:line="360" w:lineRule="auto"/>
              <w:jc w:val="center"/>
              <w:rPr>
                <w:rFonts w:ascii="Garamond" w:hAnsi="Garamond"/>
                <w:b/>
                <w:sz w:val="20"/>
                <w:szCs w:val="20"/>
              </w:rPr>
            </w:pPr>
          </w:p>
        </w:tc>
        <w:tc>
          <w:tcPr>
            <w:tcW w:w="1418" w:type="dxa"/>
          </w:tcPr>
          <w:p w14:paraId="60469189" w14:textId="77777777" w:rsidR="00056317" w:rsidRPr="00DE62A4" w:rsidRDefault="00056317" w:rsidP="00056317">
            <w:pPr>
              <w:spacing w:line="360" w:lineRule="auto"/>
              <w:jc w:val="center"/>
              <w:rPr>
                <w:rFonts w:ascii="Garamond" w:hAnsi="Garamond"/>
                <w:sz w:val="20"/>
                <w:szCs w:val="20"/>
              </w:rPr>
            </w:pPr>
          </w:p>
        </w:tc>
        <w:tc>
          <w:tcPr>
            <w:tcW w:w="1842" w:type="dxa"/>
          </w:tcPr>
          <w:p w14:paraId="0E4A30EE" w14:textId="77777777" w:rsidR="00056317" w:rsidRPr="00DE62A4" w:rsidRDefault="00056317" w:rsidP="00056317">
            <w:pPr>
              <w:spacing w:line="360" w:lineRule="auto"/>
              <w:jc w:val="center"/>
              <w:rPr>
                <w:rFonts w:ascii="Garamond" w:hAnsi="Garamond"/>
                <w:sz w:val="20"/>
                <w:szCs w:val="20"/>
              </w:rPr>
            </w:pPr>
          </w:p>
        </w:tc>
      </w:tr>
      <w:tr w:rsidR="00056317" w14:paraId="7B298363" w14:textId="77777777" w:rsidTr="00E722F7">
        <w:tc>
          <w:tcPr>
            <w:tcW w:w="2689" w:type="dxa"/>
          </w:tcPr>
          <w:p w14:paraId="7720A347" w14:textId="77777777" w:rsidR="00056317" w:rsidRPr="00DA7522" w:rsidRDefault="00056317" w:rsidP="00056317">
            <w:pPr>
              <w:spacing w:line="360" w:lineRule="auto"/>
              <w:ind w:firstLine="310"/>
              <w:jc w:val="both"/>
              <w:rPr>
                <w:rFonts w:ascii="Garamond" w:hAnsi="Garamond"/>
                <w:sz w:val="20"/>
                <w:szCs w:val="20"/>
              </w:rPr>
            </w:pPr>
            <w:r w:rsidRPr="00DA7522">
              <w:rPr>
                <w:rFonts w:ascii="Garamond" w:hAnsi="Garamond"/>
                <w:sz w:val="20"/>
                <w:szCs w:val="20"/>
              </w:rPr>
              <w:t>Time 1</w:t>
            </w:r>
          </w:p>
        </w:tc>
        <w:tc>
          <w:tcPr>
            <w:tcW w:w="1417" w:type="dxa"/>
          </w:tcPr>
          <w:p w14:paraId="3A24E184" w14:textId="282BACDE" w:rsidR="00056317" w:rsidRPr="00DE62A4" w:rsidRDefault="00056317" w:rsidP="00056317">
            <w:pPr>
              <w:spacing w:line="360" w:lineRule="auto"/>
              <w:jc w:val="center"/>
              <w:rPr>
                <w:rFonts w:ascii="Garamond" w:hAnsi="Garamond"/>
                <w:b/>
                <w:sz w:val="20"/>
                <w:szCs w:val="20"/>
              </w:rPr>
            </w:pPr>
            <w:r w:rsidRPr="00DE62A4">
              <w:rPr>
                <w:rFonts w:ascii="Garamond" w:hAnsi="Garamond"/>
                <w:sz w:val="20"/>
                <w:szCs w:val="20"/>
              </w:rPr>
              <w:t>27.5 (8.03)</w:t>
            </w:r>
          </w:p>
        </w:tc>
        <w:tc>
          <w:tcPr>
            <w:tcW w:w="1701" w:type="dxa"/>
          </w:tcPr>
          <w:p w14:paraId="33EC4F35" w14:textId="6E025172" w:rsidR="00056317" w:rsidRPr="00DE62A4" w:rsidRDefault="00056317" w:rsidP="00056317">
            <w:pPr>
              <w:spacing w:line="360" w:lineRule="auto"/>
              <w:jc w:val="center"/>
              <w:rPr>
                <w:rFonts w:ascii="Garamond" w:hAnsi="Garamond"/>
                <w:b/>
                <w:sz w:val="20"/>
                <w:szCs w:val="20"/>
              </w:rPr>
            </w:pPr>
            <w:r w:rsidRPr="00DE62A4">
              <w:rPr>
                <w:rFonts w:ascii="Garamond" w:hAnsi="Garamond"/>
                <w:sz w:val="20"/>
                <w:szCs w:val="20"/>
              </w:rPr>
              <w:t>12.8 (4.95)</w:t>
            </w:r>
          </w:p>
        </w:tc>
        <w:tc>
          <w:tcPr>
            <w:tcW w:w="1418" w:type="dxa"/>
          </w:tcPr>
          <w:p w14:paraId="0BA77E52" w14:textId="6C736B52" w:rsidR="00056317" w:rsidRPr="00DE62A4" w:rsidRDefault="00056317" w:rsidP="00056317">
            <w:pPr>
              <w:spacing w:line="360" w:lineRule="auto"/>
              <w:jc w:val="center"/>
              <w:rPr>
                <w:rFonts w:ascii="Garamond" w:hAnsi="Garamond"/>
                <w:sz w:val="20"/>
                <w:szCs w:val="20"/>
              </w:rPr>
            </w:pPr>
            <w:r>
              <w:rPr>
                <w:rFonts w:ascii="Garamond" w:hAnsi="Garamond"/>
                <w:sz w:val="20"/>
                <w:szCs w:val="20"/>
              </w:rPr>
              <w:t>60.3</w:t>
            </w:r>
            <w:r w:rsidRPr="00DE62A4">
              <w:rPr>
                <w:rFonts w:ascii="Garamond" w:hAnsi="Garamond"/>
                <w:sz w:val="20"/>
                <w:szCs w:val="20"/>
              </w:rPr>
              <w:t xml:space="preserve"> (</w:t>
            </w:r>
            <w:r>
              <w:rPr>
                <w:rFonts w:ascii="Garamond" w:hAnsi="Garamond"/>
                <w:sz w:val="20"/>
                <w:szCs w:val="20"/>
              </w:rPr>
              <w:t>13.1</w:t>
            </w:r>
            <w:r w:rsidRPr="00DE62A4">
              <w:rPr>
                <w:rFonts w:ascii="Garamond" w:hAnsi="Garamond"/>
                <w:sz w:val="20"/>
                <w:szCs w:val="20"/>
              </w:rPr>
              <w:t>)</w:t>
            </w:r>
          </w:p>
        </w:tc>
        <w:tc>
          <w:tcPr>
            <w:tcW w:w="1842" w:type="dxa"/>
          </w:tcPr>
          <w:p w14:paraId="33A5D001" w14:textId="64F9140D" w:rsidR="00056317" w:rsidRPr="00DE62A4" w:rsidRDefault="00056317" w:rsidP="00056317">
            <w:pPr>
              <w:spacing w:line="360" w:lineRule="auto"/>
              <w:jc w:val="center"/>
              <w:rPr>
                <w:rFonts w:ascii="Garamond" w:hAnsi="Garamond"/>
                <w:sz w:val="20"/>
                <w:szCs w:val="20"/>
              </w:rPr>
            </w:pPr>
            <w:r>
              <w:rPr>
                <w:rFonts w:ascii="Garamond" w:hAnsi="Garamond"/>
                <w:sz w:val="20"/>
                <w:szCs w:val="20"/>
              </w:rPr>
              <w:t>55.5</w:t>
            </w:r>
            <w:r w:rsidRPr="00DE62A4">
              <w:rPr>
                <w:rFonts w:ascii="Garamond" w:hAnsi="Garamond"/>
                <w:sz w:val="20"/>
                <w:szCs w:val="20"/>
              </w:rPr>
              <w:t xml:space="preserve"> (1</w:t>
            </w:r>
            <w:r>
              <w:rPr>
                <w:rFonts w:ascii="Garamond" w:hAnsi="Garamond"/>
                <w:sz w:val="20"/>
                <w:szCs w:val="20"/>
              </w:rPr>
              <w:t>6.6</w:t>
            </w:r>
            <w:r w:rsidRPr="00DE62A4">
              <w:rPr>
                <w:rFonts w:ascii="Garamond" w:hAnsi="Garamond"/>
                <w:sz w:val="20"/>
                <w:szCs w:val="20"/>
              </w:rPr>
              <w:t>)</w:t>
            </w:r>
          </w:p>
        </w:tc>
      </w:tr>
      <w:tr w:rsidR="00056317" w14:paraId="6145D6B6" w14:textId="77777777" w:rsidTr="00E722F7">
        <w:tc>
          <w:tcPr>
            <w:tcW w:w="2689" w:type="dxa"/>
          </w:tcPr>
          <w:p w14:paraId="02A262AE" w14:textId="77777777" w:rsidR="00056317" w:rsidRPr="00DA7522" w:rsidRDefault="00056317" w:rsidP="00056317">
            <w:pPr>
              <w:spacing w:line="360" w:lineRule="auto"/>
              <w:ind w:firstLine="310"/>
              <w:jc w:val="both"/>
              <w:rPr>
                <w:rFonts w:ascii="Garamond" w:hAnsi="Garamond"/>
                <w:sz w:val="20"/>
                <w:szCs w:val="20"/>
              </w:rPr>
            </w:pPr>
            <w:r w:rsidRPr="00DA7522">
              <w:rPr>
                <w:rFonts w:ascii="Garamond" w:hAnsi="Garamond"/>
                <w:sz w:val="20"/>
                <w:szCs w:val="20"/>
              </w:rPr>
              <w:t>Time 2</w:t>
            </w:r>
          </w:p>
        </w:tc>
        <w:tc>
          <w:tcPr>
            <w:tcW w:w="1417" w:type="dxa"/>
          </w:tcPr>
          <w:p w14:paraId="2AB06E7A" w14:textId="3CB42CBB" w:rsidR="00056317" w:rsidRPr="00DE62A4" w:rsidRDefault="00056317" w:rsidP="00056317">
            <w:pPr>
              <w:spacing w:line="360" w:lineRule="auto"/>
              <w:jc w:val="center"/>
              <w:rPr>
                <w:rFonts w:ascii="Garamond" w:hAnsi="Garamond"/>
                <w:b/>
                <w:sz w:val="20"/>
                <w:szCs w:val="20"/>
              </w:rPr>
            </w:pPr>
            <w:r w:rsidRPr="00DE62A4">
              <w:rPr>
                <w:rFonts w:ascii="Garamond" w:hAnsi="Garamond"/>
                <w:sz w:val="20"/>
                <w:szCs w:val="20"/>
              </w:rPr>
              <w:t>25.0 (9.02)</w:t>
            </w:r>
          </w:p>
        </w:tc>
        <w:tc>
          <w:tcPr>
            <w:tcW w:w="1701" w:type="dxa"/>
          </w:tcPr>
          <w:p w14:paraId="4D8AF9D1" w14:textId="0A74FF19" w:rsidR="00056317" w:rsidRPr="00DE62A4" w:rsidRDefault="00056317" w:rsidP="00056317">
            <w:pPr>
              <w:spacing w:line="360" w:lineRule="auto"/>
              <w:jc w:val="center"/>
              <w:rPr>
                <w:rFonts w:ascii="Garamond" w:hAnsi="Garamond"/>
                <w:b/>
                <w:sz w:val="20"/>
                <w:szCs w:val="20"/>
              </w:rPr>
            </w:pPr>
            <w:r w:rsidRPr="00DE62A4">
              <w:rPr>
                <w:rFonts w:ascii="Garamond" w:hAnsi="Garamond"/>
                <w:sz w:val="20"/>
                <w:szCs w:val="20"/>
              </w:rPr>
              <w:t>11.4 (5.14)</w:t>
            </w:r>
          </w:p>
        </w:tc>
        <w:tc>
          <w:tcPr>
            <w:tcW w:w="1418" w:type="dxa"/>
          </w:tcPr>
          <w:p w14:paraId="679E99F2" w14:textId="3A296979" w:rsidR="00056317" w:rsidRPr="00DE62A4" w:rsidRDefault="00056317" w:rsidP="00056317">
            <w:pPr>
              <w:spacing w:line="360" w:lineRule="auto"/>
              <w:jc w:val="center"/>
              <w:rPr>
                <w:rFonts w:ascii="Garamond" w:hAnsi="Garamond"/>
                <w:sz w:val="20"/>
                <w:szCs w:val="20"/>
              </w:rPr>
            </w:pPr>
            <w:r w:rsidRPr="00DE62A4">
              <w:rPr>
                <w:rFonts w:ascii="Garamond" w:hAnsi="Garamond"/>
                <w:sz w:val="20"/>
                <w:szCs w:val="20"/>
              </w:rPr>
              <w:t>5</w:t>
            </w:r>
            <w:r>
              <w:rPr>
                <w:rFonts w:ascii="Garamond" w:hAnsi="Garamond"/>
                <w:sz w:val="20"/>
                <w:szCs w:val="20"/>
              </w:rPr>
              <w:t>9.4</w:t>
            </w:r>
            <w:r w:rsidRPr="00DE62A4">
              <w:rPr>
                <w:rFonts w:ascii="Garamond" w:hAnsi="Garamond"/>
                <w:sz w:val="20"/>
                <w:szCs w:val="20"/>
              </w:rPr>
              <w:t xml:space="preserve"> (1</w:t>
            </w:r>
            <w:r>
              <w:rPr>
                <w:rFonts w:ascii="Garamond" w:hAnsi="Garamond"/>
                <w:sz w:val="20"/>
                <w:szCs w:val="20"/>
              </w:rPr>
              <w:t>1.5</w:t>
            </w:r>
            <w:r w:rsidRPr="00DE62A4">
              <w:rPr>
                <w:rFonts w:ascii="Garamond" w:hAnsi="Garamond"/>
                <w:sz w:val="20"/>
                <w:szCs w:val="20"/>
              </w:rPr>
              <w:t>)</w:t>
            </w:r>
          </w:p>
        </w:tc>
        <w:tc>
          <w:tcPr>
            <w:tcW w:w="1842" w:type="dxa"/>
          </w:tcPr>
          <w:p w14:paraId="4A84BCA5" w14:textId="215573B1" w:rsidR="00056317" w:rsidRPr="00DE62A4" w:rsidRDefault="00056317" w:rsidP="00056317">
            <w:pPr>
              <w:spacing w:line="360" w:lineRule="auto"/>
              <w:jc w:val="center"/>
              <w:rPr>
                <w:rFonts w:ascii="Garamond" w:hAnsi="Garamond"/>
                <w:sz w:val="20"/>
                <w:szCs w:val="20"/>
              </w:rPr>
            </w:pPr>
            <w:r>
              <w:rPr>
                <w:rFonts w:ascii="Garamond" w:hAnsi="Garamond"/>
                <w:sz w:val="20"/>
                <w:szCs w:val="20"/>
              </w:rPr>
              <w:t>51.4</w:t>
            </w:r>
            <w:r w:rsidRPr="00DE62A4">
              <w:rPr>
                <w:rFonts w:ascii="Garamond" w:hAnsi="Garamond"/>
                <w:sz w:val="20"/>
                <w:szCs w:val="20"/>
              </w:rPr>
              <w:t xml:space="preserve"> (1</w:t>
            </w:r>
            <w:r>
              <w:rPr>
                <w:rFonts w:ascii="Garamond" w:hAnsi="Garamond"/>
                <w:sz w:val="20"/>
                <w:szCs w:val="20"/>
              </w:rPr>
              <w:t>6.3</w:t>
            </w:r>
            <w:r w:rsidRPr="00DE62A4">
              <w:rPr>
                <w:rFonts w:ascii="Garamond" w:hAnsi="Garamond"/>
                <w:sz w:val="20"/>
                <w:szCs w:val="20"/>
              </w:rPr>
              <w:t>)</w:t>
            </w:r>
          </w:p>
        </w:tc>
      </w:tr>
      <w:tr w:rsidR="00056317" w14:paraId="67919016" w14:textId="77777777" w:rsidTr="00E722F7">
        <w:tc>
          <w:tcPr>
            <w:tcW w:w="2689" w:type="dxa"/>
          </w:tcPr>
          <w:p w14:paraId="4F4AFCFA" w14:textId="77777777" w:rsidR="00056317" w:rsidRPr="00DE62A4" w:rsidRDefault="00056317" w:rsidP="00056317">
            <w:pPr>
              <w:spacing w:line="360" w:lineRule="auto"/>
              <w:rPr>
                <w:rFonts w:ascii="Garamond" w:hAnsi="Garamond"/>
                <w:sz w:val="20"/>
                <w:szCs w:val="20"/>
              </w:rPr>
            </w:pPr>
            <w:r w:rsidRPr="00DE62A4">
              <w:rPr>
                <w:rFonts w:ascii="Garamond" w:hAnsi="Garamond"/>
                <w:sz w:val="20"/>
                <w:szCs w:val="20"/>
              </w:rPr>
              <w:t>Intervention subgroup (n=12)</w:t>
            </w:r>
          </w:p>
        </w:tc>
        <w:tc>
          <w:tcPr>
            <w:tcW w:w="1417" w:type="dxa"/>
          </w:tcPr>
          <w:p w14:paraId="0AD7DC23" w14:textId="77777777" w:rsidR="00056317" w:rsidRPr="00DE62A4" w:rsidRDefault="00056317" w:rsidP="00056317">
            <w:pPr>
              <w:spacing w:line="360" w:lineRule="auto"/>
              <w:jc w:val="center"/>
              <w:rPr>
                <w:rFonts w:ascii="Garamond" w:hAnsi="Garamond"/>
                <w:b/>
                <w:sz w:val="20"/>
                <w:szCs w:val="20"/>
              </w:rPr>
            </w:pPr>
          </w:p>
        </w:tc>
        <w:tc>
          <w:tcPr>
            <w:tcW w:w="1701" w:type="dxa"/>
          </w:tcPr>
          <w:p w14:paraId="1624F1F9" w14:textId="77777777" w:rsidR="00056317" w:rsidRPr="00DE62A4" w:rsidRDefault="00056317" w:rsidP="00056317">
            <w:pPr>
              <w:spacing w:line="360" w:lineRule="auto"/>
              <w:jc w:val="center"/>
              <w:rPr>
                <w:rFonts w:ascii="Garamond" w:hAnsi="Garamond"/>
                <w:b/>
                <w:sz w:val="20"/>
                <w:szCs w:val="20"/>
              </w:rPr>
            </w:pPr>
          </w:p>
        </w:tc>
        <w:tc>
          <w:tcPr>
            <w:tcW w:w="1418" w:type="dxa"/>
          </w:tcPr>
          <w:p w14:paraId="2263AD55" w14:textId="77777777" w:rsidR="00056317" w:rsidRPr="00DE62A4" w:rsidRDefault="00056317" w:rsidP="00056317">
            <w:pPr>
              <w:spacing w:line="360" w:lineRule="auto"/>
              <w:jc w:val="center"/>
              <w:rPr>
                <w:rFonts w:ascii="Garamond" w:hAnsi="Garamond"/>
                <w:sz w:val="20"/>
                <w:szCs w:val="20"/>
              </w:rPr>
            </w:pPr>
          </w:p>
        </w:tc>
        <w:tc>
          <w:tcPr>
            <w:tcW w:w="1842" w:type="dxa"/>
          </w:tcPr>
          <w:p w14:paraId="64FD617B" w14:textId="77777777" w:rsidR="00056317" w:rsidRPr="00DE62A4" w:rsidRDefault="00056317" w:rsidP="00056317">
            <w:pPr>
              <w:spacing w:line="360" w:lineRule="auto"/>
              <w:jc w:val="center"/>
              <w:rPr>
                <w:rFonts w:ascii="Garamond" w:hAnsi="Garamond"/>
                <w:sz w:val="20"/>
                <w:szCs w:val="20"/>
              </w:rPr>
            </w:pPr>
          </w:p>
        </w:tc>
      </w:tr>
      <w:tr w:rsidR="00056317" w14:paraId="7691C81B" w14:textId="77777777" w:rsidTr="00E722F7">
        <w:tc>
          <w:tcPr>
            <w:tcW w:w="2689" w:type="dxa"/>
          </w:tcPr>
          <w:p w14:paraId="5651851E" w14:textId="77777777" w:rsidR="00056317" w:rsidRPr="00DA7522" w:rsidRDefault="00056317" w:rsidP="00056317">
            <w:pPr>
              <w:spacing w:line="360" w:lineRule="auto"/>
              <w:ind w:firstLine="310"/>
              <w:jc w:val="both"/>
              <w:rPr>
                <w:rFonts w:ascii="Garamond" w:hAnsi="Garamond"/>
                <w:sz w:val="20"/>
                <w:szCs w:val="20"/>
              </w:rPr>
            </w:pPr>
            <w:r w:rsidRPr="00DA7522">
              <w:rPr>
                <w:rFonts w:ascii="Garamond" w:hAnsi="Garamond"/>
                <w:sz w:val="20"/>
                <w:szCs w:val="20"/>
              </w:rPr>
              <w:t>Baseline</w:t>
            </w:r>
          </w:p>
        </w:tc>
        <w:tc>
          <w:tcPr>
            <w:tcW w:w="1417" w:type="dxa"/>
          </w:tcPr>
          <w:p w14:paraId="106CA3AC" w14:textId="2028B702" w:rsidR="00056317" w:rsidRPr="00DE62A4" w:rsidRDefault="00056317" w:rsidP="00056317">
            <w:pPr>
              <w:spacing w:line="360" w:lineRule="auto"/>
              <w:jc w:val="center"/>
              <w:rPr>
                <w:rFonts w:ascii="Garamond" w:hAnsi="Garamond"/>
                <w:b/>
                <w:sz w:val="20"/>
                <w:szCs w:val="20"/>
              </w:rPr>
            </w:pPr>
            <w:r w:rsidRPr="00DE62A4">
              <w:rPr>
                <w:rFonts w:ascii="Garamond" w:hAnsi="Garamond"/>
                <w:sz w:val="20"/>
                <w:szCs w:val="20"/>
              </w:rPr>
              <w:t>29.</w:t>
            </w:r>
            <w:r w:rsidR="00F43D4B">
              <w:rPr>
                <w:rFonts w:ascii="Garamond" w:hAnsi="Garamond"/>
                <w:sz w:val="20"/>
                <w:szCs w:val="20"/>
              </w:rPr>
              <w:t>0</w:t>
            </w:r>
            <w:r w:rsidRPr="00DE62A4">
              <w:rPr>
                <w:rFonts w:ascii="Garamond" w:hAnsi="Garamond"/>
                <w:sz w:val="20"/>
                <w:szCs w:val="20"/>
              </w:rPr>
              <w:t xml:space="preserve"> (5.01)</w:t>
            </w:r>
          </w:p>
        </w:tc>
        <w:tc>
          <w:tcPr>
            <w:tcW w:w="1701" w:type="dxa"/>
          </w:tcPr>
          <w:p w14:paraId="32CFB3CF" w14:textId="41D5FC5F" w:rsidR="00056317" w:rsidRPr="00DE62A4" w:rsidRDefault="00056317" w:rsidP="00056317">
            <w:pPr>
              <w:spacing w:line="360" w:lineRule="auto"/>
              <w:jc w:val="center"/>
              <w:rPr>
                <w:rFonts w:ascii="Garamond" w:hAnsi="Garamond"/>
                <w:sz w:val="20"/>
                <w:szCs w:val="20"/>
              </w:rPr>
            </w:pPr>
            <w:r w:rsidRPr="00DE62A4">
              <w:rPr>
                <w:rFonts w:ascii="Garamond" w:hAnsi="Garamond"/>
                <w:sz w:val="20"/>
                <w:szCs w:val="20"/>
              </w:rPr>
              <w:t>14.8 (3.35)</w:t>
            </w:r>
          </w:p>
        </w:tc>
        <w:tc>
          <w:tcPr>
            <w:tcW w:w="1418" w:type="dxa"/>
          </w:tcPr>
          <w:p w14:paraId="6531DA1F" w14:textId="2A49BC9A" w:rsidR="00056317" w:rsidRPr="00DE62A4" w:rsidRDefault="00056317" w:rsidP="00056317">
            <w:pPr>
              <w:spacing w:line="360" w:lineRule="auto"/>
              <w:jc w:val="center"/>
              <w:rPr>
                <w:rFonts w:ascii="Garamond" w:hAnsi="Garamond"/>
                <w:sz w:val="20"/>
                <w:szCs w:val="20"/>
              </w:rPr>
            </w:pPr>
            <w:r w:rsidRPr="00DE62A4">
              <w:rPr>
                <w:rFonts w:ascii="Garamond" w:hAnsi="Garamond"/>
                <w:sz w:val="20"/>
                <w:szCs w:val="20"/>
              </w:rPr>
              <w:t>62.4 (9.26)</w:t>
            </w:r>
          </w:p>
        </w:tc>
        <w:tc>
          <w:tcPr>
            <w:tcW w:w="1842" w:type="dxa"/>
          </w:tcPr>
          <w:p w14:paraId="4489D3DE" w14:textId="2F9039D0" w:rsidR="00056317" w:rsidRPr="00DE62A4" w:rsidRDefault="00056317" w:rsidP="00056317">
            <w:pPr>
              <w:spacing w:line="360" w:lineRule="auto"/>
              <w:jc w:val="center"/>
              <w:rPr>
                <w:rFonts w:ascii="Garamond" w:hAnsi="Garamond"/>
                <w:sz w:val="20"/>
                <w:szCs w:val="20"/>
              </w:rPr>
            </w:pPr>
            <w:r w:rsidRPr="00DE62A4">
              <w:rPr>
                <w:rFonts w:ascii="Garamond" w:hAnsi="Garamond"/>
                <w:sz w:val="20"/>
                <w:szCs w:val="20"/>
              </w:rPr>
              <w:t>62.4 (9.52)</w:t>
            </w:r>
          </w:p>
        </w:tc>
      </w:tr>
      <w:tr w:rsidR="00056317" w14:paraId="40ECFE3A" w14:textId="77777777" w:rsidTr="00E722F7">
        <w:tc>
          <w:tcPr>
            <w:tcW w:w="2689" w:type="dxa"/>
          </w:tcPr>
          <w:p w14:paraId="51B6B98E" w14:textId="77777777" w:rsidR="00056317" w:rsidRPr="00DA7522" w:rsidRDefault="00056317" w:rsidP="00056317">
            <w:pPr>
              <w:spacing w:line="360" w:lineRule="auto"/>
              <w:ind w:firstLine="310"/>
              <w:jc w:val="both"/>
              <w:rPr>
                <w:rFonts w:ascii="Garamond" w:hAnsi="Garamond"/>
                <w:sz w:val="20"/>
                <w:szCs w:val="20"/>
              </w:rPr>
            </w:pPr>
            <w:r w:rsidRPr="00DA7522">
              <w:rPr>
                <w:rFonts w:ascii="Garamond" w:hAnsi="Garamond"/>
                <w:sz w:val="20"/>
                <w:szCs w:val="20"/>
              </w:rPr>
              <w:t>8-week follow up</w:t>
            </w:r>
          </w:p>
        </w:tc>
        <w:tc>
          <w:tcPr>
            <w:tcW w:w="1417" w:type="dxa"/>
          </w:tcPr>
          <w:p w14:paraId="69F95F44" w14:textId="6F013F9D" w:rsidR="00056317" w:rsidRPr="00DE62A4" w:rsidRDefault="00F43D4B" w:rsidP="00F43D4B">
            <w:pPr>
              <w:spacing w:line="360" w:lineRule="auto"/>
              <w:jc w:val="center"/>
              <w:rPr>
                <w:rFonts w:ascii="Garamond" w:hAnsi="Garamond"/>
                <w:b/>
                <w:sz w:val="20"/>
                <w:szCs w:val="20"/>
              </w:rPr>
            </w:pPr>
            <w:r>
              <w:rPr>
                <w:rFonts w:ascii="Garamond" w:hAnsi="Garamond"/>
                <w:sz w:val="20"/>
                <w:szCs w:val="20"/>
              </w:rPr>
              <w:t>22</w:t>
            </w:r>
            <w:r w:rsidR="00056317" w:rsidRPr="00DE62A4">
              <w:rPr>
                <w:rFonts w:ascii="Garamond" w:hAnsi="Garamond"/>
                <w:sz w:val="20"/>
                <w:szCs w:val="20"/>
              </w:rPr>
              <w:t>.</w:t>
            </w:r>
            <w:r>
              <w:rPr>
                <w:rFonts w:ascii="Garamond" w:hAnsi="Garamond"/>
                <w:sz w:val="20"/>
                <w:szCs w:val="20"/>
              </w:rPr>
              <w:t>8</w:t>
            </w:r>
            <w:r w:rsidR="00056317" w:rsidRPr="00DE62A4">
              <w:rPr>
                <w:rFonts w:ascii="Garamond" w:hAnsi="Garamond"/>
                <w:sz w:val="20"/>
                <w:szCs w:val="20"/>
              </w:rPr>
              <w:t xml:space="preserve"> (9.45)</w:t>
            </w:r>
          </w:p>
        </w:tc>
        <w:tc>
          <w:tcPr>
            <w:tcW w:w="1701" w:type="dxa"/>
          </w:tcPr>
          <w:p w14:paraId="1EC89603" w14:textId="44D4BCCB" w:rsidR="00056317" w:rsidRPr="00DE62A4" w:rsidRDefault="00056317" w:rsidP="00056317">
            <w:pPr>
              <w:spacing w:line="360" w:lineRule="auto"/>
              <w:jc w:val="center"/>
              <w:rPr>
                <w:rFonts w:ascii="Garamond" w:hAnsi="Garamond"/>
                <w:sz w:val="20"/>
                <w:szCs w:val="20"/>
              </w:rPr>
            </w:pPr>
            <w:r w:rsidRPr="00DE62A4">
              <w:rPr>
                <w:rFonts w:ascii="Garamond" w:hAnsi="Garamond"/>
                <w:sz w:val="20"/>
                <w:szCs w:val="20"/>
              </w:rPr>
              <w:t>9.92 (3.70)</w:t>
            </w:r>
          </w:p>
        </w:tc>
        <w:tc>
          <w:tcPr>
            <w:tcW w:w="1418" w:type="dxa"/>
          </w:tcPr>
          <w:p w14:paraId="102FB08F" w14:textId="4115B9E2" w:rsidR="00056317" w:rsidRPr="00DE62A4" w:rsidRDefault="00056317" w:rsidP="00056317">
            <w:pPr>
              <w:spacing w:line="360" w:lineRule="auto"/>
              <w:jc w:val="center"/>
              <w:rPr>
                <w:rFonts w:ascii="Garamond" w:hAnsi="Garamond"/>
                <w:sz w:val="20"/>
                <w:szCs w:val="20"/>
              </w:rPr>
            </w:pPr>
            <w:r w:rsidRPr="00DB2B56">
              <w:rPr>
                <w:rFonts w:ascii="Garamond" w:hAnsi="Garamond"/>
                <w:sz w:val="20"/>
                <w:szCs w:val="20"/>
              </w:rPr>
              <w:t>54.0 (8.63)</w:t>
            </w:r>
          </w:p>
        </w:tc>
        <w:tc>
          <w:tcPr>
            <w:tcW w:w="1842" w:type="dxa"/>
          </w:tcPr>
          <w:p w14:paraId="10950BA9" w14:textId="15EB003C" w:rsidR="00056317" w:rsidRPr="00DE62A4" w:rsidRDefault="00056317" w:rsidP="00056317">
            <w:pPr>
              <w:spacing w:line="360" w:lineRule="auto"/>
              <w:jc w:val="center"/>
              <w:rPr>
                <w:rFonts w:ascii="Garamond" w:hAnsi="Garamond"/>
                <w:sz w:val="20"/>
                <w:szCs w:val="20"/>
              </w:rPr>
            </w:pPr>
            <w:r w:rsidRPr="00DE62A4">
              <w:rPr>
                <w:rFonts w:ascii="Garamond" w:hAnsi="Garamond"/>
                <w:sz w:val="20"/>
                <w:szCs w:val="20"/>
              </w:rPr>
              <w:t>4</w:t>
            </w:r>
            <w:r>
              <w:rPr>
                <w:rFonts w:ascii="Garamond" w:hAnsi="Garamond"/>
                <w:sz w:val="20"/>
                <w:szCs w:val="20"/>
              </w:rPr>
              <w:t>7.0</w:t>
            </w:r>
            <w:r w:rsidRPr="00DE62A4">
              <w:rPr>
                <w:rFonts w:ascii="Garamond" w:hAnsi="Garamond"/>
                <w:sz w:val="20"/>
                <w:szCs w:val="20"/>
              </w:rPr>
              <w:t xml:space="preserve"> (16.</w:t>
            </w:r>
            <w:r>
              <w:rPr>
                <w:rFonts w:ascii="Garamond" w:hAnsi="Garamond"/>
                <w:sz w:val="20"/>
                <w:szCs w:val="20"/>
              </w:rPr>
              <w:t>5</w:t>
            </w:r>
            <w:r w:rsidRPr="00DE62A4">
              <w:rPr>
                <w:rFonts w:ascii="Garamond" w:hAnsi="Garamond"/>
                <w:sz w:val="20"/>
                <w:szCs w:val="20"/>
              </w:rPr>
              <w:t>)</w:t>
            </w:r>
          </w:p>
        </w:tc>
      </w:tr>
    </w:tbl>
    <w:p w14:paraId="1176E88B" w14:textId="77777777" w:rsidR="00E722F7" w:rsidRDefault="00E722F7">
      <w:pPr>
        <w:rPr>
          <w:rFonts w:ascii="Garamond" w:hAnsi="Garamond"/>
          <w:b/>
          <w:sz w:val="24"/>
          <w:szCs w:val="24"/>
        </w:rPr>
      </w:pPr>
    </w:p>
    <w:p w14:paraId="52D9E377" w14:textId="506AB487" w:rsidR="001C0271" w:rsidRDefault="001C0271">
      <w:pPr>
        <w:rPr>
          <w:rFonts w:ascii="Garamond" w:hAnsi="Garamond"/>
          <w:b/>
          <w:sz w:val="24"/>
          <w:szCs w:val="24"/>
        </w:rPr>
      </w:pPr>
    </w:p>
    <w:sectPr w:rsidR="001C0271">
      <w:headerReference w:type="default" r:id="rId9"/>
      <w:footerReference w:type="default" r:id="rId1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08C3CB" w16cid:durableId="1FF2A9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F36C7" w14:textId="77777777" w:rsidR="00492A7D" w:rsidRDefault="00492A7D" w:rsidP="00011C77">
      <w:pPr>
        <w:spacing w:after="0" w:line="240" w:lineRule="auto"/>
      </w:pPr>
      <w:r>
        <w:separator/>
      </w:r>
    </w:p>
  </w:endnote>
  <w:endnote w:type="continuationSeparator" w:id="0">
    <w:p w14:paraId="21A52B76" w14:textId="77777777" w:rsidR="00492A7D" w:rsidRDefault="00492A7D" w:rsidP="0001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753550"/>
      <w:docPartObj>
        <w:docPartGallery w:val="Page Numbers (Bottom of Page)"/>
        <w:docPartUnique/>
      </w:docPartObj>
    </w:sdtPr>
    <w:sdtEndPr>
      <w:rPr>
        <w:noProof/>
      </w:rPr>
    </w:sdtEndPr>
    <w:sdtContent>
      <w:p w14:paraId="699D89DB" w14:textId="349FE294" w:rsidR="005B54DC" w:rsidRDefault="005B54DC">
        <w:pPr>
          <w:pStyle w:val="Footer"/>
          <w:jc w:val="right"/>
        </w:pPr>
        <w:r>
          <w:fldChar w:fldCharType="begin"/>
        </w:r>
        <w:r>
          <w:instrText xml:space="preserve"> PAGE   \* MERGEFORMAT </w:instrText>
        </w:r>
        <w:r>
          <w:fldChar w:fldCharType="separate"/>
        </w:r>
        <w:r w:rsidR="00C231FE">
          <w:rPr>
            <w:noProof/>
          </w:rPr>
          <w:t>2</w:t>
        </w:r>
        <w:r>
          <w:rPr>
            <w:noProof/>
          </w:rPr>
          <w:fldChar w:fldCharType="end"/>
        </w:r>
      </w:p>
    </w:sdtContent>
  </w:sdt>
  <w:p w14:paraId="194FFE23" w14:textId="5BD28465" w:rsidR="005B54DC" w:rsidRDefault="005B54DC" w:rsidP="00D34E02">
    <w:pPr>
      <w:pStyle w:val="Footer"/>
      <w:tabs>
        <w:tab w:val="clear" w:pos="4513"/>
        <w:tab w:val="clear" w:pos="9026"/>
        <w:tab w:val="left" w:pos="210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D8CEA" w14:textId="77777777" w:rsidR="00492A7D" w:rsidRDefault="00492A7D" w:rsidP="00011C77">
      <w:pPr>
        <w:spacing w:after="0" w:line="240" w:lineRule="auto"/>
      </w:pPr>
      <w:r>
        <w:separator/>
      </w:r>
    </w:p>
  </w:footnote>
  <w:footnote w:type="continuationSeparator" w:id="0">
    <w:p w14:paraId="0EF24CBA" w14:textId="77777777" w:rsidR="00492A7D" w:rsidRDefault="00492A7D" w:rsidP="00011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68A95" w14:textId="5DC47C5F" w:rsidR="005B54DC" w:rsidRPr="004C2B0E" w:rsidRDefault="005B54DC" w:rsidP="00282CB5">
    <w:pPr>
      <w:pStyle w:val="Header"/>
      <w:jc w:val="right"/>
      <w:rPr>
        <w:rFonts w:ascii="Garamond" w:hAnsi="Garamond"/>
      </w:rPr>
    </w:pPr>
    <w:r>
      <w:rPr>
        <w:rFonts w:ascii="Garamond" w:hAnsi="Garamond"/>
      </w:rPr>
      <w:t>New assessments of worry</w:t>
    </w:r>
  </w:p>
  <w:p w14:paraId="08D526FD" w14:textId="77777777" w:rsidR="005B54DC" w:rsidRPr="004C2B0E" w:rsidRDefault="005B54DC">
    <w:pPr>
      <w:pStyle w:val="Header"/>
      <w:rPr>
        <w:rFonts w:ascii="Garamond" w:hAnsi="Garamon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A79"/>
    <w:multiLevelType w:val="hybridMultilevel"/>
    <w:tmpl w:val="E4AE6E64"/>
    <w:lvl w:ilvl="0" w:tplc="8606F57A">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351937"/>
    <w:multiLevelType w:val="hybridMultilevel"/>
    <w:tmpl w:val="89B2FBF8"/>
    <w:lvl w:ilvl="0" w:tplc="EECA3DA0">
      <w:start w:val="250"/>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47402E"/>
    <w:multiLevelType w:val="hybridMultilevel"/>
    <w:tmpl w:val="505AFBA0"/>
    <w:lvl w:ilvl="0" w:tplc="B79684C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30582A"/>
    <w:multiLevelType w:val="hybridMultilevel"/>
    <w:tmpl w:val="8696D026"/>
    <w:lvl w:ilvl="0" w:tplc="58C016F8">
      <w:start w:val="10"/>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EA36FF"/>
    <w:multiLevelType w:val="hybridMultilevel"/>
    <w:tmpl w:val="B50E4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BB2039"/>
    <w:multiLevelType w:val="hybridMultilevel"/>
    <w:tmpl w:val="89F0570E"/>
    <w:lvl w:ilvl="0" w:tplc="6A8E2D0C">
      <w:start w:val="3"/>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793F1F"/>
    <w:multiLevelType w:val="hybridMultilevel"/>
    <w:tmpl w:val="6E787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355106"/>
    <w:multiLevelType w:val="hybridMultilevel"/>
    <w:tmpl w:val="6636A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1018F7"/>
    <w:multiLevelType w:val="hybridMultilevel"/>
    <w:tmpl w:val="7318D996"/>
    <w:lvl w:ilvl="0" w:tplc="8D7C6816">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E033F5"/>
    <w:multiLevelType w:val="hybridMultilevel"/>
    <w:tmpl w:val="5AFE205C"/>
    <w:lvl w:ilvl="0" w:tplc="43D804E6">
      <w:start w:val="1"/>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061FE8"/>
    <w:multiLevelType w:val="hybridMultilevel"/>
    <w:tmpl w:val="679E8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FBF19E6"/>
    <w:multiLevelType w:val="hybridMultilevel"/>
    <w:tmpl w:val="25ACAF1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1DD4E1C"/>
    <w:multiLevelType w:val="hybridMultilevel"/>
    <w:tmpl w:val="6DB413D4"/>
    <w:lvl w:ilvl="0" w:tplc="9404EBF4">
      <w:start w:val="26"/>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9031F68"/>
    <w:multiLevelType w:val="hybridMultilevel"/>
    <w:tmpl w:val="AF34FF5E"/>
    <w:lvl w:ilvl="0" w:tplc="D982F99E">
      <w:start w:val="10"/>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2112C4"/>
    <w:multiLevelType w:val="hybridMultilevel"/>
    <w:tmpl w:val="B3BA6926"/>
    <w:lvl w:ilvl="0" w:tplc="0F5EF2A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780D7E"/>
    <w:multiLevelType w:val="hybridMultilevel"/>
    <w:tmpl w:val="8EEA3F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E2F5F9D"/>
    <w:multiLevelType w:val="hybridMultilevel"/>
    <w:tmpl w:val="293658B2"/>
    <w:lvl w:ilvl="0" w:tplc="927AD2CA">
      <w:start w:val="250"/>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7D56DE7"/>
    <w:multiLevelType w:val="hybridMultilevel"/>
    <w:tmpl w:val="6E787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8204378"/>
    <w:multiLevelType w:val="hybridMultilevel"/>
    <w:tmpl w:val="73E6AD1A"/>
    <w:lvl w:ilvl="0" w:tplc="34726B6C">
      <w:start w:val="1865"/>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3"/>
  </w:num>
  <w:num w:numId="4">
    <w:abstractNumId w:val="9"/>
  </w:num>
  <w:num w:numId="5">
    <w:abstractNumId w:val="8"/>
  </w:num>
  <w:num w:numId="6">
    <w:abstractNumId w:val="7"/>
  </w:num>
  <w:num w:numId="7">
    <w:abstractNumId w:val="10"/>
  </w:num>
  <w:num w:numId="8">
    <w:abstractNumId w:val="2"/>
  </w:num>
  <w:num w:numId="9">
    <w:abstractNumId w:val="16"/>
  </w:num>
  <w:num w:numId="10">
    <w:abstractNumId w:val="1"/>
  </w:num>
  <w:num w:numId="11">
    <w:abstractNumId w:val="12"/>
  </w:num>
  <w:num w:numId="12">
    <w:abstractNumId w:val="15"/>
  </w:num>
  <w:num w:numId="13">
    <w:abstractNumId w:val="14"/>
  </w:num>
  <w:num w:numId="14">
    <w:abstractNumId w:val="3"/>
  </w:num>
  <w:num w:numId="15">
    <w:abstractNumId w:val="0"/>
  </w:num>
  <w:num w:numId="16">
    <w:abstractNumId w:val="18"/>
  </w:num>
  <w:num w:numId="17">
    <w:abstractNumId w:val="5"/>
  </w:num>
  <w:num w:numId="18">
    <w:abstractNumId w:val="6"/>
  </w:num>
  <w:num w:numId="19">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ssica Bird">
    <w15:presenceInfo w15:providerId="Windows Live" w15:userId="cdcbb51f61e8a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CAE"/>
    <w:rsid w:val="0000171B"/>
    <w:rsid w:val="00003F87"/>
    <w:rsid w:val="00005EFA"/>
    <w:rsid w:val="00005F13"/>
    <w:rsid w:val="00007433"/>
    <w:rsid w:val="00011553"/>
    <w:rsid w:val="00011C77"/>
    <w:rsid w:val="00013654"/>
    <w:rsid w:val="00017297"/>
    <w:rsid w:val="00021187"/>
    <w:rsid w:val="00022ABE"/>
    <w:rsid w:val="00022E5E"/>
    <w:rsid w:val="00035D6E"/>
    <w:rsid w:val="00046D5E"/>
    <w:rsid w:val="000505FB"/>
    <w:rsid w:val="00051A70"/>
    <w:rsid w:val="0005472F"/>
    <w:rsid w:val="00054733"/>
    <w:rsid w:val="00056317"/>
    <w:rsid w:val="000611A1"/>
    <w:rsid w:val="00061D33"/>
    <w:rsid w:val="00063F85"/>
    <w:rsid w:val="000645B9"/>
    <w:rsid w:val="00064A44"/>
    <w:rsid w:val="00065C1E"/>
    <w:rsid w:val="00065E7F"/>
    <w:rsid w:val="00082E92"/>
    <w:rsid w:val="00083F6A"/>
    <w:rsid w:val="00084EFE"/>
    <w:rsid w:val="00090CF4"/>
    <w:rsid w:val="000917E2"/>
    <w:rsid w:val="000A16C1"/>
    <w:rsid w:val="000B1FEA"/>
    <w:rsid w:val="000B35FD"/>
    <w:rsid w:val="000B3CBB"/>
    <w:rsid w:val="000B715C"/>
    <w:rsid w:val="000C5FAF"/>
    <w:rsid w:val="000C7D66"/>
    <w:rsid w:val="000D3E89"/>
    <w:rsid w:val="000D556D"/>
    <w:rsid w:val="000D6B0C"/>
    <w:rsid w:val="000D76C7"/>
    <w:rsid w:val="000E4F96"/>
    <w:rsid w:val="000F24D4"/>
    <w:rsid w:val="000F2E9A"/>
    <w:rsid w:val="000F62A6"/>
    <w:rsid w:val="00100CA3"/>
    <w:rsid w:val="001044F7"/>
    <w:rsid w:val="0010677E"/>
    <w:rsid w:val="0011289E"/>
    <w:rsid w:val="00112F65"/>
    <w:rsid w:val="00120F46"/>
    <w:rsid w:val="0012218B"/>
    <w:rsid w:val="00123379"/>
    <w:rsid w:val="00124068"/>
    <w:rsid w:val="00127758"/>
    <w:rsid w:val="001277A5"/>
    <w:rsid w:val="00130E82"/>
    <w:rsid w:val="0013381E"/>
    <w:rsid w:val="00134269"/>
    <w:rsid w:val="001355BB"/>
    <w:rsid w:val="001446C8"/>
    <w:rsid w:val="00153ED9"/>
    <w:rsid w:val="00154012"/>
    <w:rsid w:val="00181AAF"/>
    <w:rsid w:val="001963E4"/>
    <w:rsid w:val="001A3176"/>
    <w:rsid w:val="001A78D2"/>
    <w:rsid w:val="001B361E"/>
    <w:rsid w:val="001B4464"/>
    <w:rsid w:val="001C0271"/>
    <w:rsid w:val="001C59EA"/>
    <w:rsid w:val="001C7414"/>
    <w:rsid w:val="001D54F8"/>
    <w:rsid w:val="001E0BE9"/>
    <w:rsid w:val="001E32A4"/>
    <w:rsid w:val="00200B45"/>
    <w:rsid w:val="0020369E"/>
    <w:rsid w:val="00207C3F"/>
    <w:rsid w:val="00207E71"/>
    <w:rsid w:val="00210095"/>
    <w:rsid w:val="002102A1"/>
    <w:rsid w:val="00210624"/>
    <w:rsid w:val="00224F44"/>
    <w:rsid w:val="0022508E"/>
    <w:rsid w:val="00225E04"/>
    <w:rsid w:val="00226F86"/>
    <w:rsid w:val="002302DE"/>
    <w:rsid w:val="00230312"/>
    <w:rsid w:val="00237C09"/>
    <w:rsid w:val="00237FED"/>
    <w:rsid w:val="00243A3E"/>
    <w:rsid w:val="002446BA"/>
    <w:rsid w:val="00246A95"/>
    <w:rsid w:val="00253B20"/>
    <w:rsid w:val="00257575"/>
    <w:rsid w:val="00264EF3"/>
    <w:rsid w:val="00272753"/>
    <w:rsid w:val="00272A82"/>
    <w:rsid w:val="0027466B"/>
    <w:rsid w:val="0027563D"/>
    <w:rsid w:val="0027686C"/>
    <w:rsid w:val="0028014B"/>
    <w:rsid w:val="00282CB5"/>
    <w:rsid w:val="00291556"/>
    <w:rsid w:val="00293E66"/>
    <w:rsid w:val="00294117"/>
    <w:rsid w:val="00294E01"/>
    <w:rsid w:val="002A684E"/>
    <w:rsid w:val="002B0060"/>
    <w:rsid w:val="002B06B6"/>
    <w:rsid w:val="002C1A17"/>
    <w:rsid w:val="002C2552"/>
    <w:rsid w:val="002C3DA1"/>
    <w:rsid w:val="002C7838"/>
    <w:rsid w:val="002D0A26"/>
    <w:rsid w:val="002D1757"/>
    <w:rsid w:val="002D2956"/>
    <w:rsid w:val="002D29D6"/>
    <w:rsid w:val="002D69B2"/>
    <w:rsid w:val="002E25B9"/>
    <w:rsid w:val="002F1B3B"/>
    <w:rsid w:val="002F1F68"/>
    <w:rsid w:val="002F439E"/>
    <w:rsid w:val="0030077C"/>
    <w:rsid w:val="00301224"/>
    <w:rsid w:val="00304679"/>
    <w:rsid w:val="00306E86"/>
    <w:rsid w:val="00314B2A"/>
    <w:rsid w:val="00315BAC"/>
    <w:rsid w:val="00316CD0"/>
    <w:rsid w:val="00321D44"/>
    <w:rsid w:val="00321EFA"/>
    <w:rsid w:val="00324805"/>
    <w:rsid w:val="00331F05"/>
    <w:rsid w:val="00333AE2"/>
    <w:rsid w:val="00336FC7"/>
    <w:rsid w:val="00350362"/>
    <w:rsid w:val="0035375A"/>
    <w:rsid w:val="003630B4"/>
    <w:rsid w:val="00371641"/>
    <w:rsid w:val="00383774"/>
    <w:rsid w:val="003878E5"/>
    <w:rsid w:val="003879B8"/>
    <w:rsid w:val="0039004C"/>
    <w:rsid w:val="0039119E"/>
    <w:rsid w:val="003A616B"/>
    <w:rsid w:val="003B5219"/>
    <w:rsid w:val="003B79F4"/>
    <w:rsid w:val="003C4D57"/>
    <w:rsid w:val="003D7A84"/>
    <w:rsid w:val="003E0208"/>
    <w:rsid w:val="003E2DB0"/>
    <w:rsid w:val="003E3637"/>
    <w:rsid w:val="003E4AD0"/>
    <w:rsid w:val="003E63E7"/>
    <w:rsid w:val="003F5885"/>
    <w:rsid w:val="00400750"/>
    <w:rsid w:val="00407B71"/>
    <w:rsid w:val="00422788"/>
    <w:rsid w:val="0042365B"/>
    <w:rsid w:val="00427496"/>
    <w:rsid w:val="00427859"/>
    <w:rsid w:val="00431068"/>
    <w:rsid w:val="004327A1"/>
    <w:rsid w:val="00435779"/>
    <w:rsid w:val="00442544"/>
    <w:rsid w:val="00445771"/>
    <w:rsid w:val="00453659"/>
    <w:rsid w:val="0045578C"/>
    <w:rsid w:val="00460458"/>
    <w:rsid w:val="004620A0"/>
    <w:rsid w:val="00467476"/>
    <w:rsid w:val="00467BFD"/>
    <w:rsid w:val="00467D5A"/>
    <w:rsid w:val="00475A02"/>
    <w:rsid w:val="00477DFF"/>
    <w:rsid w:val="00483145"/>
    <w:rsid w:val="004852A4"/>
    <w:rsid w:val="004855A6"/>
    <w:rsid w:val="00486FB8"/>
    <w:rsid w:val="00487600"/>
    <w:rsid w:val="004878DB"/>
    <w:rsid w:val="00491B98"/>
    <w:rsid w:val="00492A7D"/>
    <w:rsid w:val="00493CDF"/>
    <w:rsid w:val="0049471B"/>
    <w:rsid w:val="004A054B"/>
    <w:rsid w:val="004A1344"/>
    <w:rsid w:val="004A58F8"/>
    <w:rsid w:val="004A6194"/>
    <w:rsid w:val="004B0F7A"/>
    <w:rsid w:val="004B3C9E"/>
    <w:rsid w:val="004B420E"/>
    <w:rsid w:val="004C2B0E"/>
    <w:rsid w:val="004C3C67"/>
    <w:rsid w:val="004C4384"/>
    <w:rsid w:val="004C4D53"/>
    <w:rsid w:val="004C6371"/>
    <w:rsid w:val="004C74AD"/>
    <w:rsid w:val="004C7855"/>
    <w:rsid w:val="004D12DA"/>
    <w:rsid w:val="004D6640"/>
    <w:rsid w:val="004E20E9"/>
    <w:rsid w:val="004E40D5"/>
    <w:rsid w:val="004F5DE0"/>
    <w:rsid w:val="00501329"/>
    <w:rsid w:val="00504F91"/>
    <w:rsid w:val="00505674"/>
    <w:rsid w:val="0050699B"/>
    <w:rsid w:val="00506C83"/>
    <w:rsid w:val="00506DA4"/>
    <w:rsid w:val="005109E1"/>
    <w:rsid w:val="00512148"/>
    <w:rsid w:val="0051380B"/>
    <w:rsid w:val="00513EC8"/>
    <w:rsid w:val="00516BEA"/>
    <w:rsid w:val="00522451"/>
    <w:rsid w:val="00523F0A"/>
    <w:rsid w:val="00526BC5"/>
    <w:rsid w:val="00527ED1"/>
    <w:rsid w:val="00532BF2"/>
    <w:rsid w:val="00533F1B"/>
    <w:rsid w:val="00554C9A"/>
    <w:rsid w:val="00563AF6"/>
    <w:rsid w:val="00565F95"/>
    <w:rsid w:val="005661E9"/>
    <w:rsid w:val="00567AFA"/>
    <w:rsid w:val="00567D48"/>
    <w:rsid w:val="00577345"/>
    <w:rsid w:val="005773D8"/>
    <w:rsid w:val="00584BA1"/>
    <w:rsid w:val="005955DE"/>
    <w:rsid w:val="005A06DC"/>
    <w:rsid w:val="005A302C"/>
    <w:rsid w:val="005B462B"/>
    <w:rsid w:val="005B54DC"/>
    <w:rsid w:val="005B7FE1"/>
    <w:rsid w:val="005C1019"/>
    <w:rsid w:val="005C4A4A"/>
    <w:rsid w:val="005D1EC5"/>
    <w:rsid w:val="005D1F36"/>
    <w:rsid w:val="005E068D"/>
    <w:rsid w:val="005E3E47"/>
    <w:rsid w:val="005E66DF"/>
    <w:rsid w:val="005E77A0"/>
    <w:rsid w:val="006073B5"/>
    <w:rsid w:val="00612052"/>
    <w:rsid w:val="006136FE"/>
    <w:rsid w:val="00613747"/>
    <w:rsid w:val="00613DFA"/>
    <w:rsid w:val="00627E21"/>
    <w:rsid w:val="00630FD0"/>
    <w:rsid w:val="00637CE6"/>
    <w:rsid w:val="0064597B"/>
    <w:rsid w:val="00652BF8"/>
    <w:rsid w:val="006540DD"/>
    <w:rsid w:val="00654263"/>
    <w:rsid w:val="00657A2C"/>
    <w:rsid w:val="006612E2"/>
    <w:rsid w:val="00662055"/>
    <w:rsid w:val="006642A6"/>
    <w:rsid w:val="00664C9B"/>
    <w:rsid w:val="00667012"/>
    <w:rsid w:val="00670792"/>
    <w:rsid w:val="00671FE1"/>
    <w:rsid w:val="00681E9E"/>
    <w:rsid w:val="00683DE3"/>
    <w:rsid w:val="00684566"/>
    <w:rsid w:val="006928C2"/>
    <w:rsid w:val="006946D6"/>
    <w:rsid w:val="00694E99"/>
    <w:rsid w:val="0069735F"/>
    <w:rsid w:val="006A28C8"/>
    <w:rsid w:val="006A39C1"/>
    <w:rsid w:val="006C004E"/>
    <w:rsid w:val="006C4EFC"/>
    <w:rsid w:val="006C5C9F"/>
    <w:rsid w:val="006C63FD"/>
    <w:rsid w:val="006C7F99"/>
    <w:rsid w:val="006D2A42"/>
    <w:rsid w:val="006D2FA1"/>
    <w:rsid w:val="006D6925"/>
    <w:rsid w:val="006E1977"/>
    <w:rsid w:val="006E6C45"/>
    <w:rsid w:val="006F0735"/>
    <w:rsid w:val="006F15AF"/>
    <w:rsid w:val="006F4D0C"/>
    <w:rsid w:val="00707A9C"/>
    <w:rsid w:val="0071268C"/>
    <w:rsid w:val="007165C3"/>
    <w:rsid w:val="007213CD"/>
    <w:rsid w:val="007237C0"/>
    <w:rsid w:val="00726555"/>
    <w:rsid w:val="00732156"/>
    <w:rsid w:val="00734CAE"/>
    <w:rsid w:val="00743B19"/>
    <w:rsid w:val="0074415A"/>
    <w:rsid w:val="00744185"/>
    <w:rsid w:val="00746AE2"/>
    <w:rsid w:val="00754ADE"/>
    <w:rsid w:val="00755681"/>
    <w:rsid w:val="007566C3"/>
    <w:rsid w:val="0076196C"/>
    <w:rsid w:val="00762274"/>
    <w:rsid w:val="0079045A"/>
    <w:rsid w:val="00790E7E"/>
    <w:rsid w:val="00791964"/>
    <w:rsid w:val="00794960"/>
    <w:rsid w:val="007A1E38"/>
    <w:rsid w:val="007A381F"/>
    <w:rsid w:val="007A658A"/>
    <w:rsid w:val="007A6EE0"/>
    <w:rsid w:val="007B3825"/>
    <w:rsid w:val="007C3DF1"/>
    <w:rsid w:val="007C3E7B"/>
    <w:rsid w:val="007C45DF"/>
    <w:rsid w:val="007C4871"/>
    <w:rsid w:val="007C50A8"/>
    <w:rsid w:val="007C6E71"/>
    <w:rsid w:val="007D6F45"/>
    <w:rsid w:val="007E3F85"/>
    <w:rsid w:val="007F6901"/>
    <w:rsid w:val="008024F8"/>
    <w:rsid w:val="00802533"/>
    <w:rsid w:val="00807FC3"/>
    <w:rsid w:val="008134FB"/>
    <w:rsid w:val="00815AC2"/>
    <w:rsid w:val="0082111E"/>
    <w:rsid w:val="00822296"/>
    <w:rsid w:val="00822865"/>
    <w:rsid w:val="00825984"/>
    <w:rsid w:val="00826976"/>
    <w:rsid w:val="00827874"/>
    <w:rsid w:val="00827A64"/>
    <w:rsid w:val="008322BD"/>
    <w:rsid w:val="008405E3"/>
    <w:rsid w:val="00856AAC"/>
    <w:rsid w:val="00861784"/>
    <w:rsid w:val="00862764"/>
    <w:rsid w:val="00866FF3"/>
    <w:rsid w:val="00873832"/>
    <w:rsid w:val="00873A27"/>
    <w:rsid w:val="008749A6"/>
    <w:rsid w:val="00877B69"/>
    <w:rsid w:val="00881FC0"/>
    <w:rsid w:val="008821AA"/>
    <w:rsid w:val="00882CA3"/>
    <w:rsid w:val="00887FC9"/>
    <w:rsid w:val="008954F7"/>
    <w:rsid w:val="008B2D00"/>
    <w:rsid w:val="008C0E36"/>
    <w:rsid w:val="008C4291"/>
    <w:rsid w:val="008C4FA2"/>
    <w:rsid w:val="008D098A"/>
    <w:rsid w:val="008E046D"/>
    <w:rsid w:val="008F09A6"/>
    <w:rsid w:val="008F58BD"/>
    <w:rsid w:val="008F6857"/>
    <w:rsid w:val="00901652"/>
    <w:rsid w:val="00910066"/>
    <w:rsid w:val="009218FF"/>
    <w:rsid w:val="00923E7B"/>
    <w:rsid w:val="00924CCD"/>
    <w:rsid w:val="00927198"/>
    <w:rsid w:val="00927BBF"/>
    <w:rsid w:val="00927CE9"/>
    <w:rsid w:val="00930189"/>
    <w:rsid w:val="0093242F"/>
    <w:rsid w:val="00941C1A"/>
    <w:rsid w:val="00943CEF"/>
    <w:rsid w:val="0094494B"/>
    <w:rsid w:val="00954400"/>
    <w:rsid w:val="00956C6C"/>
    <w:rsid w:val="009622CF"/>
    <w:rsid w:val="00962D21"/>
    <w:rsid w:val="0097124A"/>
    <w:rsid w:val="0097137C"/>
    <w:rsid w:val="00981904"/>
    <w:rsid w:val="00981A44"/>
    <w:rsid w:val="009836BE"/>
    <w:rsid w:val="009905C3"/>
    <w:rsid w:val="0099194D"/>
    <w:rsid w:val="009A0539"/>
    <w:rsid w:val="009A14B4"/>
    <w:rsid w:val="009B77CF"/>
    <w:rsid w:val="009D3985"/>
    <w:rsid w:val="009D48CD"/>
    <w:rsid w:val="009D71B4"/>
    <w:rsid w:val="009D7CA6"/>
    <w:rsid w:val="009E02AD"/>
    <w:rsid w:val="009E7787"/>
    <w:rsid w:val="009F0966"/>
    <w:rsid w:val="009F2BE1"/>
    <w:rsid w:val="009F48B5"/>
    <w:rsid w:val="00A06D0A"/>
    <w:rsid w:val="00A20069"/>
    <w:rsid w:val="00A219BA"/>
    <w:rsid w:val="00A23FF6"/>
    <w:rsid w:val="00A26BF1"/>
    <w:rsid w:val="00A30462"/>
    <w:rsid w:val="00A32F3F"/>
    <w:rsid w:val="00A40683"/>
    <w:rsid w:val="00A4145D"/>
    <w:rsid w:val="00A50F9D"/>
    <w:rsid w:val="00A6020C"/>
    <w:rsid w:val="00A62818"/>
    <w:rsid w:val="00A65496"/>
    <w:rsid w:val="00A66771"/>
    <w:rsid w:val="00A66C8B"/>
    <w:rsid w:val="00A8040C"/>
    <w:rsid w:val="00A80D7E"/>
    <w:rsid w:val="00A90934"/>
    <w:rsid w:val="00A94E3C"/>
    <w:rsid w:val="00A955B5"/>
    <w:rsid w:val="00AA4A63"/>
    <w:rsid w:val="00AA4AB2"/>
    <w:rsid w:val="00AA7A42"/>
    <w:rsid w:val="00AB0054"/>
    <w:rsid w:val="00AB0C08"/>
    <w:rsid w:val="00AB19D0"/>
    <w:rsid w:val="00AB212E"/>
    <w:rsid w:val="00AB2580"/>
    <w:rsid w:val="00AB46B9"/>
    <w:rsid w:val="00AC5BEF"/>
    <w:rsid w:val="00AC5EBA"/>
    <w:rsid w:val="00AC5F63"/>
    <w:rsid w:val="00AC6ECC"/>
    <w:rsid w:val="00AD628F"/>
    <w:rsid w:val="00AE35D5"/>
    <w:rsid w:val="00AE3E3D"/>
    <w:rsid w:val="00AE54CA"/>
    <w:rsid w:val="00AE56B4"/>
    <w:rsid w:val="00AE6211"/>
    <w:rsid w:val="00B03C3B"/>
    <w:rsid w:val="00B066D9"/>
    <w:rsid w:val="00B076A8"/>
    <w:rsid w:val="00B121B7"/>
    <w:rsid w:val="00B21A8F"/>
    <w:rsid w:val="00B27945"/>
    <w:rsid w:val="00B279CF"/>
    <w:rsid w:val="00B373B1"/>
    <w:rsid w:val="00B37C4B"/>
    <w:rsid w:val="00B410A7"/>
    <w:rsid w:val="00B417CB"/>
    <w:rsid w:val="00B516CC"/>
    <w:rsid w:val="00B57FC7"/>
    <w:rsid w:val="00B622CB"/>
    <w:rsid w:val="00B6405A"/>
    <w:rsid w:val="00B70147"/>
    <w:rsid w:val="00B71B3E"/>
    <w:rsid w:val="00B80EA2"/>
    <w:rsid w:val="00B86B7F"/>
    <w:rsid w:val="00B93A03"/>
    <w:rsid w:val="00B93F0A"/>
    <w:rsid w:val="00BA12F3"/>
    <w:rsid w:val="00BB174D"/>
    <w:rsid w:val="00BB5C8E"/>
    <w:rsid w:val="00BB78CC"/>
    <w:rsid w:val="00BC71AF"/>
    <w:rsid w:val="00BD2F1B"/>
    <w:rsid w:val="00BE4B7E"/>
    <w:rsid w:val="00BE71D3"/>
    <w:rsid w:val="00BF3A53"/>
    <w:rsid w:val="00BF6615"/>
    <w:rsid w:val="00BF735D"/>
    <w:rsid w:val="00C023C7"/>
    <w:rsid w:val="00C04617"/>
    <w:rsid w:val="00C04EBC"/>
    <w:rsid w:val="00C120A7"/>
    <w:rsid w:val="00C15B53"/>
    <w:rsid w:val="00C17514"/>
    <w:rsid w:val="00C21E81"/>
    <w:rsid w:val="00C231FE"/>
    <w:rsid w:val="00C26B4C"/>
    <w:rsid w:val="00C31A9C"/>
    <w:rsid w:val="00C332B9"/>
    <w:rsid w:val="00C36AB9"/>
    <w:rsid w:val="00C40E09"/>
    <w:rsid w:val="00C44652"/>
    <w:rsid w:val="00C44FC0"/>
    <w:rsid w:val="00C600CE"/>
    <w:rsid w:val="00C6215F"/>
    <w:rsid w:val="00C65BA5"/>
    <w:rsid w:val="00C84D6F"/>
    <w:rsid w:val="00C90B07"/>
    <w:rsid w:val="00CB66EE"/>
    <w:rsid w:val="00CD6881"/>
    <w:rsid w:val="00CE1BE2"/>
    <w:rsid w:val="00CE535F"/>
    <w:rsid w:val="00CE7DE4"/>
    <w:rsid w:val="00CF0623"/>
    <w:rsid w:val="00CF39E7"/>
    <w:rsid w:val="00CF6513"/>
    <w:rsid w:val="00D023A9"/>
    <w:rsid w:val="00D15143"/>
    <w:rsid w:val="00D15DE0"/>
    <w:rsid w:val="00D170F3"/>
    <w:rsid w:val="00D2029B"/>
    <w:rsid w:val="00D261E9"/>
    <w:rsid w:val="00D26A5C"/>
    <w:rsid w:val="00D27E12"/>
    <w:rsid w:val="00D331C4"/>
    <w:rsid w:val="00D3334A"/>
    <w:rsid w:val="00D33B11"/>
    <w:rsid w:val="00D34E02"/>
    <w:rsid w:val="00D40D92"/>
    <w:rsid w:val="00D429C9"/>
    <w:rsid w:val="00D601D0"/>
    <w:rsid w:val="00D6123E"/>
    <w:rsid w:val="00D641E1"/>
    <w:rsid w:val="00D7507E"/>
    <w:rsid w:val="00D75BEC"/>
    <w:rsid w:val="00D80283"/>
    <w:rsid w:val="00D839D7"/>
    <w:rsid w:val="00D849B8"/>
    <w:rsid w:val="00D8621C"/>
    <w:rsid w:val="00D91161"/>
    <w:rsid w:val="00DA197A"/>
    <w:rsid w:val="00DA526B"/>
    <w:rsid w:val="00DA7420"/>
    <w:rsid w:val="00DA7522"/>
    <w:rsid w:val="00DB0445"/>
    <w:rsid w:val="00DB791D"/>
    <w:rsid w:val="00DD1C9D"/>
    <w:rsid w:val="00DD2DBE"/>
    <w:rsid w:val="00DD2F2B"/>
    <w:rsid w:val="00DE4185"/>
    <w:rsid w:val="00DE62A4"/>
    <w:rsid w:val="00DF2AB2"/>
    <w:rsid w:val="00DF71D1"/>
    <w:rsid w:val="00E10797"/>
    <w:rsid w:val="00E1156F"/>
    <w:rsid w:val="00E1200B"/>
    <w:rsid w:val="00E1287C"/>
    <w:rsid w:val="00E12AD7"/>
    <w:rsid w:val="00E12E5D"/>
    <w:rsid w:val="00E1421A"/>
    <w:rsid w:val="00E225F1"/>
    <w:rsid w:val="00E24AD6"/>
    <w:rsid w:val="00E26068"/>
    <w:rsid w:val="00E3255A"/>
    <w:rsid w:val="00E376AE"/>
    <w:rsid w:val="00E44479"/>
    <w:rsid w:val="00E4577D"/>
    <w:rsid w:val="00E5057F"/>
    <w:rsid w:val="00E62094"/>
    <w:rsid w:val="00E62560"/>
    <w:rsid w:val="00E66260"/>
    <w:rsid w:val="00E722F7"/>
    <w:rsid w:val="00E77C8D"/>
    <w:rsid w:val="00E802A1"/>
    <w:rsid w:val="00E862A5"/>
    <w:rsid w:val="00E87DF5"/>
    <w:rsid w:val="00E909C4"/>
    <w:rsid w:val="00EA09FC"/>
    <w:rsid w:val="00EA0FD3"/>
    <w:rsid w:val="00EA26FE"/>
    <w:rsid w:val="00EA3213"/>
    <w:rsid w:val="00EA3407"/>
    <w:rsid w:val="00EA35D7"/>
    <w:rsid w:val="00EB0A0F"/>
    <w:rsid w:val="00EC1A5F"/>
    <w:rsid w:val="00EC1F71"/>
    <w:rsid w:val="00EC2C9A"/>
    <w:rsid w:val="00EC5CB0"/>
    <w:rsid w:val="00EC73DF"/>
    <w:rsid w:val="00ED0D58"/>
    <w:rsid w:val="00ED601D"/>
    <w:rsid w:val="00ED6EE4"/>
    <w:rsid w:val="00EE010D"/>
    <w:rsid w:val="00EE1B37"/>
    <w:rsid w:val="00EE3267"/>
    <w:rsid w:val="00EE49D5"/>
    <w:rsid w:val="00F04ECF"/>
    <w:rsid w:val="00F066FB"/>
    <w:rsid w:val="00F105D1"/>
    <w:rsid w:val="00F2674F"/>
    <w:rsid w:val="00F3145E"/>
    <w:rsid w:val="00F411E7"/>
    <w:rsid w:val="00F41D38"/>
    <w:rsid w:val="00F41E7B"/>
    <w:rsid w:val="00F43D4B"/>
    <w:rsid w:val="00F4465B"/>
    <w:rsid w:val="00F516B8"/>
    <w:rsid w:val="00F625A8"/>
    <w:rsid w:val="00F655F8"/>
    <w:rsid w:val="00F66E5B"/>
    <w:rsid w:val="00F66EA1"/>
    <w:rsid w:val="00F7309D"/>
    <w:rsid w:val="00F74AEC"/>
    <w:rsid w:val="00F81F9E"/>
    <w:rsid w:val="00F85B10"/>
    <w:rsid w:val="00F85FC3"/>
    <w:rsid w:val="00F8657E"/>
    <w:rsid w:val="00F87E9E"/>
    <w:rsid w:val="00F94CAE"/>
    <w:rsid w:val="00FA47ED"/>
    <w:rsid w:val="00FA5948"/>
    <w:rsid w:val="00FB2B3E"/>
    <w:rsid w:val="00FB39D5"/>
    <w:rsid w:val="00FC28BF"/>
    <w:rsid w:val="00FC5063"/>
    <w:rsid w:val="00FC567F"/>
    <w:rsid w:val="00FC677A"/>
    <w:rsid w:val="00FD2622"/>
    <w:rsid w:val="00FD5141"/>
    <w:rsid w:val="00FD55B2"/>
    <w:rsid w:val="00FF0493"/>
    <w:rsid w:val="00FF1F6C"/>
    <w:rsid w:val="00FF2DD9"/>
    <w:rsid w:val="00FF41DF"/>
    <w:rsid w:val="00FF5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F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6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09A6"/>
    <w:pPr>
      <w:ind w:left="720"/>
      <w:contextualSpacing/>
    </w:pPr>
  </w:style>
  <w:style w:type="paragraph" w:styleId="Header">
    <w:name w:val="header"/>
    <w:basedOn w:val="Normal"/>
    <w:link w:val="HeaderChar"/>
    <w:uiPriority w:val="99"/>
    <w:unhideWhenUsed/>
    <w:rsid w:val="00011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C77"/>
  </w:style>
  <w:style w:type="paragraph" w:styleId="Footer">
    <w:name w:val="footer"/>
    <w:basedOn w:val="Normal"/>
    <w:link w:val="FooterChar"/>
    <w:uiPriority w:val="99"/>
    <w:unhideWhenUsed/>
    <w:rsid w:val="00011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C77"/>
  </w:style>
  <w:style w:type="character" w:styleId="CommentReference">
    <w:name w:val="annotation reference"/>
    <w:basedOn w:val="DefaultParagraphFont"/>
    <w:uiPriority w:val="99"/>
    <w:semiHidden/>
    <w:unhideWhenUsed/>
    <w:rsid w:val="00822296"/>
    <w:rPr>
      <w:sz w:val="16"/>
      <w:szCs w:val="16"/>
    </w:rPr>
  </w:style>
  <w:style w:type="paragraph" w:styleId="CommentText">
    <w:name w:val="annotation text"/>
    <w:basedOn w:val="Normal"/>
    <w:link w:val="CommentTextChar"/>
    <w:uiPriority w:val="99"/>
    <w:unhideWhenUsed/>
    <w:rsid w:val="00822296"/>
    <w:pPr>
      <w:spacing w:line="240" w:lineRule="auto"/>
    </w:pPr>
    <w:rPr>
      <w:sz w:val="20"/>
      <w:szCs w:val="20"/>
    </w:rPr>
  </w:style>
  <w:style w:type="character" w:customStyle="1" w:styleId="CommentTextChar">
    <w:name w:val="Comment Text Char"/>
    <w:basedOn w:val="DefaultParagraphFont"/>
    <w:link w:val="CommentText"/>
    <w:uiPriority w:val="99"/>
    <w:rsid w:val="00822296"/>
    <w:rPr>
      <w:sz w:val="20"/>
      <w:szCs w:val="20"/>
    </w:rPr>
  </w:style>
  <w:style w:type="paragraph" w:styleId="CommentSubject">
    <w:name w:val="annotation subject"/>
    <w:basedOn w:val="CommentText"/>
    <w:next w:val="CommentText"/>
    <w:link w:val="CommentSubjectChar"/>
    <w:uiPriority w:val="99"/>
    <w:semiHidden/>
    <w:unhideWhenUsed/>
    <w:rsid w:val="00822296"/>
    <w:rPr>
      <w:b/>
      <w:bCs/>
    </w:rPr>
  </w:style>
  <w:style w:type="character" w:customStyle="1" w:styleId="CommentSubjectChar">
    <w:name w:val="Comment Subject Char"/>
    <w:basedOn w:val="CommentTextChar"/>
    <w:link w:val="CommentSubject"/>
    <w:uiPriority w:val="99"/>
    <w:semiHidden/>
    <w:rsid w:val="00822296"/>
    <w:rPr>
      <w:b/>
      <w:bCs/>
      <w:sz w:val="20"/>
      <w:szCs w:val="20"/>
    </w:rPr>
  </w:style>
  <w:style w:type="paragraph" w:styleId="BalloonText">
    <w:name w:val="Balloon Text"/>
    <w:basedOn w:val="Normal"/>
    <w:link w:val="BalloonTextChar"/>
    <w:uiPriority w:val="99"/>
    <w:semiHidden/>
    <w:unhideWhenUsed/>
    <w:rsid w:val="00822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296"/>
    <w:rPr>
      <w:rFonts w:ascii="Segoe UI" w:hAnsi="Segoe UI" w:cs="Segoe UI"/>
      <w:sz w:val="18"/>
      <w:szCs w:val="18"/>
    </w:rPr>
  </w:style>
  <w:style w:type="paragraph" w:customStyle="1" w:styleId="Default">
    <w:name w:val="Default"/>
    <w:rsid w:val="0064597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Revision">
    <w:name w:val="Revision"/>
    <w:hidden/>
    <w:uiPriority w:val="99"/>
    <w:semiHidden/>
    <w:rsid w:val="00565F95"/>
    <w:pPr>
      <w:spacing w:after="0" w:line="240" w:lineRule="auto"/>
    </w:pPr>
  </w:style>
  <w:style w:type="character" w:styleId="PlaceholderText">
    <w:name w:val="Placeholder Text"/>
    <w:basedOn w:val="DefaultParagraphFont"/>
    <w:uiPriority w:val="99"/>
    <w:semiHidden/>
    <w:rsid w:val="00AE56B4"/>
    <w:rPr>
      <w:color w:val="808080"/>
    </w:rPr>
  </w:style>
  <w:style w:type="character" w:styleId="Hyperlink">
    <w:name w:val="Hyperlink"/>
    <w:basedOn w:val="DefaultParagraphFont"/>
    <w:uiPriority w:val="99"/>
    <w:unhideWhenUsed/>
    <w:rsid w:val="0035375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6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09A6"/>
    <w:pPr>
      <w:ind w:left="720"/>
      <w:contextualSpacing/>
    </w:pPr>
  </w:style>
  <w:style w:type="paragraph" w:styleId="Header">
    <w:name w:val="header"/>
    <w:basedOn w:val="Normal"/>
    <w:link w:val="HeaderChar"/>
    <w:uiPriority w:val="99"/>
    <w:unhideWhenUsed/>
    <w:rsid w:val="00011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C77"/>
  </w:style>
  <w:style w:type="paragraph" w:styleId="Footer">
    <w:name w:val="footer"/>
    <w:basedOn w:val="Normal"/>
    <w:link w:val="FooterChar"/>
    <w:uiPriority w:val="99"/>
    <w:unhideWhenUsed/>
    <w:rsid w:val="00011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C77"/>
  </w:style>
  <w:style w:type="character" w:styleId="CommentReference">
    <w:name w:val="annotation reference"/>
    <w:basedOn w:val="DefaultParagraphFont"/>
    <w:uiPriority w:val="99"/>
    <w:semiHidden/>
    <w:unhideWhenUsed/>
    <w:rsid w:val="00822296"/>
    <w:rPr>
      <w:sz w:val="16"/>
      <w:szCs w:val="16"/>
    </w:rPr>
  </w:style>
  <w:style w:type="paragraph" w:styleId="CommentText">
    <w:name w:val="annotation text"/>
    <w:basedOn w:val="Normal"/>
    <w:link w:val="CommentTextChar"/>
    <w:uiPriority w:val="99"/>
    <w:unhideWhenUsed/>
    <w:rsid w:val="00822296"/>
    <w:pPr>
      <w:spacing w:line="240" w:lineRule="auto"/>
    </w:pPr>
    <w:rPr>
      <w:sz w:val="20"/>
      <w:szCs w:val="20"/>
    </w:rPr>
  </w:style>
  <w:style w:type="character" w:customStyle="1" w:styleId="CommentTextChar">
    <w:name w:val="Comment Text Char"/>
    <w:basedOn w:val="DefaultParagraphFont"/>
    <w:link w:val="CommentText"/>
    <w:uiPriority w:val="99"/>
    <w:rsid w:val="00822296"/>
    <w:rPr>
      <w:sz w:val="20"/>
      <w:szCs w:val="20"/>
    </w:rPr>
  </w:style>
  <w:style w:type="paragraph" w:styleId="CommentSubject">
    <w:name w:val="annotation subject"/>
    <w:basedOn w:val="CommentText"/>
    <w:next w:val="CommentText"/>
    <w:link w:val="CommentSubjectChar"/>
    <w:uiPriority w:val="99"/>
    <w:semiHidden/>
    <w:unhideWhenUsed/>
    <w:rsid w:val="00822296"/>
    <w:rPr>
      <w:b/>
      <w:bCs/>
    </w:rPr>
  </w:style>
  <w:style w:type="character" w:customStyle="1" w:styleId="CommentSubjectChar">
    <w:name w:val="Comment Subject Char"/>
    <w:basedOn w:val="CommentTextChar"/>
    <w:link w:val="CommentSubject"/>
    <w:uiPriority w:val="99"/>
    <w:semiHidden/>
    <w:rsid w:val="00822296"/>
    <w:rPr>
      <w:b/>
      <w:bCs/>
      <w:sz w:val="20"/>
      <w:szCs w:val="20"/>
    </w:rPr>
  </w:style>
  <w:style w:type="paragraph" w:styleId="BalloonText">
    <w:name w:val="Balloon Text"/>
    <w:basedOn w:val="Normal"/>
    <w:link w:val="BalloonTextChar"/>
    <w:uiPriority w:val="99"/>
    <w:semiHidden/>
    <w:unhideWhenUsed/>
    <w:rsid w:val="00822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296"/>
    <w:rPr>
      <w:rFonts w:ascii="Segoe UI" w:hAnsi="Segoe UI" w:cs="Segoe UI"/>
      <w:sz w:val="18"/>
      <w:szCs w:val="18"/>
    </w:rPr>
  </w:style>
  <w:style w:type="paragraph" w:customStyle="1" w:styleId="Default">
    <w:name w:val="Default"/>
    <w:rsid w:val="0064597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Revision">
    <w:name w:val="Revision"/>
    <w:hidden/>
    <w:uiPriority w:val="99"/>
    <w:semiHidden/>
    <w:rsid w:val="00565F95"/>
    <w:pPr>
      <w:spacing w:after="0" w:line="240" w:lineRule="auto"/>
    </w:pPr>
  </w:style>
  <w:style w:type="character" w:styleId="PlaceholderText">
    <w:name w:val="Placeholder Text"/>
    <w:basedOn w:val="DefaultParagraphFont"/>
    <w:uiPriority w:val="99"/>
    <w:semiHidden/>
    <w:rsid w:val="00AE56B4"/>
    <w:rPr>
      <w:color w:val="808080"/>
    </w:rPr>
  </w:style>
  <w:style w:type="character" w:styleId="Hyperlink">
    <w:name w:val="Hyperlink"/>
    <w:basedOn w:val="DefaultParagraphFont"/>
    <w:uiPriority w:val="99"/>
    <w:unhideWhenUsed/>
    <w:rsid w:val="003537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3948">
      <w:bodyDiv w:val="1"/>
      <w:marLeft w:val="0"/>
      <w:marRight w:val="0"/>
      <w:marTop w:val="0"/>
      <w:marBottom w:val="0"/>
      <w:divBdr>
        <w:top w:val="none" w:sz="0" w:space="0" w:color="auto"/>
        <w:left w:val="none" w:sz="0" w:space="0" w:color="auto"/>
        <w:bottom w:val="none" w:sz="0" w:space="0" w:color="auto"/>
        <w:right w:val="none" w:sz="0" w:space="0" w:color="auto"/>
      </w:divBdr>
    </w:div>
    <w:div w:id="331491677">
      <w:bodyDiv w:val="1"/>
      <w:marLeft w:val="0"/>
      <w:marRight w:val="0"/>
      <w:marTop w:val="0"/>
      <w:marBottom w:val="0"/>
      <w:divBdr>
        <w:top w:val="none" w:sz="0" w:space="0" w:color="auto"/>
        <w:left w:val="none" w:sz="0" w:space="0" w:color="auto"/>
        <w:bottom w:val="none" w:sz="0" w:space="0" w:color="auto"/>
        <w:right w:val="none" w:sz="0" w:space="0" w:color="auto"/>
      </w:divBdr>
    </w:div>
    <w:div w:id="386608875">
      <w:bodyDiv w:val="1"/>
      <w:marLeft w:val="0"/>
      <w:marRight w:val="0"/>
      <w:marTop w:val="0"/>
      <w:marBottom w:val="0"/>
      <w:divBdr>
        <w:top w:val="none" w:sz="0" w:space="0" w:color="auto"/>
        <w:left w:val="none" w:sz="0" w:space="0" w:color="auto"/>
        <w:bottom w:val="none" w:sz="0" w:space="0" w:color="auto"/>
        <w:right w:val="none" w:sz="0" w:space="0" w:color="auto"/>
      </w:divBdr>
    </w:div>
    <w:div w:id="431896247">
      <w:bodyDiv w:val="1"/>
      <w:marLeft w:val="0"/>
      <w:marRight w:val="0"/>
      <w:marTop w:val="0"/>
      <w:marBottom w:val="0"/>
      <w:divBdr>
        <w:top w:val="none" w:sz="0" w:space="0" w:color="auto"/>
        <w:left w:val="none" w:sz="0" w:space="0" w:color="auto"/>
        <w:bottom w:val="none" w:sz="0" w:space="0" w:color="auto"/>
        <w:right w:val="none" w:sz="0" w:space="0" w:color="auto"/>
      </w:divBdr>
    </w:div>
    <w:div w:id="733814573">
      <w:bodyDiv w:val="1"/>
      <w:marLeft w:val="0"/>
      <w:marRight w:val="0"/>
      <w:marTop w:val="0"/>
      <w:marBottom w:val="0"/>
      <w:divBdr>
        <w:top w:val="none" w:sz="0" w:space="0" w:color="auto"/>
        <w:left w:val="none" w:sz="0" w:space="0" w:color="auto"/>
        <w:bottom w:val="none" w:sz="0" w:space="0" w:color="auto"/>
        <w:right w:val="none" w:sz="0" w:space="0" w:color="auto"/>
      </w:divBdr>
    </w:div>
    <w:div w:id="781847514">
      <w:bodyDiv w:val="1"/>
      <w:marLeft w:val="0"/>
      <w:marRight w:val="0"/>
      <w:marTop w:val="0"/>
      <w:marBottom w:val="0"/>
      <w:divBdr>
        <w:top w:val="none" w:sz="0" w:space="0" w:color="auto"/>
        <w:left w:val="none" w:sz="0" w:space="0" w:color="auto"/>
        <w:bottom w:val="none" w:sz="0" w:space="0" w:color="auto"/>
        <w:right w:val="none" w:sz="0" w:space="0" w:color="auto"/>
      </w:divBdr>
    </w:div>
    <w:div w:id="959610504">
      <w:bodyDiv w:val="1"/>
      <w:marLeft w:val="0"/>
      <w:marRight w:val="0"/>
      <w:marTop w:val="0"/>
      <w:marBottom w:val="0"/>
      <w:divBdr>
        <w:top w:val="none" w:sz="0" w:space="0" w:color="auto"/>
        <w:left w:val="none" w:sz="0" w:space="0" w:color="auto"/>
        <w:bottom w:val="none" w:sz="0" w:space="0" w:color="auto"/>
        <w:right w:val="none" w:sz="0" w:space="0" w:color="auto"/>
      </w:divBdr>
    </w:div>
    <w:div w:id="1044787590">
      <w:bodyDiv w:val="1"/>
      <w:marLeft w:val="0"/>
      <w:marRight w:val="0"/>
      <w:marTop w:val="0"/>
      <w:marBottom w:val="0"/>
      <w:divBdr>
        <w:top w:val="none" w:sz="0" w:space="0" w:color="auto"/>
        <w:left w:val="none" w:sz="0" w:space="0" w:color="auto"/>
        <w:bottom w:val="none" w:sz="0" w:space="0" w:color="auto"/>
        <w:right w:val="none" w:sz="0" w:space="0" w:color="auto"/>
      </w:divBdr>
    </w:div>
    <w:div w:id="1269384294">
      <w:bodyDiv w:val="1"/>
      <w:marLeft w:val="0"/>
      <w:marRight w:val="0"/>
      <w:marTop w:val="0"/>
      <w:marBottom w:val="0"/>
      <w:divBdr>
        <w:top w:val="none" w:sz="0" w:space="0" w:color="auto"/>
        <w:left w:val="none" w:sz="0" w:space="0" w:color="auto"/>
        <w:bottom w:val="none" w:sz="0" w:space="0" w:color="auto"/>
        <w:right w:val="none" w:sz="0" w:space="0" w:color="auto"/>
      </w:divBdr>
    </w:div>
    <w:div w:id="1539973968">
      <w:bodyDiv w:val="1"/>
      <w:marLeft w:val="0"/>
      <w:marRight w:val="0"/>
      <w:marTop w:val="0"/>
      <w:marBottom w:val="0"/>
      <w:divBdr>
        <w:top w:val="none" w:sz="0" w:space="0" w:color="auto"/>
        <w:left w:val="none" w:sz="0" w:space="0" w:color="auto"/>
        <w:bottom w:val="none" w:sz="0" w:space="0" w:color="auto"/>
        <w:right w:val="none" w:sz="0" w:space="0" w:color="auto"/>
      </w:divBdr>
    </w:div>
    <w:div w:id="15967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roject.org/2013"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60"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7012</Words>
  <Characters>39970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Bird</dc:creator>
  <cp:lastModifiedBy>danielf</cp:lastModifiedBy>
  <cp:revision>4</cp:revision>
  <dcterms:created xsi:type="dcterms:W3CDTF">2019-01-31T19:57:00Z</dcterms:created>
  <dcterms:modified xsi:type="dcterms:W3CDTF">2019-01-31T20:27:00Z</dcterms:modified>
</cp:coreProperties>
</file>