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99091" w14:textId="77777777" w:rsidR="0008670D" w:rsidRDefault="0008670D" w:rsidP="005651C9"/>
    <w:p w14:paraId="47BE6F4F" w14:textId="5642851D" w:rsidR="00100D9E" w:rsidRDefault="00281540" w:rsidP="005651C9">
      <w:r>
        <w:t xml:space="preserve">Implementing </w:t>
      </w:r>
      <w:r w:rsidR="0048049F">
        <w:t>professional behaviour change</w:t>
      </w:r>
      <w:r>
        <w:t xml:space="preserve"> in teams</w:t>
      </w:r>
      <w:r w:rsidR="00AD6AD3">
        <w:t xml:space="preserve"> under pressure </w:t>
      </w:r>
      <w:r w:rsidR="00100D9E">
        <w:t>–</w:t>
      </w:r>
      <w:r w:rsidR="00100D9E" w:rsidRPr="00100D9E">
        <w:t xml:space="preserve"> </w:t>
      </w:r>
      <w:r w:rsidR="00100D9E">
        <w:t xml:space="preserve">results from phase one of </w:t>
      </w:r>
      <w:r w:rsidR="00100D9E" w:rsidRPr="00100D9E">
        <w:t>a prospective process evaluation</w:t>
      </w:r>
      <w:r w:rsidR="00054774">
        <w:t xml:space="preserve"> (the </w:t>
      </w:r>
      <w:r w:rsidR="00B77C22">
        <w:rPr>
          <w:i/>
        </w:rPr>
        <w:t>I</w:t>
      </w:r>
      <w:r w:rsidR="00054774">
        <w:rPr>
          <w:i/>
        </w:rPr>
        <w:t xml:space="preserve">mplementing </w:t>
      </w:r>
      <w:r w:rsidR="00B77C22">
        <w:rPr>
          <w:i/>
        </w:rPr>
        <w:t>N</w:t>
      </w:r>
      <w:r w:rsidR="00054774">
        <w:rPr>
          <w:i/>
        </w:rPr>
        <w:t xml:space="preserve">utrition </w:t>
      </w:r>
      <w:r w:rsidR="00B77C22">
        <w:rPr>
          <w:i/>
        </w:rPr>
        <w:t>S</w:t>
      </w:r>
      <w:r w:rsidR="00054774">
        <w:rPr>
          <w:i/>
        </w:rPr>
        <w:t xml:space="preserve">creening in </w:t>
      </w:r>
      <w:r w:rsidR="00B77C22">
        <w:rPr>
          <w:i/>
        </w:rPr>
        <w:t>C</w:t>
      </w:r>
      <w:r w:rsidR="00054774">
        <w:rPr>
          <w:i/>
        </w:rPr>
        <w:t xml:space="preserve">ommunity </w:t>
      </w:r>
      <w:r w:rsidR="00B77C22">
        <w:rPr>
          <w:i/>
        </w:rPr>
        <w:t>C</w:t>
      </w:r>
      <w:r w:rsidR="00054774">
        <w:rPr>
          <w:i/>
        </w:rPr>
        <w:t xml:space="preserve">are for </w:t>
      </w:r>
      <w:r w:rsidR="00B77C22">
        <w:rPr>
          <w:i/>
        </w:rPr>
        <w:t>O</w:t>
      </w:r>
      <w:r w:rsidR="00054774">
        <w:rPr>
          <w:i/>
        </w:rPr>
        <w:t xml:space="preserve">lder </w:t>
      </w:r>
      <w:r w:rsidR="00B77C22">
        <w:rPr>
          <w:i/>
        </w:rPr>
        <w:t>P</w:t>
      </w:r>
      <w:r w:rsidR="00054774">
        <w:rPr>
          <w:i/>
        </w:rPr>
        <w:t>eople</w:t>
      </w:r>
      <w:r w:rsidR="00AD6AD3">
        <w:t xml:space="preserve"> (INSCCOPe)</w:t>
      </w:r>
      <w:r w:rsidR="00054774">
        <w:t xml:space="preserve"> project)</w:t>
      </w:r>
      <w:r w:rsidR="00100D9E">
        <w:t>.</w:t>
      </w:r>
    </w:p>
    <w:p w14:paraId="01D41F83" w14:textId="5FAB9C0C" w:rsidR="005651C9" w:rsidRDefault="005651C9" w:rsidP="005651C9">
      <w:r>
        <w:t>Mike Bracher</w:t>
      </w:r>
      <w:r w:rsidR="003D6483">
        <w:t xml:space="preserve"> (MB)</w:t>
      </w:r>
      <w:r>
        <w:t xml:space="preserve"> (</w:t>
      </w:r>
      <w:r w:rsidR="005F25EA">
        <w:rPr>
          <w:rStyle w:val="Hyperlink"/>
        </w:rPr>
        <w:t>m.j.bracher@soton.ac.uk</w:t>
      </w:r>
      <w:r>
        <w:t>)</w:t>
      </w:r>
      <w:r w:rsidRPr="00D52CE5">
        <w:rPr>
          <w:vertAlign w:val="superscript"/>
        </w:rPr>
        <w:t>1</w:t>
      </w:r>
      <w:r>
        <w:rPr>
          <w:vertAlign w:val="superscript"/>
        </w:rPr>
        <w:t>2§</w:t>
      </w:r>
    </w:p>
    <w:p w14:paraId="6EF8290B" w14:textId="7E38DB2F" w:rsidR="005651C9" w:rsidRDefault="005651C9" w:rsidP="005651C9">
      <w:r>
        <w:t>Katherine Steward</w:t>
      </w:r>
      <w:r w:rsidR="003D6483">
        <w:t xml:space="preserve"> (KS)</w:t>
      </w:r>
      <w:r>
        <w:t xml:space="preserve"> (</w:t>
      </w:r>
      <w:hyperlink r:id="rId8" w:history="1">
        <w:r w:rsidRPr="00C70C72">
          <w:rPr>
            <w:rStyle w:val="Hyperlink"/>
          </w:rPr>
          <w:t>Katherine.Steward@southernhealth.nhs.uk</w:t>
        </w:r>
      </w:hyperlink>
      <w:r>
        <w:t>)</w:t>
      </w:r>
      <w:r>
        <w:rPr>
          <w:vertAlign w:val="superscript"/>
        </w:rPr>
        <w:t>3</w:t>
      </w:r>
    </w:p>
    <w:p w14:paraId="414B8966" w14:textId="49C9D319" w:rsidR="005651C9" w:rsidRDefault="005651C9" w:rsidP="005651C9">
      <w:r>
        <w:t>Katherine Wallis</w:t>
      </w:r>
      <w:r w:rsidR="003D6483">
        <w:t xml:space="preserve"> (KW)</w:t>
      </w:r>
      <w:r>
        <w:t xml:space="preserve"> (</w:t>
      </w:r>
      <w:hyperlink r:id="rId9" w:history="1">
        <w:r w:rsidRPr="009F62D2">
          <w:rPr>
            <w:rStyle w:val="Hyperlink"/>
          </w:rPr>
          <w:t>Kathy.Wallis@wessexahsn.net</w:t>
        </w:r>
      </w:hyperlink>
      <w:r>
        <w:t>)</w:t>
      </w:r>
      <w:r>
        <w:rPr>
          <w:vertAlign w:val="superscript"/>
        </w:rPr>
        <w:t>4</w:t>
      </w:r>
    </w:p>
    <w:p w14:paraId="49A30F9F" w14:textId="5EBFEE49" w:rsidR="00971454" w:rsidRDefault="005651C9" w:rsidP="00971454">
      <w:r>
        <w:t>Carl R. May</w:t>
      </w:r>
      <w:r w:rsidR="003D6483">
        <w:t xml:space="preserve"> (CRM)</w:t>
      </w:r>
      <w:r>
        <w:t xml:space="preserve"> (</w:t>
      </w:r>
      <w:hyperlink r:id="rId10" w:history="1">
        <w:r w:rsidR="00EB17E9" w:rsidRPr="00EB17E9">
          <w:rPr>
            <w:rStyle w:val="Hyperlink"/>
          </w:rPr>
          <w:t>carl.may@lshtm.ac.uk)</w:t>
        </w:r>
        <w:r w:rsidR="00EB17E9" w:rsidRPr="00EB17E9">
          <w:rPr>
            <w:rStyle w:val="Hyperlink"/>
            <w:vertAlign w:val="superscript"/>
          </w:rPr>
          <w:t>5</w:t>
        </w:r>
      </w:hyperlink>
      <w:r w:rsidR="00971454" w:rsidRPr="00971454">
        <w:t xml:space="preserve"> </w:t>
      </w:r>
    </w:p>
    <w:p w14:paraId="4353D8D2" w14:textId="0BADCD81" w:rsidR="00AD6AD3" w:rsidRDefault="00792F02" w:rsidP="00971454">
      <w:r>
        <w:t>Annem</w:t>
      </w:r>
      <w:r w:rsidR="00AD6AD3">
        <w:t>arie Aburrow</w:t>
      </w:r>
      <w:r w:rsidR="003D6483">
        <w:t xml:space="preserve"> (AA)</w:t>
      </w:r>
      <w:r>
        <w:t xml:space="preserve"> (</w:t>
      </w:r>
      <w:hyperlink r:id="rId11" w:history="1">
        <w:r w:rsidRPr="00B13D6B">
          <w:rPr>
            <w:rStyle w:val="Hyperlink"/>
          </w:rPr>
          <w:t>expertdietitian@gmail.com</w:t>
        </w:r>
      </w:hyperlink>
      <w:r w:rsidRPr="00792F02">
        <w:rPr>
          <w:vertAlign w:val="superscript"/>
        </w:rPr>
        <w:t>4</w:t>
      </w:r>
      <w:r>
        <w:t>)</w:t>
      </w:r>
    </w:p>
    <w:p w14:paraId="341D269E" w14:textId="6CAD1497" w:rsidR="00971454" w:rsidRDefault="00971454" w:rsidP="00971454">
      <w:r>
        <w:t>Jane Murphy</w:t>
      </w:r>
      <w:r w:rsidR="003D6483">
        <w:t xml:space="preserve"> (JM)</w:t>
      </w:r>
      <w:r>
        <w:t xml:space="preserve"> (</w:t>
      </w:r>
      <w:hyperlink r:id="rId12" w:history="1">
        <w:r w:rsidRPr="00C70C72">
          <w:rPr>
            <w:rStyle w:val="Hyperlink"/>
          </w:rPr>
          <w:t>jmurphy@bournemouth.ac.uk</w:t>
        </w:r>
      </w:hyperlink>
      <w:r>
        <w:t>)</w:t>
      </w:r>
      <w:r>
        <w:rPr>
          <w:vertAlign w:val="superscript"/>
        </w:rPr>
        <w:t>2</w:t>
      </w:r>
    </w:p>
    <w:p w14:paraId="5F8EB09E" w14:textId="3248AE50" w:rsidR="005651C9" w:rsidRDefault="005F25EA" w:rsidP="005F25EA">
      <w:pPr>
        <w:pStyle w:val="ListParagraph"/>
        <w:numPr>
          <w:ilvl w:val="0"/>
          <w:numId w:val="1"/>
        </w:numPr>
      </w:pPr>
      <w:r w:rsidRPr="005F25EA">
        <w:t>School of Health Sciences, University of Southampton</w:t>
      </w:r>
    </w:p>
    <w:p w14:paraId="001A97B0" w14:textId="77777777" w:rsidR="005651C9" w:rsidRDefault="005651C9" w:rsidP="005651C9">
      <w:pPr>
        <w:pStyle w:val="ListParagraph"/>
        <w:numPr>
          <w:ilvl w:val="0"/>
          <w:numId w:val="1"/>
        </w:numPr>
      </w:pPr>
      <w:r>
        <w:t>Ageing and Dementia Research Centre (ADRC), Bournemouth University</w:t>
      </w:r>
    </w:p>
    <w:p w14:paraId="1739D8D6" w14:textId="77777777" w:rsidR="005651C9" w:rsidRDefault="005651C9" w:rsidP="005651C9">
      <w:pPr>
        <w:pStyle w:val="ListParagraph"/>
        <w:numPr>
          <w:ilvl w:val="0"/>
          <w:numId w:val="1"/>
        </w:numPr>
      </w:pPr>
      <w:r>
        <w:t>Southern Health NHS Foundation Trust</w:t>
      </w:r>
    </w:p>
    <w:p w14:paraId="21404F6E" w14:textId="77777777" w:rsidR="005651C9" w:rsidRDefault="005651C9" w:rsidP="005651C9">
      <w:pPr>
        <w:pStyle w:val="ListParagraph"/>
        <w:numPr>
          <w:ilvl w:val="0"/>
          <w:numId w:val="1"/>
        </w:numPr>
      </w:pPr>
      <w:r>
        <w:t>Wessex Academic Health Science Network (AHSN)</w:t>
      </w:r>
    </w:p>
    <w:p w14:paraId="3B33EDF5" w14:textId="0666166B" w:rsidR="005651C9" w:rsidRDefault="00EB17E9" w:rsidP="005651C9">
      <w:pPr>
        <w:pStyle w:val="ListParagraph"/>
        <w:numPr>
          <w:ilvl w:val="0"/>
          <w:numId w:val="1"/>
        </w:numPr>
      </w:pPr>
      <w:r>
        <w:t xml:space="preserve">Faculty of Public Health and Policy, </w:t>
      </w:r>
      <w:r w:rsidR="00971454">
        <w:t>London School of Hygiene and Tropical Medicine</w:t>
      </w:r>
    </w:p>
    <w:p w14:paraId="7C18D777" w14:textId="77777777" w:rsidR="005651C9" w:rsidRDefault="005651C9" w:rsidP="005651C9">
      <w:r>
        <w:t>§ Corresponding author</w:t>
      </w:r>
    </w:p>
    <w:p w14:paraId="600EED6F" w14:textId="63C7709B" w:rsidR="005651C9" w:rsidRDefault="005651C9" w:rsidP="005651C9">
      <w:r>
        <w:t xml:space="preserve">Mike Bracher, </w:t>
      </w:r>
      <w:r w:rsidR="005F25EA" w:rsidRPr="005F25EA">
        <w:t>School of Health Sciences, University of Southampton</w:t>
      </w:r>
      <w:bookmarkStart w:id="0" w:name="_GoBack"/>
      <w:bookmarkEnd w:id="0"/>
    </w:p>
    <w:p w14:paraId="37B7A93F" w14:textId="6340AE1F" w:rsidR="005651C9" w:rsidRDefault="005651C9" w:rsidP="005651C9">
      <w:r>
        <w:t xml:space="preserve">Email: </w:t>
      </w:r>
      <w:r w:rsidR="005F25EA" w:rsidRPr="005F25EA">
        <w:rPr>
          <w:rStyle w:val="Hyperlink"/>
        </w:rPr>
        <w:t>m.j.bracher@soton.ac.uk</w:t>
      </w:r>
      <w:r>
        <w:t>; Tel: 07888706484</w:t>
      </w:r>
    </w:p>
    <w:p w14:paraId="1BE49B46" w14:textId="77777777" w:rsidR="001C7AE6" w:rsidRDefault="001C7AE6"/>
    <w:p w14:paraId="2C25878D" w14:textId="77777777" w:rsidR="005651C9" w:rsidRDefault="005651C9"/>
    <w:p w14:paraId="36CDEBC3" w14:textId="77777777" w:rsidR="005651C9" w:rsidRDefault="005651C9"/>
    <w:p w14:paraId="14DA72E1" w14:textId="77777777" w:rsidR="005651C9" w:rsidRDefault="005651C9"/>
    <w:p w14:paraId="1B75EFD1" w14:textId="77777777" w:rsidR="005651C9" w:rsidRDefault="005651C9"/>
    <w:p w14:paraId="167DE2BF" w14:textId="77777777" w:rsidR="005651C9" w:rsidRDefault="005651C9"/>
    <w:p w14:paraId="7670673D" w14:textId="77777777" w:rsidR="005651C9" w:rsidRDefault="005651C9"/>
    <w:p w14:paraId="513595A8" w14:textId="77777777" w:rsidR="005651C9" w:rsidRDefault="005651C9"/>
    <w:p w14:paraId="0FBB29AC" w14:textId="77777777" w:rsidR="005651C9" w:rsidRDefault="005651C9"/>
    <w:p w14:paraId="1A3A6495" w14:textId="77777777" w:rsidR="005651C9" w:rsidRDefault="005651C9"/>
    <w:p w14:paraId="4D316B57" w14:textId="77777777" w:rsidR="005651C9" w:rsidRDefault="005651C9"/>
    <w:p w14:paraId="7BEFBFD2" w14:textId="77777777" w:rsidR="005651C9" w:rsidRDefault="005651C9"/>
    <w:p w14:paraId="379EC59D" w14:textId="77777777" w:rsidR="005651C9" w:rsidRDefault="005651C9"/>
    <w:p w14:paraId="610FE848" w14:textId="77777777" w:rsidR="005651C9" w:rsidRDefault="005651C9"/>
    <w:p w14:paraId="3A4F009A" w14:textId="4E4BC313" w:rsidR="005651C9" w:rsidRDefault="005651C9"/>
    <w:p w14:paraId="4B878A57" w14:textId="73CD5AD6" w:rsidR="00100D9E" w:rsidRDefault="00100D9E"/>
    <w:p w14:paraId="2822BE1A" w14:textId="710C3B93" w:rsidR="00253BD9" w:rsidRDefault="00253BD9"/>
    <w:p w14:paraId="7D566FA2" w14:textId="77777777" w:rsidR="00253BD9" w:rsidRDefault="00253BD9"/>
    <w:p w14:paraId="5AA8A1A6" w14:textId="77777777" w:rsidR="00100D9E" w:rsidRDefault="00100D9E"/>
    <w:p w14:paraId="03D6E3BF" w14:textId="77777777" w:rsidR="005651C9" w:rsidRPr="00570AA3" w:rsidRDefault="005651C9" w:rsidP="00570AA3">
      <w:pPr>
        <w:rPr>
          <w:b/>
        </w:rPr>
      </w:pPr>
      <w:r w:rsidRPr="00570AA3">
        <w:rPr>
          <w:b/>
        </w:rPr>
        <w:t>Abstract</w:t>
      </w:r>
    </w:p>
    <w:p w14:paraId="223CACA2" w14:textId="77777777" w:rsidR="00910D1D" w:rsidRDefault="00910D1D" w:rsidP="00910D1D"/>
    <w:p w14:paraId="49312F52" w14:textId="24257372" w:rsidR="005D382A" w:rsidRPr="005D382A" w:rsidRDefault="005D382A" w:rsidP="00A92EAE">
      <w:pPr>
        <w:jc w:val="both"/>
      </w:pPr>
      <w:r>
        <w:rPr>
          <w:b/>
        </w:rPr>
        <w:t xml:space="preserve">Objectives: </w:t>
      </w:r>
      <w:r w:rsidR="00AA24B6">
        <w:t>T</w:t>
      </w:r>
      <w:r w:rsidR="00AA24B6" w:rsidRPr="00AA24B6">
        <w:t>o evaluat</w:t>
      </w:r>
      <w:r w:rsidR="00AA24B6">
        <w:t xml:space="preserve">e </w:t>
      </w:r>
      <w:r w:rsidR="00AA24B6" w:rsidRPr="00AA24B6">
        <w:t>implementation of</w:t>
      </w:r>
      <w:r w:rsidR="00AA24B6">
        <w:t xml:space="preserve"> a new procedure for screening and treatment of malnutrition for older people in community settings; to</w:t>
      </w:r>
      <w:r w:rsidR="00AA24B6" w:rsidRPr="00AA24B6">
        <w:t xml:space="preserve"> identify factors </w:t>
      </w:r>
      <w:r w:rsidR="00AA24B6">
        <w:t>promoting or inhibiting its implementation as a routine aspect of care.</w:t>
      </w:r>
    </w:p>
    <w:p w14:paraId="09D76CFD" w14:textId="58736F83" w:rsidR="005D382A" w:rsidRDefault="005D382A" w:rsidP="00A92EAE">
      <w:pPr>
        <w:jc w:val="both"/>
      </w:pPr>
      <w:r>
        <w:rPr>
          <w:b/>
        </w:rPr>
        <w:t xml:space="preserve">Design: </w:t>
      </w:r>
      <w:r w:rsidR="00DC2A76">
        <w:t>Prospective process evaluation using mixed methods with pre/post-implementation measures.</w:t>
      </w:r>
    </w:p>
    <w:p w14:paraId="6CBDBBED" w14:textId="4BCAA339" w:rsidR="00DC2A76" w:rsidRDefault="00DC2A76" w:rsidP="00A92EAE">
      <w:pPr>
        <w:jc w:val="both"/>
      </w:pPr>
      <w:r w:rsidRPr="00DC2A76">
        <w:rPr>
          <w:b/>
        </w:rPr>
        <w:t>Setting and participants:</w:t>
      </w:r>
      <w:r>
        <w:rPr>
          <w:b/>
        </w:rPr>
        <w:t xml:space="preserve"> </w:t>
      </w:r>
      <w:r>
        <w:t xml:space="preserve">Community teams </w:t>
      </w:r>
      <w:r w:rsidR="00267E60">
        <w:t>(</w:t>
      </w:r>
      <w:r>
        <w:t>nursing and allied health professionals</w:t>
      </w:r>
      <w:r w:rsidR="00267E60">
        <w:t>)</w:t>
      </w:r>
      <w:r w:rsidR="00000B38" w:rsidRPr="00000B38">
        <w:t xml:space="preserve"> </w:t>
      </w:r>
      <w:r w:rsidR="00000B38">
        <w:t>within a UK National Health Service</w:t>
      </w:r>
      <w:r w:rsidR="00AA24B6">
        <w:t xml:space="preserve"> Community</w:t>
      </w:r>
      <w:r w:rsidR="00000B38">
        <w:t xml:space="preserve"> Trust. 73 participants were recruited, of which 32 </w:t>
      </w:r>
      <w:r>
        <w:t xml:space="preserve">completed both pre </w:t>
      </w:r>
      <w:r w:rsidR="00000B38">
        <w:t>and post-implementation surveys.</w:t>
      </w:r>
    </w:p>
    <w:p w14:paraId="2E7821A4" w14:textId="0F9FBDBF" w:rsidR="00DC2A76" w:rsidRPr="00DC2A76" w:rsidRDefault="00DC2A76" w:rsidP="00A92EAE">
      <w:pPr>
        <w:jc w:val="both"/>
      </w:pPr>
      <w:r w:rsidRPr="00DC2A76">
        <w:rPr>
          <w:b/>
        </w:rPr>
        <w:t>Main outcome measures:</w:t>
      </w:r>
      <w:r w:rsidR="00E5115B">
        <w:t xml:space="preserve"> NoMad survey </w:t>
      </w:r>
      <w:r>
        <w:t>for pre-post interv</w:t>
      </w:r>
      <w:r w:rsidR="00FB66E6">
        <w:t>ention measures; t</w:t>
      </w:r>
      <w:r>
        <w:t xml:space="preserve">elephone interviews </w:t>
      </w:r>
      <w:r w:rsidR="00FB66E6">
        <w:t xml:space="preserve">exploring </w:t>
      </w:r>
      <w:r>
        <w:t>participant experiences and wider organisational/contextual pr</w:t>
      </w:r>
      <w:r w:rsidR="00E5115B">
        <w:t>ocesses</w:t>
      </w:r>
      <w:r>
        <w:t>.</w:t>
      </w:r>
    </w:p>
    <w:p w14:paraId="2BD780DC" w14:textId="29037BDC" w:rsidR="00C3267A" w:rsidRDefault="00910D1D" w:rsidP="00A92EAE">
      <w:pPr>
        <w:jc w:val="both"/>
      </w:pPr>
      <w:r w:rsidRPr="00910D1D">
        <w:rPr>
          <w:b/>
        </w:rPr>
        <w:t>Methods:</w:t>
      </w:r>
      <w:r>
        <w:t xml:space="preserve"> </w:t>
      </w:r>
      <w:r w:rsidR="00DC2A76">
        <w:t xml:space="preserve">Data </w:t>
      </w:r>
      <w:r>
        <w:t>prior to implementation of training, baseline (T0</w:t>
      </w:r>
      <w:r w:rsidR="00DC2A76">
        <w:t xml:space="preserve"> – survey and telephone interview</w:t>
      </w:r>
      <w:r>
        <w:t>), and 2</w:t>
      </w:r>
      <w:r w:rsidR="00DC2A76">
        <w:t xml:space="preserve"> months following training (T1</w:t>
      </w:r>
      <w:r w:rsidR="00A413B7">
        <w:t xml:space="preserve"> – follow</w:t>
      </w:r>
      <w:r w:rsidR="003A26F1">
        <w:t>-</w:t>
      </w:r>
      <w:r w:rsidR="00A413B7">
        <w:t xml:space="preserve">up survey). </w:t>
      </w:r>
      <w:r>
        <w:t xml:space="preserve">Quantitative </w:t>
      </w:r>
      <w:r w:rsidR="00A413B7">
        <w:lastRenderedPageBreak/>
        <w:t xml:space="preserve">data </w:t>
      </w:r>
      <w:r>
        <w:t>described using frequency tables reporting team type, healthcare provider rol</w:t>
      </w:r>
      <w:r w:rsidR="00A413B7">
        <w:t>e group, and total study sample; analysis</w:t>
      </w:r>
      <w:r>
        <w:t xml:space="preserve"> using Wilcoxon rank-sum (sub-group comparison) and Wilcoxon signed-rank (within-group observation point comparison)</w:t>
      </w:r>
      <w:r w:rsidR="00802584">
        <w:t xml:space="preserve"> tests</w:t>
      </w:r>
      <w:r>
        <w:t xml:space="preserve">. </w:t>
      </w:r>
      <w:r w:rsidR="00A413B7">
        <w:t xml:space="preserve">Qualitative interview data (audio and transcription) </w:t>
      </w:r>
      <w:r>
        <w:t>analysed</w:t>
      </w:r>
      <w:r w:rsidR="00A413B7">
        <w:t xml:space="preserve"> through </w:t>
      </w:r>
      <w:r w:rsidR="003A26F1">
        <w:t>directed content analysis using</w:t>
      </w:r>
      <w:r>
        <w:t xml:space="preserve"> Nor</w:t>
      </w:r>
      <w:r w:rsidR="00A413B7">
        <w:t>malization Process Theory.</w:t>
      </w:r>
    </w:p>
    <w:p w14:paraId="73C1BA74" w14:textId="55424FD1" w:rsidR="00910D1D" w:rsidRPr="00910D1D" w:rsidRDefault="00910D1D" w:rsidP="00A92EAE">
      <w:pPr>
        <w:jc w:val="both"/>
      </w:pPr>
      <w:r>
        <w:rPr>
          <w:b/>
        </w:rPr>
        <w:t>Results</w:t>
      </w:r>
      <w:r w:rsidRPr="00570AA3">
        <w:t xml:space="preserve">: </w:t>
      </w:r>
      <w:r w:rsidR="00A413B7" w:rsidRPr="00570AA3">
        <w:t>H</w:t>
      </w:r>
      <w:r>
        <w:t>igh support</w:t>
      </w:r>
      <w:r w:rsidR="00BF39B2">
        <w:t xml:space="preserve"> </w:t>
      </w:r>
      <w:r>
        <w:t xml:space="preserve">for nutrition screening and treatment </w:t>
      </w:r>
      <w:r w:rsidR="00AA24B6">
        <w:t xml:space="preserve">indicated by </w:t>
      </w:r>
      <w:r>
        <w:t>participants</w:t>
      </w:r>
      <w:r w:rsidR="00AA24B6">
        <w:t>. Concerns expressed</w:t>
      </w:r>
      <w:r>
        <w:t xml:space="preserve"> </w:t>
      </w:r>
      <w:r w:rsidR="00AA24B6">
        <w:t>around</w:t>
      </w:r>
      <w:r>
        <w:t xml:space="preserve"> logistical</w:t>
      </w:r>
      <w:r w:rsidR="00AA24B6">
        <w:t>,</w:t>
      </w:r>
      <w:r>
        <w:t xml:space="preserve"> organisational</w:t>
      </w:r>
      <w:r w:rsidR="00AA24B6">
        <w:t>, and specialist dietetic support</w:t>
      </w:r>
      <w:r>
        <w:t xml:space="preserve">. </w:t>
      </w:r>
      <w:r w:rsidR="00AA24B6">
        <w:t xml:space="preserve">Pre-post training measures </w:t>
      </w:r>
      <w:r w:rsidR="00A92EAE">
        <w:t>indicate</w:t>
      </w:r>
      <w:r w:rsidR="00250776">
        <w:t>d</w:t>
      </w:r>
      <w:r w:rsidR="00296398">
        <w:t xml:space="preserve"> a positive</w:t>
      </w:r>
      <w:r w:rsidR="00A92EAE">
        <w:t xml:space="preserve"> </w:t>
      </w:r>
      <w:r w:rsidR="00296398">
        <w:t xml:space="preserve">impact </w:t>
      </w:r>
      <w:r w:rsidR="00A92EAE">
        <w:t>of training</w:t>
      </w:r>
      <w:r w:rsidR="00296398">
        <w:t xml:space="preserve"> on knowledge of the new procedure</w:t>
      </w:r>
      <w:r w:rsidR="00693283">
        <w:t>;</w:t>
      </w:r>
      <w:r w:rsidR="00A92EAE">
        <w:t xml:space="preserve"> however</w:t>
      </w:r>
      <w:r w:rsidR="00153694">
        <w:t>,</w:t>
      </w:r>
      <w:r w:rsidR="00A92EAE">
        <w:t xml:space="preserve"> </w:t>
      </w:r>
      <w:r w:rsidR="00570AA3">
        <w:t>most</w:t>
      </w:r>
      <w:r w:rsidR="00A413B7">
        <w:t xml:space="preserve"> implementation</w:t>
      </w:r>
      <w:r w:rsidR="00A92EAE">
        <w:t xml:space="preserve"> measures saw no significant changes between time points or between sub-groups</w:t>
      </w:r>
      <w:r w:rsidR="00A413B7">
        <w:t xml:space="preserve"> (training participants vs. non-participants)</w:t>
      </w:r>
      <w:r w:rsidR="00A92EAE">
        <w:t xml:space="preserve">. </w:t>
      </w:r>
      <w:r w:rsidR="00A413B7">
        <w:t xml:space="preserve">Implementation barriers </w:t>
      </w:r>
      <w:r w:rsidR="00693283">
        <w:t>included: high levels of</w:t>
      </w:r>
      <w:r w:rsidR="00A413B7">
        <w:t xml:space="preserve"> training </w:t>
      </w:r>
      <w:r w:rsidR="00693283">
        <w:t xml:space="preserve">non-completion; vulnerability to attrition of trained staff; lack of monitoring of post-intervention compliance; lack of access to </w:t>
      </w:r>
      <w:r w:rsidR="00AA24B6">
        <w:t>dietetic support</w:t>
      </w:r>
      <w:r w:rsidR="00693283">
        <w:t xml:space="preserve">. </w:t>
      </w:r>
    </w:p>
    <w:p w14:paraId="63FA32A0" w14:textId="3DC08666" w:rsidR="00910D1D" w:rsidRDefault="00910D1D" w:rsidP="00A92EAE">
      <w:pPr>
        <w:jc w:val="both"/>
      </w:pPr>
      <w:r>
        <w:rPr>
          <w:b/>
        </w:rPr>
        <w:t>Conclusion</w:t>
      </w:r>
      <w:r w:rsidR="00A92EAE">
        <w:rPr>
          <w:b/>
        </w:rPr>
        <w:t xml:space="preserve">: </w:t>
      </w:r>
      <w:r w:rsidR="00ED416D">
        <w:t>Greater support necessary t</w:t>
      </w:r>
      <w:r w:rsidR="00AA24B6">
        <w:t>o support implementation</w:t>
      </w:r>
      <w:r w:rsidR="00ED416D">
        <w:t xml:space="preserve"> </w:t>
      </w:r>
      <w:r w:rsidR="00AA24B6">
        <w:t>in relation to</w:t>
      </w:r>
      <w:r w:rsidR="00ED416D">
        <w:t xml:space="preserve"> monitoring of training completion, and organisational support for nutrition screening and treatment activity. </w:t>
      </w:r>
      <w:r w:rsidR="00AA24B6">
        <w:t>Recommended changes to implementation design are: appointment of a key person to support and monitor procedure compliance; adoption of training as an e-learning module within the existing organisational platform to increase participation in changeable working conditions.</w:t>
      </w:r>
    </w:p>
    <w:p w14:paraId="3DE3B219" w14:textId="75371B9F" w:rsidR="00910D1D" w:rsidRDefault="00910D1D" w:rsidP="00910D1D"/>
    <w:p w14:paraId="35092703" w14:textId="11851E1C" w:rsidR="009F07D6" w:rsidRPr="00570AA3" w:rsidRDefault="009F07D6" w:rsidP="00910D1D">
      <w:pPr>
        <w:rPr>
          <w:b/>
        </w:rPr>
      </w:pPr>
      <w:r w:rsidRPr="00570AA3">
        <w:rPr>
          <w:b/>
        </w:rPr>
        <w:t>Strengths and Limitations</w:t>
      </w:r>
    </w:p>
    <w:p w14:paraId="3C8788EB" w14:textId="77777777" w:rsidR="00721691" w:rsidRPr="00735377" w:rsidRDefault="00721691" w:rsidP="00721691">
      <w:pPr>
        <w:pStyle w:val="ListParagraph"/>
        <w:numPr>
          <w:ilvl w:val="0"/>
          <w:numId w:val="5"/>
        </w:numPr>
        <w:jc w:val="both"/>
        <w:rPr>
          <w:rFonts w:cstheme="minorHAnsi"/>
          <w:color w:val="000000"/>
          <w:shd w:val="clear" w:color="auto" w:fill="FFFFFF"/>
        </w:rPr>
      </w:pPr>
      <w:r w:rsidRPr="00735377">
        <w:rPr>
          <w:rFonts w:cstheme="minorHAnsi"/>
          <w:color w:val="000000"/>
          <w:shd w:val="clear" w:color="auto" w:fill="FFFFFF"/>
        </w:rPr>
        <w:t>Prospective investigation of factors promoting or inhibiting implementation of service development, allowing for feedback to inform ongoing development of the programme.</w:t>
      </w:r>
    </w:p>
    <w:p w14:paraId="369C86A0" w14:textId="77777777" w:rsidR="00721691" w:rsidRPr="00735377" w:rsidRDefault="00721691" w:rsidP="00721691">
      <w:pPr>
        <w:pStyle w:val="ListParagraph"/>
        <w:jc w:val="both"/>
        <w:rPr>
          <w:rFonts w:cstheme="minorHAnsi"/>
          <w:color w:val="000000"/>
          <w:shd w:val="clear" w:color="auto" w:fill="FFFFFF"/>
        </w:rPr>
      </w:pPr>
    </w:p>
    <w:p w14:paraId="2DE56724" w14:textId="01151128" w:rsidR="00721691" w:rsidRPr="00735377" w:rsidRDefault="00FE750C" w:rsidP="00721691">
      <w:pPr>
        <w:pStyle w:val="ListParagraph"/>
        <w:numPr>
          <w:ilvl w:val="0"/>
          <w:numId w:val="5"/>
        </w:numPr>
        <w:jc w:val="both"/>
        <w:rPr>
          <w:rFonts w:cstheme="minorHAnsi"/>
          <w:color w:val="000000"/>
          <w:shd w:val="clear" w:color="auto" w:fill="FFFFFF"/>
        </w:rPr>
      </w:pPr>
      <w:r>
        <w:rPr>
          <w:rFonts w:cstheme="minorHAnsi"/>
          <w:color w:val="000000"/>
          <w:shd w:val="clear" w:color="auto" w:fill="FFFFFF"/>
        </w:rPr>
        <w:t xml:space="preserve">To our knowledge, this is the first time that </w:t>
      </w:r>
      <w:r>
        <w:t>a prospective process evaluation has been conducted specifically on implementation of nutritional care in community settings</w:t>
      </w:r>
      <w:r w:rsidR="00721691" w:rsidRPr="00735377">
        <w:rPr>
          <w:rFonts w:cstheme="minorHAnsi"/>
          <w:color w:val="000000"/>
          <w:shd w:val="clear" w:color="auto" w:fill="FFFFFF"/>
        </w:rPr>
        <w:t xml:space="preserve"> process evaluations conducted</w:t>
      </w:r>
      <w:r w:rsidR="00721691">
        <w:rPr>
          <w:rFonts w:cstheme="minorHAnsi"/>
          <w:color w:val="000000"/>
          <w:shd w:val="clear" w:color="auto" w:fill="FFFFFF"/>
        </w:rPr>
        <w:t xml:space="preserve"> on implementation of nutritional care</w:t>
      </w:r>
      <w:r w:rsidR="00721691" w:rsidRPr="00735377">
        <w:rPr>
          <w:rFonts w:cstheme="minorHAnsi"/>
          <w:color w:val="000000"/>
          <w:shd w:val="clear" w:color="auto" w:fill="FFFFFF"/>
        </w:rPr>
        <w:t xml:space="preserve"> in community settings.</w:t>
      </w:r>
    </w:p>
    <w:p w14:paraId="54B2A0B3" w14:textId="77777777" w:rsidR="00721691" w:rsidRPr="00735377" w:rsidRDefault="00721691" w:rsidP="00721691">
      <w:pPr>
        <w:pStyle w:val="ListParagraph"/>
        <w:jc w:val="both"/>
        <w:rPr>
          <w:rFonts w:cstheme="minorHAnsi"/>
          <w:color w:val="000000"/>
          <w:shd w:val="clear" w:color="auto" w:fill="FFFFFF"/>
        </w:rPr>
      </w:pPr>
    </w:p>
    <w:p w14:paraId="63CBDDF3" w14:textId="77777777" w:rsidR="00721691" w:rsidRPr="00735377" w:rsidRDefault="00721691" w:rsidP="00721691">
      <w:pPr>
        <w:pStyle w:val="ListParagraph"/>
        <w:numPr>
          <w:ilvl w:val="0"/>
          <w:numId w:val="5"/>
        </w:numPr>
        <w:jc w:val="both"/>
        <w:rPr>
          <w:rFonts w:cstheme="minorHAnsi"/>
          <w:color w:val="000000"/>
          <w:shd w:val="clear" w:color="auto" w:fill="FFFFFF"/>
        </w:rPr>
      </w:pPr>
      <w:r w:rsidRPr="00735377">
        <w:rPr>
          <w:rFonts w:cstheme="minorHAnsi"/>
          <w:color w:val="000000"/>
          <w:shd w:val="clear" w:color="auto" w:fill="FFFFFF"/>
        </w:rPr>
        <w:lastRenderedPageBreak/>
        <w:t>Integrated use of mixed methods to provide reproducible measures at each observation point (quantitative, survey), and explore processes underpinning them (qualitative, semi-structured telephone interviews).</w:t>
      </w:r>
    </w:p>
    <w:p w14:paraId="1F0E94D6" w14:textId="77777777" w:rsidR="00721691" w:rsidRPr="00735377" w:rsidRDefault="00721691" w:rsidP="00721691">
      <w:pPr>
        <w:pStyle w:val="ListParagraph"/>
        <w:jc w:val="both"/>
        <w:rPr>
          <w:rFonts w:cstheme="minorHAnsi"/>
          <w:color w:val="000000"/>
          <w:shd w:val="clear" w:color="auto" w:fill="FFFFFF"/>
        </w:rPr>
      </w:pPr>
    </w:p>
    <w:p w14:paraId="0D709C41" w14:textId="521555FD" w:rsidR="00721691" w:rsidRPr="00735377" w:rsidRDefault="00721691" w:rsidP="00721691">
      <w:pPr>
        <w:pStyle w:val="ListParagraph"/>
        <w:numPr>
          <w:ilvl w:val="0"/>
          <w:numId w:val="5"/>
        </w:numPr>
        <w:jc w:val="both"/>
        <w:rPr>
          <w:rFonts w:cstheme="minorHAnsi"/>
          <w:color w:val="000000"/>
          <w:shd w:val="clear" w:color="auto" w:fill="FFFFFF"/>
        </w:rPr>
      </w:pPr>
      <w:r>
        <w:rPr>
          <w:rFonts w:cstheme="minorHAnsi"/>
          <w:color w:val="000000"/>
          <w:shd w:val="clear" w:color="auto" w:fill="FFFFFF"/>
        </w:rPr>
        <w:t xml:space="preserve">Lack of quota sample due to lack of data on workforce composition may mean that sample </w:t>
      </w:r>
      <w:r w:rsidR="00B06F0B">
        <w:rPr>
          <w:rFonts w:cstheme="minorHAnsi"/>
          <w:color w:val="000000"/>
          <w:shd w:val="clear" w:color="auto" w:fill="FFFFFF"/>
        </w:rPr>
        <w:t xml:space="preserve">is </w:t>
      </w:r>
      <w:r>
        <w:rPr>
          <w:rFonts w:cstheme="minorHAnsi"/>
          <w:color w:val="000000"/>
          <w:shd w:val="clear" w:color="auto" w:fill="FFFFFF"/>
        </w:rPr>
        <w:t>unrepresentative of the role/seniority profile of the target population</w:t>
      </w:r>
      <w:r w:rsidRPr="00735377">
        <w:rPr>
          <w:rFonts w:cstheme="minorHAnsi"/>
          <w:color w:val="000000"/>
          <w:shd w:val="clear" w:color="auto" w:fill="FFFFFF"/>
        </w:rPr>
        <w:t>.</w:t>
      </w:r>
    </w:p>
    <w:p w14:paraId="34271A2B" w14:textId="77777777" w:rsidR="00721691" w:rsidRPr="00735377" w:rsidRDefault="00721691" w:rsidP="00721691">
      <w:pPr>
        <w:pStyle w:val="ListParagraph"/>
        <w:jc w:val="both"/>
        <w:rPr>
          <w:rFonts w:cstheme="minorHAnsi"/>
          <w:color w:val="000000"/>
          <w:shd w:val="clear" w:color="auto" w:fill="FFFFFF"/>
        </w:rPr>
      </w:pPr>
    </w:p>
    <w:p w14:paraId="04669515" w14:textId="56CC9349" w:rsidR="004E1E84" w:rsidRPr="00FB66E6" w:rsidRDefault="00A413B7" w:rsidP="00FB66E6">
      <w:pPr>
        <w:pStyle w:val="ListParagraph"/>
        <w:numPr>
          <w:ilvl w:val="0"/>
          <w:numId w:val="5"/>
        </w:numPr>
        <w:jc w:val="both"/>
        <w:rPr>
          <w:rFonts w:cstheme="minorHAnsi"/>
          <w:color w:val="000000"/>
          <w:shd w:val="clear" w:color="auto" w:fill="FFFFFF"/>
        </w:rPr>
      </w:pPr>
      <w:r>
        <w:rPr>
          <w:rFonts w:cstheme="minorHAnsi"/>
          <w:color w:val="000000"/>
          <w:shd w:val="clear" w:color="auto" w:fill="FFFFFF"/>
        </w:rPr>
        <w:t>L</w:t>
      </w:r>
      <w:r w:rsidR="00721691" w:rsidRPr="00735377">
        <w:rPr>
          <w:rFonts w:cstheme="minorHAnsi"/>
          <w:color w:val="000000"/>
          <w:shd w:val="clear" w:color="auto" w:fill="FFFFFF"/>
        </w:rPr>
        <w:t>imitation</w:t>
      </w:r>
      <w:r>
        <w:rPr>
          <w:rFonts w:cstheme="minorHAnsi"/>
          <w:color w:val="000000"/>
          <w:shd w:val="clear" w:color="auto" w:fill="FFFFFF"/>
        </w:rPr>
        <w:t>s</w:t>
      </w:r>
      <w:r w:rsidR="00721691" w:rsidRPr="00735377">
        <w:rPr>
          <w:rFonts w:cstheme="minorHAnsi"/>
          <w:color w:val="000000"/>
          <w:shd w:val="clear" w:color="auto" w:fill="FFFFFF"/>
        </w:rPr>
        <w:t xml:space="preserve"> of the study</w:t>
      </w:r>
      <w:r>
        <w:rPr>
          <w:rFonts w:cstheme="minorHAnsi"/>
          <w:color w:val="000000"/>
          <w:shd w:val="clear" w:color="auto" w:fill="FFFFFF"/>
        </w:rPr>
        <w:t xml:space="preserve"> include:</w:t>
      </w:r>
      <w:r w:rsidR="00FB66E6">
        <w:rPr>
          <w:rFonts w:cstheme="minorHAnsi"/>
          <w:color w:val="000000"/>
          <w:shd w:val="clear" w:color="auto" w:fill="FFFFFF"/>
        </w:rPr>
        <w:t xml:space="preserve"> l</w:t>
      </w:r>
      <w:r w:rsidR="00721691" w:rsidRPr="00FB66E6">
        <w:rPr>
          <w:rFonts w:cstheme="minorHAnsi"/>
          <w:color w:val="000000"/>
          <w:shd w:val="clear" w:color="auto" w:fill="FFFFFF"/>
        </w:rPr>
        <w:t xml:space="preserve">ack of observation of new procedures applied </w:t>
      </w:r>
      <w:r w:rsidR="00721691" w:rsidRPr="00FB66E6">
        <w:rPr>
          <w:rFonts w:cstheme="minorHAnsi"/>
          <w:i/>
          <w:color w:val="000000"/>
          <w:shd w:val="clear" w:color="auto" w:fill="FFFFFF"/>
        </w:rPr>
        <w:t>in situ</w:t>
      </w:r>
      <w:r w:rsidR="00721691" w:rsidRPr="00FB66E6">
        <w:rPr>
          <w:rFonts w:cstheme="minorHAnsi"/>
          <w:color w:val="000000"/>
          <w:shd w:val="clear" w:color="auto" w:fill="FFFFFF"/>
        </w:rPr>
        <w:t>, meaning that processes relating to implementation can only be explored retrospectively through interviews</w:t>
      </w:r>
      <w:r w:rsidRPr="00FB66E6">
        <w:rPr>
          <w:rFonts w:cstheme="minorHAnsi"/>
          <w:color w:val="000000"/>
          <w:shd w:val="clear" w:color="auto" w:fill="FFFFFF"/>
        </w:rPr>
        <w:t>, and therefore recall and response bias may affect the data</w:t>
      </w:r>
      <w:r w:rsidR="00FB66E6">
        <w:rPr>
          <w:rFonts w:cstheme="minorHAnsi"/>
          <w:color w:val="000000"/>
          <w:shd w:val="clear" w:color="auto" w:fill="FFFFFF"/>
        </w:rPr>
        <w:t>; l</w:t>
      </w:r>
      <w:r w:rsidR="004E1E84" w:rsidRPr="00FB66E6">
        <w:rPr>
          <w:rFonts w:cstheme="minorHAnsi"/>
          <w:color w:val="000000"/>
          <w:shd w:val="clear" w:color="auto" w:fill="FFFFFF"/>
        </w:rPr>
        <w:t xml:space="preserve">ack of available data on </w:t>
      </w:r>
      <w:r w:rsidR="003A26F1">
        <w:rPr>
          <w:rFonts w:cstheme="minorHAnsi"/>
          <w:color w:val="000000"/>
          <w:shd w:val="clear" w:color="auto" w:fill="FFFFFF"/>
        </w:rPr>
        <w:t>c</w:t>
      </w:r>
      <w:r w:rsidR="004E1E84" w:rsidRPr="00FB66E6">
        <w:rPr>
          <w:rFonts w:cstheme="minorHAnsi"/>
          <w:color w:val="000000"/>
          <w:shd w:val="clear" w:color="auto" w:fill="FFFFFF"/>
        </w:rPr>
        <w:t>omposition of the target population (i.e. the area of the organisation in which the intervention was implemented) limits reporting on representativeness of the study sample.</w:t>
      </w:r>
    </w:p>
    <w:p w14:paraId="43225999" w14:textId="2269A65D" w:rsidR="00910D1D" w:rsidRDefault="00910D1D" w:rsidP="00910D1D"/>
    <w:p w14:paraId="4A2010BB" w14:textId="1DF0DE88" w:rsidR="00910D1D" w:rsidRDefault="00C1304A" w:rsidP="00910D1D">
      <w:r w:rsidRPr="00C1304A">
        <w:rPr>
          <w:b/>
        </w:rPr>
        <w:t>Word Count</w:t>
      </w:r>
      <w:r w:rsidR="00721691">
        <w:t xml:space="preserve"> = </w:t>
      </w:r>
      <w:r w:rsidR="00E734C2">
        <w:t>5,</w:t>
      </w:r>
      <w:r w:rsidR="007673F5">
        <w:t>985</w:t>
      </w:r>
    </w:p>
    <w:p w14:paraId="4EFC57C2" w14:textId="22C92C8D" w:rsidR="00910D1D" w:rsidRDefault="00910D1D" w:rsidP="00910D1D"/>
    <w:p w14:paraId="37604177" w14:textId="0D866BA9" w:rsidR="00910D1D" w:rsidRDefault="00910D1D" w:rsidP="00910D1D">
      <w:r w:rsidRPr="00910D1D">
        <w:rPr>
          <w:b/>
        </w:rPr>
        <w:t>Keywords:</w:t>
      </w:r>
      <w:r>
        <w:t xml:space="preserve"> </w:t>
      </w:r>
      <w:r w:rsidRPr="00910D1D">
        <w:t>Nutrition,</w:t>
      </w:r>
      <w:r w:rsidR="00B06F0B">
        <w:t xml:space="preserve"> screening,</w:t>
      </w:r>
      <w:r w:rsidRPr="00910D1D">
        <w:t xml:space="preserve"> process evaluation, community care, malnutrition, normalization process theory</w:t>
      </w:r>
      <w:r w:rsidR="003A26F1">
        <w:t>, implementation</w:t>
      </w:r>
    </w:p>
    <w:p w14:paraId="27BF3B81" w14:textId="72CD0E4F" w:rsidR="00A92EAE" w:rsidRDefault="00A92EAE" w:rsidP="00910D1D"/>
    <w:p w14:paraId="4CB0AA7F" w14:textId="5832B1B0" w:rsidR="005651C9" w:rsidRPr="00570AA3" w:rsidRDefault="005651C9" w:rsidP="00570AA3">
      <w:pPr>
        <w:rPr>
          <w:b/>
          <w:shd w:val="clear" w:color="auto" w:fill="FFFFFF"/>
        </w:rPr>
      </w:pPr>
      <w:r w:rsidRPr="00570AA3">
        <w:rPr>
          <w:b/>
          <w:shd w:val="clear" w:color="auto" w:fill="FFFFFF"/>
        </w:rPr>
        <w:t>Background</w:t>
      </w:r>
    </w:p>
    <w:p w14:paraId="0E8E584A" w14:textId="337419D0" w:rsidR="007B3586" w:rsidRDefault="00960EFF" w:rsidP="009E44B2">
      <w:pPr>
        <w:jc w:val="both"/>
        <w:rPr>
          <w:rFonts w:cstheme="minorHAnsi"/>
          <w:color w:val="000000"/>
          <w:shd w:val="clear" w:color="auto" w:fill="FFFFFF"/>
        </w:rPr>
      </w:pPr>
      <w:r>
        <w:t>Implementation</w:t>
      </w:r>
      <w:r w:rsidR="00FB66E6">
        <w:t xml:space="preserve"> </w:t>
      </w:r>
      <w:r w:rsidR="00446DE7">
        <w:t xml:space="preserve">of new </w:t>
      </w:r>
      <w:r w:rsidR="007B3586">
        <w:t>procedures or technologies</w:t>
      </w:r>
      <w:r>
        <w:t xml:space="preserve"> in healthcare settings involve</w:t>
      </w:r>
      <w:r w:rsidR="00693283">
        <w:t>s</w:t>
      </w:r>
      <w:r>
        <w:t xml:space="preserve"> complex processes</w:t>
      </w:r>
      <w:r w:rsidR="00693283">
        <w:t xml:space="preserve">, </w:t>
      </w:r>
      <w:r w:rsidR="00446DE7">
        <w:t>bringing together</w:t>
      </w:r>
      <w:r>
        <w:t xml:space="preserve"> </w:t>
      </w:r>
      <w:r w:rsidR="003A1520">
        <w:t xml:space="preserve">individuals of </w:t>
      </w:r>
      <w:r>
        <w:t>different professional groups</w:t>
      </w:r>
      <w:r w:rsidR="00FB66E6">
        <w:t xml:space="preserve"> in </w:t>
      </w:r>
      <w:r w:rsidR="003A1520">
        <w:t>varied</w:t>
      </w:r>
      <w:r w:rsidR="00FB66E6">
        <w:t xml:space="preserve"> kinds of work</w:t>
      </w:r>
      <w:r>
        <w:t xml:space="preserve"> </w:t>
      </w:r>
      <w:r w:rsidR="00693283">
        <w:fldChar w:fldCharType="begin" w:fldLock="1"/>
      </w:r>
      <w:r w:rsidR="00446DE7">
        <w:instrText>ADDIN CSL_CITATION {"citationItems":[{"id":"ITEM-1","itemData":{"author":[{"dropping-particle":"","family":"Craig","given":"Peter","non-dropping-particle":"","parse-names":false,"suffix":""},{"dropping-particle":"","family":"Dieppe","given":"Paul","non-dropping-particle":"","parse-names":false,"suffix":""},{"dropping-particle":"","family":"Macintyre","given":"Sally","non-dropping-particle":"","parse-names":false,"suffix":""},{"dropping-particle":"","family":"Health","given":"Public","non-dropping-particle":"","parse-names":false,"suffix":""},{"dropping-particle":"","family":"Unit","given":"Sciences","non-dropping-particle":"","parse-names":false,"suffix":""},{"dropping-particle":"","family":"Michie","given":"Susan","non-dropping-particle":"","parse-names":false,"suffix":""},{"dropping-particle":"","family":"Nazareth","given":"Irwin","non-dropping-particle":"","parse-names":false,"suffix":""},{"dropping-particle":"","family":"Petticrew","given":"Mark","non-dropping-particle":"","parse-names":false,"suffix":""}],"id":"ITEM-1","issued":{"date-parts":[["2007"]]},"title":"Developing and evaluating complex interventions: new guidance","type":"article-journal"},"uris":["http://www.mendeley.com/documents/?uuid=94e745d7-5a73-4c1a-9390-dad67deb8d13"]},{"id":"ITEM-2","itemData":{"DOI":"10.1186/s13012-016-0506-3","ISBN":"1301201605063","ISSN":"1748-5908","PMID":"27756414","abstract":"BACKGROUND: Context is a problem in research on health behaviour change, knowledge translation, practice implementation and health improvement. This is because many intervention and evaluation designs seek to eliminate contextual confounders, when these represent the normal conditions into which interventions must be integrated if they are to be workable in practice.\\n\\nDISCUSSION: We present an ecological model of the ways that participants in implementation and health improvement processes interact with contexts. The paper addresses the problem of context as it affects processes of implementation, scaling up and diffusion of interventions. We extend our earlier work to develop Normalisation Process Theory and show how these processes involve interactions between mechanisms of resource mobilisation, collective action and negotiations with context. These mechanisms are adaptive. They contribute to self-organisation in complex adaptive systems.\\n\\nCONCLUSION: Implementation includes the translational efforts that take healthcare interventions beyond the closed systems of evaluation studies into the open systems of 'real world' contexts. The outcome of these processes depends on interactions and negotiations between their participants and contexts. In these negotiations, the plasticity of intervention components, the degree of participants' discretion over resource mobilisation and actors' contributions, and the elasticity of contexts, all play important parts. Understanding these processes in terms of feedback loops, adaptive mechanisms and the practical compromises that stem from them enables us to see the mechanisms specified by NPT as core elements of self-organisation in complex systems.","author":[{"dropping-particle":"","family":"May","given":"Carl R","non-dropping-particle":"","parse-names":false,"suffix":""},{"dropping-particle":"","family":"Johnson","given":"Mark","non-dropping-particle":"","parse-names":false,"suffix":""},{"dropping-particle":"","family":"Finch","given":"Tracy","non-dropping-particle":"","parse-names":false,"suffix":""}],"container-title":"Implementation Sciencence","id":"ITEM-2","issue":"1","issued":{"date-parts":[["2016"]]},"page":"141","publisher":"Implementation Science","title":"Implementation, context and complexity.","type":"article-journal","volume":"11"},"uris":["http://www.mendeley.com/documents/?uuid=b102e75d-d663-4331-b6ed-511ed2e1fc3b"]}],"mendeley":{"formattedCitation":"[1,2]","plainTextFormattedCitation":"[1,2]","previouslyFormattedCitation":"[1,2]"},"properties":{"noteIndex":0},"schema":"https://github.com/citation-style-language/schema/raw/master/csl-citation.json"}</w:instrText>
      </w:r>
      <w:r w:rsidR="00693283">
        <w:fldChar w:fldCharType="separate"/>
      </w:r>
      <w:r w:rsidR="00446DE7" w:rsidRPr="00446DE7">
        <w:rPr>
          <w:noProof/>
        </w:rPr>
        <w:t>[1,2]</w:t>
      </w:r>
      <w:r w:rsidR="00693283">
        <w:fldChar w:fldCharType="end"/>
      </w:r>
      <w:r w:rsidR="007B3586">
        <w:t>.</w:t>
      </w:r>
      <w:r w:rsidR="00446DE7">
        <w:t xml:space="preserve"> </w:t>
      </w:r>
      <w:r>
        <w:rPr>
          <w:rFonts w:cstheme="minorHAnsi"/>
          <w:color w:val="000000"/>
          <w:shd w:val="clear" w:color="auto" w:fill="FFFFFF"/>
        </w:rPr>
        <w:t xml:space="preserve">Process evaluation studies </w:t>
      </w:r>
      <w:r w:rsidR="00EB17E9">
        <w:rPr>
          <w:rFonts w:cstheme="minorHAnsi"/>
          <w:color w:val="000000"/>
          <w:shd w:val="clear" w:color="auto" w:fill="FFFFFF"/>
        </w:rPr>
        <w:t xml:space="preserve">help us </w:t>
      </w:r>
      <w:r>
        <w:rPr>
          <w:rFonts w:cstheme="minorHAnsi"/>
          <w:color w:val="000000"/>
          <w:shd w:val="clear" w:color="auto" w:fill="FFFFFF"/>
        </w:rPr>
        <w:t>understand the succe</w:t>
      </w:r>
      <w:r w:rsidR="00446DE7">
        <w:rPr>
          <w:rFonts w:cstheme="minorHAnsi"/>
          <w:color w:val="000000"/>
          <w:shd w:val="clear" w:color="auto" w:fill="FFFFFF"/>
        </w:rPr>
        <w:t xml:space="preserve">ss or failure of interventions, and </w:t>
      </w:r>
      <w:r w:rsidR="00EB17E9">
        <w:rPr>
          <w:rFonts w:cstheme="minorHAnsi"/>
          <w:color w:val="000000"/>
          <w:shd w:val="clear" w:color="auto" w:fill="FFFFFF"/>
        </w:rPr>
        <w:t xml:space="preserve">illuminate factors that shape intervention outcomes </w:t>
      </w:r>
      <w:r w:rsidR="001A7C51">
        <w:rPr>
          <w:rFonts w:cstheme="minorHAnsi"/>
          <w:color w:val="000000"/>
          <w:shd w:val="clear" w:color="auto" w:fill="FFFFFF"/>
        </w:rPr>
        <w:fldChar w:fldCharType="begin" w:fldLock="1"/>
      </w:r>
      <w:r w:rsidR="00027538">
        <w:rPr>
          <w:rFonts w:cstheme="minorHAnsi"/>
          <w:color w:val="000000"/>
          <w:shd w:val="clear" w:color="auto" w:fill="FFFFFF"/>
        </w:rPr>
        <w:instrText>ADDIN CSL_CITATION {"citationItems":[{"id":"ITEM-1","itemData":{"ISBN":"9781119238515","author":[{"dropping-particle":"","family":"Greenhalgh","given":"T","non-dropping-particle":"","parse-names":false,"suffix":""}],"collection-title":"How To","id":"ITEM-1","issued":{"date-parts":[["2017"]]},"publisher":"Wiley","title":"How to Implement Evidence-Based Healthcare","type":"book"},"uris":["http://www.mendeley.com/documents/?uuid=512c6cea-7dcd-4fc9-8128-14f49bdd6bc8"]},{"id":"ITEM-2","itemData":{"DOI":"10.1136/bmj.h1258","ISBN":"1756-1833 (Electronic) 0959-535X (Linking)","ISSN":"1756-1833","PMID":"25791983","abstract":"Graham F Moore, research fellow1, Suzanne Audrey, research fellow2, Mary Barker, associate professor of psychology3, Lyndal Bond, principal research officer4, Chris Bonell, professor of sociology and social policy5, Wendy Hardeman, senior research associate in behavioural science6, Laurence Moore, director7, Alicia O’Cathain, professor of health services research8, Tannaze Tinati, research fellow3, Daniel Wight, children, young people, families and health programme leader7, Janis Baird, associate professor of public health31DECIPHer UKCRC Public Health Research Centre of Excellence, School of Social Sciences, Cardiff University, Cardiff, UK2DECIPHer UKCRC Public Health Research Centre of Excellence, School of Social and Community Medicine, University of Bristol, Bristol, UK3MRC Lifecourse Epidemiology Unit, University of Southampton, Southampton, UK4Centre of Excellence in Intervention and Prevention Science, Melbourne, VIC Australia5Department of Childhood, Families and Health, Institute of Education, University of London, London, UK6Primary Care Unit, Department of Public Health and Primary Care, University of Cambridge, Cambridge, UK7MRC/CSO Social and Public Health Sciences Unit, University of Glasgow, Glasgow, UK8School of Health and Related Research, University of Sheffield, Sheffield, UKCorrespondence to: G F Moore MooreG{at}cardiff.ac.ukAccepted 13 January 2015 Process evaluation is an essential part of designing and testing complex interventions. New MRC guidance provides a framework for conducting and reporting process evaluation studies Attempts to tackle problems such as smoking and obesity increasingly use complex interventions. These are commonly defined as interventions that comprise multiple interacting components, although additional dimensions of complexity include the difficulty of their implementation and the number of organisational levels they target.1 Randomised controlled trials are regarded as the gold standard for establishing the effectiveness of interventions, when randomisation is feasible. However, effect sizes do not provide policy makers with information on how an intervention might be replicated in their specific context, or whether trial outcomes will be reproduced. Earlier MRC guidance for evaluating complex interventions focused on randomised trials, making no mention of process evaluation.2 Updated guidance recognised the value of process evaluation within trials, stating that it “can be used to assess fidelity and q…","author":[{"dropping-particle":"","family":"Moore","given":"G. F.","non-dropping-particle":"","parse-names":false,"suffix":""},{"dropping-particle":"","family":"Audrey","given":"S.","non-dropping-particle":"","parse-names":false,"suffix":""},{"dropping-particle":"","family":"Barker","given":"M.","non-dropping-particle":"","parse-names":false,"suffix":""},{"dropping-particle":"","family":"Bond","given":"L.","non-dropping-particle":"","parse-names":false,"suffix":""},{"dropping-particle":"","family":"Bonell","given":"C.","non-dropping-particle":"","parse-names":false,"suffix":""},{"dropping-particle":"","family":"Hardeman","given":"W.","non-dropping-particle":"","parse-names":false,"suffix":""},{"dropping-particle":"","family":"Moore","given":"L.","non-dropping-particle":"","parse-names":false,"suffix":""},{"dropping-particle":"","family":"O'Cathain","given":"A.","non-dropping-particle":"","parse-names":false,"suffix":""},{"dropping-particle":"","family":"Tinati","given":"T.","non-dropping-particle":"","parse-names":false,"suffix":""},{"dropping-particle":"","family":"Wight","given":"D.","non-dropping-particle":"","parse-names":false,"suffix":""},{"dropping-particle":"","family":"Baird","given":"J.","non-dropping-particle":"","parse-names":false,"suffix":""}],"container-title":"BMJ","id":"ITEM-2","issue":"mar19 6","issued":{"date-parts":[["2015","3","19"]]},"page":"h1258-h1258","title":"Process evaluation of complex interventions: Medical Research Council guidance","type":"article-journal","volume":"350"},"uris":["http://www.mendeley.com/documents/?uuid=4a8b3926-0148-4ea4-be90-ffe7cf5b1adc"]}],"mendeley":{"formattedCitation":"[3,4]","plainTextFormattedCitation":"[3,4]","previouslyFormattedCitation":"[3,4]"},"properties":{"noteIndex":0},"schema":"https://github.com/citation-style-language/schema/raw/master/csl-citation.json"}</w:instrText>
      </w:r>
      <w:r w:rsidR="001A7C51">
        <w:rPr>
          <w:rFonts w:cstheme="minorHAnsi"/>
          <w:color w:val="000000"/>
          <w:shd w:val="clear" w:color="auto" w:fill="FFFFFF"/>
        </w:rPr>
        <w:fldChar w:fldCharType="separate"/>
      </w:r>
      <w:r w:rsidR="00B16FC3" w:rsidRPr="00B16FC3">
        <w:rPr>
          <w:rFonts w:cstheme="minorHAnsi"/>
          <w:noProof/>
          <w:color w:val="000000"/>
          <w:shd w:val="clear" w:color="auto" w:fill="FFFFFF"/>
        </w:rPr>
        <w:t>[3,4]</w:t>
      </w:r>
      <w:r w:rsidR="001A7C51">
        <w:rPr>
          <w:rFonts w:cstheme="minorHAnsi"/>
          <w:color w:val="000000"/>
          <w:shd w:val="clear" w:color="auto" w:fill="FFFFFF"/>
        </w:rPr>
        <w:fldChar w:fldCharType="end"/>
      </w:r>
      <w:r>
        <w:rPr>
          <w:rFonts w:cstheme="minorHAnsi"/>
          <w:color w:val="000000"/>
          <w:shd w:val="clear" w:color="auto" w:fill="FFFFFF"/>
        </w:rPr>
        <w:t>.</w:t>
      </w:r>
      <w:r w:rsidR="006011CB">
        <w:rPr>
          <w:rFonts w:cstheme="minorHAnsi"/>
          <w:color w:val="000000"/>
          <w:shd w:val="clear" w:color="auto" w:fill="FFFFFF"/>
        </w:rPr>
        <w:t xml:space="preserve"> </w:t>
      </w:r>
      <w:r w:rsidR="00446DE7">
        <w:rPr>
          <w:rFonts w:cstheme="minorHAnsi"/>
          <w:color w:val="000000"/>
          <w:shd w:val="clear" w:color="auto" w:fill="FFFFFF"/>
        </w:rPr>
        <w:t>Th</w:t>
      </w:r>
      <w:r w:rsidR="00EB17E9">
        <w:rPr>
          <w:rFonts w:cstheme="minorHAnsi"/>
          <w:color w:val="000000"/>
          <w:shd w:val="clear" w:color="auto" w:fill="FFFFFF"/>
        </w:rPr>
        <w:t>e dynamics of practice implementation in open systems, like community health and social care –</w:t>
      </w:r>
      <w:r w:rsidR="00446DE7">
        <w:rPr>
          <w:rFonts w:cstheme="minorHAnsi"/>
          <w:color w:val="000000"/>
          <w:shd w:val="clear" w:color="auto" w:fill="FFFFFF"/>
        </w:rPr>
        <w:t xml:space="preserve"> </w:t>
      </w:r>
      <w:r w:rsidR="00EB17E9">
        <w:rPr>
          <w:rFonts w:cstheme="minorHAnsi"/>
          <w:color w:val="000000"/>
          <w:shd w:val="clear" w:color="auto" w:fill="FFFFFF"/>
        </w:rPr>
        <w:t xml:space="preserve">is </w:t>
      </w:r>
      <w:r w:rsidR="00061F90">
        <w:rPr>
          <w:rFonts w:cstheme="minorHAnsi"/>
          <w:color w:val="000000"/>
          <w:shd w:val="clear" w:color="auto" w:fill="FFFFFF"/>
        </w:rPr>
        <w:t>poorly</w:t>
      </w:r>
      <w:r w:rsidR="00EB17E9">
        <w:rPr>
          <w:rFonts w:cstheme="minorHAnsi"/>
          <w:color w:val="000000"/>
          <w:shd w:val="clear" w:color="auto" w:fill="FFFFFF"/>
        </w:rPr>
        <w:t xml:space="preserve"> understood. </w:t>
      </w:r>
      <w:r w:rsidR="00A32B6F">
        <w:rPr>
          <w:rFonts w:cstheme="minorHAnsi"/>
          <w:color w:val="000000"/>
          <w:shd w:val="clear" w:color="auto" w:fill="FFFFFF"/>
        </w:rPr>
        <w:t>Implementation conditions in c</w:t>
      </w:r>
      <w:r w:rsidR="007B3586">
        <w:rPr>
          <w:rFonts w:cstheme="minorHAnsi"/>
          <w:color w:val="000000"/>
          <w:shd w:val="clear" w:color="auto" w:fill="FFFFFF"/>
        </w:rPr>
        <w:t xml:space="preserve">ommunity settings </w:t>
      </w:r>
      <w:r w:rsidR="00A32B6F">
        <w:rPr>
          <w:rFonts w:cstheme="minorHAnsi"/>
          <w:color w:val="000000"/>
          <w:shd w:val="clear" w:color="auto" w:fill="FFFFFF"/>
        </w:rPr>
        <w:t xml:space="preserve">are </w:t>
      </w:r>
      <w:r w:rsidR="007B3586">
        <w:rPr>
          <w:rFonts w:cstheme="minorHAnsi"/>
          <w:color w:val="000000"/>
          <w:shd w:val="clear" w:color="auto" w:fill="FFFFFF"/>
        </w:rPr>
        <w:t>differ</w:t>
      </w:r>
      <w:r w:rsidR="00A32B6F">
        <w:rPr>
          <w:rFonts w:cstheme="minorHAnsi"/>
          <w:color w:val="000000"/>
          <w:shd w:val="clear" w:color="auto" w:fill="FFFFFF"/>
        </w:rPr>
        <w:t>ent</w:t>
      </w:r>
      <w:r w:rsidR="007B3586">
        <w:rPr>
          <w:rFonts w:cstheme="minorHAnsi"/>
          <w:color w:val="000000"/>
          <w:shd w:val="clear" w:color="auto" w:fill="FFFFFF"/>
        </w:rPr>
        <w:t xml:space="preserve"> from those </w:t>
      </w:r>
      <w:r w:rsidR="00A32B6F">
        <w:rPr>
          <w:rFonts w:cstheme="minorHAnsi"/>
          <w:color w:val="000000"/>
          <w:shd w:val="clear" w:color="auto" w:fill="FFFFFF"/>
        </w:rPr>
        <w:t>of closed systems</w:t>
      </w:r>
      <w:r w:rsidR="007B3586">
        <w:rPr>
          <w:rFonts w:cstheme="minorHAnsi"/>
          <w:color w:val="000000"/>
          <w:shd w:val="clear" w:color="auto" w:fill="FFFFFF"/>
        </w:rPr>
        <w:t xml:space="preserve"> </w:t>
      </w:r>
      <w:r w:rsidR="00A32B6F">
        <w:rPr>
          <w:rFonts w:cstheme="minorHAnsi"/>
          <w:color w:val="000000"/>
          <w:shd w:val="clear" w:color="auto" w:fill="FFFFFF"/>
        </w:rPr>
        <w:t>(</w:t>
      </w:r>
      <w:r w:rsidR="007B3586">
        <w:rPr>
          <w:rFonts w:cstheme="minorHAnsi"/>
          <w:color w:val="000000"/>
          <w:shd w:val="clear" w:color="auto" w:fill="FFFFFF"/>
        </w:rPr>
        <w:t>secondary/hospital settings</w:t>
      </w:r>
      <w:r w:rsidR="00A32B6F">
        <w:rPr>
          <w:rFonts w:cstheme="minorHAnsi"/>
          <w:color w:val="000000"/>
          <w:shd w:val="clear" w:color="auto" w:fill="FFFFFF"/>
        </w:rPr>
        <w:t>)</w:t>
      </w:r>
      <w:r w:rsidR="007B3586">
        <w:rPr>
          <w:rFonts w:cstheme="minorHAnsi"/>
          <w:color w:val="000000"/>
          <w:shd w:val="clear" w:color="auto" w:fill="FFFFFF"/>
        </w:rPr>
        <w:t xml:space="preserve"> </w:t>
      </w:r>
      <w:r w:rsidR="00A32B6F">
        <w:rPr>
          <w:rFonts w:cstheme="minorHAnsi"/>
          <w:color w:val="000000"/>
          <w:shd w:val="clear" w:color="auto" w:fill="FFFFFF"/>
        </w:rPr>
        <w:t>because of the spatial distribution of service users and</w:t>
      </w:r>
      <w:r w:rsidR="00EB17E9">
        <w:rPr>
          <w:rFonts w:cstheme="minorHAnsi"/>
          <w:color w:val="000000"/>
          <w:shd w:val="clear" w:color="auto" w:fill="FFFFFF"/>
        </w:rPr>
        <w:t xml:space="preserve"> </w:t>
      </w:r>
      <w:r w:rsidR="00A32B6F">
        <w:rPr>
          <w:rFonts w:cstheme="minorHAnsi"/>
          <w:color w:val="000000"/>
          <w:shd w:val="clear" w:color="auto" w:fill="FFFFFF"/>
        </w:rPr>
        <w:t>healthcare providers</w:t>
      </w:r>
      <w:r w:rsidR="00B72EE4">
        <w:rPr>
          <w:rFonts w:cstheme="minorHAnsi"/>
          <w:color w:val="000000"/>
          <w:shd w:val="clear" w:color="auto" w:fill="FFFFFF"/>
        </w:rPr>
        <w:t>,</w:t>
      </w:r>
      <w:r w:rsidR="007B3586">
        <w:rPr>
          <w:rFonts w:cstheme="minorHAnsi"/>
          <w:color w:val="000000"/>
          <w:shd w:val="clear" w:color="auto" w:fill="FFFFFF"/>
        </w:rPr>
        <w:t xml:space="preserve"> </w:t>
      </w:r>
      <w:r w:rsidR="00A32B6F">
        <w:rPr>
          <w:rFonts w:cstheme="minorHAnsi"/>
          <w:color w:val="000000"/>
          <w:shd w:val="clear" w:color="auto" w:fill="FFFFFF"/>
        </w:rPr>
        <w:t xml:space="preserve">and their focus on domiciliary screening and care. </w:t>
      </w:r>
      <w:r w:rsidR="00881CC5">
        <w:rPr>
          <w:rFonts w:cstheme="minorHAnsi"/>
          <w:color w:val="000000"/>
          <w:shd w:val="clear" w:color="auto" w:fill="FFFFFF"/>
        </w:rPr>
        <w:t>C</w:t>
      </w:r>
      <w:r w:rsidR="007B3586">
        <w:rPr>
          <w:rFonts w:cstheme="minorHAnsi"/>
          <w:color w:val="000000"/>
          <w:shd w:val="clear" w:color="auto" w:fill="FFFFFF"/>
        </w:rPr>
        <w:t xml:space="preserve">ontextual factors such as funding, resource, and staffing </w:t>
      </w:r>
      <w:r w:rsidR="007B3586">
        <w:rPr>
          <w:rFonts w:cstheme="minorHAnsi"/>
          <w:color w:val="000000"/>
          <w:shd w:val="clear" w:color="auto" w:fill="FFFFFF"/>
        </w:rPr>
        <w:lastRenderedPageBreak/>
        <w:t xml:space="preserve">pressures, which may have consequences that differ from those </w:t>
      </w:r>
      <w:r w:rsidR="003A1520">
        <w:rPr>
          <w:rFonts w:cstheme="minorHAnsi"/>
          <w:color w:val="000000"/>
          <w:shd w:val="clear" w:color="auto" w:fill="FFFFFF"/>
        </w:rPr>
        <w:t>found in hospitals</w:t>
      </w:r>
      <w:r w:rsidR="007B3586">
        <w:rPr>
          <w:rFonts w:cstheme="minorHAnsi"/>
          <w:color w:val="000000"/>
          <w:shd w:val="clear" w:color="auto" w:fill="FFFFFF"/>
        </w:rPr>
        <w:t xml:space="preserve"> </w:t>
      </w:r>
      <w:r w:rsidR="007B3586">
        <w:rPr>
          <w:rFonts w:cstheme="minorHAnsi"/>
          <w:color w:val="000000"/>
          <w:shd w:val="clear" w:color="auto" w:fill="FFFFFF"/>
        </w:rPr>
        <w:fldChar w:fldCharType="begin" w:fldLock="1"/>
      </w:r>
      <w:r w:rsidR="00027538">
        <w:rPr>
          <w:rFonts w:cstheme="minorHAnsi"/>
          <w:color w:val="000000"/>
          <w:shd w:val="clear" w:color="auto" w:fill="FFFFFF"/>
        </w:rPr>
        <w:instrText>ADDIN CSL_CITATION {"citationItems":[{"id":"ITEM-1","itemData":{"id":"ITEM-1","issued":{"date-parts":[["2011"]]},"publisher-place":"London, UK","title":"Community nursing : transforming health care Community nursing : transforming health care","type":"report"},"uris":["http://www.mendeley.com/documents/?uuid=cdd286d7-7a85-4318-8cee-6c7c2e9d19d2"]},{"id":"ITEM-2","itemData":{"abstract":"Key messages The ambition to move care closer to home has resulted in some reduction in lengths of stay in hospital, but further significant changes are needed in the way care is delivered. A policy called Transforming Community Services was launched in 2008 but it was mostly concerned with structural changes rather than with how services could be changed. It is now time to correct this. The King’s Fund convened a working group of community providers to explore the steps that are required to change community services in ways that will help create the transformation that was promised in that policy. A key first step is to remove the complexity that has resulted from different policy initiatives over the years. A simple pattern of services should be developed, based around primary care and natural geographies and with a multidisciplinary team. These teams need to work in new ways with specialist services – both community and hospital based, to offer patients a much more complete and less fragmented service. New models need to include both mental health and social care, including the management of the health and social care budget for the care of their patients. These services need to be capable of a very rapid response and to work with hospitals to speed up discharge. Access to community or nursing home beds for short stays can make an important difference. Significant numbers of patients occupying hospital beds could be cared for in other settings but only if suitable services are available and can be accessed easily. New ways to contract and pay for these services are needed. This will also require changes in primary care and hospital contractual arrangements and in the infrastructure to support the model. Community services also need to reach out into communities more effectively. The opportunity to harness the power of the wider community to support people in their own homes, combat social isolation and improve prevention is not being fully exploited.","author":[{"dropping-particle":"","family":"Edwards","given":"Nigel","non-dropping-particle":"","parse-names":false,"suffix":""}],"container-title":"The King's Fund","id":"ITEM-2","issue":"February","issued":{"date-parts":[["2014"]]},"page":"1-24","title":"Community services: How they can transform care","type":"article-journal"},"uris":["http://www.mendeley.com/documents/?uuid=5ab453bc-8ab8-4b83-ae08-05c5cc7a70b9"]}],"mendeley":{"formattedCitation":"[5,6]","plainTextFormattedCitation":"[5,6]","previouslyFormattedCitation":"[5,6]"},"properties":{"noteIndex":0},"schema":"https://github.com/citation-style-language/schema/raw/master/csl-citation.json"}</w:instrText>
      </w:r>
      <w:r w:rsidR="007B3586">
        <w:rPr>
          <w:rFonts w:cstheme="minorHAnsi"/>
          <w:color w:val="000000"/>
          <w:shd w:val="clear" w:color="auto" w:fill="FFFFFF"/>
        </w:rPr>
        <w:fldChar w:fldCharType="separate"/>
      </w:r>
      <w:r w:rsidR="00B16FC3" w:rsidRPr="00B16FC3">
        <w:rPr>
          <w:rFonts w:cstheme="minorHAnsi"/>
          <w:noProof/>
          <w:color w:val="000000"/>
          <w:shd w:val="clear" w:color="auto" w:fill="FFFFFF"/>
        </w:rPr>
        <w:t>[5,6]</w:t>
      </w:r>
      <w:r w:rsidR="007B3586">
        <w:rPr>
          <w:rFonts w:cstheme="minorHAnsi"/>
          <w:color w:val="000000"/>
          <w:shd w:val="clear" w:color="auto" w:fill="FFFFFF"/>
        </w:rPr>
        <w:fldChar w:fldCharType="end"/>
      </w:r>
      <w:r w:rsidR="007B3586">
        <w:rPr>
          <w:rFonts w:cstheme="minorHAnsi"/>
          <w:color w:val="000000"/>
          <w:shd w:val="clear" w:color="auto" w:fill="FFFFFF"/>
        </w:rPr>
        <w:t xml:space="preserve">. </w:t>
      </w:r>
      <w:r w:rsidR="007B3586">
        <w:t xml:space="preserve"> </w:t>
      </w:r>
    </w:p>
    <w:p w14:paraId="625369AC" w14:textId="213653EC" w:rsidR="006011CB" w:rsidRDefault="007B3586" w:rsidP="006011CB">
      <w:pPr>
        <w:jc w:val="both"/>
        <w:rPr>
          <w:rFonts w:cstheme="minorHAnsi"/>
        </w:rPr>
      </w:pPr>
      <w:r>
        <w:rPr>
          <w:rFonts w:cstheme="minorHAnsi"/>
        </w:rPr>
        <w:t xml:space="preserve">Screening for malnutrition represents an important aspect of routine </w:t>
      </w:r>
      <w:r w:rsidR="00B72EE4">
        <w:rPr>
          <w:rFonts w:cstheme="minorHAnsi"/>
        </w:rPr>
        <w:t xml:space="preserve">community </w:t>
      </w:r>
      <w:r>
        <w:rPr>
          <w:rFonts w:cstheme="minorHAnsi"/>
        </w:rPr>
        <w:t xml:space="preserve">care for those working with older people </w:t>
      </w:r>
      <w:r w:rsidRPr="00101BDD">
        <w:rPr>
          <w:rFonts w:cstheme="minorHAnsi"/>
        </w:rPr>
        <w:fldChar w:fldCharType="begin" w:fldLock="1"/>
      </w:r>
      <w:r w:rsidR="00054774">
        <w:rPr>
          <w:rFonts w:cstheme="minorHAnsi"/>
        </w:rPr>
        <w:instrText>ADDIN CSL_CITATION {"citationItems":[{"id":"ITEM-1","itemData":{"ISBN":"9781899467716","abstract":"The ‘Malnutrition Universal Screening Tool’ (‘MUST’) has been designed to help identify adults who are underweight and at risk of malnutrition, as well as those who are obese. It has not been designed to detect deficiencies in or excessive intakes of vitamins and minerals.","author":[{"dropping-particle":"","family":"Todorovic","given":"V.","non-dropping-particle":"","parse-names":false,"suffix":""},{"dropping-particle":"","family":"Russell","given":"C.","non-dropping-particle":"","parse-names":false,"suffix":""},{"dropping-particle":"","family":"Elia","given":"M.","non-dropping-particle":"","parse-names":false,"suffix":""}],"id":"ITEM-1","issued":{"date-parts":[["2011"]]},"number-of-pages":"32","title":"The 'MUST' explanatory booklet","type":"report"},"uris":["http://www.mendeley.com/documents/?uuid=21c3d2da-aab3-426d-9276-22e5ced317dd"]},{"id":"ITEM-2","itemData":{"author":[{"dropping-particle":"","family":"NICE","given":"","non-dropping-particle":"","parse-names":false,"suffix":""}],"id":"ITEM-2","issue":"February","issued":{"date-parts":[["2006"]]},"publisher-place":"London, UK","title":"Nutrition support for adults: oral nutrition support, enteral tube feeding and parenteral nutrition","type":"report"},"uris":["http://www.mendeley.com/documents/?uuid=2f3756c4-6cdc-4dd2-b898-006522a59424"]},{"id":"ITEM-3","itemData":{"ISBN":"184629150X","PMID":"21309138","abstract":"The quick reference guide on nutrition support in adults presents recommendations for health professionals. \\n","author":[{"dropping-particle":"","family":"NICE","given":"","non-dropping-particle":"","parse-names":false,"suffix":""}],"id":"ITEM-3","issue":"November","issued":{"date-parts":[["2007"]]},"number-of-pages":"1-26","publisher-place":"London, UK","title":"Nutrition support in adults","type":"report"},"uris":["http://www.mendeley.com/documents/?uuid=17788af2-8603-4daa-8947-c35f05b225dd"]}],"mendeley":{"formattedCitation":"[7–9]","plainTextFormattedCitation":"[7–9]","previouslyFormattedCitation":"[7–9]"},"properties":{"noteIndex":0},"schema":"https://github.com/citation-style-language/schema/raw/master/csl-citation.json"}</w:instrText>
      </w:r>
      <w:r w:rsidRPr="00101BDD">
        <w:rPr>
          <w:rFonts w:cstheme="minorHAnsi"/>
        </w:rPr>
        <w:fldChar w:fldCharType="separate"/>
      </w:r>
      <w:r w:rsidR="00B16FC3" w:rsidRPr="00B16FC3">
        <w:rPr>
          <w:rFonts w:cstheme="minorHAnsi"/>
          <w:noProof/>
        </w:rPr>
        <w:t>[7–9]</w:t>
      </w:r>
      <w:r w:rsidRPr="00101BDD">
        <w:rPr>
          <w:rFonts w:cstheme="minorHAnsi"/>
        </w:rPr>
        <w:fldChar w:fldCharType="end"/>
      </w:r>
      <w:r w:rsidR="00B72EE4">
        <w:rPr>
          <w:rFonts w:cstheme="minorHAnsi"/>
        </w:rPr>
        <w:t>;</w:t>
      </w:r>
      <w:r w:rsidR="003A1520">
        <w:rPr>
          <w:rFonts w:cstheme="minorHAnsi"/>
        </w:rPr>
        <w:t xml:space="preserve"> </w:t>
      </w:r>
      <w:r w:rsidR="00B72EE4">
        <w:rPr>
          <w:rFonts w:cstheme="minorHAnsi"/>
        </w:rPr>
        <w:t>h</w:t>
      </w:r>
      <w:r>
        <w:rPr>
          <w:rFonts w:cstheme="minorHAnsi"/>
        </w:rPr>
        <w:t>owever</w:t>
      </w:r>
      <w:r w:rsidR="003A1520">
        <w:rPr>
          <w:rFonts w:cstheme="minorHAnsi"/>
        </w:rPr>
        <w:t>,</w:t>
      </w:r>
      <w:r>
        <w:rPr>
          <w:rFonts w:cstheme="minorHAnsi"/>
        </w:rPr>
        <w:t xml:space="preserve"> m</w:t>
      </w:r>
      <w:r w:rsidRPr="00101BDD">
        <w:rPr>
          <w:rFonts w:cstheme="minorHAnsi"/>
        </w:rPr>
        <w:t xml:space="preserve">alnutrition is often undiagnosed and frequently under-recognised </w:t>
      </w:r>
      <w:r w:rsidR="00B72EE4">
        <w:rPr>
          <w:rFonts w:cstheme="minorHAnsi"/>
        </w:rPr>
        <w:t xml:space="preserve"> </w:t>
      </w:r>
      <w:r w:rsidRPr="00101BDD">
        <w:rPr>
          <w:rFonts w:cstheme="minorHAnsi"/>
        </w:rPr>
        <w:fldChar w:fldCharType="begin" w:fldLock="1"/>
      </w:r>
      <w:r w:rsidR="00027538">
        <w:rPr>
          <w:rFonts w:cstheme="minorHAnsi"/>
        </w:rPr>
        <w:instrText>ADDIN CSL_CITATION {"citationItems":[{"id":"ITEM-1","itemData":{"author":[{"dropping-particle":"","family":"Elia","given":"M.","non-dropping-particle":"","parse-names":false,"suffix":""}],"id":"ITEM-1","issued":{"date-parts":[["2015"]]},"title":"The cost of malnutrition in England and potential cost savings from nutritional interventions (full report) A report on the cost of disease-related malnutrition in support in adults","type":"article-journal"},"uris":["http://www.mendeley.com/documents/?uuid=fe806512-bb37-4309-ba9c-071016b36031"]}],"mendeley":{"formattedCitation":"[10]","plainTextFormattedCitation":"[10]","previouslyFormattedCitation":"[10]"},"properties":{"noteIndex":0},"schema":"https://github.com/citation-style-language/schema/raw/master/csl-citation.json"}</w:instrText>
      </w:r>
      <w:r w:rsidRPr="00101BDD">
        <w:rPr>
          <w:rFonts w:cstheme="minorHAnsi"/>
        </w:rPr>
        <w:fldChar w:fldCharType="separate"/>
      </w:r>
      <w:r w:rsidR="00B16FC3" w:rsidRPr="00B16FC3">
        <w:rPr>
          <w:rFonts w:cstheme="minorHAnsi"/>
          <w:noProof/>
        </w:rPr>
        <w:t>[10]</w:t>
      </w:r>
      <w:r w:rsidRPr="00101BDD">
        <w:rPr>
          <w:rFonts w:cstheme="minorHAnsi"/>
        </w:rPr>
        <w:fldChar w:fldCharType="end"/>
      </w:r>
      <w:r>
        <w:rPr>
          <w:rFonts w:cstheme="minorHAnsi"/>
        </w:rPr>
        <w:t>.</w:t>
      </w:r>
      <w:r w:rsidR="003A1520">
        <w:rPr>
          <w:rFonts w:cstheme="minorHAnsi"/>
        </w:rPr>
        <w:t xml:space="preserve"> Previous studies in hospital and care home settings </w:t>
      </w:r>
      <w:r w:rsidR="00B72EE4">
        <w:rPr>
          <w:rFonts w:cstheme="minorHAnsi"/>
        </w:rPr>
        <w:t>indicate</w:t>
      </w:r>
      <w:r w:rsidR="003A1520">
        <w:rPr>
          <w:rFonts w:cstheme="minorHAnsi"/>
        </w:rPr>
        <w:t xml:space="preserve"> that contextual and organisational barriers can impede introduction of new </w:t>
      </w:r>
      <w:r w:rsidR="00B72EE4">
        <w:rPr>
          <w:rFonts w:cstheme="minorHAnsi"/>
        </w:rPr>
        <w:t>nutritional care procedures</w:t>
      </w:r>
      <w:r w:rsidR="003A1520">
        <w:rPr>
          <w:rFonts w:cstheme="minorHAnsi"/>
        </w:rPr>
        <w:t xml:space="preserve"> </w:t>
      </w:r>
      <w:r w:rsidR="00053B72">
        <w:rPr>
          <w:rFonts w:cstheme="minorHAnsi"/>
        </w:rPr>
        <w:fldChar w:fldCharType="begin" w:fldLock="1"/>
      </w:r>
      <w:r w:rsidR="00027538">
        <w:rPr>
          <w:rFonts w:cstheme="minorHAnsi"/>
        </w:rPr>
        <w:instrText>ADDIN CSL_CITATION {"citationItems":[{"id":"ITEM-1","itemData":{"DOI":"doi:10.1136/bmjopen-2017-017727","ISSN":"2044-6055","author":[{"dropping-particle":"","family":"Johnson","given":"Mark J","non-dropping-particle":"","parse-names":false,"suffix":""},{"dropping-particle":"","family":"Leaf","given":"Alison A","non-dropping-particle":"","parse-names":false,"suffix":""},{"dropping-particle":"","family":"Pearson","given":"Freya","non-dropping-particle":"","parse-names":false,"suffix":""}],"container-title":"BMJ Open","id":"ITEM-1","issued":{"date-parts":[["2017"]]},"title":"Successfully implementing and embedding guidelines to improve the nutrition and growth of preterm infants in neonatal intensive care: a prospective interventional study","type":"article-journal"},"uris":["http://www.mendeley.com/documents/?uuid=744b5300-5d0c-4cd1-a2ce-1729fafa69d4"]},{"id":"ITEM-2","itemData":{"DOI":"10.1186/1748-5908-7-106","ISBN":"1748-5908","ISSN":"1748-5908","PMID":"23110857","abstract":"BACKGROUND: Optimizing the dietary intake of older people can prevent nutritional deficiencies and diet-related diseases, thereby improving quality of life. However, there is evidence that the nutritional intake of older people living in care homes is suboptimal, with high levels of saturated fat, salt, and added sugars. The UK Food Standards Agency therefore developed nutrient- and food-based guidance for residential care homes. The acceptability of these guidelines and their feasibility in practice is unknown. This study used the Normalization Process Theory (NPT) to understand the barriers and facilitators to implementing the guidelines and inform future implementation.\\n\\nMETHODS: We conducted a process evaluation in five care homes in the north of England using qualitative methods (observation and interviews) to explore the views of managers, care staff, catering staff, and domestic staff. Data were analyzed thematically and discussed in data workshops; emerging themes were then mapped to the constructs of NPT.\\n\\nRESULTS: Many staff perceived the guidelines as unnecessarily restrictive and irrelevant to older people. In terms of NPT, the guidelines simply did not make sense (coherence), and as a result, relatively few staff invested in the guidelines (cognitive participation). Even where staff supported the guidelines, implementation was hampered by a lack of nutritional knowledge and institutional support (collective action). Finally, the absence of observable benefits to clients confirmed the negative preconceptions of many staff, with limited evidence of reappraisal following implementation (reflexive monitoring).\\n\\nCONCLUSIONS: The successful implementation of the nutrition guidelines requires that the fundamental issues relating to their perceived value and fit with other priorities and goals be addressed. Specialist support is needed to equip staff with the technical knowledge and skills required for menu analysis and development and to devise ways of evaluating the outcomes of modified menus. NPT proved useful in conceptualizing barriers to implementation; robust links with behavior-change theories would further increase the practical utility of NPT.","author":[{"dropping-particle":"","family":"Bamford","given":"Claire","non-dropping-particle":"","parse-names":false,"suffix":""},{"dropping-particle":"","family":"Heaven","given":"Ben","non-dropping-particle":"","parse-names":false,"suffix":""},{"dropping-particle":"","family":"May","given":"Carl","non-dropping-particle":"","parse-names":false,"suffix":""},{"dropping-particle":"","family":"Moynihan","given":"Paula","non-dropping-particle":"","parse-names":false,"suffix":""}],"container-title":"Implementation Science","id":"ITEM-2","issue":"1","issued":{"date-parts":[["2012"]]},"page":"106","title":"Implementing nutrition guidelines for older people in residential care homes: a qualitative study using normalization process theory","type":"article-journal","volume":"7"},"uris":["http://www.mendeley.com/documents/?uuid=fea2a90d-20d2-48e4-9170-fa4ae59e645e"]}],"mendeley":{"formattedCitation":"[11,12]","plainTextFormattedCitation":"[11,12]","previouslyFormattedCitation":"[11,12]"},"properties":{"noteIndex":0},"schema":"https://github.com/citation-style-language/schema/raw/master/csl-citation.json"}</w:instrText>
      </w:r>
      <w:r w:rsidR="00053B72">
        <w:rPr>
          <w:rFonts w:cstheme="minorHAnsi"/>
        </w:rPr>
        <w:fldChar w:fldCharType="separate"/>
      </w:r>
      <w:r w:rsidR="00B16FC3" w:rsidRPr="00B16FC3">
        <w:rPr>
          <w:rFonts w:cstheme="minorHAnsi"/>
          <w:noProof/>
        </w:rPr>
        <w:t>[11,12]</w:t>
      </w:r>
      <w:r w:rsidR="00053B72">
        <w:rPr>
          <w:rFonts w:cstheme="minorHAnsi"/>
        </w:rPr>
        <w:fldChar w:fldCharType="end"/>
      </w:r>
      <w:r w:rsidR="003A1520">
        <w:rPr>
          <w:rFonts w:cstheme="minorHAnsi"/>
        </w:rPr>
        <w:t>.</w:t>
      </w:r>
      <w:r>
        <w:rPr>
          <w:rFonts w:cstheme="minorHAnsi"/>
        </w:rPr>
        <w:t xml:space="preserve"> </w:t>
      </w:r>
      <w:r w:rsidR="009E44B2">
        <w:rPr>
          <w:rFonts w:cstheme="minorHAnsi"/>
        </w:rPr>
        <w:t>To our knowledge, no published studies have focused specifically and prospectively on nutrition screening</w:t>
      </w:r>
      <w:r w:rsidR="00B72EE4">
        <w:rPr>
          <w:rFonts w:cstheme="minorHAnsi"/>
        </w:rPr>
        <w:t xml:space="preserve"> implementation</w:t>
      </w:r>
      <w:r w:rsidR="009E44B2">
        <w:rPr>
          <w:rFonts w:cstheme="minorHAnsi"/>
        </w:rPr>
        <w:t xml:space="preserve"> in community settings.</w:t>
      </w:r>
      <w:r>
        <w:rPr>
          <w:rFonts w:cstheme="minorHAnsi"/>
        </w:rPr>
        <w:t xml:space="preserve"> </w:t>
      </w:r>
      <w:r w:rsidR="004A5CE0">
        <w:rPr>
          <w:rFonts w:cstheme="minorHAnsi"/>
          <w:color w:val="000000"/>
          <w:shd w:val="clear" w:color="auto" w:fill="FFFFFF"/>
        </w:rPr>
        <w:t>This paper</w:t>
      </w:r>
      <w:r w:rsidR="00306247">
        <w:rPr>
          <w:rFonts w:cstheme="minorHAnsi"/>
          <w:color w:val="000000"/>
          <w:shd w:val="clear" w:color="auto" w:fill="FFFFFF"/>
        </w:rPr>
        <w:t xml:space="preserve"> contributes to understanding </w:t>
      </w:r>
      <w:r w:rsidR="00306247">
        <w:t>professional behaviour change in community settings</w:t>
      </w:r>
      <w:r w:rsidR="00B72EE4">
        <w:t xml:space="preserve"> through</w:t>
      </w:r>
      <w:r w:rsidR="00306247">
        <w:t xml:space="preserve"> results from </w:t>
      </w:r>
      <w:r w:rsidR="00A32B6F">
        <w:t xml:space="preserve">the implementation phase of a </w:t>
      </w:r>
      <w:r w:rsidR="001634DA">
        <w:t>new malnutrition screening and care procedure for community teams working with older people</w:t>
      </w:r>
      <w:r w:rsidR="00B7743C">
        <w:rPr>
          <w:rFonts w:cstheme="minorHAnsi"/>
        </w:rPr>
        <w:t>.</w:t>
      </w:r>
    </w:p>
    <w:p w14:paraId="2404C61C" w14:textId="4A93AC2A" w:rsidR="006F43EB" w:rsidRPr="00570AA3" w:rsidRDefault="00DA2BE5" w:rsidP="00570AA3">
      <w:pPr>
        <w:rPr>
          <w:u w:val="single"/>
        </w:rPr>
      </w:pPr>
      <w:r w:rsidRPr="00570AA3">
        <w:rPr>
          <w:u w:val="single"/>
        </w:rPr>
        <w:t>Prevalence, impact, and economic costs of malnutrition</w:t>
      </w:r>
    </w:p>
    <w:p w14:paraId="3AE667E5" w14:textId="5FF7A6C3" w:rsidR="006F43EB" w:rsidRPr="00101BDD" w:rsidRDefault="00B72EE4" w:rsidP="006F43EB">
      <w:pPr>
        <w:jc w:val="both"/>
        <w:rPr>
          <w:rFonts w:cstheme="minorHAnsi"/>
        </w:rPr>
      </w:pPr>
      <w:r>
        <w:rPr>
          <w:rFonts w:cstheme="minorHAnsi"/>
        </w:rPr>
        <w:t>W</w:t>
      </w:r>
      <w:r w:rsidR="00AC65F3" w:rsidRPr="00AC65F3">
        <w:rPr>
          <w:rFonts w:cstheme="minorHAnsi"/>
        </w:rPr>
        <w:t>e use the term ‘malnutrition’ to refer to ‘undernutrition’ although the term ‘malnutrition’ can encompass both overnutrition/obesity and undernutrition</w:t>
      </w:r>
      <w:r w:rsidR="00AC65F3" w:rsidRPr="00AC65F3" w:rsidDel="00AC65F3">
        <w:rPr>
          <w:rFonts w:cstheme="minorHAnsi"/>
        </w:rPr>
        <w:t xml:space="preserve"> </w:t>
      </w:r>
      <w:r w:rsidR="006F43EB" w:rsidRPr="00101BDD">
        <w:rPr>
          <w:rFonts w:cstheme="minorHAnsi"/>
        </w:rPr>
        <w:fldChar w:fldCharType="begin" w:fldLock="1"/>
      </w:r>
      <w:r w:rsidR="00054774">
        <w:rPr>
          <w:rFonts w:cstheme="minorHAnsi"/>
        </w:rPr>
        <w:instrText>ADDIN CSL_CITATION {"citationItems":[{"id":"ITEM-1","itemData":{"ISBN":"9781899467365","abstract":"Executive summary • Malnutrition, in terms of undernourishment, is both a cause and consequence of disease in adults and children. It is common and affects over 3 million people in the UK with associated health costs exceeding £13 billion annually.1 It is often unrecognised and untreated, yet it has a substantial impact on health and disease in all community care settings and hospitals.2,3 • The benefits of improving nutritional care and providing adequate hydration are immense, especially for those with long term conditions and problems such as stroke, pressure ulcers or falls. The evidence shows clearly that if nutritional needs are ignored health outcomes are worse and meta-analyses of trials suggest that provision of nutritional supplements to malnourished patients reduces complications such as infections and wound breakdown by 70% and mortality by 40%.3 • Better nutritional care for individuals at risk can result in substantial cost savings to the NHS4 and even a saving of 1% of the annual health care cost of malnutrition, would amount to £130 million annually.1 Recent guidance from the NICE identifies better nutritional care as the fourth largest potential source of cost savings to the NHS5 and nutrition and hydration are identified in the SHA Chief Nurses eight ‘high impact’ clinical areas that could make huge cost savings for the NHS if Trusts and Care Homes improved performance.6 • It is crucial when redesigning nutritional care, to consider the overall health costs associated with malnourishment. For example, although it is tempting to create a simple target to reduce the prescribing costs of oral nutritional supplements (ONS), which have risen steeply in recent years, ill thought out measures to do so will be detrimental to some individuals and may result in increased overall costs. Properly planned nutritional care will reduce costs from inappropriate use or wastage of ONS but will also identify more individuals who will benefit from them. However, since the health care costs associated with malnutrition are primarily due to more frequent and expensive hospital in-patient spells, more primary care consultations and the greater long-term care needs of malnourished individuals4, even a net increase in use of ONS, enteral tube feeding and parenteral nutrition, will be more than offset by cost savings since the current costs of these nutrition support modalities only amounts to about 2% of overall malnutrition related costs.4 • Providing good nu…","author":[{"dropping-particle":"","family":"Brotherton","given":"A.","non-dropping-particle":"","parse-names":false,"suffix":""},{"dropping-particle":"","family":"Simmonds","given":"N.","non-dropping-particle":"","parse-names":false,"suffix":""},{"dropping-particle":"","family":"Stroud","given":"M.","non-dropping-particle":"","parse-names":false,"suffix":""}],"container-title":"BAPEN","id":"ITEM-1","issued":{"date-parts":[["2010"]]},"number-of-pages":"1-32","title":"Malnutrition Matters - Meeting Quality Standards in Nutritional Care","type":"report"},"uris":["http://www.mendeley.com/documents/?uuid=3623e94a-a46f-40c6-855e-c000a44b5a95"]},{"id":"ITEM-2","itemData":{"URL":"http://www.who.int/features/qa/malnutrition/en/","accessed":{"date-parts":[["2017","9","29"]]},"author":[{"dropping-particle":"","family":"WHO","given":"","non-dropping-particle":"","parse-names":false,"suffix":""}],"id":"ITEM-2","issued":{"date-parts":[["2016"]]},"title":"What is malnutrition?","type":"webpage"},"uris":["http://www.mendeley.com/documents/?uuid=edaeeffa-28f7-46f6-810f-a0e1d42cd3f8"]}],"mendeley":{"formattedCitation":"[13,14]","plainTextFormattedCitation":"[13,14]","previouslyFormattedCitation":"[13,14]"},"properties":{"noteIndex":0},"schema":"https://github.com/citation-style-language/schema/raw/master/csl-citation.json"}</w:instrText>
      </w:r>
      <w:r w:rsidR="006F43EB" w:rsidRPr="00101BDD">
        <w:rPr>
          <w:rFonts w:cstheme="minorHAnsi"/>
        </w:rPr>
        <w:fldChar w:fldCharType="separate"/>
      </w:r>
      <w:r w:rsidR="0099270F" w:rsidRPr="0099270F">
        <w:rPr>
          <w:rFonts w:cstheme="minorHAnsi"/>
          <w:noProof/>
        </w:rPr>
        <w:t>[13,14]</w:t>
      </w:r>
      <w:r w:rsidR="006F43EB" w:rsidRPr="00101BDD">
        <w:rPr>
          <w:rFonts w:cstheme="minorHAnsi"/>
        </w:rPr>
        <w:fldChar w:fldCharType="end"/>
      </w:r>
      <w:r w:rsidR="00C14A3F">
        <w:rPr>
          <w:rFonts w:cstheme="minorHAnsi"/>
        </w:rPr>
        <w:t xml:space="preserve">. </w:t>
      </w:r>
      <w:r w:rsidR="00AC65F3" w:rsidRPr="00AC65F3">
        <w:rPr>
          <w:rFonts w:cstheme="minorHAnsi"/>
        </w:rPr>
        <w:t>Malnutrition is defined as a state in which a deficiency, excess or imbalance of energy, protein and other nutrients causes measurable adverse effects on tissue/body form (body shape, size and composition), function or clinical outcome</w:t>
      </w:r>
      <w:r w:rsidR="00FC1BF2">
        <w:rPr>
          <w:rFonts w:cstheme="minorHAnsi"/>
        </w:rPr>
        <w:t xml:space="preserve"> </w:t>
      </w:r>
      <w:r w:rsidR="00AC65F3">
        <w:rPr>
          <w:rFonts w:cstheme="minorHAnsi"/>
        </w:rPr>
        <w:fldChar w:fldCharType="begin" w:fldLock="1"/>
      </w:r>
      <w:r w:rsidR="008F1402">
        <w:rPr>
          <w:rFonts w:cstheme="minorHAnsi"/>
        </w:rPr>
        <w:instrText>ADDIN CSL_CITATION {"citationItems":[{"id":"ITEM-1","itemData":{"ISBN":"0152745785","author":[{"dropping-particle":"","family":"Elia","given":"Marinos","non-dropping-particle":"","parse-names":false,"suffix":""}],"id":"ITEM-1","issued":{"date-parts":[["2003"]]},"publisher-place":"Warminster, UK","title":"The ‘MUST’ Report - Nutritional screening of adults: a multidisciplinary responsibility","type":"report"},"uris":["http://www.mendeley.com/documents/?uuid=5ad7c3ce-8337-4a45-8eb2-ecdea20dbf60"]}],"mendeley":{"formattedCitation":"[15]","plainTextFormattedCitation":"[15]","previouslyFormattedCitation":"[15]"},"properties":{"noteIndex":0},"schema":"https://github.com/citation-style-language/schema/raw/master/csl-citation.json"}</w:instrText>
      </w:r>
      <w:r w:rsidR="00AC65F3">
        <w:rPr>
          <w:rFonts w:cstheme="minorHAnsi"/>
        </w:rPr>
        <w:fldChar w:fldCharType="separate"/>
      </w:r>
      <w:r w:rsidR="00AC65F3" w:rsidRPr="00AC65F3">
        <w:rPr>
          <w:rFonts w:cstheme="minorHAnsi"/>
          <w:noProof/>
        </w:rPr>
        <w:t>[15]</w:t>
      </w:r>
      <w:r w:rsidR="00AC65F3">
        <w:rPr>
          <w:rFonts w:cstheme="minorHAnsi"/>
        </w:rPr>
        <w:fldChar w:fldCharType="end"/>
      </w:r>
      <w:r w:rsidR="00AC65F3">
        <w:rPr>
          <w:rFonts w:cstheme="minorHAnsi"/>
        </w:rPr>
        <w:t xml:space="preserve">.  </w:t>
      </w:r>
      <w:r>
        <w:rPr>
          <w:rFonts w:cstheme="minorHAnsi"/>
        </w:rPr>
        <w:t>Over</w:t>
      </w:r>
      <w:r w:rsidR="006F43EB" w:rsidRPr="00101BDD">
        <w:rPr>
          <w:rFonts w:cstheme="minorHAnsi"/>
        </w:rPr>
        <w:t xml:space="preserve"> 3 million individuals are estimated to be</w:t>
      </w:r>
      <w:r w:rsidR="00FD0883">
        <w:rPr>
          <w:rFonts w:cstheme="minorHAnsi"/>
        </w:rPr>
        <w:t xml:space="preserve"> malnourished</w:t>
      </w:r>
      <w:r w:rsidR="007E3454">
        <w:rPr>
          <w:rFonts w:cstheme="minorHAnsi"/>
        </w:rPr>
        <w:t xml:space="preserve"> </w:t>
      </w:r>
      <w:r w:rsidR="00FD0883">
        <w:rPr>
          <w:rFonts w:cstheme="minorHAnsi"/>
        </w:rPr>
        <w:t>or</w:t>
      </w:r>
      <w:r w:rsidR="006F43EB" w:rsidRPr="00101BDD">
        <w:rPr>
          <w:rFonts w:cstheme="minorHAnsi"/>
        </w:rPr>
        <w:t xml:space="preserve"> at risk</w:t>
      </w:r>
      <w:r w:rsidR="00DA2BE5">
        <w:rPr>
          <w:rFonts w:cstheme="minorHAnsi"/>
        </w:rPr>
        <w:t xml:space="preserve"> </w:t>
      </w:r>
      <w:r w:rsidR="00FD0883">
        <w:rPr>
          <w:rFonts w:cstheme="minorHAnsi"/>
        </w:rPr>
        <w:t xml:space="preserve">of malnutrition </w:t>
      </w:r>
      <w:r w:rsidR="001A4A0B">
        <w:rPr>
          <w:rFonts w:cstheme="minorHAnsi"/>
        </w:rPr>
        <w:t>in the UK</w:t>
      </w:r>
      <w:r w:rsidR="00F75DE9">
        <w:rPr>
          <w:rFonts w:cstheme="minorHAnsi"/>
        </w:rPr>
        <w:t>,</w:t>
      </w:r>
      <w:r w:rsidR="00FD0883">
        <w:rPr>
          <w:rFonts w:cstheme="minorHAnsi"/>
        </w:rPr>
        <w:t xml:space="preserve"> the majority</w:t>
      </w:r>
      <w:r w:rsidR="00B441F8">
        <w:rPr>
          <w:rFonts w:cstheme="minorHAnsi"/>
        </w:rPr>
        <w:t xml:space="preserve"> </w:t>
      </w:r>
      <w:r w:rsidR="00FD0883">
        <w:rPr>
          <w:rFonts w:cstheme="minorHAnsi"/>
        </w:rPr>
        <w:t>(</w:t>
      </w:r>
      <w:r w:rsidR="00053B72">
        <w:rPr>
          <w:rFonts w:cstheme="minorHAnsi"/>
        </w:rPr>
        <w:t>93%</w:t>
      </w:r>
      <w:r w:rsidR="00FD0883">
        <w:rPr>
          <w:rFonts w:cstheme="minorHAnsi"/>
        </w:rPr>
        <w:t>) living</w:t>
      </w:r>
      <w:r w:rsidR="00053B72">
        <w:rPr>
          <w:rFonts w:cstheme="minorHAnsi"/>
        </w:rPr>
        <w:t xml:space="preserve"> in the community</w:t>
      </w:r>
      <w:r w:rsidR="006F43EB" w:rsidRPr="00101BDD">
        <w:rPr>
          <w:rFonts w:cstheme="minorHAnsi"/>
        </w:rPr>
        <w:t xml:space="preserve"> </w:t>
      </w:r>
      <w:r w:rsidR="006F43EB" w:rsidRPr="00101BDD">
        <w:rPr>
          <w:rFonts w:cstheme="minorHAnsi"/>
        </w:rPr>
        <w:fldChar w:fldCharType="begin" w:fldLock="1"/>
      </w:r>
      <w:r w:rsidR="008F1402">
        <w:rPr>
          <w:rFonts w:cstheme="minorHAnsi"/>
        </w:rPr>
        <w:instrText>ADDIN CSL_CITATION {"citationItems":[{"id":"ITEM-1","itemData":{"abstract":"Nutrition Advisory Group on malnutrition led by BAPEN 2009. Output of a meeting of the Advisory Group on Malnutrition 12 June 2008","author":[{"dropping-particle":"","family":"Elia","given":"M.","non-dropping-particle":"","parse-names":false,"suffix":""},{"dropping-particle":"","family":"Russell","given":"C.","non-dropping-particle":"","parse-names":false,"suffix":""}],"id":"ITEM-1","issue":"June","issued":{"date-parts":[["2009"]]},"number-of-pages":"1-7","title":"Combating Malnutrition: Recommendations For Action","type":"report"},"uris":["http://www.mendeley.com/documents/?uuid=60517c2c-e019-499e-93d3-9415dd8f599c"]},{"id":"ITEM-2","itemData":{"author":[{"dropping-particle":"","family":"Russell","given":"CA","non-dropping-particle":"","parse-names":false,"suffix":""},{"dropping-particle":"","family":"Elia","given":"M","non-dropping-particle":"","parse-names":false,"suffix":""}],"container-title":"BAPEN","id":"ITEM-2","issued":{"date-parts":[["2009"]]},"title":"Screening for malnutrition in sheltered housing. A Report from BAPEN with the Group on Nutrition in Sheltered Housing (GNASH).","type":"report"},"uris":["http://www.mendeley.com/documents/?uuid=31101d0e-ff56-4fcc-8b06-f19a81122147"]}],"mendeley":{"formattedCitation":"[16,17]","plainTextFormattedCitation":"[16,17]","previouslyFormattedCitation":"[16,17]"},"properties":{"noteIndex":0},"schema":"https://github.com/citation-style-language/schema/raw/master/csl-citation.json"}</w:instrText>
      </w:r>
      <w:r w:rsidR="006F43EB" w:rsidRPr="00101BDD">
        <w:rPr>
          <w:rFonts w:cstheme="minorHAnsi"/>
        </w:rPr>
        <w:fldChar w:fldCharType="separate"/>
      </w:r>
      <w:r w:rsidR="00AC65F3" w:rsidRPr="00AC65F3">
        <w:rPr>
          <w:rFonts w:cstheme="minorHAnsi"/>
          <w:noProof/>
        </w:rPr>
        <w:t>[16,17]</w:t>
      </w:r>
      <w:r w:rsidR="006F43EB" w:rsidRPr="00101BDD">
        <w:rPr>
          <w:rFonts w:cstheme="minorHAnsi"/>
        </w:rPr>
        <w:fldChar w:fldCharType="end"/>
      </w:r>
      <w:r w:rsidR="0099270F">
        <w:rPr>
          <w:rFonts w:cstheme="minorHAnsi"/>
        </w:rPr>
        <w:t xml:space="preserve">, of which </w:t>
      </w:r>
      <w:r w:rsidR="00FD0883">
        <w:rPr>
          <w:rFonts w:cstheme="minorHAnsi"/>
        </w:rPr>
        <w:t>over one million are age</w:t>
      </w:r>
      <w:r>
        <w:rPr>
          <w:rFonts w:cstheme="minorHAnsi"/>
        </w:rPr>
        <w:t>d</w:t>
      </w:r>
      <w:r w:rsidR="00FD0883">
        <w:rPr>
          <w:rFonts w:cstheme="minorHAnsi"/>
        </w:rPr>
        <w:t xml:space="preserve"> </w:t>
      </w:r>
      <w:r w:rsidR="006F43EB" w:rsidRPr="00101BDD">
        <w:rPr>
          <w:rFonts w:cstheme="minorHAnsi"/>
        </w:rPr>
        <w:t>65</w:t>
      </w:r>
      <w:r>
        <w:rPr>
          <w:rFonts w:cstheme="minorHAnsi"/>
        </w:rPr>
        <w:t>+</w:t>
      </w:r>
      <w:r w:rsidR="006F43EB" w:rsidRPr="00101BDD">
        <w:rPr>
          <w:rFonts w:cstheme="minorHAnsi"/>
        </w:rPr>
        <w:t xml:space="preserve"> </w:t>
      </w:r>
      <w:r w:rsidR="00DD6BCB">
        <w:rPr>
          <w:rFonts w:cstheme="minorHAnsi"/>
        </w:rPr>
        <w:fldChar w:fldCharType="begin" w:fldLock="1"/>
      </w:r>
      <w:r w:rsidR="008F1402">
        <w:rPr>
          <w:rFonts w:cstheme="minorHAnsi"/>
        </w:rPr>
        <w:instrText>ADDIN CSL_CITATION {"citationItems":[{"id":"ITEM-1","itemData":{"abstract":"Introduction Malnutrition is something more readily associated with extreme poverty, usually in countries a long way away from the UK. Many of us would be shocked to find out that our older friends and relatives are also at risk. Yet this is precisely the case. It is estimated that around one in ten people over the age of 65 are malnourished or at risk of malnutrition. Malnutrition is both a cause and a consequence of ill health and is a silent and, all too often, hidden problem. It will affect health and wellbeing, increasing hospital admissions, and can lead to long-term health problems for otherwise healthy and independent older people. Of the 11.6 million older people in the UK, over a million are estimated to be malnourished or at risk of malnutrition. 1, 2 Why is this happening? Unfortunately, despite excellent guidance and awareness raising, 3, 4, 5 awareness of malnutrition amongst older people, their families and many health and care professionals remains low. The risk factors that can contribute to malnutrition remain. There is also patchy availability of care and support services to prevent malnutrition, or identify and treat it when it occurs. The myth perpetuates that it is 'normal' to get thin as you get older, associated with outdated perceptions that becoming frail is all but inevitable in later life. This is not helped by health messages and public health policy that are preoccupied by reducing levels of obesity, so that weight loss is seen as desirable. There is little recognition that widely publicised advice about diet and nutrition is often unsuitable for older or more vulnerable members of society. Yet malnutrition is largely preventable and treatable, other than when it accompanies a serious illness like cancer, in which case highly specialist support is required. Because of its widespread prevalence, reducing incidences of malnutrition are associated with large potential cost savings across the NHS and social care. 6 There are many examples of good practice with teams up and down the country making real progress on tackling malnutrition, however efforts are patchy and access to help remains a postcode lottery for older people and their families. We urgently need to invest in a proper joined-up strategy, bringing together health, social care and the voluntary sector, to ensure all older people get the support they need. We also need to look to the future. The UK population is ageing; there are now more people in the UK aged over 6…","author":[{"dropping-particle":"","family":"Wilson","given":"L.","non-dropping-particle":"","parse-names":false,"suffix":""}],"id":"ITEM-1","issued":{"date-parts":[["2017"]]},"number-of-pages":"15","publisher-place":"London, UK","title":"State of the Nation - Older People and Malnutrition in the UK today","type":"report"},"uris":["http://www.mendeley.com/documents/?uuid=8dd6a664-379b-47e4-aa4b-b0602e81b950"]}],"mendeley":{"formattedCitation":"[18]","plainTextFormattedCitation":"[18]","previouslyFormattedCitation":"[18]"},"properties":{"noteIndex":0},"schema":"https://github.com/citation-style-language/schema/raw/master/csl-citation.json"}</w:instrText>
      </w:r>
      <w:r w:rsidR="00DD6BCB">
        <w:rPr>
          <w:rFonts w:cstheme="minorHAnsi"/>
        </w:rPr>
        <w:fldChar w:fldCharType="separate"/>
      </w:r>
      <w:r w:rsidR="00AC65F3" w:rsidRPr="00AC65F3">
        <w:rPr>
          <w:rFonts w:cstheme="minorHAnsi"/>
          <w:noProof/>
        </w:rPr>
        <w:t>[18]</w:t>
      </w:r>
      <w:r w:rsidR="00DD6BCB">
        <w:rPr>
          <w:rFonts w:cstheme="minorHAnsi"/>
        </w:rPr>
        <w:fldChar w:fldCharType="end"/>
      </w:r>
      <w:r w:rsidR="006F43EB" w:rsidRPr="00101BDD">
        <w:rPr>
          <w:rFonts w:cstheme="minorHAnsi"/>
        </w:rPr>
        <w:t xml:space="preserve">. </w:t>
      </w:r>
      <w:r w:rsidR="00974AE3">
        <w:rPr>
          <w:rFonts w:cstheme="minorHAnsi"/>
        </w:rPr>
        <w:t>Mal</w:t>
      </w:r>
      <w:r w:rsidR="006F43EB" w:rsidRPr="00101BDD">
        <w:rPr>
          <w:rFonts w:cstheme="minorHAnsi"/>
        </w:rPr>
        <w:t>nutrition has consequences that both affect individual</w:t>
      </w:r>
      <w:r>
        <w:rPr>
          <w:rFonts w:cstheme="minorHAnsi"/>
        </w:rPr>
        <w:t>s</w:t>
      </w:r>
      <w:r w:rsidR="006F43EB" w:rsidRPr="00101BDD">
        <w:rPr>
          <w:rFonts w:cstheme="minorHAnsi"/>
        </w:rPr>
        <w:t xml:space="preserve">, and impose a strain on health-care resources through delayed recovery from illness, increased need for health care provision at home, more frequent visits by nurses, and a greater number of hospital admissions </w:t>
      </w:r>
      <w:r w:rsidR="006F43EB" w:rsidRPr="00101BDD">
        <w:rPr>
          <w:rFonts w:cstheme="minorHAnsi"/>
        </w:rPr>
        <w:fldChar w:fldCharType="begin" w:fldLock="1"/>
      </w:r>
      <w:r w:rsidR="008F1402">
        <w:rPr>
          <w:rFonts w:cstheme="minorHAnsi"/>
        </w:rPr>
        <w:instrText>ADDIN CSL_CITATION {"citationItems":[{"id":"ITEM-1","itemData":{"DOI":"10.1016/S0261-5614(03)00107-9","ISSN":"0261-5614","abstract":"Background &amp; aims: Malnutrition is common in sick elderly people on admission to hospital and in the community. We conducted a randomised controlled trial to determine if nutritional supplementation after discharge from hospital improved nutritional status and functional outcomes, or reduced health-care costs.Methods: Elderly malnourished subjects were randomised to 8 weeks of supplementation or no supplementation post discharge, and followed up for 24 weeks. Weight, body mass index, anthropometrics, handgrip strength, quality of life and requirements for health-care professionals? services and social services were measured throughout the study.Results: Nutritional status improved significantly from baseline to week 24 in the intervention group (P&lt;0.05), but not in the control group. There was no significant difference in nutritional status between groups at week 24. Handgrip strength improved significantly in the intervention group during supplementation, and was significantly different from that of the control group at week 8, but decreased thereafter. There was no significant difference in quality of life or health economic outcomes between groups at week 24.Conclusions: In already malnourished elderly subjects, it may be too late to expect to improve function or quality of life or to reduce health-care costs simply by providing nutritional supplements after hospitalisation. Prevention is key. All elderly patients should be nutritionally assessed as part of their routine care, and appropriate intervention initiated early.","author":[{"dropping-particle":"","family":"Edington","given":"J","non-dropping-particle":"","parse-names":false,"suffix":""},{"dropping-particle":"","family":"Barnes","given":"R","non-dropping-particle":"","parse-names":false,"suffix":""},{"dropping-particle":"","family":"Bryan","given":"F","non-dropping-particle":"","parse-names":false,"suffix":""},{"dropping-particle":"","family":"Dupree","given":"E","non-dropping-particle":"","parse-names":false,"suffix":""},{"dropping-particle":"","family":"Frost","given":"G","non-dropping-particle":"","parse-names":false,"suffix":""},{"dropping-particle":"","family":"Hickson","given":"M","non-dropping-particle":"","parse-names":false,"suffix":""},{"dropping-particle":"","family":"Lancaster","given":"J","non-dropping-particle":"","parse-names":false,"suffix":""},{"dropping-particle":"","family":"Mongia","given":"S","non-dropping-particle":"","parse-names":false,"suffix":""},{"dropping-particle":"","family":"Smith","given":"J","non-dropping-particle":"","parse-names":false,"suffix":""},{"dropping-particle":"","family":"Torrance","given":"A","non-dropping-particle":"","parse-names":false,"suffix":""},{"dropping-particle":"","family":"West","given":"R","non-dropping-particle":"","parse-names":false,"suffix":""},{"dropping-particle":"","family":"Pang","given":"F","non-dropping-particle":"","parse-names":false,"suffix":""},{"dropping-particle":"","family":"Coles","given":"S J","non-dropping-particle":"","parse-names":false,"suffix":""}],"container-title":"Clinical Nutrition","id":"ITEM-1","issue":"2","issued":{"date-parts":[["2017","8","21"]]},"note":"doi: 10.1016/S0261-5614(03)00107-9","page":"195-204","publisher":"Elsevier","title":"A prospective randomised controlled trial of nutritional supplementation in malnourished elderly in the community: clinical and health economic outcomes","type":"article-journal","volume":"23"},"uris":["http://www.mendeley.com/documents/?uuid=1bd84c9a-20dc-4e1d-a497-6c598825a1c0"]},{"id":"ITEM-2","itemData":{"ISBN":"9781899467365","abstract":"Executive summary • Malnutrition, in terms of undernourishment, is both a cause and consequence of disease in adults and children. It is common and affects over 3 million people in the UK with associated health costs exceeding £13 billion annually.1 It is often unrecognised and untreated, yet it has a substantial impact on health and disease in all community care settings and hospitals.2,3 • The benefits of improving nutritional care and providing adequate hydration are immense, especially for those with long term conditions and problems such as stroke, pressure ulcers or falls. The evidence shows clearly that if nutritional needs are ignored health outcomes are worse and meta-analyses of trials suggest that provision of nutritional supplements to malnourished patients reduces complications such as infections and wound breakdown by 70% and mortality by 40%.3 • Better nutritional care for individuals at risk can result in substantial cost savings to the NHS4 and even a saving of 1% of the annual health care cost of malnutrition, would amount to £130 million annually.1 Recent guidance from the NICE identifies better nutritional care as the fourth largest potential source of cost savings to the NHS5 and nutrition and hydration are identified in the SHA Chief Nurses eight ‘high impact’ clinical areas that could make huge cost savings for the NHS if Trusts and Care Homes improved performance.6 • It is crucial when redesigning nutritional care, to consider the overall health costs associated with malnourishment. For example, although it is tempting to create a simple target to reduce the prescribing costs of oral nutritional supplements (ONS), which have risen steeply in recent years, ill thought out measures to do so will be detrimental to some individuals and may result in increased overall costs. Properly planned nutritional care will reduce costs from inappropriate use or wastage of ONS but will also identify more individuals who will benefit from them. However, since the health care costs associated with malnutrition are primarily due to more frequent and expensive hospital in-patient spells, more primary care consultations and the greater long-term care needs of malnourished individuals4, even a net increase in use of ONS, enteral tube feeding and parenteral nutrition, will be more than offset by cost savings since the current costs of these nutrition support modalities only amounts to about 2% of overall malnutrition related costs.4 • Providing good nu…","author":[{"dropping-particle":"","family":"Brotherton","given":"A.","non-dropping-particle":"","parse-names":false,"suffix":""},{"dropping-particle":"","family":"Simmonds","given":"N.","non-dropping-particle":"","parse-names":false,"suffix":""},{"dropping-particle":"","family":"Stroud","given":"M.","non-dropping-particle":"","parse-names":false,"suffix":""}],"container-title":"BAPEN","id":"ITEM-2","issued":{"date-parts":[["2010"]]},"number-of-pages":"1-32","title":"Malnutrition Matters - Meeting Quality Standards in Nutritional Care","type":"report"},"uris":["http://www.mendeley.com/documents/?uuid=3623e94a-a46f-40c6-855e-c000a44b5a95"]},{"id":"ITEM-3","itemData":{"author":[{"dropping-particle":"","family":"Elia","given":"M.","non-dropping-particle":"","parse-names":false,"suffix":""}],"id":"ITEM-3","issued":{"date-parts":[["2015"]]},"title":"The cost of malnutrition in England and potential cost savings from nutritional interventions (full report) A report on the cost of disease-related malnutrition in support in adults","type":"article-journal"},"uris":["http://www.mendeley.com/documents/?uuid=fe806512-bb37-4309-ba9c-071016b36031"]}],"mendeley":{"formattedCitation":"[10,13,19]","plainTextFormattedCitation":"[10,13,19]","previouslyFormattedCitation":"[10,13,19]"},"properties":{"noteIndex":0},"schema":"https://github.com/citation-style-language/schema/raw/master/csl-citation.json"}</w:instrText>
      </w:r>
      <w:r w:rsidR="006F43EB" w:rsidRPr="00101BDD">
        <w:rPr>
          <w:rFonts w:cstheme="minorHAnsi"/>
        </w:rPr>
        <w:fldChar w:fldCharType="separate"/>
      </w:r>
      <w:r w:rsidR="00AC65F3" w:rsidRPr="00AC65F3">
        <w:rPr>
          <w:rFonts w:cstheme="minorHAnsi"/>
          <w:noProof/>
        </w:rPr>
        <w:t>[10,13,19]</w:t>
      </w:r>
      <w:r w:rsidR="006F43EB" w:rsidRPr="00101BDD">
        <w:rPr>
          <w:rFonts w:cstheme="minorHAnsi"/>
        </w:rPr>
        <w:fldChar w:fldCharType="end"/>
      </w:r>
      <w:r w:rsidR="00DA2BE5">
        <w:rPr>
          <w:rFonts w:cstheme="minorHAnsi"/>
        </w:rPr>
        <w:t>.</w:t>
      </w:r>
      <w:r w:rsidR="00AD120B">
        <w:rPr>
          <w:rFonts w:cstheme="minorHAnsi"/>
        </w:rPr>
        <w:t xml:space="preserve"> </w:t>
      </w:r>
      <w:r w:rsidR="0099270F">
        <w:rPr>
          <w:rFonts w:cstheme="minorHAnsi"/>
        </w:rPr>
        <w:t>Evidence suggests that</w:t>
      </w:r>
      <w:r w:rsidR="006F43EB" w:rsidRPr="00101BDD">
        <w:rPr>
          <w:rFonts w:cstheme="minorHAnsi"/>
        </w:rPr>
        <w:t xml:space="preserve"> </w:t>
      </w:r>
      <w:r w:rsidR="00DA2BE5">
        <w:rPr>
          <w:rFonts w:cstheme="minorHAnsi"/>
        </w:rPr>
        <w:t>malnutrition</w:t>
      </w:r>
      <w:r w:rsidR="0099270F">
        <w:rPr>
          <w:rFonts w:cstheme="minorHAnsi"/>
        </w:rPr>
        <w:t xml:space="preserve"> in older people</w:t>
      </w:r>
      <w:r w:rsidR="00DA2BE5">
        <w:rPr>
          <w:rFonts w:cstheme="minorHAnsi"/>
        </w:rPr>
        <w:t xml:space="preserve"> can be prevented </w:t>
      </w:r>
      <w:r w:rsidR="006F43EB" w:rsidRPr="00101BDD">
        <w:rPr>
          <w:rFonts w:cstheme="minorHAnsi"/>
        </w:rPr>
        <w:t xml:space="preserve">through screening and early intervention, and that benefits of treating malnutrition far outweigh costs </w:t>
      </w:r>
      <w:r w:rsidR="006F43EB" w:rsidRPr="00101BDD">
        <w:rPr>
          <w:rFonts w:cstheme="minorHAnsi"/>
        </w:rPr>
        <w:fldChar w:fldCharType="begin" w:fldLock="1"/>
      </w:r>
      <w:r w:rsidR="008F1402">
        <w:rPr>
          <w:rFonts w:cstheme="minorHAnsi"/>
        </w:rPr>
        <w:instrText>ADDIN CSL_CITATION {"citationItems":[{"id":"ITEM-1","itemData":{"author":[{"dropping-particle":"","family":"Wilson","given":"Lisa","non-dropping-particle":"","parse-names":false,"suffix":""},{"dropping-particle":"","family":"Health","given":"Rnutr Public","non-dropping-particle":"","parse-names":false,"suffix":""}],"id":"ITEM-1","issue":"May","issued":{"date-parts":[["2013"]]},"number-of-pages":"1-30","title":"A review and summary of the impact of malnutrition in older people and the reported costs and benefits of interventions","type":"report"},"uris":["http://www.mendeley.com/documents/?uuid=00206321-73c8-4c5c-bec4-077fdb63efa6"]}],"mendeley":{"formattedCitation":"[20]","plainTextFormattedCitation":"[20]","previouslyFormattedCitation":"[20]"},"properties":{"noteIndex":0},"schema":"https://github.com/citation-style-language/schema/raw/master/csl-citation.json"}</w:instrText>
      </w:r>
      <w:r w:rsidR="006F43EB" w:rsidRPr="00101BDD">
        <w:rPr>
          <w:rFonts w:cstheme="minorHAnsi"/>
        </w:rPr>
        <w:fldChar w:fldCharType="separate"/>
      </w:r>
      <w:r w:rsidR="00AC65F3" w:rsidRPr="00AC65F3">
        <w:rPr>
          <w:rFonts w:cstheme="minorHAnsi"/>
          <w:noProof/>
        </w:rPr>
        <w:t>[20]</w:t>
      </w:r>
      <w:r w:rsidR="006F43EB" w:rsidRPr="00101BDD">
        <w:rPr>
          <w:rFonts w:cstheme="minorHAnsi"/>
        </w:rPr>
        <w:fldChar w:fldCharType="end"/>
      </w:r>
      <w:r w:rsidR="006F43EB" w:rsidRPr="00101BDD">
        <w:rPr>
          <w:rFonts w:cstheme="minorHAnsi"/>
        </w:rPr>
        <w:t>.</w:t>
      </w:r>
      <w:r w:rsidR="0099270F" w:rsidRPr="00101BDD" w:rsidDel="0099270F">
        <w:rPr>
          <w:rFonts w:cstheme="minorHAnsi"/>
        </w:rPr>
        <w:t xml:space="preserve"> </w:t>
      </w:r>
    </w:p>
    <w:p w14:paraId="5952129B" w14:textId="77777777" w:rsidR="006F43EB" w:rsidRPr="00570AA3" w:rsidRDefault="006F43EB" w:rsidP="000F4EA3">
      <w:pPr>
        <w:jc w:val="both"/>
        <w:rPr>
          <w:u w:val="single"/>
        </w:rPr>
      </w:pPr>
      <w:bookmarkStart w:id="1" w:name="_Toc506539291"/>
      <w:r w:rsidRPr="00570AA3">
        <w:rPr>
          <w:u w:val="single"/>
        </w:rPr>
        <w:t>A new procedure for screening and treatment of malnutrition (the intervention).</w:t>
      </w:r>
      <w:bookmarkEnd w:id="1"/>
    </w:p>
    <w:p w14:paraId="0FFD6A09" w14:textId="7BD9C21A" w:rsidR="0081478E" w:rsidRDefault="00551B6D" w:rsidP="006F43EB">
      <w:pPr>
        <w:jc w:val="both"/>
        <w:rPr>
          <w:rFonts w:cstheme="minorHAnsi"/>
        </w:rPr>
      </w:pPr>
      <w:r w:rsidRPr="0099270F">
        <w:rPr>
          <w:rFonts w:cstheme="minorHAnsi"/>
        </w:rPr>
        <w:t>There is good evidence to suggest that nutrition screening of older people living in the community</w:t>
      </w:r>
      <w:r w:rsidR="00F954F7">
        <w:rPr>
          <w:rFonts w:cstheme="minorHAnsi"/>
        </w:rPr>
        <w:t xml:space="preserve"> together</w:t>
      </w:r>
      <w:r w:rsidRPr="0099270F">
        <w:rPr>
          <w:rFonts w:cstheme="minorHAnsi"/>
        </w:rPr>
        <w:t xml:space="preserve"> with appropriate intervention and monitoring improves nutritional status</w:t>
      </w:r>
      <w:r w:rsidR="00A47D1F" w:rsidRPr="0099270F">
        <w:rPr>
          <w:rFonts w:cstheme="minorHAnsi"/>
        </w:rPr>
        <w:t xml:space="preserve"> </w:t>
      </w:r>
      <w:r w:rsidR="0099270F">
        <w:rPr>
          <w:rFonts w:cstheme="minorHAnsi"/>
        </w:rPr>
        <w:fldChar w:fldCharType="begin" w:fldLock="1"/>
      </w:r>
      <w:r w:rsidR="008F1402">
        <w:rPr>
          <w:rFonts w:cstheme="minorHAnsi"/>
        </w:rPr>
        <w:instrText>ADDIN CSL_CITATION {"citationItems":[{"id":"ITEM-1","itemData":{"DOI":"10.1016/j.archger.2015.09.007","ISSN":"18726976","abstract":"Introduction: Nutrition screening is an initial procedure in which the risk of malnutrition is identified. The aims of this review were to identify malnutrition risk from nutrition screening studies that have used validated nutrition screening tools in community living older adults; and to identify types of nutrition interventions, pathways of care and patient outcomes following screening. Methods: A systematic literature search was performed for the period from January 1994 until December 2013 using SCOPUS, CINAHL Plus with Full Text, PubMed and COCHRANE databases as well as a manual search. Inclusion and exclusion criteria were determined for the literature searches and the methodology followed the PRISMA guidelines. Results: Fifty-four articles were eligible to be included in the review and malnutrition risk varied from 0% to 83%. This large range was influenced by the different tools used and heterogeneity of study samples. Most of the studies were cross sectional and without a subsequent nutrition intervention component. Types of nutrition intervention that were identified included dietetics care, nutrition education, and referral to Meals on Wheels services and community services. These interventions helped to improve the' nutritional status of older adults. Conclusions: Timely nutrition screening of older adults living in the community, if followed up with appropriate intervention and monitoring improves the nutritional status of older adults. This indicates that nutrition intervention should be considered a priority following nutrition screening for malnourished and at risk older adults. Further evaluation of outcomes of nutrition screening and associated interventions, using structured pathways of care, is warranted.","author":[{"dropping-particle":"","family":"Hamirudin","given":"Aliza Haslinda","non-dropping-particle":"","parse-names":false,"suffix":""},{"dropping-particle":"","family":"Charlton","given":"Karen","non-dropping-particle":"","parse-names":false,"suffix":""},{"dropping-particle":"","family":"Walton","given":"Karen","non-dropping-particle":"","parse-names":false,"suffix":""}],"container-title":"Archives of Gerontology and Geriatrics","id":"ITEM-1","issued":{"date-parts":[["2016"]]},"page":"9-25","publisher":"Elsevier Ireland Ltd","title":"Outcomes related to nutrition screening in community living older adults: A systematic literature review","type":"article-journal","volume":"62"},"uris":["http://www.mendeley.com/documents/?uuid=37c05355-e586-4bd7-a882-bf2854d1af23"]}],"mendeley":{"formattedCitation":"[21]","plainTextFormattedCitation":"[21]","previouslyFormattedCitation":"[21]"},"properties":{"noteIndex":0},"schema":"https://github.com/citation-style-language/schema/raw/master/csl-citation.json"}</w:instrText>
      </w:r>
      <w:r w:rsidR="0099270F">
        <w:rPr>
          <w:rFonts w:cstheme="minorHAnsi"/>
        </w:rPr>
        <w:fldChar w:fldCharType="separate"/>
      </w:r>
      <w:r w:rsidR="00AC65F3" w:rsidRPr="00AC65F3">
        <w:rPr>
          <w:rFonts w:cstheme="minorHAnsi"/>
          <w:noProof/>
        </w:rPr>
        <w:t>[21]</w:t>
      </w:r>
      <w:r w:rsidR="0099270F">
        <w:rPr>
          <w:rFonts w:cstheme="minorHAnsi"/>
        </w:rPr>
        <w:fldChar w:fldCharType="end"/>
      </w:r>
      <w:r w:rsidRPr="0099270F">
        <w:rPr>
          <w:rFonts w:cstheme="minorHAnsi"/>
        </w:rPr>
        <w:t>.</w:t>
      </w:r>
      <w:r w:rsidR="0099270F">
        <w:rPr>
          <w:rFonts w:cstheme="minorHAnsi"/>
        </w:rPr>
        <w:t xml:space="preserve"> </w:t>
      </w:r>
      <w:r w:rsidRPr="0099270F">
        <w:rPr>
          <w:rFonts w:cstheme="minorHAnsi"/>
        </w:rPr>
        <w:t>Health care</w:t>
      </w:r>
      <w:r w:rsidR="0097439E" w:rsidRPr="000F4EA3">
        <w:rPr>
          <w:rFonts w:cstheme="minorHAnsi"/>
        </w:rPr>
        <w:t xml:space="preserve"> s</w:t>
      </w:r>
      <w:r w:rsidR="00B7743C" w:rsidRPr="0099270F">
        <w:rPr>
          <w:rFonts w:cstheme="minorHAnsi"/>
        </w:rPr>
        <w:t>taff providing care and treatment within community settings (both p</w:t>
      </w:r>
      <w:r w:rsidR="00055D34" w:rsidRPr="0099270F">
        <w:rPr>
          <w:rFonts w:cstheme="minorHAnsi"/>
        </w:rPr>
        <w:t xml:space="preserve">hysical and mental healthcare) </w:t>
      </w:r>
      <w:r w:rsidR="00B7743C" w:rsidRPr="0099270F">
        <w:rPr>
          <w:rFonts w:cstheme="minorHAnsi"/>
        </w:rPr>
        <w:t xml:space="preserve">who already review and manage older </w:t>
      </w:r>
      <w:r w:rsidR="00B7743C" w:rsidRPr="0099270F">
        <w:rPr>
          <w:rFonts w:cstheme="minorHAnsi"/>
        </w:rPr>
        <w:lastRenderedPageBreak/>
        <w:t xml:space="preserve">people, are well placed to perform nutrition screening </w:t>
      </w:r>
      <w:r w:rsidR="00B72EE4">
        <w:rPr>
          <w:rFonts w:cstheme="minorHAnsi"/>
        </w:rPr>
        <w:t>in routine</w:t>
      </w:r>
      <w:r w:rsidR="00B7743C" w:rsidRPr="0099270F">
        <w:rPr>
          <w:rFonts w:cstheme="minorHAnsi"/>
        </w:rPr>
        <w:t xml:space="preserve"> practice</w:t>
      </w:r>
      <w:r w:rsidR="00974AE3" w:rsidRPr="0099270F">
        <w:rPr>
          <w:rFonts w:cstheme="minorHAnsi"/>
        </w:rPr>
        <w:t xml:space="preserve"> </w:t>
      </w:r>
      <w:r w:rsidR="007F0B87" w:rsidRPr="0099270F">
        <w:rPr>
          <w:rFonts w:cstheme="minorHAnsi"/>
        </w:rPr>
        <w:t>(</w:t>
      </w:r>
      <w:r w:rsidR="00974AE3" w:rsidRPr="00DB7A97">
        <w:rPr>
          <w:rFonts w:cstheme="minorHAnsi"/>
        </w:rPr>
        <w:t>in accordance with guidelines from the UK National Institute for Clinical Excellence</w:t>
      </w:r>
      <w:r w:rsidR="0099270F">
        <w:rPr>
          <w:rFonts w:cstheme="minorHAnsi"/>
        </w:rPr>
        <w:t xml:space="preserve"> </w:t>
      </w:r>
      <w:r w:rsidR="00974AE3" w:rsidRPr="00DB7A97">
        <w:rPr>
          <w:rFonts w:cstheme="minorHAnsi"/>
        </w:rPr>
        <w:t>(NICE)</w:t>
      </w:r>
      <w:r w:rsidR="0099270F">
        <w:rPr>
          <w:rFonts w:cstheme="minorHAnsi"/>
        </w:rPr>
        <w:t>)</w:t>
      </w:r>
      <w:r w:rsidR="00B7743C" w:rsidRPr="0099270F">
        <w:rPr>
          <w:rFonts w:cstheme="minorHAnsi"/>
        </w:rPr>
        <w:t xml:space="preserve"> </w:t>
      </w:r>
      <w:r w:rsidR="00B7743C" w:rsidRPr="0099270F">
        <w:rPr>
          <w:rFonts w:cstheme="minorHAnsi"/>
        </w:rPr>
        <w:fldChar w:fldCharType="begin" w:fldLock="1"/>
      </w:r>
      <w:r w:rsidR="008F1402">
        <w:rPr>
          <w:rFonts w:cstheme="minorHAnsi"/>
        </w:rPr>
        <w:instrText>ADDIN CSL_CITATION {"citationItems":[{"id":"ITEM-1","itemData":{"DOI":"10.1111/jhn.12104","ISSN":"1365-277X","abstract":"Background: A substantial proportion of individuals who live in community settings in the UK experience malnutrition. Routine screening for malnutrition by healthcare practitioners has been recommended in many regions. The present study aimed to understand community nurses' perceptions of barriers and facilitators to undertaking nutritional screening. \nMethods: A qualitative study was undertaken with a purposive sample of community nurses working in one UK healthcare organisation. Semi-structured interviews were used to elicit perceptions of barriers and facilitators. Interviews were digitally recorded, anonymised and transcribed. Initial codes were assigned for salient constructs identified in the transcripts, refined by grouping, and a thematic list was developed.\nResults: Twenty district nurses and community matrons were interviewed at which time saturation of the data was achieved. Six themes emerged: supportive organisational culture, time and resource to screen and intervene, ease and acceptability of the screening tool, professional judgement as good as screening, the need for training and sharing good practice, and enhancing communication between care settings.\nConclusions: The findings of the present study suggest that screening is more likely to be completed where an organisation is perceived to have a clear expectation that it is undertaken and also demonstrates this through training and availability of resources. The need for a process or tool that nurses find easy to use and relevant to their practice area was highlighted. Further research should examine the effect of the use of a nutritional screening tool by community nurses on nutritional care planning and intervention.","author":[{"dropping-particle":"","family":"Green","given":"S M","non-dropping-particle":"","parse-names":false,"suffix":""},{"dropping-particle":"","family":"James","given":"E P","non-dropping-particle":"","parse-names":false,"suffix":""},{"dropping-particle":"","family":"Latter","given":"S","non-dropping-particle":"","parse-names":false,"suffix":""},{"dropping-particle":"","family":"Sutcliffe","given":"M","non-dropping-particle":"","parse-names":false,"suffix":""},{"dropping-particle":"","family":"Fader","given":"M J","non-dropping-particle":"","parse-names":false,"suffix":""}],"container-title":"Journal of Human Nutrition and Dietetics","id":"ITEM-1","issue":"1","issued":{"date-parts":[["2014","2","1"]]},"page":"88-95","title":"Barriers and facilitators to screening for malnutrition by community nurses: a qualitative study","type":"article-journal","volume":"27"},"uris":["http://www.mendeley.com/documents/?uuid=9f5fc691-6b16-4a0b-bdf9-e099205f0dce"]},{"id":"ITEM-2","itemData":{"ISBN":"184629150X","PMID":"21309138","abstract":"The quick reference guide on nutrition support in adults presents recommendations for health professionals. \\n","author":[{"dropping-particle":"","family":"NICE","given":"","non-dropping-particle":"","parse-names":false,"suffix":""}],"id":"ITEM-2","issue":"November","issued":{"date-parts":[["2007"]]},"number-of-pages":"1-26","publisher-place":"London, UK","title":"Nutrition support in adults","type":"report"},"uris":["http://www.mendeley.com/documents/?uuid=17788af2-8603-4daa-8947-c35f05b225dd"]}],"mendeley":{"formattedCitation":"[9,22]","plainTextFormattedCitation":"[9,22]","previouslyFormattedCitation":"[9,22]"},"properties":{"noteIndex":0},"schema":"https://github.com/citation-style-language/schema/raw/master/csl-citation.json"}</w:instrText>
      </w:r>
      <w:r w:rsidR="00B7743C" w:rsidRPr="0099270F">
        <w:rPr>
          <w:rFonts w:cstheme="minorHAnsi"/>
        </w:rPr>
        <w:fldChar w:fldCharType="separate"/>
      </w:r>
      <w:r w:rsidR="00AC65F3" w:rsidRPr="00AC65F3">
        <w:rPr>
          <w:rFonts w:cstheme="minorHAnsi"/>
          <w:noProof/>
        </w:rPr>
        <w:t>[9,22]</w:t>
      </w:r>
      <w:r w:rsidR="00B7743C" w:rsidRPr="0099270F">
        <w:rPr>
          <w:rFonts w:cstheme="minorHAnsi"/>
        </w:rPr>
        <w:fldChar w:fldCharType="end"/>
      </w:r>
      <w:r w:rsidR="00B7743C" w:rsidRPr="0099270F">
        <w:rPr>
          <w:rFonts w:cstheme="minorHAnsi"/>
        </w:rPr>
        <w:t>.</w:t>
      </w:r>
      <w:r w:rsidRPr="0099270F">
        <w:rPr>
          <w:rFonts w:cstheme="minorHAnsi"/>
        </w:rPr>
        <w:t xml:space="preserve"> The feasibility of introducing</w:t>
      </w:r>
      <w:r w:rsidR="0099270F">
        <w:rPr>
          <w:rFonts w:cstheme="minorHAnsi"/>
        </w:rPr>
        <w:t xml:space="preserve"> a</w:t>
      </w:r>
      <w:r w:rsidRPr="0099270F">
        <w:rPr>
          <w:rFonts w:cstheme="minorHAnsi"/>
        </w:rPr>
        <w:t xml:space="preserve"> validated screening tool and nutrition resource kit </w:t>
      </w:r>
      <w:r w:rsidR="00A47D1F" w:rsidRPr="0099270F">
        <w:rPr>
          <w:rFonts w:cstheme="minorHAnsi"/>
        </w:rPr>
        <w:t>has been</w:t>
      </w:r>
      <w:r w:rsidRPr="0099270F">
        <w:rPr>
          <w:rFonts w:cstheme="minorHAnsi"/>
        </w:rPr>
        <w:t xml:space="preserve"> shown in older </w:t>
      </w:r>
      <w:r w:rsidR="00AC0230" w:rsidRPr="000F4EA3">
        <w:rPr>
          <w:rFonts w:cstheme="minorHAnsi"/>
        </w:rPr>
        <w:t>adults</w:t>
      </w:r>
      <w:r w:rsidRPr="0099270F">
        <w:rPr>
          <w:rFonts w:cstheme="minorHAnsi"/>
        </w:rPr>
        <w:t xml:space="preserve"> attending general practice</w:t>
      </w:r>
      <w:r w:rsidR="00AC0230" w:rsidRPr="000F4EA3">
        <w:rPr>
          <w:rFonts w:cstheme="minorHAnsi"/>
        </w:rPr>
        <w:t>s</w:t>
      </w:r>
      <w:r w:rsidRPr="0099270F">
        <w:rPr>
          <w:rFonts w:cstheme="minorHAnsi"/>
        </w:rPr>
        <w:t xml:space="preserve"> in an Australian study</w:t>
      </w:r>
      <w:r w:rsidR="0099270F">
        <w:rPr>
          <w:rFonts w:cstheme="minorHAnsi"/>
        </w:rPr>
        <w:t xml:space="preserve"> </w:t>
      </w:r>
      <w:r w:rsidR="0099270F">
        <w:rPr>
          <w:rFonts w:cstheme="minorHAnsi"/>
        </w:rPr>
        <w:fldChar w:fldCharType="begin" w:fldLock="1"/>
      </w:r>
      <w:r w:rsidR="008F1402">
        <w:rPr>
          <w:rFonts w:cstheme="minorHAnsi"/>
        </w:rPr>
        <w:instrText>ADDIN CSL_CITATION {"citationItems":[{"id":"ITEM-1","itemData":{"DOI":"10.1186/s12875-014-0186-5","author":[{"dropping-particle":"","family":"Hodgkins","given":"Adam","non-dropping-particle":"","parse-names":false,"suffix":""},{"dropping-particle":"","family":"Albert","given":"George","non-dropping-particle":"","parse-names":false,"suffix":""},{"dropping-particle":"","family":"Bonney","given":"Andrew","non-dropping-particle":"","parse-names":false,"suffix":""},{"dropping-particle":"","family":"Milosavljevic","given":"Marianna","non-dropping-particle":"","parse-names":false,"suffix":""},{"dropping-particle":"","family":"Hamirudin","given":"Aliza Haslinda","non-dropping-particle":"","parse-names":false,"suffix":""},{"dropping-particle":"","family":"Walton","given":"Karen","non-dropping-particle":"","parse-names":false,"suffix":""},{"dropping-particle":"","family":"Dalley","given":"Andrew","non-dropping-particle":"","parse-names":false,"suffix":""},{"dropping-particle":"","family":"Ghosh","given":"Abhijeet","non-dropping-particle":"","parse-names":false,"suffix":""},{"dropping-particle":"","family":"Charlton","given":"Karen","non-dropping-particle":"","parse-names":false,"suffix":""},{"dropping-particle":"","family":"Potter","given":"Jan","non-dropping-particle":"","parse-names":false,"suffix":""}],"container-title":"BMC Family Practice","id":"ITEM-1","issue":"1","issued":{"date-parts":[["2014"]]},"page":"1-9","title":"Feasibility of implementing routine nutritional screening for older adults in Australian general practices: a mixed-methods study","type":"article-journal","volume":"15"},"uris":["http://www.mendeley.com/documents/?uuid=ec5390b8-9021-4639-8571-9f295f712403"]}],"mendeley":{"formattedCitation":"[23]","plainTextFormattedCitation":"[23]","previouslyFormattedCitation":"[23]"},"properties":{"noteIndex":0},"schema":"https://github.com/citation-style-language/schema/raw/master/csl-citation.json"}</w:instrText>
      </w:r>
      <w:r w:rsidR="0099270F">
        <w:rPr>
          <w:rFonts w:cstheme="minorHAnsi"/>
        </w:rPr>
        <w:fldChar w:fldCharType="separate"/>
      </w:r>
      <w:r w:rsidR="00AC65F3" w:rsidRPr="00AC65F3">
        <w:rPr>
          <w:rFonts w:cstheme="minorHAnsi"/>
          <w:noProof/>
        </w:rPr>
        <w:t>[23]</w:t>
      </w:r>
      <w:r w:rsidR="0099270F">
        <w:rPr>
          <w:rFonts w:cstheme="minorHAnsi"/>
        </w:rPr>
        <w:fldChar w:fldCharType="end"/>
      </w:r>
      <w:r w:rsidRPr="0099270F">
        <w:rPr>
          <w:rFonts w:cstheme="minorHAnsi"/>
        </w:rPr>
        <w:t>.</w:t>
      </w:r>
      <w:r w:rsidR="0099270F">
        <w:rPr>
          <w:rFonts w:cstheme="minorHAnsi"/>
        </w:rPr>
        <w:t xml:space="preserve"> </w:t>
      </w:r>
      <w:r w:rsidR="00A10C33" w:rsidRPr="0099270F">
        <w:rPr>
          <w:rFonts w:cstheme="minorHAnsi"/>
        </w:rPr>
        <w:t>In the UK, l</w:t>
      </w:r>
      <w:r w:rsidR="00B7743C" w:rsidRPr="0099270F">
        <w:rPr>
          <w:rFonts w:cstheme="minorHAnsi"/>
        </w:rPr>
        <w:t>ocal protocols concerning nutritional screening and assessment often exist within</w:t>
      </w:r>
      <w:r w:rsidR="00A10C33" w:rsidRPr="0099270F">
        <w:rPr>
          <w:rFonts w:cstheme="minorHAnsi"/>
        </w:rPr>
        <w:t xml:space="preserve"> </w:t>
      </w:r>
      <w:r w:rsidR="00B7743C" w:rsidRPr="0099270F">
        <w:rPr>
          <w:rFonts w:cstheme="minorHAnsi"/>
        </w:rPr>
        <w:t>N</w:t>
      </w:r>
      <w:r w:rsidR="00A10C33" w:rsidRPr="0099270F">
        <w:rPr>
          <w:rFonts w:cstheme="minorHAnsi"/>
        </w:rPr>
        <w:t xml:space="preserve">ational </w:t>
      </w:r>
      <w:r w:rsidR="00B7743C" w:rsidRPr="0099270F">
        <w:rPr>
          <w:rFonts w:cstheme="minorHAnsi"/>
        </w:rPr>
        <w:t>H</w:t>
      </w:r>
      <w:r w:rsidR="00A10C33" w:rsidRPr="00DB7A97">
        <w:rPr>
          <w:rFonts w:cstheme="minorHAnsi"/>
        </w:rPr>
        <w:t>ealth Service (NHS)</w:t>
      </w:r>
      <w:r w:rsidR="00B7743C" w:rsidRPr="00DB7A97">
        <w:rPr>
          <w:rFonts w:cstheme="minorHAnsi"/>
        </w:rPr>
        <w:t xml:space="preserve"> hospital trusts, based on national protocols. However, previous service development work around nutrition in the community</w:t>
      </w:r>
      <w:r w:rsidR="00F75DE9" w:rsidRPr="00DB7A97">
        <w:rPr>
          <w:rFonts w:cstheme="minorHAnsi"/>
        </w:rPr>
        <w:t xml:space="preserve"> indicates that</w:t>
      </w:r>
      <w:r w:rsidR="00B7743C" w:rsidRPr="00DB7A97">
        <w:rPr>
          <w:rFonts w:cstheme="minorHAnsi"/>
        </w:rPr>
        <w:t xml:space="preserve"> </w:t>
      </w:r>
      <w:r w:rsidR="00F75DE9" w:rsidRPr="00DB7A97">
        <w:rPr>
          <w:rFonts w:cstheme="minorHAnsi"/>
        </w:rPr>
        <w:t xml:space="preserve">it </w:t>
      </w:r>
      <w:r w:rsidR="00B7743C" w:rsidRPr="00DB7A97">
        <w:rPr>
          <w:rFonts w:cstheme="minorHAnsi"/>
        </w:rPr>
        <w:t xml:space="preserve">is often not considered a routine part of interactions with older people </w:t>
      </w:r>
      <w:r w:rsidR="00B7743C" w:rsidRPr="0099270F">
        <w:rPr>
          <w:rFonts w:cstheme="minorHAnsi"/>
        </w:rPr>
        <w:fldChar w:fldCharType="begin" w:fldLock="1"/>
      </w:r>
      <w:r w:rsidR="008F1402">
        <w:rPr>
          <w:rFonts w:cstheme="minorHAnsi"/>
        </w:rPr>
        <w:instrText>ADDIN CSL_CITATION {"citationItems":[{"id":"ITEM-1","itemData":{"URL":"http://wessexahsn.org.uk/projects/60/older-people-s-essential-nutrition-open-eastleigh","accessed":{"date-parts":[["2017","9","29"]]},"author":[{"dropping-particle":"","family":"Wessex Academic Health Sciences Network (AHSN)","given":"","non-dropping-particle":"","parse-names":false,"suffix":""}],"id":"ITEM-1","issued":{"date-parts":[["2016"]]},"title":"Older People's Essential Nutrition (OPEN) Eastleigh Project","type":"webpage"},"uris":["http://www.mendeley.com/documents/?uuid=b983dc4e-bc15-40e8-9ff8-76986f5733c6"]}],"mendeley":{"formattedCitation":"[24]","plainTextFormattedCitation":"[24]","previouslyFormattedCitation":"[24]"},"properties":{"noteIndex":0},"schema":"https://github.com/citation-style-language/schema/raw/master/csl-citation.json"}</w:instrText>
      </w:r>
      <w:r w:rsidR="00B7743C" w:rsidRPr="0099270F">
        <w:rPr>
          <w:rFonts w:cstheme="minorHAnsi"/>
        </w:rPr>
        <w:fldChar w:fldCharType="separate"/>
      </w:r>
      <w:r w:rsidR="00AC65F3" w:rsidRPr="00AC65F3">
        <w:rPr>
          <w:rFonts w:cstheme="minorHAnsi"/>
          <w:noProof/>
        </w:rPr>
        <w:t>[24]</w:t>
      </w:r>
      <w:r w:rsidR="00B7743C" w:rsidRPr="0099270F">
        <w:rPr>
          <w:rFonts w:cstheme="minorHAnsi"/>
        </w:rPr>
        <w:fldChar w:fldCharType="end"/>
      </w:r>
      <w:r w:rsidR="0099270F">
        <w:rPr>
          <w:rFonts w:cstheme="minorHAnsi"/>
        </w:rPr>
        <w:t>.</w:t>
      </w:r>
      <w:r w:rsidR="00AC24F1">
        <w:rPr>
          <w:rFonts w:cstheme="minorHAnsi"/>
        </w:rPr>
        <w:t xml:space="preserve"> </w:t>
      </w:r>
      <w:r w:rsidR="00AC24F1" w:rsidRPr="00AC24F1">
        <w:rPr>
          <w:rFonts w:cstheme="minorHAnsi"/>
        </w:rPr>
        <w:t xml:space="preserve">Leading on from this service development project, we were alerted to the current situation across a local NHS Community Trust where nutritional care was only intermittently implemented (particularly the use and follow up of good care plans) due to other priorities of care and lack of awareness of the issue. </w:t>
      </w:r>
      <w:r w:rsidR="00B72EE4">
        <w:rPr>
          <w:rFonts w:cstheme="minorHAnsi"/>
        </w:rPr>
        <w:t>T</w:t>
      </w:r>
      <w:r w:rsidR="00AC24F1" w:rsidRPr="00AC24F1">
        <w:rPr>
          <w:rFonts w:cstheme="minorHAnsi"/>
        </w:rPr>
        <w:t xml:space="preserve">his </w:t>
      </w:r>
      <w:r w:rsidR="00B72EE4">
        <w:rPr>
          <w:rFonts w:cstheme="minorHAnsi"/>
        </w:rPr>
        <w:t>highlighted</w:t>
      </w:r>
      <w:r w:rsidR="00AC24F1" w:rsidRPr="00AC24F1">
        <w:rPr>
          <w:rFonts w:cstheme="minorHAnsi"/>
        </w:rPr>
        <w:t xml:space="preserve"> the need to change practice </w:t>
      </w:r>
      <w:r w:rsidR="00B72EE4">
        <w:rPr>
          <w:rFonts w:cstheme="minorHAnsi"/>
        </w:rPr>
        <w:t>in</w:t>
      </w:r>
      <w:r w:rsidR="00AC24F1" w:rsidRPr="00AC24F1">
        <w:rPr>
          <w:rFonts w:cstheme="minorHAnsi"/>
        </w:rPr>
        <w:t xml:space="preserve"> delivery of nutritional care  for older people across the community</w:t>
      </w:r>
      <w:r w:rsidR="00AC24F1">
        <w:rPr>
          <w:rFonts w:cstheme="minorHAnsi"/>
        </w:rPr>
        <w:t>.</w:t>
      </w:r>
    </w:p>
    <w:p w14:paraId="41C2F281" w14:textId="1CD12D7C" w:rsidR="00F75DE9" w:rsidRDefault="008F1402" w:rsidP="006F43EB">
      <w:pPr>
        <w:jc w:val="both"/>
        <w:rPr>
          <w:rFonts w:cstheme="minorHAnsi"/>
        </w:rPr>
      </w:pPr>
      <w:r>
        <w:rPr>
          <w:rFonts w:cstheme="minorHAnsi"/>
        </w:rPr>
        <w:t>We</w:t>
      </w:r>
      <w:r w:rsidR="0081478E">
        <w:rPr>
          <w:rFonts w:cstheme="minorHAnsi"/>
        </w:rPr>
        <w:t xml:space="preserve"> report </w:t>
      </w:r>
      <w:r w:rsidR="00F75DE9">
        <w:rPr>
          <w:rFonts w:cstheme="minorHAnsi"/>
        </w:rPr>
        <w:t>on</w:t>
      </w:r>
      <w:r w:rsidR="00F75DE9" w:rsidRPr="00101BDD">
        <w:rPr>
          <w:rFonts w:cstheme="minorHAnsi"/>
        </w:rPr>
        <w:t xml:space="preserve"> </w:t>
      </w:r>
      <w:r w:rsidR="0081478E">
        <w:rPr>
          <w:rFonts w:cstheme="minorHAnsi"/>
        </w:rPr>
        <w:t xml:space="preserve">the implementation phases of a new procedure for </w:t>
      </w:r>
      <w:r w:rsidR="0081478E" w:rsidRPr="00101BDD">
        <w:rPr>
          <w:rFonts w:cstheme="minorHAnsi"/>
        </w:rPr>
        <w:t>screening and treatment of malnutrition in older people</w:t>
      </w:r>
      <w:r w:rsidR="0081478E">
        <w:rPr>
          <w:rFonts w:cstheme="minorHAnsi"/>
        </w:rPr>
        <w:t xml:space="preserve"> within an NHS</w:t>
      </w:r>
      <w:r w:rsidR="00AC65F3">
        <w:rPr>
          <w:rFonts w:cstheme="minorHAnsi"/>
        </w:rPr>
        <w:t xml:space="preserve"> Community</w:t>
      </w:r>
      <w:r w:rsidR="0081478E">
        <w:rPr>
          <w:rFonts w:cstheme="minorHAnsi"/>
        </w:rPr>
        <w:t xml:space="preserve"> Trust in England. </w:t>
      </w:r>
      <w:r>
        <w:rPr>
          <w:rFonts w:cstheme="minorHAnsi"/>
        </w:rPr>
        <w:t>We focus</w:t>
      </w:r>
      <w:r w:rsidR="0081478E">
        <w:rPr>
          <w:rFonts w:cstheme="minorHAnsi"/>
        </w:rPr>
        <w:t xml:space="preserve"> on the work of </w:t>
      </w:r>
      <w:r w:rsidR="00F75DE9" w:rsidRPr="00101BDD">
        <w:rPr>
          <w:rFonts w:cstheme="minorHAnsi"/>
        </w:rPr>
        <w:t>community nursing and allied health professionals (covering physical and mental health services respectively)</w:t>
      </w:r>
      <w:r w:rsidR="00F75DE9">
        <w:rPr>
          <w:rFonts w:cstheme="minorHAnsi"/>
        </w:rPr>
        <w:t xml:space="preserve">, </w:t>
      </w:r>
      <w:r w:rsidR="0081478E">
        <w:rPr>
          <w:rFonts w:cstheme="minorHAnsi"/>
        </w:rPr>
        <w:t>mobilising this procedure in the community</w:t>
      </w:r>
      <w:r w:rsidR="00F75DE9" w:rsidRPr="00101BDD">
        <w:rPr>
          <w:rFonts w:cstheme="minorHAnsi"/>
        </w:rPr>
        <w:t xml:space="preserve"> </w:t>
      </w:r>
      <w:r w:rsidR="00F75DE9">
        <w:rPr>
          <w:rFonts w:cstheme="minorHAnsi"/>
        </w:rPr>
        <w:t>(see A</w:t>
      </w:r>
      <w:r w:rsidR="005B0FF1">
        <w:rPr>
          <w:rFonts w:cstheme="minorHAnsi"/>
        </w:rPr>
        <w:t>dditional File 1</w:t>
      </w:r>
      <w:r w:rsidR="00F75DE9">
        <w:rPr>
          <w:rFonts w:cstheme="minorHAnsi"/>
        </w:rPr>
        <w:t>)</w:t>
      </w:r>
      <w:r w:rsidR="00F75DE9" w:rsidRPr="00101BDD">
        <w:rPr>
          <w:rFonts w:cstheme="minorHAnsi"/>
        </w:rPr>
        <w:t xml:space="preserve">. </w:t>
      </w:r>
    </w:p>
    <w:p w14:paraId="730FC0B3" w14:textId="384CD743" w:rsidR="00D225C7" w:rsidRDefault="006F43EB" w:rsidP="006F43EB">
      <w:pPr>
        <w:jc w:val="both"/>
        <w:rPr>
          <w:rFonts w:cstheme="minorHAnsi"/>
        </w:rPr>
      </w:pPr>
      <w:r w:rsidRPr="00EC4895">
        <w:rPr>
          <w:rFonts w:cs="Segoe UI"/>
          <w:szCs w:val="20"/>
        </w:rPr>
        <w:t xml:space="preserve">Existing </w:t>
      </w:r>
      <w:r w:rsidR="00DA2BE5">
        <w:rPr>
          <w:rFonts w:cs="Segoe UI"/>
          <w:szCs w:val="20"/>
        </w:rPr>
        <w:t>organisational</w:t>
      </w:r>
      <w:r w:rsidRPr="00EC4895">
        <w:rPr>
          <w:rFonts w:cs="Segoe UI"/>
          <w:szCs w:val="20"/>
        </w:rPr>
        <w:t xml:space="preserve"> policy</w:t>
      </w:r>
      <w:r w:rsidR="009A45FC">
        <w:rPr>
          <w:rFonts w:cs="Segoe UI"/>
          <w:szCs w:val="20"/>
        </w:rPr>
        <w:t xml:space="preserve"> within the Trust</w:t>
      </w:r>
      <w:r w:rsidRPr="00EC4895">
        <w:rPr>
          <w:rFonts w:cs="Segoe UI"/>
          <w:szCs w:val="20"/>
        </w:rPr>
        <w:t xml:space="preserve"> </w:t>
      </w:r>
      <w:r w:rsidR="00DD6BCB">
        <w:rPr>
          <w:rFonts w:cs="Segoe UI"/>
          <w:szCs w:val="20"/>
        </w:rPr>
        <w:t xml:space="preserve">has </w:t>
      </w:r>
      <w:r w:rsidRPr="00EC4895">
        <w:rPr>
          <w:rFonts w:cs="Segoe UI"/>
          <w:szCs w:val="20"/>
        </w:rPr>
        <w:t>establishe</w:t>
      </w:r>
      <w:r w:rsidR="00DD6BCB">
        <w:rPr>
          <w:rFonts w:cs="Segoe UI"/>
          <w:szCs w:val="20"/>
        </w:rPr>
        <w:t>d</w:t>
      </w:r>
      <w:r w:rsidRPr="00EC4895">
        <w:rPr>
          <w:rFonts w:cs="Segoe UI"/>
          <w:szCs w:val="20"/>
        </w:rPr>
        <w:t xml:space="preserve"> when </w:t>
      </w:r>
      <w:r w:rsidR="008F1402">
        <w:rPr>
          <w:rFonts w:cs="Segoe UI"/>
          <w:szCs w:val="20"/>
        </w:rPr>
        <w:t>patients</w:t>
      </w:r>
      <w:r w:rsidRPr="00EC4895">
        <w:rPr>
          <w:rFonts w:cs="Segoe UI"/>
          <w:szCs w:val="20"/>
        </w:rPr>
        <w:t xml:space="preserve"> should be screened for malnutrition, and care that </w:t>
      </w:r>
      <w:r w:rsidR="008F1402">
        <w:rPr>
          <w:rFonts w:cs="Segoe UI"/>
          <w:szCs w:val="20"/>
        </w:rPr>
        <w:t>they</w:t>
      </w:r>
      <w:r w:rsidRPr="00EC4895">
        <w:rPr>
          <w:rFonts w:cs="Segoe UI"/>
          <w:szCs w:val="20"/>
        </w:rPr>
        <w:t xml:space="preserve"> should receive depending on malnutrition risk (assessed by </w:t>
      </w:r>
      <w:r w:rsidR="009A45FC">
        <w:rPr>
          <w:rFonts w:cs="Segoe UI"/>
          <w:szCs w:val="20"/>
        </w:rPr>
        <w:t xml:space="preserve">Malnutrition Universal Screening Tool </w:t>
      </w:r>
      <w:r w:rsidR="00202D56">
        <w:rPr>
          <w:rFonts w:cs="Segoe UI"/>
          <w:szCs w:val="20"/>
        </w:rPr>
        <w:t>–‘</w:t>
      </w:r>
      <w:r w:rsidRPr="00EC4895">
        <w:rPr>
          <w:rFonts w:cs="Segoe UI"/>
          <w:szCs w:val="20"/>
        </w:rPr>
        <w:t>MUST' screening)</w:t>
      </w:r>
      <w:r w:rsidR="009A45FC">
        <w:rPr>
          <w:rFonts w:cs="Segoe UI"/>
          <w:szCs w:val="20"/>
        </w:rPr>
        <w:t xml:space="preserve"> </w:t>
      </w:r>
      <w:r w:rsidR="009A45FC">
        <w:rPr>
          <w:rFonts w:cs="Segoe UI"/>
          <w:szCs w:val="20"/>
        </w:rPr>
        <w:fldChar w:fldCharType="begin" w:fldLock="1"/>
      </w:r>
      <w:r w:rsidR="00020201">
        <w:rPr>
          <w:rFonts w:cs="Segoe UI"/>
          <w:szCs w:val="20"/>
        </w:rPr>
        <w:instrText>ADDIN CSL_CITATION {"citationItems":[{"id":"ITEM-1","itemData":{"ISBN":"9781899467716","abstract":"The ‘Malnutrition Universal Screening Tool’ (‘MUST’) has been designed to help identify adults who are underweight and at risk of malnutrition, as well as those who are obese. It has not been designed to detect deficiencies in or excessive intakes of vitamins and minerals.","author":[{"dropping-particle":"","family":"Todorovic","given":"V.","non-dropping-particle":"","parse-names":false,"suffix":""},{"dropping-particle":"","family":"Russell","given":"C.","non-dropping-particle":"","parse-names":false,"suffix":""},{"dropping-particle":"","family":"Elia","given":"M.","non-dropping-particle":"","parse-names":false,"suffix":""}],"id":"ITEM-1","issued":{"date-parts":[["2011"]]},"number-of-pages":"32","title":"The 'MUST' explanatory booklet","type":"report"},"uris":["http://www.mendeley.com/documents/?uuid=21c3d2da-aab3-426d-9276-22e5ced317dd"]}],"mendeley":{"formattedCitation":"[7]","plainTextFormattedCitation":"[7]","previouslyFormattedCitation":"[7]"},"properties":{"noteIndex":0},"schema":"https://github.com/citation-style-language/schema/raw/master/csl-citation.json"}</w:instrText>
      </w:r>
      <w:r w:rsidR="009A45FC">
        <w:rPr>
          <w:rFonts w:cs="Segoe UI"/>
          <w:szCs w:val="20"/>
        </w:rPr>
        <w:fldChar w:fldCharType="separate"/>
      </w:r>
      <w:r w:rsidR="00B16FC3" w:rsidRPr="00B16FC3">
        <w:rPr>
          <w:rFonts w:cs="Segoe UI"/>
          <w:noProof/>
          <w:szCs w:val="20"/>
        </w:rPr>
        <w:t>[7]</w:t>
      </w:r>
      <w:r w:rsidR="009A45FC">
        <w:rPr>
          <w:rFonts w:cs="Segoe UI"/>
          <w:szCs w:val="20"/>
        </w:rPr>
        <w:fldChar w:fldCharType="end"/>
      </w:r>
      <w:r w:rsidRPr="00EC4895">
        <w:rPr>
          <w:rFonts w:cs="Segoe UI"/>
          <w:szCs w:val="20"/>
        </w:rPr>
        <w:t>. The new procedure introduce</w:t>
      </w:r>
      <w:r w:rsidR="00DD6BCB">
        <w:rPr>
          <w:rFonts w:cs="Segoe UI"/>
          <w:szCs w:val="20"/>
        </w:rPr>
        <w:t>d</w:t>
      </w:r>
      <w:r w:rsidRPr="00EC4895">
        <w:rPr>
          <w:rFonts w:cs="Segoe UI"/>
          <w:szCs w:val="20"/>
        </w:rPr>
        <w:t xml:space="preserve"> </w:t>
      </w:r>
      <w:r w:rsidR="008F1402">
        <w:rPr>
          <w:rFonts w:cs="Segoe UI"/>
          <w:szCs w:val="20"/>
        </w:rPr>
        <w:t>several</w:t>
      </w:r>
      <w:r w:rsidRPr="00EC4895">
        <w:rPr>
          <w:rFonts w:cs="Segoe UI"/>
          <w:szCs w:val="20"/>
        </w:rPr>
        <w:t xml:space="preserve"> updates to existing policy: firstly, only patients at medium or high</w:t>
      </w:r>
      <w:r w:rsidR="008F1402">
        <w:rPr>
          <w:rFonts w:cs="Segoe UI"/>
          <w:szCs w:val="20"/>
        </w:rPr>
        <w:t>-</w:t>
      </w:r>
      <w:r w:rsidRPr="00EC4895">
        <w:rPr>
          <w:rFonts w:cs="Segoe UI"/>
          <w:szCs w:val="20"/>
        </w:rPr>
        <w:t>risk</w:t>
      </w:r>
      <w:r w:rsidR="00DA2BE5">
        <w:rPr>
          <w:rFonts w:cs="Segoe UI"/>
          <w:szCs w:val="20"/>
        </w:rPr>
        <w:t xml:space="preserve"> of malnutrition (those with a </w:t>
      </w:r>
      <w:r w:rsidR="00394ED6">
        <w:rPr>
          <w:rFonts w:cs="Segoe UI"/>
          <w:szCs w:val="20"/>
        </w:rPr>
        <w:t>‘</w:t>
      </w:r>
      <w:r w:rsidR="00DA2BE5">
        <w:rPr>
          <w:rFonts w:cs="Segoe UI"/>
          <w:szCs w:val="20"/>
        </w:rPr>
        <w:t>MUST</w:t>
      </w:r>
      <w:r w:rsidR="00394ED6">
        <w:rPr>
          <w:rFonts w:cs="Segoe UI"/>
          <w:szCs w:val="20"/>
        </w:rPr>
        <w:t>’</w:t>
      </w:r>
      <w:r w:rsidR="00DA2BE5">
        <w:rPr>
          <w:rFonts w:cs="Segoe UI"/>
          <w:szCs w:val="20"/>
        </w:rPr>
        <w:t xml:space="preserve"> score of 1 or more</w:t>
      </w:r>
      <w:r w:rsidR="00DD6BCB">
        <w:rPr>
          <w:rFonts w:cs="Segoe UI"/>
          <w:szCs w:val="20"/>
        </w:rPr>
        <w:t>)</w:t>
      </w:r>
      <w:r w:rsidRPr="00EC4895">
        <w:rPr>
          <w:rFonts w:cs="Segoe UI"/>
          <w:szCs w:val="20"/>
        </w:rPr>
        <w:t xml:space="preserve"> require monthly re-screening and follow</w:t>
      </w:r>
      <w:r w:rsidR="008F1402">
        <w:rPr>
          <w:rFonts w:cs="Segoe UI"/>
          <w:szCs w:val="20"/>
        </w:rPr>
        <w:t>-</w:t>
      </w:r>
      <w:r w:rsidRPr="00EC4895">
        <w:rPr>
          <w:rFonts w:cs="Segoe UI"/>
          <w:szCs w:val="20"/>
        </w:rPr>
        <w:t>up (previously all patients were expected to receive monthly screening), while patients at low</w:t>
      </w:r>
      <w:r w:rsidR="008F1402">
        <w:rPr>
          <w:rFonts w:cs="Segoe UI"/>
          <w:szCs w:val="20"/>
        </w:rPr>
        <w:t>-</w:t>
      </w:r>
      <w:r w:rsidRPr="00EC4895">
        <w:rPr>
          <w:rFonts w:cs="Segoe UI"/>
          <w:szCs w:val="20"/>
        </w:rPr>
        <w:t xml:space="preserve">risk are now re-screened annually, unless there is a significant change in their health status. Secondly, </w:t>
      </w:r>
      <w:r w:rsidR="003A1520">
        <w:t xml:space="preserve">a nutritional pathway including appropriate care planning actions to be taken depending on risk level and each specific case, </w:t>
      </w:r>
      <w:r w:rsidR="008F1402">
        <w:t xml:space="preserve">including </w:t>
      </w:r>
      <w:r w:rsidR="003A1520">
        <w:t xml:space="preserve">provision of malnutrition information resource sheets </w:t>
      </w:r>
      <w:r w:rsidRPr="00EC4895">
        <w:rPr>
          <w:rFonts w:cs="Segoe UI"/>
          <w:szCs w:val="20"/>
        </w:rPr>
        <w:t xml:space="preserve">to medium and high-risk patients </w:t>
      </w:r>
      <w:r w:rsidR="003A1520">
        <w:rPr>
          <w:rFonts w:cs="Segoe UI"/>
          <w:szCs w:val="20"/>
        </w:rPr>
        <w:t>a</w:t>
      </w:r>
      <w:r w:rsidRPr="00EC4895">
        <w:rPr>
          <w:rFonts w:cs="Segoe UI"/>
          <w:szCs w:val="20"/>
        </w:rPr>
        <w:t xml:space="preserve">s a mandatory activity (previously these were not routinely provided to patients in these categories). New information resources </w:t>
      </w:r>
      <w:r w:rsidR="00DD6BCB">
        <w:rPr>
          <w:rFonts w:cs="Segoe UI"/>
          <w:szCs w:val="20"/>
        </w:rPr>
        <w:t>were</w:t>
      </w:r>
      <w:r w:rsidRPr="00EC4895">
        <w:rPr>
          <w:rFonts w:cs="Segoe UI"/>
          <w:szCs w:val="20"/>
        </w:rPr>
        <w:t xml:space="preserve"> produced</w:t>
      </w:r>
      <w:r w:rsidR="008F1402">
        <w:rPr>
          <w:rFonts w:cs="Segoe UI"/>
          <w:szCs w:val="20"/>
        </w:rPr>
        <w:t xml:space="preserve"> </w:t>
      </w:r>
      <w:r w:rsidRPr="00EC4895">
        <w:rPr>
          <w:rFonts w:cs="Segoe UI"/>
          <w:szCs w:val="20"/>
        </w:rPr>
        <w:t xml:space="preserve">and guidance for when to use existing resources </w:t>
      </w:r>
      <w:r w:rsidR="00DD6BCB">
        <w:rPr>
          <w:rFonts w:cs="Segoe UI"/>
          <w:szCs w:val="20"/>
        </w:rPr>
        <w:t>was</w:t>
      </w:r>
      <w:r w:rsidRPr="00EC4895">
        <w:rPr>
          <w:rFonts w:cs="Segoe UI"/>
          <w:szCs w:val="20"/>
        </w:rPr>
        <w:t xml:space="preserve"> specified within the new procedure. Thirdly, the electronic patient records system</w:t>
      </w:r>
      <w:r w:rsidR="003A1520">
        <w:rPr>
          <w:rFonts w:cs="Segoe UI"/>
          <w:szCs w:val="20"/>
        </w:rPr>
        <w:t xml:space="preserve"> </w:t>
      </w:r>
      <w:r w:rsidR="008F1402">
        <w:rPr>
          <w:rFonts w:cs="Segoe UI"/>
          <w:szCs w:val="20"/>
        </w:rPr>
        <w:t>allows</w:t>
      </w:r>
      <w:r w:rsidR="003A1520">
        <w:rPr>
          <w:rFonts w:cs="Segoe UI"/>
          <w:szCs w:val="20"/>
        </w:rPr>
        <w:t xml:space="preserve"> stor</w:t>
      </w:r>
      <w:r w:rsidR="008F1402">
        <w:rPr>
          <w:rFonts w:cs="Segoe UI"/>
          <w:szCs w:val="20"/>
        </w:rPr>
        <w:t>age of</w:t>
      </w:r>
      <w:r w:rsidR="003A1520">
        <w:rPr>
          <w:rFonts w:cs="Segoe UI"/>
          <w:szCs w:val="20"/>
        </w:rPr>
        <w:t xml:space="preserve"> </w:t>
      </w:r>
      <w:r w:rsidRPr="00EC4895">
        <w:rPr>
          <w:rFonts w:cs="Segoe UI"/>
          <w:szCs w:val="20"/>
        </w:rPr>
        <w:t>screening</w:t>
      </w:r>
      <w:r w:rsidR="003A1520">
        <w:rPr>
          <w:rFonts w:cs="Segoe UI"/>
          <w:szCs w:val="20"/>
        </w:rPr>
        <w:t xml:space="preserve"> information</w:t>
      </w:r>
      <w:r w:rsidRPr="00EC4895">
        <w:rPr>
          <w:rFonts w:cs="Segoe UI"/>
          <w:szCs w:val="20"/>
        </w:rPr>
        <w:t xml:space="preserve"> for malnutrition </w:t>
      </w:r>
      <w:r w:rsidR="003A1520">
        <w:rPr>
          <w:rFonts w:cs="Segoe UI"/>
          <w:szCs w:val="20"/>
        </w:rPr>
        <w:t xml:space="preserve">in one place </w:t>
      </w:r>
      <w:r w:rsidRPr="00EC4895">
        <w:rPr>
          <w:rFonts w:cs="Segoe UI"/>
          <w:szCs w:val="20"/>
        </w:rPr>
        <w:t xml:space="preserve">(previously </w:t>
      </w:r>
      <w:r w:rsidR="003A1520">
        <w:rPr>
          <w:rFonts w:cs="Segoe UI"/>
          <w:szCs w:val="20"/>
        </w:rPr>
        <w:t xml:space="preserve">paper and electronic </w:t>
      </w:r>
      <w:r w:rsidR="00053B72">
        <w:rPr>
          <w:rFonts w:cs="Segoe UI"/>
          <w:szCs w:val="20"/>
        </w:rPr>
        <w:t xml:space="preserve">processes </w:t>
      </w:r>
      <w:r w:rsidR="00053B72">
        <w:rPr>
          <w:rFonts w:cs="Segoe UI"/>
          <w:szCs w:val="20"/>
        </w:rPr>
        <w:lastRenderedPageBreak/>
        <w:t>ran separately and</w:t>
      </w:r>
      <w:r w:rsidR="003A1520">
        <w:rPr>
          <w:rFonts w:cs="Segoe UI"/>
          <w:szCs w:val="20"/>
        </w:rPr>
        <w:t xml:space="preserve"> in parallel</w:t>
      </w:r>
      <w:r w:rsidRPr="00EC4895">
        <w:rPr>
          <w:rFonts w:cs="Segoe UI"/>
          <w:szCs w:val="20"/>
        </w:rPr>
        <w:t>).</w:t>
      </w:r>
      <w:r w:rsidR="00DA2BE5">
        <w:rPr>
          <w:rFonts w:cs="Segoe UI"/>
          <w:szCs w:val="20"/>
        </w:rPr>
        <w:t xml:space="preserve"> Prior to implementation of this electronic </w:t>
      </w:r>
      <w:r w:rsidRPr="00EC4895">
        <w:rPr>
          <w:rFonts w:cs="Segoe UI"/>
          <w:szCs w:val="20"/>
        </w:rPr>
        <w:t>system, concerns had been raised regarding storage and availabil</w:t>
      </w:r>
      <w:r w:rsidR="00B93248">
        <w:rPr>
          <w:rFonts w:cs="Segoe UI"/>
          <w:szCs w:val="20"/>
        </w:rPr>
        <w:t>ity of screening information to</w:t>
      </w:r>
      <w:r w:rsidRPr="00EC4895">
        <w:rPr>
          <w:rFonts w:cs="Segoe UI"/>
          <w:szCs w:val="20"/>
        </w:rPr>
        <w:t xml:space="preserve"> </w:t>
      </w:r>
      <w:r w:rsidR="00B93248">
        <w:rPr>
          <w:rFonts w:cs="Segoe UI"/>
          <w:szCs w:val="20"/>
        </w:rPr>
        <w:t>inform</w:t>
      </w:r>
      <w:r w:rsidRPr="00EC4895">
        <w:rPr>
          <w:rFonts w:cs="Segoe UI"/>
          <w:szCs w:val="20"/>
        </w:rPr>
        <w:t xml:space="preserve"> </w:t>
      </w:r>
      <w:r w:rsidR="008F1402">
        <w:rPr>
          <w:rFonts w:cs="Segoe UI"/>
          <w:szCs w:val="20"/>
        </w:rPr>
        <w:t>treatment and care planning</w:t>
      </w:r>
      <w:r w:rsidRPr="00EC4895">
        <w:rPr>
          <w:rFonts w:cs="Segoe UI"/>
          <w:szCs w:val="20"/>
        </w:rPr>
        <w:t xml:space="preserve">. </w:t>
      </w:r>
      <w:r w:rsidR="008F1402">
        <w:rPr>
          <w:rFonts w:cs="Segoe UI"/>
          <w:szCs w:val="20"/>
        </w:rPr>
        <w:t>Within</w:t>
      </w:r>
      <w:r w:rsidRPr="00EC4895">
        <w:rPr>
          <w:rFonts w:cs="Segoe UI"/>
          <w:szCs w:val="20"/>
        </w:rPr>
        <w:t xml:space="preserve"> the new procedure, a form </w:t>
      </w:r>
      <w:r w:rsidR="00DD6BCB">
        <w:rPr>
          <w:rFonts w:cs="Segoe UI"/>
          <w:szCs w:val="20"/>
        </w:rPr>
        <w:t>was</w:t>
      </w:r>
      <w:r w:rsidRPr="00EC4895">
        <w:rPr>
          <w:rFonts w:cs="Segoe UI"/>
          <w:szCs w:val="20"/>
        </w:rPr>
        <w:t xml:space="preserve"> genera</w:t>
      </w:r>
      <w:r w:rsidR="00B7743C">
        <w:rPr>
          <w:rFonts w:cs="Segoe UI"/>
          <w:szCs w:val="20"/>
        </w:rPr>
        <w:t>ted within the electronic</w:t>
      </w:r>
      <w:r w:rsidRPr="00EC4895">
        <w:rPr>
          <w:rFonts w:cs="Segoe UI"/>
          <w:szCs w:val="20"/>
        </w:rPr>
        <w:t xml:space="preserve"> system</w:t>
      </w:r>
      <w:r w:rsidR="00B93248">
        <w:rPr>
          <w:rFonts w:cs="Segoe UI"/>
          <w:szCs w:val="20"/>
        </w:rPr>
        <w:t xml:space="preserve"> to record screening results </w:t>
      </w:r>
      <w:r w:rsidR="00DA2BE5">
        <w:rPr>
          <w:rFonts w:cs="Segoe UI"/>
          <w:szCs w:val="20"/>
        </w:rPr>
        <w:t>and</w:t>
      </w:r>
      <w:r w:rsidRPr="00EC4895">
        <w:rPr>
          <w:rFonts w:cs="Segoe UI"/>
          <w:szCs w:val="20"/>
        </w:rPr>
        <w:t xml:space="preserve"> enable care planning activity. Fourthly, the new procedure emphasise</w:t>
      </w:r>
      <w:r w:rsidR="00DD6BCB">
        <w:rPr>
          <w:rFonts w:cs="Segoe UI"/>
          <w:szCs w:val="20"/>
        </w:rPr>
        <w:t>d</w:t>
      </w:r>
      <w:r w:rsidRPr="00EC4895">
        <w:rPr>
          <w:rFonts w:cs="Segoe UI"/>
          <w:szCs w:val="20"/>
        </w:rPr>
        <w:t xml:space="preserve"> that</w:t>
      </w:r>
      <w:r w:rsidR="008F1402">
        <w:rPr>
          <w:rFonts w:cs="Segoe UI"/>
          <w:szCs w:val="20"/>
        </w:rPr>
        <w:t xml:space="preserve"> community care</w:t>
      </w:r>
      <w:r w:rsidRPr="00EC4895">
        <w:rPr>
          <w:rFonts w:cs="Segoe UI"/>
          <w:szCs w:val="20"/>
        </w:rPr>
        <w:t xml:space="preserve"> staff at all roles and grades </w:t>
      </w:r>
      <w:r w:rsidR="008F1402">
        <w:rPr>
          <w:rFonts w:cs="Segoe UI"/>
          <w:szCs w:val="20"/>
        </w:rPr>
        <w:t>working with</w:t>
      </w:r>
      <w:r w:rsidRPr="00EC4895">
        <w:rPr>
          <w:rFonts w:cs="Segoe UI"/>
          <w:szCs w:val="20"/>
        </w:rPr>
        <w:t xml:space="preserve"> older people have responsibility for malnutrition screening and delivery of appropriate treatment.</w:t>
      </w:r>
      <w:r w:rsidR="00DD6BCB" w:rsidRPr="00E734C2">
        <w:t xml:space="preserve"> </w:t>
      </w:r>
      <w:r w:rsidR="005B0FF1">
        <w:rPr>
          <w:rFonts w:cstheme="minorHAnsi"/>
        </w:rPr>
        <w:t xml:space="preserve">Introduction of the new procedure </w:t>
      </w:r>
      <w:r w:rsidR="00DD6BCB">
        <w:rPr>
          <w:rFonts w:cstheme="minorHAnsi"/>
        </w:rPr>
        <w:t>was</w:t>
      </w:r>
      <w:r w:rsidR="005B0FF1">
        <w:rPr>
          <w:rFonts w:cstheme="minorHAnsi"/>
        </w:rPr>
        <w:t xml:space="preserve"> provided through</w:t>
      </w:r>
      <w:r w:rsidRPr="00153694">
        <w:rPr>
          <w:rFonts w:cstheme="minorHAnsi"/>
        </w:rPr>
        <w:t xml:space="preserve"> </w:t>
      </w:r>
      <w:r w:rsidR="005B0FF1">
        <w:rPr>
          <w:rFonts w:cstheme="minorHAnsi"/>
        </w:rPr>
        <w:t>staff</w:t>
      </w:r>
      <w:r w:rsidRPr="00153694">
        <w:rPr>
          <w:rFonts w:cstheme="minorHAnsi"/>
        </w:rPr>
        <w:t xml:space="preserve"> training delivered by a </w:t>
      </w:r>
      <w:r w:rsidR="00EF7731">
        <w:rPr>
          <w:rFonts w:cstheme="minorHAnsi"/>
        </w:rPr>
        <w:t xml:space="preserve">registered </w:t>
      </w:r>
      <w:r w:rsidRPr="00153694">
        <w:rPr>
          <w:rFonts w:cstheme="minorHAnsi"/>
        </w:rPr>
        <w:t>dietitian. 12 sessions were offered to enable as many staff as possible</w:t>
      </w:r>
      <w:r w:rsidR="00EF7731">
        <w:rPr>
          <w:rFonts w:cstheme="minorHAnsi"/>
        </w:rPr>
        <w:t xml:space="preserve"> </w:t>
      </w:r>
      <w:r w:rsidRPr="00153694">
        <w:rPr>
          <w:rFonts w:cstheme="minorHAnsi"/>
        </w:rPr>
        <w:t>to attend</w:t>
      </w:r>
      <w:r w:rsidRPr="00101BDD">
        <w:rPr>
          <w:rFonts w:cstheme="minorHAnsi"/>
        </w:rPr>
        <w:t xml:space="preserve"> a one-hour training session.  </w:t>
      </w:r>
      <w:r w:rsidR="005B0FF1">
        <w:rPr>
          <w:rFonts w:cstheme="minorHAnsi"/>
        </w:rPr>
        <w:t>Immediate e</w:t>
      </w:r>
      <w:r w:rsidRPr="00101BDD">
        <w:rPr>
          <w:rFonts w:cstheme="minorHAnsi"/>
        </w:rPr>
        <w:t>ffectiveness of training w</w:t>
      </w:r>
      <w:r>
        <w:rPr>
          <w:rFonts w:cstheme="minorHAnsi"/>
        </w:rPr>
        <w:t>as</w:t>
      </w:r>
      <w:r w:rsidRPr="00101BDD">
        <w:rPr>
          <w:rFonts w:cstheme="minorHAnsi"/>
        </w:rPr>
        <w:t xml:space="preserve"> assessed through pre-and-post training</w:t>
      </w:r>
      <w:r w:rsidR="005B0FF1">
        <w:rPr>
          <w:rFonts w:cstheme="minorHAnsi"/>
        </w:rPr>
        <w:t xml:space="preserve"> knowledge check questionnaires</w:t>
      </w:r>
      <w:r w:rsidRPr="00101BDD">
        <w:rPr>
          <w:rFonts w:cstheme="minorHAnsi"/>
        </w:rPr>
        <w:t>.</w:t>
      </w:r>
    </w:p>
    <w:p w14:paraId="07FC15F4" w14:textId="77777777" w:rsidR="006F43EB" w:rsidRPr="00570AA3" w:rsidRDefault="006F43EB" w:rsidP="00570AA3">
      <w:pPr>
        <w:rPr>
          <w:u w:val="single"/>
        </w:rPr>
      </w:pPr>
      <w:bookmarkStart w:id="2" w:name="_Toc506539294"/>
      <w:r w:rsidRPr="00570AA3">
        <w:rPr>
          <w:u w:val="single"/>
        </w:rPr>
        <w:t>The role of Normalisation Process Theory (NPT)</w:t>
      </w:r>
      <w:bookmarkEnd w:id="2"/>
    </w:p>
    <w:p w14:paraId="6CE2F825" w14:textId="2395975F" w:rsidR="006F43EB" w:rsidRPr="00101BDD" w:rsidRDefault="008F1402" w:rsidP="003A26F1">
      <w:pPr>
        <w:spacing w:line="276" w:lineRule="auto"/>
        <w:jc w:val="both"/>
        <w:rPr>
          <w:rFonts w:cs="Arial"/>
        </w:rPr>
      </w:pPr>
      <w:r>
        <w:t xml:space="preserve">This </w:t>
      </w:r>
      <w:r w:rsidR="006F43EB" w:rsidRPr="00101BDD">
        <w:t xml:space="preserve">study is informed by Normalization Process Theory (NPT), which </w:t>
      </w:r>
      <w:r w:rsidR="00EC764F">
        <w:t xml:space="preserve">identifies, characterises and explains  mechanisms that motivate and shape </w:t>
      </w:r>
      <w:r w:rsidR="006F43EB" w:rsidRPr="00101BDD">
        <w:t>implementation</w:t>
      </w:r>
      <w:r w:rsidR="00EC764F">
        <w:t xml:space="preserve"> processes </w:t>
      </w:r>
      <w:r w:rsidR="006F43EB" w:rsidRPr="00101BDD">
        <w:fldChar w:fldCharType="begin" w:fldLock="1"/>
      </w:r>
      <w:r>
        <w:instrText>ADDIN CSL_CITATION {"citationItems":[{"id":"ITEM-1","itemData":{"DOI":"10.1177/0038038509103208","ISSN":"0038-0385","abstract":"Understanding the processes by which practices become routinely embedded in everyday life is a long-standing concern of sociology and the other social sciences. It has important applied relevance in understanding and evaluating the implementation of material practices across a range of settings.This article sets out a theory of normalization processes that proposes a working model of implementation, embedding and integration in conditions marked by complexity and emergence. The theory focuses on the work of embedding and of sustaining practices within interaction chains, and helps in understanding why some processes seem to lead to a practice becoming normalized while others do not.","author":[{"dropping-particle":"","family":"May","given":"Carl","non-dropping-particle":"","parse-names":false,"suffix":""},{"dropping-particle":"","family":"Finch","given":"Tracy","non-dropping-particle":"","parse-names":false,"suffix":""}],"container-title":"Sociology","id":"ITEM-1","issue":"3","issued":{"date-parts":[["2009","6","1"]]},"note":"doi: 10.1177/0038038509103208","page":"535-554","publisher":"SAGE Publications Ltd","title":"Implementing, Embedding, and Integrating Practices: An Outline of Normalization Process Theory","type":"article-journal","volume":"43"},"uris":["http://www.mendeley.com/documents/?uuid=ecd43b0c-7f92-449d-acf1-bad064e2bbc1"]},{"id":"ITEM-2","itemData":{"DOI":"10.1186/s13012-018-0758-1","ISSN":"1748-5908","abstract":"Normalization Process Theory (NPT) identifies, characterises and explains key mechanisms that promote and inhibit the implementation, embedding and integration of new health techniques, technologies and other complex interventions. A large body of literature that employs NPT to inform feasibility studies and process evaluations of complex healthcare interventions has now emerged. The aims of this review were to review this literature; to identify and characterise the uses and limits of NPT in research on the implementation and integration of healthcare interventions; and to explore NPT’s contribution to understanding the dynamics of these processes.","author":[{"dropping-particle":"","family":"May","given":"Carl R","non-dropping-particle":"","parse-names":false,"suffix":""},{"dropping-particle":"","family":"Cummings","given":"Amanda","non-dropping-particle":"","parse-names":false,"suffix":""},{"dropping-particle":"","family":"Girling","given":"Melissa","non-dropping-particle":"","parse-names":false,"suffix":""},{"dropping-particle":"","family":"Bracher","given":"Mike","non-dropping-particle":"","parse-names":false,"suffix":""},{"dropping-particle":"","family":"Mair","given":"Frances S","non-dropping-particle":"","parse-names":false,"suffix":""},{"dropping-particle":"","family":"May","given":"Christine M","non-dropping-particle":"","parse-names":false,"suffix":""},{"dropping-particle":"","family":"Murray","given":"Elizabeth","non-dropping-particle":"","parse-names":false,"suffix":""},{"dropping-particle":"","family":"Myall","given":"Michelle","non-dropping-particle":"","parse-names":false,"suffix":""},{"dropping-particle":"","family":"Rapley","given":"Tim","non-dropping-particle":"","parse-names":false,"suffix":""},{"dropping-particle":"","family":"Finch","given":"Tracy","non-dropping-particle":"","parse-names":false,"suffix":""}],"container-title":"Implementation Science","id":"ITEM-2","issue":"1","issued":{"date-parts":[["2018"]]},"page":"80","title":"Using Normalization Process Theory in feasibility studies and process evaluations of complex healthcare interventions: a systematic review","type":"article-journal","volume":"13"},"uris":["http://www.mendeley.com/documents/?uuid=0be008bc-1ada-4574-8694-13b45c4392b6"]}],"mendeley":{"formattedCitation":"[25,26]","plainTextFormattedCitation":"[25,26]","previouslyFormattedCitation":"[25,26]"},"properties":{"noteIndex":0},"schema":"https://github.com/citation-style-language/schema/raw/master/csl-citation.json"}</w:instrText>
      </w:r>
      <w:r w:rsidR="006F43EB" w:rsidRPr="00101BDD">
        <w:fldChar w:fldCharType="separate"/>
      </w:r>
      <w:r w:rsidR="00AC65F3" w:rsidRPr="00AC65F3">
        <w:rPr>
          <w:noProof/>
        </w:rPr>
        <w:t>[25,26]</w:t>
      </w:r>
      <w:r w:rsidR="006F43EB" w:rsidRPr="00101BDD">
        <w:fldChar w:fldCharType="end"/>
      </w:r>
      <w:r w:rsidR="006F43EB" w:rsidRPr="00101BDD">
        <w:t xml:space="preserve">. </w:t>
      </w:r>
      <w:r w:rsidR="00EC764F">
        <w:t xml:space="preserve">NPT focuses on three aspects of implementation processes: </w:t>
      </w:r>
      <w:r w:rsidR="00EC764F">
        <w:rPr>
          <w:rFonts w:eastAsia="Times New Roman" w:cs="Times New Roman"/>
        </w:rPr>
        <w:t xml:space="preserve">how </w:t>
      </w:r>
      <w:r w:rsidR="00EC764F" w:rsidRPr="00EC764F">
        <w:t>components of complex interventions</w:t>
      </w:r>
      <w:r w:rsidR="00EC764F">
        <w:t xml:space="preserve"> confer particular capabilities on</w:t>
      </w:r>
      <w:r w:rsidR="00EC764F" w:rsidRPr="00EC764F">
        <w:t xml:space="preserve"> their users</w:t>
      </w:r>
      <w:r w:rsidR="00EC764F">
        <w:t xml:space="preserve">; what the work of implementing, embedding and integrating these capabilities </w:t>
      </w:r>
      <w:r>
        <w:t>i</w:t>
      </w:r>
      <w:r w:rsidR="00EC764F">
        <w:t xml:space="preserve">n everyday practice is, and how intervening mechanisms </w:t>
      </w:r>
      <w:r w:rsidR="00EC764F" w:rsidRPr="00EC764F">
        <w:rPr>
          <w:rFonts w:cs="Times New Roman"/>
        </w:rPr>
        <w:t>(coherence, cognitive participation, collective action and reflexive monitoring)</w:t>
      </w:r>
      <w:r w:rsidR="00EC764F">
        <w:rPr>
          <w:rFonts w:cs="Times New Roman"/>
        </w:rPr>
        <w:t>,</w:t>
      </w:r>
      <w:r w:rsidR="00EC764F" w:rsidRPr="00EC764F">
        <w:rPr>
          <w:rFonts w:cs="Times New Roman"/>
        </w:rPr>
        <w:t xml:space="preserve"> motivate and shape implementation processes and explain</w:t>
      </w:r>
      <w:r w:rsidR="00EC764F">
        <w:rPr>
          <w:rFonts w:cs="Times New Roman"/>
        </w:rPr>
        <w:t xml:space="preserve"> </w:t>
      </w:r>
      <w:r w:rsidR="00EC764F" w:rsidRPr="00EC764F">
        <w:rPr>
          <w:rFonts w:cs="Times New Roman"/>
        </w:rPr>
        <w:t>their operation</w:t>
      </w:r>
      <w:r w:rsidR="00EC764F">
        <w:rPr>
          <w:rFonts w:cs="Times New Roman"/>
        </w:rPr>
        <w:t>; and finally, how participants in implementation processes  mobilise</w:t>
      </w:r>
      <w:r w:rsidR="00EC764F" w:rsidRPr="00EC764F">
        <w:rPr>
          <w:rFonts w:cs="Times New Roman"/>
        </w:rPr>
        <w:t xml:space="preserve"> structural and cognitive resources </w:t>
      </w:r>
      <w:r w:rsidR="00EC764F">
        <w:rPr>
          <w:rFonts w:cs="Times New Roman"/>
        </w:rPr>
        <w:t>as they invest in them</w:t>
      </w:r>
      <w:r>
        <w:rPr>
          <w:rFonts w:cs="Times New Roman"/>
        </w:rPr>
        <w:t xml:space="preserve"> </w:t>
      </w:r>
      <w:r>
        <w:rPr>
          <w:rFonts w:cs="Times New Roman"/>
        </w:rPr>
        <w:fldChar w:fldCharType="begin" w:fldLock="1"/>
      </w:r>
      <w:r>
        <w:rPr>
          <w:rFonts w:cs="Times New Roman"/>
        </w:rPr>
        <w:instrText>ADDIN CSL_CITATION {"citationItems":[{"id":"ITEM-1","itemData":{"DOI":"10.1177/0038038509103208","ISSN":"0038-0385","abstract":"Understanding the processes by which practices become routinely embedded in everyday life is a long-standing concern of sociology and the other social sciences. It has important applied relevance in understanding and evaluating the implementation of material practices across a range of settings.This article sets out a theory of normalization processes that proposes a working model of implementation, embedding and integration in conditions marked by complexity and emergence. The theory focuses on the work of embedding and of sustaining practices within interaction chains, and helps in understanding why some processes seem to lead to a practice becoming normalized while others do not.","author":[{"dropping-particle":"","family":"May","given":"Carl","non-dropping-particle":"","parse-names":false,"suffix":""},{"dropping-particle":"","family":"Finch","given":"Tracy","non-dropping-particle":"","parse-names":false,"suffix":""}],"container-title":"Sociology","id":"ITEM-1","issue":"3","issued":{"date-parts":[["2009","6","1"]]},"note":"doi: 10.1177/0038038509103208","page":"535-554","publisher":"SAGE Publications Ltd","title":"Implementing, Embedding, and Integrating Practices: An Outline of Normalization Process Theory","type":"article-journal","volume":"43"},"uris":["http://www.mendeley.com/documents/?uuid=ecd43b0c-7f92-449d-acf1-bad064e2bbc1"]}],"mendeley":{"formattedCitation":"[25]","plainTextFormattedCitation":"[25]","previouslyFormattedCitation":"[25]"},"properties":{"noteIndex":0},"schema":"https://github.com/citation-style-language/schema/raw/master/csl-citation.json"}</w:instrText>
      </w:r>
      <w:r>
        <w:rPr>
          <w:rFonts w:cs="Times New Roman"/>
        </w:rPr>
        <w:fldChar w:fldCharType="separate"/>
      </w:r>
      <w:r w:rsidRPr="008F1402">
        <w:rPr>
          <w:rFonts w:cs="Times New Roman"/>
          <w:noProof/>
        </w:rPr>
        <w:t>[25]</w:t>
      </w:r>
      <w:r>
        <w:rPr>
          <w:rFonts w:cs="Times New Roman"/>
        </w:rPr>
        <w:fldChar w:fldCharType="end"/>
      </w:r>
      <w:r w:rsidR="00EC764F">
        <w:rPr>
          <w:rFonts w:cs="Times New Roman"/>
        </w:rPr>
        <w:t>.</w:t>
      </w:r>
      <w:r w:rsidR="00D73EC9">
        <w:t xml:space="preserve"> </w:t>
      </w:r>
      <w:r w:rsidR="00EC764F">
        <w:t xml:space="preserve">NPT is now widely used </w:t>
      </w:r>
      <w:r w:rsidR="00D73EC9">
        <w:t xml:space="preserve">to </w:t>
      </w:r>
      <w:r w:rsidR="00EC764F">
        <w:t>in</w:t>
      </w:r>
      <w:r w:rsidR="00D73EC9">
        <w:t>form</w:t>
      </w:r>
      <w:r w:rsidR="00EC764F">
        <w:t xml:space="preserve"> process evaluation rese</w:t>
      </w:r>
      <w:r w:rsidR="00A9069C">
        <w:t>arch, a recent systematic review sho</w:t>
      </w:r>
      <w:r w:rsidR="00B441F8">
        <w:t>w</w:t>
      </w:r>
      <w:r w:rsidR="00A9069C">
        <w:t>s</w:t>
      </w:r>
      <w:r w:rsidR="00D73EC9">
        <w:t xml:space="preserve"> 130 reports of feasibility studies and process evaluations of controlled and uncontrolled interventions in open and closed systems</w:t>
      </w:r>
      <w:r w:rsidR="00A9069C">
        <w:t>, most of these published in the last five years</w:t>
      </w:r>
      <w:r>
        <w:t xml:space="preserve"> </w:t>
      </w:r>
      <w:r>
        <w:fldChar w:fldCharType="begin" w:fldLock="1"/>
      </w:r>
      <w:r>
        <w:instrText>ADDIN CSL_CITATION {"citationItems":[{"id":"ITEM-1","itemData":{"DOI":"10.1186/s13012-018-0758-1","ISSN":"1748-5908","abstract":"Normalization Process Theory (NPT) identifies, characterises and explains key mechanisms that promote and inhibit the implementation, embedding and integration of new health techniques, technologies and other complex interventions. A large body of literature that employs NPT to inform feasibility studies and process evaluations of complex healthcare interventions has now emerged. The aims of this review were to review this literature; to identify and characterise the uses and limits of NPT in research on the implementation and integration of healthcare interventions; and to explore NPT’s contribution to understanding the dynamics of these processes.","author":[{"dropping-particle":"","family":"May","given":"Carl R","non-dropping-particle":"","parse-names":false,"suffix":""},{"dropping-particle":"","family":"Cummings","given":"Amanda","non-dropping-particle":"","parse-names":false,"suffix":""},{"dropping-particle":"","family":"Girling","given":"Melissa","non-dropping-particle":"","parse-names":false,"suffix":""},{"dropping-particle":"","family":"Bracher","given":"Mike","non-dropping-particle":"","parse-names":false,"suffix":""},{"dropping-particle":"","family":"Mair","given":"Frances S","non-dropping-particle":"","parse-names":false,"suffix":""},{"dropping-particle":"","family":"May","given":"Christine M","non-dropping-particle":"","parse-names":false,"suffix":""},{"dropping-particle":"","family":"Murray","given":"Elizabeth","non-dropping-particle":"","parse-names":false,"suffix":""},{"dropping-particle":"","family":"Myall","given":"Michelle","non-dropping-particle":"","parse-names":false,"suffix":""},{"dropping-particle":"","family":"Rapley","given":"Tim","non-dropping-particle":"","parse-names":false,"suffix":""},{"dropping-particle":"","family":"Finch","given":"Tracy","non-dropping-particle":"","parse-names":false,"suffix":""}],"container-title":"Implementation Science","id":"ITEM-1","issue":"1","issued":{"date-parts":[["2018"]]},"page":"80","title":"Using Normalization Process Theory in feasibility studies and process evaluations of complex healthcare interventions: a systematic review","type":"article-journal","volume":"13"},"uris":["http://www.mendeley.com/documents/?uuid=0be008bc-1ada-4574-8694-13b45c4392b6"]}],"mendeley":{"formattedCitation":"[26]","plainTextFormattedCitation":"[26]"},"properties":{"noteIndex":0},"schema":"https://github.com/citation-style-language/schema/raw/master/csl-citation.json"}</w:instrText>
      </w:r>
      <w:r>
        <w:fldChar w:fldCharType="separate"/>
      </w:r>
      <w:r w:rsidRPr="008F1402">
        <w:rPr>
          <w:noProof/>
        </w:rPr>
        <w:t>[26]</w:t>
      </w:r>
      <w:r>
        <w:fldChar w:fldCharType="end"/>
      </w:r>
      <w:r w:rsidR="00A9069C">
        <w:t>.</w:t>
      </w:r>
      <w:r w:rsidR="00D73EC9">
        <w:t xml:space="preserve"> </w:t>
      </w:r>
    </w:p>
    <w:p w14:paraId="4DD36693" w14:textId="6E82DCCF" w:rsidR="00570AA3" w:rsidRDefault="006F43EB" w:rsidP="006F43EB">
      <w:pPr>
        <w:jc w:val="both"/>
        <w:rPr>
          <w:rFonts w:eastAsia="Times New Roman" w:cs="Times New Roman"/>
          <w:color w:val="111111"/>
          <w:lang w:val="en" w:eastAsia="en-GB"/>
        </w:rPr>
      </w:pPr>
      <w:r w:rsidRPr="00101BDD">
        <w:rPr>
          <w:rFonts w:cs="Arial"/>
        </w:rPr>
        <w:t xml:space="preserve">NPT has been used in </w:t>
      </w:r>
      <w:r w:rsidR="00314616">
        <w:rPr>
          <w:rFonts w:cs="Arial"/>
        </w:rPr>
        <w:t xml:space="preserve">two previous studies focused on: </w:t>
      </w:r>
      <w:r w:rsidRPr="00101BDD">
        <w:rPr>
          <w:rFonts w:cs="Arial"/>
        </w:rPr>
        <w:t>develop</w:t>
      </w:r>
      <w:r w:rsidR="00314616">
        <w:rPr>
          <w:rFonts w:cs="Arial"/>
        </w:rPr>
        <w:t>ment</w:t>
      </w:r>
      <w:r w:rsidRPr="00101BDD">
        <w:rPr>
          <w:rFonts w:cs="Arial"/>
        </w:rPr>
        <w:t xml:space="preserve"> the role of the nurse as a link advisor for research and champion for nutrition in the neonatal intensive care unit </w:t>
      </w:r>
      <w:r w:rsidRPr="00101BDD">
        <w:rPr>
          <w:rFonts w:cs="Arial"/>
        </w:rPr>
        <w:fldChar w:fldCharType="begin" w:fldLock="1"/>
      </w:r>
      <w:r w:rsidR="008F1402">
        <w:rPr>
          <w:rFonts w:cs="Arial"/>
        </w:rPr>
        <w:instrText>ADDIN CSL_CITATION {"citationItems":[{"id":"ITEM-1","itemData":{"DOI":"http://dx.doi.org/10.1016/j.jnn.2013.01.003","ISSN":"1355-1841","abstract":"A unique local practice initiative to develop a small group of nurses in the dual role of link advisors and champions for nutrition was part of a larger research project aimed at standardising nutritional care of preterm infants. Building upon the expertise of a small group of dedicated neonatal nurses, new clinical guidelines were successfully introduced and to date an incremental change in practice achieved. Furthermore, quality outcomes in terms of improving the research profile, bridging the research-practice gap, increased job satisfaction and personal practitioner recognition and achievement has contributed to the success of the project.","author":[{"dropping-particle":"","family":"Westbury","given":"Jan A","non-dropping-particle":"","parse-names":false,"suffix":""},{"dropping-particle":"","family":"Johnson","given":"Mark J","non-dropping-particle":"","parse-names":false,"suffix":""},{"dropping-particle":"","family":"Pond","given":"Jenny P","non-dropping-particle":"","parse-names":false,"suffix":""},{"dropping-particle":"","family":"Toy","given":"Christina F","non-dropping-particle":"","parse-names":false,"suffix":""},{"dropping-particle":"","family":"Anderson","given":"Linda S","non-dropping-particle":"","parse-names":false,"suffix":""},{"dropping-particle":"","family":"Blake","given":"Elizabeth","non-dropping-particle":"","parse-names":false,"suffix":""},{"dropping-particle":"","family":"Leaf","given":"Alison A","non-dropping-particle":"","parse-names":false,"suffix":""}],"container-title":"Journal of Neonatal Nursing","id":"ITEM-1","issue":"4","issued":{"date-parts":[["2013"]]},"page":"198-205","title":"Developing the role of the nurse as a link advisor for research and a champion for nutrition in the neonatal intensive care unit","type":"article-journal","volume":"19"},"uris":["http://www.mendeley.com/documents/?uuid=5e4d32bc-6fcb-4c05-8b83-a392e36479f6"]}],"mendeley":{"formattedCitation":"[27]","plainTextFormattedCitation":"[27]","previouslyFormattedCitation":"[27]"},"properties":{"noteIndex":0},"schema":"https://github.com/citation-style-language/schema/raw/master/csl-citation.json"}</w:instrText>
      </w:r>
      <w:r w:rsidRPr="00101BDD">
        <w:rPr>
          <w:rFonts w:cs="Arial"/>
        </w:rPr>
        <w:fldChar w:fldCharType="separate"/>
      </w:r>
      <w:r w:rsidR="00AC65F3" w:rsidRPr="00AC65F3">
        <w:rPr>
          <w:rFonts w:cs="Arial"/>
          <w:noProof/>
        </w:rPr>
        <w:t>[27]</w:t>
      </w:r>
      <w:r w:rsidRPr="00101BDD">
        <w:rPr>
          <w:rFonts w:cs="Arial"/>
        </w:rPr>
        <w:fldChar w:fldCharType="end"/>
      </w:r>
      <w:r w:rsidRPr="00101BDD">
        <w:rPr>
          <w:rFonts w:cs="Arial"/>
        </w:rPr>
        <w:t>;</w:t>
      </w:r>
      <w:r w:rsidRPr="00101BDD">
        <w:rPr>
          <w:rFonts w:cs="Arial"/>
          <w:lang w:val="en"/>
        </w:rPr>
        <w:t xml:space="preserve"> and implementing nutrition guidelines for older people in residential care homes </w:t>
      </w:r>
      <w:r w:rsidRPr="00101BDD">
        <w:rPr>
          <w:rFonts w:cs="Arial"/>
          <w:lang w:val="en"/>
        </w:rPr>
        <w:fldChar w:fldCharType="begin" w:fldLock="1"/>
      </w:r>
      <w:r w:rsidR="00027538">
        <w:rPr>
          <w:rFonts w:cs="Arial"/>
          <w:lang w:val="en"/>
        </w:rPr>
        <w:instrText>ADDIN CSL_CITATION {"citationItems":[{"id":"ITEM-1","itemData":{"DOI":"10.1186/1748-5908-7-106","ISBN":"1748-5908","ISSN":"1748-5908","PMID":"23110857","abstract":"BACKGROUND: Optimizing the dietary intake of older people can prevent nutritional deficiencies and diet-related diseases, thereby improving quality of life. However, there is evidence that the nutritional intake of older people living in care homes is suboptimal, with high levels of saturated fat, salt, and added sugars. The UK Food Standards Agency therefore developed nutrient- and food-based guidance for residential care homes. The acceptability of these guidelines and their feasibility in practice is unknown. This study used the Normalization Process Theory (NPT) to understand the barriers and facilitators to implementing the guidelines and inform future implementation.\\n\\nMETHODS: We conducted a process evaluation in five care homes in the north of England using qualitative methods (observation and interviews) to explore the views of managers, care staff, catering staff, and domestic staff. Data were analyzed thematically and discussed in data workshops; emerging themes were then mapped to the constructs of NPT.\\n\\nRESULTS: Many staff perceived the guidelines as unnecessarily restrictive and irrelevant to older people. In terms of NPT, the guidelines simply did not make sense (coherence), and as a result, relatively few staff invested in the guidelines (cognitive participation). Even where staff supported the guidelines, implementation was hampered by a lack of nutritional knowledge and institutional support (collective action). Finally, the absence of observable benefits to clients confirmed the negative preconceptions of many staff, with limited evidence of reappraisal following implementation (reflexive monitoring).\\n\\nCONCLUSIONS: The successful implementation of the nutrition guidelines requires that the fundamental issues relating to their perceived value and fit with other priorities and goals be addressed. Specialist support is needed to equip staff with the technical knowledge and skills required for menu analysis and development and to devise ways of evaluating the outcomes of modified menus. NPT proved useful in conceptualizing barriers to implementation; robust links with behavior-change theories would further increase the practical utility of NPT.","author":[{"dropping-particle":"","family":"Bamford","given":"Claire","non-dropping-particle":"","parse-names":false,"suffix":""},{"dropping-particle":"","family":"Heaven","given":"Ben","non-dropping-particle":"","parse-names":false,"suffix":""},{"dropping-particle":"","family":"May","given":"Carl","non-dropping-particle":"","parse-names":false,"suffix":""},{"dropping-particle":"","family":"Moynihan","given":"Paula","non-dropping-particle":"","parse-names":false,"suffix":""}],"container-title":"Implementation Science","id":"ITEM-1","issue":"1","issued":{"date-parts":[["2012"]]},"page":"106","title":"Implementing nutrition guidelines for older people in residential care homes: a qualitative study using normalization process theory","type":"article-journal","volume":"7"},"uris":["http://www.mendeley.com/documents/?uuid=fea2a90d-20d2-48e4-9170-fa4ae59e645e"]}],"mendeley":{"formattedCitation":"[12]","plainTextFormattedCitation":"[12]","previouslyFormattedCitation":"[12]"},"properties":{"noteIndex":0},"schema":"https://github.com/citation-style-language/schema/raw/master/csl-citation.json"}</w:instrText>
      </w:r>
      <w:r w:rsidRPr="00101BDD">
        <w:rPr>
          <w:rFonts w:cs="Arial"/>
          <w:lang w:val="en"/>
        </w:rPr>
        <w:fldChar w:fldCharType="separate"/>
      </w:r>
      <w:r w:rsidR="00B16FC3" w:rsidRPr="00B16FC3">
        <w:rPr>
          <w:rFonts w:cs="Arial"/>
          <w:noProof/>
          <w:lang w:val="en"/>
        </w:rPr>
        <w:t>[12]</w:t>
      </w:r>
      <w:r w:rsidRPr="00101BDD">
        <w:rPr>
          <w:rFonts w:cs="Arial"/>
          <w:lang w:val="en"/>
        </w:rPr>
        <w:fldChar w:fldCharType="end"/>
      </w:r>
      <w:r w:rsidRPr="00101BDD">
        <w:rPr>
          <w:rFonts w:cs="Arial"/>
          <w:lang w:val="en"/>
        </w:rPr>
        <w:t>.</w:t>
      </w:r>
      <w:r w:rsidRPr="00101BDD">
        <w:rPr>
          <w:rFonts w:cs="Arial"/>
        </w:rPr>
        <w:t xml:space="preserve"> </w:t>
      </w:r>
      <w:r w:rsidR="00314616">
        <w:rPr>
          <w:rFonts w:cs="Arial"/>
        </w:rPr>
        <w:t>However, the present study is the first to apply this to implementation of procedures for screening and treatment of malnutrition in community settings.</w:t>
      </w:r>
      <w:r w:rsidRPr="00101BDD">
        <w:rPr>
          <w:rFonts w:cs="Arial"/>
        </w:rPr>
        <w:t xml:space="preserve"> </w:t>
      </w:r>
      <w:r w:rsidRPr="00101BDD">
        <w:rPr>
          <w:lang w:val="en"/>
        </w:rPr>
        <w:t xml:space="preserve">The theory </w:t>
      </w:r>
      <w:r w:rsidRPr="00101BDD">
        <w:rPr>
          <w:rFonts w:cs="Sabon-Roman"/>
        </w:rPr>
        <w:t xml:space="preserve">can </w:t>
      </w:r>
      <w:r w:rsidRPr="00101BDD">
        <w:rPr>
          <w:lang w:val="en"/>
        </w:rPr>
        <w:t xml:space="preserve">be used </w:t>
      </w:r>
      <w:r w:rsidRPr="00101BDD">
        <w:rPr>
          <w:color w:val="111111"/>
          <w:lang w:val="en"/>
        </w:rPr>
        <w:t xml:space="preserve">prospectively (i.e. to identify potential areas of importance with respect to embedding and implementation within a given topic area) and retrospectively (i.e. to analyse existing processes, practices, and technologies with </w:t>
      </w:r>
      <w:r w:rsidRPr="00101BDD">
        <w:rPr>
          <w:color w:val="111111"/>
          <w:lang w:val="en"/>
        </w:rPr>
        <w:lastRenderedPageBreak/>
        <w:t xml:space="preserve">respect to social and organisational activities </w:t>
      </w:r>
      <w:r w:rsidR="008F1402">
        <w:rPr>
          <w:color w:val="111111"/>
          <w:lang w:val="en"/>
        </w:rPr>
        <w:t>relating to</w:t>
      </w:r>
      <w:r w:rsidRPr="00101BDD">
        <w:rPr>
          <w:color w:val="111111"/>
          <w:lang w:val="en"/>
        </w:rPr>
        <w:t xml:space="preserve"> implementation and embedding) </w:t>
      </w:r>
      <w:r w:rsidRPr="00101BDD">
        <w:rPr>
          <w:color w:val="111111"/>
          <w:lang w:val="en"/>
        </w:rPr>
        <w:fldChar w:fldCharType="begin" w:fldLock="1"/>
      </w:r>
      <w:r w:rsidR="008F1402">
        <w:rPr>
          <w:color w:val="111111"/>
          <w:lang w:val="en"/>
        </w:rPr>
        <w:instrText>ADDIN CSL_CITATION {"citationItems":[{"id":"ITEM-1","itemData":{"DOI":"10.1186/1748-5908-8-43","ISBN":"1748-5908","ISSN":"1748-5908","PMID":"23578304","abstract":"BACKGROUND: Understanding implementation processes is key to ensuring that complex interventions in healthcare are taken up in practice and thus maximize intended benefits for service provision and (ultimately) care to patients. Normalization Process Theory (NPT) provides a framework for understanding how a new intervention becomes part of normal practice. This study aims to develop and validate simple generic tools derived from NPT, to be used to improve the implementation of complex healthcare interventions. OBJECTIVES: The objectives of this study are to: develop a set of NPT-based measures and formatively evaluate their use for identifying implementation problems and monitoring progress; conduct preliminary evaluation of these measures across a range of interventions and contexts, and identify factors that affect this process; explore the utility of these measures for predicting outcomes; and develop an online users' manual for the measures. METHODS: A combination of qualitative (workshops, item development, user feedback, cognitive interviews) and quantitative (survey) methods will be used to develop NPT measures, and test the utility of the measures in six healthcare intervention settings. DISCUSSION: The measures developed in the study will be available for use by those involved in planning, implementing, and evaluating complex interventions in healthcare and have the potential to enhance the chances of their implementation, leading to sustained changes in working practices.","author":[{"dropping-particle":"","family":"Finch","given":"T","non-dropping-particle":"","parse-names":false,"suffix":""},{"dropping-particle":"","family":"Rapley","given":"Tim","non-dropping-particle":"","parse-names":false,"suffix":""},{"dropping-particle":"","family":"Girling","given":"Melissa","non-dropping-particle":"","parse-names":false,"suffix":""},{"dropping-particle":"","family":"Mair","given":"F","non-dropping-particle":"","parse-names":false,"suffix":""},{"dropping-particle":"","family":"Murray","given":"E","non-dropping-particle":"","parse-names":false,"suffix":""},{"dropping-particle":"","family":"Treweek","given":"Shaun","non-dropping-particle":"","parse-names":false,"suffix":""},{"dropping-particle":"","family":"McColl","given":"Elaine","non-dropping-particle":"","parse-names":false,"suffix":""},{"dropping-particle":"","family":"Steen","given":"Ian Nicholas","non-dropping-particle":"","parse-names":false,"suffix":""},{"dropping-particle":"","family":"May","given":"C","non-dropping-particle":"","parse-names":false,"suffix":""}],"container-title":"Implementation science : IS","id":"ITEM-1","issued":{"date-parts":[["2013"]]},"page":"43","title":"Improving the normalization of complex interventions: measure development based on normalization process theory (NoMAD): study protocol.","type":"article-journal","volume":"8"},"uris":["http://www.mendeley.com/documents/?uuid=bb39efe8-8e63-4443-a659-c9d1de91edf7"]},{"id":"ITEM-2","itemData":{"URL":"http://www.normalizationprocess.org/resources/","accessed":{"date-parts":[["2017","8","21"]]},"author":[{"dropping-particle":"","family":"Finch, T.L., Girling, M., May, C.R., Mair, F.S., Murray, E., Treweek, S., Steen, I.N., McColl, E.M., Dickinson, C., Rapley","given":"T.","non-dropping-particle":"","parse-names":false,"suffix":""}],"id":"ITEM-2","issued":{"date-parts":[["2015"]]},"title":"NoMAD: Implementation measure based on Normalization Process Theory","type":"webpage"},"uris":["http://www.mendeley.com/documents/?uuid=2da8e1ad-9f19-4979-855e-4e15ea0a9358"]}],"mendeley":{"formattedCitation":"[28,29]","plainTextFormattedCitation":"[28,29]","previouslyFormattedCitation":"[28,29]"},"properties":{"noteIndex":0},"schema":"https://github.com/citation-style-language/schema/raw/master/csl-citation.json"}</w:instrText>
      </w:r>
      <w:r w:rsidRPr="00101BDD">
        <w:rPr>
          <w:color w:val="111111"/>
          <w:lang w:val="en"/>
        </w:rPr>
        <w:fldChar w:fldCharType="separate"/>
      </w:r>
      <w:r w:rsidR="00AC65F3" w:rsidRPr="00AC65F3">
        <w:rPr>
          <w:noProof/>
          <w:color w:val="111111"/>
          <w:lang w:val="en"/>
        </w:rPr>
        <w:t>[28,29]</w:t>
      </w:r>
      <w:r w:rsidRPr="00101BDD">
        <w:rPr>
          <w:color w:val="111111"/>
          <w:lang w:val="en"/>
        </w:rPr>
        <w:fldChar w:fldCharType="end"/>
      </w:r>
      <w:r w:rsidRPr="00101BDD">
        <w:rPr>
          <w:color w:val="111111"/>
          <w:lang w:val="en"/>
        </w:rPr>
        <w:t xml:space="preserve">. </w:t>
      </w:r>
      <w:r w:rsidRPr="00101BDD">
        <w:rPr>
          <w:rFonts w:eastAsia="Times New Roman" w:cs="Times New Roman"/>
          <w:color w:val="111111"/>
          <w:lang w:val="en" w:eastAsia="en-GB"/>
        </w:rPr>
        <w:t xml:space="preserve">NPT does not provide a framework of causal prediction; rather, its intended use has been to help anticipate the trajectory of a new practice, technology, or process, with respect to success of implementation and embedding in routine practice (that is, given attention to activities in areas identified in the framework, whether implementation and embedding is more or less likely to be successful) </w:t>
      </w:r>
      <w:r w:rsidRPr="00101BDD">
        <w:rPr>
          <w:rFonts w:eastAsia="Times New Roman" w:cs="Times New Roman"/>
          <w:color w:val="111111"/>
          <w:lang w:val="en" w:eastAsia="en-GB"/>
        </w:rPr>
        <w:fldChar w:fldCharType="begin" w:fldLock="1"/>
      </w:r>
      <w:r w:rsidR="008F1402">
        <w:rPr>
          <w:rFonts w:eastAsia="Times New Roman" w:cs="Times New Roman"/>
          <w:color w:val="111111"/>
          <w:lang w:val="en" w:eastAsia="en-GB"/>
        </w:rPr>
        <w:instrText>ADDIN CSL_CITATION {"citationItems":[{"id":"ITEM-1","itemData":{"DOI":"10.1177/0038038509103208","ISSN":"0038-0385","abstract":"Understanding the processes by which practices become routinely embedded in everyday life is a long-standing concern of sociology and the other social sciences. It has important applied relevance in understanding and evaluating the implementation of material practices across a range of settings.This article sets out a theory of normalization processes that proposes a working model of implementation, embedding and integration in conditions marked by complexity and emergence. The theory focuses on the work of embedding and of sustaining practices within interaction chains, and helps in understanding why some processes seem to lead to a practice becoming normalized while others do not.","author":[{"dropping-particle":"","family":"May","given":"Carl","non-dropping-particle":"","parse-names":false,"suffix":""},{"dropping-particle":"","family":"Finch","given":"Tracy","non-dropping-particle":"","parse-names":false,"suffix":""}],"container-title":"Sociology","id":"ITEM-1","issue":"3","issued":{"date-parts":[["2009","6","1"]]},"note":"doi: 10.1177/0038038509103208","page":"535-554","publisher":"SAGE Publications Ltd","title":"Implementing, Embedding, and Integrating Practices: An Outline of Normalization Process Theory","type":"article-journal","volume":"43"},"uris":["http://www.mendeley.com/documents/?uuid=ecd43b0c-7f92-449d-acf1-bad064e2bbc1"]}],"mendeley":{"formattedCitation":"[25]","plainTextFormattedCitation":"[25]","previouslyFormattedCitation":"[25]"},"properties":{"noteIndex":0},"schema":"https://github.com/citation-style-language/schema/raw/master/csl-citation.json"}</w:instrText>
      </w:r>
      <w:r w:rsidRPr="00101BDD">
        <w:rPr>
          <w:rFonts w:eastAsia="Times New Roman" w:cs="Times New Roman"/>
          <w:color w:val="111111"/>
          <w:lang w:val="en" w:eastAsia="en-GB"/>
        </w:rPr>
        <w:fldChar w:fldCharType="separate"/>
      </w:r>
      <w:r w:rsidR="00AC65F3" w:rsidRPr="00AC65F3">
        <w:rPr>
          <w:rFonts w:eastAsia="Times New Roman" w:cs="Times New Roman"/>
          <w:noProof/>
          <w:color w:val="111111"/>
          <w:lang w:val="en" w:eastAsia="en-GB"/>
        </w:rPr>
        <w:t>[25]</w:t>
      </w:r>
      <w:r w:rsidRPr="00101BDD">
        <w:rPr>
          <w:rFonts w:eastAsia="Times New Roman" w:cs="Times New Roman"/>
          <w:color w:val="111111"/>
          <w:lang w:val="en" w:eastAsia="en-GB"/>
        </w:rPr>
        <w:fldChar w:fldCharType="end"/>
      </w:r>
      <w:r w:rsidRPr="00101BDD">
        <w:rPr>
          <w:rFonts w:eastAsia="Times New Roman" w:cs="Times New Roman"/>
          <w:color w:val="111111"/>
          <w:lang w:val="en" w:eastAsia="en-GB"/>
        </w:rPr>
        <w:t xml:space="preserve">. </w:t>
      </w:r>
    </w:p>
    <w:p w14:paraId="0EF9C6EF" w14:textId="7DB8A135" w:rsidR="00DF3F7D" w:rsidRPr="000F4EA3" w:rsidRDefault="007A5A92" w:rsidP="006F43EB">
      <w:pPr>
        <w:jc w:val="both"/>
        <w:rPr>
          <w:rFonts w:eastAsia="Times New Roman" w:cs="Times New Roman"/>
          <w:color w:val="111111"/>
          <w:u w:val="single"/>
          <w:lang w:val="en" w:eastAsia="en-GB"/>
        </w:rPr>
      </w:pPr>
      <w:r>
        <w:rPr>
          <w:rFonts w:eastAsia="Times New Roman" w:cs="Times New Roman"/>
          <w:color w:val="111111"/>
          <w:u w:val="single"/>
          <w:lang w:val="en" w:eastAsia="en-GB"/>
        </w:rPr>
        <w:t>The r</w:t>
      </w:r>
      <w:r w:rsidR="00DF3F7D" w:rsidRPr="000F4EA3">
        <w:rPr>
          <w:rFonts w:eastAsia="Times New Roman" w:cs="Times New Roman"/>
          <w:color w:val="111111"/>
          <w:u w:val="single"/>
          <w:lang w:val="en" w:eastAsia="en-GB"/>
        </w:rPr>
        <w:t xml:space="preserve">elationship between implementation of the new procedure and the process evaluation </w:t>
      </w:r>
    </w:p>
    <w:p w14:paraId="093BAF75" w14:textId="05826192" w:rsidR="00D225C7" w:rsidRDefault="00DB7A97" w:rsidP="006F43EB">
      <w:pPr>
        <w:jc w:val="both"/>
        <w:rPr>
          <w:rFonts w:eastAsia="Times New Roman" w:cs="Times New Roman"/>
          <w:color w:val="111111"/>
          <w:lang w:val="en" w:eastAsia="en-GB"/>
        </w:rPr>
      </w:pPr>
      <w:r>
        <w:rPr>
          <w:rFonts w:eastAsia="Times New Roman" w:cs="Times New Roman"/>
          <w:color w:val="111111"/>
          <w:lang w:val="en" w:eastAsia="en-GB"/>
        </w:rPr>
        <w:t xml:space="preserve">Complex relationships often exist between those implementing service development in healthcare, and those evaluating these processes </w:t>
      </w:r>
      <w:r>
        <w:rPr>
          <w:rFonts w:eastAsia="Times New Roman" w:cs="Times New Roman"/>
          <w:color w:val="111111"/>
          <w:lang w:val="en" w:eastAsia="en-GB"/>
        </w:rPr>
        <w:fldChar w:fldCharType="begin" w:fldLock="1"/>
      </w:r>
      <w:r w:rsidR="008F1402">
        <w:rPr>
          <w:rFonts w:eastAsia="Times New Roman" w:cs="Times New Roman"/>
          <w:color w:val="111111"/>
          <w:lang w:val="en" w:eastAsia="en-GB"/>
        </w:rPr>
        <w:instrText>ADDIN CSL_CITATION {"citationItems":[{"id":"ITEM-1","itemData":{"DOI":"10.1371/journal.pone.0116629","ISSN":"19326203","abstract":"CONTEXT Advance Care Plans (ACPs) enable patients to discuss and negotiate their preferences for the future including treatment options at the end of life. Their implementation poses significant challenges. OBJECTIVE To investigate barriers and facilitators to the implementation of ACPs, focusing on their workability and integration in clinical practice. DESIGN An explanatory systematic review of qualitative implementation studies. DATA SOURCES Empirical studies that reported interventions designed to support ACP in healthcare. Web of Knowledge, Ovid MEDLINE, CINAHL, PsycINFO, British Nursing Index and PubMed databases were searched. METHODS Direct content analysis, using Normalization Process Theory, to identify and characterise relevant components of implementation processes. RESULTS 13 papers identified from 166 abstracts were included in the review. Key factors facilitating implementation were: specially prepared staff utilizing a structured approach to interactions around ACPs. Barriers to implementation were competing demands of other work, the emotional and interactional nature of patient-professional interactions around ACPs, problems in sharing decisions and preferences within and between healthcare organizations. CONCLUSIONS This review demonstrates that doing more of the things that facilitate delivery of ACPs will not reduce the effects of those things that undermine them. Structured tools are only likely to be partially effective and the creation of a specialist cadre of ACP facilitators is unlikely to be a sustainable solution. The findings underscore both the challenge and need to find ways to routinely incorporate ACPs in clinical settings where multiple and competing demands impact on practice. Interventions most likely to meet with success are those that make elements of Advance Care Planning workable within complex and time pressured clinical workflows.","author":[{"dropping-particle":"","family":"Lund","given":"Susi","non-dropping-particle":"","parse-names":false,"suffix":""},{"dropping-particle":"","family":"Richardson","given":"Alison","non-dropping-particle":"","parse-names":false,"suffix":""},{"dropping-particle":"","family":"May","given":"Carl","non-dropping-particle":"","parse-names":false,"suffix":""}],"container-title":"PLoS ONE","id":"ITEM-1","issue":"2","issued":{"date-parts":[["2015"]]},"page":"1-15","title":"Barriers to advance care planning at the end of life: An explanatory systematic review of implementation studies","type":"article-journal","volume":"10"},"uris":["http://www.mendeley.com/documents/?uuid=9bdffaaf-2781-4ce1-8cae-4ffb0018c0e6"]}],"mendeley":{"formattedCitation":"[30]","plainTextFormattedCitation":"[30]","previouslyFormattedCitation":"[30]"},"properties":{"noteIndex":0},"schema":"https://github.com/citation-style-language/schema/raw/master/csl-citation.json"}</w:instrText>
      </w:r>
      <w:r>
        <w:rPr>
          <w:rFonts w:eastAsia="Times New Roman" w:cs="Times New Roman"/>
          <w:color w:val="111111"/>
          <w:lang w:val="en" w:eastAsia="en-GB"/>
        </w:rPr>
        <w:fldChar w:fldCharType="separate"/>
      </w:r>
      <w:r w:rsidR="00AC65F3" w:rsidRPr="00AC65F3">
        <w:rPr>
          <w:rFonts w:eastAsia="Times New Roman" w:cs="Times New Roman"/>
          <w:noProof/>
          <w:color w:val="111111"/>
          <w:lang w:val="en" w:eastAsia="en-GB"/>
        </w:rPr>
        <w:t>[30]</w:t>
      </w:r>
      <w:r>
        <w:rPr>
          <w:rFonts w:eastAsia="Times New Roman" w:cs="Times New Roman"/>
          <w:color w:val="111111"/>
          <w:lang w:val="en" w:eastAsia="en-GB"/>
        </w:rPr>
        <w:fldChar w:fldCharType="end"/>
      </w:r>
      <w:r>
        <w:rPr>
          <w:rFonts w:eastAsia="Times New Roman" w:cs="Times New Roman"/>
          <w:color w:val="111111"/>
          <w:lang w:val="en" w:eastAsia="en-GB"/>
        </w:rPr>
        <w:t xml:space="preserve">. In some cases, both </w:t>
      </w:r>
      <w:r w:rsidR="009A457B">
        <w:rPr>
          <w:rFonts w:eastAsia="Times New Roman" w:cs="Times New Roman"/>
          <w:color w:val="111111"/>
          <w:lang w:val="en" w:eastAsia="en-GB"/>
        </w:rPr>
        <w:t>kinds of work</w:t>
      </w:r>
      <w:r>
        <w:rPr>
          <w:rFonts w:eastAsia="Times New Roman" w:cs="Times New Roman"/>
          <w:color w:val="111111"/>
          <w:lang w:val="en" w:eastAsia="en-GB"/>
        </w:rPr>
        <w:t xml:space="preserve"> are undertaken by the same people </w:t>
      </w:r>
      <w:r>
        <w:rPr>
          <w:rFonts w:eastAsia="Times New Roman" w:cs="Times New Roman"/>
          <w:color w:val="111111"/>
          <w:lang w:val="en" w:eastAsia="en-GB"/>
        </w:rPr>
        <w:fldChar w:fldCharType="begin" w:fldLock="1"/>
      </w:r>
      <w:r>
        <w:rPr>
          <w:rFonts w:eastAsia="Times New Roman" w:cs="Times New Roman"/>
          <w:color w:val="111111"/>
          <w:lang w:val="en" w:eastAsia="en-GB"/>
        </w:rPr>
        <w:instrText>ADDIN CSL_CITATION {"citationItems":[{"id":"ITEM-1","itemData":{"DOI":"doi:10.1136/bmjopen-2017-017727","ISSN":"2044-6055","author":[{"dropping-particle":"","family":"Johnson","given":"Mark J","non-dropping-particle":"","parse-names":false,"suffix":""},{"dropping-particle":"","family":"Leaf","given":"Alison A","non-dropping-particle":"","parse-names":false,"suffix":""},{"dropping-particle":"","family":"Pearson","given":"Freya","non-dropping-particle":"","parse-names":false,"suffix":""}],"container-title":"BMJ Open","id":"ITEM-1","issued":{"date-parts":[["2017"]]},"title":"Successfully implementing and embedding guidelines to improve the nutrition and growth of preterm infants in neonatal intensive care: a prospective interventional study","type":"article-journal"},"uris":["http://www.mendeley.com/documents/?uuid=744b5300-5d0c-4cd1-a2ce-1729fafa69d4"]}],"mendeley":{"formattedCitation":"[11]","plainTextFormattedCitation":"[11]","previouslyFormattedCitation":"[11]"},"properties":{"noteIndex":0},"schema":"https://github.com/citation-style-language/schema/raw/master/csl-citation.json"}</w:instrText>
      </w:r>
      <w:r>
        <w:rPr>
          <w:rFonts w:eastAsia="Times New Roman" w:cs="Times New Roman"/>
          <w:color w:val="111111"/>
          <w:lang w:val="en" w:eastAsia="en-GB"/>
        </w:rPr>
        <w:fldChar w:fldCharType="separate"/>
      </w:r>
      <w:r w:rsidRPr="00DB7A97">
        <w:rPr>
          <w:rFonts w:eastAsia="Times New Roman" w:cs="Times New Roman"/>
          <w:noProof/>
          <w:color w:val="111111"/>
          <w:lang w:val="en" w:eastAsia="en-GB"/>
        </w:rPr>
        <w:t>[11]</w:t>
      </w:r>
      <w:r>
        <w:rPr>
          <w:rFonts w:eastAsia="Times New Roman" w:cs="Times New Roman"/>
          <w:color w:val="111111"/>
          <w:lang w:val="en" w:eastAsia="en-GB"/>
        </w:rPr>
        <w:fldChar w:fldCharType="end"/>
      </w:r>
      <w:r>
        <w:rPr>
          <w:rFonts w:eastAsia="Times New Roman" w:cs="Times New Roman"/>
          <w:color w:val="111111"/>
          <w:lang w:val="en" w:eastAsia="en-GB"/>
        </w:rPr>
        <w:t xml:space="preserve">, while in others </w:t>
      </w:r>
      <w:r w:rsidR="009A457B">
        <w:rPr>
          <w:rFonts w:eastAsia="Times New Roman" w:cs="Times New Roman"/>
          <w:color w:val="111111"/>
          <w:lang w:val="en" w:eastAsia="en-GB"/>
        </w:rPr>
        <w:t xml:space="preserve">the process evaluation may be </w:t>
      </w:r>
      <w:r>
        <w:rPr>
          <w:rFonts w:eastAsia="Times New Roman" w:cs="Times New Roman"/>
          <w:color w:val="111111"/>
          <w:lang w:val="en" w:eastAsia="en-GB"/>
        </w:rPr>
        <w:t>undertaken by those not involved in either initial development or implementation of intervention</w:t>
      </w:r>
      <w:r w:rsidR="008F1402">
        <w:rPr>
          <w:rFonts w:eastAsia="Times New Roman" w:cs="Times New Roman"/>
          <w:color w:val="111111"/>
          <w:lang w:val="en" w:eastAsia="en-GB"/>
        </w:rPr>
        <w:t>s</w:t>
      </w:r>
      <w:r>
        <w:rPr>
          <w:rFonts w:eastAsia="Times New Roman" w:cs="Times New Roman"/>
          <w:color w:val="111111"/>
          <w:lang w:val="en" w:eastAsia="en-GB"/>
        </w:rPr>
        <w:t xml:space="preserve"> </w:t>
      </w:r>
      <w:r>
        <w:rPr>
          <w:rFonts w:eastAsia="Times New Roman" w:cs="Times New Roman"/>
          <w:color w:val="111111"/>
          <w:lang w:val="en" w:eastAsia="en-GB"/>
        </w:rPr>
        <w:fldChar w:fldCharType="begin" w:fldLock="1"/>
      </w:r>
      <w:r w:rsidR="008F1402">
        <w:rPr>
          <w:rFonts w:eastAsia="Times New Roman" w:cs="Times New Roman"/>
          <w:color w:val="111111"/>
          <w:lang w:val="en" w:eastAsia="en-GB"/>
        </w:rPr>
        <w:instrText>ADDIN CSL_CITATION {"citationItems":[{"id":"ITEM-1","itemData":{"DOI":"10.1186/1472-6963-13-111","ISSN":"1472-6963","PMID":"23522021","abstract":"BACKGROUND: Information and communication technologies (ICTs) are often proposed as 'technological fixes' for problems facing healthcare. They promise to deliver services more quickly and cheaply. Yet research on the implementation of ICTs reveals a litany of delays, compromises and failures. Case studies have established that these technologies are difficult to embed in everyday healthcare.\n\nMETHODS: We undertook an ethnographic comparative analysis of a single computer decision support system in three different settings to understand the implementation and everyday use of this technology which is designed to deal with calls to emergency and urgent care services. We examined the deployment of this technology in an established 999 ambulance call-handling service, a new single point of access for urgent care and an established general practice out-of-hours service. We used Normalization Process Theory as a framework to enable systematic cross-case analysis.\n\nRESULTS: Our data comprise nearly 500 hours of observation, interviews with 64 call-handlers, and stakeholders and documents about the technology and settings. The technology has been implemented and is used distinctively in each setting reflecting important differences between work and contexts. Using Normalisation Process Theory we show how the work (collective action) of implementing the system and maintaining its routine use was enabled by a range of actors who established coherence for the technology, secured buy-in (cognitive participation) and engaged in on-going appraisal and adjustment (reflexive monitoring).\n\nCONCLUSIONS: Huge effort was expended and continues to be required to implement and keep this technology in use. This innovation must be understood both as a computer technology and as a set of practices related to that technology, kept in place by a network of actors in particular contexts. While technologies can be 'made to work' in different settings, successful implementation has been achieved, and will only be maintained, through the efforts of those involved in the specific settings and if the wider context continues to support the coherence, cognitive participation, and reflective monitoring processes that surround this collective action. Implementation is more than simply putting technologies in place - it requires new resources and considerable effort, perhaps on an on-going basis.","author":[{"dropping-particle":"","family":"Pope","given":"Catherine","non-dropping-particle":"","parse-names":false,"suffix":""},{"dropping-particle":"","family":"Halford","given":"Susan","non-dropping-particle":"","parse-names":false,"suffix":""},{"dropping-particle":"","family":"Turnbull","given":"Joanne","non-dropping-particle":"","parse-names":false,"suffix":""},{"dropping-particle":"","family":"Prichard","given":"Jane","non-dropping-particle":"","parse-names":false,"suffix":""},{"dropping-particle":"","family":"Calestani","given":"Melania","non-dropping-particle":"","parse-names":false,"suffix":""},{"dropping-particle":"","family":"May","given":"Carl","non-dropping-particle":"","parse-names":false,"suffix":""}],"container-title":"BMC health services research","id":"ITEM-1","issue":"1","issued":{"date-parts":[["2013","1"]]},"page":"111","publisher":"BMC Health Services Research","title":"Using computer decision support systems in NHS emergency and urgent care: ethnographic study using normalisation process theory.","type":"article-journal","volume":"13"},"uris":["http://www.mendeley.com/documents/?uuid=0940b865-8216-40b2-8156-16c862a7d1ec"]}],"mendeley":{"formattedCitation":"[31]","plainTextFormattedCitation":"[31]","previouslyFormattedCitation":"[31]"},"properties":{"noteIndex":0},"schema":"https://github.com/citation-style-language/schema/raw/master/csl-citation.json"}</w:instrText>
      </w:r>
      <w:r>
        <w:rPr>
          <w:rFonts w:eastAsia="Times New Roman" w:cs="Times New Roman"/>
          <w:color w:val="111111"/>
          <w:lang w:val="en" w:eastAsia="en-GB"/>
        </w:rPr>
        <w:fldChar w:fldCharType="separate"/>
      </w:r>
      <w:r w:rsidR="00AC65F3" w:rsidRPr="00AC65F3">
        <w:rPr>
          <w:rFonts w:eastAsia="Times New Roman" w:cs="Times New Roman"/>
          <w:noProof/>
          <w:color w:val="111111"/>
          <w:lang w:val="en" w:eastAsia="en-GB"/>
        </w:rPr>
        <w:t>[31]</w:t>
      </w:r>
      <w:r>
        <w:rPr>
          <w:rFonts w:eastAsia="Times New Roman" w:cs="Times New Roman"/>
          <w:color w:val="111111"/>
          <w:lang w:val="en" w:eastAsia="en-GB"/>
        </w:rPr>
        <w:fldChar w:fldCharType="end"/>
      </w:r>
      <w:r>
        <w:rPr>
          <w:rFonts w:eastAsia="Times New Roman" w:cs="Times New Roman"/>
          <w:color w:val="111111"/>
          <w:lang w:val="en" w:eastAsia="en-GB"/>
        </w:rPr>
        <w:t>.</w:t>
      </w:r>
      <w:r w:rsidR="009A457B">
        <w:rPr>
          <w:rFonts w:eastAsia="Times New Roman" w:cs="Times New Roman"/>
          <w:color w:val="111111"/>
          <w:lang w:val="en" w:eastAsia="en-GB"/>
        </w:rPr>
        <w:t xml:space="preserve"> In both cases, findings from process evaluations commonly inform ongoing development of implementation strategies </w:t>
      </w:r>
      <w:r w:rsidR="009A457B">
        <w:rPr>
          <w:rFonts w:eastAsia="Times New Roman" w:cs="Times New Roman"/>
          <w:color w:val="111111"/>
          <w:lang w:val="en" w:eastAsia="en-GB"/>
        </w:rPr>
        <w:fldChar w:fldCharType="begin" w:fldLock="1"/>
      </w:r>
      <w:r w:rsidR="008F1402">
        <w:rPr>
          <w:rFonts w:eastAsia="Times New Roman" w:cs="Times New Roman"/>
          <w:color w:val="111111"/>
          <w:lang w:val="en" w:eastAsia="en-GB"/>
        </w:rPr>
        <w:instrText>ADDIN CSL_CITATION {"citationItems":[{"id":"ITEM-1","itemData":{"DOI":"10.1186/s13012-018-0758-1","ISSN":"1748-5908","abstract":"Normalization Process Theory (NPT) identifies, characterises and explains key mechanisms that promote and inhibit the implementation, embedding and integration of new health techniques, technologies and other complex interventions. A large body of literature that employs NPT to inform feasibility studies and process evaluations of complex healthcare interventions has now emerged. The aims of this review were to review this literature; to identify and characterise the uses and limits of NPT in research on the implementation and integration of healthcare interventions; and to explore NPT’s contribution to understanding the dynamics of these processes.","author":[{"dropping-particle":"","family":"May","given":"Carl R","non-dropping-particle":"","parse-names":false,"suffix":""},{"dropping-particle":"","family":"Cummings","given":"Amanda","non-dropping-particle":"","parse-names":false,"suffix":""},{"dropping-particle":"","family":"Girling","given":"Melissa","non-dropping-particle":"","parse-names":false,"suffix":""},{"dropping-particle":"","family":"Bracher","given":"Mike","non-dropping-particle":"","parse-names":false,"suffix":""},{"dropping-particle":"","family":"Mair","given":"Frances S","non-dropping-particle":"","parse-names":false,"suffix":""},{"dropping-particle":"","family":"May","given":"Christine M","non-dropping-particle":"","parse-names":false,"suffix":""},{"dropping-particle":"","family":"Murray","given":"Elizabeth","non-dropping-particle":"","parse-names":false,"suffix":""},{"dropping-particle":"","family":"Myall","given":"Michelle","non-dropping-particle":"","parse-names":false,"suffix":""},{"dropping-particle":"","family":"Rapley","given":"Tim","non-dropping-particle":"","parse-names":false,"suffix":""},{"dropping-particle":"","family":"Finch","given":"Tracy","non-dropping-particle":"","parse-names":false,"suffix":""}],"container-title":"Implementation Science","id":"ITEM-1","issue":"1","issued":{"date-parts":[["2018"]]},"page":"80","title":"Using Normalization Process Theory in feasibility studies and process evaluations of complex healthcare interventions: a systematic review","type":"article-journal","volume":"13"},"uris":["http://www.mendeley.com/documents/?uuid=0be008bc-1ada-4574-8694-13b45c4392b6"]}],"mendeley":{"formattedCitation":"[26]","plainTextFormattedCitation":"[26]","previouslyFormattedCitation":"[26]"},"properties":{"noteIndex":0},"schema":"https://github.com/citation-style-language/schema/raw/master/csl-citation.json"}</w:instrText>
      </w:r>
      <w:r w:rsidR="009A457B">
        <w:rPr>
          <w:rFonts w:eastAsia="Times New Roman" w:cs="Times New Roman"/>
          <w:color w:val="111111"/>
          <w:lang w:val="en" w:eastAsia="en-GB"/>
        </w:rPr>
        <w:fldChar w:fldCharType="separate"/>
      </w:r>
      <w:r w:rsidR="00AC65F3" w:rsidRPr="00AC65F3">
        <w:rPr>
          <w:rFonts w:eastAsia="Times New Roman" w:cs="Times New Roman"/>
          <w:noProof/>
          <w:color w:val="111111"/>
          <w:lang w:val="en" w:eastAsia="en-GB"/>
        </w:rPr>
        <w:t>[26]</w:t>
      </w:r>
      <w:r w:rsidR="009A457B">
        <w:rPr>
          <w:rFonts w:eastAsia="Times New Roman" w:cs="Times New Roman"/>
          <w:color w:val="111111"/>
          <w:lang w:val="en" w:eastAsia="en-GB"/>
        </w:rPr>
        <w:fldChar w:fldCharType="end"/>
      </w:r>
      <w:r w:rsidR="009A457B">
        <w:rPr>
          <w:rFonts w:eastAsia="Times New Roman" w:cs="Times New Roman"/>
          <w:color w:val="111111"/>
          <w:lang w:val="en" w:eastAsia="en-GB"/>
        </w:rPr>
        <w:t xml:space="preserve">. It is therefore necessary to define the relationship between these two kinds of work within the </w:t>
      </w:r>
      <w:r w:rsidR="008F1402">
        <w:rPr>
          <w:rFonts w:eastAsia="Times New Roman" w:cs="Times New Roman"/>
          <w:color w:val="111111"/>
          <w:lang w:val="en" w:eastAsia="en-GB"/>
        </w:rPr>
        <w:t>current project</w:t>
      </w:r>
      <w:r w:rsidR="009A457B">
        <w:rPr>
          <w:rFonts w:eastAsia="Times New Roman" w:cs="Times New Roman"/>
          <w:color w:val="111111"/>
          <w:lang w:val="en" w:eastAsia="en-GB"/>
        </w:rPr>
        <w:t xml:space="preserve">. </w:t>
      </w:r>
      <w:r w:rsidR="00E30A0A">
        <w:rPr>
          <w:rFonts w:eastAsia="Times New Roman" w:cs="Times New Roman"/>
          <w:color w:val="111111"/>
          <w:lang w:val="en" w:eastAsia="en-GB"/>
        </w:rPr>
        <w:t xml:space="preserve"> </w:t>
      </w:r>
      <w:r w:rsidR="009A457B">
        <w:rPr>
          <w:rFonts w:eastAsia="Times New Roman" w:cs="Times New Roman"/>
          <w:color w:val="111111"/>
          <w:lang w:val="en" w:eastAsia="en-GB"/>
        </w:rPr>
        <w:t>I</w:t>
      </w:r>
      <w:r w:rsidR="00D225C7">
        <w:rPr>
          <w:rFonts w:eastAsia="Times New Roman" w:cs="Times New Roman"/>
          <w:color w:val="111111"/>
          <w:lang w:val="en" w:eastAsia="en-GB"/>
        </w:rPr>
        <w:t>mplementation and embedding (‘normalization’)</w:t>
      </w:r>
      <w:r w:rsidR="00E30A0A">
        <w:rPr>
          <w:rFonts w:eastAsia="Times New Roman" w:cs="Times New Roman"/>
          <w:color w:val="111111"/>
          <w:lang w:val="en" w:eastAsia="en-GB"/>
        </w:rPr>
        <w:t xml:space="preserve"> of</w:t>
      </w:r>
      <w:r w:rsidR="00D225C7">
        <w:rPr>
          <w:rFonts w:eastAsia="Times New Roman" w:cs="Times New Roman"/>
          <w:color w:val="111111"/>
          <w:lang w:val="en" w:eastAsia="en-GB"/>
        </w:rPr>
        <w:t xml:space="preserve"> the new procedure</w:t>
      </w:r>
      <w:r w:rsidR="009A457B">
        <w:rPr>
          <w:rFonts w:eastAsia="Times New Roman" w:cs="Times New Roman"/>
          <w:color w:val="111111"/>
          <w:lang w:val="en" w:eastAsia="en-GB"/>
        </w:rPr>
        <w:t xml:space="preserve"> for screening and treatment of malnutrition was the focus of this process evaluation</w:t>
      </w:r>
      <w:r w:rsidR="00D225C7">
        <w:rPr>
          <w:rFonts w:eastAsia="Times New Roman" w:cs="Times New Roman"/>
          <w:color w:val="111111"/>
          <w:lang w:val="en" w:eastAsia="en-GB"/>
        </w:rPr>
        <w:t xml:space="preserve">. </w:t>
      </w:r>
      <w:r w:rsidR="00E30A0A">
        <w:rPr>
          <w:rFonts w:eastAsia="Times New Roman" w:cs="Times New Roman"/>
          <w:color w:val="111111"/>
          <w:lang w:val="en" w:eastAsia="en-GB"/>
        </w:rPr>
        <w:t>D</w:t>
      </w:r>
      <w:r w:rsidR="00DF3F7D">
        <w:rPr>
          <w:rFonts w:eastAsia="Times New Roman" w:cs="Times New Roman"/>
          <w:color w:val="111111"/>
          <w:lang w:val="en" w:eastAsia="en-GB"/>
        </w:rPr>
        <w:t>evelopment and implementation of the procedure was led by KS with input from AA and other colleagues</w:t>
      </w:r>
      <w:r w:rsidR="009A457B">
        <w:rPr>
          <w:rFonts w:eastAsia="Times New Roman" w:cs="Times New Roman"/>
          <w:color w:val="111111"/>
          <w:lang w:val="en" w:eastAsia="en-GB"/>
        </w:rPr>
        <w:t xml:space="preserve"> within the implementation site</w:t>
      </w:r>
      <w:r w:rsidR="00DF3F7D">
        <w:rPr>
          <w:rFonts w:eastAsia="Times New Roman" w:cs="Times New Roman"/>
          <w:color w:val="111111"/>
          <w:lang w:val="en" w:eastAsia="en-GB"/>
        </w:rPr>
        <w:t xml:space="preserve"> (see Additional File 1). Process evaluation </w:t>
      </w:r>
      <w:r w:rsidR="009A457B">
        <w:rPr>
          <w:rFonts w:eastAsia="Times New Roman" w:cs="Times New Roman"/>
          <w:color w:val="111111"/>
          <w:lang w:val="en" w:eastAsia="en-GB"/>
        </w:rPr>
        <w:t>work</w:t>
      </w:r>
      <w:r w:rsidR="00DF3F7D">
        <w:rPr>
          <w:rFonts w:eastAsia="Times New Roman" w:cs="Times New Roman"/>
          <w:color w:val="111111"/>
          <w:lang w:val="en" w:eastAsia="en-GB"/>
        </w:rPr>
        <w:t xml:space="preserve"> was </w:t>
      </w:r>
      <w:r w:rsidR="009A457B">
        <w:rPr>
          <w:rFonts w:eastAsia="Times New Roman" w:cs="Times New Roman"/>
          <w:color w:val="111111"/>
          <w:lang w:val="en" w:eastAsia="en-GB"/>
        </w:rPr>
        <w:t>undertaken primarily</w:t>
      </w:r>
      <w:r w:rsidR="00DF3F7D">
        <w:rPr>
          <w:rFonts w:eastAsia="Times New Roman" w:cs="Times New Roman"/>
          <w:color w:val="111111"/>
          <w:lang w:val="en" w:eastAsia="en-GB"/>
        </w:rPr>
        <w:t xml:space="preserve"> by MB, JS, KW and CRM, with input from KS and AA relating to recruitment strategy. Findings from the process evaluation were provided to the procedure development and implementation team following completion of T1 data collection</w:t>
      </w:r>
      <w:r w:rsidR="009A457B">
        <w:rPr>
          <w:rFonts w:eastAsia="Times New Roman" w:cs="Times New Roman"/>
          <w:color w:val="111111"/>
          <w:lang w:val="en" w:eastAsia="en-GB"/>
        </w:rPr>
        <w:t>,</w:t>
      </w:r>
      <w:r w:rsidR="00DF3F7D">
        <w:rPr>
          <w:rFonts w:eastAsia="Times New Roman" w:cs="Times New Roman"/>
          <w:color w:val="111111"/>
          <w:lang w:val="en" w:eastAsia="en-GB"/>
        </w:rPr>
        <w:t xml:space="preserve"> to inform ongoing </w:t>
      </w:r>
      <w:r w:rsidR="009A457B">
        <w:rPr>
          <w:rFonts w:eastAsia="Times New Roman" w:cs="Times New Roman"/>
          <w:color w:val="111111"/>
          <w:lang w:val="en" w:eastAsia="en-GB"/>
        </w:rPr>
        <w:t>development.</w:t>
      </w:r>
    </w:p>
    <w:p w14:paraId="3F0CB8B0" w14:textId="3391D3F6" w:rsidR="006F43EB" w:rsidRPr="00570AA3" w:rsidRDefault="006F43EB" w:rsidP="00570AA3">
      <w:pPr>
        <w:rPr>
          <w:rFonts w:ascii="Segoe UI" w:hAnsi="Segoe UI" w:cs="Segoe UI"/>
          <w:b/>
          <w:color w:val="212121"/>
          <w:lang w:eastAsia="en-GB"/>
        </w:rPr>
      </w:pPr>
      <w:bookmarkStart w:id="3" w:name="_Toc506539295"/>
      <w:r w:rsidRPr="00570AA3">
        <w:rPr>
          <w:b/>
          <w:lang w:eastAsia="en-GB"/>
        </w:rPr>
        <w:t>Aims and objectives</w:t>
      </w:r>
      <w:bookmarkEnd w:id="3"/>
      <w:r w:rsidRPr="00570AA3">
        <w:rPr>
          <w:b/>
          <w:lang w:eastAsia="en-GB"/>
        </w:rPr>
        <w:t>                                                                          </w:t>
      </w:r>
    </w:p>
    <w:p w14:paraId="027F6B58" w14:textId="29A1D657" w:rsidR="00314616" w:rsidRPr="008543DB" w:rsidRDefault="00B441F8" w:rsidP="006F43EB">
      <w:pPr>
        <w:jc w:val="both"/>
        <w:rPr>
          <w:rFonts w:cstheme="minorHAnsi"/>
        </w:rPr>
      </w:pPr>
      <w:r>
        <w:rPr>
          <w:rFonts w:cstheme="minorHAnsi"/>
        </w:rPr>
        <w:t xml:space="preserve">The process evaluation was entitled: </w:t>
      </w:r>
      <w:r>
        <w:rPr>
          <w:rFonts w:cstheme="minorHAnsi"/>
          <w:i/>
        </w:rPr>
        <w:t xml:space="preserve">Implementing Nutrition Screening in Community Care for Older People (INSCCOPe). </w:t>
      </w:r>
      <w:r w:rsidR="006F43EB" w:rsidRPr="00101BDD">
        <w:rPr>
          <w:rFonts w:cstheme="minorHAnsi"/>
        </w:rPr>
        <w:t>The</w:t>
      </w:r>
      <w:r w:rsidR="008B35C1">
        <w:rPr>
          <w:rFonts w:cstheme="minorHAnsi"/>
        </w:rPr>
        <w:t xml:space="preserve"> aim of the study </w:t>
      </w:r>
      <w:r w:rsidR="00470B90">
        <w:rPr>
          <w:rFonts w:cstheme="minorHAnsi"/>
        </w:rPr>
        <w:t>was (i) to undertake a process evaluation of implementation of the screening</w:t>
      </w:r>
      <w:r w:rsidR="006F43EB" w:rsidRPr="00101BDD">
        <w:rPr>
          <w:rFonts w:cstheme="minorHAnsi"/>
        </w:rPr>
        <w:t xml:space="preserve"> procedu</w:t>
      </w:r>
      <w:r w:rsidR="00B93248">
        <w:rPr>
          <w:rFonts w:cstheme="minorHAnsi"/>
        </w:rPr>
        <w:t>re and</w:t>
      </w:r>
      <w:r w:rsidR="00470B90">
        <w:rPr>
          <w:rFonts w:cstheme="minorHAnsi"/>
        </w:rPr>
        <w:t xml:space="preserve"> its</w:t>
      </w:r>
      <w:r w:rsidR="003A1520">
        <w:rPr>
          <w:rFonts w:cstheme="minorHAnsi"/>
        </w:rPr>
        <w:t xml:space="preserve"> associated</w:t>
      </w:r>
      <w:r w:rsidR="00B93248">
        <w:rPr>
          <w:rFonts w:cstheme="minorHAnsi"/>
        </w:rPr>
        <w:t xml:space="preserve"> training</w:t>
      </w:r>
      <w:r w:rsidR="000641E2">
        <w:rPr>
          <w:rFonts w:cstheme="minorHAnsi"/>
        </w:rPr>
        <w:t>,</w:t>
      </w:r>
      <w:r w:rsidR="00B93248">
        <w:rPr>
          <w:rFonts w:cstheme="minorHAnsi"/>
        </w:rPr>
        <w:t xml:space="preserve"> and</w:t>
      </w:r>
      <w:r w:rsidR="00470B90">
        <w:rPr>
          <w:rFonts w:cstheme="minorHAnsi"/>
        </w:rPr>
        <w:t xml:space="preserve"> (ii)</w:t>
      </w:r>
      <w:r w:rsidR="00B93248">
        <w:rPr>
          <w:rFonts w:cstheme="minorHAnsi"/>
        </w:rPr>
        <w:t xml:space="preserve"> </w:t>
      </w:r>
      <w:r w:rsidR="006F43EB" w:rsidRPr="00101BDD">
        <w:rPr>
          <w:rFonts w:cstheme="minorHAnsi"/>
        </w:rPr>
        <w:t xml:space="preserve">identify </w:t>
      </w:r>
      <w:r w:rsidR="00470B90">
        <w:rPr>
          <w:rFonts w:cstheme="minorHAnsi"/>
        </w:rPr>
        <w:t xml:space="preserve">factors </w:t>
      </w:r>
      <w:r w:rsidR="008F1402">
        <w:rPr>
          <w:rFonts w:cstheme="minorHAnsi"/>
        </w:rPr>
        <w:t>promoting or inhibiting</w:t>
      </w:r>
      <w:r w:rsidR="006F43EB" w:rsidRPr="00101BDD">
        <w:rPr>
          <w:rFonts w:cstheme="minorHAnsi"/>
        </w:rPr>
        <w:t xml:space="preserve"> embedding of </w:t>
      </w:r>
      <w:r w:rsidR="00470B90">
        <w:rPr>
          <w:rFonts w:cstheme="minorHAnsi"/>
        </w:rPr>
        <w:t>nutritional screening</w:t>
      </w:r>
      <w:r w:rsidR="006F43EB" w:rsidRPr="00101BDD">
        <w:rPr>
          <w:rFonts w:cstheme="minorHAnsi"/>
        </w:rPr>
        <w:t xml:space="preserve"> </w:t>
      </w:r>
      <w:r w:rsidR="008F1402">
        <w:rPr>
          <w:rFonts w:cstheme="minorHAnsi"/>
        </w:rPr>
        <w:t>in routine care</w:t>
      </w:r>
      <w:r w:rsidR="006F43EB" w:rsidRPr="00101BDD">
        <w:rPr>
          <w:rFonts w:cstheme="minorHAnsi"/>
        </w:rPr>
        <w:t>.</w:t>
      </w:r>
      <w:r w:rsidR="007F3C50">
        <w:rPr>
          <w:rFonts w:cstheme="minorHAnsi"/>
        </w:rPr>
        <w:t xml:space="preserve"> Outcomes relating to clinical effectiveness of the new procedure were </w:t>
      </w:r>
      <w:r w:rsidR="00155F8F">
        <w:rPr>
          <w:rFonts w:cstheme="minorHAnsi"/>
        </w:rPr>
        <w:t>assessed</w:t>
      </w:r>
      <w:r w:rsidR="007F3C50">
        <w:rPr>
          <w:rFonts w:cstheme="minorHAnsi"/>
        </w:rPr>
        <w:t xml:space="preserve"> by the </w:t>
      </w:r>
      <w:r w:rsidR="00DA7BD2">
        <w:rPr>
          <w:rFonts w:cstheme="minorHAnsi"/>
        </w:rPr>
        <w:t>procedure development and implementation</w:t>
      </w:r>
      <w:r w:rsidR="007F3C50">
        <w:rPr>
          <w:rFonts w:cstheme="minorHAnsi"/>
        </w:rPr>
        <w:t xml:space="preserve"> team and will be reported separately</w:t>
      </w:r>
      <w:r w:rsidR="00DA7BD2">
        <w:rPr>
          <w:rFonts w:cstheme="minorHAnsi"/>
        </w:rPr>
        <w:t>. Outcomes relating to processes affecting implementation and embedding are the focus of this process evaluation, and methods for investigation are now described.</w:t>
      </w:r>
    </w:p>
    <w:p w14:paraId="23CECD69" w14:textId="1DB2AE14" w:rsidR="006F43EB" w:rsidRPr="00570AA3" w:rsidRDefault="006F43EB" w:rsidP="00570AA3">
      <w:pPr>
        <w:rPr>
          <w:rFonts w:ascii="Segoe UI" w:hAnsi="Segoe UI" w:cs="Segoe UI"/>
          <w:b/>
          <w:color w:val="212121"/>
          <w:lang w:eastAsia="en-GB"/>
        </w:rPr>
      </w:pPr>
      <w:bookmarkStart w:id="4" w:name="_Toc506539296"/>
      <w:r w:rsidRPr="00570AA3">
        <w:rPr>
          <w:b/>
          <w:lang w:eastAsia="en-GB"/>
        </w:rPr>
        <w:lastRenderedPageBreak/>
        <w:t>Methods</w:t>
      </w:r>
      <w:bookmarkEnd w:id="4"/>
      <w:r w:rsidRPr="00570AA3">
        <w:rPr>
          <w:b/>
          <w:lang w:eastAsia="en-GB"/>
        </w:rPr>
        <w:t xml:space="preserve">                                                                                        </w:t>
      </w:r>
    </w:p>
    <w:p w14:paraId="70174EF7" w14:textId="77777777" w:rsidR="006F43EB" w:rsidRPr="00570AA3" w:rsidRDefault="006F43EB" w:rsidP="00570AA3">
      <w:pPr>
        <w:rPr>
          <w:u w:val="single"/>
        </w:rPr>
      </w:pPr>
      <w:bookmarkStart w:id="5" w:name="_Toc506539297"/>
      <w:r w:rsidRPr="00570AA3">
        <w:rPr>
          <w:u w:val="single"/>
        </w:rPr>
        <w:t>Exclusion and inclusion criteria</w:t>
      </w:r>
      <w:bookmarkEnd w:id="5"/>
    </w:p>
    <w:p w14:paraId="493D5DE7" w14:textId="2DA3E4A8" w:rsidR="006F43EB" w:rsidRDefault="00B93248" w:rsidP="006F43EB">
      <w:pPr>
        <w:jc w:val="both"/>
      </w:pPr>
      <w:r>
        <w:t>Eligible staff were</w:t>
      </w:r>
      <w:r w:rsidR="008F1402">
        <w:t>:</w:t>
      </w:r>
      <w:r w:rsidR="00B7743C">
        <w:t xml:space="preserve"> community-based </w:t>
      </w:r>
      <w:r w:rsidR="00612E6E">
        <w:t>(</w:t>
      </w:r>
      <w:r w:rsidR="00DD6BCB">
        <w:t>e.g. N</w:t>
      </w:r>
      <w:r w:rsidR="00DD6BCB" w:rsidRPr="00DD6BCB">
        <w:t xml:space="preserve">urses, Occupational Therapists, Healthcare Support Workers, Physiotherapists, </w:t>
      </w:r>
      <w:r w:rsidR="00DD6BCB">
        <w:t xml:space="preserve">and </w:t>
      </w:r>
      <w:r w:rsidR="00DD6BCB" w:rsidRPr="00DD6BCB">
        <w:t>Associate Practitioners</w:t>
      </w:r>
      <w:r w:rsidR="00DD6BCB">
        <w:t xml:space="preserve"> in </w:t>
      </w:r>
      <w:r w:rsidR="00612E6E">
        <w:t>phys</w:t>
      </w:r>
      <w:r>
        <w:t>ical or mental healthcare)</w:t>
      </w:r>
      <w:r w:rsidR="008F1402">
        <w:t>;</w:t>
      </w:r>
      <w:r w:rsidR="00612E6E">
        <w:t xml:space="preserve"> </w:t>
      </w:r>
      <w:r w:rsidR="006F43EB" w:rsidRPr="00447DF0">
        <w:t>involved in screening and/or treatment activity relating to malnutrition</w:t>
      </w:r>
      <w:r w:rsidR="008F1402">
        <w:t xml:space="preserve">; and </w:t>
      </w:r>
      <w:r w:rsidR="006F43EB" w:rsidRPr="00447DF0">
        <w:t>expected to be in post for the duration of the study (12 months) either full or part</w:t>
      </w:r>
      <w:r w:rsidR="008F1402">
        <w:t>-</w:t>
      </w:r>
      <w:r w:rsidR="006F43EB" w:rsidRPr="00447DF0">
        <w:t>time</w:t>
      </w:r>
      <w:r>
        <w:t>. Those</w:t>
      </w:r>
      <w:r w:rsidR="006F43EB">
        <w:t xml:space="preserve"> </w:t>
      </w:r>
      <w:r w:rsidR="006F43EB" w:rsidRPr="00447DF0">
        <w:t>not involv</w:t>
      </w:r>
      <w:r w:rsidR="006F43EB">
        <w:t>ed in</w:t>
      </w:r>
      <w:r w:rsidR="006F43EB" w:rsidRPr="00447DF0">
        <w:t xml:space="preserve"> nutrition screening and treatment activity (e.g. team administrators, other support staff)</w:t>
      </w:r>
      <w:r>
        <w:t xml:space="preserve">, </w:t>
      </w:r>
      <w:r w:rsidR="00241923">
        <w:t xml:space="preserve">and </w:t>
      </w:r>
      <w:r w:rsidR="006F43EB">
        <w:t>staff not expecting to be in post for the duration of the study</w:t>
      </w:r>
      <w:r>
        <w:t xml:space="preserve"> were ineligible</w:t>
      </w:r>
      <w:r w:rsidR="006F43EB">
        <w:t>.</w:t>
      </w:r>
      <w:r>
        <w:t xml:space="preserve"> The research team sought to recruit the maximum number of willing participants of all roles and grades, due </w:t>
      </w:r>
      <w:r w:rsidR="008F1402">
        <w:t>to</w:t>
      </w:r>
      <w:r>
        <w:t xml:space="preserve"> lack of available demographic data to support</w:t>
      </w:r>
      <w:r w:rsidR="00310172">
        <w:t xml:space="preserve"> a quota sample</w:t>
      </w:r>
      <w:r>
        <w:t>.</w:t>
      </w:r>
    </w:p>
    <w:p w14:paraId="3B4A88BB" w14:textId="77777777" w:rsidR="006F43EB" w:rsidRPr="00570AA3" w:rsidRDefault="006F43EB" w:rsidP="00570AA3">
      <w:pPr>
        <w:rPr>
          <w:u w:val="single"/>
        </w:rPr>
      </w:pPr>
      <w:bookmarkStart w:id="6" w:name="_Toc506539298"/>
      <w:r w:rsidRPr="00570AA3">
        <w:rPr>
          <w:u w:val="single"/>
        </w:rPr>
        <w:t>Recruitment</w:t>
      </w:r>
      <w:bookmarkEnd w:id="6"/>
    </w:p>
    <w:p w14:paraId="356C5004" w14:textId="462F6D28" w:rsidR="006F43EB" w:rsidRDefault="006F43EB" w:rsidP="006F43EB">
      <w:pPr>
        <w:jc w:val="both"/>
      </w:pPr>
      <w:r w:rsidRPr="00FD75C9">
        <w:t>Prior to</w:t>
      </w:r>
      <w:r>
        <w:t xml:space="preserve"> in-person invitation </w:t>
      </w:r>
      <w:r w:rsidRPr="00FD75C9">
        <w:t xml:space="preserve">by </w:t>
      </w:r>
      <w:r>
        <w:t>the</w:t>
      </w:r>
      <w:r w:rsidRPr="00FD75C9">
        <w:t xml:space="preserve"> researcher</w:t>
      </w:r>
      <w:r>
        <w:t xml:space="preserve"> (MB)</w:t>
      </w:r>
      <w:r w:rsidRPr="00FD75C9">
        <w:t>, potent</w:t>
      </w:r>
      <w:r>
        <w:t>ial participants</w:t>
      </w:r>
      <w:r w:rsidR="00B5094A">
        <w:t xml:space="preserve"> (n=89)</w:t>
      </w:r>
      <w:r>
        <w:t xml:space="preserve"> were sent a P</w:t>
      </w:r>
      <w:r w:rsidRPr="00FD75C9">
        <w:t>art</w:t>
      </w:r>
      <w:r>
        <w:t>icipant Information S</w:t>
      </w:r>
      <w:r w:rsidR="005B0FF1">
        <w:t>heet</w:t>
      </w:r>
      <w:r w:rsidRPr="00FD75C9">
        <w:t xml:space="preserve"> with </w:t>
      </w:r>
      <w:r w:rsidR="005B0FF1">
        <w:t>contact details for the research team,</w:t>
      </w:r>
      <w:r w:rsidRPr="00FD75C9">
        <w:t xml:space="preserve"> circulated</w:t>
      </w:r>
      <w:r w:rsidR="005B0FF1">
        <w:t xml:space="preserve"> by team leads who received it via email. </w:t>
      </w:r>
      <w:r w:rsidRPr="00FD75C9">
        <w:t xml:space="preserve"> Potential participants w</w:t>
      </w:r>
      <w:r>
        <w:t>ere</w:t>
      </w:r>
      <w:r w:rsidR="00612E6E">
        <w:t xml:space="preserve"> then approached at team</w:t>
      </w:r>
      <w:r w:rsidRPr="00FD75C9">
        <w:t xml:space="preserve"> meeting</w:t>
      </w:r>
      <w:r w:rsidR="008F1402">
        <w:t>s</w:t>
      </w:r>
      <w:r w:rsidRPr="00FD75C9">
        <w:t xml:space="preserve"> b</w:t>
      </w:r>
      <w:r>
        <w:t xml:space="preserve">y </w:t>
      </w:r>
      <w:r w:rsidR="004E7BF2">
        <w:t>the</w:t>
      </w:r>
      <w:r>
        <w:t xml:space="preserve"> </w:t>
      </w:r>
      <w:r w:rsidR="00612E6E">
        <w:t>researcher (MB)</w:t>
      </w:r>
      <w:r>
        <w:t>, at a time agreed with the team lead</w:t>
      </w:r>
      <w:r w:rsidR="005B0FF1">
        <w:t>, where the study was introduced and participant</w:t>
      </w:r>
      <w:r w:rsidR="000641E2">
        <w:t>s’</w:t>
      </w:r>
      <w:r w:rsidR="005B0FF1">
        <w:t xml:space="preserve"> questions answered</w:t>
      </w:r>
      <w:r>
        <w:t>.  Participants were informed of their</w:t>
      </w:r>
      <w:r w:rsidR="005B0FF1">
        <w:t xml:space="preserve"> right to withdraw at any stage</w:t>
      </w:r>
      <w:r>
        <w:t xml:space="preserve"> without nega</w:t>
      </w:r>
      <w:r w:rsidR="001B4E60">
        <w:t>tive consequences</w:t>
      </w:r>
      <w:r>
        <w:t xml:space="preserve">, </w:t>
      </w:r>
      <w:r w:rsidR="005B0FF1">
        <w:t>and without giving a reason. Participants then</w:t>
      </w:r>
      <w:r>
        <w:t xml:space="preserve"> completed an agreement form</w:t>
      </w:r>
      <w:r w:rsidR="0097439E">
        <w:t xml:space="preserve"> (indicating consent to use of survey and interview audio data by the study team)</w:t>
      </w:r>
      <w:r>
        <w:t>, a participant data form, and the T0 NoMad instrument</w:t>
      </w:r>
      <w:r w:rsidR="002C41F8">
        <w:t xml:space="preserve"> (paper</w:t>
      </w:r>
      <w:r w:rsidR="008F1402">
        <w:t>-</w:t>
      </w:r>
      <w:r w:rsidR="002C41F8">
        <w:t>based)</w:t>
      </w:r>
      <w:r w:rsidR="0097439E">
        <w:t>.</w:t>
      </w:r>
    </w:p>
    <w:p w14:paraId="1FB7FE0B" w14:textId="3BDB120C" w:rsidR="007673F5" w:rsidRDefault="007673F5" w:rsidP="006F43EB">
      <w:pPr>
        <w:jc w:val="both"/>
      </w:pPr>
    </w:p>
    <w:p w14:paraId="5E501AD8" w14:textId="77777777" w:rsidR="007673F5" w:rsidRDefault="007673F5" w:rsidP="006F43EB">
      <w:pPr>
        <w:jc w:val="both"/>
      </w:pPr>
    </w:p>
    <w:p w14:paraId="17467A61" w14:textId="77777777" w:rsidR="006F43EB" w:rsidRPr="00570AA3" w:rsidRDefault="006F43EB" w:rsidP="00570AA3">
      <w:pPr>
        <w:rPr>
          <w:u w:val="single"/>
        </w:rPr>
      </w:pPr>
      <w:bookmarkStart w:id="7" w:name="_Toc506539299"/>
      <w:r w:rsidRPr="00570AA3">
        <w:rPr>
          <w:u w:val="single"/>
        </w:rPr>
        <w:t>Study procedures</w:t>
      </w:r>
      <w:bookmarkEnd w:id="7"/>
    </w:p>
    <w:p w14:paraId="5459C8C5" w14:textId="471103B5" w:rsidR="006F43EB" w:rsidRDefault="006F43EB" w:rsidP="006F43EB">
      <w:pPr>
        <w:jc w:val="both"/>
      </w:pPr>
      <w:r>
        <w:t xml:space="preserve">At T0, </w:t>
      </w:r>
      <w:r w:rsidR="00705ED9">
        <w:t xml:space="preserve">NoMad </w:t>
      </w:r>
      <w:r>
        <w:t xml:space="preserve">questionnaires were completed at point of recruitment. At </w:t>
      </w:r>
      <w:r w:rsidR="00612E6E">
        <w:t xml:space="preserve">T1, questionnaires were </w:t>
      </w:r>
      <w:r>
        <w:t xml:space="preserve">circulated via team leads.  Data collection for phase one occurred </w:t>
      </w:r>
      <w:r w:rsidR="00FC3FF0">
        <w:t xml:space="preserve">at </w:t>
      </w:r>
      <w:r>
        <w:t xml:space="preserve">baseline (T0 – pre-implementation of procedure and training), and approximately 2-3 months following completion of training (T1). </w:t>
      </w:r>
      <w:r w:rsidR="00FC3FF0">
        <w:t xml:space="preserve">Each point involved </w:t>
      </w:r>
      <w:r>
        <w:t>completion of a 23-item questionnaire</w:t>
      </w:r>
      <w:r w:rsidR="001B4E60">
        <w:t xml:space="preserve"> </w:t>
      </w:r>
      <w:r>
        <w:t>adapted from the NoMad instrument (a measure of normalization bas</w:t>
      </w:r>
      <w:r w:rsidR="00D317D1">
        <w:t>ed on the NPT framework, see Table</w:t>
      </w:r>
      <w:r>
        <w:t xml:space="preserve"> 1) </w:t>
      </w:r>
      <w:r>
        <w:fldChar w:fldCharType="begin" w:fldLock="1"/>
      </w:r>
      <w:r w:rsidR="008F1402">
        <w:instrText>ADDIN CSL_CITATION {"citationItems":[{"id":"ITEM-1","itemData":{"DOI":"10.1186/1748-5908-8-43","ISBN":"1748-5908","ISSN":"1748-5908","PMID":"23578304","abstract":"BACKGROUND: Understanding implementation processes is key to ensuring that complex interventions in healthcare are taken up in practice and thus maximize intended benefits for service provision and (ultimately) care to patients. Normalization Process Theory (NPT) provides a framework for understanding how a new intervention becomes part of normal practice. This study aims to develop and validate simple generic tools derived from NPT, to be used to improve the implementation of complex healthcare interventions. OBJECTIVES: The objectives of this study are to: develop a set of NPT-based measures and formatively evaluate their use for identifying implementation problems and monitoring progress; conduct preliminary evaluation of these measures across a range of interventions and contexts, and identify factors that affect this process; explore the utility of these measures for predicting outcomes; and develop an online users' manual for the measures. METHODS: A combination of qualitative (workshops, item development, user feedback, cognitive interviews) and quantitative (survey) methods will be used to develop NPT measures, and test the utility of the measures in six healthcare intervention settings. DISCUSSION: The measures developed in the study will be available for use by those involved in planning, implementing, and evaluating complex interventions in healthcare and have the potential to enhance the chances of their implementation, leading to sustained changes in working practices.","author":[{"dropping-particle":"","family":"Finch","given":"T","non-dropping-particle":"","parse-names":false,"suffix":""},{"dropping-particle":"","family":"Rapley","given":"Tim","non-dropping-particle":"","parse-names":false,"suffix":""},{"dropping-particle":"","family":"Girling","given":"Melissa","non-dropping-particle":"","parse-names":false,"suffix":""},{"dropping-particle":"","family":"Mair","given":"F","non-dropping-particle":"","parse-names":false,"suffix":""},{"dropping-particle":"","family":"Murray","given":"E","non-dropping-particle":"","parse-names":false,"suffix":""},{"dropping-particle":"","family":"Treweek","given":"Shaun","non-dropping-particle":"","parse-names":false,"suffix":""},{"dropping-particle":"","family":"McColl","given":"Elaine","non-dropping-particle":"","parse-names":false,"suffix":""},{"dropping-particle":"","family":"Steen","given":"Ian Nicholas","non-dropping-particle":"","parse-names":false,"suffix":""},{"dropping-particle":"","family":"May","given":"C","non-dropping-particle":"","parse-names":false,"suffix":""}],"container-title":"Implementation science : IS","id":"ITEM-1","issued":{"date-parts":[["2013"]]},"page":"43","title":"Improving the normalization of complex interventions: measure development based on normalization process theory (NoMAD): study protocol.","type":"article-journal","volume":"8"},"uris":["http://www.mendeley.com/documents/?uuid=bb39efe8-8e63-4443-a659-c9d1de91edf7"]},{"id":"ITEM-2","itemData":{"DOI":"10.1186/s12874-018-0591-x","ISBN":"1287401805","ISSN":"1471-2288","abstract":"Understanding and measuring implementation processes is a key challenge for implementation researchers. This study draws on Normalization Process Theory (NPT) to develop an instrument that can be applied to assess, monitor or measure factors likely to affect normalization from the perspective of implementation participants. An iterative process of instrument development was undertaken using the following methods: theoretical elaboration, item generation and item reduction (team workshops); item appraisal (QAS-99); cognitive testing with complex intervention teams; theory re-validation with NPT experts; and pilot testing of instrument. We initially generated 112 potential questionnaire items; these were then reduced to 47 through team workshops and item appraisal. No concerns about item wording and construction were raised through the item appraisal process. We undertook three rounds of cognitive interviews with professionals (n = 30) involved in the development, evaluation, delivery or reception of complex interventions. We identified minor issues around wording of some items; universal issues around how to engage with people at different time points in an intervention; and conceptual issues around the types of people for whom the instrument should be designed. We managed these by adding extra items (n = 6) and including a new set of option responses: ‘not relevant at this stage’, ‘not relevant to my role’ and ‘not relevant to this intervention’ and decided to design an instrument explicitly for those people either delivering or receiving an intervention. This version of the instrument had 53 items. Twenty-three people with a good working knowledge of NPT reviewed the items for theoretical drift. Items that displayed a poor alignment with NPT sub-constructs were removed (n = 8) and others revised or combined (n = 6). The final instrument, with 43 items, was successfully piloted with five people, with a 100% completion rate of items. The process of moving through cycles of theoretical translation, item generation, cognitive testing, and theoretical (re)validation was essential for maintaining a balance between the theoretical integrity of the NPT concepts and the ease with which intended respondents could answer the questions. The final instrument could be easily understood and completed, while retaining theoretical validity. NoMAD represents a measure that can be used to understand implementation participants’ experiences. It is intended as a measure th…","author":[{"dropping-particle":"","family":"Finch","given":"Tracy L.","non-dropping-particle":"","parse-names":false,"suffix":""},{"dropping-particle":"","family":"Girling","given":"Melissa","non-dropping-particle":"","parse-names":false,"suffix":""},{"dropping-particle":"","family":"May","given":"Carl R.","non-dropping-particle":"","parse-names":false,"suffix":""},{"dropping-particle":"","family":"Mair","given":"Frances S.","non-dropping-particle":"","parse-names":false,"suffix":""},{"dropping-particle":"","family":"Murray","given":"Elizabeth","non-dropping-particle":"","parse-names":false,"suffix":""},{"dropping-particle":"","family":"Treweek","given":"Shaun","non-dropping-particle":"","parse-names":false,"suffix":""},{"dropping-particle":"","family":"McColl","given":"Elaine","non-dropping-particle":"","parse-names":false,"suffix":""},{"dropping-particle":"","family":"Steen","given":"Ian Nicholas","non-dropping-particle":"","parse-names":false,"suffix":""},{"dropping-particle":"","family":"Cook","given":"Clare","non-dropping-particle":"","parse-names":false,"suffix":""},{"dropping-particle":"","family":"Vernazza","given":"Christopher R.","non-dropping-particle":"","parse-names":false,"suffix":""},{"dropping-particle":"","family":"Mackintosh","given":"Nicola","non-dropping-particle":"","parse-names":false,"suffix":""},{"dropping-particle":"","family":"Sharma","given":"Samridh","non-dropping-particle":"","parse-names":false,"suffix":""},{"dropping-particle":"","family":"Barbery","given":"Gaery","non-dropping-particle":"","parse-names":false,"suffix":""},{"dropping-particle":"","family":"Steele","given":"Jimmy","non-dropping-particle":"","parse-names":false,"suffix":""},{"dropping-particle":"","family":"Rapley","given":"Tim","non-dropping-particle":"","parse-names":false,"suffix":""}],"container-title":"BMC Medical Research Methodology","id":"ITEM-2","issue":"1","issued":{"date-parts":[["2018","12","15"]]},"page":"135","publisher":"BMC Medical Research Methodology","title":"Improving the normalization of complex interventions: part 2 - validation of the NoMAD instrument for assessing implementation work based on normalization process theory (NPT)","type":"article-journal","volume":"18"},"uris":["http://www.mendeley.com/documents/?uuid=ac1e6587-6b79-4fb2-a0a0-b8d4f00890ed"]}],"mendeley":{"formattedCitation":"[28,32]","plainTextFormattedCitation":"[28,32]","previouslyFormattedCitation":"[28,32]"},"properties":{"noteIndex":0},"schema":"https://github.com/citation-style-language/schema/raw/master/csl-citation.json"}</w:instrText>
      </w:r>
      <w:r>
        <w:fldChar w:fldCharType="separate"/>
      </w:r>
      <w:r w:rsidR="00AC65F3" w:rsidRPr="00AC65F3">
        <w:rPr>
          <w:noProof/>
        </w:rPr>
        <w:t>[28,32]</w:t>
      </w:r>
      <w:r>
        <w:fldChar w:fldCharType="end"/>
      </w:r>
      <w:r>
        <w:t xml:space="preserve">, and a follow-up semi-structured telephone interview (completed by a sub-sample of participants). Rationale for the </w:t>
      </w:r>
      <w:r>
        <w:lastRenderedPageBreak/>
        <w:t xml:space="preserve">methods and study design are now described </w:t>
      </w:r>
      <w:r w:rsidR="00612E6E">
        <w:t>in accordance with</w:t>
      </w:r>
      <w:r>
        <w:t xml:space="preserve"> Good Reporting of a Mixed Methods Study (GRAMMS) criteria </w:t>
      </w:r>
      <w:r>
        <w:fldChar w:fldCharType="begin" w:fldLock="1"/>
      </w:r>
      <w:r w:rsidR="008F1402">
        <w:instrText>ADDIN CSL_CITATION {"citationItems":[{"id":"ITEM-1","itemData":{"DOI":"10.1258/jhsrp.2007.007074","ISBN":"1355-8196 (Print)","ISSN":"1355-8196","PMID":"18416914","abstract":"OBJECTIVES: To assess the quality of mixed methods studies in health services research (HSR). METHODS: We identified 118 mixed methods studies funded by the Department of Health in England between 1994 and 2004, and obtained proposals and/or final reports for 75. We applied a set of quality questions to both the proposal and report of each study, addressing the success of the study, the mixed methods design, the individual qualitative and quantitative components, the integration between methods and the inferences drawn from completed studies. RESULTS: Most studies were completed successfully. Researchers mainly ignored the mixed methods design and described only the separate components of a study. There was a lack of justification for, and transparency of, the mixed methods design in both proposals and reports, and this had implications for making judgements about the quality of individual components in the context of the design used. There was also a lack of transparency of the individual methods in terms of clear exposition of data collection and analysis, and this was more a problem for the qualitative than the quantitative component: 42% (19/45) versus 18% (8/45) of proposals (p = 0.011). Judgements about integration could rarely be made due to the absence of an attempt at integration of data and findings from different components within a study. CONCLUSIONS: The HSR community could improve mixed methods studies by giving more consideration to describing and justifying the design, being transparent about the qualitative component, and attempting to integrate data and findings from the individual components.","author":[{"dropping-particle":"","family":"O'Cathain","given":"Alicia","non-dropping-particle":"","parse-names":false,"suffix":""},{"dropping-particle":"","family":"Murphy","given":"Elizabeth","non-dropping-particle":"","parse-names":false,"suffix":""},{"dropping-particle":"","family":"Nicholl","given":"Jon","non-dropping-particle":"","parse-names":false,"suffix":""}],"container-title":"Journal of Health Services Research &amp; Policy","id":"ITEM-1","issue":"2","issued":{"date-parts":[["2008"]]},"page":"92-98","title":"The quality of mixed methods studies in health services research","type":"article-journal","volume":"13"},"uris":["http://www.mendeley.com/documents/?uuid=87672a3a-e805-4ed8-946b-ce5e76547035"]}],"mendeley":{"formattedCitation":"[33]","plainTextFormattedCitation":"[33]","previouslyFormattedCitation":"[33]"},"properties":{"noteIndex":0},"schema":"https://github.com/citation-style-language/schema/raw/master/csl-citation.json"}</w:instrText>
      </w:r>
      <w:r>
        <w:fldChar w:fldCharType="separate"/>
      </w:r>
      <w:r w:rsidR="00AC65F3" w:rsidRPr="00AC65F3">
        <w:rPr>
          <w:noProof/>
        </w:rPr>
        <w:t>[33]</w:t>
      </w:r>
      <w:r>
        <w:fldChar w:fldCharType="end"/>
      </w:r>
      <w:r w:rsidR="008F1402">
        <w:t xml:space="preserve"> (see</w:t>
      </w:r>
      <w:r>
        <w:t xml:space="preserve"> Figure 1</w:t>
      </w:r>
      <w:r w:rsidR="008F1402">
        <w:t>)</w:t>
      </w:r>
      <w:r>
        <w:t>.</w:t>
      </w:r>
    </w:p>
    <w:p w14:paraId="13781BF0" w14:textId="2AB1F979" w:rsidR="006F43EB" w:rsidRDefault="00D317D1" w:rsidP="006F43EB">
      <w:pPr>
        <w:keepNext/>
        <w:jc w:val="both"/>
      </w:pPr>
      <w:r>
        <w:t>[INSERT FIGURE 1]</w:t>
      </w:r>
    </w:p>
    <w:p w14:paraId="2BB138FC" w14:textId="77777777" w:rsidR="004C7D4F" w:rsidRPr="00570AA3" w:rsidRDefault="004C7D4F" w:rsidP="004C7D4F">
      <w:pPr>
        <w:rPr>
          <w:u w:val="single"/>
        </w:rPr>
      </w:pPr>
      <w:r w:rsidRPr="00570AA3">
        <w:rPr>
          <w:u w:val="single"/>
        </w:rPr>
        <w:t>NoMad questionnaire</w:t>
      </w:r>
    </w:p>
    <w:p w14:paraId="2FED2078" w14:textId="0C4BEA8D" w:rsidR="004C7D4F" w:rsidRDefault="007A5A92" w:rsidP="006F43EB">
      <w:pPr>
        <w:jc w:val="both"/>
      </w:pPr>
      <w:r>
        <w:t xml:space="preserve">NoMad provides a measure of </w:t>
      </w:r>
      <w:r w:rsidR="008F1402">
        <w:t>NPT construct</w:t>
      </w:r>
      <w:r>
        <w:t xml:space="preserve"> in terms of their constituent components</w:t>
      </w:r>
      <w:r w:rsidR="00DA7BD2">
        <w:t xml:space="preserve">, indicating degree of success in relation to specific aspects of implementation (see table 1). This facilitates comparison across time points and between sub-groups and provides a basis for exploring experiences of respondents in more detail through telephone interviews (described </w:t>
      </w:r>
      <w:r w:rsidR="008F1402">
        <w:t>below</w:t>
      </w:r>
      <w:r w:rsidR="00DA7BD2">
        <w:t>).</w:t>
      </w:r>
      <w:r w:rsidR="007F3C50">
        <w:t xml:space="preserve"> </w:t>
      </w:r>
      <w:r w:rsidR="00026F3E">
        <w:t xml:space="preserve"> </w:t>
      </w:r>
      <w:r w:rsidR="004C7D4F">
        <w:t>Each participant was given an envelope containing a questionnaire, which was completed and sealed before returning to the team lead (return envelopes did not contain identifiable information). At T0, participants completed and returned these directly to the researcher (MB). At T1, participants were informed by email/text message that questionnaires were available for completion; two weeks thereafter a reminder email/text message was sent, and completed questionnaires were then collected by a researcher (MB) after a further week (three-week interval accommodated staff annual leave).</w:t>
      </w:r>
    </w:p>
    <w:tbl>
      <w:tblPr>
        <w:tblStyle w:val="TableGrid"/>
        <w:tblW w:w="10343" w:type="dxa"/>
        <w:tblLook w:val="04A0" w:firstRow="1" w:lastRow="0" w:firstColumn="1" w:lastColumn="0" w:noHBand="0" w:noVBand="1"/>
      </w:tblPr>
      <w:tblGrid>
        <w:gridCol w:w="1413"/>
        <w:gridCol w:w="3402"/>
        <w:gridCol w:w="1417"/>
        <w:gridCol w:w="4111"/>
      </w:tblGrid>
      <w:tr w:rsidR="00B16FC3" w:rsidRPr="00BC6302" w14:paraId="2EAFE80F" w14:textId="77777777" w:rsidTr="000F4EA3">
        <w:tc>
          <w:tcPr>
            <w:tcW w:w="1413" w:type="dxa"/>
          </w:tcPr>
          <w:p w14:paraId="611AB741" w14:textId="051C447D" w:rsidR="00B16FC3" w:rsidRPr="00BC6302" w:rsidRDefault="00B16FC3" w:rsidP="00CE60AA">
            <w:pPr>
              <w:pStyle w:val="Default"/>
              <w:jc w:val="center"/>
              <w:rPr>
                <w:b/>
                <w:bCs/>
                <w:sz w:val="18"/>
                <w:szCs w:val="18"/>
              </w:rPr>
            </w:pPr>
            <w:r>
              <w:rPr>
                <w:b/>
                <w:bCs/>
                <w:sz w:val="18"/>
                <w:szCs w:val="18"/>
              </w:rPr>
              <w:t>NPT Construct</w:t>
            </w:r>
          </w:p>
        </w:tc>
        <w:tc>
          <w:tcPr>
            <w:tcW w:w="3402" w:type="dxa"/>
          </w:tcPr>
          <w:p w14:paraId="58F529AE" w14:textId="7BAB8079" w:rsidR="00B16FC3" w:rsidRPr="00BC6302" w:rsidRDefault="00B16FC3" w:rsidP="00CE60AA">
            <w:pPr>
              <w:pStyle w:val="Default"/>
              <w:jc w:val="center"/>
              <w:rPr>
                <w:b/>
                <w:bCs/>
                <w:sz w:val="18"/>
                <w:szCs w:val="18"/>
              </w:rPr>
            </w:pPr>
            <w:r>
              <w:rPr>
                <w:b/>
                <w:bCs/>
                <w:sz w:val="18"/>
                <w:szCs w:val="18"/>
              </w:rPr>
              <w:t>Question</w:t>
            </w:r>
            <w:r w:rsidR="007A5A92">
              <w:rPr>
                <w:b/>
                <w:bCs/>
                <w:sz w:val="18"/>
                <w:szCs w:val="18"/>
              </w:rPr>
              <w:t xml:space="preserve"> </w:t>
            </w:r>
            <w:r w:rsidR="007A5A92" w:rsidRPr="000F4EA3">
              <w:rPr>
                <w:b/>
                <w:bCs/>
                <w:i/>
                <w:sz w:val="18"/>
                <w:szCs w:val="18"/>
              </w:rPr>
              <w:t>(NPT component)</w:t>
            </w:r>
          </w:p>
        </w:tc>
        <w:tc>
          <w:tcPr>
            <w:tcW w:w="1417" w:type="dxa"/>
          </w:tcPr>
          <w:p w14:paraId="2710CF2F" w14:textId="40B5DA39" w:rsidR="00B16FC3" w:rsidRPr="00BC6302" w:rsidRDefault="00B16FC3" w:rsidP="00CE60AA">
            <w:pPr>
              <w:pStyle w:val="Default"/>
              <w:jc w:val="center"/>
              <w:rPr>
                <w:b/>
                <w:bCs/>
                <w:sz w:val="18"/>
                <w:szCs w:val="18"/>
              </w:rPr>
            </w:pPr>
            <w:r>
              <w:rPr>
                <w:b/>
                <w:bCs/>
                <w:sz w:val="18"/>
                <w:szCs w:val="18"/>
              </w:rPr>
              <w:t>NPT Construct</w:t>
            </w:r>
          </w:p>
        </w:tc>
        <w:tc>
          <w:tcPr>
            <w:tcW w:w="4111" w:type="dxa"/>
          </w:tcPr>
          <w:p w14:paraId="504CD5B9" w14:textId="3898B55A" w:rsidR="00B16FC3" w:rsidRPr="00BC6302" w:rsidRDefault="004C7D4F" w:rsidP="00CE60AA">
            <w:pPr>
              <w:pStyle w:val="Default"/>
              <w:jc w:val="center"/>
              <w:rPr>
                <w:b/>
                <w:bCs/>
                <w:sz w:val="18"/>
                <w:szCs w:val="18"/>
              </w:rPr>
            </w:pPr>
            <w:r>
              <w:rPr>
                <w:b/>
                <w:bCs/>
                <w:sz w:val="18"/>
                <w:szCs w:val="18"/>
              </w:rPr>
              <w:t>Question</w:t>
            </w:r>
            <w:r w:rsidR="007A5A92">
              <w:rPr>
                <w:b/>
                <w:bCs/>
                <w:sz w:val="18"/>
                <w:szCs w:val="18"/>
              </w:rPr>
              <w:t xml:space="preserve"> </w:t>
            </w:r>
            <w:r w:rsidR="007A5A92" w:rsidRPr="000F4EA3">
              <w:rPr>
                <w:b/>
                <w:bCs/>
                <w:i/>
                <w:sz w:val="18"/>
                <w:szCs w:val="18"/>
              </w:rPr>
              <w:t>(NPT component)</w:t>
            </w:r>
          </w:p>
        </w:tc>
      </w:tr>
      <w:tr w:rsidR="004C7D4F" w:rsidRPr="00BC6302" w14:paraId="012D0A7A" w14:textId="77777777" w:rsidTr="000F4EA3">
        <w:trPr>
          <w:trHeight w:val="639"/>
        </w:trPr>
        <w:tc>
          <w:tcPr>
            <w:tcW w:w="1413" w:type="dxa"/>
            <w:vMerge w:val="restart"/>
            <w:vAlign w:val="center"/>
          </w:tcPr>
          <w:p w14:paraId="11CA7A12" w14:textId="64EB3977" w:rsidR="004C7D4F" w:rsidRPr="00BC6302" w:rsidRDefault="004C7D4F" w:rsidP="00B16FC3">
            <w:pPr>
              <w:pStyle w:val="Default"/>
              <w:jc w:val="center"/>
              <w:rPr>
                <w:b/>
                <w:bCs/>
                <w:sz w:val="18"/>
                <w:szCs w:val="18"/>
              </w:rPr>
            </w:pPr>
            <w:r>
              <w:rPr>
                <w:b/>
                <w:bCs/>
                <w:sz w:val="18"/>
                <w:szCs w:val="18"/>
              </w:rPr>
              <w:t xml:space="preserve">(questions </w:t>
            </w:r>
            <w:r w:rsidR="005053F9">
              <w:rPr>
                <w:b/>
                <w:bCs/>
                <w:sz w:val="18"/>
                <w:szCs w:val="18"/>
              </w:rPr>
              <w:t xml:space="preserve">not </w:t>
            </w:r>
            <w:r>
              <w:rPr>
                <w:b/>
                <w:bCs/>
                <w:sz w:val="18"/>
                <w:szCs w:val="18"/>
              </w:rPr>
              <w:t>linked to specific constructs)</w:t>
            </w:r>
          </w:p>
        </w:tc>
        <w:tc>
          <w:tcPr>
            <w:tcW w:w="3402" w:type="dxa"/>
          </w:tcPr>
          <w:p w14:paraId="64B5386D" w14:textId="6AFD9286" w:rsidR="004C7D4F" w:rsidRPr="000F4EA3" w:rsidRDefault="004C7D4F" w:rsidP="000F4EA3">
            <w:pPr>
              <w:pStyle w:val="Default"/>
              <w:jc w:val="center"/>
            </w:pPr>
            <w:r w:rsidRPr="00BC6302">
              <w:rPr>
                <w:b/>
                <w:bCs/>
                <w:sz w:val="18"/>
                <w:szCs w:val="18"/>
              </w:rPr>
              <w:t>Q1— When you screen and treat patients for malnutrition, how familiar does it feel?</w:t>
            </w:r>
            <w:r w:rsidR="007A5A92">
              <w:rPr>
                <w:b/>
                <w:bCs/>
                <w:sz w:val="18"/>
                <w:szCs w:val="18"/>
              </w:rPr>
              <w:t xml:space="preserve"> </w:t>
            </w:r>
          </w:p>
        </w:tc>
        <w:tc>
          <w:tcPr>
            <w:tcW w:w="1417" w:type="dxa"/>
            <w:vMerge w:val="restart"/>
            <w:vAlign w:val="center"/>
          </w:tcPr>
          <w:p w14:paraId="037543A1" w14:textId="77777777" w:rsidR="004C7D4F" w:rsidRDefault="004C7D4F" w:rsidP="004C7D4F">
            <w:pPr>
              <w:pStyle w:val="Default"/>
              <w:jc w:val="center"/>
              <w:rPr>
                <w:b/>
                <w:bCs/>
                <w:sz w:val="18"/>
                <w:szCs w:val="18"/>
              </w:rPr>
            </w:pPr>
            <w:r>
              <w:rPr>
                <w:b/>
                <w:bCs/>
                <w:sz w:val="18"/>
                <w:szCs w:val="18"/>
              </w:rPr>
              <w:t>Collective action</w:t>
            </w:r>
          </w:p>
          <w:p w14:paraId="678FC87C" w14:textId="3267EECC" w:rsidR="004C7D4F" w:rsidRPr="000F4EA3" w:rsidRDefault="004C7D4F" w:rsidP="004C7D4F">
            <w:pPr>
              <w:pStyle w:val="Default"/>
              <w:jc w:val="center"/>
              <w:rPr>
                <w:bCs/>
                <w:sz w:val="18"/>
                <w:szCs w:val="18"/>
              </w:rPr>
            </w:pPr>
            <w:r w:rsidRPr="000F4EA3">
              <w:rPr>
                <w:bCs/>
                <w:sz w:val="18"/>
                <w:szCs w:val="18"/>
              </w:rPr>
              <w:t>‘The operational work that people do to enact a set of practices, whether these represent a new technology or complex healthcare intervention.’</w:t>
            </w:r>
          </w:p>
        </w:tc>
        <w:tc>
          <w:tcPr>
            <w:tcW w:w="4111" w:type="dxa"/>
          </w:tcPr>
          <w:p w14:paraId="6D23092B" w14:textId="4EC8F551" w:rsidR="004C7D4F" w:rsidRDefault="004C7D4F" w:rsidP="004C7D4F">
            <w:pPr>
              <w:pStyle w:val="Default"/>
              <w:jc w:val="center"/>
              <w:rPr>
                <w:b/>
                <w:bCs/>
                <w:sz w:val="18"/>
                <w:szCs w:val="18"/>
              </w:rPr>
            </w:pPr>
            <w:r w:rsidRPr="00BC6302">
              <w:rPr>
                <w:b/>
                <w:bCs/>
                <w:sz w:val="18"/>
                <w:szCs w:val="18"/>
              </w:rPr>
              <w:t xml:space="preserve">Q12—I can easily integrate screening and treatment for malnutrition into my existing work. </w:t>
            </w:r>
          </w:p>
          <w:p w14:paraId="0E7804E6" w14:textId="0C537168" w:rsidR="00026F3E" w:rsidRPr="000F4EA3" w:rsidRDefault="00026F3E" w:rsidP="004C7D4F">
            <w:pPr>
              <w:pStyle w:val="Default"/>
              <w:jc w:val="center"/>
              <w:rPr>
                <w:i/>
                <w:sz w:val="18"/>
                <w:szCs w:val="18"/>
              </w:rPr>
            </w:pPr>
            <w:r>
              <w:rPr>
                <w:i/>
                <w:sz w:val="18"/>
                <w:szCs w:val="18"/>
              </w:rPr>
              <w:t>(Interactional workability)</w:t>
            </w:r>
          </w:p>
          <w:p w14:paraId="6FB15594" w14:textId="77777777" w:rsidR="004C7D4F" w:rsidRPr="00BC6302" w:rsidRDefault="004C7D4F" w:rsidP="00CE60AA">
            <w:pPr>
              <w:rPr>
                <w:sz w:val="18"/>
                <w:szCs w:val="18"/>
              </w:rPr>
            </w:pPr>
          </w:p>
        </w:tc>
      </w:tr>
      <w:tr w:rsidR="004C7D4F" w:rsidRPr="00BC6302" w14:paraId="265F62DB" w14:textId="77777777" w:rsidTr="000F4EA3">
        <w:tc>
          <w:tcPr>
            <w:tcW w:w="1413" w:type="dxa"/>
            <w:vMerge/>
          </w:tcPr>
          <w:p w14:paraId="3173B309" w14:textId="77777777" w:rsidR="004C7D4F" w:rsidRPr="00BC6302" w:rsidRDefault="004C7D4F" w:rsidP="004C7D4F">
            <w:pPr>
              <w:pStyle w:val="Default"/>
              <w:jc w:val="center"/>
              <w:rPr>
                <w:b/>
                <w:bCs/>
                <w:sz w:val="18"/>
                <w:szCs w:val="18"/>
              </w:rPr>
            </w:pPr>
          </w:p>
        </w:tc>
        <w:tc>
          <w:tcPr>
            <w:tcW w:w="3402" w:type="dxa"/>
          </w:tcPr>
          <w:p w14:paraId="37F7999A" w14:textId="1FB9AECD" w:rsidR="004C7D4F" w:rsidRPr="00BC6302" w:rsidRDefault="004C7D4F" w:rsidP="004C7D4F">
            <w:pPr>
              <w:pStyle w:val="Default"/>
              <w:jc w:val="center"/>
              <w:rPr>
                <w:sz w:val="18"/>
                <w:szCs w:val="18"/>
              </w:rPr>
            </w:pPr>
            <w:r w:rsidRPr="00BC6302">
              <w:rPr>
                <w:b/>
                <w:bCs/>
                <w:sz w:val="18"/>
                <w:szCs w:val="18"/>
              </w:rPr>
              <w:t xml:space="preserve">Q2— Do you feel that screening and treatment for malnutrition is currently a normal part of your work? </w:t>
            </w:r>
          </w:p>
          <w:p w14:paraId="30CC7407" w14:textId="77777777" w:rsidR="004C7D4F" w:rsidRPr="00BC6302" w:rsidRDefault="004C7D4F" w:rsidP="004C7D4F">
            <w:pPr>
              <w:jc w:val="center"/>
              <w:rPr>
                <w:sz w:val="18"/>
                <w:szCs w:val="18"/>
              </w:rPr>
            </w:pPr>
          </w:p>
        </w:tc>
        <w:tc>
          <w:tcPr>
            <w:tcW w:w="1417" w:type="dxa"/>
            <w:vMerge/>
          </w:tcPr>
          <w:p w14:paraId="519BD00E" w14:textId="77777777" w:rsidR="004C7D4F" w:rsidRPr="00BC6302" w:rsidRDefault="004C7D4F" w:rsidP="004C7D4F">
            <w:pPr>
              <w:pStyle w:val="Default"/>
              <w:jc w:val="center"/>
              <w:rPr>
                <w:b/>
                <w:bCs/>
                <w:sz w:val="18"/>
                <w:szCs w:val="18"/>
              </w:rPr>
            </w:pPr>
          </w:p>
        </w:tc>
        <w:tc>
          <w:tcPr>
            <w:tcW w:w="4111" w:type="dxa"/>
          </w:tcPr>
          <w:p w14:paraId="4D532B94" w14:textId="77777777" w:rsidR="004C7D4F" w:rsidRPr="00BC6302" w:rsidRDefault="004C7D4F" w:rsidP="004C7D4F">
            <w:pPr>
              <w:pStyle w:val="Default"/>
              <w:jc w:val="center"/>
              <w:rPr>
                <w:sz w:val="18"/>
                <w:szCs w:val="18"/>
              </w:rPr>
            </w:pPr>
            <w:r w:rsidRPr="00BC6302">
              <w:rPr>
                <w:b/>
                <w:bCs/>
                <w:sz w:val="18"/>
                <w:szCs w:val="18"/>
              </w:rPr>
              <w:t xml:space="preserve">Q13—Screening and treatment for malnutrition disrupts working relationships. </w:t>
            </w:r>
          </w:p>
          <w:p w14:paraId="4974F171" w14:textId="5A00B45E" w:rsidR="004C7D4F" w:rsidRPr="00BC6302" w:rsidRDefault="00026F3E" w:rsidP="004C7D4F">
            <w:pPr>
              <w:jc w:val="center"/>
              <w:rPr>
                <w:sz w:val="18"/>
                <w:szCs w:val="18"/>
              </w:rPr>
            </w:pPr>
            <w:r w:rsidRPr="000F4EA3">
              <w:rPr>
                <w:bCs/>
                <w:i/>
                <w:sz w:val="18"/>
                <w:szCs w:val="18"/>
              </w:rPr>
              <w:t xml:space="preserve">(Relational </w:t>
            </w:r>
            <w:r>
              <w:rPr>
                <w:bCs/>
                <w:i/>
                <w:sz w:val="18"/>
                <w:szCs w:val="18"/>
              </w:rPr>
              <w:t>i</w:t>
            </w:r>
            <w:r w:rsidRPr="000F4EA3">
              <w:rPr>
                <w:bCs/>
                <w:i/>
                <w:sz w:val="18"/>
                <w:szCs w:val="18"/>
              </w:rPr>
              <w:t>ntegration)</w:t>
            </w:r>
          </w:p>
        </w:tc>
      </w:tr>
      <w:tr w:rsidR="004C7D4F" w:rsidRPr="00BC6302" w14:paraId="18C51FE6" w14:textId="77777777" w:rsidTr="000F4EA3">
        <w:tc>
          <w:tcPr>
            <w:tcW w:w="1413" w:type="dxa"/>
            <w:vMerge/>
          </w:tcPr>
          <w:p w14:paraId="52326ABD" w14:textId="77777777" w:rsidR="004C7D4F" w:rsidRPr="00BC6302" w:rsidRDefault="004C7D4F" w:rsidP="004C7D4F">
            <w:pPr>
              <w:pStyle w:val="Default"/>
              <w:jc w:val="center"/>
              <w:rPr>
                <w:b/>
                <w:bCs/>
                <w:sz w:val="18"/>
                <w:szCs w:val="18"/>
              </w:rPr>
            </w:pPr>
          </w:p>
        </w:tc>
        <w:tc>
          <w:tcPr>
            <w:tcW w:w="3402" w:type="dxa"/>
          </w:tcPr>
          <w:p w14:paraId="34602721" w14:textId="3EA81B77" w:rsidR="004C7D4F" w:rsidRPr="00BC6302" w:rsidRDefault="004C7D4F" w:rsidP="004C7D4F">
            <w:pPr>
              <w:pStyle w:val="Default"/>
              <w:jc w:val="center"/>
              <w:rPr>
                <w:sz w:val="18"/>
                <w:szCs w:val="18"/>
              </w:rPr>
            </w:pPr>
            <w:r w:rsidRPr="00BC6302">
              <w:rPr>
                <w:b/>
                <w:bCs/>
                <w:sz w:val="18"/>
                <w:szCs w:val="18"/>
              </w:rPr>
              <w:t xml:space="preserve">Q3— Do you feel that screening and treatment for malnutrition will become a normal part of your work? </w:t>
            </w:r>
          </w:p>
          <w:p w14:paraId="67C9DFF9" w14:textId="77777777" w:rsidR="004C7D4F" w:rsidRPr="00BC6302" w:rsidRDefault="004C7D4F" w:rsidP="004C7D4F">
            <w:pPr>
              <w:jc w:val="center"/>
              <w:rPr>
                <w:sz w:val="18"/>
                <w:szCs w:val="18"/>
              </w:rPr>
            </w:pPr>
          </w:p>
        </w:tc>
        <w:tc>
          <w:tcPr>
            <w:tcW w:w="1417" w:type="dxa"/>
            <w:vMerge/>
          </w:tcPr>
          <w:p w14:paraId="738A6E9A" w14:textId="77777777" w:rsidR="004C7D4F" w:rsidRPr="00BC6302" w:rsidRDefault="004C7D4F" w:rsidP="004C7D4F">
            <w:pPr>
              <w:pStyle w:val="Default"/>
              <w:jc w:val="center"/>
              <w:rPr>
                <w:b/>
                <w:bCs/>
                <w:sz w:val="18"/>
                <w:szCs w:val="18"/>
              </w:rPr>
            </w:pPr>
          </w:p>
        </w:tc>
        <w:tc>
          <w:tcPr>
            <w:tcW w:w="4111" w:type="dxa"/>
          </w:tcPr>
          <w:p w14:paraId="0ABB99B8" w14:textId="77777777" w:rsidR="004C7D4F" w:rsidRPr="00BC6302" w:rsidRDefault="004C7D4F" w:rsidP="004C7D4F">
            <w:pPr>
              <w:pStyle w:val="Default"/>
              <w:jc w:val="center"/>
              <w:rPr>
                <w:sz w:val="18"/>
                <w:szCs w:val="18"/>
              </w:rPr>
            </w:pPr>
            <w:r w:rsidRPr="00BC6302">
              <w:rPr>
                <w:b/>
                <w:bCs/>
                <w:sz w:val="18"/>
                <w:szCs w:val="18"/>
              </w:rPr>
              <w:t xml:space="preserve">Q14—I have confidence in other people’s ability to screen and pro-vide treatment for malnutrition. </w:t>
            </w:r>
          </w:p>
          <w:p w14:paraId="58E9B4AC" w14:textId="702E93D6" w:rsidR="004C7D4F" w:rsidRPr="00BC6302" w:rsidRDefault="00026F3E" w:rsidP="004C7D4F">
            <w:pPr>
              <w:jc w:val="center"/>
              <w:rPr>
                <w:sz w:val="18"/>
                <w:szCs w:val="18"/>
              </w:rPr>
            </w:pPr>
            <w:r w:rsidRPr="000F4EA3">
              <w:rPr>
                <w:bCs/>
                <w:i/>
                <w:sz w:val="18"/>
                <w:szCs w:val="18"/>
              </w:rPr>
              <w:t xml:space="preserve">(Relational </w:t>
            </w:r>
            <w:r>
              <w:rPr>
                <w:bCs/>
                <w:i/>
                <w:sz w:val="18"/>
                <w:szCs w:val="18"/>
              </w:rPr>
              <w:t>i</w:t>
            </w:r>
            <w:r w:rsidRPr="000F4EA3">
              <w:rPr>
                <w:bCs/>
                <w:i/>
                <w:sz w:val="18"/>
                <w:szCs w:val="18"/>
              </w:rPr>
              <w:t>ntegration)</w:t>
            </w:r>
          </w:p>
        </w:tc>
      </w:tr>
      <w:tr w:rsidR="004C7D4F" w:rsidRPr="00BC6302" w14:paraId="20FFD341" w14:textId="77777777" w:rsidTr="000F4EA3">
        <w:tc>
          <w:tcPr>
            <w:tcW w:w="1413" w:type="dxa"/>
            <w:vMerge w:val="restart"/>
            <w:vAlign w:val="center"/>
          </w:tcPr>
          <w:p w14:paraId="4B90321D" w14:textId="77777777" w:rsidR="004C7D4F" w:rsidRPr="004C7D4F" w:rsidRDefault="004C7D4F" w:rsidP="004C7D4F">
            <w:pPr>
              <w:jc w:val="center"/>
              <w:rPr>
                <w:b/>
                <w:sz w:val="18"/>
                <w:szCs w:val="18"/>
              </w:rPr>
            </w:pPr>
            <w:r w:rsidRPr="004C7D4F">
              <w:rPr>
                <w:b/>
                <w:sz w:val="18"/>
                <w:szCs w:val="18"/>
              </w:rPr>
              <w:t xml:space="preserve">Coherence </w:t>
            </w:r>
          </w:p>
          <w:p w14:paraId="6D041B37" w14:textId="5F8CCF57" w:rsidR="004C7D4F" w:rsidRPr="000F4EA3" w:rsidRDefault="004C7D4F" w:rsidP="004C7D4F">
            <w:pPr>
              <w:jc w:val="center"/>
              <w:rPr>
                <w:sz w:val="18"/>
                <w:szCs w:val="18"/>
              </w:rPr>
            </w:pPr>
            <w:r w:rsidRPr="000F4EA3">
              <w:rPr>
                <w:i/>
                <w:sz w:val="18"/>
                <w:szCs w:val="18"/>
              </w:rPr>
              <w:t>‘The sense-making work that people do individually and collectively when they are faced with the problem of operationalizing some set of practices’</w:t>
            </w:r>
            <w:r w:rsidRPr="000F4EA3">
              <w:rPr>
                <w:sz w:val="18"/>
                <w:szCs w:val="18"/>
              </w:rPr>
              <w:t>.</w:t>
            </w:r>
          </w:p>
        </w:tc>
        <w:tc>
          <w:tcPr>
            <w:tcW w:w="3402" w:type="dxa"/>
          </w:tcPr>
          <w:p w14:paraId="27BA8BFB" w14:textId="77777777" w:rsidR="004C7D4F" w:rsidRDefault="004C7D4F" w:rsidP="004C7D4F">
            <w:pPr>
              <w:jc w:val="center"/>
              <w:rPr>
                <w:b/>
                <w:sz w:val="18"/>
                <w:szCs w:val="18"/>
              </w:rPr>
            </w:pPr>
            <w:r w:rsidRPr="00BC6302">
              <w:rPr>
                <w:b/>
                <w:sz w:val="18"/>
                <w:szCs w:val="18"/>
              </w:rPr>
              <w:t>Q4—I can see how the new procedure for screening and treatment of malnutrition differs from usual ways of working.</w:t>
            </w:r>
          </w:p>
          <w:p w14:paraId="5D65863B" w14:textId="17E12457" w:rsidR="00026F3E" w:rsidRPr="00BC6302" w:rsidRDefault="00026F3E" w:rsidP="004C7D4F">
            <w:pPr>
              <w:jc w:val="center"/>
              <w:rPr>
                <w:b/>
                <w:sz w:val="18"/>
                <w:szCs w:val="18"/>
              </w:rPr>
            </w:pPr>
            <w:r>
              <w:rPr>
                <w:i/>
                <w:sz w:val="18"/>
                <w:szCs w:val="18"/>
              </w:rPr>
              <w:t>(Differentiation)</w:t>
            </w:r>
          </w:p>
        </w:tc>
        <w:tc>
          <w:tcPr>
            <w:tcW w:w="1417" w:type="dxa"/>
            <w:vMerge/>
          </w:tcPr>
          <w:p w14:paraId="4F2BC434" w14:textId="77777777" w:rsidR="004C7D4F" w:rsidRPr="00BC6302" w:rsidRDefault="004C7D4F" w:rsidP="004C7D4F">
            <w:pPr>
              <w:pStyle w:val="Default"/>
              <w:jc w:val="center"/>
              <w:rPr>
                <w:b/>
                <w:bCs/>
                <w:sz w:val="18"/>
                <w:szCs w:val="18"/>
              </w:rPr>
            </w:pPr>
          </w:p>
        </w:tc>
        <w:tc>
          <w:tcPr>
            <w:tcW w:w="4111" w:type="dxa"/>
          </w:tcPr>
          <w:p w14:paraId="5A04F039" w14:textId="77777777" w:rsidR="004C7D4F" w:rsidRPr="00BC6302" w:rsidRDefault="004C7D4F" w:rsidP="004C7D4F">
            <w:pPr>
              <w:pStyle w:val="Default"/>
              <w:jc w:val="center"/>
              <w:rPr>
                <w:sz w:val="18"/>
                <w:szCs w:val="18"/>
              </w:rPr>
            </w:pPr>
            <w:r w:rsidRPr="00BC6302">
              <w:rPr>
                <w:b/>
                <w:bCs/>
                <w:sz w:val="18"/>
                <w:szCs w:val="18"/>
              </w:rPr>
              <w:t xml:space="preserve">Q15—Work is assigned to those with skills appropriate to screening and treatment for malnutrition. </w:t>
            </w:r>
          </w:p>
          <w:p w14:paraId="6F8373D6" w14:textId="4DB33EBB" w:rsidR="004C7D4F" w:rsidRPr="000F4EA3" w:rsidRDefault="00026F3E" w:rsidP="004C7D4F">
            <w:pPr>
              <w:jc w:val="center"/>
              <w:rPr>
                <w:i/>
                <w:sz w:val="18"/>
                <w:szCs w:val="18"/>
              </w:rPr>
            </w:pPr>
            <w:r w:rsidRPr="000F4EA3">
              <w:rPr>
                <w:bCs/>
                <w:i/>
                <w:sz w:val="18"/>
                <w:szCs w:val="18"/>
              </w:rPr>
              <w:t>(Skill set workability)</w:t>
            </w:r>
          </w:p>
        </w:tc>
      </w:tr>
      <w:tr w:rsidR="004C7D4F" w:rsidRPr="00BC6302" w14:paraId="3C4D5F78" w14:textId="77777777" w:rsidTr="000F4EA3">
        <w:tc>
          <w:tcPr>
            <w:tcW w:w="1413" w:type="dxa"/>
            <w:vMerge/>
          </w:tcPr>
          <w:p w14:paraId="59704C23" w14:textId="77777777" w:rsidR="004C7D4F" w:rsidRPr="00BC6302" w:rsidRDefault="004C7D4F" w:rsidP="004C7D4F">
            <w:pPr>
              <w:pStyle w:val="Default"/>
              <w:jc w:val="center"/>
              <w:rPr>
                <w:b/>
                <w:bCs/>
                <w:sz w:val="18"/>
                <w:szCs w:val="18"/>
              </w:rPr>
            </w:pPr>
          </w:p>
        </w:tc>
        <w:tc>
          <w:tcPr>
            <w:tcW w:w="3402" w:type="dxa"/>
          </w:tcPr>
          <w:p w14:paraId="1158177E" w14:textId="18EDA303" w:rsidR="004C7D4F" w:rsidRDefault="004C7D4F" w:rsidP="004C7D4F">
            <w:pPr>
              <w:pStyle w:val="Default"/>
              <w:jc w:val="center"/>
              <w:rPr>
                <w:b/>
                <w:bCs/>
                <w:sz w:val="18"/>
                <w:szCs w:val="18"/>
              </w:rPr>
            </w:pPr>
            <w:r w:rsidRPr="00BC6302">
              <w:rPr>
                <w:b/>
                <w:bCs/>
                <w:sz w:val="18"/>
                <w:szCs w:val="18"/>
              </w:rPr>
              <w:t xml:space="preserve">Q5—Staff in this organisation have a shared understanding of the purpose of new procedure for screening and treatment of malnutrition. </w:t>
            </w:r>
          </w:p>
          <w:p w14:paraId="7B89FD0F" w14:textId="707A732F" w:rsidR="004C7D4F" w:rsidRPr="00BC6302" w:rsidRDefault="00026F3E" w:rsidP="000F4EA3">
            <w:pPr>
              <w:pStyle w:val="Default"/>
              <w:jc w:val="center"/>
              <w:rPr>
                <w:sz w:val="18"/>
                <w:szCs w:val="18"/>
              </w:rPr>
            </w:pPr>
            <w:r>
              <w:rPr>
                <w:i/>
                <w:sz w:val="18"/>
                <w:szCs w:val="18"/>
              </w:rPr>
              <w:t>(</w:t>
            </w:r>
            <w:r w:rsidRPr="00026F3E">
              <w:rPr>
                <w:i/>
                <w:sz w:val="18"/>
                <w:szCs w:val="18"/>
              </w:rPr>
              <w:t>Communal specification</w:t>
            </w:r>
            <w:r>
              <w:rPr>
                <w:i/>
                <w:sz w:val="18"/>
                <w:szCs w:val="18"/>
              </w:rPr>
              <w:t>)</w:t>
            </w:r>
          </w:p>
        </w:tc>
        <w:tc>
          <w:tcPr>
            <w:tcW w:w="1417" w:type="dxa"/>
            <w:vMerge/>
          </w:tcPr>
          <w:p w14:paraId="380B645B" w14:textId="77777777" w:rsidR="004C7D4F" w:rsidRPr="00BC6302" w:rsidRDefault="004C7D4F" w:rsidP="004C7D4F">
            <w:pPr>
              <w:pStyle w:val="Default"/>
              <w:jc w:val="center"/>
              <w:rPr>
                <w:b/>
                <w:bCs/>
                <w:sz w:val="18"/>
                <w:szCs w:val="18"/>
              </w:rPr>
            </w:pPr>
          </w:p>
        </w:tc>
        <w:tc>
          <w:tcPr>
            <w:tcW w:w="4111" w:type="dxa"/>
          </w:tcPr>
          <w:p w14:paraId="0A80A662" w14:textId="77777777" w:rsidR="004C7D4F" w:rsidRPr="00BC6302" w:rsidRDefault="004C7D4F" w:rsidP="004C7D4F">
            <w:pPr>
              <w:pStyle w:val="Default"/>
              <w:jc w:val="center"/>
              <w:rPr>
                <w:sz w:val="18"/>
                <w:szCs w:val="18"/>
              </w:rPr>
            </w:pPr>
            <w:r w:rsidRPr="00BC6302">
              <w:rPr>
                <w:b/>
                <w:bCs/>
                <w:sz w:val="18"/>
                <w:szCs w:val="18"/>
              </w:rPr>
              <w:t xml:space="preserve">Q16—Sufficient training is provided to enable staff to implement screening and treatment for mal-nutrition. </w:t>
            </w:r>
          </w:p>
          <w:p w14:paraId="544A2A80" w14:textId="6B07ADD6" w:rsidR="004C7D4F" w:rsidRPr="00BC6302" w:rsidRDefault="00026F3E" w:rsidP="004C7D4F">
            <w:pPr>
              <w:jc w:val="center"/>
              <w:rPr>
                <w:sz w:val="18"/>
                <w:szCs w:val="18"/>
              </w:rPr>
            </w:pPr>
            <w:r w:rsidRPr="00AA4C71">
              <w:rPr>
                <w:bCs/>
                <w:i/>
                <w:sz w:val="18"/>
                <w:szCs w:val="18"/>
              </w:rPr>
              <w:t>(Skill set workability)</w:t>
            </w:r>
          </w:p>
        </w:tc>
      </w:tr>
      <w:tr w:rsidR="004C7D4F" w:rsidRPr="00BC6302" w14:paraId="408FC90E" w14:textId="77777777" w:rsidTr="000F4EA3">
        <w:tc>
          <w:tcPr>
            <w:tcW w:w="1413" w:type="dxa"/>
            <w:vMerge/>
          </w:tcPr>
          <w:p w14:paraId="77330A3E" w14:textId="77777777" w:rsidR="004C7D4F" w:rsidRPr="00BC6302" w:rsidRDefault="004C7D4F" w:rsidP="004C7D4F">
            <w:pPr>
              <w:pStyle w:val="Default"/>
              <w:jc w:val="center"/>
              <w:rPr>
                <w:b/>
                <w:bCs/>
                <w:sz w:val="18"/>
                <w:szCs w:val="18"/>
              </w:rPr>
            </w:pPr>
          </w:p>
        </w:tc>
        <w:tc>
          <w:tcPr>
            <w:tcW w:w="3402" w:type="dxa"/>
          </w:tcPr>
          <w:p w14:paraId="7F5458CE" w14:textId="20A4DCA3" w:rsidR="004C7D4F" w:rsidRDefault="004C7D4F" w:rsidP="004C7D4F">
            <w:pPr>
              <w:pStyle w:val="Default"/>
              <w:jc w:val="center"/>
              <w:rPr>
                <w:b/>
                <w:bCs/>
                <w:sz w:val="18"/>
                <w:szCs w:val="18"/>
              </w:rPr>
            </w:pPr>
            <w:r w:rsidRPr="00BC6302">
              <w:rPr>
                <w:b/>
                <w:bCs/>
                <w:sz w:val="18"/>
                <w:szCs w:val="18"/>
              </w:rPr>
              <w:t>Q6—I understand how new procedure for screening and treatment of malnutrition affects the nature of my own work</w:t>
            </w:r>
            <w:r w:rsidR="00026F3E">
              <w:rPr>
                <w:b/>
                <w:bCs/>
                <w:sz w:val="18"/>
                <w:szCs w:val="18"/>
              </w:rPr>
              <w:t>.</w:t>
            </w:r>
          </w:p>
          <w:p w14:paraId="61DFCB59" w14:textId="4E215CCE" w:rsidR="004C7D4F" w:rsidRPr="000F4EA3" w:rsidRDefault="00026F3E" w:rsidP="004C7D4F">
            <w:pPr>
              <w:pStyle w:val="Default"/>
              <w:jc w:val="center"/>
              <w:rPr>
                <w:i/>
                <w:sz w:val="18"/>
                <w:szCs w:val="18"/>
              </w:rPr>
            </w:pPr>
            <w:r>
              <w:rPr>
                <w:i/>
                <w:sz w:val="18"/>
                <w:szCs w:val="18"/>
              </w:rPr>
              <w:t>(</w:t>
            </w:r>
            <w:r w:rsidRPr="00026F3E">
              <w:rPr>
                <w:i/>
                <w:sz w:val="18"/>
                <w:szCs w:val="18"/>
              </w:rPr>
              <w:t>Individual specification</w:t>
            </w:r>
            <w:r>
              <w:rPr>
                <w:i/>
                <w:sz w:val="18"/>
                <w:szCs w:val="18"/>
              </w:rPr>
              <w:t>)</w:t>
            </w:r>
          </w:p>
        </w:tc>
        <w:tc>
          <w:tcPr>
            <w:tcW w:w="1417" w:type="dxa"/>
            <w:vMerge/>
          </w:tcPr>
          <w:p w14:paraId="65EDD0E4" w14:textId="77777777" w:rsidR="004C7D4F" w:rsidRPr="00BC6302" w:rsidRDefault="004C7D4F" w:rsidP="004C7D4F">
            <w:pPr>
              <w:pStyle w:val="Default"/>
              <w:jc w:val="center"/>
              <w:rPr>
                <w:b/>
                <w:bCs/>
                <w:sz w:val="18"/>
                <w:szCs w:val="18"/>
              </w:rPr>
            </w:pPr>
          </w:p>
        </w:tc>
        <w:tc>
          <w:tcPr>
            <w:tcW w:w="4111" w:type="dxa"/>
          </w:tcPr>
          <w:p w14:paraId="047BB1C1" w14:textId="77777777" w:rsidR="004C7D4F" w:rsidRPr="00BC6302" w:rsidRDefault="004C7D4F" w:rsidP="004C7D4F">
            <w:pPr>
              <w:pStyle w:val="Default"/>
              <w:jc w:val="center"/>
              <w:rPr>
                <w:sz w:val="18"/>
                <w:szCs w:val="18"/>
              </w:rPr>
            </w:pPr>
            <w:r w:rsidRPr="00BC6302">
              <w:rPr>
                <w:b/>
                <w:bCs/>
                <w:sz w:val="18"/>
                <w:szCs w:val="18"/>
              </w:rPr>
              <w:t xml:space="preserve">Q17—Sufficient resources are available to support screening and treatment for malnutrition. </w:t>
            </w:r>
          </w:p>
          <w:p w14:paraId="5FE71EA7" w14:textId="76CAADC3" w:rsidR="004C7D4F" w:rsidRPr="00BC6302" w:rsidRDefault="00026F3E" w:rsidP="004C7D4F">
            <w:pPr>
              <w:jc w:val="center"/>
              <w:rPr>
                <w:sz w:val="18"/>
                <w:szCs w:val="18"/>
              </w:rPr>
            </w:pPr>
            <w:r w:rsidRPr="000F4EA3">
              <w:rPr>
                <w:bCs/>
                <w:i/>
                <w:sz w:val="18"/>
                <w:szCs w:val="18"/>
              </w:rPr>
              <w:t>(Contextual integration)</w:t>
            </w:r>
          </w:p>
        </w:tc>
      </w:tr>
      <w:tr w:rsidR="004C7D4F" w:rsidRPr="00BC6302" w14:paraId="4434D5EB" w14:textId="77777777" w:rsidTr="000F4EA3">
        <w:tc>
          <w:tcPr>
            <w:tcW w:w="1413" w:type="dxa"/>
            <w:vMerge/>
          </w:tcPr>
          <w:p w14:paraId="7DD4C02D" w14:textId="77777777" w:rsidR="004C7D4F" w:rsidRPr="00BC6302" w:rsidRDefault="004C7D4F" w:rsidP="004C7D4F">
            <w:pPr>
              <w:pStyle w:val="Default"/>
              <w:jc w:val="center"/>
              <w:rPr>
                <w:b/>
                <w:bCs/>
                <w:sz w:val="18"/>
                <w:szCs w:val="18"/>
              </w:rPr>
            </w:pPr>
          </w:p>
        </w:tc>
        <w:tc>
          <w:tcPr>
            <w:tcW w:w="3402" w:type="dxa"/>
          </w:tcPr>
          <w:p w14:paraId="6720F680" w14:textId="7C1CF44A" w:rsidR="004C7D4F" w:rsidRPr="00BC6302" w:rsidRDefault="004C7D4F" w:rsidP="004C7D4F">
            <w:pPr>
              <w:pStyle w:val="Default"/>
              <w:jc w:val="center"/>
              <w:rPr>
                <w:sz w:val="18"/>
                <w:szCs w:val="18"/>
              </w:rPr>
            </w:pPr>
            <w:r w:rsidRPr="00BC6302">
              <w:rPr>
                <w:b/>
                <w:bCs/>
                <w:sz w:val="18"/>
                <w:szCs w:val="18"/>
              </w:rPr>
              <w:t xml:space="preserve">Q7—I can see the potential value of new procedure for screening and treatment of malnutrition for my work </w:t>
            </w:r>
          </w:p>
          <w:p w14:paraId="769D7339" w14:textId="218EA4D4" w:rsidR="004C7D4F" w:rsidRPr="000F4EA3" w:rsidRDefault="00026F3E" w:rsidP="004C7D4F">
            <w:pPr>
              <w:pStyle w:val="Default"/>
              <w:jc w:val="center"/>
              <w:rPr>
                <w:bCs/>
                <w:i/>
                <w:sz w:val="18"/>
                <w:szCs w:val="18"/>
              </w:rPr>
            </w:pPr>
            <w:r>
              <w:rPr>
                <w:bCs/>
                <w:i/>
                <w:sz w:val="18"/>
                <w:szCs w:val="18"/>
              </w:rPr>
              <w:t>(</w:t>
            </w:r>
            <w:r w:rsidRPr="00026F3E">
              <w:rPr>
                <w:bCs/>
                <w:i/>
                <w:sz w:val="18"/>
                <w:szCs w:val="18"/>
              </w:rPr>
              <w:t>Internalisation</w:t>
            </w:r>
            <w:r>
              <w:rPr>
                <w:bCs/>
                <w:i/>
                <w:sz w:val="18"/>
                <w:szCs w:val="18"/>
              </w:rPr>
              <w:t>)</w:t>
            </w:r>
          </w:p>
        </w:tc>
        <w:tc>
          <w:tcPr>
            <w:tcW w:w="1417" w:type="dxa"/>
            <w:vMerge/>
          </w:tcPr>
          <w:p w14:paraId="43D2AAFC" w14:textId="77777777" w:rsidR="004C7D4F" w:rsidRPr="00BC6302" w:rsidRDefault="004C7D4F" w:rsidP="004C7D4F">
            <w:pPr>
              <w:pStyle w:val="Default"/>
              <w:jc w:val="center"/>
              <w:rPr>
                <w:b/>
                <w:bCs/>
                <w:sz w:val="18"/>
                <w:szCs w:val="18"/>
              </w:rPr>
            </w:pPr>
          </w:p>
        </w:tc>
        <w:tc>
          <w:tcPr>
            <w:tcW w:w="4111" w:type="dxa"/>
          </w:tcPr>
          <w:p w14:paraId="185EFCC7" w14:textId="77777777" w:rsidR="004C7D4F" w:rsidRPr="00BC6302" w:rsidRDefault="004C7D4F" w:rsidP="004C7D4F">
            <w:pPr>
              <w:pStyle w:val="Default"/>
              <w:jc w:val="center"/>
              <w:rPr>
                <w:sz w:val="18"/>
                <w:szCs w:val="18"/>
              </w:rPr>
            </w:pPr>
            <w:r w:rsidRPr="00BC6302">
              <w:rPr>
                <w:b/>
                <w:bCs/>
                <w:sz w:val="18"/>
                <w:szCs w:val="18"/>
              </w:rPr>
              <w:t xml:space="preserve">Q18—Management adequately supports screening and treatment for malnutrition. </w:t>
            </w:r>
          </w:p>
          <w:p w14:paraId="51304787" w14:textId="36C48C9B" w:rsidR="004C7D4F" w:rsidRPr="00BC6302" w:rsidRDefault="00026F3E" w:rsidP="004C7D4F">
            <w:pPr>
              <w:jc w:val="center"/>
              <w:rPr>
                <w:sz w:val="18"/>
                <w:szCs w:val="18"/>
              </w:rPr>
            </w:pPr>
            <w:r w:rsidRPr="00AA4C71">
              <w:rPr>
                <w:bCs/>
                <w:i/>
                <w:sz w:val="18"/>
                <w:szCs w:val="18"/>
              </w:rPr>
              <w:t>(Contextual integration)</w:t>
            </w:r>
          </w:p>
        </w:tc>
      </w:tr>
      <w:tr w:rsidR="004C7D4F" w:rsidRPr="00BC6302" w14:paraId="47346EAD" w14:textId="77777777" w:rsidTr="000F4EA3">
        <w:trPr>
          <w:trHeight w:val="731"/>
        </w:trPr>
        <w:tc>
          <w:tcPr>
            <w:tcW w:w="1413" w:type="dxa"/>
            <w:vMerge w:val="restart"/>
            <w:vAlign w:val="center"/>
          </w:tcPr>
          <w:p w14:paraId="7E1BAFA8" w14:textId="0779EE11" w:rsidR="004C7D4F" w:rsidRPr="00BC6302" w:rsidRDefault="004C7D4F" w:rsidP="00027538">
            <w:pPr>
              <w:pStyle w:val="Default"/>
              <w:jc w:val="center"/>
              <w:rPr>
                <w:b/>
                <w:bCs/>
                <w:sz w:val="18"/>
                <w:szCs w:val="18"/>
              </w:rPr>
            </w:pPr>
            <w:r>
              <w:rPr>
                <w:b/>
                <w:bCs/>
                <w:sz w:val="18"/>
                <w:szCs w:val="18"/>
              </w:rPr>
              <w:lastRenderedPageBreak/>
              <w:t xml:space="preserve">Cognitive participation </w:t>
            </w:r>
            <w:r w:rsidRPr="000F4EA3">
              <w:rPr>
                <w:bCs/>
                <w:i/>
                <w:sz w:val="18"/>
                <w:szCs w:val="18"/>
              </w:rPr>
              <w:t>‘The relational work that people do to build and sustain a community of practice around a new technology or complex intervention.’</w:t>
            </w:r>
          </w:p>
        </w:tc>
        <w:tc>
          <w:tcPr>
            <w:tcW w:w="3402" w:type="dxa"/>
          </w:tcPr>
          <w:p w14:paraId="39FF63F9" w14:textId="78561EC5" w:rsidR="004C7D4F" w:rsidRDefault="004C7D4F" w:rsidP="004C7D4F">
            <w:pPr>
              <w:pStyle w:val="Default"/>
              <w:jc w:val="center"/>
              <w:rPr>
                <w:b/>
                <w:bCs/>
                <w:sz w:val="18"/>
                <w:szCs w:val="18"/>
              </w:rPr>
            </w:pPr>
            <w:r w:rsidRPr="00BC6302">
              <w:rPr>
                <w:b/>
                <w:bCs/>
                <w:sz w:val="18"/>
                <w:szCs w:val="18"/>
              </w:rPr>
              <w:t xml:space="preserve">Q8—There are key people who drive screening and treatment for malnutrition forward and get others involved. </w:t>
            </w:r>
          </w:p>
          <w:p w14:paraId="15AB2BDD" w14:textId="2D52F791" w:rsidR="004C7D4F" w:rsidRPr="00BC6302" w:rsidRDefault="00026F3E" w:rsidP="000F4EA3">
            <w:pPr>
              <w:pStyle w:val="Default"/>
              <w:jc w:val="center"/>
              <w:rPr>
                <w:sz w:val="18"/>
                <w:szCs w:val="18"/>
              </w:rPr>
            </w:pPr>
            <w:r>
              <w:rPr>
                <w:i/>
                <w:sz w:val="18"/>
                <w:szCs w:val="18"/>
              </w:rPr>
              <w:t>(Initiation)</w:t>
            </w:r>
          </w:p>
        </w:tc>
        <w:tc>
          <w:tcPr>
            <w:tcW w:w="1417" w:type="dxa"/>
            <w:vMerge w:val="restart"/>
            <w:vAlign w:val="center"/>
          </w:tcPr>
          <w:p w14:paraId="757FB9F1" w14:textId="77777777" w:rsidR="004C7D4F" w:rsidRDefault="004C7D4F" w:rsidP="004C7D4F">
            <w:pPr>
              <w:pStyle w:val="Default"/>
              <w:jc w:val="center"/>
              <w:rPr>
                <w:b/>
                <w:bCs/>
                <w:sz w:val="18"/>
                <w:szCs w:val="18"/>
              </w:rPr>
            </w:pPr>
            <w:r>
              <w:rPr>
                <w:b/>
                <w:bCs/>
                <w:sz w:val="18"/>
                <w:szCs w:val="18"/>
              </w:rPr>
              <w:t>Reflexive monitoring</w:t>
            </w:r>
          </w:p>
          <w:p w14:paraId="20344DEE" w14:textId="501EC037" w:rsidR="004C7D4F" w:rsidRPr="000F4EA3" w:rsidRDefault="004C7D4F" w:rsidP="004C7D4F">
            <w:pPr>
              <w:pStyle w:val="Default"/>
              <w:jc w:val="center"/>
              <w:rPr>
                <w:bCs/>
                <w:i/>
                <w:sz w:val="18"/>
                <w:szCs w:val="18"/>
              </w:rPr>
            </w:pPr>
            <w:r w:rsidRPr="000F4EA3">
              <w:rPr>
                <w:bCs/>
                <w:i/>
                <w:sz w:val="18"/>
                <w:szCs w:val="18"/>
              </w:rPr>
              <w:t>‘The appraisal work that people do to assess and understand the ways that a new set of practices affect them and others around them.’</w:t>
            </w:r>
          </w:p>
        </w:tc>
        <w:tc>
          <w:tcPr>
            <w:tcW w:w="4111" w:type="dxa"/>
          </w:tcPr>
          <w:p w14:paraId="0F141299" w14:textId="77777777" w:rsidR="004C7D4F" w:rsidRPr="00BC6302" w:rsidRDefault="004C7D4F" w:rsidP="004C7D4F">
            <w:pPr>
              <w:pStyle w:val="Default"/>
              <w:jc w:val="center"/>
              <w:rPr>
                <w:sz w:val="18"/>
                <w:szCs w:val="18"/>
              </w:rPr>
            </w:pPr>
            <w:r w:rsidRPr="00BC6302">
              <w:rPr>
                <w:b/>
                <w:bCs/>
                <w:sz w:val="18"/>
                <w:szCs w:val="18"/>
              </w:rPr>
              <w:t xml:space="preserve">Q19—I am aware of reports about the effects of screening and treatment for malnutrition. </w:t>
            </w:r>
          </w:p>
          <w:p w14:paraId="41432021" w14:textId="36D41BE3" w:rsidR="004C7D4F" w:rsidRPr="00BC6302" w:rsidRDefault="00026F3E" w:rsidP="004C7D4F">
            <w:pPr>
              <w:jc w:val="center"/>
              <w:rPr>
                <w:sz w:val="18"/>
                <w:szCs w:val="18"/>
              </w:rPr>
            </w:pPr>
            <w:r w:rsidRPr="000F4EA3">
              <w:rPr>
                <w:bCs/>
                <w:i/>
                <w:sz w:val="18"/>
                <w:szCs w:val="18"/>
              </w:rPr>
              <w:t>(Systematisation)</w:t>
            </w:r>
          </w:p>
        </w:tc>
      </w:tr>
      <w:tr w:rsidR="004C7D4F" w:rsidRPr="00BC6302" w14:paraId="255966CB" w14:textId="77777777" w:rsidTr="000F4EA3">
        <w:tc>
          <w:tcPr>
            <w:tcW w:w="1413" w:type="dxa"/>
            <w:vMerge/>
          </w:tcPr>
          <w:p w14:paraId="2452D4FF" w14:textId="77777777" w:rsidR="004C7D4F" w:rsidRPr="00BC6302" w:rsidRDefault="004C7D4F" w:rsidP="004C7D4F">
            <w:pPr>
              <w:pStyle w:val="Default"/>
              <w:jc w:val="center"/>
              <w:rPr>
                <w:b/>
                <w:bCs/>
                <w:sz w:val="18"/>
                <w:szCs w:val="18"/>
              </w:rPr>
            </w:pPr>
          </w:p>
        </w:tc>
        <w:tc>
          <w:tcPr>
            <w:tcW w:w="3402" w:type="dxa"/>
          </w:tcPr>
          <w:p w14:paraId="4186B0C6" w14:textId="072EAA95" w:rsidR="004C7D4F" w:rsidRPr="00BC6302" w:rsidRDefault="004C7D4F" w:rsidP="004C7D4F">
            <w:pPr>
              <w:pStyle w:val="Default"/>
              <w:jc w:val="center"/>
              <w:rPr>
                <w:sz w:val="18"/>
                <w:szCs w:val="18"/>
              </w:rPr>
            </w:pPr>
            <w:r w:rsidRPr="00BC6302">
              <w:rPr>
                <w:b/>
                <w:bCs/>
                <w:sz w:val="18"/>
                <w:szCs w:val="18"/>
              </w:rPr>
              <w:t xml:space="preserve">Q9—I believe that participating in screening and treatment for malnutrition is a legitimate part of my role. </w:t>
            </w:r>
          </w:p>
          <w:p w14:paraId="6738722C" w14:textId="5BCE1B01" w:rsidR="004C7D4F" w:rsidRPr="000F4EA3" w:rsidRDefault="00026F3E" w:rsidP="004C7D4F">
            <w:pPr>
              <w:pStyle w:val="Default"/>
              <w:jc w:val="center"/>
              <w:rPr>
                <w:bCs/>
                <w:i/>
                <w:sz w:val="18"/>
                <w:szCs w:val="18"/>
              </w:rPr>
            </w:pPr>
            <w:r w:rsidRPr="000F4EA3">
              <w:rPr>
                <w:bCs/>
                <w:i/>
                <w:sz w:val="18"/>
                <w:szCs w:val="18"/>
              </w:rPr>
              <w:t>(Enrolment)</w:t>
            </w:r>
          </w:p>
        </w:tc>
        <w:tc>
          <w:tcPr>
            <w:tcW w:w="1417" w:type="dxa"/>
            <w:vMerge/>
          </w:tcPr>
          <w:p w14:paraId="0348FD8D" w14:textId="77777777" w:rsidR="004C7D4F" w:rsidRPr="00BC6302" w:rsidRDefault="004C7D4F" w:rsidP="004C7D4F">
            <w:pPr>
              <w:pStyle w:val="Default"/>
              <w:jc w:val="center"/>
              <w:rPr>
                <w:b/>
                <w:bCs/>
                <w:sz w:val="18"/>
                <w:szCs w:val="18"/>
              </w:rPr>
            </w:pPr>
          </w:p>
        </w:tc>
        <w:tc>
          <w:tcPr>
            <w:tcW w:w="4111" w:type="dxa"/>
          </w:tcPr>
          <w:p w14:paraId="101A22D2" w14:textId="1BFC5421" w:rsidR="004C7D4F" w:rsidRDefault="004C7D4F" w:rsidP="004C7D4F">
            <w:pPr>
              <w:pStyle w:val="Default"/>
              <w:jc w:val="center"/>
              <w:rPr>
                <w:b/>
                <w:bCs/>
                <w:sz w:val="18"/>
                <w:szCs w:val="18"/>
              </w:rPr>
            </w:pPr>
            <w:r w:rsidRPr="00BC6302">
              <w:rPr>
                <w:b/>
                <w:bCs/>
                <w:sz w:val="18"/>
                <w:szCs w:val="18"/>
              </w:rPr>
              <w:t>Q20—The staff agree that screening and treatment for malnutrition is worthwhile.</w:t>
            </w:r>
          </w:p>
          <w:p w14:paraId="3A344005" w14:textId="15F5F2F8" w:rsidR="00026F3E" w:rsidRPr="000F4EA3" w:rsidRDefault="00026F3E" w:rsidP="004C7D4F">
            <w:pPr>
              <w:pStyle w:val="Default"/>
              <w:jc w:val="center"/>
              <w:rPr>
                <w:i/>
                <w:sz w:val="18"/>
                <w:szCs w:val="18"/>
              </w:rPr>
            </w:pPr>
            <w:r w:rsidRPr="000F4EA3">
              <w:rPr>
                <w:i/>
                <w:sz w:val="18"/>
                <w:szCs w:val="18"/>
              </w:rPr>
              <w:t>(Communal appraisal)</w:t>
            </w:r>
          </w:p>
          <w:p w14:paraId="19E29ACD" w14:textId="77777777" w:rsidR="004C7D4F" w:rsidRPr="00BC6302" w:rsidRDefault="004C7D4F" w:rsidP="004C7D4F">
            <w:pPr>
              <w:jc w:val="center"/>
              <w:rPr>
                <w:sz w:val="18"/>
                <w:szCs w:val="18"/>
              </w:rPr>
            </w:pPr>
          </w:p>
        </w:tc>
      </w:tr>
      <w:tr w:rsidR="004C7D4F" w:rsidRPr="00BC6302" w14:paraId="6DA9A3D1" w14:textId="77777777" w:rsidTr="000F4EA3">
        <w:tc>
          <w:tcPr>
            <w:tcW w:w="1413" w:type="dxa"/>
            <w:vMerge/>
          </w:tcPr>
          <w:p w14:paraId="652025F4" w14:textId="77777777" w:rsidR="004C7D4F" w:rsidRPr="00BC6302" w:rsidRDefault="004C7D4F" w:rsidP="004C7D4F">
            <w:pPr>
              <w:pStyle w:val="Default"/>
              <w:jc w:val="center"/>
              <w:rPr>
                <w:b/>
                <w:bCs/>
                <w:sz w:val="18"/>
                <w:szCs w:val="18"/>
              </w:rPr>
            </w:pPr>
          </w:p>
        </w:tc>
        <w:tc>
          <w:tcPr>
            <w:tcW w:w="3402" w:type="dxa"/>
          </w:tcPr>
          <w:p w14:paraId="71C935B0" w14:textId="379CF141" w:rsidR="004C7D4F" w:rsidRDefault="004C7D4F" w:rsidP="004C7D4F">
            <w:pPr>
              <w:pStyle w:val="Default"/>
              <w:jc w:val="center"/>
              <w:rPr>
                <w:b/>
                <w:bCs/>
                <w:sz w:val="18"/>
                <w:szCs w:val="18"/>
              </w:rPr>
            </w:pPr>
            <w:r w:rsidRPr="00BC6302">
              <w:rPr>
                <w:b/>
                <w:bCs/>
                <w:sz w:val="18"/>
                <w:szCs w:val="18"/>
              </w:rPr>
              <w:t>Q10—I’m open to working with colleagues in new ways to screen and treat for malnutrition.</w:t>
            </w:r>
          </w:p>
          <w:p w14:paraId="41842492" w14:textId="64B47E08" w:rsidR="00026F3E" w:rsidRPr="000F4EA3" w:rsidRDefault="00026F3E" w:rsidP="004C7D4F">
            <w:pPr>
              <w:pStyle w:val="Default"/>
              <w:jc w:val="center"/>
              <w:rPr>
                <w:i/>
                <w:sz w:val="18"/>
                <w:szCs w:val="18"/>
              </w:rPr>
            </w:pPr>
            <w:r>
              <w:rPr>
                <w:i/>
                <w:sz w:val="18"/>
                <w:szCs w:val="18"/>
              </w:rPr>
              <w:t>(Legitimation)</w:t>
            </w:r>
          </w:p>
          <w:p w14:paraId="4F1D86C4" w14:textId="77777777" w:rsidR="004C7D4F" w:rsidRPr="00BC6302" w:rsidRDefault="004C7D4F" w:rsidP="004C7D4F">
            <w:pPr>
              <w:pStyle w:val="Default"/>
              <w:jc w:val="center"/>
              <w:rPr>
                <w:b/>
                <w:bCs/>
                <w:sz w:val="18"/>
                <w:szCs w:val="18"/>
              </w:rPr>
            </w:pPr>
          </w:p>
        </w:tc>
        <w:tc>
          <w:tcPr>
            <w:tcW w:w="1417" w:type="dxa"/>
            <w:vMerge/>
          </w:tcPr>
          <w:p w14:paraId="3776FCE4" w14:textId="77777777" w:rsidR="004C7D4F" w:rsidRPr="00BC6302" w:rsidRDefault="004C7D4F" w:rsidP="004C7D4F">
            <w:pPr>
              <w:pStyle w:val="Default"/>
              <w:jc w:val="center"/>
              <w:rPr>
                <w:b/>
                <w:bCs/>
                <w:sz w:val="18"/>
                <w:szCs w:val="18"/>
              </w:rPr>
            </w:pPr>
          </w:p>
        </w:tc>
        <w:tc>
          <w:tcPr>
            <w:tcW w:w="4111" w:type="dxa"/>
          </w:tcPr>
          <w:p w14:paraId="55B67E59" w14:textId="780D4C03" w:rsidR="004C7D4F" w:rsidRPr="00BC6302" w:rsidRDefault="004C7D4F" w:rsidP="004C7D4F">
            <w:pPr>
              <w:pStyle w:val="Default"/>
              <w:jc w:val="center"/>
              <w:rPr>
                <w:sz w:val="18"/>
                <w:szCs w:val="18"/>
              </w:rPr>
            </w:pPr>
            <w:r w:rsidRPr="00BC6302">
              <w:rPr>
                <w:b/>
                <w:bCs/>
                <w:sz w:val="18"/>
                <w:szCs w:val="18"/>
              </w:rPr>
              <w:t xml:space="preserve">Q21—I value the effects that screening and treatment for malnutrition has had on my work. </w:t>
            </w:r>
          </w:p>
          <w:p w14:paraId="211CEC80" w14:textId="20CFC241" w:rsidR="004C7D4F" w:rsidRPr="00BC6302" w:rsidRDefault="00026F3E" w:rsidP="004C7D4F">
            <w:pPr>
              <w:jc w:val="center"/>
              <w:rPr>
                <w:sz w:val="18"/>
                <w:szCs w:val="18"/>
              </w:rPr>
            </w:pPr>
            <w:r w:rsidRPr="000F4EA3">
              <w:rPr>
                <w:bCs/>
                <w:i/>
                <w:sz w:val="18"/>
                <w:szCs w:val="18"/>
              </w:rPr>
              <w:t>(Individual appraisal)</w:t>
            </w:r>
          </w:p>
        </w:tc>
      </w:tr>
      <w:tr w:rsidR="004C7D4F" w:rsidRPr="00BC6302" w14:paraId="5C7B4727" w14:textId="77777777" w:rsidTr="000F4EA3">
        <w:trPr>
          <w:trHeight w:val="816"/>
        </w:trPr>
        <w:tc>
          <w:tcPr>
            <w:tcW w:w="1413" w:type="dxa"/>
            <w:vMerge/>
            <w:tcBorders>
              <w:bottom w:val="single" w:sz="4" w:space="0" w:color="auto"/>
            </w:tcBorders>
          </w:tcPr>
          <w:p w14:paraId="0F682355" w14:textId="77777777" w:rsidR="004C7D4F" w:rsidRPr="00BC6302" w:rsidRDefault="004C7D4F" w:rsidP="004C7D4F">
            <w:pPr>
              <w:pStyle w:val="Default"/>
              <w:jc w:val="center"/>
              <w:rPr>
                <w:b/>
                <w:bCs/>
                <w:sz w:val="18"/>
                <w:szCs w:val="18"/>
              </w:rPr>
            </w:pPr>
          </w:p>
        </w:tc>
        <w:tc>
          <w:tcPr>
            <w:tcW w:w="3402" w:type="dxa"/>
            <w:tcBorders>
              <w:bottom w:val="single" w:sz="4" w:space="0" w:color="auto"/>
            </w:tcBorders>
          </w:tcPr>
          <w:p w14:paraId="1FFE8768" w14:textId="1D5CE273" w:rsidR="004C7D4F" w:rsidRPr="00BC6302" w:rsidRDefault="004C7D4F" w:rsidP="004C7D4F">
            <w:pPr>
              <w:pStyle w:val="Default"/>
              <w:jc w:val="center"/>
              <w:rPr>
                <w:sz w:val="18"/>
                <w:szCs w:val="18"/>
              </w:rPr>
            </w:pPr>
            <w:r w:rsidRPr="00BC6302">
              <w:rPr>
                <w:b/>
                <w:bCs/>
                <w:sz w:val="18"/>
                <w:szCs w:val="18"/>
              </w:rPr>
              <w:t xml:space="preserve">Q11—I will continue to support screening and treatment for malnutrition. </w:t>
            </w:r>
          </w:p>
          <w:p w14:paraId="029D6BA4" w14:textId="262E06D6" w:rsidR="004C7D4F" w:rsidRPr="000F4EA3" w:rsidRDefault="00026F3E" w:rsidP="004C7D4F">
            <w:pPr>
              <w:pStyle w:val="Default"/>
              <w:jc w:val="center"/>
              <w:rPr>
                <w:bCs/>
                <w:i/>
                <w:sz w:val="18"/>
                <w:szCs w:val="18"/>
              </w:rPr>
            </w:pPr>
            <w:r>
              <w:rPr>
                <w:bCs/>
                <w:i/>
                <w:sz w:val="18"/>
                <w:szCs w:val="18"/>
              </w:rPr>
              <w:t>(Activation)</w:t>
            </w:r>
          </w:p>
        </w:tc>
        <w:tc>
          <w:tcPr>
            <w:tcW w:w="1417" w:type="dxa"/>
            <w:vMerge/>
          </w:tcPr>
          <w:p w14:paraId="5C1FFAC0" w14:textId="77777777" w:rsidR="004C7D4F" w:rsidRPr="00BC6302" w:rsidRDefault="004C7D4F" w:rsidP="004C7D4F">
            <w:pPr>
              <w:pStyle w:val="Default"/>
              <w:jc w:val="center"/>
              <w:rPr>
                <w:b/>
                <w:bCs/>
                <w:sz w:val="18"/>
                <w:szCs w:val="18"/>
              </w:rPr>
            </w:pPr>
          </w:p>
        </w:tc>
        <w:tc>
          <w:tcPr>
            <w:tcW w:w="4111" w:type="dxa"/>
          </w:tcPr>
          <w:p w14:paraId="5519EEAD" w14:textId="36E41332" w:rsidR="004C7D4F" w:rsidRDefault="004C7D4F" w:rsidP="004C7D4F">
            <w:pPr>
              <w:pStyle w:val="Default"/>
              <w:jc w:val="center"/>
              <w:rPr>
                <w:b/>
                <w:bCs/>
                <w:sz w:val="18"/>
                <w:szCs w:val="18"/>
              </w:rPr>
            </w:pPr>
            <w:r w:rsidRPr="00BC6302">
              <w:rPr>
                <w:b/>
                <w:bCs/>
                <w:sz w:val="18"/>
                <w:szCs w:val="18"/>
              </w:rPr>
              <w:t>Q22—Feedback about screening and treatment for malnutrition can be used to improve it in the future.</w:t>
            </w:r>
          </w:p>
          <w:p w14:paraId="66C13EED" w14:textId="6918BC3D" w:rsidR="00026F3E" w:rsidRPr="000F4EA3" w:rsidRDefault="00026F3E" w:rsidP="004C7D4F">
            <w:pPr>
              <w:pStyle w:val="Default"/>
              <w:jc w:val="center"/>
              <w:rPr>
                <w:i/>
                <w:sz w:val="18"/>
                <w:szCs w:val="18"/>
              </w:rPr>
            </w:pPr>
            <w:r w:rsidRPr="000F4EA3">
              <w:rPr>
                <w:i/>
                <w:sz w:val="18"/>
                <w:szCs w:val="18"/>
              </w:rPr>
              <w:t>(Reconfiguration)</w:t>
            </w:r>
          </w:p>
          <w:p w14:paraId="179F7C96" w14:textId="77777777" w:rsidR="004C7D4F" w:rsidRPr="00BC6302" w:rsidRDefault="004C7D4F" w:rsidP="004C7D4F">
            <w:pPr>
              <w:jc w:val="center"/>
              <w:rPr>
                <w:sz w:val="18"/>
                <w:szCs w:val="18"/>
              </w:rPr>
            </w:pPr>
          </w:p>
        </w:tc>
      </w:tr>
      <w:tr w:rsidR="004C7D4F" w:rsidRPr="00BC6302" w14:paraId="3ED5897F" w14:textId="77777777" w:rsidTr="000F4EA3">
        <w:tc>
          <w:tcPr>
            <w:tcW w:w="4815" w:type="dxa"/>
            <w:gridSpan w:val="2"/>
            <w:tcBorders>
              <w:left w:val="nil"/>
              <w:bottom w:val="nil"/>
            </w:tcBorders>
          </w:tcPr>
          <w:p w14:paraId="54D1F559" w14:textId="77777777" w:rsidR="004C7D4F" w:rsidRPr="00BC6302" w:rsidRDefault="004C7D4F" w:rsidP="00027538">
            <w:pPr>
              <w:pStyle w:val="Default"/>
              <w:jc w:val="center"/>
              <w:rPr>
                <w:b/>
                <w:bCs/>
                <w:sz w:val="18"/>
                <w:szCs w:val="18"/>
              </w:rPr>
            </w:pPr>
          </w:p>
        </w:tc>
        <w:tc>
          <w:tcPr>
            <w:tcW w:w="1417" w:type="dxa"/>
            <w:vMerge/>
          </w:tcPr>
          <w:p w14:paraId="21B10FAE" w14:textId="77777777" w:rsidR="004C7D4F" w:rsidRPr="00BC6302" w:rsidRDefault="004C7D4F" w:rsidP="004C7D4F">
            <w:pPr>
              <w:jc w:val="center"/>
              <w:rPr>
                <w:sz w:val="18"/>
                <w:szCs w:val="18"/>
              </w:rPr>
            </w:pPr>
          </w:p>
        </w:tc>
        <w:tc>
          <w:tcPr>
            <w:tcW w:w="4111" w:type="dxa"/>
          </w:tcPr>
          <w:p w14:paraId="5EE65496" w14:textId="7723295B" w:rsidR="004C7D4F" w:rsidRDefault="004C7D4F" w:rsidP="004C7D4F">
            <w:pPr>
              <w:pStyle w:val="Default"/>
              <w:jc w:val="center"/>
              <w:rPr>
                <w:b/>
                <w:bCs/>
                <w:sz w:val="18"/>
                <w:szCs w:val="18"/>
              </w:rPr>
            </w:pPr>
            <w:r w:rsidRPr="00BC6302">
              <w:rPr>
                <w:b/>
                <w:bCs/>
                <w:sz w:val="18"/>
                <w:szCs w:val="18"/>
              </w:rPr>
              <w:t xml:space="preserve">Q23—I can modify how I work with tools and/or procedures for </w:t>
            </w:r>
            <w:r>
              <w:rPr>
                <w:b/>
                <w:bCs/>
                <w:sz w:val="18"/>
                <w:szCs w:val="18"/>
              </w:rPr>
              <w:t>screening and treatment for mal</w:t>
            </w:r>
            <w:r w:rsidRPr="00BC6302">
              <w:rPr>
                <w:b/>
                <w:bCs/>
                <w:sz w:val="18"/>
                <w:szCs w:val="18"/>
              </w:rPr>
              <w:t>nutrition.</w:t>
            </w:r>
          </w:p>
          <w:p w14:paraId="1AF691B4" w14:textId="43A6FE93" w:rsidR="00026F3E" w:rsidRPr="000F4EA3" w:rsidRDefault="00026F3E">
            <w:pPr>
              <w:pStyle w:val="Default"/>
              <w:jc w:val="center"/>
              <w:rPr>
                <w:i/>
                <w:sz w:val="18"/>
                <w:szCs w:val="18"/>
              </w:rPr>
            </w:pPr>
            <w:r w:rsidRPr="00AA4C71">
              <w:rPr>
                <w:i/>
                <w:sz w:val="18"/>
                <w:szCs w:val="18"/>
              </w:rPr>
              <w:t>(Reconfiguration)</w:t>
            </w:r>
          </w:p>
          <w:p w14:paraId="15BE4123" w14:textId="51E38D50" w:rsidR="004C7D4F" w:rsidRPr="00BC6302" w:rsidRDefault="004C7D4F" w:rsidP="004C7D4F">
            <w:pPr>
              <w:jc w:val="center"/>
              <w:rPr>
                <w:sz w:val="18"/>
                <w:szCs w:val="18"/>
              </w:rPr>
            </w:pPr>
          </w:p>
        </w:tc>
      </w:tr>
    </w:tbl>
    <w:p w14:paraId="2108A64E" w14:textId="449FED35" w:rsidR="006F43EB" w:rsidRDefault="006F43EB" w:rsidP="006F43EB">
      <w:pPr>
        <w:pStyle w:val="Caption"/>
        <w:jc w:val="center"/>
      </w:pPr>
      <w:r>
        <w:t xml:space="preserve">Table </w:t>
      </w:r>
      <w:r w:rsidR="00673A35">
        <w:rPr>
          <w:noProof/>
        </w:rPr>
        <w:fldChar w:fldCharType="begin"/>
      </w:r>
      <w:r w:rsidR="00673A35">
        <w:rPr>
          <w:noProof/>
        </w:rPr>
        <w:instrText xml:space="preserve"> SEQ Table \* ARABIC </w:instrText>
      </w:r>
      <w:r w:rsidR="00673A35">
        <w:rPr>
          <w:noProof/>
        </w:rPr>
        <w:fldChar w:fldCharType="separate"/>
      </w:r>
      <w:r w:rsidR="00D317D1">
        <w:rPr>
          <w:noProof/>
        </w:rPr>
        <w:t>1</w:t>
      </w:r>
      <w:r w:rsidR="00673A35">
        <w:rPr>
          <w:noProof/>
        </w:rPr>
        <w:fldChar w:fldCharType="end"/>
      </w:r>
      <w:r>
        <w:t xml:space="preserve"> - NoMad questions</w:t>
      </w:r>
      <w:r w:rsidR="00027538">
        <w:t xml:space="preserve"> grouped by relationship to NPT constructs</w:t>
      </w:r>
      <w:r>
        <w:t xml:space="preserve"> as statements for evaluation (Q1 response variables: </w:t>
      </w:r>
      <w:r w:rsidRPr="00CC3157">
        <w:t>Still feels very new</w:t>
      </w:r>
      <w:r>
        <w:t>,</w:t>
      </w:r>
      <w:r w:rsidRPr="00CC3157">
        <w:t xml:space="preserve"> 0-10</w:t>
      </w:r>
      <w:r>
        <w:t>,</w:t>
      </w:r>
      <w:r w:rsidRPr="00CC3157">
        <w:t xml:space="preserve"> Feels completely familiar</w:t>
      </w:r>
      <w:r>
        <w:t xml:space="preserve">. Q2 &amp; Q3 response variables: Not at all, 0 – Somewhat, 5 – Completely, 10. Q4-23 response variables: </w:t>
      </w:r>
      <w:r w:rsidRPr="00C1470E">
        <w:t>Strongly agree</w:t>
      </w:r>
      <w:r>
        <w:t>,</w:t>
      </w:r>
      <w:r w:rsidRPr="00C1470E">
        <w:t xml:space="preserve"> 1 – 5</w:t>
      </w:r>
      <w:r>
        <w:t>,</w:t>
      </w:r>
      <w:r w:rsidRPr="00C1470E">
        <w:t xml:space="preserve"> Strongly disagree; Not relevant to my role – 6; Not relevant at this stage – 7; Not relevant to screening and treatment for malnutrition – 8.</w:t>
      </w:r>
      <w:r w:rsidRPr="00CC3157">
        <w:t>)</w:t>
      </w:r>
      <w:r>
        <w:t xml:space="preserve"> (Questions 4-7 mapped to the construct ‘Coherence’ and were not included at T0; Questions 1-3 explore general feelings of familiarity and normalization, an</w:t>
      </w:r>
      <w:r w:rsidR="00612E6E">
        <w:t>d are not reported in this article</w:t>
      </w:r>
      <w:r>
        <w:t>)</w:t>
      </w:r>
      <w:r w:rsidR="00027538">
        <w:fldChar w:fldCharType="begin" w:fldLock="1"/>
      </w:r>
      <w:r w:rsidR="008F1402">
        <w:instrText>ADDIN CSL_CITATION {"citationItems":[{"id":"ITEM-1","itemData":{"URL":"http://www.normalizationprocess.org","author":[{"dropping-particle":"","family":"May","given":"C.","non-dropping-particle":"","parse-names":false,"suffix":""},{"dropping-particle":"","family":"Rapley","given":"T.","non-dropping-particle":"","parse-names":false,"suffix":""},{"dropping-particle":"","family":"Mair","given":"F.S.","non-dropping-particle":"","parse-names":false,"suffix":""},{"dropping-particle":"","family":"Treweek","given":"S.","non-dropping-particle":"","parse-names":false,"suffix":""},{"dropping-particle":"","family":"Murray","given":"E.","non-dropping-particle":"","parse-names":false,"suffix":""},{"dropping-particle":"","family":"Ballini","given":"L.","non-dropping-particle":"","parse-names":false,"suffix":""},{"dropping-particle":"","family":"Macfarlane","given":"A.","non-dropping-particle":"","parse-names":false,"suffix":""},{"dropping-particle":"","family":"Girling","given":"M.","non-dropping-particle":"","parse-names":false,"suffix":""},{"dropping-particle":"","family":"Finch","given":"T.L.","non-dropping-particle":"","parse-names":false,"suffix":""}],"id":"ITEM-1","issued":{"date-parts":[["2015"]]},"title":"Normalization Process Theory On-line Users’ Manual, Toolkit and NoMAD instrument","type":"webpage"},"uris":["http://www.mendeley.com/documents/?uuid=41d4d0bd-0ce5-45df-878b-95fddbfebc77"]}],"mendeley":{"formattedCitation":"[34]","plainTextFormattedCitation":"[34]","previouslyFormattedCitation":"[34]"},"properties":{"noteIndex":0},"schema":"https://github.com/citation-style-language/schema/raw/master/csl-citation.json"}</w:instrText>
      </w:r>
      <w:r w:rsidR="00027538">
        <w:fldChar w:fldCharType="separate"/>
      </w:r>
      <w:r w:rsidR="00AC65F3" w:rsidRPr="00AC65F3">
        <w:rPr>
          <w:i w:val="0"/>
          <w:noProof/>
        </w:rPr>
        <w:t>[34]</w:t>
      </w:r>
      <w:r w:rsidR="00027538">
        <w:fldChar w:fldCharType="end"/>
      </w:r>
      <w:r>
        <w:t>.</w:t>
      </w:r>
    </w:p>
    <w:p w14:paraId="17C05766" w14:textId="12646EAF" w:rsidR="004C7D4F" w:rsidRDefault="004C7D4F" w:rsidP="006F43EB">
      <w:pPr>
        <w:jc w:val="both"/>
      </w:pPr>
    </w:p>
    <w:p w14:paraId="242BA47B" w14:textId="77777777" w:rsidR="006F43EB" w:rsidRPr="00570AA3" w:rsidRDefault="006F43EB" w:rsidP="00570AA3">
      <w:pPr>
        <w:rPr>
          <w:u w:val="single"/>
        </w:rPr>
      </w:pPr>
      <w:bookmarkStart w:id="8" w:name="_Toc506539301"/>
      <w:r w:rsidRPr="00570AA3">
        <w:rPr>
          <w:u w:val="single"/>
        </w:rPr>
        <w:t>Telephone interviews</w:t>
      </w:r>
      <w:bookmarkEnd w:id="8"/>
    </w:p>
    <w:p w14:paraId="3951C871" w14:textId="416AF7C7" w:rsidR="006F43EB" w:rsidRDefault="006F43EB" w:rsidP="006F43EB">
      <w:pPr>
        <w:jc w:val="both"/>
        <w:rPr>
          <w:color w:val="000000" w:themeColor="text1"/>
        </w:rPr>
      </w:pPr>
      <w:r>
        <w:rPr>
          <w:color w:val="000000" w:themeColor="text1"/>
        </w:rPr>
        <w:t xml:space="preserve">Following T0 NoMad completion, </w:t>
      </w:r>
      <w:r w:rsidRPr="005576E8">
        <w:rPr>
          <w:color w:val="000000" w:themeColor="text1"/>
        </w:rPr>
        <w:t>a sub-sample of participants w</w:t>
      </w:r>
      <w:r>
        <w:rPr>
          <w:color w:val="000000" w:themeColor="text1"/>
        </w:rPr>
        <w:t>ere</w:t>
      </w:r>
      <w:r w:rsidRPr="005576E8">
        <w:rPr>
          <w:color w:val="000000" w:themeColor="text1"/>
        </w:rPr>
        <w:t xml:space="preserve"> invited to participate in a follow-up semi-structured telephone interview. In addition to exploring </w:t>
      </w:r>
      <w:r w:rsidR="000641E2">
        <w:rPr>
          <w:color w:val="000000" w:themeColor="text1"/>
        </w:rPr>
        <w:t>NoMad responses for each</w:t>
      </w:r>
      <w:r w:rsidRPr="005576E8">
        <w:rPr>
          <w:color w:val="000000" w:themeColor="text1"/>
        </w:rPr>
        <w:t xml:space="preserve"> of the NPT components, qualitative interviews offer</w:t>
      </w:r>
      <w:r>
        <w:rPr>
          <w:color w:val="000000" w:themeColor="text1"/>
        </w:rPr>
        <w:t>ed</w:t>
      </w:r>
      <w:r w:rsidRPr="005576E8">
        <w:rPr>
          <w:color w:val="000000" w:themeColor="text1"/>
        </w:rPr>
        <w:t xml:space="preserve"> </w:t>
      </w:r>
      <w:r>
        <w:rPr>
          <w:color w:val="000000" w:themeColor="text1"/>
        </w:rPr>
        <w:t xml:space="preserve">several </w:t>
      </w:r>
      <w:r w:rsidRPr="005576E8">
        <w:rPr>
          <w:color w:val="000000" w:themeColor="text1"/>
        </w:rPr>
        <w:t>benefits.  Firstly, identif</w:t>
      </w:r>
      <w:r>
        <w:rPr>
          <w:color w:val="000000" w:themeColor="text1"/>
        </w:rPr>
        <w:t>ication of</w:t>
      </w:r>
      <w:r w:rsidRPr="005576E8">
        <w:rPr>
          <w:color w:val="000000" w:themeColor="text1"/>
        </w:rPr>
        <w:t xml:space="preserve"> factors </w:t>
      </w:r>
      <w:r>
        <w:rPr>
          <w:color w:val="000000" w:themeColor="text1"/>
        </w:rPr>
        <w:t>not visible</w:t>
      </w:r>
      <w:r w:rsidRPr="005576E8">
        <w:rPr>
          <w:color w:val="000000" w:themeColor="text1"/>
        </w:rPr>
        <w:t xml:space="preserve"> through </w:t>
      </w:r>
      <w:r w:rsidR="008F1402">
        <w:rPr>
          <w:color w:val="000000" w:themeColor="text1"/>
        </w:rPr>
        <w:t xml:space="preserve">NoMad </w:t>
      </w:r>
      <w:r w:rsidRPr="005576E8">
        <w:rPr>
          <w:color w:val="000000" w:themeColor="text1"/>
        </w:rPr>
        <w:t>(e.g. how</w:t>
      </w:r>
      <w:r>
        <w:rPr>
          <w:color w:val="000000" w:themeColor="text1"/>
        </w:rPr>
        <w:t xml:space="preserve"> implementation may </w:t>
      </w:r>
      <w:r w:rsidR="00E24ABD">
        <w:rPr>
          <w:color w:val="000000" w:themeColor="text1"/>
        </w:rPr>
        <w:t xml:space="preserve">affect local contexts, for example, within different teams </w:t>
      </w:r>
      <w:r>
        <w:rPr>
          <w:color w:val="000000" w:themeColor="text1"/>
        </w:rPr>
        <w:fldChar w:fldCharType="begin" w:fldLock="1"/>
      </w:r>
      <w:r w:rsidR="008F1402">
        <w:rPr>
          <w:color w:val="000000" w:themeColor="text1"/>
        </w:rPr>
        <w:instrText>ADDIN CSL_CITATION {"citationItems":[{"id":"ITEM-1","itemData":{"DOI":"10.1186/1748-5908-8-96","ISBN":"1748-5908","ISSN":"17485908","PMID":"23972027","abstract":"BACKGROUND: Medical Research Council (MRC) guidance identifies implementation as a key element of the development and evaluation process for complex healthcare interventions. Implementation is itself a complex process involving the mobilization of human, material, and organizational resources to change practice within settings that have pre-existing structures, historical patterns of relationships, and routinized ways of working. Process evaluations enable researchers and clinicians to understand how implementation proceeds and what factors impact on intended program change. A qualitative process evaluation of the pragmatic cluster randomized controlled trial; Training Caregivers after Stroke was conducted to examine how professionals were engaged in the work of delivering training; how they reached and involved caregivers for whom the intervention was most appropriate; how did those on whom training was targeted experience and respond to it. Normalization Process Theory, which focuses attention on implementing and embedding program change, was used as a sensitizing framework to examine selected findings.\\n\\nRESULTS: Contextual factors including organizational history and team relationships, external policy, and service development initiatives, impinged on implementation of the caregiver training program in unintended ways that could not have been predicted through focus on mechanisms of individual and collective action at unit level. Factors that facilitated or impeded the effectiveness of the cascade training model used, whether and how stroke unit teams made sense of and engaged individually and collectively with a complex caregiver training intervention, and what impact these factors had on embedding the intervention in routine stroke unit practice were identified.\\n\\nCONCLUSIONS: Where implementation of complex interventions depends on multiple providers, time needs to be invested in reaching agreement on who will take responsibility for delivery of specific components and in determining how implementation and its effectiveness will be monitored. This goes beyond concern with intervention fidelity; explicit consideration also needs to be given to the implementation process in terms of how program change can be effected at organizational, practice, and service delivery levels. Normalization Process Theory's constructs help identify vulnerable features of implementation processes in respect of the work involved in embedding complex interventions.","author":[{"dropping-particle":"","family":"Clarke","given":"David J.","non-dropping-particle":"","parse-names":false,"suffix":""},{"dropping-particle":"","family":"Godfrey","given":"Mary","non-dropping-particle":"","parse-names":false,"suffix":""},{"dropping-particle":"","family":"Hawkins","given":"Rebecca","non-dropping-particle":"","parse-names":false,"suffix":""},{"dropping-particle":"","family":"Sadler","given":"Euan","non-dropping-particle":"","parse-names":false,"suffix":""},{"dropping-particle":"","family":"Harding","given":"Geoffrey","non-dropping-particle":"","parse-names":false,"suffix":""},{"dropping-particle":"","family":"Forster","given":"Anne","non-dropping-particle":"","parse-names":false,"suffix":""},{"dropping-particle":"","family":"McKevitt","given":"Christopher","non-dropping-particle":"","parse-names":false,"suffix":""},{"dropping-particle":"","family":"Dickerson","given":"Josie","non-dropping-particle":"","parse-names":false,"suffix":""},{"dropping-particle":"","family":"Farrin","given":"Amanda","non-dropping-particle":"","parse-names":false,"suffix":""}],"container-title":"Implementation Science","id":"ITEM-1","issue":"1","issued":{"date-parts":[["2013"]]},"page":"96","title":"Implementing a training intervention to support caregivers after stroke: A process evaluation examining the initiation and embedding of programme change","type":"article-journal","volume":"8"},"uris":["http://www.mendeley.com/documents/?uuid=d134fbf8-b433-4361-b3a2-69e5c7b8cd41"]}],"mendeley":{"formattedCitation":"[35]","plainTextFormattedCitation":"[35]","previouslyFormattedCitation":"[35]"},"properties":{"noteIndex":0},"schema":"https://github.com/citation-style-language/schema/raw/master/csl-citation.json"}</w:instrText>
      </w:r>
      <w:r>
        <w:rPr>
          <w:color w:val="000000" w:themeColor="text1"/>
        </w:rPr>
        <w:fldChar w:fldCharType="separate"/>
      </w:r>
      <w:r w:rsidR="00AC65F3" w:rsidRPr="00AC65F3">
        <w:rPr>
          <w:noProof/>
          <w:color w:val="000000" w:themeColor="text1"/>
        </w:rPr>
        <w:t>[35]</w:t>
      </w:r>
      <w:r>
        <w:rPr>
          <w:color w:val="000000" w:themeColor="text1"/>
        </w:rPr>
        <w:fldChar w:fldCharType="end"/>
      </w:r>
      <w:r w:rsidRPr="005576E8">
        <w:rPr>
          <w:color w:val="000000" w:themeColor="text1"/>
        </w:rPr>
        <w:t>)</w:t>
      </w:r>
      <w:r>
        <w:rPr>
          <w:color w:val="000000" w:themeColor="text1"/>
        </w:rPr>
        <w:t xml:space="preserve">, allowing for </w:t>
      </w:r>
      <w:r w:rsidRPr="005576E8">
        <w:rPr>
          <w:color w:val="000000" w:themeColor="text1"/>
        </w:rPr>
        <w:t>iterative development of additional questions (to be added after the items adapted from N</w:t>
      </w:r>
      <w:r w:rsidR="000641E2">
        <w:rPr>
          <w:color w:val="000000" w:themeColor="text1"/>
        </w:rPr>
        <w:t>oMad) at future observation points (</w:t>
      </w:r>
      <w:r w:rsidR="008F1402">
        <w:rPr>
          <w:color w:val="000000" w:themeColor="text1"/>
        </w:rPr>
        <w:t xml:space="preserve">i.e. </w:t>
      </w:r>
      <w:r w:rsidR="000641E2">
        <w:rPr>
          <w:color w:val="000000" w:themeColor="text1"/>
        </w:rPr>
        <w:t>i</w:t>
      </w:r>
      <w:r w:rsidR="00E24ABD">
        <w:rPr>
          <w:color w:val="000000" w:themeColor="text1"/>
        </w:rPr>
        <w:t>nterviews at T</w:t>
      </w:r>
      <w:r w:rsidR="000641E2">
        <w:rPr>
          <w:color w:val="000000" w:themeColor="text1"/>
        </w:rPr>
        <w:t xml:space="preserve">0 </w:t>
      </w:r>
      <w:r w:rsidRPr="005576E8">
        <w:rPr>
          <w:color w:val="000000" w:themeColor="text1"/>
        </w:rPr>
        <w:t>generate</w:t>
      </w:r>
      <w:r w:rsidR="00E24ABD">
        <w:rPr>
          <w:color w:val="000000" w:themeColor="text1"/>
        </w:rPr>
        <w:t>d questions which were</w:t>
      </w:r>
      <w:r w:rsidRPr="005576E8">
        <w:rPr>
          <w:color w:val="000000" w:themeColor="text1"/>
        </w:rPr>
        <w:t xml:space="preserve"> ad</w:t>
      </w:r>
      <w:r w:rsidR="000641E2">
        <w:rPr>
          <w:color w:val="000000" w:themeColor="text1"/>
        </w:rPr>
        <w:t>ded to the questionnaire at T1</w:t>
      </w:r>
      <w:r w:rsidR="00E24ABD">
        <w:rPr>
          <w:color w:val="000000" w:themeColor="text1"/>
        </w:rPr>
        <w:t xml:space="preserve">, </w:t>
      </w:r>
      <w:r w:rsidR="000641E2">
        <w:rPr>
          <w:color w:val="000000" w:themeColor="text1"/>
        </w:rPr>
        <w:t>which are reported</w:t>
      </w:r>
      <w:r w:rsidR="00E24ABD">
        <w:rPr>
          <w:color w:val="000000" w:themeColor="text1"/>
        </w:rPr>
        <w:t xml:space="preserve"> in the findings section</w:t>
      </w:r>
      <w:r w:rsidR="000641E2">
        <w:rPr>
          <w:color w:val="000000" w:themeColor="text1"/>
        </w:rPr>
        <w:t>)</w:t>
      </w:r>
      <w:r w:rsidRPr="005576E8">
        <w:rPr>
          <w:color w:val="000000" w:themeColor="text1"/>
        </w:rPr>
        <w:t xml:space="preserve">. Secondly, </w:t>
      </w:r>
      <w:r w:rsidR="000641E2">
        <w:rPr>
          <w:color w:val="000000" w:themeColor="text1"/>
        </w:rPr>
        <w:t xml:space="preserve">interviews </w:t>
      </w:r>
      <w:r>
        <w:rPr>
          <w:color w:val="000000" w:themeColor="text1"/>
        </w:rPr>
        <w:t>offered opportunities to</w:t>
      </w:r>
      <w:r w:rsidRPr="005576E8">
        <w:rPr>
          <w:color w:val="000000" w:themeColor="text1"/>
        </w:rPr>
        <w:t xml:space="preserve"> </w:t>
      </w:r>
      <w:r w:rsidR="00B5094A">
        <w:rPr>
          <w:color w:val="000000" w:themeColor="text1"/>
        </w:rPr>
        <w:t>elaborate on responses to NoMad</w:t>
      </w:r>
      <w:r w:rsidRPr="005576E8">
        <w:rPr>
          <w:color w:val="000000" w:themeColor="text1"/>
        </w:rPr>
        <w:t>.  This</w:t>
      </w:r>
      <w:r>
        <w:rPr>
          <w:color w:val="000000" w:themeColor="text1"/>
        </w:rPr>
        <w:t xml:space="preserve"> was </w:t>
      </w:r>
      <w:r w:rsidRPr="005576E8">
        <w:rPr>
          <w:color w:val="000000" w:themeColor="text1"/>
        </w:rPr>
        <w:t>useful for exploring congruence between beliefs</w:t>
      </w:r>
      <w:r w:rsidR="008F1402">
        <w:rPr>
          <w:color w:val="000000" w:themeColor="text1"/>
        </w:rPr>
        <w:t>/</w:t>
      </w:r>
      <w:r w:rsidRPr="005576E8">
        <w:rPr>
          <w:color w:val="000000" w:themeColor="text1"/>
        </w:rPr>
        <w:t>attitudes and actions</w:t>
      </w:r>
      <w:r w:rsidR="008F1402">
        <w:rPr>
          <w:color w:val="000000" w:themeColor="text1"/>
        </w:rPr>
        <w:t>/</w:t>
      </w:r>
      <w:r w:rsidRPr="005576E8">
        <w:rPr>
          <w:color w:val="000000" w:themeColor="text1"/>
        </w:rPr>
        <w:t xml:space="preserve">experiences. </w:t>
      </w:r>
      <w:r>
        <w:rPr>
          <w:color w:val="000000" w:themeColor="text1"/>
        </w:rPr>
        <w:t xml:space="preserve">Given that </w:t>
      </w:r>
      <w:r w:rsidRPr="005576E8">
        <w:rPr>
          <w:color w:val="000000" w:themeColor="text1"/>
        </w:rPr>
        <w:t xml:space="preserve">NPT focuses primarily on individual and collective action (that is, the work that people do as individuals and within collectives </w:t>
      </w:r>
      <w:r w:rsidR="008F1402" w:rsidRPr="005576E8">
        <w:rPr>
          <w:color w:val="000000" w:themeColor="text1"/>
        </w:rPr>
        <w:t>to</w:t>
      </w:r>
      <w:r w:rsidRPr="005576E8">
        <w:rPr>
          <w:color w:val="000000" w:themeColor="text1"/>
        </w:rPr>
        <w:t xml:space="preserve"> enact and embed a </w:t>
      </w:r>
      <w:r w:rsidRPr="005576E8">
        <w:rPr>
          <w:color w:val="000000" w:themeColor="text1"/>
        </w:rPr>
        <w:lastRenderedPageBreak/>
        <w:t>new set of practices), semi-structured interviewing offer</w:t>
      </w:r>
      <w:r>
        <w:rPr>
          <w:color w:val="000000" w:themeColor="text1"/>
        </w:rPr>
        <w:t>ed</w:t>
      </w:r>
      <w:r w:rsidRPr="005576E8">
        <w:rPr>
          <w:color w:val="000000" w:themeColor="text1"/>
        </w:rPr>
        <w:t xml:space="preserve"> an o</w:t>
      </w:r>
      <w:r w:rsidR="00612E6E">
        <w:rPr>
          <w:color w:val="000000" w:themeColor="text1"/>
        </w:rPr>
        <w:t>pportunity to ensure that this was</w:t>
      </w:r>
      <w:r w:rsidRPr="005576E8">
        <w:rPr>
          <w:color w:val="000000" w:themeColor="text1"/>
        </w:rPr>
        <w:t xml:space="preserve"> explore</w:t>
      </w:r>
      <w:r>
        <w:rPr>
          <w:color w:val="000000" w:themeColor="text1"/>
        </w:rPr>
        <w:t>d</w:t>
      </w:r>
      <w:r w:rsidR="00612E6E">
        <w:rPr>
          <w:color w:val="000000" w:themeColor="text1"/>
        </w:rPr>
        <w:t xml:space="preserve"> effectively</w:t>
      </w:r>
      <w:r>
        <w:rPr>
          <w:color w:val="000000" w:themeColor="text1"/>
        </w:rPr>
        <w:t>.</w:t>
      </w:r>
    </w:p>
    <w:p w14:paraId="11837504" w14:textId="77777777" w:rsidR="006F43EB" w:rsidRPr="00570AA3" w:rsidRDefault="006F43EB" w:rsidP="00570AA3">
      <w:pPr>
        <w:rPr>
          <w:u w:val="single"/>
        </w:rPr>
      </w:pPr>
      <w:bookmarkStart w:id="9" w:name="_Toc506539302"/>
      <w:r w:rsidRPr="00570AA3">
        <w:rPr>
          <w:u w:val="single"/>
        </w:rPr>
        <w:t>Data collection, management, and analysis</w:t>
      </w:r>
      <w:bookmarkEnd w:id="9"/>
    </w:p>
    <w:p w14:paraId="7B2CC562" w14:textId="77777777" w:rsidR="006F43EB" w:rsidRPr="00570AA3" w:rsidRDefault="006F43EB" w:rsidP="00570AA3">
      <w:pPr>
        <w:rPr>
          <w:i/>
        </w:rPr>
      </w:pPr>
      <w:bookmarkStart w:id="10" w:name="_Toc506539303"/>
      <w:r w:rsidRPr="00570AA3">
        <w:rPr>
          <w:i/>
        </w:rPr>
        <w:t>Data collection and storage.</w:t>
      </w:r>
      <w:bookmarkEnd w:id="10"/>
    </w:p>
    <w:p w14:paraId="7F9D43DF" w14:textId="315C5DDC" w:rsidR="006F43EB" w:rsidRDefault="006F43EB" w:rsidP="006F43EB">
      <w:pPr>
        <w:jc w:val="both"/>
      </w:pPr>
      <w:r>
        <w:t>Questionnaire responses were collected via paper instruments</w:t>
      </w:r>
      <w:r w:rsidR="00D317D1">
        <w:t>,</w:t>
      </w:r>
      <w:r w:rsidR="00FC3FF0">
        <w:t xml:space="preserve"> and</w:t>
      </w:r>
      <w:r>
        <w:t xml:space="preserve"> </w:t>
      </w:r>
      <w:r w:rsidR="00FC3FF0">
        <w:t>a</w:t>
      </w:r>
      <w:r>
        <w:t>udio data from interviews were collected using d</w:t>
      </w:r>
      <w:r w:rsidR="00FC3FF0">
        <w:t xml:space="preserve">igital </w:t>
      </w:r>
      <w:r w:rsidR="00E33D04">
        <w:t>dictaphones; both</w:t>
      </w:r>
      <w:r>
        <w:t xml:space="preserve"> </w:t>
      </w:r>
      <w:r w:rsidR="00D317D1">
        <w:t>were</w:t>
      </w:r>
      <w:r>
        <w:t xml:space="preserve"> stored electronically</w:t>
      </w:r>
      <w:r w:rsidR="00D317D1">
        <w:t xml:space="preserve"> and</w:t>
      </w:r>
      <w:r>
        <w:t xml:space="preserve"> securely on Bournemouth University (BU) servers, in password protected folders to which only the project team had access. For transcription, files were sent using a secure drop off-service, to a transcription service with which the study team had a confidentiality and non</w:t>
      </w:r>
      <w:r w:rsidR="000E53A9">
        <w:t>-</w:t>
      </w:r>
      <w:r>
        <w:t xml:space="preserve">disclosure agreement. </w:t>
      </w:r>
    </w:p>
    <w:p w14:paraId="4F41CB34" w14:textId="77777777" w:rsidR="006F43EB" w:rsidRPr="00570AA3" w:rsidRDefault="006F43EB" w:rsidP="00570AA3">
      <w:pPr>
        <w:rPr>
          <w:i/>
        </w:rPr>
      </w:pPr>
      <w:bookmarkStart w:id="11" w:name="_Toc506539304"/>
      <w:r w:rsidRPr="00570AA3">
        <w:rPr>
          <w:i/>
        </w:rPr>
        <w:t>Data Analysis</w:t>
      </w:r>
      <w:bookmarkEnd w:id="11"/>
    </w:p>
    <w:p w14:paraId="2E6F72A2" w14:textId="62E05EF8" w:rsidR="00DA7BD2" w:rsidRDefault="006F43EB" w:rsidP="00D317D1">
      <w:pPr>
        <w:jc w:val="both"/>
        <w:rPr>
          <w:rFonts w:ascii="Calibri" w:eastAsia="Times New Roman" w:hAnsi="Calibri" w:cs="Calibri"/>
          <w:color w:val="000000"/>
          <w:sz w:val="20"/>
          <w:szCs w:val="20"/>
          <w:lang w:eastAsia="en-GB"/>
        </w:rPr>
      </w:pPr>
      <w:r>
        <w:t>Results from NoMad were analysed using descriptive and inferential (Wilcoxon rank-sum test for between group differences in response, Wilcoxon signed-rank test for pre-post differences within groups) statistics using SPSS</w:t>
      </w:r>
      <w:r w:rsidR="00273C56">
        <w:t xml:space="preserve"> v.23 (threshold for statistical significance was defined at the 0.05 level)</w:t>
      </w:r>
      <w:r w:rsidR="000E53A9">
        <w:t xml:space="preserve"> </w:t>
      </w:r>
      <w:r w:rsidR="004B6081">
        <w:fldChar w:fldCharType="begin" w:fldLock="1"/>
      </w:r>
      <w:r w:rsidR="008F1402">
        <w:instrText>ADDIN CSL_CITATION {"citationItems":[{"id":"ITEM-1","itemData":{"ISBN":"9781446249178","author":[{"dropping-particle":"","family":"Field","given":"A","non-dropping-particle":"","parse-names":false,"suffix":""}],"collection-title":"Discovering Statistics Using IBM SPSS Statistics: And Sex and Drugs and Rock 'n' Roll","id":"ITEM-1","issued":{"date-parts":[["2013"]]},"publisher":"SAGE Publications","title":"Discovering Statistics Using IBM SPSS Statistics","type":"book"},"uris":["http://www.mendeley.com/documents/?uuid=9024a488-e261-46b6-882a-fd51e3215d1c"]}],"mendeley":{"formattedCitation":"[36]","plainTextFormattedCitation":"[36]","previouslyFormattedCitation":"[36]"},"properties":{"noteIndex":0},"schema":"https://github.com/citation-style-language/schema/raw/master/csl-citation.json"}</w:instrText>
      </w:r>
      <w:r w:rsidR="004B6081">
        <w:fldChar w:fldCharType="separate"/>
      </w:r>
      <w:r w:rsidR="00AC65F3" w:rsidRPr="00AC65F3">
        <w:rPr>
          <w:noProof/>
        </w:rPr>
        <w:t>[36]</w:t>
      </w:r>
      <w:r w:rsidR="004B6081">
        <w:fldChar w:fldCharType="end"/>
      </w:r>
      <w:r>
        <w:t>.</w:t>
      </w:r>
      <w:r w:rsidR="00D72509">
        <w:t xml:space="preserve"> </w:t>
      </w:r>
      <w:r w:rsidR="008852DC">
        <w:t>NoMad</w:t>
      </w:r>
      <w:r w:rsidR="008852DC" w:rsidRPr="00F559A2">
        <w:t xml:space="preserve"> results contain no domain-specific scores, and </w:t>
      </w:r>
      <w:r w:rsidR="008852DC">
        <w:t>o</w:t>
      </w:r>
      <w:r w:rsidR="008852DC" w:rsidRPr="00F559A2">
        <w:t>nly answers to individual questions were calculated.</w:t>
      </w:r>
      <w:r w:rsidR="008852DC">
        <w:t xml:space="preserve"> </w:t>
      </w:r>
      <w:r w:rsidR="00D72509">
        <w:t xml:space="preserve">Mean scores with accompanying standard deviations are here reported for Q4-23. The decision </w:t>
      </w:r>
      <w:r w:rsidR="008852DC">
        <w:t>to report NoMad results as mean</w:t>
      </w:r>
      <w:r w:rsidR="000E53A9">
        <w:t>s</w:t>
      </w:r>
      <w:r w:rsidR="008852DC">
        <w:t xml:space="preserve"> rather than medians was taken for two reasons. Firstly, </w:t>
      </w:r>
      <w:r w:rsidR="008852DC" w:rsidRPr="008852DC">
        <w:t xml:space="preserve">the mean value gives a more precise indication of the direction of </w:t>
      </w:r>
      <w:r w:rsidR="008852DC">
        <w:t>response</w:t>
      </w:r>
      <w:r w:rsidR="008852DC" w:rsidRPr="008852DC">
        <w:t xml:space="preserve"> (e.g. for a distribution of scores where mean = 2.5 and median = 2, the former provides meaningful additional detail indicating direction closer to neutral response than is visible from the median score). </w:t>
      </w:r>
      <w:r w:rsidR="008852DC">
        <w:t xml:space="preserve">Secondly, </w:t>
      </w:r>
      <w:r w:rsidR="004B6081">
        <w:t>reporting to one decimal place</w:t>
      </w:r>
      <w:r w:rsidR="008852DC" w:rsidRPr="008852DC">
        <w:t xml:space="preserve"> </w:t>
      </w:r>
      <w:r w:rsidR="008852DC">
        <w:t>provide</w:t>
      </w:r>
      <w:r w:rsidR="004B6081">
        <w:t>s</w:t>
      </w:r>
      <w:r w:rsidR="008852DC">
        <w:t xml:space="preserve"> a more detailed basis for</w:t>
      </w:r>
      <w:r w:rsidR="008852DC" w:rsidRPr="008852DC">
        <w:t xml:space="preserve"> the colour gradient used to aid interpretation o</w:t>
      </w:r>
      <w:r w:rsidR="008852DC">
        <w:t>f results tables</w:t>
      </w:r>
      <w:r w:rsidR="004B6081">
        <w:t xml:space="preserve"> (that is, intensity of colour is linked to tendency towards the response, i.e. strongly agree (blue), neither agree nor disagree (white), strongly disagree (yellow))</w:t>
      </w:r>
      <w:r w:rsidR="008852DC" w:rsidRPr="008852DC">
        <w:t>.</w:t>
      </w:r>
      <w:r w:rsidR="004B6081">
        <w:t xml:space="preserve"> Neutral colours were chosen due to the mixed direction of NoMad questions (i.e. agreement with statements does not always indicate desirable response).</w:t>
      </w:r>
      <w:r w:rsidR="008852DC">
        <w:t xml:space="preserve"> Further exploration of methodological literature was undertaken to </w:t>
      </w:r>
      <w:r w:rsidR="004B6081">
        <w:t>confirm</w:t>
      </w:r>
      <w:r w:rsidR="008852DC">
        <w:t xml:space="preserve"> appropriateness of this approach for analysis of likert-type data </w:t>
      </w:r>
      <w:r w:rsidR="008852DC">
        <w:fldChar w:fldCharType="begin" w:fldLock="1"/>
      </w:r>
      <w:r w:rsidR="008F1402">
        <w:instrText>ADDIN CSL_CITATION {"citationItems":[{"id":"ITEM-1","itemData":{"DOI":"10.1007/s10459-010-9222-y","ISSN":"13824996","abstract":"Reviewers of research reports frequently criticize the choice of statistical methods. While some of these criticisms are well-founded, frequently the use of various parametric methods such as analysis of variance, regression, correlation are faulted because: (a) the sample size is too small, (b) the data may not be normally distributed, or (c) The data are from Likert scales, which are ordinal, so parametric statistics cannot be used. In this paper, I dissect these arguments, and show that many studies, dating back to the 1930s consistently show that parametric statistics are robust with respect to violations of these assumptions. Hence, challenges like those above are unfounded, and parametric methods can be utilized without concern for \"getting the wrong answer\".","author":[{"dropping-particle":"","family":"Norman","given":"Geoff","non-dropping-particle":"","parse-names":false,"suffix":""}],"container-title":"Advances in Health Sciences Education","id":"ITEM-1","issue":"5","issued":{"date-parts":[["2010"]]},"page":"625-632","title":"Likert scales, levels of measurement and the \"laws\" of statistics","type":"article-journal","volume":"15"},"uris":["http://www.mendeley.com/documents/?uuid=fcafdd22-4208-4b40-8719-f9161a7af12d"]},{"id":"ITEM-2","itemData":{"author":[{"dropping-particle":"","family":"Sullivan","given":"Gail M","non-dropping-particle":"","parse-names":false,"suffix":""},{"dropping-particle":"","family":"Artino","given":"Anthony R Jr.","non-dropping-particle":"","parse-names":false,"suffix":""}],"container-title":"Journal of Graduate Medical Education","id":"ITEM-2","issue":"December","issued":{"date-parts":[["2013"]]},"page":"541-542","title":"Analyzing and Interpreting Data From Likert-Type Scales","type":"article-journal"},"uris":["http://www.mendeley.com/documents/?uuid=9fd0b591-9d67-4708-9f95-f16256953c96"]}],"mendeley":{"formattedCitation":"[37,38]","plainTextFormattedCitation":"[37,38]","previouslyFormattedCitation":"[37,38]"},"properties":{"noteIndex":0},"schema":"https://github.com/citation-style-language/schema/raw/master/csl-citation.json"}</w:instrText>
      </w:r>
      <w:r w:rsidR="008852DC">
        <w:fldChar w:fldCharType="separate"/>
      </w:r>
      <w:r w:rsidR="00AC65F3" w:rsidRPr="00AC65F3">
        <w:rPr>
          <w:noProof/>
        </w:rPr>
        <w:t>[37,38]</w:t>
      </w:r>
      <w:r w:rsidR="008852DC">
        <w:fldChar w:fldCharType="end"/>
      </w:r>
      <w:r w:rsidR="008852DC">
        <w:t xml:space="preserve">. </w:t>
      </w:r>
      <w:r>
        <w:t xml:space="preserve"> Qualitative data were analysed through </w:t>
      </w:r>
      <w:r w:rsidR="000E53A9">
        <w:t>directed content analysis</w:t>
      </w:r>
      <w:r>
        <w:t xml:space="preserve"> informed by NPT, using a constant comparative approach, performed </w:t>
      </w:r>
      <w:r w:rsidR="00DA7BD2">
        <w:t>using</w:t>
      </w:r>
      <w:r>
        <w:t xml:space="preserve"> N</w:t>
      </w:r>
      <w:r w:rsidR="007A3873">
        <w:t>V</w:t>
      </w:r>
      <w:r>
        <w:t xml:space="preserve">ivo v11 software </w:t>
      </w:r>
      <w:r w:rsidRPr="001634DA">
        <w:fldChar w:fldCharType="begin" w:fldLock="1"/>
      </w:r>
      <w:r w:rsidR="008F1402">
        <w:instrText>ADDIN CSL_CITATION {"citationItems":[{"id":"ITEM-1","itemData":{"abstract":"The Second Edition of this bestselling text offers students and first-time researchers invaluable guidance to the practice of qualitative social research. Throughout the author addresses the key issues which need to be identified and resolved in the qualitative research process, and through which researchers develop essential skills in qualitative research. The book highlights the`difficult questions' that researchers should get into the habit of asking themselves in the course of doing qualitative research, and outlines the implications of the different ways of responding to these questions. Qualitative Researching bridges the gap between `cook-book' approaches to qualitative research and abstract methodological approaches. Helping the reader to move comfortably between principle and practice, this text has proved to be an invaluable introduction to qualitative research, and a useful aid to accomplished qualitative research practice across the social sciences.","author":[{"dropping-particle":"","family":"Mason","given":"J","non-dropping-particle":"","parse-names":false,"suffix":""}],"id":"ITEM-1","issue":"3","issued":{"date-parts":[["2002"]]},"number-of-pages":"252","publisher":"SAGE Publications","title":"Qualitative researching","type":"book","volume":"17"},"uris":["http://www.mendeley.com/documents/?uuid=5c145ece-d4cf-490b-b40a-217061383cca"]},{"id":"ITEM-2","itemData":{"ISBN":"9781483315683","author":[{"dropping-particle":"","family":"Corbin","given":"J","non-dropping-particle":"","parse-names":false,"suffix":""},{"dropping-particle":"","family":"Strauss","given":"A","non-dropping-particle":"","parse-names":false,"suffix":""}],"id":"ITEM-2","issued":{"date-parts":[["2014"]]},"publisher":"SAGE Publications","title":"Basics of Qualitative Research: Techniques and Procedures for Developing Grounded Theory","type":"book"},"uris":["http://www.mendeley.com/documents/?uuid=0dee9ea8-8519-4931-a53a-ba8739abe300"]}],"mendeley":{"formattedCitation":"[39,40]","plainTextFormattedCitation":"[39,40]","previouslyFormattedCitation":"[39,40]"},"properties":{"noteIndex":0},"schema":"https://github.com/citation-style-language/schema/raw/master/csl-citation.json"}</w:instrText>
      </w:r>
      <w:r w:rsidRPr="001634DA">
        <w:fldChar w:fldCharType="separate"/>
      </w:r>
      <w:r w:rsidR="00AC65F3" w:rsidRPr="00AC65F3">
        <w:rPr>
          <w:noProof/>
        </w:rPr>
        <w:t>[39,40]</w:t>
      </w:r>
      <w:r w:rsidRPr="001634DA">
        <w:fldChar w:fldCharType="end"/>
      </w:r>
      <w:bookmarkStart w:id="12" w:name="_Toc506539306"/>
      <w:r w:rsidR="00D317D1" w:rsidRPr="001634DA">
        <w:t>.</w:t>
      </w:r>
      <w:r w:rsidR="00DA7BD2" w:rsidRPr="001634DA">
        <w:t xml:space="preserve"> Nvivo </w:t>
      </w:r>
      <w:r w:rsidR="00DA7BD2" w:rsidRPr="00D57BB3">
        <w:rPr>
          <w:rFonts w:ascii="Calibri" w:eastAsia="Times New Roman" w:hAnsi="Calibri" w:cs="Calibri"/>
          <w:color w:val="000000"/>
          <w:lang w:eastAsia="en-GB"/>
        </w:rPr>
        <w:t>allows user</w:t>
      </w:r>
      <w:r w:rsidR="000E53A9">
        <w:rPr>
          <w:rFonts w:ascii="Calibri" w:eastAsia="Times New Roman" w:hAnsi="Calibri" w:cs="Calibri"/>
          <w:color w:val="000000"/>
          <w:lang w:eastAsia="en-GB"/>
        </w:rPr>
        <w:t>s</w:t>
      </w:r>
      <w:r w:rsidR="00DA7BD2" w:rsidRPr="00D57BB3">
        <w:rPr>
          <w:rFonts w:ascii="Calibri" w:eastAsia="Times New Roman" w:hAnsi="Calibri" w:cs="Calibri"/>
          <w:color w:val="000000"/>
          <w:lang w:eastAsia="en-GB"/>
        </w:rPr>
        <w:t xml:space="preserve"> to attach labels (or ‘codes’) to text, audio, video or image data, and </w:t>
      </w:r>
      <w:r w:rsidR="000E53A9">
        <w:rPr>
          <w:rFonts w:ascii="Calibri" w:eastAsia="Times New Roman" w:hAnsi="Calibri" w:cs="Calibri"/>
          <w:color w:val="000000"/>
          <w:lang w:eastAsia="en-GB"/>
        </w:rPr>
        <w:t>facilitates</w:t>
      </w:r>
      <w:r w:rsidR="00DA7BD2" w:rsidRPr="00D57BB3">
        <w:rPr>
          <w:rFonts w:ascii="Calibri" w:eastAsia="Times New Roman" w:hAnsi="Calibri" w:cs="Calibri"/>
          <w:color w:val="000000"/>
          <w:lang w:eastAsia="en-GB"/>
        </w:rPr>
        <w:t xml:space="preserve"> data management through which </w:t>
      </w:r>
      <w:r w:rsidR="000E53A9">
        <w:rPr>
          <w:rFonts w:ascii="Calibri" w:eastAsia="Times New Roman" w:hAnsi="Calibri" w:cs="Calibri"/>
          <w:color w:val="000000"/>
          <w:lang w:eastAsia="en-GB"/>
        </w:rPr>
        <w:t xml:space="preserve">directed content analysis </w:t>
      </w:r>
      <w:r w:rsidR="00DA7BD2" w:rsidRPr="00D57BB3">
        <w:rPr>
          <w:rFonts w:ascii="Calibri" w:eastAsia="Times New Roman" w:hAnsi="Calibri" w:cs="Calibri"/>
          <w:color w:val="000000"/>
          <w:lang w:eastAsia="en-GB"/>
        </w:rPr>
        <w:lastRenderedPageBreak/>
        <w:t xml:space="preserve">can be conducted by a competent user. In this study, a list of codes was established based </w:t>
      </w:r>
      <w:r w:rsidR="000E53A9">
        <w:rPr>
          <w:rFonts w:ascii="Calibri" w:eastAsia="Times New Roman" w:hAnsi="Calibri" w:cs="Calibri"/>
          <w:color w:val="000000"/>
          <w:lang w:eastAsia="en-GB"/>
        </w:rPr>
        <w:t>on</w:t>
      </w:r>
      <w:r w:rsidR="00DA7BD2" w:rsidRPr="00D57BB3">
        <w:rPr>
          <w:rFonts w:ascii="Calibri" w:eastAsia="Times New Roman" w:hAnsi="Calibri" w:cs="Calibri"/>
          <w:color w:val="000000"/>
          <w:lang w:eastAsia="en-GB"/>
        </w:rPr>
        <w:t xml:space="preserve"> NPT </w:t>
      </w:r>
      <w:r w:rsidR="000E53A9">
        <w:rPr>
          <w:rFonts w:ascii="Calibri" w:eastAsia="Times New Roman" w:hAnsi="Calibri" w:cs="Calibri"/>
          <w:color w:val="000000"/>
          <w:lang w:eastAsia="en-GB"/>
        </w:rPr>
        <w:t>(see Table 1)</w:t>
      </w:r>
      <w:r w:rsidR="00DA7BD2" w:rsidRPr="00D57BB3">
        <w:rPr>
          <w:rFonts w:ascii="Calibri" w:eastAsia="Times New Roman" w:hAnsi="Calibri" w:cs="Calibri"/>
          <w:color w:val="000000"/>
          <w:lang w:eastAsia="en-GB"/>
        </w:rPr>
        <w:t xml:space="preserve"> and used to identify relevant portions of audio and transcription data from interviews.</w:t>
      </w:r>
    </w:p>
    <w:p w14:paraId="48905308" w14:textId="0850987C" w:rsidR="00F50E60" w:rsidRDefault="005053F9" w:rsidP="00D317D1">
      <w:pPr>
        <w:jc w:val="both"/>
      </w:pPr>
      <w:r>
        <w:t xml:space="preserve">Interviews were performed by one researcher (MB), and audio data sent to an external transcription service immediately upon completion (all interviews were returned within 14 days). Upon receipt of </w:t>
      </w:r>
      <w:r w:rsidR="000E53A9">
        <w:t>transcripts</w:t>
      </w:r>
      <w:r>
        <w:t xml:space="preserve">, data integrity checks were performed by one researcher (MB), which </w:t>
      </w:r>
      <w:r w:rsidR="00F50E60">
        <w:t>involved reading</w:t>
      </w:r>
      <w:r>
        <w:t xml:space="preserve"> the transcript along with audio </w:t>
      </w:r>
      <w:r w:rsidR="00F50E60">
        <w:t>to ensure congruence between the two</w:t>
      </w:r>
      <w:r>
        <w:t xml:space="preserve">. This also served as </w:t>
      </w:r>
      <w:r w:rsidR="00F841AF">
        <w:t>a</w:t>
      </w:r>
      <w:r>
        <w:t xml:space="preserve"> familiarisation procedure prior to </w:t>
      </w:r>
      <w:r w:rsidR="00F50E60">
        <w:t xml:space="preserve">initial </w:t>
      </w:r>
      <w:r w:rsidR="000E53A9">
        <w:t xml:space="preserve">directed content analysis, </w:t>
      </w:r>
      <w:r>
        <w:t xml:space="preserve">where initial themes relating to </w:t>
      </w:r>
      <w:r w:rsidR="000E53A9">
        <w:t>NPT components</w:t>
      </w:r>
      <w:r>
        <w:t xml:space="preserve"> and linked questions within the NoMad</w:t>
      </w:r>
      <w:r w:rsidR="00F50E60">
        <w:t xml:space="preserve"> survey</w:t>
      </w:r>
      <w:r>
        <w:t xml:space="preserve"> were identified</w:t>
      </w:r>
      <w:r w:rsidR="00F50E60">
        <w:t xml:space="preserve"> by one researcher (MB)</w:t>
      </w:r>
      <w:r>
        <w:t>.  Emerging content of these</w:t>
      </w:r>
      <w:r w:rsidR="005220FA">
        <w:t xml:space="preserve"> themes</w:t>
      </w:r>
      <w:r>
        <w:t xml:space="preserve"> w</w:t>
      </w:r>
      <w:r w:rsidR="000E53A9">
        <w:t>as</w:t>
      </w:r>
      <w:r>
        <w:t xml:space="preserve"> then</w:t>
      </w:r>
      <w:r w:rsidR="005220FA">
        <w:t xml:space="preserve"> discussed at group meetings with </w:t>
      </w:r>
      <w:r>
        <w:t xml:space="preserve">all </w:t>
      </w:r>
      <w:r w:rsidR="005220FA">
        <w:t>co-authors (</w:t>
      </w:r>
      <w:r>
        <w:t xml:space="preserve">MB, </w:t>
      </w:r>
      <w:r w:rsidR="005220FA">
        <w:t>JM, KW, KS, CRM)</w:t>
      </w:r>
      <w:r>
        <w:t xml:space="preserve">, </w:t>
      </w:r>
      <w:r w:rsidR="000E53A9">
        <w:t>with the aim of</w:t>
      </w:r>
      <w:r>
        <w:t xml:space="preserve"> agree</w:t>
      </w:r>
      <w:r w:rsidR="000E53A9">
        <w:t>ing</w:t>
      </w:r>
      <w:r>
        <w:t xml:space="preserve"> relevance of material to </w:t>
      </w:r>
      <w:r w:rsidR="00F50E60">
        <w:t xml:space="preserve">individual </w:t>
      </w:r>
      <w:r w:rsidR="000E53A9">
        <w:t xml:space="preserve">codes </w:t>
      </w:r>
      <w:r w:rsidR="00F50E60">
        <w:t xml:space="preserve">(e.g. whether an interview extract applied to a specific NPT construct, and/or whether it </w:t>
      </w:r>
      <w:r w:rsidR="000E53A9">
        <w:t>is</w:t>
      </w:r>
      <w:r w:rsidR="00F50E60">
        <w:t xml:space="preserve"> relevant to other constructs). Following group discussion, amendments were made as necessary. This process repeated across three team meetings as interviews were completed (following the constant comparative approach), with themes agreed at the final meeting following completion of </w:t>
      </w:r>
      <w:r w:rsidR="00B1789A">
        <w:t>all</w:t>
      </w:r>
      <w:r w:rsidR="00F50E60">
        <w:t xml:space="preserve"> interviews (a flowchart detailing this process is given in Figure 2).</w:t>
      </w:r>
    </w:p>
    <w:p w14:paraId="146CC181" w14:textId="77777777" w:rsidR="00B1789A" w:rsidRPr="005576E8" w:rsidRDefault="00B1789A" w:rsidP="00B1789A">
      <w:pPr>
        <w:jc w:val="both"/>
        <w:rPr>
          <w:color w:val="000000" w:themeColor="text1"/>
        </w:rPr>
      </w:pPr>
      <w:r>
        <w:rPr>
          <w:color w:val="000000" w:themeColor="text1"/>
        </w:rPr>
        <w:t>[INSERT FIGURE 2]</w:t>
      </w:r>
    </w:p>
    <w:p w14:paraId="73394314" w14:textId="2443D898" w:rsidR="006F43EB" w:rsidRPr="00570AA3" w:rsidRDefault="006F43EB" w:rsidP="00570AA3">
      <w:pPr>
        <w:rPr>
          <w:i/>
        </w:rPr>
      </w:pPr>
      <w:r w:rsidRPr="00570AA3">
        <w:rPr>
          <w:i/>
        </w:rPr>
        <w:t>Study sample</w:t>
      </w:r>
      <w:bookmarkEnd w:id="12"/>
    </w:p>
    <w:p w14:paraId="1D0D0B73" w14:textId="4798B05F" w:rsidR="006F43EB" w:rsidRDefault="00B5094A" w:rsidP="006F43EB">
      <w:pPr>
        <w:jc w:val="both"/>
      </w:pPr>
      <w:bookmarkStart w:id="13" w:name="_Hlk524080459"/>
      <w:r>
        <w:t>S</w:t>
      </w:r>
      <w:r w:rsidR="00E33D04">
        <w:t>taff</w:t>
      </w:r>
      <w:r>
        <w:t xml:space="preserve"> (n=89) </w:t>
      </w:r>
      <w:r w:rsidR="006F43EB">
        <w:t>were approached</w:t>
      </w:r>
      <w:r w:rsidR="00FC3FF0">
        <w:t xml:space="preserve"> at T0</w:t>
      </w:r>
      <w:r w:rsidR="006F43EB">
        <w:t>, of whic</w:t>
      </w:r>
      <w:r w:rsidR="00FC3FF0">
        <w:t xml:space="preserve">h 73 consented to participate. </w:t>
      </w:r>
      <w:r w:rsidR="006F43EB">
        <w:t>The recruitment rate at T0 was 79%.</w:t>
      </w:r>
      <w:bookmarkEnd w:id="13"/>
      <w:r w:rsidR="006F43EB">
        <w:t xml:space="preserve"> The recruited sample T0 comprised: 42 physical health (community) nurses, seven mental health nurses, 16 Healthcare Support Workers, four Occupational Therapists, one Physiotherapist, and one other practitioner of Consultant-level</w:t>
      </w:r>
      <w:r w:rsidR="006F43EB" w:rsidRPr="00570AA3">
        <w:rPr>
          <w:rStyle w:val="FootnoteReference"/>
        </w:rPr>
        <w:footnoteReference w:id="1"/>
      </w:r>
      <w:r w:rsidR="006F43EB">
        <w:t>. Further details of the s</w:t>
      </w:r>
      <w:r w:rsidR="00D317D1">
        <w:t>tudy sample are given in table 2</w:t>
      </w:r>
      <w:r w:rsidR="006F43EB">
        <w:t>. A sub-sample of 16 participants also completed semi-structured telephone interview</w:t>
      </w:r>
      <w:r w:rsidR="000E53A9">
        <w:t>s</w:t>
      </w:r>
      <w:r w:rsidR="006F43EB">
        <w:t xml:space="preserve"> following comple</w:t>
      </w:r>
      <w:r w:rsidR="00445689">
        <w:t>tion of NoMad at T0 (see table 2</w:t>
      </w:r>
      <w:r w:rsidR="006F43EB">
        <w:t xml:space="preserve">; </w:t>
      </w:r>
      <w:r w:rsidR="00E33D04">
        <w:t xml:space="preserve">for </w:t>
      </w:r>
      <w:r w:rsidR="006F43EB">
        <w:t xml:space="preserve">a full description of approach process for </w:t>
      </w:r>
      <w:r w:rsidR="00E33D04">
        <w:t xml:space="preserve">interview, see </w:t>
      </w:r>
      <w:r w:rsidR="003E31E1">
        <w:t>Additional File 2</w:t>
      </w:r>
      <w:r w:rsidR="006F43EB">
        <w:t>). At T1, 32 participants completed follow-up NoMad questionnaire</w:t>
      </w:r>
      <w:r w:rsidR="000E53A9">
        <w:t>s</w:t>
      </w:r>
      <w:r w:rsidR="006F43EB">
        <w:t xml:space="preserve"> (</w:t>
      </w:r>
      <w:r w:rsidR="00E33D04">
        <w:t>attrition rate =</w:t>
      </w:r>
      <w:r w:rsidR="006F43EB">
        <w:t xml:space="preserve"> 56%), 13 of which participated in the training while 19 did not.  </w:t>
      </w:r>
      <w:bookmarkStart w:id="14" w:name="_Hlk524086398"/>
      <w:r w:rsidR="006F43EB">
        <w:t>Of the 41 participants who did not complete T1, 12 participants (16% of th</w:t>
      </w:r>
      <w:r w:rsidR="00E33D04">
        <w:t>e T0 recruited sample</w:t>
      </w:r>
      <w:r w:rsidR="006F43EB">
        <w:t xml:space="preserve">) were identified as having left their teams, including four team leads </w:t>
      </w:r>
      <w:r w:rsidR="006F43EB">
        <w:lastRenderedPageBreak/>
        <w:t>representing a third of those included in the study</w:t>
      </w:r>
      <w:r w:rsidR="00E33D04">
        <w:t xml:space="preserve"> (n=12)</w:t>
      </w:r>
      <w:r w:rsidR="006F43EB">
        <w:t xml:space="preserve">. </w:t>
      </w:r>
      <w:r w:rsidR="00E33D04">
        <w:t>Reasons for non-completion at T1 by</w:t>
      </w:r>
      <w:r w:rsidR="006F43EB">
        <w:t xml:space="preserve"> the remaining </w:t>
      </w:r>
      <w:r w:rsidR="00FC3FF0">
        <w:t xml:space="preserve">29 participants were not given. </w:t>
      </w:r>
      <w:bookmarkEnd w:id="14"/>
      <w:r w:rsidR="006F43EB">
        <w:t xml:space="preserve">NoMad results </w:t>
      </w:r>
      <w:r w:rsidR="00E33D04">
        <w:t>reported here reflect</w:t>
      </w:r>
      <w:r w:rsidR="006F43EB">
        <w:t xml:space="preserve"> only those who completed</w:t>
      </w:r>
      <w:r w:rsidR="00E33D04">
        <w:t xml:space="preserve"> at</w:t>
      </w:r>
      <w:r w:rsidR="006F43EB">
        <w:t xml:space="preserve"> both T0 and T1 </w:t>
      </w:r>
      <w:r w:rsidR="00E24ABD">
        <w:t>(n=32 participants)</w:t>
      </w:r>
      <w:r w:rsidR="006F43EB">
        <w:t>.</w:t>
      </w:r>
    </w:p>
    <w:p w14:paraId="3E03AEC3" w14:textId="77777777" w:rsidR="006F43EB" w:rsidRDefault="006F43EB" w:rsidP="006F43EB">
      <w:pPr>
        <w:jc w:val="both"/>
      </w:pPr>
    </w:p>
    <w:tbl>
      <w:tblPr>
        <w:tblW w:w="7760" w:type="dxa"/>
        <w:jc w:val="center"/>
        <w:tblLook w:val="04A0" w:firstRow="1" w:lastRow="0" w:firstColumn="1" w:lastColumn="0" w:noHBand="0" w:noVBand="1"/>
      </w:tblPr>
      <w:tblGrid>
        <w:gridCol w:w="3640"/>
        <w:gridCol w:w="1360"/>
        <w:gridCol w:w="1380"/>
        <w:gridCol w:w="1380"/>
      </w:tblGrid>
      <w:tr w:rsidR="006F43EB" w:rsidRPr="0071077A" w14:paraId="0BE66730" w14:textId="77777777" w:rsidTr="00CE60AA">
        <w:trPr>
          <w:trHeight w:val="300"/>
          <w:jc w:val="center"/>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CFBBE" w14:textId="77777777" w:rsidR="006F43EB" w:rsidRPr="0071077A" w:rsidRDefault="006F43EB" w:rsidP="00CE60AA">
            <w:pPr>
              <w:spacing w:after="0" w:line="240" w:lineRule="auto"/>
              <w:rPr>
                <w:rFonts w:ascii="Calibri" w:eastAsia="Times New Roman" w:hAnsi="Calibri" w:cs="Calibri"/>
                <w:b/>
                <w:bCs/>
                <w:color w:val="000000"/>
                <w:lang w:eastAsia="en-GB"/>
              </w:rPr>
            </w:pPr>
            <w:bookmarkStart w:id="15" w:name="_Hlk524080468"/>
            <w:r w:rsidRPr="0071077A">
              <w:rPr>
                <w:rFonts w:ascii="Calibri" w:eastAsia="Times New Roman" w:hAnsi="Calibri" w:cs="Calibri"/>
                <w:b/>
                <w:bCs/>
                <w:color w:val="000000"/>
                <w:lang w:eastAsia="en-GB"/>
              </w:rPr>
              <w:t>Role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DD26E03" w14:textId="77777777" w:rsidR="006F43EB" w:rsidRPr="0071077A" w:rsidRDefault="006F43EB" w:rsidP="00CE60AA">
            <w:pPr>
              <w:spacing w:after="0" w:line="240" w:lineRule="auto"/>
              <w:rPr>
                <w:rFonts w:ascii="Calibri" w:eastAsia="Times New Roman" w:hAnsi="Calibri" w:cs="Calibri"/>
                <w:b/>
                <w:bCs/>
                <w:color w:val="000000"/>
                <w:lang w:eastAsia="en-GB"/>
              </w:rPr>
            </w:pPr>
            <w:r w:rsidRPr="0071077A">
              <w:rPr>
                <w:rFonts w:ascii="Calibri" w:eastAsia="Times New Roman" w:hAnsi="Calibri" w:cs="Calibri"/>
                <w:b/>
                <w:bCs/>
                <w:color w:val="000000"/>
                <w:lang w:eastAsia="en-GB"/>
              </w:rPr>
              <w:t>NoMad T0 (n)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5CD30F3A" w14:textId="47B2FC29" w:rsidR="006F43EB" w:rsidRPr="0071077A" w:rsidRDefault="006F43EB" w:rsidP="00CE60AA">
            <w:pPr>
              <w:spacing w:after="0" w:line="240" w:lineRule="auto"/>
              <w:rPr>
                <w:rFonts w:ascii="Calibri" w:eastAsia="Times New Roman" w:hAnsi="Calibri" w:cs="Calibri"/>
                <w:b/>
                <w:bCs/>
                <w:color w:val="000000"/>
                <w:lang w:eastAsia="en-GB"/>
              </w:rPr>
            </w:pPr>
            <w:r w:rsidRPr="0071077A">
              <w:rPr>
                <w:rFonts w:ascii="Calibri" w:eastAsia="Times New Roman" w:hAnsi="Calibri" w:cs="Calibri"/>
                <w:b/>
                <w:bCs/>
                <w:color w:val="000000"/>
                <w:lang w:eastAsia="en-GB"/>
              </w:rPr>
              <w:t xml:space="preserve">Interview </w:t>
            </w:r>
            <w:r w:rsidR="00F44A44">
              <w:rPr>
                <w:rFonts w:ascii="Calibri" w:eastAsia="Times New Roman" w:hAnsi="Calibri" w:cs="Calibri"/>
                <w:b/>
                <w:bCs/>
                <w:color w:val="000000"/>
                <w:lang w:eastAsia="en-GB"/>
              </w:rPr>
              <w:t>T0 (n)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27FC0F5F" w14:textId="78104DF8" w:rsidR="006F43EB" w:rsidRPr="0071077A" w:rsidRDefault="006F43EB" w:rsidP="00CE60AA">
            <w:pPr>
              <w:spacing w:after="0" w:line="240" w:lineRule="auto"/>
              <w:rPr>
                <w:rFonts w:ascii="Calibri" w:eastAsia="Times New Roman" w:hAnsi="Calibri" w:cs="Calibri"/>
                <w:b/>
                <w:bCs/>
                <w:color w:val="000000"/>
                <w:lang w:eastAsia="en-GB"/>
              </w:rPr>
            </w:pPr>
            <w:r w:rsidRPr="0071077A">
              <w:rPr>
                <w:rFonts w:ascii="Calibri" w:eastAsia="Times New Roman" w:hAnsi="Calibri" w:cs="Calibri"/>
                <w:b/>
                <w:bCs/>
                <w:color w:val="000000"/>
                <w:lang w:eastAsia="en-GB"/>
              </w:rPr>
              <w:t xml:space="preserve">NoMad </w:t>
            </w:r>
            <w:r w:rsidR="009D1A67">
              <w:rPr>
                <w:rFonts w:ascii="Calibri" w:eastAsia="Times New Roman" w:hAnsi="Calibri" w:cs="Calibri"/>
                <w:b/>
                <w:bCs/>
                <w:color w:val="000000"/>
                <w:lang w:eastAsia="en-GB"/>
              </w:rPr>
              <w:t xml:space="preserve">T1 </w:t>
            </w:r>
            <w:r w:rsidRPr="0071077A">
              <w:rPr>
                <w:rFonts w:ascii="Calibri" w:eastAsia="Times New Roman" w:hAnsi="Calibri" w:cs="Calibri"/>
                <w:b/>
                <w:bCs/>
                <w:color w:val="000000"/>
                <w:lang w:eastAsia="en-GB"/>
              </w:rPr>
              <w:t>(n)</w:t>
            </w:r>
          </w:p>
        </w:tc>
      </w:tr>
      <w:tr w:rsidR="006F43EB" w:rsidRPr="0071077A" w14:paraId="6DAC07FC" w14:textId="77777777" w:rsidTr="00CE60AA">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1114E58" w14:textId="13DDB3BF" w:rsidR="006F43EB" w:rsidRPr="0071077A" w:rsidRDefault="006F43EB" w:rsidP="00CE60AA">
            <w:pPr>
              <w:spacing w:after="0" w:line="240" w:lineRule="auto"/>
              <w:rPr>
                <w:rFonts w:ascii="Calibri" w:eastAsia="Times New Roman" w:hAnsi="Calibri" w:cs="Calibri"/>
                <w:color w:val="000000"/>
                <w:lang w:eastAsia="en-GB"/>
              </w:rPr>
            </w:pPr>
            <w:r w:rsidRPr="0071077A">
              <w:rPr>
                <w:rFonts w:ascii="Calibri" w:eastAsia="Times New Roman" w:hAnsi="Calibri" w:cs="Calibri"/>
                <w:color w:val="000000"/>
                <w:lang w:eastAsia="en-GB"/>
              </w:rPr>
              <w:t xml:space="preserve">Mental Health Nurse </w:t>
            </w:r>
            <w:r w:rsidR="00000B38">
              <w:rPr>
                <w:rFonts w:ascii="Calibri" w:eastAsia="Times New Roman" w:hAnsi="Calibri" w:cs="Calibri"/>
                <w:color w:val="000000"/>
                <w:lang w:eastAsia="en-GB"/>
              </w:rPr>
              <w:t>(MHN)</w:t>
            </w:r>
          </w:p>
        </w:tc>
        <w:tc>
          <w:tcPr>
            <w:tcW w:w="1360" w:type="dxa"/>
            <w:tcBorders>
              <w:top w:val="nil"/>
              <w:left w:val="nil"/>
              <w:bottom w:val="single" w:sz="4" w:space="0" w:color="auto"/>
              <w:right w:val="single" w:sz="4" w:space="0" w:color="auto"/>
            </w:tcBorders>
            <w:shd w:val="clear" w:color="auto" w:fill="auto"/>
            <w:noWrap/>
            <w:vAlign w:val="bottom"/>
            <w:hideMark/>
          </w:tcPr>
          <w:p w14:paraId="2FF73866" w14:textId="77777777" w:rsidR="006F43EB" w:rsidRPr="0071077A" w:rsidRDefault="006F43EB" w:rsidP="00CE60AA">
            <w:pPr>
              <w:spacing w:after="0" w:line="240" w:lineRule="auto"/>
              <w:jc w:val="right"/>
              <w:rPr>
                <w:rFonts w:ascii="Calibri" w:eastAsia="Times New Roman" w:hAnsi="Calibri" w:cs="Calibri"/>
                <w:color w:val="000000"/>
                <w:lang w:eastAsia="en-GB"/>
              </w:rPr>
            </w:pPr>
            <w:r w:rsidRPr="0071077A">
              <w:rPr>
                <w:rFonts w:ascii="Calibri" w:eastAsia="Times New Roman" w:hAnsi="Calibri" w:cs="Calibri"/>
                <w:color w:val="000000"/>
                <w:lang w:eastAsia="en-GB"/>
              </w:rPr>
              <w:t>7</w:t>
            </w:r>
          </w:p>
        </w:tc>
        <w:tc>
          <w:tcPr>
            <w:tcW w:w="1380" w:type="dxa"/>
            <w:tcBorders>
              <w:top w:val="nil"/>
              <w:left w:val="nil"/>
              <w:bottom w:val="single" w:sz="4" w:space="0" w:color="auto"/>
              <w:right w:val="single" w:sz="4" w:space="0" w:color="auto"/>
            </w:tcBorders>
            <w:shd w:val="clear" w:color="auto" w:fill="auto"/>
            <w:noWrap/>
            <w:vAlign w:val="bottom"/>
            <w:hideMark/>
          </w:tcPr>
          <w:p w14:paraId="3A3B5DE6" w14:textId="77777777" w:rsidR="006F43EB" w:rsidRPr="0071077A" w:rsidRDefault="006F43EB" w:rsidP="00CE60AA">
            <w:pPr>
              <w:spacing w:after="0" w:line="240" w:lineRule="auto"/>
              <w:jc w:val="right"/>
              <w:rPr>
                <w:rFonts w:ascii="Calibri" w:eastAsia="Times New Roman" w:hAnsi="Calibri" w:cs="Calibri"/>
                <w:color w:val="000000"/>
                <w:lang w:eastAsia="en-GB"/>
              </w:rPr>
            </w:pPr>
            <w:r w:rsidRPr="0071077A">
              <w:rPr>
                <w:rFonts w:ascii="Calibri" w:eastAsia="Times New Roman" w:hAnsi="Calibri" w:cs="Calibri"/>
                <w:color w:val="000000"/>
                <w:lang w:eastAsia="en-GB"/>
              </w:rPr>
              <w:t>2</w:t>
            </w:r>
          </w:p>
        </w:tc>
        <w:tc>
          <w:tcPr>
            <w:tcW w:w="1380" w:type="dxa"/>
            <w:tcBorders>
              <w:top w:val="nil"/>
              <w:left w:val="nil"/>
              <w:bottom w:val="single" w:sz="4" w:space="0" w:color="auto"/>
              <w:right w:val="single" w:sz="4" w:space="0" w:color="auto"/>
            </w:tcBorders>
            <w:shd w:val="clear" w:color="auto" w:fill="auto"/>
            <w:noWrap/>
            <w:vAlign w:val="bottom"/>
            <w:hideMark/>
          </w:tcPr>
          <w:p w14:paraId="128E06EA" w14:textId="77777777" w:rsidR="006F43EB" w:rsidRPr="0071077A" w:rsidRDefault="006F43EB" w:rsidP="00CE60AA">
            <w:pPr>
              <w:spacing w:after="0" w:line="240" w:lineRule="auto"/>
              <w:jc w:val="right"/>
              <w:rPr>
                <w:rFonts w:ascii="Calibri" w:eastAsia="Times New Roman" w:hAnsi="Calibri" w:cs="Calibri"/>
                <w:color w:val="000000"/>
                <w:lang w:eastAsia="en-GB"/>
              </w:rPr>
            </w:pPr>
            <w:r w:rsidRPr="0071077A">
              <w:rPr>
                <w:rFonts w:ascii="Calibri" w:eastAsia="Times New Roman" w:hAnsi="Calibri" w:cs="Calibri"/>
                <w:color w:val="000000"/>
                <w:lang w:eastAsia="en-GB"/>
              </w:rPr>
              <w:t>1</w:t>
            </w:r>
          </w:p>
        </w:tc>
      </w:tr>
      <w:tr w:rsidR="006F43EB" w:rsidRPr="0071077A" w14:paraId="141E3E0C" w14:textId="77777777" w:rsidTr="00CE60AA">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BBB4B99" w14:textId="19DF1D13" w:rsidR="006F43EB" w:rsidRPr="0071077A" w:rsidRDefault="006F43EB" w:rsidP="00CE60AA">
            <w:pPr>
              <w:spacing w:after="0" w:line="240" w:lineRule="auto"/>
              <w:rPr>
                <w:rFonts w:ascii="Calibri" w:eastAsia="Times New Roman" w:hAnsi="Calibri" w:cs="Calibri"/>
                <w:color w:val="000000"/>
                <w:lang w:eastAsia="en-GB"/>
              </w:rPr>
            </w:pPr>
            <w:r w:rsidRPr="0071077A">
              <w:rPr>
                <w:rFonts w:ascii="Calibri" w:eastAsia="Times New Roman" w:hAnsi="Calibri" w:cs="Calibri"/>
                <w:color w:val="000000"/>
                <w:lang w:eastAsia="en-GB"/>
              </w:rPr>
              <w:t>Physical Health (Community) Nurse</w:t>
            </w:r>
            <w:r w:rsidR="00000B38">
              <w:rPr>
                <w:rFonts w:ascii="Calibri" w:eastAsia="Times New Roman" w:hAnsi="Calibri" w:cs="Calibri"/>
                <w:color w:val="000000"/>
                <w:lang w:eastAsia="en-GB"/>
              </w:rPr>
              <w:t xml:space="preserve"> (PHN)</w:t>
            </w:r>
          </w:p>
        </w:tc>
        <w:tc>
          <w:tcPr>
            <w:tcW w:w="1360" w:type="dxa"/>
            <w:tcBorders>
              <w:top w:val="nil"/>
              <w:left w:val="nil"/>
              <w:bottom w:val="single" w:sz="4" w:space="0" w:color="auto"/>
              <w:right w:val="single" w:sz="4" w:space="0" w:color="auto"/>
            </w:tcBorders>
            <w:shd w:val="clear" w:color="auto" w:fill="auto"/>
            <w:noWrap/>
            <w:vAlign w:val="bottom"/>
            <w:hideMark/>
          </w:tcPr>
          <w:p w14:paraId="5B5032ED" w14:textId="77777777" w:rsidR="006F43EB" w:rsidRPr="0071077A" w:rsidRDefault="006F43EB" w:rsidP="00CE60AA">
            <w:pPr>
              <w:spacing w:after="0" w:line="240" w:lineRule="auto"/>
              <w:jc w:val="right"/>
              <w:rPr>
                <w:rFonts w:ascii="Calibri" w:eastAsia="Times New Roman" w:hAnsi="Calibri" w:cs="Calibri"/>
                <w:color w:val="000000"/>
                <w:lang w:eastAsia="en-GB"/>
              </w:rPr>
            </w:pPr>
            <w:r w:rsidRPr="0071077A">
              <w:rPr>
                <w:rFonts w:ascii="Calibri" w:eastAsia="Times New Roman" w:hAnsi="Calibri" w:cs="Calibri"/>
                <w:color w:val="000000"/>
                <w:lang w:eastAsia="en-GB"/>
              </w:rPr>
              <w:t>42</w:t>
            </w:r>
          </w:p>
        </w:tc>
        <w:tc>
          <w:tcPr>
            <w:tcW w:w="1380" w:type="dxa"/>
            <w:tcBorders>
              <w:top w:val="nil"/>
              <w:left w:val="nil"/>
              <w:bottom w:val="single" w:sz="4" w:space="0" w:color="auto"/>
              <w:right w:val="single" w:sz="4" w:space="0" w:color="auto"/>
            </w:tcBorders>
            <w:shd w:val="clear" w:color="auto" w:fill="auto"/>
            <w:noWrap/>
            <w:vAlign w:val="bottom"/>
            <w:hideMark/>
          </w:tcPr>
          <w:p w14:paraId="2EBEA22A" w14:textId="77777777" w:rsidR="006F43EB" w:rsidRPr="0071077A" w:rsidRDefault="006F43EB" w:rsidP="00CE60AA">
            <w:pPr>
              <w:spacing w:after="0" w:line="240" w:lineRule="auto"/>
              <w:jc w:val="right"/>
              <w:rPr>
                <w:rFonts w:ascii="Calibri" w:eastAsia="Times New Roman" w:hAnsi="Calibri" w:cs="Calibri"/>
                <w:color w:val="000000"/>
                <w:lang w:eastAsia="en-GB"/>
              </w:rPr>
            </w:pPr>
            <w:r w:rsidRPr="0071077A">
              <w:rPr>
                <w:rFonts w:ascii="Calibri" w:eastAsia="Times New Roman" w:hAnsi="Calibri" w:cs="Calibri"/>
                <w:color w:val="000000"/>
                <w:lang w:eastAsia="en-GB"/>
              </w:rPr>
              <w:t>13</w:t>
            </w:r>
          </w:p>
        </w:tc>
        <w:tc>
          <w:tcPr>
            <w:tcW w:w="1380" w:type="dxa"/>
            <w:tcBorders>
              <w:top w:val="nil"/>
              <w:left w:val="nil"/>
              <w:bottom w:val="single" w:sz="4" w:space="0" w:color="auto"/>
              <w:right w:val="single" w:sz="4" w:space="0" w:color="auto"/>
            </w:tcBorders>
            <w:shd w:val="clear" w:color="auto" w:fill="auto"/>
            <w:noWrap/>
            <w:vAlign w:val="bottom"/>
            <w:hideMark/>
          </w:tcPr>
          <w:p w14:paraId="625FE698" w14:textId="77777777" w:rsidR="006F43EB" w:rsidRPr="0071077A" w:rsidRDefault="006F43EB" w:rsidP="00CE60AA">
            <w:pPr>
              <w:spacing w:after="0" w:line="240" w:lineRule="auto"/>
              <w:jc w:val="right"/>
              <w:rPr>
                <w:rFonts w:ascii="Calibri" w:eastAsia="Times New Roman" w:hAnsi="Calibri" w:cs="Calibri"/>
                <w:color w:val="000000"/>
                <w:lang w:eastAsia="en-GB"/>
              </w:rPr>
            </w:pPr>
            <w:r w:rsidRPr="0071077A">
              <w:rPr>
                <w:rFonts w:ascii="Calibri" w:eastAsia="Times New Roman" w:hAnsi="Calibri" w:cs="Calibri"/>
                <w:color w:val="000000"/>
                <w:lang w:eastAsia="en-GB"/>
              </w:rPr>
              <w:t>22</w:t>
            </w:r>
          </w:p>
        </w:tc>
      </w:tr>
      <w:tr w:rsidR="006F43EB" w:rsidRPr="0071077A" w14:paraId="02F2CF2F" w14:textId="77777777" w:rsidTr="00CE60AA">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73F0A41" w14:textId="6BE0DC72" w:rsidR="006F43EB" w:rsidRPr="0071077A" w:rsidRDefault="006F43EB" w:rsidP="00CE60AA">
            <w:pPr>
              <w:spacing w:after="0" w:line="240" w:lineRule="auto"/>
              <w:rPr>
                <w:rFonts w:ascii="Calibri" w:eastAsia="Times New Roman" w:hAnsi="Calibri" w:cs="Calibri"/>
                <w:color w:val="000000"/>
                <w:lang w:eastAsia="en-GB"/>
              </w:rPr>
            </w:pPr>
            <w:r w:rsidRPr="0071077A">
              <w:rPr>
                <w:rFonts w:ascii="Calibri" w:eastAsia="Times New Roman" w:hAnsi="Calibri" w:cs="Calibri"/>
                <w:color w:val="000000"/>
                <w:lang w:eastAsia="en-GB"/>
              </w:rPr>
              <w:t>Occupational Therapist</w:t>
            </w:r>
            <w:r w:rsidR="00000B38">
              <w:rPr>
                <w:rFonts w:ascii="Calibri" w:eastAsia="Times New Roman" w:hAnsi="Calibri" w:cs="Calibri"/>
                <w:color w:val="000000"/>
                <w:lang w:eastAsia="en-GB"/>
              </w:rPr>
              <w:t xml:space="preserve"> (OT)</w:t>
            </w:r>
          </w:p>
        </w:tc>
        <w:tc>
          <w:tcPr>
            <w:tcW w:w="1360" w:type="dxa"/>
            <w:tcBorders>
              <w:top w:val="nil"/>
              <w:left w:val="nil"/>
              <w:bottom w:val="single" w:sz="4" w:space="0" w:color="auto"/>
              <w:right w:val="single" w:sz="4" w:space="0" w:color="auto"/>
            </w:tcBorders>
            <w:shd w:val="clear" w:color="auto" w:fill="auto"/>
            <w:noWrap/>
            <w:vAlign w:val="bottom"/>
            <w:hideMark/>
          </w:tcPr>
          <w:p w14:paraId="78794CC8" w14:textId="77777777" w:rsidR="006F43EB" w:rsidRPr="0071077A" w:rsidRDefault="006F43EB" w:rsidP="00CE60AA">
            <w:pPr>
              <w:spacing w:after="0" w:line="240" w:lineRule="auto"/>
              <w:jc w:val="right"/>
              <w:rPr>
                <w:rFonts w:ascii="Calibri" w:eastAsia="Times New Roman" w:hAnsi="Calibri" w:cs="Calibri"/>
                <w:color w:val="000000"/>
                <w:lang w:eastAsia="en-GB"/>
              </w:rPr>
            </w:pPr>
            <w:r w:rsidRPr="0071077A">
              <w:rPr>
                <w:rFonts w:ascii="Calibri" w:eastAsia="Times New Roman" w:hAnsi="Calibri" w:cs="Calibri"/>
                <w:color w:val="000000"/>
                <w:lang w:eastAsia="en-GB"/>
              </w:rPr>
              <w:t>4</w:t>
            </w:r>
          </w:p>
        </w:tc>
        <w:tc>
          <w:tcPr>
            <w:tcW w:w="1380" w:type="dxa"/>
            <w:tcBorders>
              <w:top w:val="nil"/>
              <w:left w:val="nil"/>
              <w:bottom w:val="single" w:sz="4" w:space="0" w:color="auto"/>
              <w:right w:val="single" w:sz="4" w:space="0" w:color="auto"/>
            </w:tcBorders>
            <w:shd w:val="clear" w:color="auto" w:fill="auto"/>
            <w:noWrap/>
            <w:vAlign w:val="bottom"/>
            <w:hideMark/>
          </w:tcPr>
          <w:p w14:paraId="60838772" w14:textId="77777777" w:rsidR="006F43EB" w:rsidRPr="0071077A" w:rsidRDefault="006F43EB" w:rsidP="00CE60AA">
            <w:pPr>
              <w:spacing w:after="0" w:line="240" w:lineRule="auto"/>
              <w:jc w:val="right"/>
              <w:rPr>
                <w:rFonts w:ascii="Calibri" w:eastAsia="Times New Roman" w:hAnsi="Calibri" w:cs="Calibri"/>
                <w:color w:val="000000"/>
                <w:lang w:eastAsia="en-GB"/>
              </w:rPr>
            </w:pPr>
            <w:r w:rsidRPr="0071077A">
              <w:rPr>
                <w:rFonts w:ascii="Calibri" w:eastAsia="Times New Roman" w:hAnsi="Calibri" w:cs="Calibri"/>
                <w:color w:val="000000"/>
                <w:lang w:eastAsia="en-GB"/>
              </w:rPr>
              <w:t>1</w:t>
            </w:r>
          </w:p>
        </w:tc>
        <w:tc>
          <w:tcPr>
            <w:tcW w:w="1380" w:type="dxa"/>
            <w:tcBorders>
              <w:top w:val="nil"/>
              <w:left w:val="nil"/>
              <w:bottom w:val="single" w:sz="4" w:space="0" w:color="auto"/>
              <w:right w:val="single" w:sz="4" w:space="0" w:color="auto"/>
            </w:tcBorders>
            <w:shd w:val="clear" w:color="auto" w:fill="auto"/>
            <w:noWrap/>
            <w:vAlign w:val="bottom"/>
            <w:hideMark/>
          </w:tcPr>
          <w:p w14:paraId="30F004BF" w14:textId="77777777" w:rsidR="006F43EB" w:rsidRPr="0071077A" w:rsidRDefault="006F43EB" w:rsidP="00CE60AA">
            <w:pPr>
              <w:spacing w:after="0" w:line="240" w:lineRule="auto"/>
              <w:jc w:val="right"/>
              <w:rPr>
                <w:rFonts w:ascii="Calibri" w:eastAsia="Times New Roman" w:hAnsi="Calibri" w:cs="Calibri"/>
                <w:color w:val="000000"/>
                <w:lang w:eastAsia="en-GB"/>
              </w:rPr>
            </w:pPr>
            <w:r w:rsidRPr="0071077A">
              <w:rPr>
                <w:rFonts w:ascii="Calibri" w:eastAsia="Times New Roman" w:hAnsi="Calibri" w:cs="Calibri"/>
                <w:color w:val="000000"/>
                <w:lang w:eastAsia="en-GB"/>
              </w:rPr>
              <w:t>4</w:t>
            </w:r>
          </w:p>
        </w:tc>
      </w:tr>
      <w:tr w:rsidR="006F43EB" w:rsidRPr="0071077A" w14:paraId="4C265AA6" w14:textId="77777777" w:rsidTr="00CE60AA">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802EF9A" w14:textId="737B7F6F" w:rsidR="006F43EB" w:rsidRPr="0071077A" w:rsidRDefault="006F43EB" w:rsidP="00CE60AA">
            <w:pPr>
              <w:spacing w:after="0" w:line="240" w:lineRule="auto"/>
              <w:rPr>
                <w:rFonts w:ascii="Calibri" w:eastAsia="Times New Roman" w:hAnsi="Calibri" w:cs="Calibri"/>
                <w:color w:val="000000"/>
                <w:lang w:eastAsia="en-GB"/>
              </w:rPr>
            </w:pPr>
            <w:r w:rsidRPr="0071077A">
              <w:rPr>
                <w:rFonts w:ascii="Calibri" w:eastAsia="Times New Roman" w:hAnsi="Calibri" w:cs="Calibri"/>
                <w:color w:val="000000"/>
                <w:lang w:eastAsia="en-GB"/>
              </w:rPr>
              <w:t>Healthcare Support Worker</w:t>
            </w:r>
            <w:r w:rsidR="00000B38">
              <w:rPr>
                <w:rFonts w:ascii="Calibri" w:eastAsia="Times New Roman" w:hAnsi="Calibri" w:cs="Calibri"/>
                <w:color w:val="000000"/>
                <w:lang w:eastAsia="en-GB"/>
              </w:rPr>
              <w:t xml:space="preserve"> (HSW)</w:t>
            </w:r>
          </w:p>
        </w:tc>
        <w:tc>
          <w:tcPr>
            <w:tcW w:w="1360" w:type="dxa"/>
            <w:tcBorders>
              <w:top w:val="nil"/>
              <w:left w:val="nil"/>
              <w:bottom w:val="single" w:sz="4" w:space="0" w:color="auto"/>
              <w:right w:val="single" w:sz="4" w:space="0" w:color="auto"/>
            </w:tcBorders>
            <w:shd w:val="clear" w:color="auto" w:fill="auto"/>
            <w:noWrap/>
            <w:vAlign w:val="bottom"/>
            <w:hideMark/>
          </w:tcPr>
          <w:p w14:paraId="63AEC342" w14:textId="77777777" w:rsidR="006F43EB" w:rsidRPr="0071077A" w:rsidRDefault="006F43EB" w:rsidP="00CE60AA">
            <w:pPr>
              <w:spacing w:after="0" w:line="240" w:lineRule="auto"/>
              <w:jc w:val="right"/>
              <w:rPr>
                <w:rFonts w:ascii="Calibri" w:eastAsia="Times New Roman" w:hAnsi="Calibri" w:cs="Calibri"/>
                <w:color w:val="000000"/>
                <w:lang w:eastAsia="en-GB"/>
              </w:rPr>
            </w:pPr>
            <w:r w:rsidRPr="0071077A">
              <w:rPr>
                <w:rFonts w:ascii="Calibri" w:eastAsia="Times New Roman" w:hAnsi="Calibri" w:cs="Calibri"/>
                <w:color w:val="000000"/>
                <w:lang w:eastAsia="en-GB"/>
              </w:rPr>
              <w:t>16</w:t>
            </w:r>
          </w:p>
        </w:tc>
        <w:tc>
          <w:tcPr>
            <w:tcW w:w="1380" w:type="dxa"/>
            <w:tcBorders>
              <w:top w:val="nil"/>
              <w:left w:val="nil"/>
              <w:bottom w:val="single" w:sz="4" w:space="0" w:color="auto"/>
              <w:right w:val="single" w:sz="4" w:space="0" w:color="auto"/>
            </w:tcBorders>
            <w:shd w:val="clear" w:color="auto" w:fill="auto"/>
            <w:noWrap/>
            <w:vAlign w:val="bottom"/>
            <w:hideMark/>
          </w:tcPr>
          <w:p w14:paraId="4285A36D" w14:textId="77777777" w:rsidR="006F43EB" w:rsidRPr="0071077A" w:rsidRDefault="006F43EB" w:rsidP="00CE60AA">
            <w:pPr>
              <w:spacing w:after="0" w:line="240" w:lineRule="auto"/>
              <w:jc w:val="right"/>
              <w:rPr>
                <w:rFonts w:ascii="Calibri" w:eastAsia="Times New Roman" w:hAnsi="Calibri" w:cs="Calibri"/>
                <w:color w:val="000000"/>
                <w:lang w:eastAsia="en-GB"/>
              </w:rPr>
            </w:pPr>
            <w:r w:rsidRPr="0071077A">
              <w:rPr>
                <w:rFonts w:ascii="Calibri" w:eastAsia="Times New Roman" w:hAnsi="Calibri" w:cs="Calibri"/>
                <w:color w:val="000000"/>
                <w:lang w:eastAsia="en-GB"/>
              </w:rPr>
              <w:t>0</w:t>
            </w:r>
          </w:p>
        </w:tc>
        <w:tc>
          <w:tcPr>
            <w:tcW w:w="1380" w:type="dxa"/>
            <w:tcBorders>
              <w:top w:val="nil"/>
              <w:left w:val="nil"/>
              <w:bottom w:val="single" w:sz="4" w:space="0" w:color="auto"/>
              <w:right w:val="single" w:sz="4" w:space="0" w:color="auto"/>
            </w:tcBorders>
            <w:shd w:val="clear" w:color="auto" w:fill="auto"/>
            <w:noWrap/>
            <w:vAlign w:val="bottom"/>
            <w:hideMark/>
          </w:tcPr>
          <w:p w14:paraId="1BDB6E62" w14:textId="77777777" w:rsidR="006F43EB" w:rsidRPr="0071077A" w:rsidRDefault="006F43EB" w:rsidP="00CE60AA">
            <w:pPr>
              <w:spacing w:after="0" w:line="240" w:lineRule="auto"/>
              <w:jc w:val="right"/>
              <w:rPr>
                <w:rFonts w:ascii="Calibri" w:eastAsia="Times New Roman" w:hAnsi="Calibri" w:cs="Calibri"/>
                <w:color w:val="000000"/>
                <w:lang w:eastAsia="en-GB"/>
              </w:rPr>
            </w:pPr>
            <w:r w:rsidRPr="0071077A">
              <w:rPr>
                <w:rFonts w:ascii="Calibri" w:eastAsia="Times New Roman" w:hAnsi="Calibri" w:cs="Calibri"/>
                <w:color w:val="000000"/>
                <w:lang w:eastAsia="en-GB"/>
              </w:rPr>
              <w:t>4</w:t>
            </w:r>
          </w:p>
        </w:tc>
      </w:tr>
      <w:tr w:rsidR="006F43EB" w:rsidRPr="0071077A" w14:paraId="72CF6D56" w14:textId="77777777" w:rsidTr="00CE60AA">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6708338" w14:textId="78A45F4D" w:rsidR="006F43EB" w:rsidRPr="0071077A" w:rsidRDefault="006F43EB" w:rsidP="00CE60AA">
            <w:pPr>
              <w:spacing w:after="0" w:line="240" w:lineRule="auto"/>
              <w:rPr>
                <w:rFonts w:ascii="Calibri" w:eastAsia="Times New Roman" w:hAnsi="Calibri" w:cs="Calibri"/>
                <w:color w:val="000000"/>
                <w:lang w:eastAsia="en-GB"/>
              </w:rPr>
            </w:pPr>
            <w:r w:rsidRPr="0071077A">
              <w:rPr>
                <w:rFonts w:ascii="Calibri" w:eastAsia="Times New Roman" w:hAnsi="Calibri" w:cs="Calibri"/>
                <w:color w:val="000000"/>
                <w:lang w:eastAsia="en-GB"/>
              </w:rPr>
              <w:t>Physiotherapist</w:t>
            </w:r>
            <w:r w:rsidR="00000B38">
              <w:rPr>
                <w:rFonts w:ascii="Calibri" w:eastAsia="Times New Roman" w:hAnsi="Calibri" w:cs="Calibri"/>
                <w:color w:val="000000"/>
                <w:lang w:eastAsia="en-GB"/>
              </w:rPr>
              <w:t xml:space="preserve"> (PT)</w:t>
            </w:r>
          </w:p>
        </w:tc>
        <w:tc>
          <w:tcPr>
            <w:tcW w:w="1360" w:type="dxa"/>
            <w:tcBorders>
              <w:top w:val="nil"/>
              <w:left w:val="nil"/>
              <w:bottom w:val="single" w:sz="4" w:space="0" w:color="auto"/>
              <w:right w:val="single" w:sz="4" w:space="0" w:color="auto"/>
            </w:tcBorders>
            <w:shd w:val="clear" w:color="auto" w:fill="auto"/>
            <w:noWrap/>
            <w:vAlign w:val="bottom"/>
            <w:hideMark/>
          </w:tcPr>
          <w:p w14:paraId="5566F148" w14:textId="77777777" w:rsidR="006F43EB" w:rsidRPr="0071077A" w:rsidRDefault="006F43EB" w:rsidP="00CE60AA">
            <w:pPr>
              <w:spacing w:after="0" w:line="240" w:lineRule="auto"/>
              <w:jc w:val="right"/>
              <w:rPr>
                <w:rFonts w:ascii="Calibri" w:eastAsia="Times New Roman" w:hAnsi="Calibri" w:cs="Calibri"/>
                <w:color w:val="000000"/>
                <w:lang w:eastAsia="en-GB"/>
              </w:rPr>
            </w:pPr>
            <w:r w:rsidRPr="0071077A">
              <w:rPr>
                <w:rFonts w:ascii="Calibri" w:eastAsia="Times New Roman" w:hAnsi="Calibri" w:cs="Calibri"/>
                <w:color w:val="000000"/>
                <w:lang w:eastAsia="en-GB"/>
              </w:rPr>
              <w:t>1</w:t>
            </w:r>
          </w:p>
        </w:tc>
        <w:tc>
          <w:tcPr>
            <w:tcW w:w="1380" w:type="dxa"/>
            <w:tcBorders>
              <w:top w:val="nil"/>
              <w:left w:val="nil"/>
              <w:bottom w:val="single" w:sz="4" w:space="0" w:color="auto"/>
              <w:right w:val="single" w:sz="4" w:space="0" w:color="auto"/>
            </w:tcBorders>
            <w:shd w:val="clear" w:color="auto" w:fill="auto"/>
            <w:noWrap/>
            <w:vAlign w:val="bottom"/>
            <w:hideMark/>
          </w:tcPr>
          <w:p w14:paraId="69432D66" w14:textId="77777777" w:rsidR="006F43EB" w:rsidRPr="0071077A" w:rsidRDefault="006F43EB" w:rsidP="00CE60AA">
            <w:pPr>
              <w:spacing w:after="0" w:line="240" w:lineRule="auto"/>
              <w:jc w:val="right"/>
              <w:rPr>
                <w:rFonts w:ascii="Calibri" w:eastAsia="Times New Roman" w:hAnsi="Calibri" w:cs="Calibri"/>
                <w:color w:val="000000"/>
                <w:lang w:eastAsia="en-GB"/>
              </w:rPr>
            </w:pPr>
            <w:r w:rsidRPr="0071077A">
              <w:rPr>
                <w:rFonts w:ascii="Calibri" w:eastAsia="Times New Roman" w:hAnsi="Calibri" w:cs="Calibri"/>
                <w:color w:val="000000"/>
                <w:lang w:eastAsia="en-GB"/>
              </w:rPr>
              <w:t>0</w:t>
            </w:r>
          </w:p>
        </w:tc>
        <w:tc>
          <w:tcPr>
            <w:tcW w:w="1380" w:type="dxa"/>
            <w:tcBorders>
              <w:top w:val="nil"/>
              <w:left w:val="nil"/>
              <w:bottom w:val="single" w:sz="4" w:space="0" w:color="auto"/>
              <w:right w:val="single" w:sz="4" w:space="0" w:color="auto"/>
            </w:tcBorders>
            <w:shd w:val="clear" w:color="auto" w:fill="auto"/>
            <w:noWrap/>
            <w:vAlign w:val="bottom"/>
            <w:hideMark/>
          </w:tcPr>
          <w:p w14:paraId="51317E84" w14:textId="77777777" w:rsidR="006F43EB" w:rsidRPr="0071077A" w:rsidRDefault="006F43EB" w:rsidP="00CE60AA">
            <w:pPr>
              <w:spacing w:after="0" w:line="240" w:lineRule="auto"/>
              <w:jc w:val="right"/>
              <w:rPr>
                <w:rFonts w:ascii="Calibri" w:eastAsia="Times New Roman" w:hAnsi="Calibri" w:cs="Calibri"/>
                <w:color w:val="000000"/>
                <w:lang w:eastAsia="en-GB"/>
              </w:rPr>
            </w:pPr>
            <w:r w:rsidRPr="0071077A">
              <w:rPr>
                <w:rFonts w:ascii="Calibri" w:eastAsia="Times New Roman" w:hAnsi="Calibri" w:cs="Calibri"/>
                <w:color w:val="000000"/>
                <w:lang w:eastAsia="en-GB"/>
              </w:rPr>
              <w:t>1</w:t>
            </w:r>
          </w:p>
        </w:tc>
      </w:tr>
      <w:tr w:rsidR="006F43EB" w:rsidRPr="0071077A" w14:paraId="7C217703" w14:textId="77777777" w:rsidTr="00CE60AA">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AA25EDA" w14:textId="22FBDBDF" w:rsidR="006F43EB" w:rsidRPr="0071077A" w:rsidRDefault="006F43EB" w:rsidP="00CE60AA">
            <w:pPr>
              <w:spacing w:after="0" w:line="240" w:lineRule="auto"/>
              <w:rPr>
                <w:rFonts w:ascii="Calibri" w:eastAsia="Times New Roman" w:hAnsi="Calibri" w:cs="Calibri"/>
                <w:color w:val="000000"/>
                <w:lang w:eastAsia="en-GB"/>
              </w:rPr>
            </w:pPr>
            <w:r w:rsidRPr="0071077A">
              <w:rPr>
                <w:rFonts w:ascii="Calibri" w:eastAsia="Times New Roman" w:hAnsi="Calibri" w:cs="Calibri"/>
                <w:color w:val="000000"/>
                <w:lang w:eastAsia="en-GB"/>
              </w:rPr>
              <w:t>Associate Practitioner</w:t>
            </w:r>
            <w:r w:rsidR="00000B38">
              <w:rPr>
                <w:rFonts w:ascii="Calibri" w:eastAsia="Times New Roman" w:hAnsi="Calibri" w:cs="Calibri"/>
                <w:color w:val="000000"/>
                <w:lang w:eastAsia="en-GB"/>
              </w:rPr>
              <w:t xml:space="preserve"> (AP)</w:t>
            </w:r>
          </w:p>
        </w:tc>
        <w:tc>
          <w:tcPr>
            <w:tcW w:w="1360" w:type="dxa"/>
            <w:tcBorders>
              <w:top w:val="nil"/>
              <w:left w:val="nil"/>
              <w:bottom w:val="single" w:sz="4" w:space="0" w:color="auto"/>
              <w:right w:val="single" w:sz="4" w:space="0" w:color="auto"/>
            </w:tcBorders>
            <w:shd w:val="clear" w:color="auto" w:fill="auto"/>
            <w:noWrap/>
            <w:vAlign w:val="bottom"/>
            <w:hideMark/>
          </w:tcPr>
          <w:p w14:paraId="621D862B" w14:textId="77777777" w:rsidR="006F43EB" w:rsidRPr="0071077A" w:rsidRDefault="006F43EB" w:rsidP="00CE60AA">
            <w:pPr>
              <w:spacing w:after="0" w:line="240" w:lineRule="auto"/>
              <w:jc w:val="right"/>
              <w:rPr>
                <w:rFonts w:ascii="Calibri" w:eastAsia="Times New Roman" w:hAnsi="Calibri" w:cs="Calibri"/>
                <w:color w:val="000000"/>
                <w:lang w:eastAsia="en-GB"/>
              </w:rPr>
            </w:pPr>
            <w:r w:rsidRPr="0071077A">
              <w:rPr>
                <w:rFonts w:ascii="Calibri" w:eastAsia="Times New Roman" w:hAnsi="Calibri" w:cs="Calibri"/>
                <w:color w:val="000000"/>
                <w:lang w:eastAsia="en-GB"/>
              </w:rPr>
              <w:t>2</w:t>
            </w:r>
          </w:p>
        </w:tc>
        <w:tc>
          <w:tcPr>
            <w:tcW w:w="1380" w:type="dxa"/>
            <w:tcBorders>
              <w:top w:val="nil"/>
              <w:left w:val="nil"/>
              <w:bottom w:val="single" w:sz="4" w:space="0" w:color="auto"/>
              <w:right w:val="single" w:sz="4" w:space="0" w:color="auto"/>
            </w:tcBorders>
            <w:shd w:val="clear" w:color="auto" w:fill="auto"/>
            <w:noWrap/>
            <w:vAlign w:val="bottom"/>
            <w:hideMark/>
          </w:tcPr>
          <w:p w14:paraId="21B10992" w14:textId="77777777" w:rsidR="006F43EB" w:rsidRPr="0071077A" w:rsidRDefault="006F43EB" w:rsidP="00CE60AA">
            <w:pPr>
              <w:spacing w:after="0" w:line="240" w:lineRule="auto"/>
              <w:jc w:val="right"/>
              <w:rPr>
                <w:rFonts w:ascii="Calibri" w:eastAsia="Times New Roman" w:hAnsi="Calibri" w:cs="Calibri"/>
                <w:color w:val="000000"/>
                <w:lang w:eastAsia="en-GB"/>
              </w:rPr>
            </w:pPr>
            <w:r w:rsidRPr="0071077A">
              <w:rPr>
                <w:rFonts w:ascii="Calibri" w:eastAsia="Times New Roman" w:hAnsi="Calibri" w:cs="Calibri"/>
                <w:color w:val="000000"/>
                <w:lang w:eastAsia="en-GB"/>
              </w:rPr>
              <w:t>0</w:t>
            </w:r>
          </w:p>
        </w:tc>
        <w:tc>
          <w:tcPr>
            <w:tcW w:w="1380" w:type="dxa"/>
            <w:tcBorders>
              <w:top w:val="nil"/>
              <w:left w:val="nil"/>
              <w:bottom w:val="single" w:sz="4" w:space="0" w:color="auto"/>
              <w:right w:val="single" w:sz="4" w:space="0" w:color="auto"/>
            </w:tcBorders>
            <w:shd w:val="clear" w:color="auto" w:fill="auto"/>
            <w:noWrap/>
            <w:vAlign w:val="bottom"/>
            <w:hideMark/>
          </w:tcPr>
          <w:p w14:paraId="1FC8F9BC" w14:textId="77777777" w:rsidR="006F43EB" w:rsidRPr="0071077A" w:rsidRDefault="006F43EB" w:rsidP="00CE60AA">
            <w:pPr>
              <w:spacing w:after="0" w:line="240" w:lineRule="auto"/>
              <w:jc w:val="right"/>
              <w:rPr>
                <w:rFonts w:ascii="Calibri" w:eastAsia="Times New Roman" w:hAnsi="Calibri" w:cs="Calibri"/>
                <w:color w:val="000000"/>
                <w:lang w:eastAsia="en-GB"/>
              </w:rPr>
            </w:pPr>
            <w:r w:rsidRPr="0071077A">
              <w:rPr>
                <w:rFonts w:ascii="Calibri" w:eastAsia="Times New Roman" w:hAnsi="Calibri" w:cs="Calibri"/>
                <w:color w:val="000000"/>
                <w:lang w:eastAsia="en-GB"/>
              </w:rPr>
              <w:t>0</w:t>
            </w:r>
          </w:p>
        </w:tc>
      </w:tr>
      <w:tr w:rsidR="006F43EB" w:rsidRPr="0071077A" w14:paraId="68E698C1" w14:textId="77777777" w:rsidTr="00CE60AA">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ADFA680" w14:textId="011E79BF" w:rsidR="006F43EB" w:rsidRPr="0071077A" w:rsidRDefault="006F43EB" w:rsidP="00CE60AA">
            <w:pPr>
              <w:spacing w:after="0" w:line="240" w:lineRule="auto"/>
              <w:rPr>
                <w:rFonts w:ascii="Calibri" w:eastAsia="Times New Roman" w:hAnsi="Calibri" w:cs="Calibri"/>
                <w:color w:val="000000"/>
                <w:lang w:eastAsia="en-GB"/>
              </w:rPr>
            </w:pPr>
            <w:r w:rsidRPr="0071077A">
              <w:rPr>
                <w:rFonts w:ascii="Calibri" w:eastAsia="Times New Roman" w:hAnsi="Calibri" w:cs="Calibri"/>
                <w:color w:val="000000"/>
                <w:lang w:eastAsia="en-GB"/>
              </w:rPr>
              <w:t>Other (consultant-grade practitioner)</w:t>
            </w:r>
            <w:r w:rsidR="00000B38">
              <w:rPr>
                <w:rFonts w:ascii="Calibri" w:eastAsia="Times New Roman" w:hAnsi="Calibri" w:cs="Calibri"/>
                <w:color w:val="000000"/>
                <w:lang w:eastAsia="en-GB"/>
              </w:rPr>
              <w:t xml:space="preserve"> (Oth)</w:t>
            </w:r>
          </w:p>
        </w:tc>
        <w:tc>
          <w:tcPr>
            <w:tcW w:w="1360" w:type="dxa"/>
            <w:tcBorders>
              <w:top w:val="nil"/>
              <w:left w:val="nil"/>
              <w:bottom w:val="single" w:sz="4" w:space="0" w:color="auto"/>
              <w:right w:val="single" w:sz="4" w:space="0" w:color="auto"/>
            </w:tcBorders>
            <w:shd w:val="clear" w:color="auto" w:fill="auto"/>
            <w:noWrap/>
            <w:vAlign w:val="bottom"/>
            <w:hideMark/>
          </w:tcPr>
          <w:p w14:paraId="61035271" w14:textId="77777777" w:rsidR="006F43EB" w:rsidRPr="0071077A" w:rsidRDefault="006F43EB" w:rsidP="00CE60AA">
            <w:pPr>
              <w:spacing w:after="0" w:line="240" w:lineRule="auto"/>
              <w:jc w:val="right"/>
              <w:rPr>
                <w:rFonts w:ascii="Calibri" w:eastAsia="Times New Roman" w:hAnsi="Calibri" w:cs="Calibri"/>
                <w:color w:val="000000"/>
                <w:lang w:eastAsia="en-GB"/>
              </w:rPr>
            </w:pPr>
            <w:r w:rsidRPr="0071077A">
              <w:rPr>
                <w:rFonts w:ascii="Calibri" w:eastAsia="Times New Roman" w:hAnsi="Calibri" w:cs="Calibri"/>
                <w:color w:val="000000"/>
                <w:lang w:eastAsia="en-GB"/>
              </w:rPr>
              <w:t>1</w:t>
            </w:r>
          </w:p>
        </w:tc>
        <w:tc>
          <w:tcPr>
            <w:tcW w:w="1380" w:type="dxa"/>
            <w:tcBorders>
              <w:top w:val="nil"/>
              <w:left w:val="nil"/>
              <w:bottom w:val="single" w:sz="4" w:space="0" w:color="auto"/>
              <w:right w:val="single" w:sz="4" w:space="0" w:color="auto"/>
            </w:tcBorders>
            <w:shd w:val="clear" w:color="auto" w:fill="auto"/>
            <w:noWrap/>
            <w:vAlign w:val="bottom"/>
            <w:hideMark/>
          </w:tcPr>
          <w:p w14:paraId="577EA000" w14:textId="77777777" w:rsidR="006F43EB" w:rsidRPr="0071077A" w:rsidRDefault="006F43EB" w:rsidP="00CE60AA">
            <w:pPr>
              <w:spacing w:after="0" w:line="240" w:lineRule="auto"/>
              <w:jc w:val="right"/>
              <w:rPr>
                <w:rFonts w:ascii="Calibri" w:eastAsia="Times New Roman" w:hAnsi="Calibri" w:cs="Calibri"/>
                <w:color w:val="000000"/>
                <w:lang w:eastAsia="en-GB"/>
              </w:rPr>
            </w:pPr>
            <w:r w:rsidRPr="0071077A">
              <w:rPr>
                <w:rFonts w:ascii="Calibri" w:eastAsia="Times New Roman" w:hAnsi="Calibri" w:cs="Calibri"/>
                <w:color w:val="000000"/>
                <w:lang w:eastAsia="en-GB"/>
              </w:rPr>
              <w:t>0</w:t>
            </w:r>
          </w:p>
        </w:tc>
        <w:tc>
          <w:tcPr>
            <w:tcW w:w="1380" w:type="dxa"/>
            <w:tcBorders>
              <w:top w:val="nil"/>
              <w:left w:val="nil"/>
              <w:bottom w:val="single" w:sz="4" w:space="0" w:color="auto"/>
              <w:right w:val="single" w:sz="4" w:space="0" w:color="auto"/>
            </w:tcBorders>
            <w:shd w:val="clear" w:color="auto" w:fill="auto"/>
            <w:noWrap/>
            <w:vAlign w:val="bottom"/>
            <w:hideMark/>
          </w:tcPr>
          <w:p w14:paraId="2FCD0FDF" w14:textId="77777777" w:rsidR="006F43EB" w:rsidRPr="0071077A" w:rsidRDefault="006F43EB" w:rsidP="00CE60AA">
            <w:pPr>
              <w:spacing w:after="0" w:line="240" w:lineRule="auto"/>
              <w:jc w:val="right"/>
              <w:rPr>
                <w:rFonts w:ascii="Calibri" w:eastAsia="Times New Roman" w:hAnsi="Calibri" w:cs="Calibri"/>
                <w:color w:val="000000"/>
                <w:lang w:eastAsia="en-GB"/>
              </w:rPr>
            </w:pPr>
            <w:r w:rsidRPr="0071077A">
              <w:rPr>
                <w:rFonts w:ascii="Calibri" w:eastAsia="Times New Roman" w:hAnsi="Calibri" w:cs="Calibri"/>
                <w:color w:val="000000"/>
                <w:lang w:eastAsia="en-GB"/>
              </w:rPr>
              <w:t>0</w:t>
            </w:r>
          </w:p>
        </w:tc>
      </w:tr>
      <w:tr w:rsidR="006F43EB" w:rsidRPr="0071077A" w14:paraId="38EA9F6F" w14:textId="77777777" w:rsidTr="00CE60AA">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17F0D89" w14:textId="77777777" w:rsidR="006F43EB" w:rsidRPr="0071077A" w:rsidRDefault="006F43EB" w:rsidP="00CE60AA">
            <w:pPr>
              <w:spacing w:after="0" w:line="240" w:lineRule="auto"/>
              <w:rPr>
                <w:rFonts w:ascii="Calibri" w:eastAsia="Times New Roman" w:hAnsi="Calibri" w:cs="Calibri"/>
                <w:color w:val="000000"/>
                <w:lang w:eastAsia="en-GB"/>
              </w:rPr>
            </w:pPr>
            <w:r w:rsidRPr="0071077A">
              <w:rPr>
                <w:rFonts w:ascii="Calibri" w:eastAsia="Times New Roman" w:hAnsi="Calibri" w:cs="Calibri"/>
                <w:color w:val="000000"/>
                <w:lang w:eastAsia="en-GB"/>
              </w:rPr>
              <w:t>Total participants (all roles/bands)</w:t>
            </w:r>
          </w:p>
        </w:tc>
        <w:tc>
          <w:tcPr>
            <w:tcW w:w="1360" w:type="dxa"/>
            <w:tcBorders>
              <w:top w:val="nil"/>
              <w:left w:val="nil"/>
              <w:bottom w:val="single" w:sz="4" w:space="0" w:color="auto"/>
              <w:right w:val="single" w:sz="4" w:space="0" w:color="auto"/>
            </w:tcBorders>
            <w:shd w:val="clear" w:color="auto" w:fill="auto"/>
            <w:noWrap/>
            <w:vAlign w:val="bottom"/>
            <w:hideMark/>
          </w:tcPr>
          <w:p w14:paraId="3237306A" w14:textId="77777777" w:rsidR="006F43EB" w:rsidRPr="0071077A" w:rsidRDefault="006F43EB" w:rsidP="00CE60AA">
            <w:pPr>
              <w:spacing w:after="0" w:line="240" w:lineRule="auto"/>
              <w:jc w:val="right"/>
              <w:rPr>
                <w:rFonts w:ascii="Calibri" w:eastAsia="Times New Roman" w:hAnsi="Calibri" w:cs="Calibri"/>
                <w:color w:val="000000"/>
                <w:lang w:eastAsia="en-GB"/>
              </w:rPr>
            </w:pPr>
            <w:r w:rsidRPr="0071077A">
              <w:rPr>
                <w:rFonts w:ascii="Calibri" w:eastAsia="Times New Roman" w:hAnsi="Calibri" w:cs="Calibri"/>
                <w:color w:val="000000"/>
                <w:lang w:eastAsia="en-GB"/>
              </w:rPr>
              <w:t>73</w:t>
            </w:r>
          </w:p>
        </w:tc>
        <w:tc>
          <w:tcPr>
            <w:tcW w:w="1380" w:type="dxa"/>
            <w:tcBorders>
              <w:top w:val="nil"/>
              <w:left w:val="nil"/>
              <w:bottom w:val="single" w:sz="4" w:space="0" w:color="auto"/>
              <w:right w:val="single" w:sz="4" w:space="0" w:color="auto"/>
            </w:tcBorders>
            <w:shd w:val="clear" w:color="auto" w:fill="auto"/>
            <w:noWrap/>
            <w:vAlign w:val="bottom"/>
            <w:hideMark/>
          </w:tcPr>
          <w:p w14:paraId="0A491EDD" w14:textId="77777777" w:rsidR="006F43EB" w:rsidRPr="0071077A" w:rsidRDefault="006F43EB" w:rsidP="00CE60AA">
            <w:pPr>
              <w:spacing w:after="0" w:line="240" w:lineRule="auto"/>
              <w:jc w:val="right"/>
              <w:rPr>
                <w:rFonts w:ascii="Calibri" w:eastAsia="Times New Roman" w:hAnsi="Calibri" w:cs="Calibri"/>
                <w:color w:val="000000"/>
                <w:lang w:eastAsia="en-GB"/>
              </w:rPr>
            </w:pPr>
            <w:r w:rsidRPr="0071077A">
              <w:rPr>
                <w:rFonts w:ascii="Calibri" w:eastAsia="Times New Roman" w:hAnsi="Calibri" w:cs="Calibri"/>
                <w:color w:val="000000"/>
                <w:lang w:eastAsia="en-GB"/>
              </w:rPr>
              <w:t>16</w:t>
            </w:r>
          </w:p>
        </w:tc>
        <w:tc>
          <w:tcPr>
            <w:tcW w:w="1380" w:type="dxa"/>
            <w:tcBorders>
              <w:top w:val="nil"/>
              <w:left w:val="nil"/>
              <w:bottom w:val="single" w:sz="4" w:space="0" w:color="auto"/>
              <w:right w:val="single" w:sz="4" w:space="0" w:color="auto"/>
            </w:tcBorders>
            <w:shd w:val="clear" w:color="auto" w:fill="auto"/>
            <w:noWrap/>
            <w:vAlign w:val="bottom"/>
            <w:hideMark/>
          </w:tcPr>
          <w:p w14:paraId="3231BB49" w14:textId="77777777" w:rsidR="006F43EB" w:rsidRPr="0071077A" w:rsidRDefault="006F43EB" w:rsidP="00CE60AA">
            <w:pPr>
              <w:spacing w:after="0" w:line="240" w:lineRule="auto"/>
              <w:jc w:val="right"/>
              <w:rPr>
                <w:rFonts w:ascii="Calibri" w:eastAsia="Times New Roman" w:hAnsi="Calibri" w:cs="Calibri"/>
                <w:color w:val="000000"/>
                <w:lang w:eastAsia="en-GB"/>
              </w:rPr>
            </w:pPr>
            <w:r w:rsidRPr="0071077A">
              <w:rPr>
                <w:rFonts w:ascii="Calibri" w:eastAsia="Times New Roman" w:hAnsi="Calibri" w:cs="Calibri"/>
                <w:color w:val="000000"/>
                <w:lang w:eastAsia="en-GB"/>
              </w:rPr>
              <w:t>32</w:t>
            </w:r>
          </w:p>
        </w:tc>
      </w:tr>
    </w:tbl>
    <w:bookmarkEnd w:id="15"/>
    <w:p w14:paraId="1BF33CD8" w14:textId="0BA04314" w:rsidR="006F43EB" w:rsidRDefault="006F43EB" w:rsidP="006F43EB">
      <w:pPr>
        <w:pStyle w:val="Caption"/>
        <w:jc w:val="center"/>
      </w:pPr>
      <w:r>
        <w:t xml:space="preserve">Table </w:t>
      </w:r>
      <w:r w:rsidR="00673A35">
        <w:rPr>
          <w:noProof/>
        </w:rPr>
        <w:fldChar w:fldCharType="begin"/>
      </w:r>
      <w:r w:rsidR="00673A35">
        <w:rPr>
          <w:noProof/>
        </w:rPr>
        <w:instrText xml:space="preserve"> SEQ Table \* ARABIC </w:instrText>
      </w:r>
      <w:r w:rsidR="00673A35">
        <w:rPr>
          <w:noProof/>
        </w:rPr>
        <w:fldChar w:fldCharType="separate"/>
      </w:r>
      <w:r w:rsidR="00D317D1">
        <w:rPr>
          <w:noProof/>
        </w:rPr>
        <w:t>2</w:t>
      </w:r>
      <w:r w:rsidR="00673A35">
        <w:rPr>
          <w:noProof/>
        </w:rPr>
        <w:fldChar w:fldCharType="end"/>
      </w:r>
      <w:r>
        <w:t xml:space="preserve"> - Demographic characteristics of study sample.</w:t>
      </w:r>
    </w:p>
    <w:p w14:paraId="382915A5" w14:textId="6B9106E5" w:rsidR="0071077A" w:rsidRDefault="00844B73" w:rsidP="0071077A">
      <w:pPr>
        <w:rPr>
          <w:i/>
        </w:rPr>
      </w:pPr>
      <w:r>
        <w:rPr>
          <w:i/>
        </w:rPr>
        <w:t>Patient and public involvement</w:t>
      </w:r>
    </w:p>
    <w:p w14:paraId="4413D3E9" w14:textId="4CC96774" w:rsidR="00844B73" w:rsidRPr="00844B73" w:rsidRDefault="00844B73" w:rsidP="0071077A">
      <w:r>
        <w:t>There was no patient or public involvement in the design or conduct of this study, which was a process evaluation of practice change and involved only staff.</w:t>
      </w:r>
    </w:p>
    <w:p w14:paraId="1D6870CA" w14:textId="46F4EAA6" w:rsidR="00C3267A" w:rsidRPr="00570AA3" w:rsidRDefault="00C3267A" w:rsidP="00570AA3">
      <w:pPr>
        <w:rPr>
          <w:b/>
        </w:rPr>
      </w:pPr>
      <w:r w:rsidRPr="00570AA3">
        <w:rPr>
          <w:b/>
        </w:rPr>
        <w:t>Results</w:t>
      </w:r>
    </w:p>
    <w:p w14:paraId="0BD75948" w14:textId="7F39D0E5" w:rsidR="00C3267A" w:rsidRPr="00570AA3" w:rsidRDefault="00C3267A" w:rsidP="00570AA3">
      <w:pPr>
        <w:rPr>
          <w:u w:val="single"/>
        </w:rPr>
      </w:pPr>
      <w:r w:rsidRPr="00570AA3">
        <w:rPr>
          <w:u w:val="single"/>
        </w:rPr>
        <w:t>Baseline (T0)</w:t>
      </w:r>
    </w:p>
    <w:p w14:paraId="22B3A4C9" w14:textId="00E848BF" w:rsidR="003E64BB" w:rsidRPr="00CC7C87" w:rsidRDefault="00CC7C87" w:rsidP="00CE2ABF">
      <w:pPr>
        <w:rPr>
          <w:i/>
        </w:rPr>
      </w:pPr>
      <w:bookmarkStart w:id="16" w:name="_Hlk524079905"/>
      <w:r>
        <w:rPr>
          <w:i/>
        </w:rPr>
        <w:t>Staff already support nutrition screening and treatment activity, see its value</w:t>
      </w:r>
      <w:r w:rsidR="00D317D1">
        <w:rPr>
          <w:i/>
        </w:rPr>
        <w:t>,</w:t>
      </w:r>
      <w:r>
        <w:rPr>
          <w:i/>
        </w:rPr>
        <w:t xml:space="preserve"> and do not view it as disruptive to other work.</w:t>
      </w:r>
    </w:p>
    <w:p w14:paraId="18E56992" w14:textId="547E9E80" w:rsidR="00CE2ABF" w:rsidRDefault="00F4166F" w:rsidP="0026594F">
      <w:pPr>
        <w:jc w:val="both"/>
      </w:pPr>
      <w:bookmarkStart w:id="17" w:name="_Hlk524079718"/>
      <w:bookmarkEnd w:id="16"/>
      <w:r>
        <w:t>T0</w:t>
      </w:r>
      <w:r w:rsidR="00E33D04">
        <w:t xml:space="preserve"> NoMad responses indicate</w:t>
      </w:r>
      <w:r>
        <w:t xml:space="preserve"> </w:t>
      </w:r>
      <w:r w:rsidR="00CE2ABF">
        <w:t xml:space="preserve">strong support for, and value placed upon, </w:t>
      </w:r>
      <w:r>
        <w:t>nutrition screening and treatment</w:t>
      </w:r>
      <w:r w:rsidR="00CE2ABF">
        <w:t xml:space="preserve"> activity. 9</w:t>
      </w:r>
      <w:r w:rsidR="00D71804">
        <w:t>4</w:t>
      </w:r>
      <w:r w:rsidR="00CE2ABF">
        <w:t>%</w:t>
      </w:r>
      <w:r w:rsidR="00025FBE">
        <w:t xml:space="preserve"> (n=</w:t>
      </w:r>
      <w:r w:rsidR="00D71804">
        <w:t>30</w:t>
      </w:r>
      <w:r w:rsidR="00025FBE">
        <w:t>)</w:t>
      </w:r>
      <w:r w:rsidR="00CE2ABF">
        <w:t xml:space="preserve"> of total participants (n=</w:t>
      </w:r>
      <w:r w:rsidR="00D71804">
        <w:t>32</w:t>
      </w:r>
      <w:r w:rsidR="00CE2ABF">
        <w:t xml:space="preserve">) strongly/agreed that staff see this activity as worthwhile </w:t>
      </w:r>
      <w:r w:rsidR="00025FBE">
        <w:t>(</w:t>
      </w:r>
      <w:r w:rsidR="009403D1">
        <w:t xml:space="preserve">Q20, </w:t>
      </w:r>
      <w:r w:rsidR="00025FBE">
        <w:t xml:space="preserve">mean score = </w:t>
      </w:r>
      <w:r w:rsidR="0026594F">
        <w:t>2.0</w:t>
      </w:r>
      <w:r w:rsidR="009403D1">
        <w:t xml:space="preserve">, </w:t>
      </w:r>
      <w:r w:rsidR="00445689">
        <w:t>see Table 3</w:t>
      </w:r>
      <w:r w:rsidR="00025FBE">
        <w:t>)</w:t>
      </w:r>
      <w:r w:rsidR="00CE2ABF">
        <w:t>. 9</w:t>
      </w:r>
      <w:r w:rsidR="00D71804">
        <w:t>7</w:t>
      </w:r>
      <w:r w:rsidR="00CE2ABF">
        <w:t>%</w:t>
      </w:r>
      <w:r w:rsidR="009403D1">
        <w:t xml:space="preserve"> (n=</w:t>
      </w:r>
      <w:r w:rsidR="00D71804">
        <w:t>31</w:t>
      </w:r>
      <w:r w:rsidR="009403D1">
        <w:t>)</w:t>
      </w:r>
      <w:r w:rsidR="00CE2ABF">
        <w:t xml:space="preserve"> strongly/agreed that screening and treatment of malnutrition was a legitimate part of their role (Q9,</w:t>
      </w:r>
      <w:r w:rsidR="009403D1">
        <w:t xml:space="preserve"> mean score = 1.</w:t>
      </w:r>
      <w:r w:rsidR="0026594F">
        <w:t>6</w:t>
      </w:r>
      <w:r w:rsidR="009D1A67">
        <w:t>, see table 4</w:t>
      </w:r>
      <w:r w:rsidR="009403D1">
        <w:t>)</w:t>
      </w:r>
      <w:r w:rsidR="00CE2ABF">
        <w:t xml:space="preserve">. </w:t>
      </w:r>
      <w:r w:rsidR="0026594F">
        <w:t>81</w:t>
      </w:r>
      <w:r w:rsidR="00CE2ABF">
        <w:t>%</w:t>
      </w:r>
      <w:r w:rsidR="009403D1">
        <w:t xml:space="preserve"> (n=</w:t>
      </w:r>
      <w:r w:rsidR="0026594F">
        <w:t>26</w:t>
      </w:r>
      <w:r w:rsidR="009403D1">
        <w:t>)</w:t>
      </w:r>
      <w:r w:rsidR="00CE2ABF">
        <w:t xml:space="preserve"> strongly/agreed that they valued the effect that screening and treatment for malnutrition has had on their work (Q21,</w:t>
      </w:r>
      <w:r w:rsidR="009403D1">
        <w:t xml:space="preserve"> mean score = 2.0</w:t>
      </w:r>
      <w:r w:rsidR="003E64BB">
        <w:t xml:space="preserve">, table </w:t>
      </w:r>
      <w:r w:rsidR="00445689">
        <w:t>3</w:t>
      </w:r>
      <w:r w:rsidR="00CE2ABF">
        <w:t>). 9</w:t>
      </w:r>
      <w:r w:rsidR="0026594F">
        <w:t>7</w:t>
      </w:r>
      <w:r w:rsidR="00CE2ABF">
        <w:t xml:space="preserve">% </w:t>
      </w:r>
      <w:r w:rsidR="003E64BB">
        <w:t>(n=</w:t>
      </w:r>
      <w:r w:rsidR="0026594F">
        <w:t>31</w:t>
      </w:r>
      <w:r w:rsidR="003E64BB">
        <w:t xml:space="preserve">) </w:t>
      </w:r>
      <w:r w:rsidR="00CE2ABF">
        <w:t xml:space="preserve">strongly/agreed that they were open to working with colleagues in new ways to support this work (Q10, </w:t>
      </w:r>
      <w:r w:rsidR="003E64BB">
        <w:t>mean score = 1.</w:t>
      </w:r>
      <w:r w:rsidR="0026594F">
        <w:t>4</w:t>
      </w:r>
      <w:r w:rsidR="00CE2ABF">
        <w:t xml:space="preserve">, Table </w:t>
      </w:r>
      <w:r w:rsidR="009D1A67">
        <w:t>4</w:t>
      </w:r>
      <w:r w:rsidR="00CE2ABF">
        <w:t>). 97%</w:t>
      </w:r>
      <w:r w:rsidR="0026594F">
        <w:t xml:space="preserve"> (n=31) also</w:t>
      </w:r>
      <w:r w:rsidR="00CE2ABF">
        <w:t xml:space="preserve"> strongly/agreed that they would continue to support this work (Q11, </w:t>
      </w:r>
      <w:r w:rsidR="003E64BB">
        <w:t xml:space="preserve">mean score = </w:t>
      </w:r>
      <w:r w:rsidR="0026594F">
        <w:t>1.4</w:t>
      </w:r>
      <w:r w:rsidR="009D1A67">
        <w:t>, Table 4</w:t>
      </w:r>
      <w:r w:rsidR="00CE2ABF">
        <w:t>).</w:t>
      </w:r>
      <w:r w:rsidR="00417182">
        <w:t xml:space="preserve"> </w:t>
      </w:r>
      <w:bookmarkEnd w:id="17"/>
      <w:r w:rsidR="00417182">
        <w:t xml:space="preserve">This was reflected in responses </w:t>
      </w:r>
      <w:r w:rsidR="00417182">
        <w:lastRenderedPageBreak/>
        <w:t>of 14 participants to telephone interview (T1), all of which were compatible with openness to introducing new ways of working, though three also raised concerns with respect to the time/resource implications of implementation and embedding</w:t>
      </w:r>
      <w:r w:rsidR="00495727">
        <w:t xml:space="preserve"> (see box 1)</w:t>
      </w:r>
      <w:r w:rsidR="00417182">
        <w:t>.</w:t>
      </w:r>
    </w:p>
    <w:p w14:paraId="45EEDAEF" w14:textId="70E5858C" w:rsidR="00A607E5" w:rsidRDefault="00E33D04" w:rsidP="0026594F">
      <w:pPr>
        <w:jc w:val="both"/>
      </w:pPr>
      <w:r>
        <w:t>E</w:t>
      </w:r>
      <w:r w:rsidR="00CE2ABF">
        <w:t xml:space="preserve">xisting arrangements for </w:t>
      </w:r>
      <w:r w:rsidR="00273C56">
        <w:t>nutrition screening and treatment</w:t>
      </w:r>
      <w:r w:rsidR="009D1A67">
        <w:t xml:space="preserve"> could</w:t>
      </w:r>
      <w:r w:rsidR="00CE2ABF">
        <w:t xml:space="preserve"> easily be integrated into their o</w:t>
      </w:r>
      <w:r w:rsidR="009D1A67">
        <w:t xml:space="preserve">verall body of work, and </w:t>
      </w:r>
      <w:r>
        <w:t>were not seen to</w:t>
      </w:r>
      <w:r w:rsidR="00CE2ABF">
        <w:t xml:space="preserve"> disrupt working relationships</w:t>
      </w:r>
      <w:r w:rsidR="0026594F">
        <w:t xml:space="preserve">. </w:t>
      </w:r>
      <w:r w:rsidR="00CE2ABF">
        <w:t>7</w:t>
      </w:r>
      <w:r w:rsidR="00417182">
        <w:t>8</w:t>
      </w:r>
      <w:r w:rsidR="00CE2ABF">
        <w:t>%</w:t>
      </w:r>
      <w:r w:rsidR="00417182">
        <w:t xml:space="preserve"> (n=25)</w:t>
      </w:r>
      <w:r w:rsidR="00CE2ABF">
        <w:t xml:space="preserve"> of </w:t>
      </w:r>
      <w:r w:rsidR="00417182">
        <w:t xml:space="preserve">total </w:t>
      </w:r>
      <w:r w:rsidR="00CE2ABF">
        <w:t>respondents s</w:t>
      </w:r>
      <w:r w:rsidR="009D1A67">
        <w:t>trongly/agreed that existing nutrition screening and treatment activity could</w:t>
      </w:r>
      <w:r w:rsidR="00CE2ABF">
        <w:t xml:space="preserve"> easily be integrated into their overall body of work (Q12</w:t>
      </w:r>
      <w:r w:rsidR="00445689">
        <w:t>, mean score = 2.0, see table 5</w:t>
      </w:r>
      <w:r w:rsidR="00CE2ABF">
        <w:t>).</w:t>
      </w:r>
      <w:r w:rsidR="00417182">
        <w:t xml:space="preserve"> </w:t>
      </w:r>
      <w:r w:rsidR="00CE2ABF">
        <w:t xml:space="preserve">79% strongly/disagreed that screening and treatment of malnutrition disrupts working relationships (Q13, </w:t>
      </w:r>
      <w:r w:rsidR="00417182">
        <w:t>mean score = 1.9</w:t>
      </w:r>
      <w:r w:rsidR="00CE2ABF">
        <w:t xml:space="preserve">, </w:t>
      </w:r>
      <w:r w:rsidR="00417182">
        <w:t>see t</w:t>
      </w:r>
      <w:r w:rsidR="00CE2ABF">
        <w:t>able</w:t>
      </w:r>
      <w:r w:rsidR="003A704A">
        <w:t xml:space="preserve"> 5</w:t>
      </w:r>
      <w:r w:rsidR="00CE2ABF">
        <w:t>).</w:t>
      </w:r>
      <w:r w:rsidR="00F4166F">
        <w:t xml:space="preserve"> </w:t>
      </w:r>
      <w:r w:rsidR="00CE2ABF">
        <w:t>Six respondents</w:t>
      </w:r>
      <w:r w:rsidR="00F6606A">
        <w:t xml:space="preserve"> from</w:t>
      </w:r>
      <w:r w:rsidR="00CE2ABF">
        <w:t xml:space="preserve"> interview</w:t>
      </w:r>
      <w:r w:rsidR="00F6606A">
        <w:t>s</w:t>
      </w:r>
      <w:r w:rsidR="00CE2ABF">
        <w:t xml:space="preserve"> described discussion of screening and treatment of malnutrition as </w:t>
      </w:r>
      <w:r w:rsidR="009D1A67">
        <w:t>a common feature of team</w:t>
      </w:r>
      <w:r w:rsidR="00CE2ABF">
        <w:t xml:space="preserve"> meetings</w:t>
      </w:r>
      <w:r w:rsidR="00495727">
        <w:t xml:space="preserve"> (see box 1)</w:t>
      </w:r>
      <w:r w:rsidR="00CE2ABF">
        <w:t xml:space="preserve">. </w:t>
      </w:r>
    </w:p>
    <w:p w14:paraId="50843359" w14:textId="6C999D52" w:rsidR="00CC7C87" w:rsidRPr="00CC7C87" w:rsidRDefault="00CC7C87" w:rsidP="0026594F">
      <w:pPr>
        <w:jc w:val="both"/>
        <w:rPr>
          <w:i/>
        </w:rPr>
      </w:pPr>
      <w:bookmarkStart w:id="18" w:name="_Hlk524080541"/>
      <w:r>
        <w:rPr>
          <w:i/>
        </w:rPr>
        <w:t>Concerns exist as to wider organisational support for nutrition screening and treatment by community teams</w:t>
      </w:r>
      <w:r w:rsidR="00153FBF">
        <w:rPr>
          <w:i/>
        </w:rPr>
        <w:t>, as well as access to dietetic support</w:t>
      </w:r>
      <w:bookmarkEnd w:id="18"/>
      <w:r w:rsidR="00153FBF">
        <w:rPr>
          <w:i/>
        </w:rPr>
        <w:t>.</w:t>
      </w:r>
    </w:p>
    <w:p w14:paraId="798C8E3F" w14:textId="04B0884C" w:rsidR="00BC6302" w:rsidRDefault="00B5094A" w:rsidP="0026594F">
      <w:pPr>
        <w:jc w:val="both"/>
      </w:pPr>
      <w:r>
        <w:t xml:space="preserve">Uncertainty </w:t>
      </w:r>
      <w:r w:rsidR="00250776">
        <w:t>or doubt</w:t>
      </w:r>
      <w:r w:rsidR="00CE2ABF">
        <w:t xml:space="preserve"> </w:t>
      </w:r>
      <w:r w:rsidR="00E33D04">
        <w:t xml:space="preserve">was expressed by many </w:t>
      </w:r>
      <w:r w:rsidR="00CE2ABF">
        <w:t xml:space="preserve">participants </w:t>
      </w:r>
      <w:r w:rsidR="00E33D04">
        <w:t>regarding</w:t>
      </w:r>
      <w:r w:rsidR="00CE2ABF">
        <w:t xml:space="preserve"> logistical and organisational support for screening and treatment related activity.</w:t>
      </w:r>
      <w:r w:rsidR="00BC6302">
        <w:t xml:space="preserve"> </w:t>
      </w:r>
      <w:r w:rsidR="00CE2ABF">
        <w:t xml:space="preserve">59% of respondents were </w:t>
      </w:r>
      <w:r>
        <w:t>uncertain</w:t>
      </w:r>
      <w:r w:rsidR="00CE2ABF">
        <w:t xml:space="preserve"> (44%) or strongly/disagreed (15%) with the statement ‘[t]here are key people who drive screening and treatment for malnutrition forward and get others involved’ (</w:t>
      </w:r>
      <w:r w:rsidR="00A607E5">
        <w:t>Q8, mean score = 2.9</w:t>
      </w:r>
      <w:r w:rsidR="00CE2ABF">
        <w:t>,</w:t>
      </w:r>
      <w:r w:rsidR="00A607E5">
        <w:t xml:space="preserve"> see</w:t>
      </w:r>
      <w:r w:rsidR="00CE2ABF">
        <w:t xml:space="preserve"> </w:t>
      </w:r>
      <w:r w:rsidR="00A607E5">
        <w:t>t</w:t>
      </w:r>
      <w:r w:rsidR="00CE2ABF">
        <w:t xml:space="preserve">able </w:t>
      </w:r>
      <w:r w:rsidR="009D1A67">
        <w:t>4</w:t>
      </w:r>
      <w:r w:rsidR="00CE2ABF">
        <w:t>).</w:t>
      </w:r>
      <w:r w:rsidR="00382AC3">
        <w:t xml:space="preserve"> </w:t>
      </w:r>
      <w:bookmarkStart w:id="19" w:name="_Hlk524080710"/>
      <w:r w:rsidR="00CE2ABF">
        <w:t>Of the 1</w:t>
      </w:r>
      <w:r w:rsidR="00382AC3">
        <w:t>6</w:t>
      </w:r>
      <w:r w:rsidR="00CE2ABF">
        <w:t xml:space="preserve"> </w:t>
      </w:r>
      <w:r w:rsidR="00382AC3">
        <w:t>interview</w:t>
      </w:r>
      <w:r w:rsidR="00CE2ABF">
        <w:t xml:space="preserve"> participants asked to about their </w:t>
      </w:r>
      <w:r w:rsidR="00382AC3">
        <w:t>response</w:t>
      </w:r>
      <w:r w:rsidR="00CE2ABF">
        <w:t>, 13 could not identify a key person. Of these</w:t>
      </w:r>
      <w:r w:rsidR="00E33D04">
        <w:t xml:space="preserve"> 13</w:t>
      </w:r>
      <w:r w:rsidR="00CE2ABF">
        <w:t xml:space="preserve">, six highlighted </w:t>
      </w:r>
      <w:r w:rsidR="00000B38">
        <w:t>absence</w:t>
      </w:r>
      <w:r w:rsidR="00CE2ABF">
        <w:t xml:space="preserve"> of a ‘key’ or ‘link’ member</w:t>
      </w:r>
      <w:r w:rsidR="00000B38">
        <w:t xml:space="preserve"> of staff to provide advice, </w:t>
      </w:r>
      <w:r w:rsidR="00CE2ABF">
        <w:t>support, and best practice updates (identified as</w:t>
      </w:r>
      <w:r w:rsidR="00000B38">
        <w:t xml:space="preserve"> being</w:t>
      </w:r>
      <w:r w:rsidR="00CE2ABF">
        <w:t xml:space="preserve"> in place in other areas of practice, </w:t>
      </w:r>
      <w:r w:rsidR="00000B38">
        <w:t>e.g.</w:t>
      </w:r>
      <w:r w:rsidR="00CE2ABF">
        <w:t xml:space="preserve"> infection control</w:t>
      </w:r>
      <w:r w:rsidR="00495727">
        <w:t xml:space="preserve"> – see box 1</w:t>
      </w:r>
      <w:r w:rsidR="00CE2ABF">
        <w:t>)</w:t>
      </w:r>
      <w:bookmarkEnd w:id="19"/>
      <w:r w:rsidR="00CE2ABF">
        <w:t xml:space="preserve">. </w:t>
      </w:r>
    </w:p>
    <w:p w14:paraId="5F9669CC" w14:textId="3541BBEA" w:rsidR="00411492" w:rsidRDefault="00F56FFF" w:rsidP="0026594F">
      <w:pPr>
        <w:jc w:val="both"/>
      </w:pPr>
      <w:bookmarkStart w:id="20" w:name="_Hlk524081016"/>
      <w:r>
        <w:t>Sixteen</w:t>
      </w:r>
      <w:r w:rsidR="00CE2ABF">
        <w:t xml:space="preserve"> </w:t>
      </w:r>
      <w:r w:rsidR="00411492">
        <w:t>interview</w:t>
      </w:r>
      <w:r w:rsidR="00CE2ABF">
        <w:t xml:space="preserve"> participants were asked about dietetic referral in previous practice.  Of these, two participants confirmed that they had been able to refer to a dieti</w:t>
      </w:r>
      <w:r w:rsidR="00F6606A">
        <w:t>t</w:t>
      </w:r>
      <w:r w:rsidR="00CE2ABF">
        <w:t>ian, the remainder (n=13) had not referred in their current role.</w:t>
      </w:r>
      <w:r w:rsidR="00CC7C87">
        <w:t xml:space="preserve">  </w:t>
      </w:r>
      <w:r w:rsidR="00000B38">
        <w:t>Of the 13</w:t>
      </w:r>
      <w:r w:rsidR="00CE2ABF">
        <w:t xml:space="preserve"> who </w:t>
      </w:r>
      <w:r w:rsidR="00000B38">
        <w:t>had not referred</w:t>
      </w:r>
      <w:r w:rsidR="00CE2ABF">
        <w:t>: three stated that this should be possible in principle through the GP; six further participants were unsure if or how this would be possible. Of total (n=1</w:t>
      </w:r>
      <w:r w:rsidR="00411492">
        <w:t>6</w:t>
      </w:r>
      <w:r w:rsidR="00CE2ABF">
        <w:t xml:space="preserve">) respondents, five stated explicitly that access to dietetic services in the community </w:t>
      </w:r>
      <w:r w:rsidR="00000B38">
        <w:t>needed</w:t>
      </w:r>
      <w:r w:rsidR="00CE2ABF">
        <w:t xml:space="preserve"> improvement</w:t>
      </w:r>
      <w:r w:rsidR="00495727">
        <w:t xml:space="preserve"> (see box 1)</w:t>
      </w:r>
      <w:r w:rsidR="00CE2ABF">
        <w:t xml:space="preserve">. </w:t>
      </w:r>
    </w:p>
    <w:tbl>
      <w:tblPr>
        <w:tblStyle w:val="TableGrid"/>
        <w:tblW w:w="9356" w:type="dxa"/>
        <w:tblLook w:val="04A0" w:firstRow="1" w:lastRow="0" w:firstColumn="1" w:lastColumn="0" w:noHBand="0" w:noVBand="1"/>
      </w:tblPr>
      <w:tblGrid>
        <w:gridCol w:w="3430"/>
        <w:gridCol w:w="5926"/>
      </w:tblGrid>
      <w:tr w:rsidR="00FA37E6" w14:paraId="54597740" w14:textId="77777777" w:rsidTr="00495727">
        <w:tc>
          <w:tcPr>
            <w:tcW w:w="9356" w:type="dxa"/>
            <w:gridSpan w:val="2"/>
            <w:tcBorders>
              <w:top w:val="nil"/>
              <w:left w:val="nil"/>
              <w:right w:val="nil"/>
            </w:tcBorders>
          </w:tcPr>
          <w:bookmarkEnd w:id="20"/>
          <w:p w14:paraId="3F665862" w14:textId="77777777" w:rsidR="00FA37E6" w:rsidRPr="00074559" w:rsidRDefault="00FA37E6" w:rsidP="00495727">
            <w:pPr>
              <w:rPr>
                <w:b/>
              </w:rPr>
            </w:pPr>
            <w:r w:rsidRPr="00074559">
              <w:rPr>
                <w:b/>
              </w:rPr>
              <w:t>Box 1</w:t>
            </w:r>
            <w:r>
              <w:rPr>
                <w:b/>
              </w:rPr>
              <w:t xml:space="preserve"> – interview findings and illustrative quotes</w:t>
            </w:r>
          </w:p>
        </w:tc>
      </w:tr>
      <w:tr w:rsidR="00FA37E6" w14:paraId="24A56F3C" w14:textId="77777777" w:rsidTr="00495727">
        <w:tc>
          <w:tcPr>
            <w:tcW w:w="3430" w:type="dxa"/>
          </w:tcPr>
          <w:p w14:paraId="0740AF51" w14:textId="77777777" w:rsidR="00FA37E6" w:rsidRPr="00074559" w:rsidRDefault="00FA37E6" w:rsidP="00495727">
            <w:pPr>
              <w:rPr>
                <w:b/>
              </w:rPr>
            </w:pPr>
            <w:r w:rsidRPr="00074559">
              <w:rPr>
                <w:b/>
              </w:rPr>
              <w:t>Finding</w:t>
            </w:r>
          </w:p>
        </w:tc>
        <w:tc>
          <w:tcPr>
            <w:tcW w:w="5926" w:type="dxa"/>
          </w:tcPr>
          <w:p w14:paraId="57925A77" w14:textId="77777777" w:rsidR="00FA37E6" w:rsidRPr="00074559" w:rsidRDefault="00FA37E6" w:rsidP="00495727">
            <w:pPr>
              <w:rPr>
                <w:b/>
              </w:rPr>
            </w:pPr>
            <w:r w:rsidRPr="00074559">
              <w:rPr>
                <w:b/>
              </w:rPr>
              <w:t>Interview quote</w:t>
            </w:r>
          </w:p>
        </w:tc>
      </w:tr>
      <w:tr w:rsidR="00FA37E6" w14:paraId="556B8CE0" w14:textId="77777777" w:rsidTr="00495727">
        <w:tc>
          <w:tcPr>
            <w:tcW w:w="3430" w:type="dxa"/>
            <w:vAlign w:val="center"/>
          </w:tcPr>
          <w:p w14:paraId="79A908C4" w14:textId="77777777" w:rsidR="00FA37E6" w:rsidRDefault="00FA37E6" w:rsidP="00495727">
            <w:r>
              <w:t>O</w:t>
            </w:r>
            <w:r w:rsidRPr="00074559">
              <w:t>penness to introducing new ways of working</w:t>
            </w:r>
            <w:r>
              <w:t xml:space="preserve"> </w:t>
            </w:r>
            <w:r w:rsidRPr="00074559">
              <w:rPr>
                <w:i/>
              </w:rPr>
              <w:t>(14 respondents)</w:t>
            </w:r>
            <w:r>
              <w:t xml:space="preserve">; concerns regarding </w:t>
            </w:r>
            <w:r w:rsidRPr="00074559">
              <w:t xml:space="preserve">time/resource </w:t>
            </w:r>
            <w:r w:rsidRPr="00074559">
              <w:lastRenderedPageBreak/>
              <w:t>implications of implementation and embedding</w:t>
            </w:r>
            <w:r>
              <w:t xml:space="preserve"> (</w:t>
            </w:r>
            <w:r w:rsidRPr="00074559">
              <w:rPr>
                <w:i/>
              </w:rPr>
              <w:t>three respondents)</w:t>
            </w:r>
            <w:r>
              <w:t>.</w:t>
            </w:r>
          </w:p>
        </w:tc>
        <w:tc>
          <w:tcPr>
            <w:tcW w:w="5926" w:type="dxa"/>
          </w:tcPr>
          <w:p w14:paraId="64C23B57" w14:textId="77777777" w:rsidR="00FA37E6" w:rsidRPr="00074559" w:rsidRDefault="00FA37E6" w:rsidP="00495727">
            <w:pPr>
              <w:jc w:val="both"/>
              <w:rPr>
                <w:i/>
              </w:rPr>
            </w:pPr>
            <w:r w:rsidRPr="00074559">
              <w:rPr>
                <w:i/>
              </w:rPr>
              <w:lastRenderedPageBreak/>
              <w:t xml:space="preserve">[T]he thing that does concern me is the time to imbed the new practice because there is so much to take in, so much change, there’s so many boxes to tick sometimes; trying to imbed the </w:t>
            </w:r>
            <w:r w:rsidRPr="00074559">
              <w:rPr>
                <w:i/>
              </w:rPr>
              <w:lastRenderedPageBreak/>
              <w:t>practice is really challenging when it’s moving so fast and the work load is going through the roof; I think taking the time with the patient to be able to completely embed it is a challenge but I don’t think, I think as a team, I’ve only been here a short while, but as a team they seem really keen to improve and implement anything that’s new and that’s better. (P00905, PHN)</w:t>
            </w:r>
          </w:p>
          <w:p w14:paraId="0A6B676E" w14:textId="77777777" w:rsidR="00FA37E6" w:rsidRDefault="00FA37E6" w:rsidP="00495727"/>
        </w:tc>
      </w:tr>
      <w:tr w:rsidR="00FA37E6" w14:paraId="7E982E58" w14:textId="77777777" w:rsidTr="00495727">
        <w:tc>
          <w:tcPr>
            <w:tcW w:w="3430" w:type="dxa"/>
            <w:vAlign w:val="center"/>
          </w:tcPr>
          <w:p w14:paraId="1A0843C5" w14:textId="77777777" w:rsidR="00FA37E6" w:rsidRDefault="00FA37E6" w:rsidP="00495727">
            <w:r>
              <w:lastRenderedPageBreak/>
              <w:t xml:space="preserve">Discussion of screening and treatment of malnutrition as a common feature of team meetings </w:t>
            </w:r>
            <w:r w:rsidRPr="00074559">
              <w:rPr>
                <w:i/>
              </w:rPr>
              <w:t>(six respondents)</w:t>
            </w:r>
          </w:p>
        </w:tc>
        <w:tc>
          <w:tcPr>
            <w:tcW w:w="5926" w:type="dxa"/>
          </w:tcPr>
          <w:p w14:paraId="4A1CA09A" w14:textId="77777777" w:rsidR="00FA37E6" w:rsidRPr="00074559" w:rsidRDefault="00FA37E6" w:rsidP="00495727">
            <w:pPr>
              <w:jc w:val="both"/>
              <w:rPr>
                <w:i/>
              </w:rPr>
            </w:pPr>
            <w:r w:rsidRPr="00074559">
              <w:rPr>
                <w:i/>
              </w:rPr>
              <w:t>No it’s never disruptive and it’s never caused an issue for anyone, that’s why I disagreed, we are quite a good stable team that get on well together and support each other when we are doing the work. (P00611, PHN)</w:t>
            </w:r>
          </w:p>
          <w:p w14:paraId="474A0B16" w14:textId="77777777" w:rsidR="00FA37E6" w:rsidRDefault="00FA37E6" w:rsidP="00495727"/>
        </w:tc>
      </w:tr>
      <w:tr w:rsidR="00FA37E6" w14:paraId="668D5558" w14:textId="77777777" w:rsidTr="00495727">
        <w:tc>
          <w:tcPr>
            <w:tcW w:w="3430" w:type="dxa"/>
            <w:vAlign w:val="center"/>
          </w:tcPr>
          <w:p w14:paraId="2F36E0A1" w14:textId="77777777" w:rsidR="00FA37E6" w:rsidRPr="00074559" w:rsidRDefault="00FA37E6" w:rsidP="00495727">
            <w:r>
              <w:t xml:space="preserve">Absence of a ‘key’ or ‘link’ member of staff to provide advice, support, and best practice updates </w:t>
            </w:r>
            <w:r>
              <w:rPr>
                <w:i/>
              </w:rPr>
              <w:t>(six respondents)</w:t>
            </w:r>
          </w:p>
        </w:tc>
        <w:tc>
          <w:tcPr>
            <w:tcW w:w="5926" w:type="dxa"/>
          </w:tcPr>
          <w:p w14:paraId="6754414D" w14:textId="77777777" w:rsidR="00FA37E6" w:rsidRPr="00074559" w:rsidRDefault="00FA37E6" w:rsidP="00495727">
            <w:pPr>
              <w:jc w:val="both"/>
              <w:rPr>
                <w:i/>
              </w:rPr>
            </w:pPr>
            <w:r w:rsidRPr="00074559">
              <w:rPr>
                <w:i/>
              </w:rPr>
              <w:t>It would be a preference definitely to implement some kind of key worker strategy which I know they do try and do but quite often falls you know dead on the ground so, I think yeah with regards to that yes it definitely would be a more effective way of working if that was possible so that would be something good to be implemented I guess. (P00614, PHN)</w:t>
            </w:r>
          </w:p>
          <w:p w14:paraId="265A0562" w14:textId="77777777" w:rsidR="00FA37E6" w:rsidRDefault="00FA37E6" w:rsidP="00495727"/>
        </w:tc>
      </w:tr>
      <w:tr w:rsidR="00FA37E6" w14:paraId="150566DD" w14:textId="77777777" w:rsidTr="00495727">
        <w:tc>
          <w:tcPr>
            <w:tcW w:w="3430" w:type="dxa"/>
            <w:vAlign w:val="center"/>
          </w:tcPr>
          <w:p w14:paraId="570FFB84" w14:textId="77777777" w:rsidR="00FA37E6" w:rsidRPr="00074559" w:rsidRDefault="00FA37E6" w:rsidP="00495727">
            <w:pPr>
              <w:rPr>
                <w:i/>
              </w:rPr>
            </w:pPr>
            <w:r>
              <w:t>A</w:t>
            </w:r>
            <w:r w:rsidRPr="00074559">
              <w:t xml:space="preserve">ccess to dietetic services in the community </w:t>
            </w:r>
            <w:r>
              <w:t xml:space="preserve">in </w:t>
            </w:r>
            <w:r w:rsidRPr="00074559">
              <w:t>need</w:t>
            </w:r>
            <w:r>
              <w:t xml:space="preserve"> of</w:t>
            </w:r>
            <w:r w:rsidRPr="00074559">
              <w:t xml:space="preserve"> improvement</w:t>
            </w:r>
            <w:r>
              <w:t xml:space="preserve"> </w:t>
            </w:r>
            <w:r>
              <w:rPr>
                <w:i/>
              </w:rPr>
              <w:t>(five respondents)</w:t>
            </w:r>
          </w:p>
        </w:tc>
        <w:tc>
          <w:tcPr>
            <w:tcW w:w="5926" w:type="dxa"/>
          </w:tcPr>
          <w:p w14:paraId="1B30DC09" w14:textId="77777777" w:rsidR="00FA37E6" w:rsidRPr="00074559" w:rsidRDefault="00FA37E6" w:rsidP="00495727">
            <w:pPr>
              <w:jc w:val="both"/>
              <w:rPr>
                <w:i/>
              </w:rPr>
            </w:pPr>
            <w:r w:rsidRPr="00074559">
              <w:rPr>
                <w:i/>
              </w:rPr>
              <w:t>I mean my only concern is, my understanding is there is not many community dietitians you know so it’s just sort of getting advice, obviously we will refer to the GP but it’s not often we get input from dietitians themselves.  We’ve sort of got basic guidelines on how to go through, so to have some more input from dietitians would be really good, really useful. (P00210, PHN)</w:t>
            </w:r>
          </w:p>
          <w:p w14:paraId="3C75FA05" w14:textId="77777777" w:rsidR="00FA37E6" w:rsidRPr="00074559" w:rsidRDefault="00FA37E6" w:rsidP="00495727">
            <w:pPr>
              <w:ind w:left="720"/>
              <w:jc w:val="both"/>
              <w:rPr>
                <w:i/>
              </w:rPr>
            </w:pPr>
          </w:p>
        </w:tc>
      </w:tr>
    </w:tbl>
    <w:p w14:paraId="604EA2C7" w14:textId="77777777" w:rsidR="00FA37E6" w:rsidRDefault="00FA37E6" w:rsidP="00A92EAE">
      <w:pPr>
        <w:jc w:val="both"/>
      </w:pPr>
    </w:p>
    <w:p w14:paraId="73D224B1" w14:textId="36EFE430" w:rsidR="00A92EAE" w:rsidRDefault="00411492" w:rsidP="00A92EAE">
      <w:pPr>
        <w:jc w:val="both"/>
      </w:pPr>
      <w:r>
        <w:t>5</w:t>
      </w:r>
      <w:r w:rsidR="00CE2ABF">
        <w:t xml:space="preserve">6% </w:t>
      </w:r>
      <w:r>
        <w:t xml:space="preserve">(n=18) </w:t>
      </w:r>
      <w:r w:rsidR="00CE2ABF">
        <w:t xml:space="preserve">were </w:t>
      </w:r>
      <w:r w:rsidR="00B5094A">
        <w:t>uncertain</w:t>
      </w:r>
      <w:r w:rsidR="00CE2ABF">
        <w:t xml:space="preserve"> or strongly/disagreed </w:t>
      </w:r>
      <w:r w:rsidR="000E53A9">
        <w:t>with</w:t>
      </w:r>
      <w:r w:rsidR="00CE2ABF">
        <w:t xml:space="preserve"> the statement ‘Work is assigned to those with skills appropriate to screening and treatment for malnutrition’ (Q15, </w:t>
      </w:r>
      <w:r w:rsidR="00153FBF">
        <w:t>mean</w:t>
      </w:r>
      <w:r w:rsidR="009D1A67">
        <w:t xml:space="preserve"> score = 2.8, see table 5</w:t>
      </w:r>
      <w:r w:rsidR="00153FBF">
        <w:t>)</w:t>
      </w:r>
      <w:r w:rsidR="00CE2ABF">
        <w:t>. 6</w:t>
      </w:r>
      <w:r w:rsidR="008820D7">
        <w:t>2</w:t>
      </w:r>
      <w:r w:rsidR="00CE2ABF">
        <w:t>%</w:t>
      </w:r>
      <w:r w:rsidR="00A2618A">
        <w:t xml:space="preserve"> (n=12)</w:t>
      </w:r>
      <w:r w:rsidR="00CE2ABF">
        <w:t xml:space="preserve"> strongly/disagreed</w:t>
      </w:r>
      <w:r w:rsidR="00153FBF">
        <w:t xml:space="preserve"> </w:t>
      </w:r>
      <w:r w:rsidR="00CE2ABF">
        <w:t xml:space="preserve">or were </w:t>
      </w:r>
      <w:r w:rsidR="00B5094A">
        <w:t>uncertain</w:t>
      </w:r>
      <w:r w:rsidR="00CE2ABF">
        <w:t xml:space="preserve"> in relation to the statement ‘Sufficient training is provided to enable staff to implement screening and treatment for malnutrition’ (Q16, </w:t>
      </w:r>
      <w:r w:rsidR="00A2618A">
        <w:t>mean score = 3.1</w:t>
      </w:r>
      <w:r w:rsidR="00CE2ABF">
        <w:t>,</w:t>
      </w:r>
      <w:r w:rsidR="00A2618A">
        <w:t xml:space="preserve"> see</w:t>
      </w:r>
      <w:r w:rsidR="00CE2ABF">
        <w:t xml:space="preserve"> </w:t>
      </w:r>
      <w:r w:rsidR="00A2618A">
        <w:t>t</w:t>
      </w:r>
      <w:r w:rsidR="00CE2ABF">
        <w:t xml:space="preserve">able </w:t>
      </w:r>
      <w:r w:rsidR="009D1A67">
        <w:t>5</w:t>
      </w:r>
      <w:r w:rsidR="00CE2ABF">
        <w:t xml:space="preserve">). 59% were </w:t>
      </w:r>
      <w:r w:rsidR="00B5094A">
        <w:t>uncertain</w:t>
      </w:r>
      <w:r w:rsidR="00CE2ABF">
        <w:t xml:space="preserve"> (40%) or strongly/disagreed (19%) that ‘Sufficient resources are available to support screening and treatment for malnutrition’ (Q17, </w:t>
      </w:r>
      <w:r w:rsidR="009C3259">
        <w:t>mean score = 2.9</w:t>
      </w:r>
      <w:r w:rsidR="00CE2ABF">
        <w:t xml:space="preserve">, </w:t>
      </w:r>
      <w:r w:rsidR="009C3259">
        <w:t>t</w:t>
      </w:r>
      <w:r w:rsidR="00CE2ABF">
        <w:t xml:space="preserve">able </w:t>
      </w:r>
      <w:r w:rsidR="00445689">
        <w:t>5</w:t>
      </w:r>
      <w:r w:rsidR="00CE2ABF">
        <w:t>).</w:t>
      </w:r>
      <w:r w:rsidR="009C3259">
        <w:t xml:space="preserve"> </w:t>
      </w:r>
      <w:r w:rsidR="00A2618A">
        <w:t>66</w:t>
      </w:r>
      <w:r w:rsidR="00CE2ABF">
        <w:t>%</w:t>
      </w:r>
      <w:r w:rsidR="00A2618A">
        <w:t xml:space="preserve"> (n=21)</w:t>
      </w:r>
      <w:r w:rsidR="00CE2ABF">
        <w:t xml:space="preserve"> were </w:t>
      </w:r>
      <w:r w:rsidR="00B5094A">
        <w:t>uncertain</w:t>
      </w:r>
      <w:r w:rsidR="00CE2ABF">
        <w:t xml:space="preserve"> or strongly/disagreed that ‘Management adequately supports screening and treatment for malnutrition’ (Q18, </w:t>
      </w:r>
      <w:r w:rsidR="00A2618A">
        <w:t xml:space="preserve">mean score = </w:t>
      </w:r>
      <w:r w:rsidR="002E3867">
        <w:t>2.5</w:t>
      </w:r>
      <w:r w:rsidR="00CE2ABF">
        <w:t xml:space="preserve">, </w:t>
      </w:r>
      <w:r w:rsidR="00A2618A">
        <w:t>t</w:t>
      </w:r>
      <w:r w:rsidR="009D1A67">
        <w:t>able 5</w:t>
      </w:r>
      <w:r w:rsidR="00CE2ABF">
        <w:t>).</w:t>
      </w:r>
    </w:p>
    <w:p w14:paraId="1887B279" w14:textId="77777777" w:rsidR="00445689" w:rsidRPr="00A92EAE" w:rsidRDefault="00445689" w:rsidP="00445689"/>
    <w:tbl>
      <w:tblPr>
        <w:tblW w:w="9258" w:type="dxa"/>
        <w:jc w:val="center"/>
        <w:tblLook w:val="04A0" w:firstRow="1" w:lastRow="0" w:firstColumn="1" w:lastColumn="0" w:noHBand="0" w:noVBand="1"/>
      </w:tblPr>
      <w:tblGrid>
        <w:gridCol w:w="1110"/>
        <w:gridCol w:w="1042"/>
        <w:gridCol w:w="745"/>
        <w:gridCol w:w="703"/>
        <w:gridCol w:w="709"/>
        <w:gridCol w:w="708"/>
        <w:gridCol w:w="709"/>
        <w:gridCol w:w="709"/>
        <w:gridCol w:w="703"/>
        <w:gridCol w:w="709"/>
        <w:gridCol w:w="708"/>
        <w:gridCol w:w="703"/>
      </w:tblGrid>
      <w:tr w:rsidR="00445689" w:rsidRPr="007A6354" w14:paraId="65D867DD" w14:textId="77777777" w:rsidTr="008C2AD4">
        <w:trPr>
          <w:trHeight w:val="300"/>
          <w:jc w:val="center"/>
        </w:trPr>
        <w:tc>
          <w:tcPr>
            <w:tcW w:w="11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D6820F" w14:textId="77777777" w:rsidR="00445689" w:rsidRPr="007A6354" w:rsidRDefault="00445689" w:rsidP="00445689">
            <w:pPr>
              <w:spacing w:after="0" w:line="240" w:lineRule="auto"/>
              <w:rPr>
                <w:rFonts w:ascii="Calibri" w:eastAsia="Times New Roman" w:hAnsi="Calibri" w:cs="Calibri"/>
                <w:b/>
                <w:bCs/>
                <w:color w:val="000000"/>
                <w:sz w:val="18"/>
                <w:szCs w:val="18"/>
                <w:lang w:eastAsia="en-GB"/>
              </w:rPr>
            </w:pPr>
            <w:r w:rsidRPr="007A6354">
              <w:rPr>
                <w:rFonts w:ascii="Calibri" w:eastAsia="Times New Roman" w:hAnsi="Calibri" w:cs="Calibri"/>
                <w:b/>
                <w:bCs/>
                <w:color w:val="000000"/>
                <w:sz w:val="18"/>
                <w:szCs w:val="18"/>
                <w:lang w:eastAsia="en-GB"/>
              </w:rPr>
              <w:t>Construct</w:t>
            </w:r>
          </w:p>
        </w:tc>
        <w:tc>
          <w:tcPr>
            <w:tcW w:w="1042" w:type="dxa"/>
            <w:tcBorders>
              <w:top w:val="single" w:sz="4" w:space="0" w:color="auto"/>
              <w:left w:val="nil"/>
              <w:bottom w:val="single" w:sz="4" w:space="0" w:color="auto"/>
              <w:right w:val="single" w:sz="4" w:space="0" w:color="auto"/>
            </w:tcBorders>
            <w:shd w:val="clear" w:color="000000" w:fill="F2F2F2"/>
            <w:vAlign w:val="bottom"/>
            <w:hideMark/>
          </w:tcPr>
          <w:p w14:paraId="48483278" w14:textId="77777777" w:rsidR="00445689" w:rsidRPr="007A6354" w:rsidRDefault="00445689" w:rsidP="00445689">
            <w:pPr>
              <w:spacing w:after="0" w:line="240" w:lineRule="auto"/>
              <w:rPr>
                <w:rFonts w:ascii="Calibri" w:eastAsia="Times New Roman" w:hAnsi="Calibri" w:cs="Calibri"/>
                <w:i/>
                <w:iCs/>
                <w:color w:val="000000"/>
                <w:sz w:val="18"/>
                <w:szCs w:val="18"/>
                <w:lang w:eastAsia="en-GB"/>
              </w:rPr>
            </w:pPr>
            <w:r w:rsidRPr="007A6354">
              <w:rPr>
                <w:rFonts w:ascii="Calibri" w:eastAsia="Times New Roman" w:hAnsi="Calibri" w:cs="Calibri"/>
                <w:i/>
                <w:iCs/>
                <w:color w:val="000000"/>
                <w:sz w:val="18"/>
                <w:szCs w:val="18"/>
                <w:lang w:eastAsia="en-GB"/>
              </w:rPr>
              <w:t> </w:t>
            </w:r>
          </w:p>
        </w:tc>
        <w:tc>
          <w:tcPr>
            <w:tcW w:w="7106" w:type="dxa"/>
            <w:gridSpan w:val="10"/>
            <w:tcBorders>
              <w:top w:val="single" w:sz="4" w:space="0" w:color="auto"/>
              <w:left w:val="nil"/>
              <w:bottom w:val="single" w:sz="4" w:space="0" w:color="auto"/>
              <w:right w:val="single" w:sz="4" w:space="0" w:color="000000"/>
            </w:tcBorders>
            <w:shd w:val="clear" w:color="auto" w:fill="E7E6E6" w:themeFill="background2"/>
            <w:noWrap/>
            <w:vAlign w:val="bottom"/>
            <w:hideMark/>
          </w:tcPr>
          <w:p w14:paraId="14C50834" w14:textId="77777777" w:rsidR="00445689" w:rsidRPr="000F4EA3" w:rsidRDefault="00445689" w:rsidP="00445689">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Reflexive Monitoring</w:t>
            </w:r>
          </w:p>
        </w:tc>
      </w:tr>
      <w:tr w:rsidR="00445689" w:rsidRPr="007A6354" w14:paraId="04C78179" w14:textId="77777777" w:rsidTr="008C2AD4">
        <w:trPr>
          <w:trHeight w:val="465"/>
          <w:jc w:val="center"/>
        </w:trPr>
        <w:tc>
          <w:tcPr>
            <w:tcW w:w="1110" w:type="dxa"/>
            <w:tcBorders>
              <w:top w:val="nil"/>
              <w:left w:val="single" w:sz="4" w:space="0" w:color="auto"/>
              <w:bottom w:val="single" w:sz="4" w:space="0" w:color="auto"/>
              <w:right w:val="single" w:sz="4" w:space="0" w:color="auto"/>
            </w:tcBorders>
            <w:shd w:val="clear" w:color="000000" w:fill="D9D9D9"/>
            <w:vAlign w:val="center"/>
            <w:hideMark/>
          </w:tcPr>
          <w:p w14:paraId="3A15733C" w14:textId="77777777" w:rsidR="00445689" w:rsidRPr="007A6354" w:rsidRDefault="00445689" w:rsidP="00445689">
            <w:pPr>
              <w:spacing w:after="0" w:line="240" w:lineRule="auto"/>
              <w:rPr>
                <w:rFonts w:ascii="Calibri" w:eastAsia="Times New Roman" w:hAnsi="Calibri" w:cs="Calibri"/>
                <w:b/>
                <w:bCs/>
                <w:color w:val="000000"/>
                <w:sz w:val="18"/>
                <w:szCs w:val="18"/>
                <w:lang w:eastAsia="en-GB"/>
              </w:rPr>
            </w:pPr>
            <w:r w:rsidRPr="007A6354">
              <w:rPr>
                <w:rFonts w:ascii="Calibri" w:eastAsia="Times New Roman" w:hAnsi="Calibri" w:cs="Calibri"/>
                <w:b/>
                <w:bCs/>
                <w:color w:val="000000"/>
                <w:sz w:val="18"/>
                <w:szCs w:val="18"/>
                <w:lang w:eastAsia="en-GB"/>
              </w:rPr>
              <w:t>Component</w:t>
            </w:r>
          </w:p>
        </w:tc>
        <w:tc>
          <w:tcPr>
            <w:tcW w:w="1042" w:type="dxa"/>
            <w:tcBorders>
              <w:top w:val="nil"/>
              <w:left w:val="nil"/>
              <w:bottom w:val="single" w:sz="4" w:space="0" w:color="auto"/>
              <w:right w:val="single" w:sz="4" w:space="0" w:color="auto"/>
            </w:tcBorders>
            <w:shd w:val="clear" w:color="000000" w:fill="F2F2F2"/>
            <w:vAlign w:val="bottom"/>
            <w:hideMark/>
          </w:tcPr>
          <w:p w14:paraId="63F2987D" w14:textId="77777777" w:rsidR="00445689" w:rsidRPr="007A6354" w:rsidRDefault="00445689" w:rsidP="00445689">
            <w:pPr>
              <w:spacing w:after="0" w:line="240" w:lineRule="auto"/>
              <w:rPr>
                <w:rFonts w:ascii="Calibri" w:eastAsia="Times New Roman" w:hAnsi="Calibri" w:cs="Calibri"/>
                <w:i/>
                <w:iCs/>
                <w:color w:val="000000"/>
                <w:sz w:val="18"/>
                <w:szCs w:val="18"/>
                <w:lang w:eastAsia="en-GB"/>
              </w:rPr>
            </w:pPr>
            <w:r w:rsidRPr="007A6354">
              <w:rPr>
                <w:rFonts w:ascii="Calibri" w:eastAsia="Times New Roman" w:hAnsi="Calibri" w:cs="Calibri"/>
                <w:i/>
                <w:iCs/>
                <w:color w:val="000000"/>
                <w:sz w:val="18"/>
                <w:szCs w:val="18"/>
                <w:lang w:eastAsia="en-GB"/>
              </w:rPr>
              <w:t> </w:t>
            </w:r>
          </w:p>
        </w:tc>
        <w:tc>
          <w:tcPr>
            <w:tcW w:w="1448" w:type="dxa"/>
            <w:gridSpan w:val="2"/>
            <w:tcBorders>
              <w:top w:val="single" w:sz="4" w:space="0" w:color="auto"/>
              <w:left w:val="nil"/>
              <w:bottom w:val="nil"/>
              <w:right w:val="single" w:sz="4" w:space="0" w:color="000000"/>
            </w:tcBorders>
            <w:shd w:val="clear" w:color="auto" w:fill="auto"/>
            <w:vAlign w:val="center"/>
            <w:hideMark/>
          </w:tcPr>
          <w:p w14:paraId="6CD0EF7D" w14:textId="77777777" w:rsidR="00445689" w:rsidRPr="007A6354" w:rsidRDefault="00445689" w:rsidP="00445689">
            <w:pPr>
              <w:spacing w:after="0" w:line="240" w:lineRule="auto"/>
              <w:jc w:val="center"/>
              <w:rPr>
                <w:rFonts w:ascii="Calibri" w:eastAsia="Times New Roman" w:hAnsi="Calibri" w:cs="Calibri"/>
                <w:color w:val="000000"/>
                <w:sz w:val="18"/>
                <w:szCs w:val="18"/>
                <w:lang w:eastAsia="en-GB"/>
              </w:rPr>
            </w:pPr>
            <w:r w:rsidRPr="007A6354">
              <w:rPr>
                <w:rFonts w:ascii="Calibri" w:eastAsia="Times New Roman" w:hAnsi="Calibri" w:cs="Calibri"/>
                <w:color w:val="000000"/>
                <w:sz w:val="18"/>
                <w:szCs w:val="18"/>
                <w:lang w:eastAsia="en-GB"/>
              </w:rPr>
              <w:t>Systematisation</w:t>
            </w:r>
          </w:p>
        </w:tc>
        <w:tc>
          <w:tcPr>
            <w:tcW w:w="1417" w:type="dxa"/>
            <w:gridSpan w:val="2"/>
            <w:tcBorders>
              <w:top w:val="single" w:sz="4" w:space="0" w:color="auto"/>
              <w:left w:val="nil"/>
              <w:bottom w:val="nil"/>
              <w:right w:val="single" w:sz="4" w:space="0" w:color="000000"/>
            </w:tcBorders>
            <w:shd w:val="clear" w:color="auto" w:fill="auto"/>
            <w:vAlign w:val="center"/>
            <w:hideMark/>
          </w:tcPr>
          <w:p w14:paraId="268086D2" w14:textId="77777777" w:rsidR="00445689" w:rsidRPr="007A6354" w:rsidRDefault="00445689" w:rsidP="00445689">
            <w:pPr>
              <w:spacing w:after="0" w:line="240" w:lineRule="auto"/>
              <w:jc w:val="center"/>
              <w:rPr>
                <w:rFonts w:ascii="Calibri" w:eastAsia="Times New Roman" w:hAnsi="Calibri" w:cs="Calibri"/>
                <w:color w:val="000000"/>
                <w:sz w:val="18"/>
                <w:szCs w:val="18"/>
                <w:lang w:eastAsia="en-GB"/>
              </w:rPr>
            </w:pPr>
            <w:r w:rsidRPr="007A6354">
              <w:rPr>
                <w:rFonts w:ascii="Calibri" w:eastAsia="Times New Roman" w:hAnsi="Calibri" w:cs="Calibri"/>
                <w:color w:val="000000"/>
                <w:sz w:val="18"/>
                <w:szCs w:val="18"/>
                <w:lang w:eastAsia="en-GB"/>
              </w:rPr>
              <w:t>Communal appraisal</w:t>
            </w:r>
          </w:p>
        </w:tc>
        <w:tc>
          <w:tcPr>
            <w:tcW w:w="1418" w:type="dxa"/>
            <w:gridSpan w:val="2"/>
            <w:tcBorders>
              <w:top w:val="single" w:sz="4" w:space="0" w:color="auto"/>
              <w:left w:val="nil"/>
              <w:bottom w:val="nil"/>
              <w:right w:val="single" w:sz="4" w:space="0" w:color="000000"/>
            </w:tcBorders>
            <w:shd w:val="clear" w:color="auto" w:fill="auto"/>
            <w:vAlign w:val="center"/>
            <w:hideMark/>
          </w:tcPr>
          <w:p w14:paraId="2BC0FC3C" w14:textId="77777777" w:rsidR="00445689" w:rsidRPr="007A6354" w:rsidRDefault="00445689" w:rsidP="00445689">
            <w:pPr>
              <w:spacing w:after="0" w:line="240" w:lineRule="auto"/>
              <w:jc w:val="center"/>
              <w:rPr>
                <w:rFonts w:ascii="Calibri" w:eastAsia="Times New Roman" w:hAnsi="Calibri" w:cs="Calibri"/>
                <w:color w:val="000000"/>
                <w:sz w:val="18"/>
                <w:szCs w:val="18"/>
                <w:lang w:eastAsia="en-GB"/>
              </w:rPr>
            </w:pPr>
            <w:r w:rsidRPr="007A6354">
              <w:rPr>
                <w:rFonts w:ascii="Calibri" w:eastAsia="Times New Roman" w:hAnsi="Calibri" w:cs="Calibri"/>
                <w:color w:val="000000"/>
                <w:sz w:val="18"/>
                <w:szCs w:val="18"/>
                <w:lang w:eastAsia="en-GB"/>
              </w:rPr>
              <w:t>Individual appraisal</w:t>
            </w:r>
          </w:p>
        </w:tc>
        <w:tc>
          <w:tcPr>
            <w:tcW w:w="2823" w:type="dxa"/>
            <w:gridSpan w:val="4"/>
            <w:tcBorders>
              <w:top w:val="single" w:sz="4" w:space="0" w:color="auto"/>
              <w:left w:val="nil"/>
              <w:bottom w:val="nil"/>
              <w:right w:val="single" w:sz="4" w:space="0" w:color="000000"/>
            </w:tcBorders>
            <w:shd w:val="clear" w:color="auto" w:fill="auto"/>
            <w:vAlign w:val="center"/>
            <w:hideMark/>
          </w:tcPr>
          <w:p w14:paraId="25994A63" w14:textId="77777777" w:rsidR="00445689" w:rsidRPr="007A6354" w:rsidRDefault="00445689" w:rsidP="00445689">
            <w:pPr>
              <w:spacing w:after="0" w:line="240" w:lineRule="auto"/>
              <w:jc w:val="center"/>
              <w:rPr>
                <w:rFonts w:ascii="Calibri" w:eastAsia="Times New Roman" w:hAnsi="Calibri" w:cs="Calibri"/>
                <w:color w:val="000000"/>
                <w:sz w:val="18"/>
                <w:szCs w:val="18"/>
                <w:lang w:eastAsia="en-GB"/>
              </w:rPr>
            </w:pPr>
            <w:r w:rsidRPr="007A6354">
              <w:rPr>
                <w:rFonts w:ascii="Calibri" w:eastAsia="Times New Roman" w:hAnsi="Calibri" w:cs="Calibri"/>
                <w:color w:val="000000"/>
                <w:sz w:val="18"/>
                <w:szCs w:val="18"/>
                <w:lang w:eastAsia="en-GB"/>
              </w:rPr>
              <w:t>Reconfiguration</w:t>
            </w:r>
          </w:p>
        </w:tc>
      </w:tr>
      <w:tr w:rsidR="00445689" w:rsidRPr="007A6354" w14:paraId="61AA1779" w14:textId="77777777" w:rsidTr="008C2AD4">
        <w:trPr>
          <w:trHeight w:val="930"/>
          <w:jc w:val="center"/>
        </w:trPr>
        <w:tc>
          <w:tcPr>
            <w:tcW w:w="1110" w:type="dxa"/>
            <w:tcBorders>
              <w:top w:val="nil"/>
              <w:left w:val="single" w:sz="4" w:space="0" w:color="auto"/>
              <w:bottom w:val="single" w:sz="4" w:space="0" w:color="auto"/>
              <w:right w:val="single" w:sz="4" w:space="0" w:color="auto"/>
            </w:tcBorders>
            <w:shd w:val="clear" w:color="000000" w:fill="D9D9D9"/>
            <w:vAlign w:val="center"/>
            <w:hideMark/>
          </w:tcPr>
          <w:p w14:paraId="74BEB9B3" w14:textId="77777777" w:rsidR="00445689" w:rsidRPr="007A6354" w:rsidRDefault="00445689" w:rsidP="00445689">
            <w:pPr>
              <w:spacing w:after="0" w:line="240" w:lineRule="auto"/>
              <w:rPr>
                <w:rFonts w:ascii="Calibri" w:eastAsia="Times New Roman" w:hAnsi="Calibri" w:cs="Calibri"/>
                <w:b/>
                <w:bCs/>
                <w:color w:val="000000"/>
                <w:sz w:val="18"/>
                <w:szCs w:val="18"/>
                <w:lang w:eastAsia="en-GB"/>
              </w:rPr>
            </w:pPr>
            <w:r w:rsidRPr="007A6354">
              <w:rPr>
                <w:rFonts w:ascii="Calibri" w:eastAsia="Times New Roman" w:hAnsi="Calibri" w:cs="Calibri"/>
                <w:b/>
                <w:bCs/>
                <w:color w:val="000000"/>
                <w:sz w:val="18"/>
                <w:szCs w:val="18"/>
                <w:lang w:eastAsia="en-GB"/>
              </w:rPr>
              <w:lastRenderedPageBreak/>
              <w:t>Question / observation point</w:t>
            </w:r>
          </w:p>
        </w:tc>
        <w:tc>
          <w:tcPr>
            <w:tcW w:w="1042" w:type="dxa"/>
            <w:tcBorders>
              <w:top w:val="nil"/>
              <w:left w:val="nil"/>
              <w:bottom w:val="single" w:sz="4" w:space="0" w:color="auto"/>
              <w:right w:val="nil"/>
            </w:tcBorders>
            <w:shd w:val="clear" w:color="000000" w:fill="F2F2F2"/>
            <w:vAlign w:val="bottom"/>
            <w:hideMark/>
          </w:tcPr>
          <w:p w14:paraId="53E6F173" w14:textId="77777777" w:rsidR="00445689" w:rsidRPr="007A6354" w:rsidRDefault="00445689" w:rsidP="00445689">
            <w:pPr>
              <w:spacing w:after="0" w:line="240" w:lineRule="auto"/>
              <w:rPr>
                <w:rFonts w:ascii="Calibri" w:eastAsia="Times New Roman" w:hAnsi="Calibri" w:cs="Calibri"/>
                <w:i/>
                <w:iCs/>
                <w:color w:val="000000"/>
                <w:sz w:val="18"/>
                <w:szCs w:val="18"/>
                <w:lang w:eastAsia="en-GB"/>
              </w:rPr>
            </w:pPr>
            <w:r w:rsidRPr="007A6354">
              <w:rPr>
                <w:rFonts w:ascii="Calibri" w:eastAsia="Times New Roman" w:hAnsi="Calibri" w:cs="Calibri"/>
                <w:i/>
                <w:iCs/>
                <w:color w:val="000000"/>
                <w:sz w:val="18"/>
                <w:szCs w:val="18"/>
                <w:lang w:eastAsia="en-GB"/>
              </w:rPr>
              <w:t> </w:t>
            </w:r>
          </w:p>
        </w:tc>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5DC9B87E" w14:textId="77777777" w:rsidR="00445689" w:rsidRPr="007A6354" w:rsidRDefault="00445689" w:rsidP="00445689">
            <w:pPr>
              <w:spacing w:after="0" w:line="240" w:lineRule="auto"/>
              <w:rPr>
                <w:rFonts w:ascii="Calibri" w:eastAsia="Times New Roman" w:hAnsi="Calibri" w:cs="Calibri"/>
                <w:color w:val="000000"/>
                <w:sz w:val="18"/>
                <w:szCs w:val="18"/>
                <w:lang w:eastAsia="en-GB"/>
              </w:rPr>
            </w:pPr>
            <w:r w:rsidRPr="007A6354">
              <w:rPr>
                <w:rFonts w:ascii="Calibri" w:eastAsia="Times New Roman" w:hAnsi="Calibri" w:cs="Calibri"/>
                <w:color w:val="000000"/>
                <w:sz w:val="18"/>
                <w:szCs w:val="18"/>
                <w:lang w:eastAsia="en-GB"/>
              </w:rPr>
              <w:t>Q19-T0</w:t>
            </w:r>
          </w:p>
        </w:tc>
        <w:tc>
          <w:tcPr>
            <w:tcW w:w="703" w:type="dxa"/>
            <w:tcBorders>
              <w:top w:val="nil"/>
              <w:left w:val="nil"/>
              <w:bottom w:val="single" w:sz="4" w:space="0" w:color="auto"/>
              <w:right w:val="nil"/>
            </w:tcBorders>
            <w:shd w:val="clear" w:color="auto" w:fill="auto"/>
            <w:noWrap/>
            <w:vAlign w:val="bottom"/>
            <w:hideMark/>
          </w:tcPr>
          <w:p w14:paraId="1EB7B34F" w14:textId="77777777" w:rsidR="00445689" w:rsidRPr="007A6354" w:rsidRDefault="00445689" w:rsidP="00445689">
            <w:pPr>
              <w:spacing w:after="0" w:line="240" w:lineRule="auto"/>
              <w:rPr>
                <w:rFonts w:ascii="Calibri" w:eastAsia="Times New Roman" w:hAnsi="Calibri" w:cs="Calibri"/>
                <w:color w:val="000000"/>
                <w:sz w:val="18"/>
                <w:szCs w:val="18"/>
                <w:lang w:eastAsia="en-GB"/>
              </w:rPr>
            </w:pPr>
            <w:r w:rsidRPr="007A6354">
              <w:rPr>
                <w:rFonts w:ascii="Calibri" w:eastAsia="Times New Roman" w:hAnsi="Calibri" w:cs="Calibri"/>
                <w:color w:val="000000"/>
                <w:sz w:val="18"/>
                <w:szCs w:val="18"/>
                <w:lang w:eastAsia="en-GB"/>
              </w:rPr>
              <w:t>Q19-T1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866A902" w14:textId="77777777" w:rsidR="00445689" w:rsidRPr="007A6354" w:rsidRDefault="00445689" w:rsidP="00445689">
            <w:pPr>
              <w:spacing w:after="0" w:line="240" w:lineRule="auto"/>
              <w:rPr>
                <w:rFonts w:ascii="Calibri" w:eastAsia="Times New Roman" w:hAnsi="Calibri" w:cs="Calibri"/>
                <w:color w:val="000000"/>
                <w:sz w:val="18"/>
                <w:szCs w:val="18"/>
                <w:lang w:eastAsia="en-GB"/>
              </w:rPr>
            </w:pPr>
            <w:r w:rsidRPr="007A6354">
              <w:rPr>
                <w:rFonts w:ascii="Calibri" w:eastAsia="Times New Roman" w:hAnsi="Calibri" w:cs="Calibri"/>
                <w:color w:val="000000"/>
                <w:sz w:val="18"/>
                <w:szCs w:val="18"/>
                <w:lang w:eastAsia="en-GB"/>
              </w:rPr>
              <w:t>Q20-T0</w:t>
            </w:r>
          </w:p>
        </w:tc>
        <w:tc>
          <w:tcPr>
            <w:tcW w:w="708" w:type="dxa"/>
            <w:tcBorders>
              <w:top w:val="nil"/>
              <w:left w:val="nil"/>
              <w:bottom w:val="single" w:sz="4" w:space="0" w:color="auto"/>
              <w:right w:val="nil"/>
            </w:tcBorders>
            <w:shd w:val="clear" w:color="auto" w:fill="auto"/>
            <w:noWrap/>
            <w:vAlign w:val="bottom"/>
            <w:hideMark/>
          </w:tcPr>
          <w:p w14:paraId="656E53E4" w14:textId="77777777" w:rsidR="00445689" w:rsidRPr="007A6354" w:rsidRDefault="00445689" w:rsidP="00445689">
            <w:pPr>
              <w:spacing w:after="0" w:line="240" w:lineRule="auto"/>
              <w:rPr>
                <w:rFonts w:ascii="Calibri" w:eastAsia="Times New Roman" w:hAnsi="Calibri" w:cs="Calibri"/>
                <w:color w:val="000000"/>
                <w:sz w:val="18"/>
                <w:szCs w:val="18"/>
                <w:lang w:eastAsia="en-GB"/>
              </w:rPr>
            </w:pPr>
            <w:r w:rsidRPr="007A6354">
              <w:rPr>
                <w:rFonts w:ascii="Calibri" w:eastAsia="Times New Roman" w:hAnsi="Calibri" w:cs="Calibri"/>
                <w:color w:val="000000"/>
                <w:sz w:val="18"/>
                <w:szCs w:val="18"/>
                <w:lang w:eastAsia="en-GB"/>
              </w:rPr>
              <w:t>Q20-T1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4954B70" w14:textId="77777777" w:rsidR="00445689" w:rsidRPr="007A6354" w:rsidRDefault="00445689" w:rsidP="00445689">
            <w:pPr>
              <w:spacing w:after="0" w:line="240" w:lineRule="auto"/>
              <w:rPr>
                <w:rFonts w:ascii="Calibri" w:eastAsia="Times New Roman" w:hAnsi="Calibri" w:cs="Calibri"/>
                <w:color w:val="000000"/>
                <w:sz w:val="18"/>
                <w:szCs w:val="18"/>
                <w:lang w:eastAsia="en-GB"/>
              </w:rPr>
            </w:pPr>
            <w:r w:rsidRPr="007A6354">
              <w:rPr>
                <w:rFonts w:ascii="Calibri" w:eastAsia="Times New Roman" w:hAnsi="Calibri" w:cs="Calibri"/>
                <w:color w:val="000000"/>
                <w:sz w:val="18"/>
                <w:szCs w:val="18"/>
                <w:lang w:eastAsia="en-GB"/>
              </w:rPr>
              <w:t>Q21-T0</w:t>
            </w:r>
          </w:p>
        </w:tc>
        <w:tc>
          <w:tcPr>
            <w:tcW w:w="709" w:type="dxa"/>
            <w:tcBorders>
              <w:top w:val="nil"/>
              <w:left w:val="nil"/>
              <w:bottom w:val="single" w:sz="4" w:space="0" w:color="auto"/>
              <w:right w:val="nil"/>
            </w:tcBorders>
            <w:shd w:val="clear" w:color="auto" w:fill="auto"/>
            <w:noWrap/>
            <w:vAlign w:val="bottom"/>
            <w:hideMark/>
          </w:tcPr>
          <w:p w14:paraId="7E7BD9F5" w14:textId="77777777" w:rsidR="00445689" w:rsidRPr="007A6354" w:rsidRDefault="00445689" w:rsidP="00445689">
            <w:pPr>
              <w:spacing w:after="0" w:line="240" w:lineRule="auto"/>
              <w:rPr>
                <w:rFonts w:ascii="Calibri" w:eastAsia="Times New Roman" w:hAnsi="Calibri" w:cs="Calibri"/>
                <w:color w:val="000000"/>
                <w:sz w:val="18"/>
                <w:szCs w:val="18"/>
                <w:lang w:eastAsia="en-GB"/>
              </w:rPr>
            </w:pPr>
            <w:r w:rsidRPr="007A6354">
              <w:rPr>
                <w:rFonts w:ascii="Calibri" w:eastAsia="Times New Roman" w:hAnsi="Calibri" w:cs="Calibri"/>
                <w:color w:val="000000"/>
                <w:sz w:val="18"/>
                <w:szCs w:val="18"/>
                <w:lang w:eastAsia="en-GB"/>
              </w:rPr>
              <w:t>Q21-T1</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706576C6" w14:textId="77777777" w:rsidR="00445689" w:rsidRPr="007A6354" w:rsidRDefault="00445689" w:rsidP="00445689">
            <w:pPr>
              <w:spacing w:after="0" w:line="240" w:lineRule="auto"/>
              <w:rPr>
                <w:rFonts w:ascii="Calibri" w:eastAsia="Times New Roman" w:hAnsi="Calibri" w:cs="Calibri"/>
                <w:color w:val="000000"/>
                <w:sz w:val="18"/>
                <w:szCs w:val="18"/>
                <w:lang w:eastAsia="en-GB"/>
              </w:rPr>
            </w:pPr>
            <w:r w:rsidRPr="007A6354">
              <w:rPr>
                <w:rFonts w:ascii="Calibri" w:eastAsia="Times New Roman" w:hAnsi="Calibri" w:cs="Calibri"/>
                <w:color w:val="000000"/>
                <w:sz w:val="18"/>
                <w:szCs w:val="18"/>
                <w:lang w:eastAsia="en-GB"/>
              </w:rPr>
              <w:t>Q22-T0</w:t>
            </w:r>
          </w:p>
        </w:tc>
        <w:tc>
          <w:tcPr>
            <w:tcW w:w="709" w:type="dxa"/>
            <w:tcBorders>
              <w:top w:val="nil"/>
              <w:left w:val="nil"/>
              <w:bottom w:val="single" w:sz="4" w:space="0" w:color="auto"/>
              <w:right w:val="single" w:sz="4" w:space="0" w:color="auto"/>
            </w:tcBorders>
            <w:shd w:val="clear" w:color="auto" w:fill="auto"/>
            <w:noWrap/>
            <w:vAlign w:val="bottom"/>
            <w:hideMark/>
          </w:tcPr>
          <w:p w14:paraId="7F8A83FC" w14:textId="77777777" w:rsidR="00445689" w:rsidRPr="007A6354" w:rsidRDefault="00445689" w:rsidP="00445689">
            <w:pPr>
              <w:spacing w:after="0" w:line="240" w:lineRule="auto"/>
              <w:rPr>
                <w:rFonts w:ascii="Calibri" w:eastAsia="Times New Roman" w:hAnsi="Calibri" w:cs="Calibri"/>
                <w:color w:val="000000"/>
                <w:sz w:val="18"/>
                <w:szCs w:val="18"/>
                <w:lang w:eastAsia="en-GB"/>
              </w:rPr>
            </w:pPr>
            <w:r w:rsidRPr="007A6354">
              <w:rPr>
                <w:rFonts w:ascii="Calibri" w:eastAsia="Times New Roman" w:hAnsi="Calibri" w:cs="Calibri"/>
                <w:color w:val="000000"/>
                <w:sz w:val="18"/>
                <w:szCs w:val="18"/>
                <w:lang w:eastAsia="en-GB"/>
              </w:rPr>
              <w:t>Q22-T1</w:t>
            </w:r>
          </w:p>
        </w:tc>
        <w:tc>
          <w:tcPr>
            <w:tcW w:w="708" w:type="dxa"/>
            <w:tcBorders>
              <w:top w:val="nil"/>
              <w:left w:val="nil"/>
              <w:bottom w:val="single" w:sz="4" w:space="0" w:color="auto"/>
              <w:right w:val="single" w:sz="4" w:space="0" w:color="auto"/>
            </w:tcBorders>
            <w:shd w:val="clear" w:color="auto" w:fill="auto"/>
            <w:noWrap/>
            <w:vAlign w:val="bottom"/>
            <w:hideMark/>
          </w:tcPr>
          <w:p w14:paraId="7FF656B3" w14:textId="77777777" w:rsidR="00445689" w:rsidRPr="007A6354" w:rsidRDefault="00445689" w:rsidP="00445689">
            <w:pPr>
              <w:spacing w:after="0" w:line="240" w:lineRule="auto"/>
              <w:rPr>
                <w:rFonts w:ascii="Calibri" w:eastAsia="Times New Roman" w:hAnsi="Calibri" w:cs="Calibri"/>
                <w:color w:val="000000"/>
                <w:sz w:val="18"/>
                <w:szCs w:val="18"/>
                <w:lang w:eastAsia="en-GB"/>
              </w:rPr>
            </w:pPr>
            <w:r w:rsidRPr="007A6354">
              <w:rPr>
                <w:rFonts w:ascii="Calibri" w:eastAsia="Times New Roman" w:hAnsi="Calibri" w:cs="Calibri"/>
                <w:color w:val="000000"/>
                <w:sz w:val="18"/>
                <w:szCs w:val="18"/>
                <w:lang w:eastAsia="en-GB"/>
              </w:rPr>
              <w:t>Q23-T0</w:t>
            </w:r>
          </w:p>
        </w:tc>
        <w:tc>
          <w:tcPr>
            <w:tcW w:w="703" w:type="dxa"/>
            <w:tcBorders>
              <w:top w:val="nil"/>
              <w:left w:val="nil"/>
              <w:bottom w:val="single" w:sz="4" w:space="0" w:color="auto"/>
              <w:right w:val="single" w:sz="4" w:space="0" w:color="auto"/>
            </w:tcBorders>
            <w:shd w:val="clear" w:color="auto" w:fill="auto"/>
            <w:noWrap/>
            <w:vAlign w:val="bottom"/>
            <w:hideMark/>
          </w:tcPr>
          <w:p w14:paraId="2869107B" w14:textId="77777777" w:rsidR="00445689" w:rsidRPr="007A6354" w:rsidRDefault="00445689" w:rsidP="00445689">
            <w:pPr>
              <w:spacing w:after="0" w:line="240" w:lineRule="auto"/>
              <w:rPr>
                <w:rFonts w:ascii="Calibri" w:eastAsia="Times New Roman" w:hAnsi="Calibri" w:cs="Calibri"/>
                <w:color w:val="000000"/>
                <w:sz w:val="18"/>
                <w:szCs w:val="18"/>
                <w:lang w:eastAsia="en-GB"/>
              </w:rPr>
            </w:pPr>
            <w:r w:rsidRPr="007A6354">
              <w:rPr>
                <w:rFonts w:ascii="Calibri" w:eastAsia="Times New Roman" w:hAnsi="Calibri" w:cs="Calibri"/>
                <w:color w:val="000000"/>
                <w:sz w:val="18"/>
                <w:szCs w:val="18"/>
                <w:lang w:eastAsia="en-GB"/>
              </w:rPr>
              <w:t>Q23-T1</w:t>
            </w:r>
          </w:p>
        </w:tc>
      </w:tr>
      <w:tr w:rsidR="00A46532" w:rsidRPr="007A6354" w14:paraId="2315F246" w14:textId="77777777" w:rsidTr="008C2AD4">
        <w:trPr>
          <w:trHeight w:val="398"/>
          <w:jc w:val="center"/>
        </w:trPr>
        <w:tc>
          <w:tcPr>
            <w:tcW w:w="1110" w:type="dxa"/>
            <w:vMerge w:val="restart"/>
            <w:tcBorders>
              <w:top w:val="nil"/>
              <w:left w:val="single" w:sz="4" w:space="0" w:color="auto"/>
              <w:right w:val="single" w:sz="4" w:space="0" w:color="auto"/>
            </w:tcBorders>
            <w:shd w:val="clear" w:color="000000" w:fill="D9D9D9"/>
            <w:vAlign w:val="center"/>
            <w:hideMark/>
          </w:tcPr>
          <w:p w14:paraId="55536029" w14:textId="77777777" w:rsidR="00A46532" w:rsidRPr="007A6354" w:rsidRDefault="00A46532" w:rsidP="00445689">
            <w:pPr>
              <w:spacing w:after="0" w:line="240" w:lineRule="auto"/>
              <w:rPr>
                <w:rFonts w:ascii="Calibri" w:eastAsia="Times New Roman" w:hAnsi="Calibri" w:cs="Calibri"/>
                <w:b/>
                <w:bCs/>
                <w:color w:val="000000"/>
                <w:sz w:val="18"/>
                <w:szCs w:val="18"/>
                <w:lang w:eastAsia="en-GB"/>
              </w:rPr>
            </w:pPr>
            <w:r w:rsidRPr="007A6354">
              <w:rPr>
                <w:rFonts w:ascii="Calibri" w:eastAsia="Times New Roman" w:hAnsi="Calibri" w:cs="Calibri"/>
                <w:b/>
                <w:bCs/>
                <w:color w:val="000000"/>
                <w:sz w:val="18"/>
                <w:szCs w:val="18"/>
                <w:lang w:eastAsia="en-GB"/>
              </w:rPr>
              <w:t>Training Participants (n=13)</w:t>
            </w:r>
          </w:p>
        </w:tc>
        <w:tc>
          <w:tcPr>
            <w:tcW w:w="1042" w:type="dxa"/>
            <w:vMerge w:val="restart"/>
            <w:tcBorders>
              <w:top w:val="nil"/>
              <w:left w:val="nil"/>
              <w:right w:val="single" w:sz="4" w:space="0" w:color="auto"/>
            </w:tcBorders>
            <w:shd w:val="clear" w:color="000000" w:fill="F2F2F2"/>
            <w:vAlign w:val="center"/>
            <w:hideMark/>
          </w:tcPr>
          <w:p w14:paraId="7A9CF19D" w14:textId="13430E9D" w:rsidR="00A46532" w:rsidRPr="007A6354" w:rsidRDefault="00A46532" w:rsidP="000F4EA3">
            <w:pPr>
              <w:spacing w:after="0" w:line="240" w:lineRule="auto"/>
              <w:rPr>
                <w:rFonts w:ascii="Calibri" w:eastAsia="Times New Roman" w:hAnsi="Calibri" w:cs="Calibri"/>
                <w:i/>
                <w:iCs/>
                <w:color w:val="000000"/>
                <w:sz w:val="18"/>
                <w:szCs w:val="18"/>
                <w:lang w:eastAsia="en-GB"/>
              </w:rPr>
            </w:pPr>
            <w:r w:rsidRPr="007A6354">
              <w:rPr>
                <w:rFonts w:ascii="Calibri" w:eastAsia="Times New Roman" w:hAnsi="Calibri" w:cs="Calibri"/>
                <w:i/>
                <w:iCs/>
                <w:color w:val="000000"/>
                <w:sz w:val="18"/>
                <w:szCs w:val="18"/>
                <w:lang w:eastAsia="en-GB"/>
              </w:rPr>
              <w:t>Question / component mean score</w:t>
            </w:r>
            <w:r>
              <w:rPr>
                <w:rFonts w:ascii="Calibri" w:eastAsia="Times New Roman" w:hAnsi="Calibri" w:cs="Calibri"/>
                <w:i/>
                <w:iCs/>
                <w:color w:val="000000"/>
                <w:sz w:val="18"/>
                <w:szCs w:val="18"/>
                <w:lang w:eastAsia="en-GB"/>
              </w:rPr>
              <w:t>, SD, range.</w:t>
            </w:r>
          </w:p>
        </w:tc>
        <w:tc>
          <w:tcPr>
            <w:tcW w:w="745" w:type="dxa"/>
            <w:tcBorders>
              <w:top w:val="nil"/>
              <w:left w:val="single" w:sz="4" w:space="0" w:color="auto"/>
              <w:right w:val="single" w:sz="4" w:space="0" w:color="auto"/>
            </w:tcBorders>
            <w:shd w:val="clear" w:color="000000" w:fill="FFFFE2"/>
            <w:noWrap/>
            <w:vAlign w:val="center"/>
            <w:hideMark/>
          </w:tcPr>
          <w:p w14:paraId="71EE0360" w14:textId="11C2C495" w:rsidR="00A46532" w:rsidRPr="000F4EA3" w:rsidRDefault="00A46532"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3.2</w:t>
            </w:r>
          </w:p>
        </w:tc>
        <w:tc>
          <w:tcPr>
            <w:tcW w:w="703" w:type="dxa"/>
            <w:tcBorders>
              <w:top w:val="nil"/>
              <w:left w:val="single" w:sz="4" w:space="0" w:color="auto"/>
              <w:right w:val="single" w:sz="4" w:space="0" w:color="auto"/>
            </w:tcBorders>
            <w:shd w:val="clear" w:color="000000" w:fill="E1F5FD"/>
            <w:noWrap/>
            <w:vAlign w:val="center"/>
            <w:hideMark/>
          </w:tcPr>
          <w:p w14:paraId="53047714" w14:textId="77777777" w:rsidR="00A46532" w:rsidRPr="000F4EA3" w:rsidRDefault="00A46532"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2.8</w:t>
            </w:r>
          </w:p>
        </w:tc>
        <w:tc>
          <w:tcPr>
            <w:tcW w:w="709" w:type="dxa"/>
            <w:tcBorders>
              <w:top w:val="nil"/>
              <w:left w:val="single" w:sz="4" w:space="0" w:color="auto"/>
              <w:right w:val="single" w:sz="4" w:space="0" w:color="auto"/>
            </w:tcBorders>
            <w:shd w:val="clear" w:color="000000" w:fill="62CEF5"/>
            <w:noWrap/>
            <w:vAlign w:val="center"/>
            <w:hideMark/>
          </w:tcPr>
          <w:p w14:paraId="6D59282F" w14:textId="77777777" w:rsidR="00A46532" w:rsidRPr="000F4EA3" w:rsidRDefault="00A46532"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1.8</w:t>
            </w:r>
          </w:p>
        </w:tc>
        <w:tc>
          <w:tcPr>
            <w:tcW w:w="708" w:type="dxa"/>
            <w:tcBorders>
              <w:top w:val="nil"/>
              <w:left w:val="single" w:sz="4" w:space="0" w:color="auto"/>
              <w:right w:val="single" w:sz="4" w:space="0" w:color="auto"/>
            </w:tcBorders>
            <w:shd w:val="clear" w:color="000000" w:fill="6BD1F6"/>
            <w:noWrap/>
            <w:vAlign w:val="center"/>
            <w:hideMark/>
          </w:tcPr>
          <w:p w14:paraId="10677ED3" w14:textId="77777777" w:rsidR="00A46532" w:rsidRPr="000F4EA3" w:rsidRDefault="00A46532"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1.8</w:t>
            </w:r>
          </w:p>
        </w:tc>
        <w:tc>
          <w:tcPr>
            <w:tcW w:w="709" w:type="dxa"/>
            <w:tcBorders>
              <w:top w:val="nil"/>
              <w:left w:val="single" w:sz="4" w:space="0" w:color="auto"/>
              <w:right w:val="single" w:sz="4" w:space="0" w:color="auto"/>
            </w:tcBorders>
            <w:shd w:val="clear" w:color="000000" w:fill="7FD7F7"/>
            <w:noWrap/>
            <w:vAlign w:val="center"/>
            <w:hideMark/>
          </w:tcPr>
          <w:p w14:paraId="6D791FEB" w14:textId="77777777" w:rsidR="00A46532" w:rsidRPr="000F4EA3" w:rsidRDefault="00A46532"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2.0</w:t>
            </w:r>
          </w:p>
        </w:tc>
        <w:tc>
          <w:tcPr>
            <w:tcW w:w="709" w:type="dxa"/>
            <w:tcBorders>
              <w:top w:val="nil"/>
              <w:left w:val="single" w:sz="4" w:space="0" w:color="auto"/>
              <w:right w:val="single" w:sz="4" w:space="0" w:color="auto"/>
            </w:tcBorders>
            <w:shd w:val="clear" w:color="000000" w:fill="75D4F6"/>
            <w:noWrap/>
            <w:vAlign w:val="center"/>
            <w:hideMark/>
          </w:tcPr>
          <w:p w14:paraId="5ACA6E35" w14:textId="77777777" w:rsidR="00A46532" w:rsidRPr="000F4EA3" w:rsidRDefault="00A46532"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1.9</w:t>
            </w:r>
          </w:p>
        </w:tc>
        <w:tc>
          <w:tcPr>
            <w:tcW w:w="703" w:type="dxa"/>
            <w:tcBorders>
              <w:top w:val="nil"/>
              <w:left w:val="nil"/>
              <w:right w:val="single" w:sz="4" w:space="0" w:color="auto"/>
            </w:tcBorders>
            <w:shd w:val="clear" w:color="000000" w:fill="7FD7F7"/>
            <w:noWrap/>
            <w:vAlign w:val="center"/>
            <w:hideMark/>
          </w:tcPr>
          <w:p w14:paraId="22F2E091" w14:textId="77777777" w:rsidR="00A46532" w:rsidRPr="000F4EA3" w:rsidRDefault="00A46532"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2.0</w:t>
            </w:r>
          </w:p>
        </w:tc>
        <w:tc>
          <w:tcPr>
            <w:tcW w:w="709" w:type="dxa"/>
            <w:tcBorders>
              <w:top w:val="nil"/>
              <w:left w:val="single" w:sz="4" w:space="0" w:color="auto"/>
              <w:right w:val="single" w:sz="4" w:space="0" w:color="auto"/>
            </w:tcBorders>
            <w:shd w:val="clear" w:color="000000" w:fill="7FD7F7"/>
            <w:noWrap/>
            <w:vAlign w:val="center"/>
            <w:hideMark/>
          </w:tcPr>
          <w:p w14:paraId="5A9DD113" w14:textId="77777777" w:rsidR="00A46532" w:rsidRPr="000F4EA3" w:rsidRDefault="00A46532"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2.0</w:t>
            </w:r>
          </w:p>
        </w:tc>
        <w:tc>
          <w:tcPr>
            <w:tcW w:w="708" w:type="dxa"/>
            <w:tcBorders>
              <w:top w:val="nil"/>
              <w:left w:val="single" w:sz="4" w:space="0" w:color="auto"/>
              <w:right w:val="single" w:sz="4" w:space="0" w:color="auto"/>
            </w:tcBorders>
            <w:shd w:val="clear" w:color="000000" w:fill="62CEF5"/>
            <w:noWrap/>
            <w:vAlign w:val="center"/>
            <w:hideMark/>
          </w:tcPr>
          <w:p w14:paraId="736A9ACB" w14:textId="77777777" w:rsidR="00A46532" w:rsidRPr="000F4EA3" w:rsidRDefault="00A46532"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1.8</w:t>
            </w:r>
          </w:p>
        </w:tc>
        <w:tc>
          <w:tcPr>
            <w:tcW w:w="703" w:type="dxa"/>
            <w:tcBorders>
              <w:top w:val="nil"/>
              <w:left w:val="single" w:sz="4" w:space="0" w:color="auto"/>
              <w:right w:val="single" w:sz="4" w:space="0" w:color="auto"/>
            </w:tcBorders>
            <w:shd w:val="clear" w:color="000000" w:fill="7FD7F7"/>
            <w:noWrap/>
            <w:vAlign w:val="center"/>
            <w:hideMark/>
          </w:tcPr>
          <w:p w14:paraId="5BC1563B" w14:textId="77777777" w:rsidR="00A46532" w:rsidRPr="000F4EA3" w:rsidRDefault="00A46532"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2.0</w:t>
            </w:r>
          </w:p>
        </w:tc>
      </w:tr>
      <w:tr w:rsidR="008C2AD4" w:rsidRPr="007A6354" w14:paraId="4775DB50" w14:textId="77777777" w:rsidTr="008C2AD4">
        <w:trPr>
          <w:trHeight w:val="298"/>
          <w:jc w:val="center"/>
        </w:trPr>
        <w:tc>
          <w:tcPr>
            <w:tcW w:w="1110" w:type="dxa"/>
            <w:vMerge/>
            <w:tcBorders>
              <w:left w:val="single" w:sz="4" w:space="0" w:color="auto"/>
              <w:right w:val="single" w:sz="4" w:space="0" w:color="auto"/>
            </w:tcBorders>
            <w:shd w:val="clear" w:color="000000" w:fill="D9D9D9"/>
            <w:vAlign w:val="center"/>
          </w:tcPr>
          <w:p w14:paraId="3FB338EE" w14:textId="77777777" w:rsidR="008C2AD4" w:rsidRPr="007A6354" w:rsidRDefault="008C2AD4" w:rsidP="008C2AD4">
            <w:pPr>
              <w:spacing w:after="0" w:line="240" w:lineRule="auto"/>
              <w:rPr>
                <w:rFonts w:ascii="Calibri" w:eastAsia="Times New Roman" w:hAnsi="Calibri" w:cs="Calibri"/>
                <w:b/>
                <w:bCs/>
                <w:color w:val="000000"/>
                <w:sz w:val="18"/>
                <w:szCs w:val="18"/>
                <w:lang w:eastAsia="en-GB"/>
              </w:rPr>
            </w:pPr>
          </w:p>
        </w:tc>
        <w:tc>
          <w:tcPr>
            <w:tcW w:w="1042" w:type="dxa"/>
            <w:vMerge/>
            <w:tcBorders>
              <w:left w:val="nil"/>
              <w:right w:val="single" w:sz="4" w:space="0" w:color="auto"/>
            </w:tcBorders>
            <w:shd w:val="clear" w:color="000000" w:fill="F2F2F2"/>
            <w:vAlign w:val="bottom"/>
          </w:tcPr>
          <w:p w14:paraId="599BD3C2" w14:textId="77777777" w:rsidR="008C2AD4" w:rsidRPr="007A6354" w:rsidRDefault="008C2AD4" w:rsidP="008C2AD4">
            <w:pPr>
              <w:spacing w:after="0" w:line="240" w:lineRule="auto"/>
              <w:rPr>
                <w:rFonts w:ascii="Calibri" w:eastAsia="Times New Roman" w:hAnsi="Calibri" w:cs="Calibri"/>
                <w:i/>
                <w:iCs/>
                <w:color w:val="000000"/>
                <w:sz w:val="18"/>
                <w:szCs w:val="18"/>
                <w:lang w:eastAsia="en-GB"/>
              </w:rPr>
            </w:pPr>
          </w:p>
        </w:tc>
        <w:tc>
          <w:tcPr>
            <w:tcW w:w="745" w:type="dxa"/>
            <w:tcBorders>
              <w:top w:val="nil"/>
              <w:left w:val="single" w:sz="4" w:space="0" w:color="auto"/>
              <w:right w:val="single" w:sz="4" w:space="0" w:color="auto"/>
            </w:tcBorders>
            <w:shd w:val="clear" w:color="000000" w:fill="FFFFE2"/>
            <w:noWrap/>
            <w:vAlign w:val="bottom"/>
          </w:tcPr>
          <w:p w14:paraId="4A179663" w14:textId="2C6AB2C0" w:rsidR="008C2AD4" w:rsidRPr="000F4EA3" w:rsidRDefault="008C2AD4" w:rsidP="008C2AD4">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1.01</w:t>
            </w:r>
          </w:p>
        </w:tc>
        <w:tc>
          <w:tcPr>
            <w:tcW w:w="703" w:type="dxa"/>
            <w:tcBorders>
              <w:top w:val="nil"/>
              <w:left w:val="single" w:sz="4" w:space="0" w:color="auto"/>
              <w:right w:val="single" w:sz="4" w:space="0" w:color="auto"/>
            </w:tcBorders>
            <w:shd w:val="clear" w:color="000000" w:fill="E1F5FD"/>
            <w:noWrap/>
            <w:vAlign w:val="bottom"/>
          </w:tcPr>
          <w:p w14:paraId="05F136CD" w14:textId="14584DB7" w:rsidR="008C2AD4" w:rsidRPr="000F4EA3" w:rsidRDefault="008C2AD4" w:rsidP="008C2AD4">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0.93</w:t>
            </w:r>
          </w:p>
        </w:tc>
        <w:tc>
          <w:tcPr>
            <w:tcW w:w="709" w:type="dxa"/>
            <w:tcBorders>
              <w:top w:val="nil"/>
              <w:left w:val="single" w:sz="4" w:space="0" w:color="auto"/>
              <w:right w:val="single" w:sz="4" w:space="0" w:color="auto"/>
            </w:tcBorders>
            <w:shd w:val="clear" w:color="000000" w:fill="62CEF5"/>
            <w:noWrap/>
            <w:vAlign w:val="bottom"/>
          </w:tcPr>
          <w:p w14:paraId="11CFF9FE" w14:textId="1AAA106B" w:rsidR="008C2AD4" w:rsidRPr="000F4EA3" w:rsidRDefault="008C2AD4" w:rsidP="008C2AD4">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0.60</w:t>
            </w:r>
          </w:p>
        </w:tc>
        <w:tc>
          <w:tcPr>
            <w:tcW w:w="708" w:type="dxa"/>
            <w:tcBorders>
              <w:top w:val="nil"/>
              <w:left w:val="single" w:sz="4" w:space="0" w:color="auto"/>
              <w:right w:val="single" w:sz="4" w:space="0" w:color="auto"/>
            </w:tcBorders>
            <w:shd w:val="clear" w:color="000000" w:fill="6BD1F6"/>
            <w:noWrap/>
            <w:vAlign w:val="bottom"/>
          </w:tcPr>
          <w:p w14:paraId="72B63C7E" w14:textId="09448F6C" w:rsidR="008C2AD4" w:rsidRPr="000F4EA3" w:rsidRDefault="008C2AD4" w:rsidP="008C2AD4">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0.69</w:t>
            </w:r>
          </w:p>
        </w:tc>
        <w:tc>
          <w:tcPr>
            <w:tcW w:w="709" w:type="dxa"/>
            <w:tcBorders>
              <w:top w:val="nil"/>
              <w:left w:val="single" w:sz="4" w:space="0" w:color="auto"/>
              <w:right w:val="single" w:sz="4" w:space="0" w:color="auto"/>
            </w:tcBorders>
            <w:shd w:val="clear" w:color="000000" w:fill="7FD7F7"/>
            <w:noWrap/>
            <w:vAlign w:val="bottom"/>
          </w:tcPr>
          <w:p w14:paraId="543BA8F4" w14:textId="263EDEB4" w:rsidR="008C2AD4" w:rsidRPr="000F4EA3" w:rsidRDefault="008C2AD4" w:rsidP="008C2AD4">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0.91</w:t>
            </w:r>
          </w:p>
        </w:tc>
        <w:tc>
          <w:tcPr>
            <w:tcW w:w="709" w:type="dxa"/>
            <w:tcBorders>
              <w:top w:val="nil"/>
              <w:left w:val="single" w:sz="4" w:space="0" w:color="auto"/>
              <w:right w:val="single" w:sz="4" w:space="0" w:color="auto"/>
            </w:tcBorders>
            <w:shd w:val="clear" w:color="000000" w:fill="75D4F6"/>
            <w:noWrap/>
            <w:vAlign w:val="bottom"/>
          </w:tcPr>
          <w:p w14:paraId="0FCD8A29" w14:textId="54F26945" w:rsidR="008C2AD4" w:rsidRPr="000F4EA3" w:rsidRDefault="008C2AD4" w:rsidP="008C2AD4">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0.76</w:t>
            </w:r>
          </w:p>
        </w:tc>
        <w:tc>
          <w:tcPr>
            <w:tcW w:w="703" w:type="dxa"/>
            <w:tcBorders>
              <w:top w:val="nil"/>
              <w:left w:val="nil"/>
              <w:right w:val="single" w:sz="4" w:space="0" w:color="auto"/>
            </w:tcBorders>
            <w:shd w:val="clear" w:color="000000" w:fill="7FD7F7"/>
            <w:noWrap/>
            <w:vAlign w:val="bottom"/>
          </w:tcPr>
          <w:p w14:paraId="5B3A017D" w14:textId="72BD59A6" w:rsidR="008C2AD4" w:rsidRPr="000F4EA3" w:rsidRDefault="008C2AD4" w:rsidP="008C2AD4">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1.22</w:t>
            </w:r>
          </w:p>
        </w:tc>
        <w:tc>
          <w:tcPr>
            <w:tcW w:w="709" w:type="dxa"/>
            <w:tcBorders>
              <w:top w:val="nil"/>
              <w:left w:val="single" w:sz="4" w:space="0" w:color="auto"/>
              <w:right w:val="single" w:sz="4" w:space="0" w:color="auto"/>
            </w:tcBorders>
            <w:shd w:val="clear" w:color="000000" w:fill="7FD7F7"/>
            <w:noWrap/>
            <w:vAlign w:val="bottom"/>
          </w:tcPr>
          <w:p w14:paraId="5B57F3E5" w14:textId="6525307C" w:rsidR="008C2AD4" w:rsidRPr="000F4EA3" w:rsidRDefault="008C2AD4" w:rsidP="008C2AD4">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0.41</w:t>
            </w:r>
          </w:p>
        </w:tc>
        <w:tc>
          <w:tcPr>
            <w:tcW w:w="708" w:type="dxa"/>
            <w:tcBorders>
              <w:top w:val="nil"/>
              <w:left w:val="single" w:sz="4" w:space="0" w:color="auto"/>
              <w:right w:val="single" w:sz="4" w:space="0" w:color="auto"/>
            </w:tcBorders>
            <w:shd w:val="clear" w:color="000000" w:fill="62CEF5"/>
            <w:noWrap/>
            <w:vAlign w:val="bottom"/>
          </w:tcPr>
          <w:p w14:paraId="58349013" w14:textId="5EC1F690" w:rsidR="008C2AD4" w:rsidRPr="000F4EA3" w:rsidRDefault="008C2AD4" w:rsidP="008C2AD4">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0.83</w:t>
            </w:r>
          </w:p>
        </w:tc>
        <w:tc>
          <w:tcPr>
            <w:tcW w:w="703" w:type="dxa"/>
            <w:tcBorders>
              <w:top w:val="nil"/>
              <w:left w:val="single" w:sz="4" w:space="0" w:color="auto"/>
              <w:right w:val="single" w:sz="4" w:space="0" w:color="auto"/>
            </w:tcBorders>
            <w:shd w:val="clear" w:color="000000" w:fill="7FD7F7"/>
            <w:noWrap/>
            <w:vAlign w:val="bottom"/>
          </w:tcPr>
          <w:p w14:paraId="73881AB7" w14:textId="521CD345" w:rsidR="008C2AD4" w:rsidRPr="000F4EA3" w:rsidRDefault="008C2AD4" w:rsidP="008C2AD4">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0.41</w:t>
            </w:r>
          </w:p>
        </w:tc>
      </w:tr>
      <w:tr w:rsidR="008C2AD4" w:rsidRPr="007A6354" w14:paraId="3AA96BD1" w14:textId="77777777" w:rsidTr="000F4EA3">
        <w:trPr>
          <w:trHeight w:val="263"/>
          <w:jc w:val="center"/>
        </w:trPr>
        <w:tc>
          <w:tcPr>
            <w:tcW w:w="1110" w:type="dxa"/>
            <w:vMerge/>
            <w:tcBorders>
              <w:left w:val="single" w:sz="4" w:space="0" w:color="auto"/>
              <w:bottom w:val="nil"/>
              <w:right w:val="single" w:sz="4" w:space="0" w:color="auto"/>
            </w:tcBorders>
            <w:shd w:val="clear" w:color="000000" w:fill="D9D9D9"/>
            <w:vAlign w:val="center"/>
          </w:tcPr>
          <w:p w14:paraId="6C87EEC7" w14:textId="77777777" w:rsidR="008C2AD4" w:rsidRPr="007A6354" w:rsidRDefault="008C2AD4" w:rsidP="008C2AD4">
            <w:pPr>
              <w:spacing w:after="0" w:line="240" w:lineRule="auto"/>
              <w:rPr>
                <w:rFonts w:ascii="Calibri" w:eastAsia="Times New Roman" w:hAnsi="Calibri" w:cs="Calibri"/>
                <w:b/>
                <w:bCs/>
                <w:color w:val="000000"/>
                <w:sz w:val="18"/>
                <w:szCs w:val="18"/>
                <w:lang w:eastAsia="en-GB"/>
              </w:rPr>
            </w:pPr>
          </w:p>
        </w:tc>
        <w:tc>
          <w:tcPr>
            <w:tcW w:w="1042" w:type="dxa"/>
            <w:vMerge/>
            <w:tcBorders>
              <w:left w:val="nil"/>
              <w:bottom w:val="single" w:sz="4" w:space="0" w:color="auto"/>
              <w:right w:val="single" w:sz="4" w:space="0" w:color="auto"/>
            </w:tcBorders>
            <w:shd w:val="clear" w:color="000000" w:fill="F2F2F2"/>
            <w:vAlign w:val="bottom"/>
          </w:tcPr>
          <w:p w14:paraId="35E031F1" w14:textId="77777777" w:rsidR="008C2AD4" w:rsidRPr="007A6354" w:rsidRDefault="008C2AD4" w:rsidP="008C2AD4">
            <w:pPr>
              <w:spacing w:after="0" w:line="240" w:lineRule="auto"/>
              <w:rPr>
                <w:rFonts w:ascii="Calibri" w:eastAsia="Times New Roman" w:hAnsi="Calibri" w:cs="Calibri"/>
                <w:i/>
                <w:iCs/>
                <w:color w:val="000000"/>
                <w:sz w:val="18"/>
                <w:szCs w:val="18"/>
                <w:lang w:eastAsia="en-GB"/>
              </w:rPr>
            </w:pPr>
          </w:p>
        </w:tc>
        <w:tc>
          <w:tcPr>
            <w:tcW w:w="745" w:type="dxa"/>
            <w:tcBorders>
              <w:left w:val="single" w:sz="4" w:space="0" w:color="auto"/>
              <w:bottom w:val="single" w:sz="4" w:space="0" w:color="auto"/>
              <w:right w:val="single" w:sz="4" w:space="0" w:color="auto"/>
            </w:tcBorders>
            <w:shd w:val="clear" w:color="000000" w:fill="FFFFE2"/>
            <w:noWrap/>
            <w:vAlign w:val="bottom"/>
          </w:tcPr>
          <w:p w14:paraId="74E8C8E2" w14:textId="28E21FCC" w:rsidR="008C2AD4" w:rsidRPr="000F4EA3" w:rsidRDefault="008C2AD4" w:rsidP="008C2AD4">
            <w:pPr>
              <w:spacing w:after="0" w:line="240" w:lineRule="auto"/>
              <w:jc w:val="center"/>
              <w:rPr>
                <w:rFonts w:ascii="Calibri" w:hAnsi="Calibri" w:cs="Calibri"/>
                <w:i/>
                <w:iCs/>
                <w:color w:val="000000"/>
                <w:sz w:val="16"/>
                <w:szCs w:val="16"/>
              </w:rPr>
            </w:pPr>
            <w:r w:rsidRPr="000F4EA3">
              <w:rPr>
                <w:rFonts w:ascii="Calibri" w:hAnsi="Calibri" w:cs="Calibri"/>
                <w:i/>
                <w:color w:val="000000"/>
                <w:sz w:val="16"/>
                <w:szCs w:val="16"/>
              </w:rPr>
              <w:t>2 - 5</w:t>
            </w:r>
          </w:p>
        </w:tc>
        <w:tc>
          <w:tcPr>
            <w:tcW w:w="703" w:type="dxa"/>
            <w:tcBorders>
              <w:left w:val="single" w:sz="4" w:space="0" w:color="auto"/>
              <w:bottom w:val="single" w:sz="4" w:space="0" w:color="auto"/>
              <w:right w:val="single" w:sz="4" w:space="0" w:color="auto"/>
            </w:tcBorders>
            <w:shd w:val="clear" w:color="000000" w:fill="E1F5FD"/>
            <w:noWrap/>
            <w:vAlign w:val="bottom"/>
          </w:tcPr>
          <w:p w14:paraId="216F7A3E" w14:textId="14B9EF4F" w:rsidR="008C2AD4" w:rsidRPr="000F4EA3" w:rsidRDefault="008C2AD4" w:rsidP="008C2AD4">
            <w:pPr>
              <w:spacing w:after="0" w:line="240" w:lineRule="auto"/>
              <w:jc w:val="center"/>
              <w:rPr>
                <w:rFonts w:ascii="Calibri" w:hAnsi="Calibri" w:cs="Calibri"/>
                <w:i/>
                <w:iCs/>
                <w:color w:val="000000"/>
                <w:sz w:val="16"/>
                <w:szCs w:val="16"/>
              </w:rPr>
            </w:pPr>
            <w:r w:rsidRPr="000F4EA3">
              <w:rPr>
                <w:rFonts w:ascii="Calibri" w:hAnsi="Calibri" w:cs="Calibri"/>
                <w:i/>
                <w:color w:val="000000"/>
                <w:sz w:val="16"/>
                <w:szCs w:val="16"/>
              </w:rPr>
              <w:t>2 - 4</w:t>
            </w:r>
          </w:p>
        </w:tc>
        <w:tc>
          <w:tcPr>
            <w:tcW w:w="709" w:type="dxa"/>
            <w:tcBorders>
              <w:left w:val="single" w:sz="4" w:space="0" w:color="auto"/>
              <w:bottom w:val="single" w:sz="4" w:space="0" w:color="auto"/>
              <w:right w:val="single" w:sz="4" w:space="0" w:color="auto"/>
            </w:tcBorders>
            <w:shd w:val="clear" w:color="000000" w:fill="62CEF5"/>
            <w:noWrap/>
            <w:vAlign w:val="bottom"/>
          </w:tcPr>
          <w:p w14:paraId="4CB164FB" w14:textId="760E6051" w:rsidR="008C2AD4" w:rsidRPr="000F4EA3" w:rsidRDefault="008C2AD4" w:rsidP="008C2AD4">
            <w:pPr>
              <w:spacing w:after="0" w:line="240" w:lineRule="auto"/>
              <w:jc w:val="center"/>
              <w:rPr>
                <w:rFonts w:ascii="Calibri" w:hAnsi="Calibri" w:cs="Calibri"/>
                <w:i/>
                <w:iCs/>
                <w:color w:val="000000"/>
                <w:sz w:val="16"/>
                <w:szCs w:val="16"/>
              </w:rPr>
            </w:pPr>
            <w:r w:rsidRPr="000F4EA3">
              <w:rPr>
                <w:rFonts w:ascii="Calibri" w:hAnsi="Calibri" w:cs="Calibri"/>
                <w:i/>
                <w:color w:val="000000"/>
                <w:sz w:val="16"/>
                <w:szCs w:val="16"/>
              </w:rPr>
              <w:t>1 - 3</w:t>
            </w:r>
          </w:p>
        </w:tc>
        <w:tc>
          <w:tcPr>
            <w:tcW w:w="708" w:type="dxa"/>
            <w:tcBorders>
              <w:left w:val="single" w:sz="4" w:space="0" w:color="auto"/>
              <w:bottom w:val="single" w:sz="4" w:space="0" w:color="auto"/>
              <w:right w:val="single" w:sz="4" w:space="0" w:color="auto"/>
            </w:tcBorders>
            <w:shd w:val="clear" w:color="000000" w:fill="6BD1F6"/>
            <w:noWrap/>
            <w:vAlign w:val="bottom"/>
          </w:tcPr>
          <w:p w14:paraId="4C7BBD76" w14:textId="19970C36" w:rsidR="008C2AD4" w:rsidRPr="000F4EA3" w:rsidRDefault="008C2AD4" w:rsidP="008C2AD4">
            <w:pPr>
              <w:spacing w:after="0" w:line="240" w:lineRule="auto"/>
              <w:jc w:val="center"/>
              <w:rPr>
                <w:rFonts w:ascii="Calibri" w:hAnsi="Calibri" w:cs="Calibri"/>
                <w:i/>
                <w:iCs/>
                <w:color w:val="000000"/>
                <w:sz w:val="16"/>
                <w:szCs w:val="16"/>
              </w:rPr>
            </w:pPr>
            <w:r w:rsidRPr="000F4EA3">
              <w:rPr>
                <w:rFonts w:ascii="Calibri" w:hAnsi="Calibri" w:cs="Calibri"/>
                <w:i/>
                <w:iCs/>
                <w:color w:val="000000"/>
                <w:sz w:val="16"/>
                <w:szCs w:val="16"/>
              </w:rPr>
              <w:t>1 - 3</w:t>
            </w:r>
          </w:p>
        </w:tc>
        <w:tc>
          <w:tcPr>
            <w:tcW w:w="709" w:type="dxa"/>
            <w:tcBorders>
              <w:left w:val="single" w:sz="4" w:space="0" w:color="auto"/>
              <w:bottom w:val="single" w:sz="4" w:space="0" w:color="auto"/>
              <w:right w:val="single" w:sz="4" w:space="0" w:color="auto"/>
            </w:tcBorders>
            <w:shd w:val="clear" w:color="000000" w:fill="7FD7F7"/>
            <w:noWrap/>
            <w:vAlign w:val="bottom"/>
          </w:tcPr>
          <w:p w14:paraId="42202E42" w14:textId="17C72ECC" w:rsidR="008C2AD4" w:rsidRPr="000F4EA3" w:rsidRDefault="008C2AD4" w:rsidP="008C2AD4">
            <w:pPr>
              <w:spacing w:after="0" w:line="240" w:lineRule="auto"/>
              <w:jc w:val="center"/>
              <w:rPr>
                <w:rFonts w:ascii="Calibri" w:hAnsi="Calibri" w:cs="Calibri"/>
                <w:i/>
                <w:iCs/>
                <w:color w:val="000000"/>
                <w:sz w:val="16"/>
                <w:szCs w:val="16"/>
              </w:rPr>
            </w:pPr>
            <w:r w:rsidRPr="000F4EA3">
              <w:rPr>
                <w:rFonts w:ascii="Calibri" w:hAnsi="Calibri" w:cs="Calibri"/>
                <w:i/>
                <w:iCs/>
                <w:color w:val="000000"/>
                <w:sz w:val="16"/>
                <w:szCs w:val="16"/>
              </w:rPr>
              <w:t>1 - 4</w:t>
            </w:r>
          </w:p>
        </w:tc>
        <w:tc>
          <w:tcPr>
            <w:tcW w:w="709" w:type="dxa"/>
            <w:tcBorders>
              <w:left w:val="single" w:sz="4" w:space="0" w:color="auto"/>
              <w:bottom w:val="single" w:sz="4" w:space="0" w:color="auto"/>
              <w:right w:val="single" w:sz="4" w:space="0" w:color="auto"/>
            </w:tcBorders>
            <w:shd w:val="clear" w:color="000000" w:fill="75D4F6"/>
            <w:noWrap/>
            <w:vAlign w:val="bottom"/>
          </w:tcPr>
          <w:p w14:paraId="679B845F" w14:textId="7360B968" w:rsidR="008C2AD4" w:rsidRPr="000F4EA3" w:rsidRDefault="008C2AD4" w:rsidP="008C2AD4">
            <w:pPr>
              <w:spacing w:after="0" w:line="240" w:lineRule="auto"/>
              <w:jc w:val="center"/>
              <w:rPr>
                <w:rFonts w:ascii="Calibri" w:hAnsi="Calibri" w:cs="Calibri"/>
                <w:i/>
                <w:iCs/>
                <w:color w:val="000000"/>
                <w:sz w:val="16"/>
                <w:szCs w:val="16"/>
              </w:rPr>
            </w:pPr>
            <w:r w:rsidRPr="000F4EA3">
              <w:rPr>
                <w:rFonts w:ascii="Calibri" w:hAnsi="Calibri" w:cs="Calibri"/>
                <w:i/>
                <w:iCs/>
                <w:color w:val="000000"/>
                <w:sz w:val="16"/>
                <w:szCs w:val="16"/>
              </w:rPr>
              <w:t>1 - 3</w:t>
            </w:r>
          </w:p>
        </w:tc>
        <w:tc>
          <w:tcPr>
            <w:tcW w:w="703" w:type="dxa"/>
            <w:tcBorders>
              <w:left w:val="nil"/>
              <w:bottom w:val="single" w:sz="4" w:space="0" w:color="auto"/>
              <w:right w:val="single" w:sz="4" w:space="0" w:color="auto"/>
            </w:tcBorders>
            <w:shd w:val="clear" w:color="000000" w:fill="7FD7F7"/>
            <w:noWrap/>
            <w:vAlign w:val="bottom"/>
          </w:tcPr>
          <w:p w14:paraId="54322E04" w14:textId="38F11A9A" w:rsidR="008C2AD4" w:rsidRPr="000F4EA3" w:rsidRDefault="008C2AD4" w:rsidP="008C2AD4">
            <w:pPr>
              <w:spacing w:after="0" w:line="240" w:lineRule="auto"/>
              <w:jc w:val="center"/>
              <w:rPr>
                <w:rFonts w:ascii="Calibri" w:hAnsi="Calibri" w:cs="Calibri"/>
                <w:i/>
                <w:iCs/>
                <w:color w:val="000000"/>
                <w:sz w:val="16"/>
                <w:szCs w:val="16"/>
              </w:rPr>
            </w:pPr>
            <w:r w:rsidRPr="000F4EA3">
              <w:rPr>
                <w:rFonts w:ascii="Calibri" w:hAnsi="Calibri" w:cs="Calibri"/>
                <w:i/>
                <w:iCs/>
                <w:color w:val="000000"/>
                <w:sz w:val="16"/>
                <w:szCs w:val="16"/>
              </w:rPr>
              <w:t>1 - 5</w:t>
            </w:r>
          </w:p>
        </w:tc>
        <w:tc>
          <w:tcPr>
            <w:tcW w:w="709" w:type="dxa"/>
            <w:tcBorders>
              <w:left w:val="single" w:sz="4" w:space="0" w:color="auto"/>
              <w:bottom w:val="single" w:sz="4" w:space="0" w:color="auto"/>
              <w:right w:val="single" w:sz="4" w:space="0" w:color="auto"/>
            </w:tcBorders>
            <w:shd w:val="clear" w:color="000000" w:fill="7FD7F7"/>
            <w:noWrap/>
            <w:vAlign w:val="bottom"/>
          </w:tcPr>
          <w:p w14:paraId="241C32CF" w14:textId="681C113B" w:rsidR="008C2AD4" w:rsidRPr="000F4EA3" w:rsidRDefault="008C2AD4" w:rsidP="008C2AD4">
            <w:pPr>
              <w:spacing w:after="0" w:line="240" w:lineRule="auto"/>
              <w:jc w:val="center"/>
              <w:rPr>
                <w:rFonts w:ascii="Calibri" w:hAnsi="Calibri" w:cs="Calibri"/>
                <w:i/>
                <w:iCs/>
                <w:color w:val="000000"/>
                <w:sz w:val="16"/>
                <w:szCs w:val="16"/>
              </w:rPr>
            </w:pPr>
            <w:r w:rsidRPr="000F4EA3">
              <w:rPr>
                <w:rFonts w:ascii="Calibri" w:hAnsi="Calibri" w:cs="Calibri"/>
                <w:i/>
                <w:iCs/>
                <w:color w:val="000000"/>
                <w:sz w:val="16"/>
                <w:szCs w:val="16"/>
              </w:rPr>
              <w:t>1 - 3</w:t>
            </w:r>
          </w:p>
        </w:tc>
        <w:tc>
          <w:tcPr>
            <w:tcW w:w="708" w:type="dxa"/>
            <w:tcBorders>
              <w:left w:val="single" w:sz="4" w:space="0" w:color="auto"/>
              <w:bottom w:val="single" w:sz="4" w:space="0" w:color="auto"/>
              <w:right w:val="single" w:sz="4" w:space="0" w:color="auto"/>
            </w:tcBorders>
            <w:shd w:val="clear" w:color="000000" w:fill="62CEF5"/>
            <w:noWrap/>
            <w:vAlign w:val="bottom"/>
          </w:tcPr>
          <w:p w14:paraId="68D6037E" w14:textId="55471661" w:rsidR="008C2AD4" w:rsidRPr="000F4EA3" w:rsidRDefault="008C2AD4" w:rsidP="008C2AD4">
            <w:pPr>
              <w:spacing w:after="0" w:line="240" w:lineRule="auto"/>
              <w:jc w:val="center"/>
              <w:rPr>
                <w:rFonts w:ascii="Calibri" w:hAnsi="Calibri" w:cs="Calibri"/>
                <w:i/>
                <w:iCs/>
                <w:color w:val="000000"/>
                <w:sz w:val="16"/>
                <w:szCs w:val="16"/>
              </w:rPr>
            </w:pPr>
            <w:r w:rsidRPr="000F4EA3">
              <w:rPr>
                <w:rFonts w:ascii="Calibri" w:hAnsi="Calibri" w:cs="Calibri"/>
                <w:i/>
                <w:iCs/>
                <w:color w:val="000000"/>
                <w:sz w:val="16"/>
                <w:szCs w:val="16"/>
              </w:rPr>
              <w:t>1 - 3</w:t>
            </w:r>
          </w:p>
        </w:tc>
        <w:tc>
          <w:tcPr>
            <w:tcW w:w="703" w:type="dxa"/>
            <w:tcBorders>
              <w:left w:val="single" w:sz="4" w:space="0" w:color="auto"/>
              <w:bottom w:val="single" w:sz="4" w:space="0" w:color="auto"/>
              <w:right w:val="single" w:sz="4" w:space="0" w:color="auto"/>
            </w:tcBorders>
            <w:shd w:val="clear" w:color="000000" w:fill="7FD7F7"/>
            <w:noWrap/>
            <w:vAlign w:val="bottom"/>
          </w:tcPr>
          <w:p w14:paraId="7550DFDF" w14:textId="5E1F354F" w:rsidR="008C2AD4" w:rsidRPr="000F4EA3" w:rsidRDefault="008C2AD4" w:rsidP="008C2AD4">
            <w:pPr>
              <w:spacing w:after="0" w:line="240" w:lineRule="auto"/>
              <w:jc w:val="center"/>
              <w:rPr>
                <w:rFonts w:ascii="Calibri" w:hAnsi="Calibri" w:cs="Calibri"/>
                <w:i/>
                <w:iCs/>
                <w:color w:val="000000"/>
                <w:sz w:val="16"/>
                <w:szCs w:val="16"/>
              </w:rPr>
            </w:pPr>
            <w:r w:rsidRPr="000F4EA3">
              <w:rPr>
                <w:rFonts w:ascii="Calibri" w:hAnsi="Calibri" w:cs="Calibri"/>
                <w:i/>
                <w:iCs/>
                <w:color w:val="000000"/>
                <w:sz w:val="16"/>
                <w:szCs w:val="16"/>
              </w:rPr>
              <w:t>1 - 3</w:t>
            </w:r>
          </w:p>
        </w:tc>
      </w:tr>
      <w:tr w:rsidR="00A46532" w:rsidRPr="007A6354" w14:paraId="7C6E25C1" w14:textId="77777777" w:rsidTr="000F4EA3">
        <w:trPr>
          <w:trHeight w:val="414"/>
          <w:jc w:val="center"/>
        </w:trPr>
        <w:tc>
          <w:tcPr>
            <w:tcW w:w="1110" w:type="dxa"/>
            <w:vMerge w:val="restart"/>
            <w:tcBorders>
              <w:top w:val="single" w:sz="4" w:space="0" w:color="auto"/>
              <w:left w:val="single" w:sz="4" w:space="0" w:color="auto"/>
              <w:right w:val="single" w:sz="4" w:space="0" w:color="auto"/>
            </w:tcBorders>
            <w:shd w:val="clear" w:color="000000" w:fill="D9D9D9"/>
            <w:vAlign w:val="center"/>
            <w:hideMark/>
          </w:tcPr>
          <w:p w14:paraId="1BFC1CEE" w14:textId="77777777" w:rsidR="00A46532" w:rsidRPr="007A6354" w:rsidRDefault="00A46532" w:rsidP="00445689">
            <w:pPr>
              <w:spacing w:after="0" w:line="240" w:lineRule="auto"/>
              <w:rPr>
                <w:rFonts w:ascii="Calibri" w:eastAsia="Times New Roman" w:hAnsi="Calibri" w:cs="Calibri"/>
                <w:b/>
                <w:bCs/>
                <w:color w:val="000000"/>
                <w:sz w:val="18"/>
                <w:szCs w:val="18"/>
                <w:lang w:eastAsia="en-GB"/>
              </w:rPr>
            </w:pPr>
            <w:r w:rsidRPr="007A6354">
              <w:rPr>
                <w:rFonts w:ascii="Calibri" w:eastAsia="Times New Roman" w:hAnsi="Calibri" w:cs="Calibri"/>
                <w:b/>
                <w:bCs/>
                <w:color w:val="000000"/>
                <w:sz w:val="18"/>
                <w:szCs w:val="18"/>
                <w:lang w:eastAsia="en-GB"/>
              </w:rPr>
              <w:t>Non-training participants (n=19)</w:t>
            </w:r>
          </w:p>
        </w:tc>
        <w:tc>
          <w:tcPr>
            <w:tcW w:w="1042" w:type="dxa"/>
            <w:vMerge w:val="restart"/>
            <w:tcBorders>
              <w:top w:val="nil"/>
              <w:left w:val="nil"/>
              <w:right w:val="single" w:sz="4" w:space="0" w:color="auto"/>
            </w:tcBorders>
            <w:shd w:val="clear" w:color="000000" w:fill="F2F2F2"/>
            <w:vAlign w:val="center"/>
            <w:hideMark/>
          </w:tcPr>
          <w:p w14:paraId="31EEA476" w14:textId="65E54B94" w:rsidR="00A46532" w:rsidRPr="007A6354" w:rsidRDefault="00A46532" w:rsidP="000F4EA3">
            <w:pPr>
              <w:spacing w:after="0" w:line="240" w:lineRule="auto"/>
              <w:rPr>
                <w:rFonts w:ascii="Calibri" w:eastAsia="Times New Roman" w:hAnsi="Calibri" w:cs="Calibri"/>
                <w:i/>
                <w:iCs/>
                <w:color w:val="000000"/>
                <w:sz w:val="18"/>
                <w:szCs w:val="18"/>
                <w:lang w:eastAsia="en-GB"/>
              </w:rPr>
            </w:pPr>
            <w:r w:rsidRPr="007A6354">
              <w:rPr>
                <w:rFonts w:ascii="Calibri" w:eastAsia="Times New Roman" w:hAnsi="Calibri" w:cs="Calibri"/>
                <w:i/>
                <w:iCs/>
                <w:color w:val="000000"/>
                <w:sz w:val="18"/>
                <w:szCs w:val="18"/>
                <w:lang w:eastAsia="en-GB"/>
              </w:rPr>
              <w:t>Question / component mean score</w:t>
            </w:r>
            <w:r>
              <w:rPr>
                <w:rFonts w:ascii="Calibri" w:eastAsia="Times New Roman" w:hAnsi="Calibri" w:cs="Calibri"/>
                <w:i/>
                <w:iCs/>
                <w:color w:val="000000"/>
                <w:sz w:val="18"/>
                <w:szCs w:val="18"/>
                <w:lang w:eastAsia="en-GB"/>
              </w:rPr>
              <w:t>, SD, range.</w:t>
            </w:r>
          </w:p>
        </w:tc>
        <w:tc>
          <w:tcPr>
            <w:tcW w:w="745" w:type="dxa"/>
            <w:tcBorders>
              <w:top w:val="single" w:sz="4" w:space="0" w:color="auto"/>
              <w:left w:val="single" w:sz="4" w:space="0" w:color="auto"/>
              <w:right w:val="single" w:sz="4" w:space="0" w:color="auto"/>
            </w:tcBorders>
            <w:shd w:val="clear" w:color="000000" w:fill="FFFFE5"/>
            <w:noWrap/>
            <w:vAlign w:val="center"/>
            <w:hideMark/>
          </w:tcPr>
          <w:p w14:paraId="2B282014" w14:textId="77777777" w:rsidR="00A46532" w:rsidRPr="000F4EA3" w:rsidRDefault="00A46532"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3.2</w:t>
            </w:r>
          </w:p>
        </w:tc>
        <w:tc>
          <w:tcPr>
            <w:tcW w:w="703" w:type="dxa"/>
            <w:tcBorders>
              <w:top w:val="single" w:sz="4" w:space="0" w:color="auto"/>
              <w:left w:val="single" w:sz="4" w:space="0" w:color="auto"/>
              <w:right w:val="single" w:sz="4" w:space="0" w:color="auto"/>
            </w:tcBorders>
            <w:shd w:val="clear" w:color="000000" w:fill="FFFFFF"/>
            <w:noWrap/>
            <w:vAlign w:val="center"/>
            <w:hideMark/>
          </w:tcPr>
          <w:p w14:paraId="3D63779B" w14:textId="77777777" w:rsidR="00A46532" w:rsidRPr="000F4EA3" w:rsidRDefault="00A46532"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3.0</w:t>
            </w:r>
          </w:p>
        </w:tc>
        <w:tc>
          <w:tcPr>
            <w:tcW w:w="709" w:type="dxa"/>
            <w:tcBorders>
              <w:top w:val="single" w:sz="4" w:space="0" w:color="auto"/>
              <w:left w:val="single" w:sz="4" w:space="0" w:color="auto"/>
              <w:right w:val="single" w:sz="4" w:space="0" w:color="auto"/>
            </w:tcBorders>
            <w:shd w:val="clear" w:color="000000" w:fill="7FD7F7"/>
            <w:noWrap/>
            <w:vAlign w:val="center"/>
            <w:hideMark/>
          </w:tcPr>
          <w:p w14:paraId="2BF05512" w14:textId="77777777" w:rsidR="00A46532" w:rsidRPr="000F4EA3" w:rsidRDefault="00A46532"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2.0</w:t>
            </w:r>
          </w:p>
        </w:tc>
        <w:tc>
          <w:tcPr>
            <w:tcW w:w="708" w:type="dxa"/>
            <w:tcBorders>
              <w:top w:val="single" w:sz="4" w:space="0" w:color="auto"/>
              <w:left w:val="single" w:sz="4" w:space="0" w:color="auto"/>
              <w:right w:val="single" w:sz="4" w:space="0" w:color="auto"/>
            </w:tcBorders>
            <w:shd w:val="clear" w:color="000000" w:fill="78D5F7"/>
            <w:noWrap/>
            <w:vAlign w:val="center"/>
            <w:hideMark/>
          </w:tcPr>
          <w:p w14:paraId="3DFC4C43" w14:textId="77777777" w:rsidR="00A46532" w:rsidRPr="000F4EA3" w:rsidRDefault="00A46532"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1.9</w:t>
            </w:r>
          </w:p>
        </w:tc>
        <w:tc>
          <w:tcPr>
            <w:tcW w:w="709" w:type="dxa"/>
            <w:tcBorders>
              <w:top w:val="single" w:sz="4" w:space="0" w:color="auto"/>
              <w:left w:val="single" w:sz="4" w:space="0" w:color="auto"/>
              <w:right w:val="single" w:sz="4" w:space="0" w:color="auto"/>
            </w:tcBorders>
            <w:shd w:val="clear" w:color="000000" w:fill="7FD7F7"/>
            <w:noWrap/>
            <w:vAlign w:val="center"/>
            <w:hideMark/>
          </w:tcPr>
          <w:p w14:paraId="13066D13" w14:textId="77777777" w:rsidR="00A46532" w:rsidRPr="000F4EA3" w:rsidRDefault="00A46532"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2.0</w:t>
            </w:r>
          </w:p>
        </w:tc>
        <w:tc>
          <w:tcPr>
            <w:tcW w:w="709" w:type="dxa"/>
            <w:tcBorders>
              <w:top w:val="single" w:sz="4" w:space="0" w:color="auto"/>
              <w:left w:val="single" w:sz="4" w:space="0" w:color="auto"/>
              <w:right w:val="single" w:sz="4" w:space="0" w:color="auto"/>
            </w:tcBorders>
            <w:shd w:val="clear" w:color="000000" w:fill="9BE0F9"/>
            <w:noWrap/>
            <w:vAlign w:val="center"/>
            <w:hideMark/>
          </w:tcPr>
          <w:p w14:paraId="7893375C" w14:textId="77777777" w:rsidR="00A46532" w:rsidRPr="000F4EA3" w:rsidRDefault="00A46532"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2.2</w:t>
            </w:r>
          </w:p>
        </w:tc>
        <w:tc>
          <w:tcPr>
            <w:tcW w:w="703" w:type="dxa"/>
            <w:tcBorders>
              <w:top w:val="single" w:sz="4" w:space="0" w:color="auto"/>
              <w:left w:val="nil"/>
              <w:right w:val="single" w:sz="4" w:space="0" w:color="auto"/>
            </w:tcBorders>
            <w:shd w:val="clear" w:color="000000" w:fill="55CAF5"/>
            <w:noWrap/>
            <w:vAlign w:val="center"/>
            <w:hideMark/>
          </w:tcPr>
          <w:p w14:paraId="42BFACDF" w14:textId="77777777" w:rsidR="00A46532" w:rsidRPr="000F4EA3" w:rsidRDefault="00A46532"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1.7</w:t>
            </w:r>
          </w:p>
        </w:tc>
        <w:tc>
          <w:tcPr>
            <w:tcW w:w="709" w:type="dxa"/>
            <w:tcBorders>
              <w:top w:val="single" w:sz="4" w:space="0" w:color="auto"/>
              <w:left w:val="single" w:sz="4" w:space="0" w:color="auto"/>
              <w:right w:val="single" w:sz="4" w:space="0" w:color="auto"/>
            </w:tcBorders>
            <w:shd w:val="clear" w:color="000000" w:fill="7FD7F7"/>
            <w:noWrap/>
            <w:vAlign w:val="center"/>
            <w:hideMark/>
          </w:tcPr>
          <w:p w14:paraId="4E57C8F1" w14:textId="77777777" w:rsidR="00A46532" w:rsidRPr="000F4EA3" w:rsidRDefault="00A46532"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2.0</w:t>
            </w:r>
          </w:p>
        </w:tc>
        <w:tc>
          <w:tcPr>
            <w:tcW w:w="708" w:type="dxa"/>
            <w:tcBorders>
              <w:top w:val="single" w:sz="4" w:space="0" w:color="auto"/>
              <w:left w:val="single" w:sz="4" w:space="0" w:color="auto"/>
              <w:right w:val="single" w:sz="4" w:space="0" w:color="auto"/>
            </w:tcBorders>
            <w:shd w:val="clear" w:color="000000" w:fill="9ADFF9"/>
            <w:noWrap/>
            <w:vAlign w:val="center"/>
            <w:hideMark/>
          </w:tcPr>
          <w:p w14:paraId="18C4AEE7" w14:textId="77777777" w:rsidR="00A46532" w:rsidRPr="000F4EA3" w:rsidRDefault="00A46532"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2.2</w:t>
            </w:r>
          </w:p>
        </w:tc>
        <w:tc>
          <w:tcPr>
            <w:tcW w:w="703" w:type="dxa"/>
            <w:tcBorders>
              <w:top w:val="single" w:sz="4" w:space="0" w:color="auto"/>
              <w:left w:val="single" w:sz="4" w:space="0" w:color="auto"/>
              <w:right w:val="single" w:sz="4" w:space="0" w:color="auto"/>
            </w:tcBorders>
            <w:shd w:val="clear" w:color="000000" w:fill="8CDBF8"/>
            <w:noWrap/>
            <w:vAlign w:val="center"/>
            <w:hideMark/>
          </w:tcPr>
          <w:p w14:paraId="4C76963B" w14:textId="77777777" w:rsidR="00A46532" w:rsidRPr="000F4EA3" w:rsidRDefault="00A46532"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2.1</w:t>
            </w:r>
          </w:p>
        </w:tc>
      </w:tr>
      <w:tr w:rsidR="008C2AD4" w:rsidRPr="007A6354" w14:paraId="690E1C50" w14:textId="77777777" w:rsidTr="000F4EA3">
        <w:trPr>
          <w:trHeight w:val="430"/>
          <w:jc w:val="center"/>
        </w:trPr>
        <w:tc>
          <w:tcPr>
            <w:tcW w:w="1110" w:type="dxa"/>
            <w:vMerge/>
            <w:tcBorders>
              <w:left w:val="single" w:sz="4" w:space="0" w:color="auto"/>
              <w:right w:val="single" w:sz="4" w:space="0" w:color="auto"/>
            </w:tcBorders>
            <w:shd w:val="clear" w:color="000000" w:fill="D9D9D9"/>
            <w:vAlign w:val="center"/>
          </w:tcPr>
          <w:p w14:paraId="58711656" w14:textId="77777777" w:rsidR="008C2AD4" w:rsidRPr="007A6354" w:rsidRDefault="008C2AD4" w:rsidP="008C2AD4">
            <w:pPr>
              <w:spacing w:after="0" w:line="240" w:lineRule="auto"/>
              <w:rPr>
                <w:rFonts w:ascii="Calibri" w:eastAsia="Times New Roman" w:hAnsi="Calibri" w:cs="Calibri"/>
                <w:b/>
                <w:bCs/>
                <w:color w:val="000000"/>
                <w:sz w:val="18"/>
                <w:szCs w:val="18"/>
                <w:lang w:eastAsia="en-GB"/>
              </w:rPr>
            </w:pPr>
          </w:p>
        </w:tc>
        <w:tc>
          <w:tcPr>
            <w:tcW w:w="1042" w:type="dxa"/>
            <w:vMerge/>
            <w:tcBorders>
              <w:left w:val="nil"/>
              <w:right w:val="single" w:sz="4" w:space="0" w:color="auto"/>
            </w:tcBorders>
            <w:shd w:val="clear" w:color="000000" w:fill="F2F2F2"/>
            <w:vAlign w:val="bottom"/>
          </w:tcPr>
          <w:p w14:paraId="0572BBAF" w14:textId="77777777" w:rsidR="008C2AD4" w:rsidRPr="007A6354" w:rsidRDefault="008C2AD4" w:rsidP="008C2AD4">
            <w:pPr>
              <w:spacing w:after="0" w:line="240" w:lineRule="auto"/>
              <w:rPr>
                <w:rFonts w:ascii="Calibri" w:eastAsia="Times New Roman" w:hAnsi="Calibri" w:cs="Calibri"/>
                <w:i/>
                <w:iCs/>
                <w:color w:val="000000"/>
                <w:sz w:val="18"/>
                <w:szCs w:val="18"/>
                <w:lang w:eastAsia="en-GB"/>
              </w:rPr>
            </w:pPr>
          </w:p>
        </w:tc>
        <w:tc>
          <w:tcPr>
            <w:tcW w:w="745" w:type="dxa"/>
            <w:tcBorders>
              <w:left w:val="single" w:sz="4" w:space="0" w:color="auto"/>
              <w:right w:val="single" w:sz="4" w:space="0" w:color="auto"/>
            </w:tcBorders>
            <w:shd w:val="clear" w:color="000000" w:fill="FFFFE5"/>
            <w:noWrap/>
            <w:vAlign w:val="center"/>
          </w:tcPr>
          <w:p w14:paraId="1D96E545" w14:textId="2F8C7334" w:rsidR="008C2AD4" w:rsidRPr="000F4EA3" w:rsidRDefault="008C2AD4" w:rsidP="000F4EA3">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0.98</w:t>
            </w:r>
          </w:p>
        </w:tc>
        <w:tc>
          <w:tcPr>
            <w:tcW w:w="703" w:type="dxa"/>
            <w:tcBorders>
              <w:left w:val="single" w:sz="4" w:space="0" w:color="auto"/>
              <w:right w:val="single" w:sz="4" w:space="0" w:color="auto"/>
            </w:tcBorders>
            <w:shd w:val="clear" w:color="000000" w:fill="FFFFFF"/>
            <w:noWrap/>
            <w:vAlign w:val="center"/>
          </w:tcPr>
          <w:p w14:paraId="40E6407D" w14:textId="3A2C6117" w:rsidR="008C2AD4" w:rsidRPr="000F4EA3" w:rsidRDefault="008C2AD4" w:rsidP="000F4EA3">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1.11</w:t>
            </w:r>
          </w:p>
        </w:tc>
        <w:tc>
          <w:tcPr>
            <w:tcW w:w="709" w:type="dxa"/>
            <w:tcBorders>
              <w:left w:val="single" w:sz="4" w:space="0" w:color="auto"/>
              <w:right w:val="single" w:sz="4" w:space="0" w:color="auto"/>
            </w:tcBorders>
            <w:shd w:val="clear" w:color="000000" w:fill="7FD7F7"/>
            <w:noWrap/>
            <w:vAlign w:val="center"/>
          </w:tcPr>
          <w:p w14:paraId="5C44CCA2" w14:textId="539588F8" w:rsidR="008C2AD4" w:rsidRPr="000F4EA3" w:rsidRDefault="008C2AD4" w:rsidP="000F4EA3">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0.33</w:t>
            </w:r>
          </w:p>
        </w:tc>
        <w:tc>
          <w:tcPr>
            <w:tcW w:w="708" w:type="dxa"/>
            <w:tcBorders>
              <w:left w:val="single" w:sz="4" w:space="0" w:color="auto"/>
              <w:right w:val="single" w:sz="4" w:space="0" w:color="auto"/>
            </w:tcBorders>
            <w:shd w:val="clear" w:color="000000" w:fill="78D5F7"/>
            <w:noWrap/>
            <w:vAlign w:val="center"/>
          </w:tcPr>
          <w:p w14:paraId="566B38CB" w14:textId="2AB4753A" w:rsidR="008C2AD4" w:rsidRPr="000F4EA3" w:rsidRDefault="008C2AD4" w:rsidP="000F4EA3">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0.42</w:t>
            </w:r>
          </w:p>
        </w:tc>
        <w:tc>
          <w:tcPr>
            <w:tcW w:w="709" w:type="dxa"/>
            <w:tcBorders>
              <w:left w:val="single" w:sz="4" w:space="0" w:color="auto"/>
              <w:right w:val="single" w:sz="4" w:space="0" w:color="auto"/>
            </w:tcBorders>
            <w:shd w:val="clear" w:color="000000" w:fill="7FD7F7"/>
            <w:noWrap/>
            <w:vAlign w:val="center"/>
          </w:tcPr>
          <w:p w14:paraId="6A6EAAB2" w14:textId="6801F175" w:rsidR="008C2AD4" w:rsidRPr="000F4EA3" w:rsidRDefault="008C2AD4" w:rsidP="000F4EA3">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1.37</w:t>
            </w:r>
          </w:p>
        </w:tc>
        <w:tc>
          <w:tcPr>
            <w:tcW w:w="709" w:type="dxa"/>
            <w:tcBorders>
              <w:left w:val="single" w:sz="4" w:space="0" w:color="auto"/>
              <w:right w:val="single" w:sz="4" w:space="0" w:color="auto"/>
            </w:tcBorders>
            <w:shd w:val="clear" w:color="000000" w:fill="9BE0F9"/>
            <w:noWrap/>
            <w:vAlign w:val="center"/>
          </w:tcPr>
          <w:p w14:paraId="32975E88" w14:textId="2D9908F8" w:rsidR="008C2AD4" w:rsidRPr="000F4EA3" w:rsidRDefault="008C2AD4" w:rsidP="000F4EA3">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1.06</w:t>
            </w:r>
          </w:p>
        </w:tc>
        <w:tc>
          <w:tcPr>
            <w:tcW w:w="703" w:type="dxa"/>
            <w:tcBorders>
              <w:left w:val="nil"/>
              <w:right w:val="single" w:sz="4" w:space="0" w:color="auto"/>
            </w:tcBorders>
            <w:shd w:val="clear" w:color="000000" w:fill="55CAF5"/>
            <w:noWrap/>
            <w:vAlign w:val="center"/>
          </w:tcPr>
          <w:p w14:paraId="74126883" w14:textId="62F9E869" w:rsidR="008C2AD4" w:rsidRPr="000F4EA3" w:rsidRDefault="008C2AD4" w:rsidP="000F4EA3">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0.59</w:t>
            </w:r>
          </w:p>
        </w:tc>
        <w:tc>
          <w:tcPr>
            <w:tcW w:w="709" w:type="dxa"/>
            <w:tcBorders>
              <w:left w:val="single" w:sz="4" w:space="0" w:color="auto"/>
              <w:right w:val="single" w:sz="4" w:space="0" w:color="auto"/>
            </w:tcBorders>
            <w:shd w:val="clear" w:color="000000" w:fill="7FD7F7"/>
            <w:noWrap/>
            <w:vAlign w:val="center"/>
          </w:tcPr>
          <w:p w14:paraId="01405305" w14:textId="2855E793" w:rsidR="008C2AD4" w:rsidRPr="000F4EA3" w:rsidRDefault="008C2AD4" w:rsidP="000F4EA3">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0.69</w:t>
            </w:r>
          </w:p>
        </w:tc>
        <w:tc>
          <w:tcPr>
            <w:tcW w:w="708" w:type="dxa"/>
            <w:tcBorders>
              <w:left w:val="single" w:sz="4" w:space="0" w:color="auto"/>
              <w:right w:val="single" w:sz="4" w:space="0" w:color="auto"/>
            </w:tcBorders>
            <w:shd w:val="clear" w:color="000000" w:fill="9ADFF9"/>
            <w:noWrap/>
            <w:vAlign w:val="center"/>
          </w:tcPr>
          <w:p w14:paraId="1BBD89CF" w14:textId="02A1CDAB" w:rsidR="008C2AD4" w:rsidRPr="000F4EA3" w:rsidRDefault="008C2AD4" w:rsidP="000F4EA3">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0.71</w:t>
            </w:r>
          </w:p>
        </w:tc>
        <w:tc>
          <w:tcPr>
            <w:tcW w:w="703" w:type="dxa"/>
            <w:tcBorders>
              <w:left w:val="single" w:sz="4" w:space="0" w:color="auto"/>
              <w:right w:val="single" w:sz="4" w:space="0" w:color="auto"/>
            </w:tcBorders>
            <w:shd w:val="clear" w:color="000000" w:fill="8CDBF8"/>
            <w:noWrap/>
            <w:vAlign w:val="center"/>
          </w:tcPr>
          <w:p w14:paraId="515C9D5F" w14:textId="145BD5BE" w:rsidR="008C2AD4" w:rsidRPr="000F4EA3" w:rsidRDefault="008C2AD4" w:rsidP="000F4EA3">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0.94</w:t>
            </w:r>
          </w:p>
        </w:tc>
      </w:tr>
      <w:tr w:rsidR="008C2AD4" w:rsidRPr="007A6354" w14:paraId="06EFC375" w14:textId="77777777" w:rsidTr="000F4EA3">
        <w:trPr>
          <w:trHeight w:val="292"/>
          <w:jc w:val="center"/>
        </w:trPr>
        <w:tc>
          <w:tcPr>
            <w:tcW w:w="1110" w:type="dxa"/>
            <w:vMerge/>
            <w:tcBorders>
              <w:left w:val="single" w:sz="4" w:space="0" w:color="auto"/>
              <w:bottom w:val="nil"/>
              <w:right w:val="single" w:sz="4" w:space="0" w:color="auto"/>
            </w:tcBorders>
            <w:shd w:val="clear" w:color="000000" w:fill="D9D9D9"/>
            <w:vAlign w:val="center"/>
          </w:tcPr>
          <w:p w14:paraId="4E0425A3" w14:textId="77777777" w:rsidR="008C2AD4" w:rsidRPr="007A6354" w:rsidRDefault="008C2AD4" w:rsidP="008C2AD4">
            <w:pPr>
              <w:spacing w:after="0" w:line="240" w:lineRule="auto"/>
              <w:rPr>
                <w:rFonts w:ascii="Calibri" w:eastAsia="Times New Roman" w:hAnsi="Calibri" w:cs="Calibri"/>
                <w:b/>
                <w:bCs/>
                <w:color w:val="000000"/>
                <w:sz w:val="18"/>
                <w:szCs w:val="18"/>
                <w:lang w:eastAsia="en-GB"/>
              </w:rPr>
            </w:pPr>
          </w:p>
        </w:tc>
        <w:tc>
          <w:tcPr>
            <w:tcW w:w="1042" w:type="dxa"/>
            <w:vMerge/>
            <w:tcBorders>
              <w:left w:val="nil"/>
              <w:bottom w:val="single" w:sz="4" w:space="0" w:color="auto"/>
              <w:right w:val="single" w:sz="4" w:space="0" w:color="auto"/>
            </w:tcBorders>
            <w:shd w:val="clear" w:color="000000" w:fill="F2F2F2"/>
            <w:vAlign w:val="bottom"/>
          </w:tcPr>
          <w:p w14:paraId="1024CB04" w14:textId="77777777" w:rsidR="008C2AD4" w:rsidRPr="007A6354" w:rsidRDefault="008C2AD4" w:rsidP="008C2AD4">
            <w:pPr>
              <w:spacing w:after="0" w:line="240" w:lineRule="auto"/>
              <w:rPr>
                <w:rFonts w:ascii="Calibri" w:eastAsia="Times New Roman" w:hAnsi="Calibri" w:cs="Calibri"/>
                <w:i/>
                <w:iCs/>
                <w:color w:val="000000"/>
                <w:sz w:val="18"/>
                <w:szCs w:val="18"/>
                <w:lang w:eastAsia="en-GB"/>
              </w:rPr>
            </w:pPr>
          </w:p>
        </w:tc>
        <w:tc>
          <w:tcPr>
            <w:tcW w:w="745" w:type="dxa"/>
            <w:tcBorders>
              <w:left w:val="single" w:sz="4" w:space="0" w:color="auto"/>
              <w:bottom w:val="single" w:sz="4" w:space="0" w:color="auto"/>
              <w:right w:val="single" w:sz="4" w:space="0" w:color="auto"/>
            </w:tcBorders>
            <w:shd w:val="clear" w:color="000000" w:fill="FFFFE5"/>
            <w:noWrap/>
            <w:vAlign w:val="center"/>
          </w:tcPr>
          <w:p w14:paraId="6E8D0209" w14:textId="59F727C4" w:rsidR="008C2AD4" w:rsidRPr="000F4EA3" w:rsidRDefault="008C2AD4" w:rsidP="000F4EA3">
            <w:pPr>
              <w:spacing w:after="0" w:line="240" w:lineRule="auto"/>
              <w:jc w:val="center"/>
              <w:rPr>
                <w:rFonts w:ascii="Calibri" w:eastAsia="Times New Roman" w:hAnsi="Calibri" w:cs="Calibri"/>
                <w:i/>
                <w:color w:val="000000"/>
                <w:sz w:val="16"/>
                <w:szCs w:val="16"/>
                <w:lang w:eastAsia="en-GB"/>
              </w:rPr>
            </w:pPr>
            <w:r w:rsidRPr="000F4EA3">
              <w:rPr>
                <w:i/>
                <w:sz w:val="16"/>
                <w:szCs w:val="16"/>
              </w:rPr>
              <w:t>2 - 5</w:t>
            </w:r>
          </w:p>
        </w:tc>
        <w:tc>
          <w:tcPr>
            <w:tcW w:w="703" w:type="dxa"/>
            <w:tcBorders>
              <w:left w:val="single" w:sz="4" w:space="0" w:color="auto"/>
              <w:bottom w:val="single" w:sz="4" w:space="0" w:color="auto"/>
              <w:right w:val="single" w:sz="4" w:space="0" w:color="auto"/>
            </w:tcBorders>
            <w:shd w:val="clear" w:color="000000" w:fill="FFFFFF"/>
            <w:noWrap/>
            <w:vAlign w:val="center"/>
          </w:tcPr>
          <w:p w14:paraId="32940C34" w14:textId="70F33455" w:rsidR="008C2AD4" w:rsidRPr="000F4EA3" w:rsidRDefault="008C2AD4" w:rsidP="000F4EA3">
            <w:pPr>
              <w:spacing w:after="0" w:line="240" w:lineRule="auto"/>
              <w:jc w:val="center"/>
              <w:rPr>
                <w:rFonts w:ascii="Calibri" w:eastAsia="Times New Roman" w:hAnsi="Calibri" w:cs="Calibri"/>
                <w:i/>
                <w:color w:val="000000"/>
                <w:sz w:val="16"/>
                <w:szCs w:val="16"/>
                <w:lang w:eastAsia="en-GB"/>
              </w:rPr>
            </w:pPr>
            <w:r w:rsidRPr="000F4EA3">
              <w:rPr>
                <w:i/>
                <w:sz w:val="16"/>
                <w:szCs w:val="16"/>
              </w:rPr>
              <w:t>1 - 5</w:t>
            </w:r>
          </w:p>
        </w:tc>
        <w:tc>
          <w:tcPr>
            <w:tcW w:w="709" w:type="dxa"/>
            <w:tcBorders>
              <w:left w:val="single" w:sz="4" w:space="0" w:color="auto"/>
              <w:bottom w:val="single" w:sz="4" w:space="0" w:color="auto"/>
              <w:right w:val="single" w:sz="4" w:space="0" w:color="auto"/>
            </w:tcBorders>
            <w:shd w:val="clear" w:color="000000" w:fill="7FD7F7"/>
            <w:noWrap/>
            <w:vAlign w:val="center"/>
          </w:tcPr>
          <w:p w14:paraId="74A50752" w14:textId="4923AA2D" w:rsidR="008C2AD4" w:rsidRPr="000F4EA3" w:rsidRDefault="008C2AD4" w:rsidP="000F4EA3">
            <w:pPr>
              <w:spacing w:after="0" w:line="240" w:lineRule="auto"/>
              <w:jc w:val="center"/>
              <w:rPr>
                <w:rFonts w:ascii="Calibri" w:eastAsia="Times New Roman" w:hAnsi="Calibri" w:cs="Calibri"/>
                <w:i/>
                <w:color w:val="000000"/>
                <w:sz w:val="16"/>
                <w:szCs w:val="16"/>
                <w:lang w:eastAsia="en-GB"/>
              </w:rPr>
            </w:pPr>
            <w:r w:rsidRPr="000F4EA3">
              <w:rPr>
                <w:i/>
                <w:sz w:val="16"/>
                <w:szCs w:val="16"/>
              </w:rPr>
              <w:t>1 - 3</w:t>
            </w:r>
          </w:p>
        </w:tc>
        <w:tc>
          <w:tcPr>
            <w:tcW w:w="708" w:type="dxa"/>
            <w:tcBorders>
              <w:left w:val="single" w:sz="4" w:space="0" w:color="auto"/>
              <w:bottom w:val="single" w:sz="4" w:space="0" w:color="auto"/>
              <w:right w:val="single" w:sz="4" w:space="0" w:color="auto"/>
            </w:tcBorders>
            <w:shd w:val="clear" w:color="000000" w:fill="78D5F7"/>
            <w:noWrap/>
            <w:vAlign w:val="center"/>
          </w:tcPr>
          <w:p w14:paraId="7A16CC39" w14:textId="7072DE8C" w:rsidR="008C2AD4" w:rsidRPr="000F4EA3" w:rsidRDefault="008C2AD4" w:rsidP="000F4EA3">
            <w:pPr>
              <w:spacing w:after="0" w:line="240" w:lineRule="auto"/>
              <w:jc w:val="center"/>
              <w:rPr>
                <w:rFonts w:ascii="Calibri" w:eastAsia="Times New Roman" w:hAnsi="Calibri" w:cs="Calibri"/>
                <w:i/>
                <w:color w:val="000000"/>
                <w:sz w:val="16"/>
                <w:szCs w:val="16"/>
                <w:lang w:eastAsia="en-GB"/>
              </w:rPr>
            </w:pPr>
            <w:r w:rsidRPr="000F4EA3">
              <w:rPr>
                <w:i/>
                <w:sz w:val="16"/>
                <w:szCs w:val="16"/>
              </w:rPr>
              <w:t>1 - 3</w:t>
            </w:r>
          </w:p>
        </w:tc>
        <w:tc>
          <w:tcPr>
            <w:tcW w:w="709" w:type="dxa"/>
            <w:tcBorders>
              <w:left w:val="single" w:sz="4" w:space="0" w:color="auto"/>
              <w:bottom w:val="single" w:sz="4" w:space="0" w:color="auto"/>
              <w:right w:val="single" w:sz="4" w:space="0" w:color="auto"/>
            </w:tcBorders>
            <w:shd w:val="clear" w:color="000000" w:fill="7FD7F7"/>
            <w:noWrap/>
            <w:vAlign w:val="center"/>
          </w:tcPr>
          <w:p w14:paraId="57A5953A" w14:textId="406E0317" w:rsidR="008C2AD4" w:rsidRPr="000F4EA3" w:rsidRDefault="008C2AD4" w:rsidP="000F4EA3">
            <w:pPr>
              <w:spacing w:after="0" w:line="240" w:lineRule="auto"/>
              <w:jc w:val="center"/>
              <w:rPr>
                <w:rFonts w:ascii="Calibri" w:eastAsia="Times New Roman" w:hAnsi="Calibri" w:cs="Calibri"/>
                <w:i/>
                <w:color w:val="000000"/>
                <w:sz w:val="16"/>
                <w:szCs w:val="16"/>
                <w:lang w:eastAsia="en-GB"/>
              </w:rPr>
            </w:pPr>
            <w:r w:rsidRPr="000F4EA3">
              <w:rPr>
                <w:i/>
                <w:sz w:val="16"/>
                <w:szCs w:val="16"/>
              </w:rPr>
              <w:t xml:space="preserve">1 - </w:t>
            </w:r>
            <w:r w:rsidR="006A0DEF">
              <w:rPr>
                <w:i/>
                <w:sz w:val="16"/>
                <w:szCs w:val="16"/>
              </w:rPr>
              <w:t>4</w:t>
            </w:r>
          </w:p>
        </w:tc>
        <w:tc>
          <w:tcPr>
            <w:tcW w:w="709" w:type="dxa"/>
            <w:tcBorders>
              <w:left w:val="single" w:sz="4" w:space="0" w:color="auto"/>
              <w:bottom w:val="single" w:sz="4" w:space="0" w:color="auto"/>
              <w:right w:val="single" w:sz="4" w:space="0" w:color="auto"/>
            </w:tcBorders>
            <w:shd w:val="clear" w:color="000000" w:fill="9BE0F9"/>
            <w:noWrap/>
            <w:vAlign w:val="center"/>
          </w:tcPr>
          <w:p w14:paraId="065AA8EB" w14:textId="2FE8705F" w:rsidR="008C2AD4" w:rsidRPr="000F4EA3" w:rsidRDefault="008C2AD4" w:rsidP="000F4EA3">
            <w:pPr>
              <w:spacing w:after="0" w:line="240" w:lineRule="auto"/>
              <w:jc w:val="center"/>
              <w:rPr>
                <w:rFonts w:ascii="Calibri" w:eastAsia="Times New Roman" w:hAnsi="Calibri" w:cs="Calibri"/>
                <w:i/>
                <w:color w:val="000000"/>
                <w:sz w:val="16"/>
                <w:szCs w:val="16"/>
                <w:lang w:eastAsia="en-GB"/>
              </w:rPr>
            </w:pPr>
            <w:r w:rsidRPr="000F4EA3">
              <w:rPr>
                <w:i/>
                <w:sz w:val="16"/>
                <w:szCs w:val="16"/>
              </w:rPr>
              <w:t>1 - 5</w:t>
            </w:r>
          </w:p>
        </w:tc>
        <w:tc>
          <w:tcPr>
            <w:tcW w:w="703" w:type="dxa"/>
            <w:tcBorders>
              <w:left w:val="nil"/>
              <w:bottom w:val="single" w:sz="4" w:space="0" w:color="auto"/>
              <w:right w:val="single" w:sz="4" w:space="0" w:color="auto"/>
            </w:tcBorders>
            <w:shd w:val="clear" w:color="000000" w:fill="55CAF5"/>
            <w:noWrap/>
            <w:vAlign w:val="center"/>
          </w:tcPr>
          <w:p w14:paraId="5F0EE07D" w14:textId="3D602AAB" w:rsidR="008C2AD4" w:rsidRPr="000F4EA3" w:rsidRDefault="008C2AD4" w:rsidP="000F4EA3">
            <w:pPr>
              <w:spacing w:after="0" w:line="240" w:lineRule="auto"/>
              <w:jc w:val="center"/>
              <w:rPr>
                <w:rFonts w:ascii="Calibri" w:eastAsia="Times New Roman" w:hAnsi="Calibri" w:cs="Calibri"/>
                <w:i/>
                <w:color w:val="000000"/>
                <w:sz w:val="16"/>
                <w:szCs w:val="16"/>
                <w:lang w:eastAsia="en-GB"/>
              </w:rPr>
            </w:pPr>
            <w:r w:rsidRPr="000F4EA3">
              <w:rPr>
                <w:i/>
                <w:sz w:val="16"/>
                <w:szCs w:val="16"/>
              </w:rPr>
              <w:t>1 - 3</w:t>
            </w:r>
          </w:p>
        </w:tc>
        <w:tc>
          <w:tcPr>
            <w:tcW w:w="709" w:type="dxa"/>
            <w:tcBorders>
              <w:left w:val="single" w:sz="4" w:space="0" w:color="auto"/>
              <w:bottom w:val="single" w:sz="4" w:space="0" w:color="auto"/>
              <w:right w:val="single" w:sz="4" w:space="0" w:color="auto"/>
            </w:tcBorders>
            <w:shd w:val="clear" w:color="000000" w:fill="7FD7F7"/>
            <w:noWrap/>
            <w:vAlign w:val="center"/>
          </w:tcPr>
          <w:p w14:paraId="58C70030" w14:textId="307459C6" w:rsidR="008C2AD4" w:rsidRPr="000F4EA3" w:rsidRDefault="008C2AD4" w:rsidP="000F4EA3">
            <w:pPr>
              <w:spacing w:after="0" w:line="240" w:lineRule="auto"/>
              <w:jc w:val="center"/>
              <w:rPr>
                <w:rFonts w:ascii="Calibri" w:eastAsia="Times New Roman" w:hAnsi="Calibri" w:cs="Calibri"/>
                <w:i/>
                <w:color w:val="000000"/>
                <w:sz w:val="16"/>
                <w:szCs w:val="16"/>
                <w:lang w:eastAsia="en-GB"/>
              </w:rPr>
            </w:pPr>
            <w:r w:rsidRPr="000F4EA3">
              <w:rPr>
                <w:i/>
                <w:sz w:val="16"/>
                <w:szCs w:val="16"/>
              </w:rPr>
              <w:t>1 - 3</w:t>
            </w:r>
          </w:p>
        </w:tc>
        <w:tc>
          <w:tcPr>
            <w:tcW w:w="708" w:type="dxa"/>
            <w:tcBorders>
              <w:left w:val="single" w:sz="4" w:space="0" w:color="auto"/>
              <w:bottom w:val="single" w:sz="4" w:space="0" w:color="auto"/>
              <w:right w:val="single" w:sz="4" w:space="0" w:color="auto"/>
            </w:tcBorders>
            <w:shd w:val="clear" w:color="000000" w:fill="9ADFF9"/>
            <w:noWrap/>
            <w:vAlign w:val="center"/>
          </w:tcPr>
          <w:p w14:paraId="655F170A" w14:textId="1D281A41" w:rsidR="008C2AD4" w:rsidRPr="000F4EA3" w:rsidRDefault="008C2AD4" w:rsidP="000F4EA3">
            <w:pPr>
              <w:spacing w:after="0" w:line="240" w:lineRule="auto"/>
              <w:jc w:val="center"/>
              <w:rPr>
                <w:rFonts w:ascii="Calibri" w:eastAsia="Times New Roman" w:hAnsi="Calibri" w:cs="Calibri"/>
                <w:i/>
                <w:color w:val="000000"/>
                <w:sz w:val="16"/>
                <w:szCs w:val="16"/>
                <w:lang w:eastAsia="en-GB"/>
              </w:rPr>
            </w:pPr>
            <w:r w:rsidRPr="000F4EA3">
              <w:rPr>
                <w:i/>
                <w:sz w:val="16"/>
                <w:szCs w:val="16"/>
              </w:rPr>
              <w:t>1 - 4</w:t>
            </w:r>
          </w:p>
        </w:tc>
        <w:tc>
          <w:tcPr>
            <w:tcW w:w="703" w:type="dxa"/>
            <w:tcBorders>
              <w:left w:val="single" w:sz="4" w:space="0" w:color="auto"/>
              <w:bottom w:val="single" w:sz="4" w:space="0" w:color="auto"/>
              <w:right w:val="single" w:sz="4" w:space="0" w:color="auto"/>
            </w:tcBorders>
            <w:shd w:val="clear" w:color="000000" w:fill="8CDBF8"/>
            <w:noWrap/>
            <w:vAlign w:val="center"/>
          </w:tcPr>
          <w:p w14:paraId="0C03C02A" w14:textId="30B68C79" w:rsidR="008C2AD4" w:rsidRPr="000F4EA3" w:rsidRDefault="008C2AD4" w:rsidP="000F4EA3">
            <w:pPr>
              <w:spacing w:after="0" w:line="240" w:lineRule="auto"/>
              <w:jc w:val="center"/>
              <w:rPr>
                <w:rFonts w:ascii="Calibri" w:eastAsia="Times New Roman" w:hAnsi="Calibri" w:cs="Calibri"/>
                <w:i/>
                <w:color w:val="000000"/>
                <w:sz w:val="16"/>
                <w:szCs w:val="16"/>
                <w:lang w:eastAsia="en-GB"/>
              </w:rPr>
            </w:pPr>
            <w:r w:rsidRPr="000F4EA3">
              <w:rPr>
                <w:i/>
                <w:sz w:val="16"/>
                <w:szCs w:val="16"/>
              </w:rPr>
              <w:t>1 - 4</w:t>
            </w:r>
          </w:p>
        </w:tc>
      </w:tr>
      <w:tr w:rsidR="008C2AD4" w:rsidRPr="007A6354" w14:paraId="78619842" w14:textId="77777777" w:rsidTr="000F4EA3">
        <w:trPr>
          <w:trHeight w:val="416"/>
          <w:jc w:val="center"/>
        </w:trPr>
        <w:tc>
          <w:tcPr>
            <w:tcW w:w="1110" w:type="dxa"/>
            <w:vMerge w:val="restart"/>
            <w:tcBorders>
              <w:top w:val="single" w:sz="4" w:space="0" w:color="auto"/>
              <w:left w:val="single" w:sz="4" w:space="0" w:color="auto"/>
              <w:right w:val="single" w:sz="4" w:space="0" w:color="auto"/>
            </w:tcBorders>
            <w:shd w:val="clear" w:color="000000" w:fill="D9D9D9"/>
            <w:vAlign w:val="center"/>
            <w:hideMark/>
          </w:tcPr>
          <w:p w14:paraId="28AB5287" w14:textId="77777777" w:rsidR="008C2AD4" w:rsidRPr="007A6354" w:rsidRDefault="008C2AD4" w:rsidP="000F4EA3">
            <w:pPr>
              <w:spacing w:after="0" w:line="240" w:lineRule="auto"/>
              <w:rPr>
                <w:rFonts w:ascii="Calibri" w:eastAsia="Times New Roman" w:hAnsi="Calibri" w:cs="Calibri"/>
                <w:b/>
                <w:bCs/>
                <w:color w:val="000000"/>
                <w:sz w:val="18"/>
                <w:szCs w:val="18"/>
                <w:lang w:eastAsia="en-GB"/>
              </w:rPr>
            </w:pPr>
            <w:r w:rsidRPr="007A6354">
              <w:rPr>
                <w:rFonts w:ascii="Calibri" w:eastAsia="Times New Roman" w:hAnsi="Calibri" w:cs="Calibri"/>
                <w:b/>
                <w:bCs/>
                <w:color w:val="000000"/>
                <w:sz w:val="18"/>
                <w:szCs w:val="18"/>
                <w:lang w:eastAsia="en-GB"/>
              </w:rPr>
              <w:t>All participants (n=32)</w:t>
            </w:r>
          </w:p>
        </w:tc>
        <w:tc>
          <w:tcPr>
            <w:tcW w:w="1042" w:type="dxa"/>
            <w:vMerge w:val="restart"/>
            <w:tcBorders>
              <w:top w:val="single" w:sz="4" w:space="0" w:color="auto"/>
              <w:left w:val="nil"/>
              <w:right w:val="single" w:sz="4" w:space="0" w:color="auto"/>
            </w:tcBorders>
            <w:shd w:val="clear" w:color="000000" w:fill="F2F2F2"/>
            <w:vAlign w:val="bottom"/>
            <w:hideMark/>
          </w:tcPr>
          <w:p w14:paraId="4F89D0CB" w14:textId="42CD5A11" w:rsidR="008C2AD4" w:rsidRPr="007A6354" w:rsidRDefault="008C2AD4" w:rsidP="00445689">
            <w:pPr>
              <w:spacing w:after="0" w:line="240" w:lineRule="auto"/>
              <w:rPr>
                <w:rFonts w:ascii="Calibri" w:eastAsia="Times New Roman" w:hAnsi="Calibri" w:cs="Calibri"/>
                <w:i/>
                <w:iCs/>
                <w:color w:val="000000"/>
                <w:sz w:val="18"/>
                <w:szCs w:val="18"/>
                <w:lang w:eastAsia="en-GB"/>
              </w:rPr>
            </w:pPr>
            <w:r w:rsidRPr="007A6354">
              <w:rPr>
                <w:rFonts w:ascii="Calibri" w:eastAsia="Times New Roman" w:hAnsi="Calibri" w:cs="Calibri"/>
                <w:i/>
                <w:iCs/>
                <w:color w:val="000000"/>
                <w:sz w:val="18"/>
                <w:szCs w:val="18"/>
                <w:lang w:eastAsia="en-GB"/>
              </w:rPr>
              <w:t>Question / component mean score</w:t>
            </w:r>
            <w:r>
              <w:rPr>
                <w:rFonts w:ascii="Calibri" w:eastAsia="Times New Roman" w:hAnsi="Calibri" w:cs="Calibri"/>
                <w:i/>
                <w:iCs/>
                <w:color w:val="000000"/>
                <w:sz w:val="18"/>
                <w:szCs w:val="18"/>
                <w:lang w:eastAsia="en-GB"/>
              </w:rPr>
              <w:t>, SD, range.</w:t>
            </w:r>
          </w:p>
        </w:tc>
        <w:tc>
          <w:tcPr>
            <w:tcW w:w="745" w:type="dxa"/>
            <w:tcBorders>
              <w:top w:val="single" w:sz="4" w:space="0" w:color="auto"/>
              <w:left w:val="single" w:sz="4" w:space="0" w:color="auto"/>
              <w:right w:val="single" w:sz="4" w:space="0" w:color="auto"/>
            </w:tcBorders>
            <w:shd w:val="clear" w:color="000000" w:fill="FFFFE4"/>
            <w:noWrap/>
            <w:vAlign w:val="center"/>
            <w:hideMark/>
          </w:tcPr>
          <w:p w14:paraId="751BEE15" w14:textId="77777777" w:rsidR="008C2AD4" w:rsidRPr="000F4EA3" w:rsidRDefault="008C2AD4"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3.2</w:t>
            </w:r>
          </w:p>
        </w:tc>
        <w:tc>
          <w:tcPr>
            <w:tcW w:w="703" w:type="dxa"/>
            <w:tcBorders>
              <w:top w:val="single" w:sz="4" w:space="0" w:color="auto"/>
              <w:left w:val="single" w:sz="4" w:space="0" w:color="auto"/>
              <w:right w:val="single" w:sz="4" w:space="0" w:color="auto"/>
            </w:tcBorders>
            <w:shd w:val="clear" w:color="000000" w:fill="F3FBFE"/>
            <w:noWrap/>
            <w:vAlign w:val="center"/>
            <w:hideMark/>
          </w:tcPr>
          <w:p w14:paraId="4B89A2E0" w14:textId="77777777" w:rsidR="008C2AD4" w:rsidRPr="000F4EA3" w:rsidRDefault="008C2AD4"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2.9</w:t>
            </w:r>
          </w:p>
        </w:tc>
        <w:tc>
          <w:tcPr>
            <w:tcW w:w="709" w:type="dxa"/>
            <w:tcBorders>
              <w:top w:val="single" w:sz="4" w:space="0" w:color="auto"/>
              <w:left w:val="single" w:sz="4" w:space="0" w:color="auto"/>
              <w:right w:val="single" w:sz="4" w:space="0" w:color="auto"/>
            </w:tcBorders>
            <w:shd w:val="clear" w:color="000000" w:fill="73D3F6"/>
            <w:noWrap/>
            <w:vAlign w:val="center"/>
            <w:hideMark/>
          </w:tcPr>
          <w:p w14:paraId="7A3A3FF7" w14:textId="77777777" w:rsidR="008C2AD4" w:rsidRPr="000F4EA3" w:rsidRDefault="008C2AD4"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1.9</w:t>
            </w:r>
          </w:p>
        </w:tc>
        <w:tc>
          <w:tcPr>
            <w:tcW w:w="708" w:type="dxa"/>
            <w:tcBorders>
              <w:top w:val="single" w:sz="4" w:space="0" w:color="auto"/>
              <w:left w:val="single" w:sz="4" w:space="0" w:color="auto"/>
              <w:right w:val="single" w:sz="4" w:space="0" w:color="auto"/>
            </w:tcBorders>
            <w:shd w:val="clear" w:color="000000" w:fill="73D3F6"/>
            <w:noWrap/>
            <w:vAlign w:val="center"/>
            <w:hideMark/>
          </w:tcPr>
          <w:p w14:paraId="27B4E9B5" w14:textId="77777777" w:rsidR="008C2AD4" w:rsidRPr="000F4EA3" w:rsidRDefault="008C2AD4"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1.9</w:t>
            </w:r>
          </w:p>
        </w:tc>
        <w:tc>
          <w:tcPr>
            <w:tcW w:w="709" w:type="dxa"/>
            <w:tcBorders>
              <w:top w:val="single" w:sz="4" w:space="0" w:color="auto"/>
              <w:left w:val="single" w:sz="4" w:space="0" w:color="auto"/>
              <w:right w:val="single" w:sz="4" w:space="0" w:color="auto"/>
            </w:tcBorders>
            <w:shd w:val="clear" w:color="000000" w:fill="7FD7F7"/>
            <w:noWrap/>
            <w:vAlign w:val="center"/>
            <w:hideMark/>
          </w:tcPr>
          <w:p w14:paraId="62768BB6" w14:textId="77777777" w:rsidR="008C2AD4" w:rsidRPr="000F4EA3" w:rsidRDefault="008C2AD4"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2.0</w:t>
            </w:r>
          </w:p>
        </w:tc>
        <w:tc>
          <w:tcPr>
            <w:tcW w:w="709" w:type="dxa"/>
            <w:tcBorders>
              <w:top w:val="single" w:sz="4" w:space="0" w:color="auto"/>
              <w:left w:val="single" w:sz="4" w:space="0" w:color="auto"/>
              <w:right w:val="single" w:sz="4" w:space="0" w:color="auto"/>
            </w:tcBorders>
            <w:shd w:val="clear" w:color="000000" w:fill="8BDBF8"/>
            <w:noWrap/>
            <w:vAlign w:val="center"/>
            <w:hideMark/>
          </w:tcPr>
          <w:p w14:paraId="78DA9F7A" w14:textId="77777777" w:rsidR="008C2AD4" w:rsidRPr="000F4EA3" w:rsidRDefault="008C2AD4"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2.1</w:t>
            </w:r>
          </w:p>
        </w:tc>
        <w:tc>
          <w:tcPr>
            <w:tcW w:w="703" w:type="dxa"/>
            <w:tcBorders>
              <w:top w:val="single" w:sz="4" w:space="0" w:color="auto"/>
              <w:left w:val="nil"/>
              <w:right w:val="single" w:sz="4" w:space="0" w:color="auto"/>
            </w:tcBorders>
            <w:shd w:val="clear" w:color="000000" w:fill="66CFF6"/>
            <w:noWrap/>
            <w:vAlign w:val="center"/>
            <w:hideMark/>
          </w:tcPr>
          <w:p w14:paraId="76250DC4" w14:textId="77777777" w:rsidR="008C2AD4" w:rsidRPr="000F4EA3" w:rsidRDefault="008C2AD4"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1.8</w:t>
            </w:r>
          </w:p>
        </w:tc>
        <w:tc>
          <w:tcPr>
            <w:tcW w:w="709" w:type="dxa"/>
            <w:tcBorders>
              <w:top w:val="single" w:sz="4" w:space="0" w:color="auto"/>
              <w:left w:val="single" w:sz="4" w:space="0" w:color="auto"/>
              <w:right w:val="single" w:sz="4" w:space="0" w:color="auto"/>
            </w:tcBorders>
            <w:shd w:val="clear" w:color="000000" w:fill="7FD7F7"/>
            <w:noWrap/>
            <w:vAlign w:val="center"/>
            <w:hideMark/>
          </w:tcPr>
          <w:p w14:paraId="068E218D" w14:textId="77777777" w:rsidR="008C2AD4" w:rsidRPr="000F4EA3" w:rsidRDefault="008C2AD4"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2.0</w:t>
            </w:r>
          </w:p>
        </w:tc>
        <w:tc>
          <w:tcPr>
            <w:tcW w:w="708" w:type="dxa"/>
            <w:tcBorders>
              <w:top w:val="single" w:sz="4" w:space="0" w:color="auto"/>
              <w:left w:val="single" w:sz="4" w:space="0" w:color="auto"/>
              <w:right w:val="single" w:sz="4" w:space="0" w:color="auto"/>
            </w:tcBorders>
            <w:shd w:val="clear" w:color="000000" w:fill="83D8F7"/>
            <w:noWrap/>
            <w:vAlign w:val="center"/>
            <w:hideMark/>
          </w:tcPr>
          <w:p w14:paraId="15A9CFC1" w14:textId="77777777" w:rsidR="008C2AD4" w:rsidRPr="000F4EA3" w:rsidRDefault="008C2AD4"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2.0</w:t>
            </w:r>
          </w:p>
        </w:tc>
        <w:tc>
          <w:tcPr>
            <w:tcW w:w="703" w:type="dxa"/>
            <w:tcBorders>
              <w:top w:val="single" w:sz="4" w:space="0" w:color="auto"/>
              <w:left w:val="single" w:sz="4" w:space="0" w:color="auto"/>
              <w:right w:val="single" w:sz="4" w:space="0" w:color="auto"/>
            </w:tcBorders>
            <w:shd w:val="clear" w:color="000000" w:fill="87D9F7"/>
            <w:noWrap/>
            <w:vAlign w:val="center"/>
            <w:hideMark/>
          </w:tcPr>
          <w:p w14:paraId="2E93D510" w14:textId="77777777" w:rsidR="008C2AD4" w:rsidRPr="000F4EA3" w:rsidRDefault="008C2AD4"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2.1</w:t>
            </w:r>
          </w:p>
        </w:tc>
      </w:tr>
      <w:tr w:rsidR="008C2AD4" w:rsidRPr="007A6354" w14:paraId="59234D8F" w14:textId="77777777" w:rsidTr="000F4EA3">
        <w:trPr>
          <w:trHeight w:val="262"/>
          <w:jc w:val="center"/>
        </w:trPr>
        <w:tc>
          <w:tcPr>
            <w:tcW w:w="1110" w:type="dxa"/>
            <w:vMerge/>
            <w:tcBorders>
              <w:left w:val="single" w:sz="4" w:space="0" w:color="auto"/>
              <w:right w:val="single" w:sz="4" w:space="0" w:color="auto"/>
            </w:tcBorders>
            <w:shd w:val="clear" w:color="000000" w:fill="D9D9D9"/>
            <w:vAlign w:val="center"/>
          </w:tcPr>
          <w:p w14:paraId="7B7C79CA" w14:textId="77777777" w:rsidR="008C2AD4" w:rsidRPr="007A6354" w:rsidRDefault="008C2AD4" w:rsidP="008C2AD4">
            <w:pPr>
              <w:spacing w:after="0" w:line="240" w:lineRule="auto"/>
              <w:rPr>
                <w:rFonts w:ascii="Calibri" w:eastAsia="Times New Roman" w:hAnsi="Calibri" w:cs="Calibri"/>
                <w:b/>
                <w:bCs/>
                <w:color w:val="000000"/>
                <w:sz w:val="18"/>
                <w:szCs w:val="18"/>
                <w:lang w:eastAsia="en-GB"/>
              </w:rPr>
            </w:pPr>
          </w:p>
        </w:tc>
        <w:tc>
          <w:tcPr>
            <w:tcW w:w="1042" w:type="dxa"/>
            <w:vMerge/>
            <w:tcBorders>
              <w:left w:val="nil"/>
              <w:right w:val="single" w:sz="4" w:space="0" w:color="auto"/>
            </w:tcBorders>
            <w:shd w:val="clear" w:color="000000" w:fill="F2F2F2"/>
            <w:vAlign w:val="bottom"/>
          </w:tcPr>
          <w:p w14:paraId="71594107" w14:textId="77777777" w:rsidR="008C2AD4" w:rsidRPr="007A6354" w:rsidRDefault="008C2AD4" w:rsidP="008C2AD4">
            <w:pPr>
              <w:spacing w:after="0" w:line="240" w:lineRule="auto"/>
              <w:rPr>
                <w:rFonts w:ascii="Calibri" w:eastAsia="Times New Roman" w:hAnsi="Calibri" w:cs="Calibri"/>
                <w:i/>
                <w:iCs/>
                <w:color w:val="000000"/>
                <w:sz w:val="18"/>
                <w:szCs w:val="18"/>
                <w:lang w:eastAsia="en-GB"/>
              </w:rPr>
            </w:pPr>
          </w:p>
        </w:tc>
        <w:tc>
          <w:tcPr>
            <w:tcW w:w="745" w:type="dxa"/>
            <w:tcBorders>
              <w:left w:val="single" w:sz="4" w:space="0" w:color="auto"/>
              <w:right w:val="single" w:sz="4" w:space="0" w:color="auto"/>
            </w:tcBorders>
            <w:shd w:val="clear" w:color="000000" w:fill="FFFFE4"/>
            <w:noWrap/>
            <w:vAlign w:val="bottom"/>
          </w:tcPr>
          <w:p w14:paraId="0820931F" w14:textId="454F2307" w:rsidR="008C2AD4" w:rsidRPr="000F4EA3" w:rsidRDefault="008C2AD4" w:rsidP="008C2AD4">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0.97</w:t>
            </w:r>
          </w:p>
        </w:tc>
        <w:tc>
          <w:tcPr>
            <w:tcW w:w="703" w:type="dxa"/>
            <w:tcBorders>
              <w:left w:val="single" w:sz="4" w:space="0" w:color="auto"/>
              <w:right w:val="single" w:sz="4" w:space="0" w:color="auto"/>
            </w:tcBorders>
            <w:shd w:val="clear" w:color="000000" w:fill="F3FBFE"/>
            <w:noWrap/>
            <w:vAlign w:val="bottom"/>
          </w:tcPr>
          <w:p w14:paraId="64B8BD30" w14:textId="07FF91B2" w:rsidR="008C2AD4" w:rsidRPr="000F4EA3" w:rsidRDefault="008C2AD4" w:rsidP="008C2AD4">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1.03</w:t>
            </w:r>
          </w:p>
        </w:tc>
        <w:tc>
          <w:tcPr>
            <w:tcW w:w="709" w:type="dxa"/>
            <w:tcBorders>
              <w:left w:val="single" w:sz="4" w:space="0" w:color="auto"/>
              <w:right w:val="single" w:sz="4" w:space="0" w:color="auto"/>
            </w:tcBorders>
            <w:shd w:val="clear" w:color="000000" w:fill="73D3F6"/>
            <w:noWrap/>
            <w:vAlign w:val="bottom"/>
          </w:tcPr>
          <w:p w14:paraId="1E3ECBBB" w14:textId="72851E72" w:rsidR="008C2AD4" w:rsidRPr="000F4EA3" w:rsidRDefault="008C2AD4" w:rsidP="008C2AD4">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0.47</w:t>
            </w:r>
          </w:p>
        </w:tc>
        <w:tc>
          <w:tcPr>
            <w:tcW w:w="708" w:type="dxa"/>
            <w:tcBorders>
              <w:left w:val="single" w:sz="4" w:space="0" w:color="auto"/>
              <w:right w:val="single" w:sz="4" w:space="0" w:color="auto"/>
            </w:tcBorders>
            <w:shd w:val="clear" w:color="000000" w:fill="73D3F6"/>
            <w:noWrap/>
            <w:vAlign w:val="bottom"/>
          </w:tcPr>
          <w:p w14:paraId="6A1A90FC" w14:textId="77EDF1DF" w:rsidR="008C2AD4" w:rsidRPr="000F4EA3" w:rsidRDefault="008C2AD4" w:rsidP="008C2AD4">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0.54</w:t>
            </w:r>
          </w:p>
        </w:tc>
        <w:tc>
          <w:tcPr>
            <w:tcW w:w="709" w:type="dxa"/>
            <w:tcBorders>
              <w:left w:val="single" w:sz="4" w:space="0" w:color="auto"/>
              <w:right w:val="single" w:sz="4" w:space="0" w:color="auto"/>
            </w:tcBorders>
            <w:shd w:val="clear" w:color="000000" w:fill="7FD7F7"/>
            <w:noWrap/>
            <w:vAlign w:val="bottom"/>
          </w:tcPr>
          <w:p w14:paraId="1838FB66" w14:textId="7E64FEF4" w:rsidR="008C2AD4" w:rsidRPr="000F4EA3" w:rsidRDefault="008C2AD4" w:rsidP="008C2AD4">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1.19</w:t>
            </w:r>
          </w:p>
        </w:tc>
        <w:tc>
          <w:tcPr>
            <w:tcW w:w="709" w:type="dxa"/>
            <w:tcBorders>
              <w:left w:val="single" w:sz="4" w:space="0" w:color="auto"/>
              <w:right w:val="single" w:sz="4" w:space="0" w:color="auto"/>
            </w:tcBorders>
            <w:shd w:val="clear" w:color="000000" w:fill="8BDBF8"/>
            <w:noWrap/>
            <w:vAlign w:val="bottom"/>
          </w:tcPr>
          <w:p w14:paraId="5D114874" w14:textId="0395DC18" w:rsidR="008C2AD4" w:rsidRPr="000F4EA3" w:rsidRDefault="008C2AD4" w:rsidP="008C2AD4">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iCs/>
                <w:color w:val="000000"/>
                <w:sz w:val="16"/>
                <w:szCs w:val="16"/>
              </w:rPr>
              <w:t>0.94</w:t>
            </w:r>
          </w:p>
        </w:tc>
        <w:tc>
          <w:tcPr>
            <w:tcW w:w="703" w:type="dxa"/>
            <w:tcBorders>
              <w:left w:val="nil"/>
              <w:right w:val="single" w:sz="4" w:space="0" w:color="auto"/>
            </w:tcBorders>
            <w:shd w:val="clear" w:color="000000" w:fill="66CFF6"/>
            <w:noWrap/>
            <w:vAlign w:val="bottom"/>
          </w:tcPr>
          <w:p w14:paraId="7B156028" w14:textId="2729252A" w:rsidR="008C2AD4" w:rsidRPr="000F4EA3" w:rsidRDefault="008C2AD4" w:rsidP="008C2AD4">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iCs/>
                <w:color w:val="000000"/>
                <w:sz w:val="16"/>
                <w:szCs w:val="16"/>
              </w:rPr>
              <w:t>0.91</w:t>
            </w:r>
          </w:p>
        </w:tc>
        <w:tc>
          <w:tcPr>
            <w:tcW w:w="709" w:type="dxa"/>
            <w:tcBorders>
              <w:left w:val="single" w:sz="4" w:space="0" w:color="auto"/>
              <w:right w:val="single" w:sz="4" w:space="0" w:color="auto"/>
            </w:tcBorders>
            <w:shd w:val="clear" w:color="000000" w:fill="7FD7F7"/>
            <w:noWrap/>
            <w:vAlign w:val="bottom"/>
          </w:tcPr>
          <w:p w14:paraId="7E16CC73" w14:textId="708388AF" w:rsidR="008C2AD4" w:rsidRPr="000F4EA3" w:rsidRDefault="008C2AD4" w:rsidP="008C2AD4">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iCs/>
                <w:color w:val="000000"/>
                <w:sz w:val="16"/>
                <w:szCs w:val="16"/>
              </w:rPr>
              <w:t>0.58</w:t>
            </w:r>
          </w:p>
        </w:tc>
        <w:tc>
          <w:tcPr>
            <w:tcW w:w="708" w:type="dxa"/>
            <w:tcBorders>
              <w:left w:val="single" w:sz="4" w:space="0" w:color="auto"/>
              <w:right w:val="single" w:sz="4" w:space="0" w:color="auto"/>
            </w:tcBorders>
            <w:shd w:val="clear" w:color="000000" w:fill="83D8F7"/>
            <w:noWrap/>
            <w:vAlign w:val="bottom"/>
          </w:tcPr>
          <w:p w14:paraId="4BAE4399" w14:textId="011F85E8" w:rsidR="008C2AD4" w:rsidRPr="000F4EA3" w:rsidRDefault="008C2AD4" w:rsidP="008C2AD4">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0.78</w:t>
            </w:r>
          </w:p>
        </w:tc>
        <w:tc>
          <w:tcPr>
            <w:tcW w:w="703" w:type="dxa"/>
            <w:tcBorders>
              <w:left w:val="single" w:sz="4" w:space="0" w:color="auto"/>
              <w:right w:val="single" w:sz="4" w:space="0" w:color="auto"/>
            </w:tcBorders>
            <w:shd w:val="clear" w:color="000000" w:fill="87D9F7"/>
            <w:noWrap/>
            <w:vAlign w:val="bottom"/>
          </w:tcPr>
          <w:p w14:paraId="77642D1B" w14:textId="3160D126" w:rsidR="008C2AD4" w:rsidRPr="000F4EA3" w:rsidRDefault="008C2AD4" w:rsidP="008C2AD4">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0.76</w:t>
            </w:r>
          </w:p>
        </w:tc>
      </w:tr>
      <w:tr w:rsidR="006A0DEF" w:rsidRPr="007A6354" w14:paraId="3F733537" w14:textId="77777777" w:rsidTr="000F4EA3">
        <w:trPr>
          <w:trHeight w:val="294"/>
          <w:jc w:val="center"/>
        </w:trPr>
        <w:tc>
          <w:tcPr>
            <w:tcW w:w="1110" w:type="dxa"/>
            <w:vMerge/>
            <w:tcBorders>
              <w:left w:val="single" w:sz="4" w:space="0" w:color="auto"/>
              <w:bottom w:val="single" w:sz="4" w:space="0" w:color="auto"/>
              <w:right w:val="single" w:sz="4" w:space="0" w:color="auto"/>
            </w:tcBorders>
            <w:shd w:val="clear" w:color="000000" w:fill="D9D9D9"/>
            <w:vAlign w:val="center"/>
          </w:tcPr>
          <w:p w14:paraId="2CC2F25E" w14:textId="77777777" w:rsidR="006A0DEF" w:rsidRPr="007A6354" w:rsidRDefault="006A0DEF" w:rsidP="006A0DEF">
            <w:pPr>
              <w:spacing w:after="0" w:line="240" w:lineRule="auto"/>
              <w:rPr>
                <w:rFonts w:ascii="Calibri" w:eastAsia="Times New Roman" w:hAnsi="Calibri" w:cs="Calibri"/>
                <w:b/>
                <w:bCs/>
                <w:color w:val="000000"/>
                <w:sz w:val="18"/>
                <w:szCs w:val="18"/>
                <w:lang w:eastAsia="en-GB"/>
              </w:rPr>
            </w:pPr>
          </w:p>
        </w:tc>
        <w:tc>
          <w:tcPr>
            <w:tcW w:w="1042" w:type="dxa"/>
            <w:vMerge/>
            <w:tcBorders>
              <w:left w:val="nil"/>
              <w:bottom w:val="single" w:sz="4" w:space="0" w:color="auto"/>
              <w:right w:val="single" w:sz="4" w:space="0" w:color="auto"/>
            </w:tcBorders>
            <w:shd w:val="clear" w:color="000000" w:fill="F2F2F2"/>
            <w:vAlign w:val="bottom"/>
          </w:tcPr>
          <w:p w14:paraId="4DD8BC04" w14:textId="77777777" w:rsidR="006A0DEF" w:rsidRPr="007A6354" w:rsidRDefault="006A0DEF" w:rsidP="006A0DEF">
            <w:pPr>
              <w:spacing w:after="0" w:line="240" w:lineRule="auto"/>
              <w:rPr>
                <w:rFonts w:ascii="Calibri" w:eastAsia="Times New Roman" w:hAnsi="Calibri" w:cs="Calibri"/>
                <w:i/>
                <w:iCs/>
                <w:color w:val="000000"/>
                <w:sz w:val="18"/>
                <w:szCs w:val="18"/>
                <w:lang w:eastAsia="en-GB"/>
              </w:rPr>
            </w:pPr>
          </w:p>
        </w:tc>
        <w:tc>
          <w:tcPr>
            <w:tcW w:w="745" w:type="dxa"/>
            <w:tcBorders>
              <w:left w:val="single" w:sz="4" w:space="0" w:color="auto"/>
              <w:bottom w:val="single" w:sz="4" w:space="0" w:color="auto"/>
              <w:right w:val="single" w:sz="4" w:space="0" w:color="auto"/>
            </w:tcBorders>
            <w:shd w:val="clear" w:color="000000" w:fill="FFFFE4"/>
            <w:noWrap/>
            <w:vAlign w:val="bottom"/>
          </w:tcPr>
          <w:p w14:paraId="0EB1CFD1" w14:textId="1409E35E" w:rsidR="006A0DEF" w:rsidRPr="000F4EA3" w:rsidRDefault="006A0DEF" w:rsidP="006A0DEF">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iCs/>
                <w:color w:val="000000"/>
                <w:sz w:val="16"/>
                <w:szCs w:val="16"/>
              </w:rPr>
              <w:t>2 - 5</w:t>
            </w:r>
          </w:p>
        </w:tc>
        <w:tc>
          <w:tcPr>
            <w:tcW w:w="703" w:type="dxa"/>
            <w:tcBorders>
              <w:left w:val="single" w:sz="4" w:space="0" w:color="auto"/>
              <w:bottom w:val="single" w:sz="4" w:space="0" w:color="auto"/>
              <w:right w:val="single" w:sz="4" w:space="0" w:color="auto"/>
            </w:tcBorders>
            <w:shd w:val="clear" w:color="000000" w:fill="F3FBFE"/>
            <w:noWrap/>
            <w:vAlign w:val="bottom"/>
          </w:tcPr>
          <w:p w14:paraId="567E455D" w14:textId="5A644737" w:rsidR="006A0DEF" w:rsidRPr="000F4EA3" w:rsidRDefault="006A0DEF" w:rsidP="006A0DEF">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iCs/>
                <w:color w:val="000000"/>
                <w:sz w:val="16"/>
                <w:szCs w:val="16"/>
              </w:rPr>
              <w:t>1 - 5</w:t>
            </w:r>
          </w:p>
        </w:tc>
        <w:tc>
          <w:tcPr>
            <w:tcW w:w="709" w:type="dxa"/>
            <w:tcBorders>
              <w:left w:val="single" w:sz="4" w:space="0" w:color="auto"/>
              <w:bottom w:val="single" w:sz="4" w:space="0" w:color="auto"/>
              <w:right w:val="single" w:sz="4" w:space="0" w:color="auto"/>
            </w:tcBorders>
            <w:shd w:val="clear" w:color="000000" w:fill="73D3F6"/>
            <w:noWrap/>
            <w:vAlign w:val="bottom"/>
          </w:tcPr>
          <w:p w14:paraId="4537E2B7" w14:textId="540D006A" w:rsidR="006A0DEF" w:rsidRPr="000F4EA3" w:rsidRDefault="006A0DEF" w:rsidP="006A0DEF">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iCs/>
                <w:color w:val="000000"/>
                <w:sz w:val="16"/>
                <w:szCs w:val="16"/>
              </w:rPr>
              <w:t>1 - 3</w:t>
            </w:r>
          </w:p>
        </w:tc>
        <w:tc>
          <w:tcPr>
            <w:tcW w:w="708" w:type="dxa"/>
            <w:tcBorders>
              <w:left w:val="single" w:sz="4" w:space="0" w:color="auto"/>
              <w:bottom w:val="single" w:sz="4" w:space="0" w:color="auto"/>
              <w:right w:val="single" w:sz="4" w:space="0" w:color="auto"/>
            </w:tcBorders>
            <w:shd w:val="clear" w:color="000000" w:fill="73D3F6"/>
            <w:noWrap/>
            <w:vAlign w:val="bottom"/>
          </w:tcPr>
          <w:p w14:paraId="0C016FD5" w14:textId="11D5D0E1" w:rsidR="006A0DEF" w:rsidRPr="000F4EA3" w:rsidRDefault="006A0DEF" w:rsidP="006A0DEF">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iCs/>
                <w:color w:val="000000"/>
                <w:sz w:val="16"/>
                <w:szCs w:val="16"/>
              </w:rPr>
              <w:t>1 - 3</w:t>
            </w:r>
          </w:p>
        </w:tc>
        <w:tc>
          <w:tcPr>
            <w:tcW w:w="709" w:type="dxa"/>
            <w:tcBorders>
              <w:left w:val="single" w:sz="4" w:space="0" w:color="auto"/>
              <w:bottom w:val="single" w:sz="4" w:space="0" w:color="auto"/>
              <w:right w:val="single" w:sz="4" w:space="0" w:color="auto"/>
            </w:tcBorders>
            <w:shd w:val="clear" w:color="000000" w:fill="7FD7F7"/>
            <w:noWrap/>
            <w:vAlign w:val="bottom"/>
          </w:tcPr>
          <w:p w14:paraId="2E2C00B1" w14:textId="52BB1091" w:rsidR="006A0DEF" w:rsidRPr="000F4EA3" w:rsidRDefault="006A0DEF" w:rsidP="006A0DEF">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iCs/>
                <w:color w:val="000000"/>
                <w:sz w:val="16"/>
                <w:szCs w:val="16"/>
              </w:rPr>
              <w:t>1 - 4</w:t>
            </w:r>
          </w:p>
        </w:tc>
        <w:tc>
          <w:tcPr>
            <w:tcW w:w="709" w:type="dxa"/>
            <w:tcBorders>
              <w:left w:val="single" w:sz="4" w:space="0" w:color="auto"/>
              <w:bottom w:val="single" w:sz="4" w:space="0" w:color="auto"/>
              <w:right w:val="single" w:sz="4" w:space="0" w:color="auto"/>
            </w:tcBorders>
            <w:shd w:val="clear" w:color="000000" w:fill="8BDBF8"/>
            <w:noWrap/>
            <w:vAlign w:val="bottom"/>
          </w:tcPr>
          <w:p w14:paraId="6923569F" w14:textId="6D7779CB" w:rsidR="006A0DEF" w:rsidRPr="000F4EA3" w:rsidRDefault="006A0DEF" w:rsidP="006A0DEF">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iCs/>
                <w:color w:val="000000"/>
                <w:sz w:val="16"/>
                <w:szCs w:val="16"/>
              </w:rPr>
              <w:t>1 - 5</w:t>
            </w:r>
          </w:p>
        </w:tc>
        <w:tc>
          <w:tcPr>
            <w:tcW w:w="703" w:type="dxa"/>
            <w:tcBorders>
              <w:left w:val="nil"/>
              <w:bottom w:val="single" w:sz="4" w:space="0" w:color="auto"/>
              <w:right w:val="single" w:sz="4" w:space="0" w:color="auto"/>
            </w:tcBorders>
            <w:shd w:val="clear" w:color="000000" w:fill="66CFF6"/>
            <w:noWrap/>
            <w:vAlign w:val="bottom"/>
          </w:tcPr>
          <w:p w14:paraId="0BBF072E" w14:textId="1B8848E6" w:rsidR="006A0DEF" w:rsidRPr="000F4EA3" w:rsidRDefault="006A0DEF" w:rsidP="006A0DEF">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1 - 5</w:t>
            </w:r>
          </w:p>
        </w:tc>
        <w:tc>
          <w:tcPr>
            <w:tcW w:w="709" w:type="dxa"/>
            <w:tcBorders>
              <w:left w:val="single" w:sz="4" w:space="0" w:color="auto"/>
              <w:bottom w:val="single" w:sz="4" w:space="0" w:color="auto"/>
              <w:right w:val="single" w:sz="4" w:space="0" w:color="auto"/>
            </w:tcBorders>
            <w:shd w:val="clear" w:color="000000" w:fill="7FD7F7"/>
            <w:noWrap/>
            <w:vAlign w:val="bottom"/>
          </w:tcPr>
          <w:p w14:paraId="3A831507" w14:textId="5661659D" w:rsidR="006A0DEF" w:rsidRPr="000F4EA3" w:rsidRDefault="006A0DEF" w:rsidP="006A0DEF">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1 - 3</w:t>
            </w:r>
          </w:p>
        </w:tc>
        <w:tc>
          <w:tcPr>
            <w:tcW w:w="708" w:type="dxa"/>
            <w:tcBorders>
              <w:left w:val="single" w:sz="4" w:space="0" w:color="auto"/>
              <w:bottom w:val="single" w:sz="4" w:space="0" w:color="auto"/>
              <w:right w:val="single" w:sz="4" w:space="0" w:color="auto"/>
            </w:tcBorders>
            <w:shd w:val="clear" w:color="000000" w:fill="83D8F7"/>
            <w:noWrap/>
            <w:vAlign w:val="bottom"/>
          </w:tcPr>
          <w:p w14:paraId="51CA728D" w14:textId="71840B81" w:rsidR="006A0DEF" w:rsidRPr="000F4EA3" w:rsidRDefault="006A0DEF" w:rsidP="006A0DEF">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1 - 3</w:t>
            </w:r>
          </w:p>
        </w:tc>
        <w:tc>
          <w:tcPr>
            <w:tcW w:w="703" w:type="dxa"/>
            <w:tcBorders>
              <w:left w:val="single" w:sz="4" w:space="0" w:color="auto"/>
              <w:bottom w:val="single" w:sz="4" w:space="0" w:color="auto"/>
              <w:right w:val="single" w:sz="4" w:space="0" w:color="auto"/>
            </w:tcBorders>
            <w:shd w:val="clear" w:color="000000" w:fill="87D9F7"/>
            <w:noWrap/>
            <w:vAlign w:val="bottom"/>
          </w:tcPr>
          <w:p w14:paraId="5E997039" w14:textId="71BA3B09" w:rsidR="006A0DEF" w:rsidRPr="000F4EA3" w:rsidRDefault="006A0DEF" w:rsidP="006A0DEF">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1 - 4</w:t>
            </w:r>
          </w:p>
        </w:tc>
      </w:tr>
    </w:tbl>
    <w:p w14:paraId="531B06D3" w14:textId="36E1D98E" w:rsidR="00445689" w:rsidRDefault="00445689" w:rsidP="00445689">
      <w:pPr>
        <w:pStyle w:val="Caption"/>
        <w:jc w:val="center"/>
      </w:pPr>
      <w:r>
        <w:t xml:space="preserve">Table </w:t>
      </w:r>
      <w:r w:rsidR="00673A35">
        <w:rPr>
          <w:noProof/>
        </w:rPr>
        <w:fldChar w:fldCharType="begin"/>
      </w:r>
      <w:r w:rsidR="00673A35">
        <w:rPr>
          <w:noProof/>
        </w:rPr>
        <w:instrText xml:space="preserve"> SEQ Table \* ARABIC </w:instrText>
      </w:r>
      <w:r w:rsidR="00673A35">
        <w:rPr>
          <w:noProof/>
        </w:rPr>
        <w:fldChar w:fldCharType="separate"/>
      </w:r>
      <w:r>
        <w:rPr>
          <w:noProof/>
        </w:rPr>
        <w:t>3</w:t>
      </w:r>
      <w:r w:rsidR="00673A35">
        <w:rPr>
          <w:noProof/>
        </w:rPr>
        <w:fldChar w:fldCharType="end"/>
      </w:r>
      <w:r>
        <w:t xml:space="preserve"> - NoMad T0-T1 responses for 'Reflexive Monitoring' score colour intensity tends toward: blue (strongly agree – 1); white (neither agree nor disagree – 3); yellow - strongly disagree – 5)</w:t>
      </w:r>
      <w:r w:rsidR="008C2AD4">
        <w:t>.</w:t>
      </w:r>
      <w:r w:rsidR="00A82EF7">
        <w:t>.</w:t>
      </w:r>
    </w:p>
    <w:p w14:paraId="36B331D3" w14:textId="77777777" w:rsidR="00445689" w:rsidRPr="009B6599" w:rsidRDefault="00445689" w:rsidP="00445689"/>
    <w:tbl>
      <w:tblPr>
        <w:tblW w:w="7775" w:type="dxa"/>
        <w:jc w:val="center"/>
        <w:tblLook w:val="04A0" w:firstRow="1" w:lastRow="0" w:firstColumn="1" w:lastColumn="0" w:noHBand="0" w:noVBand="1"/>
      </w:tblPr>
      <w:tblGrid>
        <w:gridCol w:w="1188"/>
        <w:gridCol w:w="1062"/>
        <w:gridCol w:w="630"/>
        <w:gridCol w:w="630"/>
        <w:gridCol w:w="630"/>
        <w:gridCol w:w="630"/>
        <w:gridCol w:w="750"/>
        <w:gridCol w:w="750"/>
        <w:gridCol w:w="750"/>
        <w:gridCol w:w="755"/>
      </w:tblGrid>
      <w:tr w:rsidR="00445689" w:rsidRPr="005B4804" w14:paraId="0D014563" w14:textId="77777777" w:rsidTr="00445689">
        <w:trPr>
          <w:trHeight w:val="300"/>
          <w:jc w:val="center"/>
        </w:trPr>
        <w:tc>
          <w:tcPr>
            <w:tcW w:w="118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8B3323" w14:textId="77777777" w:rsidR="00445689" w:rsidRPr="005B4804" w:rsidRDefault="00445689" w:rsidP="00445689">
            <w:pPr>
              <w:spacing w:after="0" w:line="240" w:lineRule="auto"/>
              <w:rPr>
                <w:rFonts w:ascii="Calibri" w:eastAsia="Times New Roman" w:hAnsi="Calibri" w:cs="Calibri"/>
                <w:b/>
                <w:bCs/>
                <w:color w:val="000000"/>
                <w:sz w:val="18"/>
                <w:szCs w:val="18"/>
                <w:lang w:eastAsia="en-GB"/>
              </w:rPr>
            </w:pPr>
            <w:r w:rsidRPr="005B4804">
              <w:rPr>
                <w:rFonts w:ascii="Calibri" w:eastAsia="Times New Roman" w:hAnsi="Calibri" w:cs="Calibri"/>
                <w:b/>
                <w:bCs/>
                <w:color w:val="000000"/>
                <w:sz w:val="18"/>
                <w:szCs w:val="18"/>
                <w:lang w:eastAsia="en-GB"/>
              </w:rPr>
              <w:t>Construct</w:t>
            </w:r>
          </w:p>
        </w:tc>
        <w:tc>
          <w:tcPr>
            <w:tcW w:w="1062" w:type="dxa"/>
            <w:tcBorders>
              <w:top w:val="single" w:sz="4" w:space="0" w:color="auto"/>
              <w:left w:val="nil"/>
              <w:bottom w:val="single" w:sz="4" w:space="0" w:color="auto"/>
              <w:right w:val="single" w:sz="4" w:space="0" w:color="auto"/>
            </w:tcBorders>
            <w:shd w:val="clear" w:color="000000" w:fill="F2F2F2"/>
            <w:vAlign w:val="bottom"/>
            <w:hideMark/>
          </w:tcPr>
          <w:p w14:paraId="5E358421" w14:textId="77777777" w:rsidR="00445689" w:rsidRPr="005B4804" w:rsidRDefault="00445689" w:rsidP="00445689">
            <w:pPr>
              <w:spacing w:after="0" w:line="240" w:lineRule="auto"/>
              <w:rPr>
                <w:rFonts w:ascii="Calibri" w:eastAsia="Times New Roman" w:hAnsi="Calibri" w:cs="Calibri"/>
                <w:color w:val="000000"/>
                <w:sz w:val="18"/>
                <w:szCs w:val="18"/>
                <w:lang w:eastAsia="en-GB"/>
              </w:rPr>
            </w:pPr>
            <w:r w:rsidRPr="005B4804">
              <w:rPr>
                <w:rFonts w:ascii="Calibri" w:eastAsia="Times New Roman" w:hAnsi="Calibri" w:cs="Calibri"/>
                <w:color w:val="000000"/>
                <w:sz w:val="18"/>
                <w:szCs w:val="18"/>
                <w:lang w:eastAsia="en-GB"/>
              </w:rPr>
              <w:t> </w:t>
            </w:r>
          </w:p>
        </w:tc>
        <w:tc>
          <w:tcPr>
            <w:tcW w:w="5525" w:type="dxa"/>
            <w:gridSpan w:val="8"/>
            <w:tcBorders>
              <w:top w:val="single" w:sz="4" w:space="0" w:color="auto"/>
              <w:left w:val="single" w:sz="4" w:space="0" w:color="auto"/>
              <w:bottom w:val="nil"/>
              <w:right w:val="single" w:sz="4" w:space="0" w:color="000000"/>
            </w:tcBorders>
            <w:shd w:val="clear" w:color="auto" w:fill="E7E6E6" w:themeFill="background2"/>
            <w:noWrap/>
            <w:vAlign w:val="bottom"/>
            <w:hideMark/>
          </w:tcPr>
          <w:p w14:paraId="461ACB97" w14:textId="77777777" w:rsidR="00445689" w:rsidRPr="000F4EA3" w:rsidRDefault="00445689" w:rsidP="00445689">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Cognitive Participation</w:t>
            </w:r>
          </w:p>
        </w:tc>
      </w:tr>
      <w:tr w:rsidR="00445689" w:rsidRPr="005B4804" w14:paraId="52ABA0E7" w14:textId="77777777" w:rsidTr="00445689">
        <w:trPr>
          <w:trHeight w:val="720"/>
          <w:jc w:val="center"/>
        </w:trPr>
        <w:tc>
          <w:tcPr>
            <w:tcW w:w="1188" w:type="dxa"/>
            <w:tcBorders>
              <w:top w:val="nil"/>
              <w:left w:val="single" w:sz="4" w:space="0" w:color="auto"/>
              <w:bottom w:val="single" w:sz="4" w:space="0" w:color="auto"/>
              <w:right w:val="single" w:sz="4" w:space="0" w:color="auto"/>
            </w:tcBorders>
            <w:shd w:val="clear" w:color="000000" w:fill="D9D9D9"/>
            <w:vAlign w:val="center"/>
            <w:hideMark/>
          </w:tcPr>
          <w:p w14:paraId="04CF9F2A" w14:textId="77777777" w:rsidR="00445689" w:rsidRPr="005B4804" w:rsidRDefault="00445689" w:rsidP="00445689">
            <w:pPr>
              <w:spacing w:after="0" w:line="240" w:lineRule="auto"/>
              <w:rPr>
                <w:rFonts w:ascii="Calibri" w:eastAsia="Times New Roman" w:hAnsi="Calibri" w:cs="Calibri"/>
                <w:b/>
                <w:bCs/>
                <w:color w:val="000000"/>
                <w:sz w:val="18"/>
                <w:szCs w:val="18"/>
                <w:lang w:eastAsia="en-GB"/>
              </w:rPr>
            </w:pPr>
            <w:r w:rsidRPr="005B4804">
              <w:rPr>
                <w:rFonts w:ascii="Calibri" w:eastAsia="Times New Roman" w:hAnsi="Calibri" w:cs="Calibri"/>
                <w:b/>
                <w:bCs/>
                <w:color w:val="000000"/>
                <w:sz w:val="18"/>
                <w:szCs w:val="18"/>
                <w:lang w:eastAsia="en-GB"/>
              </w:rPr>
              <w:t>Component</w:t>
            </w:r>
          </w:p>
        </w:tc>
        <w:tc>
          <w:tcPr>
            <w:tcW w:w="1062" w:type="dxa"/>
            <w:tcBorders>
              <w:top w:val="single" w:sz="4" w:space="0" w:color="auto"/>
              <w:left w:val="nil"/>
              <w:bottom w:val="nil"/>
              <w:right w:val="single" w:sz="4" w:space="0" w:color="auto"/>
            </w:tcBorders>
            <w:shd w:val="clear" w:color="000000" w:fill="F2F2F2"/>
            <w:vAlign w:val="bottom"/>
            <w:hideMark/>
          </w:tcPr>
          <w:p w14:paraId="2C19CA94" w14:textId="77777777" w:rsidR="00445689" w:rsidRPr="005B4804" w:rsidRDefault="00445689" w:rsidP="00445689">
            <w:pPr>
              <w:spacing w:after="0" w:line="240" w:lineRule="auto"/>
              <w:rPr>
                <w:rFonts w:ascii="Calibri" w:eastAsia="Times New Roman" w:hAnsi="Calibri" w:cs="Calibri"/>
                <w:i/>
                <w:iCs/>
                <w:color w:val="000000"/>
                <w:sz w:val="18"/>
                <w:szCs w:val="18"/>
                <w:lang w:eastAsia="en-GB"/>
              </w:rPr>
            </w:pPr>
            <w:r w:rsidRPr="005B4804">
              <w:rPr>
                <w:rFonts w:ascii="Calibri" w:eastAsia="Times New Roman" w:hAnsi="Calibri" w:cs="Calibri"/>
                <w:i/>
                <w:iCs/>
                <w:color w:val="000000"/>
                <w:sz w:val="18"/>
                <w:szCs w:val="18"/>
                <w:lang w:eastAsia="en-GB"/>
              </w:rPr>
              <w:t> </w:t>
            </w:r>
          </w:p>
        </w:tc>
        <w:tc>
          <w:tcPr>
            <w:tcW w:w="1260" w:type="dxa"/>
            <w:gridSpan w:val="2"/>
            <w:tcBorders>
              <w:top w:val="single" w:sz="4" w:space="0" w:color="auto"/>
              <w:left w:val="nil"/>
              <w:bottom w:val="nil"/>
              <w:right w:val="single" w:sz="4" w:space="0" w:color="000000"/>
            </w:tcBorders>
            <w:shd w:val="clear" w:color="auto" w:fill="auto"/>
            <w:vAlign w:val="center"/>
            <w:hideMark/>
          </w:tcPr>
          <w:p w14:paraId="747D4BB5" w14:textId="77777777" w:rsidR="00445689" w:rsidRPr="005B4804" w:rsidRDefault="00445689" w:rsidP="00445689">
            <w:pPr>
              <w:spacing w:after="0" w:line="240" w:lineRule="auto"/>
              <w:jc w:val="center"/>
              <w:rPr>
                <w:rFonts w:ascii="Calibri" w:eastAsia="Times New Roman" w:hAnsi="Calibri" w:cs="Calibri"/>
                <w:color w:val="000000"/>
                <w:sz w:val="18"/>
                <w:szCs w:val="18"/>
                <w:lang w:eastAsia="en-GB"/>
              </w:rPr>
            </w:pPr>
            <w:r w:rsidRPr="005B4804">
              <w:rPr>
                <w:rFonts w:ascii="Calibri" w:eastAsia="Times New Roman" w:hAnsi="Calibri" w:cs="Calibri"/>
                <w:color w:val="000000"/>
                <w:sz w:val="18"/>
                <w:szCs w:val="18"/>
                <w:lang w:eastAsia="en-GB"/>
              </w:rPr>
              <w:t>Initiation</w:t>
            </w:r>
          </w:p>
        </w:tc>
        <w:tc>
          <w:tcPr>
            <w:tcW w:w="1260" w:type="dxa"/>
            <w:gridSpan w:val="2"/>
            <w:tcBorders>
              <w:top w:val="single" w:sz="4" w:space="0" w:color="auto"/>
              <w:left w:val="nil"/>
              <w:bottom w:val="nil"/>
              <w:right w:val="single" w:sz="4" w:space="0" w:color="000000"/>
            </w:tcBorders>
            <w:shd w:val="clear" w:color="auto" w:fill="auto"/>
            <w:vAlign w:val="center"/>
            <w:hideMark/>
          </w:tcPr>
          <w:p w14:paraId="05CE4496" w14:textId="77777777" w:rsidR="00445689" w:rsidRPr="005B4804" w:rsidRDefault="00445689" w:rsidP="00445689">
            <w:pPr>
              <w:spacing w:after="0" w:line="240" w:lineRule="auto"/>
              <w:jc w:val="center"/>
              <w:rPr>
                <w:rFonts w:ascii="Calibri" w:eastAsia="Times New Roman" w:hAnsi="Calibri" w:cs="Calibri"/>
                <w:color w:val="000000"/>
                <w:sz w:val="18"/>
                <w:szCs w:val="18"/>
                <w:lang w:eastAsia="en-GB"/>
              </w:rPr>
            </w:pPr>
            <w:r w:rsidRPr="005B4804">
              <w:rPr>
                <w:rFonts w:ascii="Calibri" w:eastAsia="Times New Roman" w:hAnsi="Calibri" w:cs="Calibri"/>
                <w:color w:val="000000"/>
                <w:sz w:val="18"/>
                <w:szCs w:val="18"/>
                <w:lang w:eastAsia="en-GB"/>
              </w:rPr>
              <w:t>Legitimation</w:t>
            </w:r>
          </w:p>
        </w:tc>
        <w:tc>
          <w:tcPr>
            <w:tcW w:w="1500" w:type="dxa"/>
            <w:gridSpan w:val="2"/>
            <w:tcBorders>
              <w:top w:val="single" w:sz="4" w:space="0" w:color="auto"/>
              <w:left w:val="nil"/>
              <w:bottom w:val="nil"/>
              <w:right w:val="single" w:sz="4" w:space="0" w:color="000000"/>
            </w:tcBorders>
            <w:shd w:val="clear" w:color="auto" w:fill="auto"/>
            <w:vAlign w:val="center"/>
            <w:hideMark/>
          </w:tcPr>
          <w:p w14:paraId="5529DC46" w14:textId="77777777" w:rsidR="00445689" w:rsidRPr="005B4804" w:rsidRDefault="00445689" w:rsidP="00445689">
            <w:pPr>
              <w:spacing w:after="0" w:line="240" w:lineRule="auto"/>
              <w:jc w:val="center"/>
              <w:rPr>
                <w:rFonts w:ascii="Calibri" w:eastAsia="Times New Roman" w:hAnsi="Calibri" w:cs="Calibri"/>
                <w:color w:val="000000"/>
                <w:sz w:val="18"/>
                <w:szCs w:val="18"/>
                <w:lang w:eastAsia="en-GB"/>
              </w:rPr>
            </w:pPr>
            <w:r w:rsidRPr="005B4804">
              <w:rPr>
                <w:rFonts w:ascii="Calibri" w:eastAsia="Times New Roman" w:hAnsi="Calibri" w:cs="Calibri"/>
                <w:color w:val="000000"/>
                <w:sz w:val="18"/>
                <w:szCs w:val="18"/>
                <w:lang w:eastAsia="en-GB"/>
              </w:rPr>
              <w:t>Enrolment</w:t>
            </w:r>
          </w:p>
        </w:tc>
        <w:tc>
          <w:tcPr>
            <w:tcW w:w="1505" w:type="dxa"/>
            <w:gridSpan w:val="2"/>
            <w:tcBorders>
              <w:top w:val="single" w:sz="4" w:space="0" w:color="auto"/>
              <w:left w:val="nil"/>
              <w:bottom w:val="nil"/>
              <w:right w:val="single" w:sz="4" w:space="0" w:color="000000"/>
            </w:tcBorders>
            <w:shd w:val="clear" w:color="auto" w:fill="auto"/>
            <w:vAlign w:val="center"/>
            <w:hideMark/>
          </w:tcPr>
          <w:p w14:paraId="41F44298" w14:textId="77777777" w:rsidR="00445689" w:rsidRPr="005B4804" w:rsidRDefault="00445689" w:rsidP="00445689">
            <w:pPr>
              <w:spacing w:after="0" w:line="240" w:lineRule="auto"/>
              <w:jc w:val="center"/>
              <w:rPr>
                <w:rFonts w:ascii="Calibri" w:eastAsia="Times New Roman" w:hAnsi="Calibri" w:cs="Calibri"/>
                <w:color w:val="000000"/>
                <w:sz w:val="18"/>
                <w:szCs w:val="18"/>
                <w:lang w:eastAsia="en-GB"/>
              </w:rPr>
            </w:pPr>
            <w:r w:rsidRPr="005B4804">
              <w:rPr>
                <w:rFonts w:ascii="Calibri" w:eastAsia="Times New Roman" w:hAnsi="Calibri" w:cs="Calibri"/>
                <w:color w:val="000000"/>
                <w:sz w:val="18"/>
                <w:szCs w:val="18"/>
                <w:lang w:eastAsia="en-GB"/>
              </w:rPr>
              <w:t>Activation</w:t>
            </w:r>
          </w:p>
        </w:tc>
      </w:tr>
      <w:tr w:rsidR="00445689" w:rsidRPr="005B4804" w14:paraId="03AB371E" w14:textId="77777777" w:rsidTr="00445689">
        <w:trPr>
          <w:trHeight w:val="720"/>
          <w:jc w:val="center"/>
        </w:trPr>
        <w:tc>
          <w:tcPr>
            <w:tcW w:w="1188" w:type="dxa"/>
            <w:tcBorders>
              <w:top w:val="nil"/>
              <w:left w:val="single" w:sz="4" w:space="0" w:color="auto"/>
              <w:bottom w:val="single" w:sz="4" w:space="0" w:color="auto"/>
              <w:right w:val="nil"/>
            </w:tcBorders>
            <w:shd w:val="clear" w:color="000000" w:fill="D9D9D9"/>
            <w:vAlign w:val="center"/>
            <w:hideMark/>
          </w:tcPr>
          <w:p w14:paraId="1D489609" w14:textId="77777777" w:rsidR="00445689" w:rsidRPr="005B4804" w:rsidRDefault="00445689" w:rsidP="00445689">
            <w:pPr>
              <w:spacing w:after="0" w:line="240" w:lineRule="auto"/>
              <w:rPr>
                <w:rFonts w:ascii="Calibri" w:eastAsia="Times New Roman" w:hAnsi="Calibri" w:cs="Calibri"/>
                <w:b/>
                <w:bCs/>
                <w:color w:val="000000"/>
                <w:sz w:val="18"/>
                <w:szCs w:val="18"/>
                <w:lang w:eastAsia="en-GB"/>
              </w:rPr>
            </w:pPr>
            <w:r w:rsidRPr="005B4804">
              <w:rPr>
                <w:rFonts w:ascii="Calibri" w:eastAsia="Times New Roman" w:hAnsi="Calibri" w:cs="Calibri"/>
                <w:b/>
                <w:bCs/>
                <w:color w:val="000000"/>
                <w:sz w:val="18"/>
                <w:szCs w:val="18"/>
                <w:lang w:eastAsia="en-GB"/>
              </w:rPr>
              <w:t>Question / observation point</w:t>
            </w:r>
          </w:p>
        </w:tc>
        <w:tc>
          <w:tcPr>
            <w:tcW w:w="106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04B0A220" w14:textId="77777777" w:rsidR="00445689" w:rsidRPr="005B4804" w:rsidRDefault="00445689" w:rsidP="00445689">
            <w:pPr>
              <w:spacing w:after="0" w:line="240" w:lineRule="auto"/>
              <w:rPr>
                <w:rFonts w:ascii="Calibri" w:eastAsia="Times New Roman" w:hAnsi="Calibri" w:cs="Calibri"/>
                <w:i/>
                <w:iCs/>
                <w:color w:val="000000"/>
                <w:sz w:val="18"/>
                <w:szCs w:val="18"/>
                <w:lang w:eastAsia="en-GB"/>
              </w:rPr>
            </w:pPr>
            <w:r w:rsidRPr="005B4804">
              <w:rPr>
                <w:rFonts w:ascii="Calibri" w:eastAsia="Times New Roman" w:hAnsi="Calibri" w:cs="Calibri"/>
                <w:i/>
                <w:iCs/>
                <w:color w:val="000000"/>
                <w:sz w:val="18"/>
                <w:szCs w:val="18"/>
                <w:lang w:eastAsia="en-GB"/>
              </w:rPr>
              <w:t> </w:t>
            </w:r>
          </w:p>
        </w:tc>
        <w:tc>
          <w:tcPr>
            <w:tcW w:w="630" w:type="dxa"/>
            <w:tcBorders>
              <w:top w:val="nil"/>
              <w:left w:val="nil"/>
              <w:bottom w:val="single" w:sz="4" w:space="0" w:color="auto"/>
              <w:right w:val="single" w:sz="4" w:space="0" w:color="auto"/>
            </w:tcBorders>
            <w:shd w:val="clear" w:color="auto" w:fill="auto"/>
            <w:noWrap/>
            <w:vAlign w:val="bottom"/>
            <w:hideMark/>
          </w:tcPr>
          <w:p w14:paraId="07486AB6" w14:textId="77777777" w:rsidR="00445689" w:rsidRPr="005B4804" w:rsidRDefault="00445689" w:rsidP="00445689">
            <w:pPr>
              <w:spacing w:after="0" w:line="240" w:lineRule="auto"/>
              <w:rPr>
                <w:rFonts w:ascii="Calibri" w:eastAsia="Times New Roman" w:hAnsi="Calibri" w:cs="Calibri"/>
                <w:color w:val="000000"/>
                <w:sz w:val="18"/>
                <w:szCs w:val="18"/>
                <w:lang w:eastAsia="en-GB"/>
              </w:rPr>
            </w:pPr>
            <w:r w:rsidRPr="005B4804">
              <w:rPr>
                <w:rFonts w:ascii="Calibri" w:eastAsia="Times New Roman" w:hAnsi="Calibri" w:cs="Calibri"/>
                <w:color w:val="000000"/>
                <w:sz w:val="18"/>
                <w:szCs w:val="18"/>
                <w:lang w:eastAsia="en-GB"/>
              </w:rPr>
              <w:t>Q8-T0</w:t>
            </w:r>
          </w:p>
        </w:tc>
        <w:tc>
          <w:tcPr>
            <w:tcW w:w="630" w:type="dxa"/>
            <w:tcBorders>
              <w:top w:val="nil"/>
              <w:left w:val="nil"/>
              <w:bottom w:val="single" w:sz="4" w:space="0" w:color="auto"/>
              <w:right w:val="single" w:sz="4" w:space="0" w:color="auto"/>
            </w:tcBorders>
            <w:shd w:val="clear" w:color="auto" w:fill="auto"/>
            <w:noWrap/>
            <w:vAlign w:val="bottom"/>
            <w:hideMark/>
          </w:tcPr>
          <w:p w14:paraId="00328DBB" w14:textId="77777777" w:rsidR="00445689" w:rsidRPr="005B4804" w:rsidRDefault="00445689" w:rsidP="00445689">
            <w:pPr>
              <w:spacing w:after="0" w:line="240" w:lineRule="auto"/>
              <w:rPr>
                <w:rFonts w:ascii="Calibri" w:eastAsia="Times New Roman" w:hAnsi="Calibri" w:cs="Calibri"/>
                <w:color w:val="000000"/>
                <w:sz w:val="18"/>
                <w:szCs w:val="18"/>
                <w:lang w:eastAsia="en-GB"/>
              </w:rPr>
            </w:pPr>
            <w:r w:rsidRPr="005B4804">
              <w:rPr>
                <w:rFonts w:ascii="Calibri" w:eastAsia="Times New Roman" w:hAnsi="Calibri" w:cs="Calibri"/>
                <w:color w:val="000000"/>
                <w:sz w:val="18"/>
                <w:szCs w:val="18"/>
                <w:lang w:eastAsia="en-GB"/>
              </w:rPr>
              <w:t>Q8-T1</w:t>
            </w:r>
          </w:p>
        </w:tc>
        <w:tc>
          <w:tcPr>
            <w:tcW w:w="630" w:type="dxa"/>
            <w:tcBorders>
              <w:top w:val="nil"/>
              <w:left w:val="nil"/>
              <w:bottom w:val="single" w:sz="4" w:space="0" w:color="auto"/>
              <w:right w:val="single" w:sz="4" w:space="0" w:color="auto"/>
            </w:tcBorders>
            <w:shd w:val="clear" w:color="auto" w:fill="auto"/>
            <w:noWrap/>
            <w:vAlign w:val="bottom"/>
            <w:hideMark/>
          </w:tcPr>
          <w:p w14:paraId="2E73E898" w14:textId="77777777" w:rsidR="00445689" w:rsidRPr="005B4804" w:rsidRDefault="00445689" w:rsidP="00445689">
            <w:pPr>
              <w:spacing w:after="0" w:line="240" w:lineRule="auto"/>
              <w:rPr>
                <w:rFonts w:ascii="Calibri" w:eastAsia="Times New Roman" w:hAnsi="Calibri" w:cs="Calibri"/>
                <w:color w:val="000000"/>
                <w:sz w:val="18"/>
                <w:szCs w:val="18"/>
                <w:lang w:eastAsia="en-GB"/>
              </w:rPr>
            </w:pPr>
            <w:r w:rsidRPr="005B4804">
              <w:rPr>
                <w:rFonts w:ascii="Calibri" w:eastAsia="Times New Roman" w:hAnsi="Calibri" w:cs="Calibri"/>
                <w:color w:val="000000"/>
                <w:sz w:val="18"/>
                <w:szCs w:val="18"/>
                <w:lang w:eastAsia="en-GB"/>
              </w:rPr>
              <w:t>Q9-T0</w:t>
            </w:r>
          </w:p>
        </w:tc>
        <w:tc>
          <w:tcPr>
            <w:tcW w:w="630" w:type="dxa"/>
            <w:tcBorders>
              <w:top w:val="nil"/>
              <w:left w:val="nil"/>
              <w:bottom w:val="single" w:sz="4" w:space="0" w:color="auto"/>
              <w:right w:val="single" w:sz="4" w:space="0" w:color="auto"/>
            </w:tcBorders>
            <w:shd w:val="clear" w:color="auto" w:fill="auto"/>
            <w:noWrap/>
            <w:vAlign w:val="bottom"/>
            <w:hideMark/>
          </w:tcPr>
          <w:p w14:paraId="2FAEE8C3" w14:textId="77777777" w:rsidR="00445689" w:rsidRPr="005B4804" w:rsidRDefault="00445689" w:rsidP="00445689">
            <w:pPr>
              <w:spacing w:after="0" w:line="240" w:lineRule="auto"/>
              <w:rPr>
                <w:rFonts w:ascii="Calibri" w:eastAsia="Times New Roman" w:hAnsi="Calibri" w:cs="Calibri"/>
                <w:color w:val="000000"/>
                <w:sz w:val="18"/>
                <w:szCs w:val="18"/>
                <w:lang w:eastAsia="en-GB"/>
              </w:rPr>
            </w:pPr>
            <w:r w:rsidRPr="005B4804">
              <w:rPr>
                <w:rFonts w:ascii="Calibri" w:eastAsia="Times New Roman" w:hAnsi="Calibri" w:cs="Calibri"/>
                <w:color w:val="000000"/>
                <w:sz w:val="18"/>
                <w:szCs w:val="18"/>
                <w:lang w:eastAsia="en-GB"/>
              </w:rPr>
              <w:t>Q9-T1</w:t>
            </w:r>
          </w:p>
        </w:tc>
        <w:tc>
          <w:tcPr>
            <w:tcW w:w="750" w:type="dxa"/>
            <w:tcBorders>
              <w:top w:val="nil"/>
              <w:left w:val="nil"/>
              <w:bottom w:val="single" w:sz="4" w:space="0" w:color="auto"/>
              <w:right w:val="single" w:sz="4" w:space="0" w:color="auto"/>
            </w:tcBorders>
            <w:shd w:val="clear" w:color="auto" w:fill="auto"/>
            <w:noWrap/>
            <w:vAlign w:val="bottom"/>
            <w:hideMark/>
          </w:tcPr>
          <w:p w14:paraId="64244506" w14:textId="77777777" w:rsidR="00445689" w:rsidRPr="005B4804" w:rsidRDefault="00445689" w:rsidP="00445689">
            <w:pPr>
              <w:spacing w:after="0" w:line="240" w:lineRule="auto"/>
              <w:rPr>
                <w:rFonts w:ascii="Calibri" w:eastAsia="Times New Roman" w:hAnsi="Calibri" w:cs="Calibri"/>
                <w:color w:val="000000"/>
                <w:sz w:val="18"/>
                <w:szCs w:val="18"/>
                <w:lang w:eastAsia="en-GB"/>
              </w:rPr>
            </w:pPr>
            <w:r w:rsidRPr="005B4804">
              <w:rPr>
                <w:rFonts w:ascii="Calibri" w:eastAsia="Times New Roman" w:hAnsi="Calibri" w:cs="Calibri"/>
                <w:color w:val="000000"/>
                <w:sz w:val="18"/>
                <w:szCs w:val="18"/>
                <w:lang w:eastAsia="en-GB"/>
              </w:rPr>
              <w:t>Q10-T0</w:t>
            </w:r>
          </w:p>
        </w:tc>
        <w:tc>
          <w:tcPr>
            <w:tcW w:w="750" w:type="dxa"/>
            <w:tcBorders>
              <w:top w:val="nil"/>
              <w:left w:val="nil"/>
              <w:bottom w:val="single" w:sz="4" w:space="0" w:color="auto"/>
              <w:right w:val="single" w:sz="4" w:space="0" w:color="auto"/>
            </w:tcBorders>
            <w:shd w:val="clear" w:color="auto" w:fill="auto"/>
            <w:noWrap/>
            <w:vAlign w:val="bottom"/>
            <w:hideMark/>
          </w:tcPr>
          <w:p w14:paraId="5E78DC42" w14:textId="77777777" w:rsidR="00445689" w:rsidRPr="005B4804" w:rsidRDefault="00445689" w:rsidP="00445689">
            <w:pPr>
              <w:spacing w:after="0" w:line="240" w:lineRule="auto"/>
              <w:rPr>
                <w:rFonts w:ascii="Calibri" w:eastAsia="Times New Roman" w:hAnsi="Calibri" w:cs="Calibri"/>
                <w:color w:val="000000"/>
                <w:sz w:val="18"/>
                <w:szCs w:val="18"/>
                <w:lang w:eastAsia="en-GB"/>
              </w:rPr>
            </w:pPr>
            <w:r w:rsidRPr="005B4804">
              <w:rPr>
                <w:rFonts w:ascii="Calibri" w:eastAsia="Times New Roman" w:hAnsi="Calibri" w:cs="Calibri"/>
                <w:color w:val="000000"/>
                <w:sz w:val="18"/>
                <w:szCs w:val="18"/>
                <w:lang w:eastAsia="en-GB"/>
              </w:rPr>
              <w:t>Q10-T1</w:t>
            </w:r>
          </w:p>
        </w:tc>
        <w:tc>
          <w:tcPr>
            <w:tcW w:w="750" w:type="dxa"/>
            <w:tcBorders>
              <w:top w:val="nil"/>
              <w:left w:val="nil"/>
              <w:bottom w:val="single" w:sz="4" w:space="0" w:color="auto"/>
              <w:right w:val="single" w:sz="4" w:space="0" w:color="auto"/>
            </w:tcBorders>
            <w:shd w:val="clear" w:color="auto" w:fill="auto"/>
            <w:noWrap/>
            <w:vAlign w:val="bottom"/>
            <w:hideMark/>
          </w:tcPr>
          <w:p w14:paraId="5DA6AB16" w14:textId="77777777" w:rsidR="00445689" w:rsidRPr="005B4804" w:rsidRDefault="00445689" w:rsidP="00445689">
            <w:pPr>
              <w:spacing w:after="0" w:line="240" w:lineRule="auto"/>
              <w:rPr>
                <w:rFonts w:ascii="Calibri" w:eastAsia="Times New Roman" w:hAnsi="Calibri" w:cs="Calibri"/>
                <w:color w:val="000000"/>
                <w:sz w:val="18"/>
                <w:szCs w:val="18"/>
                <w:lang w:eastAsia="en-GB"/>
              </w:rPr>
            </w:pPr>
            <w:r w:rsidRPr="005B4804">
              <w:rPr>
                <w:rFonts w:ascii="Calibri" w:eastAsia="Times New Roman" w:hAnsi="Calibri" w:cs="Calibri"/>
                <w:color w:val="000000"/>
                <w:sz w:val="18"/>
                <w:szCs w:val="18"/>
                <w:lang w:eastAsia="en-GB"/>
              </w:rPr>
              <w:t>Q11-T0</w:t>
            </w:r>
          </w:p>
        </w:tc>
        <w:tc>
          <w:tcPr>
            <w:tcW w:w="755" w:type="dxa"/>
            <w:tcBorders>
              <w:top w:val="nil"/>
              <w:left w:val="nil"/>
              <w:bottom w:val="single" w:sz="4" w:space="0" w:color="auto"/>
              <w:right w:val="single" w:sz="4" w:space="0" w:color="auto"/>
            </w:tcBorders>
            <w:shd w:val="clear" w:color="auto" w:fill="auto"/>
            <w:noWrap/>
            <w:vAlign w:val="bottom"/>
            <w:hideMark/>
          </w:tcPr>
          <w:p w14:paraId="5DFE6666" w14:textId="77777777" w:rsidR="00445689" w:rsidRPr="005B4804" w:rsidRDefault="00445689" w:rsidP="00445689">
            <w:pPr>
              <w:spacing w:after="0" w:line="240" w:lineRule="auto"/>
              <w:rPr>
                <w:rFonts w:ascii="Calibri" w:eastAsia="Times New Roman" w:hAnsi="Calibri" w:cs="Calibri"/>
                <w:color w:val="000000"/>
                <w:sz w:val="18"/>
                <w:szCs w:val="18"/>
                <w:lang w:eastAsia="en-GB"/>
              </w:rPr>
            </w:pPr>
            <w:r w:rsidRPr="005B4804">
              <w:rPr>
                <w:rFonts w:ascii="Calibri" w:eastAsia="Times New Roman" w:hAnsi="Calibri" w:cs="Calibri"/>
                <w:color w:val="000000"/>
                <w:sz w:val="18"/>
                <w:szCs w:val="18"/>
                <w:lang w:eastAsia="en-GB"/>
              </w:rPr>
              <w:t>Q11-T1</w:t>
            </w:r>
          </w:p>
        </w:tc>
      </w:tr>
      <w:tr w:rsidR="006A0DEF" w:rsidRPr="005B4804" w14:paraId="3E688491" w14:textId="77777777" w:rsidTr="006A0DEF">
        <w:trPr>
          <w:trHeight w:val="631"/>
          <w:jc w:val="center"/>
        </w:trPr>
        <w:tc>
          <w:tcPr>
            <w:tcW w:w="1188" w:type="dxa"/>
            <w:vMerge w:val="restart"/>
            <w:tcBorders>
              <w:top w:val="nil"/>
              <w:left w:val="single" w:sz="4" w:space="0" w:color="auto"/>
              <w:right w:val="single" w:sz="4" w:space="0" w:color="auto"/>
            </w:tcBorders>
            <w:shd w:val="clear" w:color="000000" w:fill="D9D9D9"/>
            <w:vAlign w:val="center"/>
            <w:hideMark/>
          </w:tcPr>
          <w:p w14:paraId="5A6E2821" w14:textId="77777777" w:rsidR="006A0DEF" w:rsidRPr="005B4804" w:rsidRDefault="006A0DEF" w:rsidP="00445689">
            <w:pPr>
              <w:spacing w:after="0" w:line="240" w:lineRule="auto"/>
              <w:rPr>
                <w:rFonts w:ascii="Calibri" w:eastAsia="Times New Roman" w:hAnsi="Calibri" w:cs="Calibri"/>
                <w:b/>
                <w:bCs/>
                <w:color w:val="000000"/>
                <w:sz w:val="18"/>
                <w:szCs w:val="18"/>
                <w:lang w:eastAsia="en-GB"/>
              </w:rPr>
            </w:pPr>
            <w:r w:rsidRPr="005B4804">
              <w:rPr>
                <w:rFonts w:ascii="Calibri" w:eastAsia="Times New Roman" w:hAnsi="Calibri" w:cs="Calibri"/>
                <w:b/>
                <w:bCs/>
                <w:color w:val="000000"/>
                <w:sz w:val="18"/>
                <w:szCs w:val="18"/>
                <w:lang w:eastAsia="en-GB"/>
              </w:rPr>
              <w:t>Training Participants (n=13)</w:t>
            </w:r>
          </w:p>
        </w:tc>
        <w:tc>
          <w:tcPr>
            <w:tcW w:w="1062" w:type="dxa"/>
            <w:vMerge w:val="restart"/>
            <w:tcBorders>
              <w:top w:val="nil"/>
              <w:left w:val="nil"/>
              <w:right w:val="single" w:sz="4" w:space="0" w:color="auto"/>
            </w:tcBorders>
            <w:shd w:val="clear" w:color="000000" w:fill="F2F2F2"/>
            <w:vAlign w:val="center"/>
            <w:hideMark/>
          </w:tcPr>
          <w:p w14:paraId="4F065699" w14:textId="6F915E03" w:rsidR="006A0DEF" w:rsidRPr="005B4804" w:rsidRDefault="006A0DEF" w:rsidP="000F4EA3">
            <w:pPr>
              <w:spacing w:after="0" w:line="240" w:lineRule="auto"/>
              <w:rPr>
                <w:rFonts w:ascii="Calibri" w:eastAsia="Times New Roman" w:hAnsi="Calibri" w:cs="Calibri"/>
                <w:i/>
                <w:iCs/>
                <w:color w:val="000000"/>
                <w:sz w:val="18"/>
                <w:szCs w:val="18"/>
                <w:lang w:eastAsia="en-GB"/>
              </w:rPr>
            </w:pPr>
            <w:r w:rsidRPr="005B4804">
              <w:rPr>
                <w:rFonts w:ascii="Calibri" w:eastAsia="Times New Roman" w:hAnsi="Calibri" w:cs="Calibri"/>
                <w:i/>
                <w:iCs/>
                <w:color w:val="000000"/>
                <w:sz w:val="18"/>
                <w:szCs w:val="18"/>
                <w:lang w:eastAsia="en-GB"/>
              </w:rPr>
              <w:t>Question / component mean score</w:t>
            </w:r>
            <w:r>
              <w:rPr>
                <w:rFonts w:ascii="Calibri" w:eastAsia="Times New Roman" w:hAnsi="Calibri" w:cs="Calibri"/>
                <w:i/>
                <w:iCs/>
                <w:color w:val="000000"/>
                <w:sz w:val="18"/>
                <w:szCs w:val="18"/>
                <w:lang w:eastAsia="en-GB"/>
              </w:rPr>
              <w:t>, SD, range.</w:t>
            </w:r>
          </w:p>
        </w:tc>
        <w:tc>
          <w:tcPr>
            <w:tcW w:w="630" w:type="dxa"/>
            <w:tcBorders>
              <w:top w:val="single" w:sz="4" w:space="0" w:color="auto"/>
              <w:left w:val="single" w:sz="4" w:space="0" w:color="auto"/>
              <w:right w:val="single" w:sz="4" w:space="0" w:color="auto"/>
            </w:tcBorders>
            <w:shd w:val="clear" w:color="000000" w:fill="F5FBFE"/>
            <w:noWrap/>
            <w:vAlign w:val="center"/>
            <w:hideMark/>
          </w:tcPr>
          <w:p w14:paraId="413518E7" w14:textId="77777777" w:rsidR="006A0DEF" w:rsidRPr="000F4EA3" w:rsidRDefault="006A0DEF"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2.9</w:t>
            </w:r>
          </w:p>
        </w:tc>
        <w:tc>
          <w:tcPr>
            <w:tcW w:w="630" w:type="dxa"/>
            <w:tcBorders>
              <w:top w:val="single" w:sz="4" w:space="0" w:color="auto"/>
              <w:left w:val="nil"/>
              <w:right w:val="nil"/>
            </w:tcBorders>
            <w:shd w:val="clear" w:color="000000" w:fill="D7F2FC"/>
            <w:noWrap/>
            <w:vAlign w:val="center"/>
            <w:hideMark/>
          </w:tcPr>
          <w:p w14:paraId="2D093048" w14:textId="77777777" w:rsidR="006A0DEF" w:rsidRPr="000F4EA3" w:rsidRDefault="006A0DEF"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2.7</w:t>
            </w:r>
          </w:p>
        </w:tc>
        <w:tc>
          <w:tcPr>
            <w:tcW w:w="630" w:type="dxa"/>
            <w:tcBorders>
              <w:top w:val="single" w:sz="4" w:space="0" w:color="auto"/>
              <w:left w:val="single" w:sz="4" w:space="0" w:color="auto"/>
              <w:right w:val="single" w:sz="4" w:space="0" w:color="auto"/>
            </w:tcBorders>
            <w:shd w:val="clear" w:color="000000" w:fill="27BCF2"/>
            <w:noWrap/>
            <w:vAlign w:val="center"/>
            <w:hideMark/>
          </w:tcPr>
          <w:p w14:paraId="548E163E" w14:textId="77777777" w:rsidR="006A0DEF" w:rsidRPr="000F4EA3" w:rsidRDefault="006A0DEF"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1.3</w:t>
            </w:r>
          </w:p>
        </w:tc>
        <w:tc>
          <w:tcPr>
            <w:tcW w:w="630" w:type="dxa"/>
            <w:tcBorders>
              <w:top w:val="single" w:sz="4" w:space="0" w:color="auto"/>
              <w:left w:val="single" w:sz="4" w:space="0" w:color="auto"/>
              <w:right w:val="single" w:sz="4" w:space="0" w:color="auto"/>
            </w:tcBorders>
            <w:shd w:val="clear" w:color="000000" w:fill="44C5F4"/>
            <w:noWrap/>
            <w:vAlign w:val="center"/>
            <w:hideMark/>
          </w:tcPr>
          <w:p w14:paraId="69F82B6D" w14:textId="77777777" w:rsidR="006A0DEF" w:rsidRPr="000F4EA3" w:rsidRDefault="006A0DEF"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1.5</w:t>
            </w:r>
          </w:p>
        </w:tc>
        <w:tc>
          <w:tcPr>
            <w:tcW w:w="750" w:type="dxa"/>
            <w:tcBorders>
              <w:top w:val="single" w:sz="4" w:space="0" w:color="auto"/>
              <w:left w:val="single" w:sz="4" w:space="0" w:color="auto"/>
              <w:right w:val="single" w:sz="4" w:space="0" w:color="auto"/>
            </w:tcBorders>
            <w:shd w:val="clear" w:color="000000" w:fill="1DB9F1"/>
            <w:noWrap/>
            <w:vAlign w:val="center"/>
            <w:hideMark/>
          </w:tcPr>
          <w:p w14:paraId="70A6EBCE" w14:textId="77777777" w:rsidR="006A0DEF" w:rsidRPr="000F4EA3" w:rsidRDefault="006A0DEF"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1.2</w:t>
            </w:r>
          </w:p>
        </w:tc>
        <w:tc>
          <w:tcPr>
            <w:tcW w:w="750" w:type="dxa"/>
            <w:tcBorders>
              <w:top w:val="single" w:sz="4" w:space="0" w:color="auto"/>
              <w:left w:val="single" w:sz="4" w:space="0" w:color="auto"/>
              <w:right w:val="single" w:sz="4" w:space="0" w:color="auto"/>
            </w:tcBorders>
            <w:shd w:val="clear" w:color="000000" w:fill="44C5F4"/>
            <w:noWrap/>
            <w:vAlign w:val="center"/>
            <w:hideMark/>
          </w:tcPr>
          <w:p w14:paraId="4EB13DAA" w14:textId="77777777" w:rsidR="006A0DEF" w:rsidRPr="000F4EA3" w:rsidRDefault="006A0DEF"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1.5</w:t>
            </w:r>
          </w:p>
        </w:tc>
        <w:tc>
          <w:tcPr>
            <w:tcW w:w="750" w:type="dxa"/>
            <w:tcBorders>
              <w:top w:val="single" w:sz="4" w:space="0" w:color="auto"/>
              <w:left w:val="single" w:sz="4" w:space="0" w:color="auto"/>
              <w:right w:val="single" w:sz="4" w:space="0" w:color="auto"/>
            </w:tcBorders>
            <w:shd w:val="clear" w:color="000000" w:fill="1DB9F1"/>
            <w:noWrap/>
            <w:vAlign w:val="center"/>
            <w:hideMark/>
          </w:tcPr>
          <w:p w14:paraId="0097781B" w14:textId="77777777" w:rsidR="006A0DEF" w:rsidRPr="000F4EA3" w:rsidRDefault="006A0DEF"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1.2</w:t>
            </w:r>
          </w:p>
        </w:tc>
        <w:tc>
          <w:tcPr>
            <w:tcW w:w="755" w:type="dxa"/>
            <w:tcBorders>
              <w:top w:val="single" w:sz="4" w:space="0" w:color="auto"/>
              <w:left w:val="nil"/>
              <w:right w:val="single" w:sz="4" w:space="0" w:color="auto"/>
            </w:tcBorders>
            <w:shd w:val="clear" w:color="000000" w:fill="44C5F4"/>
            <w:noWrap/>
            <w:vAlign w:val="center"/>
            <w:hideMark/>
          </w:tcPr>
          <w:p w14:paraId="4DE75303" w14:textId="77777777" w:rsidR="006A0DEF" w:rsidRPr="000F4EA3" w:rsidRDefault="006A0DEF"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1.5</w:t>
            </w:r>
          </w:p>
        </w:tc>
      </w:tr>
      <w:tr w:rsidR="00BC2885" w:rsidRPr="005B4804" w14:paraId="166B3002" w14:textId="77777777" w:rsidTr="000F4EA3">
        <w:trPr>
          <w:trHeight w:val="80"/>
          <w:jc w:val="center"/>
        </w:trPr>
        <w:tc>
          <w:tcPr>
            <w:tcW w:w="1188" w:type="dxa"/>
            <w:vMerge/>
            <w:tcBorders>
              <w:left w:val="single" w:sz="4" w:space="0" w:color="auto"/>
              <w:right w:val="single" w:sz="4" w:space="0" w:color="auto"/>
            </w:tcBorders>
            <w:shd w:val="clear" w:color="000000" w:fill="D9D9D9"/>
            <w:vAlign w:val="center"/>
          </w:tcPr>
          <w:p w14:paraId="6BCD56BE" w14:textId="77777777" w:rsidR="00BC2885" w:rsidRPr="005B4804" w:rsidRDefault="00BC2885" w:rsidP="00BC2885">
            <w:pPr>
              <w:spacing w:after="0" w:line="240" w:lineRule="auto"/>
              <w:rPr>
                <w:rFonts w:ascii="Calibri" w:eastAsia="Times New Roman" w:hAnsi="Calibri" w:cs="Calibri"/>
                <w:b/>
                <w:bCs/>
                <w:color w:val="000000"/>
                <w:sz w:val="18"/>
                <w:szCs w:val="18"/>
                <w:lang w:eastAsia="en-GB"/>
              </w:rPr>
            </w:pPr>
          </w:p>
        </w:tc>
        <w:tc>
          <w:tcPr>
            <w:tcW w:w="1062" w:type="dxa"/>
            <w:vMerge/>
            <w:tcBorders>
              <w:left w:val="nil"/>
              <w:right w:val="single" w:sz="4" w:space="0" w:color="auto"/>
            </w:tcBorders>
            <w:shd w:val="clear" w:color="000000" w:fill="F2F2F2"/>
            <w:vAlign w:val="bottom"/>
          </w:tcPr>
          <w:p w14:paraId="3F85B62E" w14:textId="77777777" w:rsidR="00BC2885" w:rsidRPr="005B4804" w:rsidRDefault="00BC2885" w:rsidP="00BC2885">
            <w:pPr>
              <w:spacing w:after="0" w:line="240" w:lineRule="auto"/>
              <w:rPr>
                <w:rFonts w:ascii="Calibri" w:eastAsia="Times New Roman" w:hAnsi="Calibri" w:cs="Calibri"/>
                <w:i/>
                <w:iCs/>
                <w:color w:val="000000"/>
                <w:sz w:val="18"/>
                <w:szCs w:val="18"/>
                <w:lang w:eastAsia="en-GB"/>
              </w:rPr>
            </w:pPr>
          </w:p>
        </w:tc>
        <w:tc>
          <w:tcPr>
            <w:tcW w:w="630" w:type="dxa"/>
            <w:tcBorders>
              <w:left w:val="single" w:sz="4" w:space="0" w:color="auto"/>
              <w:right w:val="single" w:sz="4" w:space="0" w:color="auto"/>
            </w:tcBorders>
            <w:shd w:val="clear" w:color="000000" w:fill="F5FBFE"/>
            <w:noWrap/>
          </w:tcPr>
          <w:p w14:paraId="07AACB2C" w14:textId="6DEEA0D1" w:rsidR="00BC2885" w:rsidRPr="000F4EA3" w:rsidRDefault="00BC2885" w:rsidP="000F4EA3">
            <w:pPr>
              <w:spacing w:after="0" w:line="240" w:lineRule="auto"/>
              <w:jc w:val="center"/>
              <w:rPr>
                <w:rFonts w:ascii="Calibri" w:eastAsia="Times New Roman" w:hAnsi="Calibri" w:cs="Calibri"/>
                <w:i/>
                <w:color w:val="000000"/>
                <w:sz w:val="16"/>
                <w:szCs w:val="16"/>
                <w:lang w:eastAsia="en-GB"/>
              </w:rPr>
            </w:pPr>
            <w:r w:rsidRPr="000F4EA3">
              <w:rPr>
                <w:i/>
                <w:sz w:val="16"/>
                <w:szCs w:val="16"/>
              </w:rPr>
              <w:t>1.44</w:t>
            </w:r>
          </w:p>
        </w:tc>
        <w:tc>
          <w:tcPr>
            <w:tcW w:w="630" w:type="dxa"/>
            <w:tcBorders>
              <w:left w:val="nil"/>
              <w:right w:val="nil"/>
            </w:tcBorders>
            <w:shd w:val="clear" w:color="000000" w:fill="D7F2FC"/>
            <w:noWrap/>
          </w:tcPr>
          <w:p w14:paraId="3E40FCE6" w14:textId="69D918E9" w:rsidR="00BC2885" w:rsidRPr="000F4EA3" w:rsidRDefault="00BC2885" w:rsidP="000F4EA3">
            <w:pPr>
              <w:spacing w:after="0" w:line="240" w:lineRule="auto"/>
              <w:jc w:val="center"/>
              <w:rPr>
                <w:rFonts w:ascii="Calibri" w:eastAsia="Times New Roman" w:hAnsi="Calibri" w:cs="Calibri"/>
                <w:i/>
                <w:color w:val="000000"/>
                <w:sz w:val="16"/>
                <w:szCs w:val="16"/>
                <w:lang w:eastAsia="en-GB"/>
              </w:rPr>
            </w:pPr>
            <w:r w:rsidRPr="000F4EA3">
              <w:rPr>
                <w:i/>
                <w:sz w:val="16"/>
                <w:szCs w:val="16"/>
              </w:rPr>
              <w:t>0.85</w:t>
            </w:r>
          </w:p>
        </w:tc>
        <w:tc>
          <w:tcPr>
            <w:tcW w:w="630" w:type="dxa"/>
            <w:tcBorders>
              <w:left w:val="single" w:sz="4" w:space="0" w:color="auto"/>
              <w:right w:val="single" w:sz="4" w:space="0" w:color="auto"/>
            </w:tcBorders>
            <w:shd w:val="clear" w:color="000000" w:fill="27BCF2"/>
            <w:noWrap/>
          </w:tcPr>
          <w:p w14:paraId="5E32D9F2" w14:textId="5EABDC79" w:rsidR="00BC2885" w:rsidRPr="000F4EA3" w:rsidRDefault="00BC2885" w:rsidP="000F4EA3">
            <w:pPr>
              <w:spacing w:after="0" w:line="240" w:lineRule="auto"/>
              <w:jc w:val="center"/>
              <w:rPr>
                <w:rFonts w:ascii="Calibri" w:eastAsia="Times New Roman" w:hAnsi="Calibri" w:cs="Calibri"/>
                <w:i/>
                <w:color w:val="000000"/>
                <w:sz w:val="16"/>
                <w:szCs w:val="16"/>
                <w:lang w:eastAsia="en-GB"/>
              </w:rPr>
            </w:pPr>
            <w:r w:rsidRPr="000F4EA3">
              <w:rPr>
                <w:i/>
                <w:sz w:val="16"/>
                <w:szCs w:val="16"/>
              </w:rPr>
              <w:t>0.48</w:t>
            </w:r>
          </w:p>
        </w:tc>
        <w:tc>
          <w:tcPr>
            <w:tcW w:w="630" w:type="dxa"/>
            <w:tcBorders>
              <w:left w:val="single" w:sz="4" w:space="0" w:color="auto"/>
              <w:right w:val="single" w:sz="4" w:space="0" w:color="auto"/>
            </w:tcBorders>
            <w:shd w:val="clear" w:color="000000" w:fill="44C5F4"/>
            <w:noWrap/>
          </w:tcPr>
          <w:p w14:paraId="5FE00350" w14:textId="6BFB6CE5" w:rsidR="00BC2885" w:rsidRPr="000F4EA3" w:rsidRDefault="00BC2885" w:rsidP="000F4EA3">
            <w:pPr>
              <w:spacing w:after="0" w:line="240" w:lineRule="auto"/>
              <w:jc w:val="center"/>
              <w:rPr>
                <w:rFonts w:ascii="Calibri" w:eastAsia="Times New Roman" w:hAnsi="Calibri" w:cs="Calibri"/>
                <w:i/>
                <w:color w:val="000000"/>
                <w:sz w:val="16"/>
                <w:szCs w:val="16"/>
                <w:lang w:eastAsia="en-GB"/>
              </w:rPr>
            </w:pPr>
            <w:r w:rsidRPr="000F4EA3">
              <w:rPr>
                <w:i/>
                <w:sz w:val="16"/>
                <w:szCs w:val="16"/>
              </w:rPr>
              <w:t>0.52</w:t>
            </w:r>
          </w:p>
        </w:tc>
        <w:tc>
          <w:tcPr>
            <w:tcW w:w="750" w:type="dxa"/>
            <w:tcBorders>
              <w:left w:val="single" w:sz="4" w:space="0" w:color="auto"/>
              <w:right w:val="single" w:sz="4" w:space="0" w:color="auto"/>
            </w:tcBorders>
            <w:shd w:val="clear" w:color="000000" w:fill="1DB9F1"/>
            <w:noWrap/>
          </w:tcPr>
          <w:p w14:paraId="2FEBEB35" w14:textId="7B904EB6" w:rsidR="00BC2885" w:rsidRPr="000F4EA3" w:rsidRDefault="00BC2885" w:rsidP="000F4EA3">
            <w:pPr>
              <w:spacing w:after="0" w:line="240" w:lineRule="auto"/>
              <w:jc w:val="center"/>
              <w:rPr>
                <w:rFonts w:ascii="Calibri" w:eastAsia="Times New Roman" w:hAnsi="Calibri" w:cs="Calibri"/>
                <w:i/>
                <w:color w:val="000000"/>
                <w:sz w:val="16"/>
                <w:szCs w:val="16"/>
                <w:lang w:eastAsia="en-GB"/>
              </w:rPr>
            </w:pPr>
            <w:r w:rsidRPr="000F4EA3">
              <w:rPr>
                <w:i/>
                <w:sz w:val="16"/>
                <w:szCs w:val="16"/>
              </w:rPr>
              <w:t>0.44</w:t>
            </w:r>
          </w:p>
        </w:tc>
        <w:tc>
          <w:tcPr>
            <w:tcW w:w="750" w:type="dxa"/>
            <w:tcBorders>
              <w:left w:val="single" w:sz="4" w:space="0" w:color="auto"/>
              <w:right w:val="single" w:sz="4" w:space="0" w:color="auto"/>
            </w:tcBorders>
            <w:shd w:val="clear" w:color="000000" w:fill="44C5F4"/>
            <w:noWrap/>
          </w:tcPr>
          <w:p w14:paraId="08AB0D40" w14:textId="2F3ED2C9" w:rsidR="00BC2885" w:rsidRPr="000F4EA3" w:rsidRDefault="00BC2885" w:rsidP="000F4EA3">
            <w:pPr>
              <w:spacing w:after="0" w:line="240" w:lineRule="auto"/>
              <w:jc w:val="center"/>
              <w:rPr>
                <w:rFonts w:ascii="Calibri" w:eastAsia="Times New Roman" w:hAnsi="Calibri" w:cs="Calibri"/>
                <w:i/>
                <w:color w:val="000000"/>
                <w:sz w:val="16"/>
                <w:szCs w:val="16"/>
                <w:lang w:eastAsia="en-GB"/>
              </w:rPr>
            </w:pPr>
            <w:r w:rsidRPr="000F4EA3">
              <w:rPr>
                <w:i/>
                <w:sz w:val="16"/>
                <w:szCs w:val="16"/>
              </w:rPr>
              <w:t>0.66</w:t>
            </w:r>
          </w:p>
        </w:tc>
        <w:tc>
          <w:tcPr>
            <w:tcW w:w="750" w:type="dxa"/>
            <w:tcBorders>
              <w:left w:val="single" w:sz="4" w:space="0" w:color="auto"/>
              <w:right w:val="single" w:sz="4" w:space="0" w:color="auto"/>
            </w:tcBorders>
            <w:shd w:val="clear" w:color="000000" w:fill="1DB9F1"/>
            <w:noWrap/>
          </w:tcPr>
          <w:p w14:paraId="2527FE2F" w14:textId="01D16547" w:rsidR="00BC2885" w:rsidRPr="000F4EA3" w:rsidRDefault="00BC2885" w:rsidP="000F4EA3">
            <w:pPr>
              <w:spacing w:after="0" w:line="240" w:lineRule="auto"/>
              <w:jc w:val="center"/>
              <w:rPr>
                <w:rFonts w:ascii="Calibri" w:eastAsia="Times New Roman" w:hAnsi="Calibri" w:cs="Calibri"/>
                <w:i/>
                <w:color w:val="000000"/>
                <w:sz w:val="16"/>
                <w:szCs w:val="16"/>
                <w:lang w:eastAsia="en-GB"/>
              </w:rPr>
            </w:pPr>
            <w:r w:rsidRPr="000F4EA3">
              <w:rPr>
                <w:i/>
                <w:sz w:val="16"/>
                <w:szCs w:val="16"/>
              </w:rPr>
              <w:t>0.44</w:t>
            </w:r>
          </w:p>
        </w:tc>
        <w:tc>
          <w:tcPr>
            <w:tcW w:w="755" w:type="dxa"/>
            <w:tcBorders>
              <w:left w:val="nil"/>
              <w:right w:val="single" w:sz="4" w:space="0" w:color="auto"/>
            </w:tcBorders>
            <w:shd w:val="clear" w:color="000000" w:fill="44C5F4"/>
            <w:noWrap/>
          </w:tcPr>
          <w:p w14:paraId="0A4F11D1" w14:textId="4BAB5743" w:rsidR="00BC2885" w:rsidRPr="000F4EA3" w:rsidRDefault="00BC2885" w:rsidP="000F4EA3">
            <w:pPr>
              <w:spacing w:after="0" w:line="240" w:lineRule="auto"/>
              <w:jc w:val="center"/>
              <w:rPr>
                <w:rFonts w:ascii="Calibri" w:eastAsia="Times New Roman" w:hAnsi="Calibri" w:cs="Calibri"/>
                <w:i/>
                <w:color w:val="000000"/>
                <w:sz w:val="16"/>
                <w:szCs w:val="16"/>
                <w:lang w:eastAsia="en-GB"/>
              </w:rPr>
            </w:pPr>
            <w:r w:rsidRPr="000F4EA3">
              <w:rPr>
                <w:i/>
                <w:sz w:val="16"/>
                <w:szCs w:val="16"/>
              </w:rPr>
              <w:t>0.52</w:t>
            </w:r>
          </w:p>
        </w:tc>
      </w:tr>
      <w:tr w:rsidR="006A0DEF" w:rsidRPr="005B4804" w14:paraId="4C2CB382" w14:textId="77777777" w:rsidTr="006A0DEF">
        <w:trPr>
          <w:trHeight w:val="360"/>
          <w:jc w:val="center"/>
        </w:trPr>
        <w:tc>
          <w:tcPr>
            <w:tcW w:w="1188" w:type="dxa"/>
            <w:vMerge/>
            <w:tcBorders>
              <w:left w:val="single" w:sz="4" w:space="0" w:color="auto"/>
              <w:bottom w:val="nil"/>
              <w:right w:val="single" w:sz="4" w:space="0" w:color="auto"/>
            </w:tcBorders>
            <w:shd w:val="clear" w:color="000000" w:fill="D9D9D9"/>
            <w:vAlign w:val="center"/>
          </w:tcPr>
          <w:p w14:paraId="50FC4D74" w14:textId="77777777" w:rsidR="006A0DEF" w:rsidRPr="005B4804" w:rsidRDefault="006A0DEF" w:rsidP="006A0DEF">
            <w:pPr>
              <w:spacing w:after="0" w:line="240" w:lineRule="auto"/>
              <w:rPr>
                <w:rFonts w:ascii="Calibri" w:eastAsia="Times New Roman" w:hAnsi="Calibri" w:cs="Calibri"/>
                <w:b/>
                <w:bCs/>
                <w:color w:val="000000"/>
                <w:sz w:val="18"/>
                <w:szCs w:val="18"/>
                <w:lang w:eastAsia="en-GB"/>
              </w:rPr>
            </w:pPr>
          </w:p>
        </w:tc>
        <w:tc>
          <w:tcPr>
            <w:tcW w:w="1062" w:type="dxa"/>
            <w:vMerge/>
            <w:tcBorders>
              <w:left w:val="nil"/>
              <w:bottom w:val="nil"/>
              <w:right w:val="single" w:sz="4" w:space="0" w:color="auto"/>
            </w:tcBorders>
            <w:shd w:val="clear" w:color="000000" w:fill="F2F2F2"/>
            <w:vAlign w:val="bottom"/>
          </w:tcPr>
          <w:p w14:paraId="7A3439C6" w14:textId="77777777" w:rsidR="006A0DEF" w:rsidRPr="005B4804" w:rsidRDefault="006A0DEF" w:rsidP="006A0DEF">
            <w:pPr>
              <w:spacing w:after="0" w:line="240" w:lineRule="auto"/>
              <w:rPr>
                <w:rFonts w:ascii="Calibri" w:eastAsia="Times New Roman" w:hAnsi="Calibri" w:cs="Calibri"/>
                <w:i/>
                <w:iCs/>
                <w:color w:val="000000"/>
                <w:sz w:val="18"/>
                <w:szCs w:val="18"/>
                <w:lang w:eastAsia="en-GB"/>
              </w:rPr>
            </w:pPr>
          </w:p>
        </w:tc>
        <w:tc>
          <w:tcPr>
            <w:tcW w:w="630" w:type="dxa"/>
            <w:tcBorders>
              <w:left w:val="single" w:sz="4" w:space="0" w:color="auto"/>
              <w:bottom w:val="nil"/>
              <w:right w:val="single" w:sz="4" w:space="0" w:color="auto"/>
            </w:tcBorders>
            <w:shd w:val="clear" w:color="000000" w:fill="F5FBFE"/>
            <w:noWrap/>
            <w:vAlign w:val="bottom"/>
          </w:tcPr>
          <w:p w14:paraId="40994A94" w14:textId="5EA9E81E" w:rsidR="006A0DEF" w:rsidRPr="000F4EA3" w:rsidRDefault="006A0DEF" w:rsidP="000F4EA3">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2 - 5</w:t>
            </w:r>
          </w:p>
        </w:tc>
        <w:tc>
          <w:tcPr>
            <w:tcW w:w="630" w:type="dxa"/>
            <w:tcBorders>
              <w:left w:val="nil"/>
              <w:bottom w:val="nil"/>
              <w:right w:val="nil"/>
            </w:tcBorders>
            <w:shd w:val="clear" w:color="000000" w:fill="D7F2FC"/>
            <w:noWrap/>
            <w:vAlign w:val="bottom"/>
          </w:tcPr>
          <w:p w14:paraId="53CEEE19" w14:textId="5F43A3AF" w:rsidR="006A0DEF" w:rsidRPr="000F4EA3" w:rsidRDefault="006A0DEF" w:rsidP="000F4EA3">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2 - 5</w:t>
            </w:r>
          </w:p>
        </w:tc>
        <w:tc>
          <w:tcPr>
            <w:tcW w:w="630" w:type="dxa"/>
            <w:tcBorders>
              <w:left w:val="single" w:sz="4" w:space="0" w:color="auto"/>
              <w:bottom w:val="nil"/>
              <w:right w:val="single" w:sz="4" w:space="0" w:color="auto"/>
            </w:tcBorders>
            <w:shd w:val="clear" w:color="000000" w:fill="27BCF2"/>
            <w:noWrap/>
            <w:vAlign w:val="bottom"/>
          </w:tcPr>
          <w:p w14:paraId="44912939" w14:textId="202A984F" w:rsidR="006A0DEF" w:rsidRPr="000F4EA3" w:rsidRDefault="006A0DEF" w:rsidP="000F4EA3">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1 - 4</w:t>
            </w:r>
          </w:p>
        </w:tc>
        <w:tc>
          <w:tcPr>
            <w:tcW w:w="630" w:type="dxa"/>
            <w:tcBorders>
              <w:left w:val="single" w:sz="4" w:space="0" w:color="auto"/>
              <w:bottom w:val="nil"/>
              <w:right w:val="single" w:sz="4" w:space="0" w:color="auto"/>
            </w:tcBorders>
            <w:shd w:val="clear" w:color="000000" w:fill="44C5F4"/>
            <w:noWrap/>
            <w:vAlign w:val="bottom"/>
          </w:tcPr>
          <w:p w14:paraId="0FE73804" w14:textId="3422DE83" w:rsidR="006A0DEF" w:rsidRPr="000F4EA3" w:rsidRDefault="006A0DEF" w:rsidP="000F4EA3">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1 - 4</w:t>
            </w:r>
          </w:p>
        </w:tc>
        <w:tc>
          <w:tcPr>
            <w:tcW w:w="750" w:type="dxa"/>
            <w:tcBorders>
              <w:left w:val="single" w:sz="4" w:space="0" w:color="auto"/>
              <w:bottom w:val="nil"/>
              <w:right w:val="single" w:sz="4" w:space="0" w:color="auto"/>
            </w:tcBorders>
            <w:shd w:val="clear" w:color="000000" w:fill="1DB9F1"/>
            <w:noWrap/>
            <w:vAlign w:val="bottom"/>
          </w:tcPr>
          <w:p w14:paraId="345CAFCB" w14:textId="14281087" w:rsidR="006A0DEF" w:rsidRPr="000F4EA3" w:rsidRDefault="006A0DEF" w:rsidP="000F4EA3">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1 - 3</w:t>
            </w:r>
          </w:p>
        </w:tc>
        <w:tc>
          <w:tcPr>
            <w:tcW w:w="750" w:type="dxa"/>
            <w:tcBorders>
              <w:left w:val="single" w:sz="4" w:space="0" w:color="auto"/>
              <w:bottom w:val="nil"/>
              <w:right w:val="single" w:sz="4" w:space="0" w:color="auto"/>
            </w:tcBorders>
            <w:shd w:val="clear" w:color="000000" w:fill="44C5F4"/>
            <w:noWrap/>
            <w:vAlign w:val="bottom"/>
          </w:tcPr>
          <w:p w14:paraId="62D0DD61" w14:textId="33590757" w:rsidR="006A0DEF" w:rsidRPr="000F4EA3" w:rsidRDefault="006A0DEF" w:rsidP="000F4EA3">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2 - 2</w:t>
            </w:r>
          </w:p>
        </w:tc>
        <w:tc>
          <w:tcPr>
            <w:tcW w:w="750" w:type="dxa"/>
            <w:tcBorders>
              <w:left w:val="single" w:sz="4" w:space="0" w:color="auto"/>
              <w:bottom w:val="nil"/>
              <w:right w:val="single" w:sz="4" w:space="0" w:color="auto"/>
            </w:tcBorders>
            <w:shd w:val="clear" w:color="000000" w:fill="1DB9F1"/>
            <w:noWrap/>
            <w:vAlign w:val="bottom"/>
          </w:tcPr>
          <w:p w14:paraId="01C9BBE4" w14:textId="0C941C42" w:rsidR="006A0DEF" w:rsidRPr="000F4EA3" w:rsidRDefault="006A0DEF" w:rsidP="000F4EA3">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1 - 3</w:t>
            </w:r>
          </w:p>
        </w:tc>
        <w:tc>
          <w:tcPr>
            <w:tcW w:w="755" w:type="dxa"/>
            <w:tcBorders>
              <w:left w:val="nil"/>
              <w:bottom w:val="nil"/>
              <w:right w:val="single" w:sz="4" w:space="0" w:color="auto"/>
            </w:tcBorders>
            <w:shd w:val="clear" w:color="000000" w:fill="44C5F4"/>
            <w:noWrap/>
            <w:vAlign w:val="bottom"/>
          </w:tcPr>
          <w:p w14:paraId="3339D1A7" w14:textId="6900D2D4" w:rsidR="006A0DEF" w:rsidRPr="000F4EA3" w:rsidRDefault="006A0DEF" w:rsidP="000F4EA3">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1 - 3</w:t>
            </w:r>
          </w:p>
        </w:tc>
      </w:tr>
      <w:tr w:rsidR="006A0DEF" w:rsidRPr="005B4804" w14:paraId="7FCF48C5" w14:textId="77777777" w:rsidTr="000F4EA3">
        <w:trPr>
          <w:trHeight w:val="563"/>
          <w:jc w:val="center"/>
        </w:trPr>
        <w:tc>
          <w:tcPr>
            <w:tcW w:w="1188" w:type="dxa"/>
            <w:vMerge w:val="restart"/>
            <w:tcBorders>
              <w:top w:val="single" w:sz="4" w:space="0" w:color="auto"/>
              <w:left w:val="single" w:sz="4" w:space="0" w:color="auto"/>
              <w:right w:val="single" w:sz="4" w:space="0" w:color="auto"/>
            </w:tcBorders>
            <w:shd w:val="clear" w:color="000000" w:fill="D9D9D9"/>
            <w:vAlign w:val="center"/>
            <w:hideMark/>
          </w:tcPr>
          <w:p w14:paraId="4AB271E3" w14:textId="77777777" w:rsidR="006A0DEF" w:rsidRPr="005B4804" w:rsidRDefault="006A0DEF" w:rsidP="00445689">
            <w:pPr>
              <w:spacing w:after="0" w:line="240" w:lineRule="auto"/>
              <w:rPr>
                <w:rFonts w:ascii="Calibri" w:eastAsia="Times New Roman" w:hAnsi="Calibri" w:cs="Calibri"/>
                <w:b/>
                <w:bCs/>
                <w:color w:val="000000"/>
                <w:sz w:val="18"/>
                <w:szCs w:val="18"/>
                <w:lang w:eastAsia="en-GB"/>
              </w:rPr>
            </w:pPr>
            <w:r w:rsidRPr="005B4804">
              <w:rPr>
                <w:rFonts w:ascii="Calibri" w:eastAsia="Times New Roman" w:hAnsi="Calibri" w:cs="Calibri"/>
                <w:b/>
                <w:bCs/>
                <w:color w:val="000000"/>
                <w:sz w:val="18"/>
                <w:szCs w:val="18"/>
                <w:lang w:eastAsia="en-GB"/>
              </w:rPr>
              <w:t>Non-training participants (n=19)</w:t>
            </w:r>
          </w:p>
        </w:tc>
        <w:tc>
          <w:tcPr>
            <w:tcW w:w="1062" w:type="dxa"/>
            <w:vMerge w:val="restart"/>
            <w:tcBorders>
              <w:top w:val="single" w:sz="4" w:space="0" w:color="auto"/>
              <w:left w:val="nil"/>
              <w:right w:val="single" w:sz="4" w:space="0" w:color="auto"/>
            </w:tcBorders>
            <w:shd w:val="clear" w:color="000000" w:fill="F2F2F2"/>
            <w:vAlign w:val="center"/>
            <w:hideMark/>
          </w:tcPr>
          <w:p w14:paraId="3AC7E8AF" w14:textId="110E2BD0" w:rsidR="006A0DEF" w:rsidRPr="005B4804" w:rsidRDefault="006A0DEF" w:rsidP="000F4EA3">
            <w:pPr>
              <w:spacing w:after="0" w:line="240" w:lineRule="auto"/>
              <w:rPr>
                <w:rFonts w:ascii="Calibri" w:eastAsia="Times New Roman" w:hAnsi="Calibri" w:cs="Calibri"/>
                <w:i/>
                <w:iCs/>
                <w:color w:val="000000"/>
                <w:sz w:val="18"/>
                <w:szCs w:val="18"/>
                <w:lang w:eastAsia="en-GB"/>
              </w:rPr>
            </w:pPr>
            <w:r w:rsidRPr="005B4804">
              <w:rPr>
                <w:rFonts w:ascii="Calibri" w:eastAsia="Times New Roman" w:hAnsi="Calibri" w:cs="Calibri"/>
                <w:i/>
                <w:iCs/>
                <w:color w:val="000000"/>
                <w:sz w:val="18"/>
                <w:szCs w:val="18"/>
                <w:lang w:eastAsia="en-GB"/>
              </w:rPr>
              <w:t>Question / component mean score</w:t>
            </w:r>
            <w:r>
              <w:rPr>
                <w:rFonts w:ascii="Calibri" w:eastAsia="Times New Roman" w:hAnsi="Calibri" w:cs="Calibri"/>
                <w:i/>
                <w:iCs/>
                <w:color w:val="000000"/>
                <w:sz w:val="18"/>
                <w:szCs w:val="18"/>
                <w:lang w:eastAsia="en-GB"/>
              </w:rPr>
              <w:t>, SD, range.</w:t>
            </w:r>
          </w:p>
        </w:tc>
        <w:tc>
          <w:tcPr>
            <w:tcW w:w="630" w:type="dxa"/>
            <w:tcBorders>
              <w:top w:val="single" w:sz="4" w:space="0" w:color="auto"/>
              <w:left w:val="single" w:sz="4" w:space="0" w:color="auto"/>
              <w:right w:val="single" w:sz="4" w:space="0" w:color="auto"/>
            </w:tcBorders>
            <w:shd w:val="clear" w:color="000000" w:fill="F1FAFE"/>
            <w:noWrap/>
            <w:vAlign w:val="center"/>
            <w:hideMark/>
          </w:tcPr>
          <w:p w14:paraId="22364589" w14:textId="77777777" w:rsidR="006A0DEF" w:rsidRPr="000F4EA3" w:rsidRDefault="006A0DEF"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2.9</w:t>
            </w:r>
          </w:p>
        </w:tc>
        <w:tc>
          <w:tcPr>
            <w:tcW w:w="630" w:type="dxa"/>
            <w:tcBorders>
              <w:top w:val="single" w:sz="4" w:space="0" w:color="auto"/>
              <w:left w:val="nil"/>
              <w:right w:val="nil"/>
            </w:tcBorders>
            <w:shd w:val="clear" w:color="000000" w:fill="DDF4FD"/>
            <w:noWrap/>
            <w:vAlign w:val="center"/>
            <w:hideMark/>
          </w:tcPr>
          <w:p w14:paraId="171668F2" w14:textId="77777777" w:rsidR="006A0DEF" w:rsidRPr="000F4EA3" w:rsidRDefault="006A0DEF"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2.7</w:t>
            </w:r>
          </w:p>
        </w:tc>
        <w:tc>
          <w:tcPr>
            <w:tcW w:w="630" w:type="dxa"/>
            <w:tcBorders>
              <w:top w:val="single" w:sz="4" w:space="0" w:color="auto"/>
              <w:left w:val="single" w:sz="4" w:space="0" w:color="auto"/>
              <w:right w:val="single" w:sz="4" w:space="0" w:color="auto"/>
            </w:tcBorders>
            <w:shd w:val="clear" w:color="000000" w:fill="5DCDF5"/>
            <w:noWrap/>
            <w:vAlign w:val="center"/>
            <w:hideMark/>
          </w:tcPr>
          <w:p w14:paraId="51C4CD07" w14:textId="77777777" w:rsidR="006A0DEF" w:rsidRPr="000F4EA3" w:rsidRDefault="006A0DEF"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1.7</w:t>
            </w:r>
          </w:p>
        </w:tc>
        <w:tc>
          <w:tcPr>
            <w:tcW w:w="630" w:type="dxa"/>
            <w:tcBorders>
              <w:top w:val="single" w:sz="4" w:space="0" w:color="auto"/>
              <w:left w:val="single" w:sz="4" w:space="0" w:color="auto"/>
              <w:right w:val="single" w:sz="4" w:space="0" w:color="auto"/>
            </w:tcBorders>
            <w:shd w:val="clear" w:color="000000" w:fill="5DCDF5"/>
            <w:noWrap/>
            <w:vAlign w:val="center"/>
            <w:hideMark/>
          </w:tcPr>
          <w:p w14:paraId="05FA5977" w14:textId="77777777" w:rsidR="006A0DEF" w:rsidRPr="000F4EA3" w:rsidRDefault="006A0DEF"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1.7</w:t>
            </w:r>
          </w:p>
        </w:tc>
        <w:tc>
          <w:tcPr>
            <w:tcW w:w="750" w:type="dxa"/>
            <w:tcBorders>
              <w:top w:val="single" w:sz="4" w:space="0" w:color="auto"/>
              <w:left w:val="single" w:sz="4" w:space="0" w:color="auto"/>
              <w:right w:val="single" w:sz="4" w:space="0" w:color="auto"/>
            </w:tcBorders>
            <w:shd w:val="clear" w:color="000000" w:fill="43C4F3"/>
            <w:noWrap/>
            <w:vAlign w:val="center"/>
            <w:hideMark/>
          </w:tcPr>
          <w:p w14:paraId="7046EE7D" w14:textId="77777777" w:rsidR="006A0DEF" w:rsidRPr="000F4EA3" w:rsidRDefault="006A0DEF"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1.5</w:t>
            </w:r>
          </w:p>
        </w:tc>
        <w:tc>
          <w:tcPr>
            <w:tcW w:w="750" w:type="dxa"/>
            <w:tcBorders>
              <w:top w:val="single" w:sz="4" w:space="0" w:color="auto"/>
              <w:left w:val="single" w:sz="4" w:space="0" w:color="auto"/>
              <w:right w:val="single" w:sz="4" w:space="0" w:color="auto"/>
            </w:tcBorders>
            <w:shd w:val="clear" w:color="000000" w:fill="50C8F4"/>
            <w:noWrap/>
            <w:vAlign w:val="center"/>
            <w:hideMark/>
          </w:tcPr>
          <w:p w14:paraId="6C381D74" w14:textId="77777777" w:rsidR="006A0DEF" w:rsidRPr="000F4EA3" w:rsidRDefault="006A0DEF"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1.6</w:t>
            </w:r>
          </w:p>
        </w:tc>
        <w:tc>
          <w:tcPr>
            <w:tcW w:w="750" w:type="dxa"/>
            <w:tcBorders>
              <w:top w:val="single" w:sz="4" w:space="0" w:color="auto"/>
              <w:left w:val="single" w:sz="4" w:space="0" w:color="auto"/>
              <w:right w:val="single" w:sz="4" w:space="0" w:color="auto"/>
            </w:tcBorders>
            <w:shd w:val="clear" w:color="000000" w:fill="43C4F3"/>
            <w:noWrap/>
            <w:vAlign w:val="center"/>
            <w:hideMark/>
          </w:tcPr>
          <w:p w14:paraId="3FCEE8A5" w14:textId="77777777" w:rsidR="006A0DEF" w:rsidRPr="000F4EA3" w:rsidRDefault="006A0DEF"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1.5</w:t>
            </w:r>
          </w:p>
        </w:tc>
        <w:tc>
          <w:tcPr>
            <w:tcW w:w="755" w:type="dxa"/>
            <w:tcBorders>
              <w:top w:val="single" w:sz="4" w:space="0" w:color="auto"/>
              <w:left w:val="nil"/>
              <w:right w:val="single" w:sz="4" w:space="0" w:color="auto"/>
            </w:tcBorders>
            <w:shd w:val="clear" w:color="000000" w:fill="50C8F4"/>
            <w:noWrap/>
            <w:vAlign w:val="center"/>
            <w:hideMark/>
          </w:tcPr>
          <w:p w14:paraId="7FBFE55E" w14:textId="77777777" w:rsidR="006A0DEF" w:rsidRPr="000F4EA3" w:rsidRDefault="006A0DEF"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1.6</w:t>
            </w:r>
          </w:p>
        </w:tc>
      </w:tr>
      <w:tr w:rsidR="00BE7241" w:rsidRPr="005B4804" w14:paraId="7BC49B70" w14:textId="77777777" w:rsidTr="000F4EA3">
        <w:trPr>
          <w:trHeight w:val="80"/>
          <w:jc w:val="center"/>
        </w:trPr>
        <w:tc>
          <w:tcPr>
            <w:tcW w:w="1188" w:type="dxa"/>
            <w:vMerge/>
            <w:tcBorders>
              <w:left w:val="single" w:sz="4" w:space="0" w:color="auto"/>
              <w:right w:val="single" w:sz="4" w:space="0" w:color="auto"/>
            </w:tcBorders>
            <w:shd w:val="clear" w:color="000000" w:fill="D9D9D9"/>
            <w:vAlign w:val="center"/>
          </w:tcPr>
          <w:p w14:paraId="7D5C2B17" w14:textId="77777777" w:rsidR="00BE7241" w:rsidRPr="005B4804" w:rsidRDefault="00BE7241" w:rsidP="00BE7241">
            <w:pPr>
              <w:spacing w:after="0" w:line="240" w:lineRule="auto"/>
              <w:rPr>
                <w:rFonts w:ascii="Calibri" w:eastAsia="Times New Roman" w:hAnsi="Calibri" w:cs="Calibri"/>
                <w:b/>
                <w:bCs/>
                <w:color w:val="000000"/>
                <w:sz w:val="18"/>
                <w:szCs w:val="18"/>
                <w:lang w:eastAsia="en-GB"/>
              </w:rPr>
            </w:pPr>
          </w:p>
        </w:tc>
        <w:tc>
          <w:tcPr>
            <w:tcW w:w="1062" w:type="dxa"/>
            <w:vMerge/>
            <w:tcBorders>
              <w:left w:val="nil"/>
              <w:right w:val="single" w:sz="4" w:space="0" w:color="auto"/>
            </w:tcBorders>
            <w:shd w:val="clear" w:color="000000" w:fill="F2F2F2"/>
            <w:vAlign w:val="bottom"/>
          </w:tcPr>
          <w:p w14:paraId="53EE05DE" w14:textId="77777777" w:rsidR="00BE7241" w:rsidRPr="005B4804" w:rsidRDefault="00BE7241" w:rsidP="000F4EA3">
            <w:pPr>
              <w:spacing w:after="0" w:line="240" w:lineRule="auto"/>
              <w:rPr>
                <w:rFonts w:ascii="Calibri" w:eastAsia="Times New Roman" w:hAnsi="Calibri" w:cs="Calibri"/>
                <w:i/>
                <w:iCs/>
                <w:color w:val="000000"/>
                <w:sz w:val="18"/>
                <w:szCs w:val="18"/>
                <w:lang w:eastAsia="en-GB"/>
              </w:rPr>
            </w:pPr>
          </w:p>
        </w:tc>
        <w:tc>
          <w:tcPr>
            <w:tcW w:w="630" w:type="dxa"/>
            <w:tcBorders>
              <w:left w:val="single" w:sz="4" w:space="0" w:color="auto"/>
              <w:right w:val="single" w:sz="4" w:space="0" w:color="auto"/>
            </w:tcBorders>
            <w:shd w:val="clear" w:color="000000" w:fill="F1FAFE"/>
            <w:noWrap/>
            <w:vAlign w:val="center"/>
          </w:tcPr>
          <w:p w14:paraId="6D6400DE" w14:textId="06020E94" w:rsidR="00BE7241" w:rsidRPr="000F4EA3" w:rsidRDefault="00BE7241" w:rsidP="000F4EA3">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0.94</w:t>
            </w:r>
          </w:p>
        </w:tc>
        <w:tc>
          <w:tcPr>
            <w:tcW w:w="630" w:type="dxa"/>
            <w:tcBorders>
              <w:left w:val="nil"/>
              <w:right w:val="nil"/>
            </w:tcBorders>
            <w:shd w:val="clear" w:color="000000" w:fill="DDF4FD"/>
            <w:noWrap/>
            <w:vAlign w:val="center"/>
          </w:tcPr>
          <w:p w14:paraId="30824214" w14:textId="17F5EFC0" w:rsidR="00BE7241" w:rsidRPr="000F4EA3" w:rsidRDefault="00BE7241" w:rsidP="000F4EA3">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0.93</w:t>
            </w:r>
          </w:p>
        </w:tc>
        <w:tc>
          <w:tcPr>
            <w:tcW w:w="630" w:type="dxa"/>
            <w:tcBorders>
              <w:left w:val="single" w:sz="4" w:space="0" w:color="auto"/>
              <w:right w:val="single" w:sz="4" w:space="0" w:color="auto"/>
            </w:tcBorders>
            <w:shd w:val="clear" w:color="000000" w:fill="5DCDF5"/>
            <w:noWrap/>
            <w:vAlign w:val="center"/>
          </w:tcPr>
          <w:p w14:paraId="102DD5CE" w14:textId="50FB6421" w:rsidR="00BE7241" w:rsidRPr="000F4EA3" w:rsidRDefault="00BE7241" w:rsidP="000F4EA3">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0.73</w:t>
            </w:r>
          </w:p>
        </w:tc>
        <w:tc>
          <w:tcPr>
            <w:tcW w:w="630" w:type="dxa"/>
            <w:tcBorders>
              <w:left w:val="single" w:sz="4" w:space="0" w:color="auto"/>
              <w:right w:val="single" w:sz="4" w:space="0" w:color="auto"/>
            </w:tcBorders>
            <w:shd w:val="clear" w:color="000000" w:fill="5DCDF5"/>
            <w:noWrap/>
            <w:vAlign w:val="center"/>
          </w:tcPr>
          <w:p w14:paraId="496FFFD3" w14:textId="573D157C" w:rsidR="00BE7241" w:rsidRPr="000F4EA3" w:rsidRDefault="00BE7241" w:rsidP="000F4EA3">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0.73</w:t>
            </w:r>
          </w:p>
        </w:tc>
        <w:tc>
          <w:tcPr>
            <w:tcW w:w="750" w:type="dxa"/>
            <w:tcBorders>
              <w:left w:val="single" w:sz="4" w:space="0" w:color="auto"/>
              <w:right w:val="single" w:sz="4" w:space="0" w:color="auto"/>
            </w:tcBorders>
            <w:shd w:val="clear" w:color="000000" w:fill="43C4F3"/>
            <w:noWrap/>
            <w:vAlign w:val="center"/>
          </w:tcPr>
          <w:p w14:paraId="68B62022" w14:textId="5D6E2B88" w:rsidR="00BE7241" w:rsidRPr="000F4EA3" w:rsidRDefault="00BE7241" w:rsidP="000F4EA3">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0.61</w:t>
            </w:r>
          </w:p>
        </w:tc>
        <w:tc>
          <w:tcPr>
            <w:tcW w:w="750" w:type="dxa"/>
            <w:tcBorders>
              <w:left w:val="single" w:sz="4" w:space="0" w:color="auto"/>
              <w:right w:val="single" w:sz="4" w:space="0" w:color="auto"/>
            </w:tcBorders>
            <w:shd w:val="clear" w:color="000000" w:fill="50C8F4"/>
            <w:noWrap/>
            <w:vAlign w:val="center"/>
          </w:tcPr>
          <w:p w14:paraId="2DFBBA6E" w14:textId="6688F96A" w:rsidR="00BE7241" w:rsidRPr="000F4EA3" w:rsidRDefault="00BE7241" w:rsidP="000F4EA3">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0.50</w:t>
            </w:r>
          </w:p>
        </w:tc>
        <w:tc>
          <w:tcPr>
            <w:tcW w:w="750" w:type="dxa"/>
            <w:tcBorders>
              <w:left w:val="single" w:sz="4" w:space="0" w:color="auto"/>
              <w:right w:val="single" w:sz="4" w:space="0" w:color="auto"/>
            </w:tcBorders>
            <w:shd w:val="clear" w:color="000000" w:fill="43C4F3"/>
            <w:noWrap/>
            <w:vAlign w:val="center"/>
          </w:tcPr>
          <w:p w14:paraId="2D2BCE07" w14:textId="2FD53EC3" w:rsidR="00BE7241" w:rsidRPr="000F4EA3" w:rsidRDefault="00BE7241" w:rsidP="000F4EA3">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0.61</w:t>
            </w:r>
          </w:p>
        </w:tc>
        <w:tc>
          <w:tcPr>
            <w:tcW w:w="755" w:type="dxa"/>
            <w:tcBorders>
              <w:left w:val="nil"/>
              <w:right w:val="single" w:sz="4" w:space="0" w:color="auto"/>
            </w:tcBorders>
            <w:shd w:val="clear" w:color="000000" w:fill="50C8F4"/>
            <w:noWrap/>
            <w:vAlign w:val="center"/>
          </w:tcPr>
          <w:p w14:paraId="048BA1A3" w14:textId="22D57DDB" w:rsidR="00BE7241" w:rsidRPr="000F4EA3" w:rsidRDefault="00BE7241" w:rsidP="000F4EA3">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0.60</w:t>
            </w:r>
          </w:p>
        </w:tc>
      </w:tr>
      <w:tr w:rsidR="00BE7241" w:rsidRPr="005B4804" w14:paraId="6D7C336C" w14:textId="77777777" w:rsidTr="000F4EA3">
        <w:trPr>
          <w:trHeight w:val="494"/>
          <w:jc w:val="center"/>
        </w:trPr>
        <w:tc>
          <w:tcPr>
            <w:tcW w:w="1188" w:type="dxa"/>
            <w:vMerge/>
            <w:tcBorders>
              <w:left w:val="single" w:sz="4" w:space="0" w:color="auto"/>
              <w:bottom w:val="single" w:sz="4" w:space="0" w:color="auto"/>
              <w:right w:val="single" w:sz="4" w:space="0" w:color="auto"/>
            </w:tcBorders>
            <w:shd w:val="clear" w:color="000000" w:fill="D9D9D9"/>
            <w:vAlign w:val="center"/>
          </w:tcPr>
          <w:p w14:paraId="007A80CA" w14:textId="77777777" w:rsidR="00BE7241" w:rsidRPr="005B4804" w:rsidRDefault="00BE7241" w:rsidP="00BE7241">
            <w:pPr>
              <w:spacing w:after="0" w:line="240" w:lineRule="auto"/>
              <w:rPr>
                <w:rFonts w:ascii="Calibri" w:eastAsia="Times New Roman" w:hAnsi="Calibri" w:cs="Calibri"/>
                <w:b/>
                <w:bCs/>
                <w:color w:val="000000"/>
                <w:sz w:val="18"/>
                <w:szCs w:val="18"/>
                <w:lang w:eastAsia="en-GB"/>
              </w:rPr>
            </w:pPr>
          </w:p>
        </w:tc>
        <w:tc>
          <w:tcPr>
            <w:tcW w:w="1062" w:type="dxa"/>
            <w:vMerge/>
            <w:tcBorders>
              <w:left w:val="nil"/>
              <w:bottom w:val="single" w:sz="4" w:space="0" w:color="auto"/>
              <w:right w:val="single" w:sz="4" w:space="0" w:color="auto"/>
            </w:tcBorders>
            <w:shd w:val="clear" w:color="000000" w:fill="F2F2F2"/>
            <w:vAlign w:val="bottom"/>
          </w:tcPr>
          <w:p w14:paraId="76AB6A18" w14:textId="77777777" w:rsidR="00BE7241" w:rsidRPr="005B4804" w:rsidRDefault="00BE7241" w:rsidP="00BE7241">
            <w:pPr>
              <w:spacing w:after="0" w:line="240" w:lineRule="auto"/>
              <w:rPr>
                <w:rFonts w:ascii="Calibri" w:eastAsia="Times New Roman" w:hAnsi="Calibri" w:cs="Calibri"/>
                <w:i/>
                <w:iCs/>
                <w:color w:val="000000"/>
                <w:sz w:val="18"/>
                <w:szCs w:val="18"/>
                <w:lang w:eastAsia="en-GB"/>
              </w:rPr>
            </w:pPr>
          </w:p>
        </w:tc>
        <w:tc>
          <w:tcPr>
            <w:tcW w:w="630" w:type="dxa"/>
            <w:tcBorders>
              <w:left w:val="single" w:sz="4" w:space="0" w:color="auto"/>
              <w:bottom w:val="single" w:sz="4" w:space="0" w:color="auto"/>
              <w:right w:val="single" w:sz="4" w:space="0" w:color="auto"/>
            </w:tcBorders>
            <w:shd w:val="clear" w:color="000000" w:fill="F1FAFE"/>
            <w:noWrap/>
            <w:vAlign w:val="center"/>
          </w:tcPr>
          <w:p w14:paraId="29121B13" w14:textId="1788A68D" w:rsidR="00BE7241" w:rsidRPr="000F4EA3" w:rsidRDefault="00BE7241" w:rsidP="000F4EA3">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1 - 5</w:t>
            </w:r>
          </w:p>
        </w:tc>
        <w:tc>
          <w:tcPr>
            <w:tcW w:w="630" w:type="dxa"/>
            <w:tcBorders>
              <w:left w:val="nil"/>
              <w:bottom w:val="single" w:sz="4" w:space="0" w:color="auto"/>
              <w:right w:val="nil"/>
            </w:tcBorders>
            <w:shd w:val="clear" w:color="000000" w:fill="DDF4FD"/>
            <w:noWrap/>
            <w:vAlign w:val="center"/>
          </w:tcPr>
          <w:p w14:paraId="36A56CC3" w14:textId="706A1D13" w:rsidR="00BE7241" w:rsidRPr="000F4EA3" w:rsidRDefault="00BE7241" w:rsidP="000F4EA3">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1 - 4</w:t>
            </w:r>
          </w:p>
        </w:tc>
        <w:tc>
          <w:tcPr>
            <w:tcW w:w="630" w:type="dxa"/>
            <w:tcBorders>
              <w:left w:val="single" w:sz="4" w:space="0" w:color="auto"/>
              <w:bottom w:val="single" w:sz="4" w:space="0" w:color="auto"/>
              <w:right w:val="single" w:sz="4" w:space="0" w:color="auto"/>
            </w:tcBorders>
            <w:shd w:val="clear" w:color="000000" w:fill="5DCDF5"/>
            <w:noWrap/>
            <w:vAlign w:val="center"/>
          </w:tcPr>
          <w:p w14:paraId="034A4BE9" w14:textId="31EA6866" w:rsidR="00BE7241" w:rsidRPr="000F4EA3" w:rsidRDefault="00BE7241" w:rsidP="000F4EA3">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1 - 2</w:t>
            </w:r>
          </w:p>
        </w:tc>
        <w:tc>
          <w:tcPr>
            <w:tcW w:w="630" w:type="dxa"/>
            <w:tcBorders>
              <w:left w:val="single" w:sz="4" w:space="0" w:color="auto"/>
              <w:bottom w:val="single" w:sz="4" w:space="0" w:color="auto"/>
              <w:right w:val="single" w:sz="4" w:space="0" w:color="auto"/>
            </w:tcBorders>
            <w:shd w:val="clear" w:color="000000" w:fill="5DCDF5"/>
            <w:noWrap/>
            <w:vAlign w:val="center"/>
          </w:tcPr>
          <w:p w14:paraId="544EDFAB" w14:textId="08B3ECB2" w:rsidR="00BE7241" w:rsidRPr="000F4EA3" w:rsidRDefault="00BE7241" w:rsidP="000F4EA3">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1 - 2</w:t>
            </w:r>
          </w:p>
        </w:tc>
        <w:tc>
          <w:tcPr>
            <w:tcW w:w="750" w:type="dxa"/>
            <w:tcBorders>
              <w:left w:val="single" w:sz="4" w:space="0" w:color="auto"/>
              <w:bottom w:val="single" w:sz="4" w:space="0" w:color="auto"/>
              <w:right w:val="single" w:sz="4" w:space="0" w:color="auto"/>
            </w:tcBorders>
            <w:shd w:val="clear" w:color="000000" w:fill="43C4F3"/>
            <w:noWrap/>
            <w:vAlign w:val="center"/>
          </w:tcPr>
          <w:p w14:paraId="70E77B89" w14:textId="798C21C2" w:rsidR="00BE7241" w:rsidRPr="000F4EA3" w:rsidRDefault="00BE7241" w:rsidP="000F4EA3">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1 - 2</w:t>
            </w:r>
          </w:p>
        </w:tc>
        <w:tc>
          <w:tcPr>
            <w:tcW w:w="750" w:type="dxa"/>
            <w:tcBorders>
              <w:left w:val="single" w:sz="4" w:space="0" w:color="auto"/>
              <w:bottom w:val="single" w:sz="4" w:space="0" w:color="auto"/>
              <w:right w:val="single" w:sz="4" w:space="0" w:color="auto"/>
            </w:tcBorders>
            <w:shd w:val="clear" w:color="000000" w:fill="50C8F4"/>
            <w:noWrap/>
            <w:vAlign w:val="center"/>
          </w:tcPr>
          <w:p w14:paraId="7B7B347F" w14:textId="0FF7F90E" w:rsidR="00BE7241" w:rsidRPr="000F4EA3" w:rsidRDefault="00BE7241" w:rsidP="000F4EA3">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1 - 3</w:t>
            </w:r>
          </w:p>
        </w:tc>
        <w:tc>
          <w:tcPr>
            <w:tcW w:w="750" w:type="dxa"/>
            <w:tcBorders>
              <w:left w:val="single" w:sz="4" w:space="0" w:color="auto"/>
              <w:bottom w:val="single" w:sz="4" w:space="0" w:color="auto"/>
              <w:right w:val="single" w:sz="4" w:space="0" w:color="auto"/>
            </w:tcBorders>
            <w:shd w:val="clear" w:color="000000" w:fill="43C4F3"/>
            <w:noWrap/>
            <w:vAlign w:val="center"/>
          </w:tcPr>
          <w:p w14:paraId="4099E48C" w14:textId="371A3F04" w:rsidR="00BE7241" w:rsidRPr="000F4EA3" w:rsidRDefault="00BE7241" w:rsidP="000F4EA3">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1 - 2</w:t>
            </w:r>
          </w:p>
        </w:tc>
        <w:tc>
          <w:tcPr>
            <w:tcW w:w="755" w:type="dxa"/>
            <w:tcBorders>
              <w:left w:val="nil"/>
              <w:bottom w:val="single" w:sz="4" w:space="0" w:color="auto"/>
              <w:right w:val="single" w:sz="4" w:space="0" w:color="auto"/>
            </w:tcBorders>
            <w:shd w:val="clear" w:color="000000" w:fill="50C8F4"/>
            <w:noWrap/>
            <w:vAlign w:val="center"/>
          </w:tcPr>
          <w:p w14:paraId="6AE1A4CD" w14:textId="04F04763" w:rsidR="00BE7241" w:rsidRPr="000F4EA3" w:rsidRDefault="00BE7241" w:rsidP="000F4EA3">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1 - 2</w:t>
            </w:r>
          </w:p>
        </w:tc>
      </w:tr>
      <w:tr w:rsidR="00BC2885" w:rsidRPr="005B4804" w14:paraId="358E78F3" w14:textId="77777777" w:rsidTr="000F4EA3">
        <w:trPr>
          <w:trHeight w:val="582"/>
          <w:jc w:val="center"/>
        </w:trPr>
        <w:tc>
          <w:tcPr>
            <w:tcW w:w="1188" w:type="dxa"/>
            <w:vMerge w:val="restart"/>
            <w:tcBorders>
              <w:top w:val="single" w:sz="4" w:space="0" w:color="auto"/>
              <w:left w:val="single" w:sz="4" w:space="0" w:color="auto"/>
              <w:right w:val="single" w:sz="4" w:space="0" w:color="auto"/>
            </w:tcBorders>
            <w:shd w:val="clear" w:color="000000" w:fill="D9D9D9"/>
            <w:vAlign w:val="center"/>
            <w:hideMark/>
          </w:tcPr>
          <w:p w14:paraId="4E27B70F" w14:textId="77777777" w:rsidR="00BC2885" w:rsidRPr="005B4804" w:rsidRDefault="00BC2885" w:rsidP="00445689">
            <w:pPr>
              <w:spacing w:after="0" w:line="240" w:lineRule="auto"/>
              <w:rPr>
                <w:rFonts w:ascii="Calibri" w:eastAsia="Times New Roman" w:hAnsi="Calibri" w:cs="Calibri"/>
                <w:b/>
                <w:bCs/>
                <w:color w:val="000000"/>
                <w:sz w:val="18"/>
                <w:szCs w:val="18"/>
                <w:lang w:eastAsia="en-GB"/>
              </w:rPr>
            </w:pPr>
            <w:r w:rsidRPr="005B4804">
              <w:rPr>
                <w:rFonts w:ascii="Calibri" w:eastAsia="Times New Roman" w:hAnsi="Calibri" w:cs="Calibri"/>
                <w:b/>
                <w:bCs/>
                <w:color w:val="000000"/>
                <w:sz w:val="18"/>
                <w:szCs w:val="18"/>
                <w:lang w:eastAsia="en-GB"/>
              </w:rPr>
              <w:t>All participants (n=32)</w:t>
            </w:r>
          </w:p>
        </w:tc>
        <w:tc>
          <w:tcPr>
            <w:tcW w:w="1062" w:type="dxa"/>
            <w:vMerge w:val="restart"/>
            <w:tcBorders>
              <w:top w:val="single" w:sz="4" w:space="0" w:color="auto"/>
              <w:left w:val="nil"/>
              <w:right w:val="single" w:sz="4" w:space="0" w:color="auto"/>
            </w:tcBorders>
            <w:shd w:val="clear" w:color="000000" w:fill="F2F2F2"/>
            <w:vAlign w:val="center"/>
            <w:hideMark/>
          </w:tcPr>
          <w:p w14:paraId="64A6A046" w14:textId="6E051FA3" w:rsidR="00BC2885" w:rsidRPr="005B4804" w:rsidRDefault="00BC2885" w:rsidP="000F4EA3">
            <w:pPr>
              <w:spacing w:after="0" w:line="240" w:lineRule="auto"/>
              <w:rPr>
                <w:rFonts w:ascii="Calibri" w:eastAsia="Times New Roman" w:hAnsi="Calibri" w:cs="Calibri"/>
                <w:i/>
                <w:iCs/>
                <w:color w:val="000000"/>
                <w:sz w:val="18"/>
                <w:szCs w:val="18"/>
                <w:lang w:eastAsia="en-GB"/>
              </w:rPr>
            </w:pPr>
            <w:r w:rsidRPr="005B4804">
              <w:rPr>
                <w:rFonts w:ascii="Calibri" w:eastAsia="Times New Roman" w:hAnsi="Calibri" w:cs="Calibri"/>
                <w:i/>
                <w:iCs/>
                <w:color w:val="000000"/>
                <w:sz w:val="18"/>
                <w:szCs w:val="18"/>
                <w:lang w:eastAsia="en-GB"/>
              </w:rPr>
              <w:t>Question / component mean score</w:t>
            </w:r>
            <w:r>
              <w:rPr>
                <w:rFonts w:ascii="Calibri" w:eastAsia="Times New Roman" w:hAnsi="Calibri" w:cs="Calibri"/>
                <w:i/>
                <w:iCs/>
                <w:color w:val="000000"/>
                <w:sz w:val="18"/>
                <w:szCs w:val="18"/>
                <w:lang w:eastAsia="en-GB"/>
              </w:rPr>
              <w:t>, SD, range.</w:t>
            </w:r>
          </w:p>
        </w:tc>
        <w:tc>
          <w:tcPr>
            <w:tcW w:w="630" w:type="dxa"/>
            <w:tcBorders>
              <w:top w:val="single" w:sz="4" w:space="0" w:color="auto"/>
              <w:left w:val="single" w:sz="4" w:space="0" w:color="auto"/>
              <w:right w:val="single" w:sz="4" w:space="0" w:color="auto"/>
            </w:tcBorders>
            <w:shd w:val="clear" w:color="000000" w:fill="F3FBFE"/>
            <w:noWrap/>
            <w:vAlign w:val="center"/>
            <w:hideMark/>
          </w:tcPr>
          <w:p w14:paraId="675F97DC" w14:textId="77777777" w:rsidR="00BC2885" w:rsidRPr="000F4EA3" w:rsidRDefault="00BC2885"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2.9</w:t>
            </w:r>
          </w:p>
        </w:tc>
        <w:tc>
          <w:tcPr>
            <w:tcW w:w="630" w:type="dxa"/>
            <w:tcBorders>
              <w:top w:val="single" w:sz="4" w:space="0" w:color="auto"/>
              <w:left w:val="nil"/>
              <w:right w:val="nil"/>
            </w:tcBorders>
            <w:shd w:val="clear" w:color="000000" w:fill="DBF3FC"/>
            <w:noWrap/>
            <w:vAlign w:val="center"/>
            <w:hideMark/>
          </w:tcPr>
          <w:p w14:paraId="5951CB7B" w14:textId="77777777" w:rsidR="00BC2885" w:rsidRPr="000F4EA3" w:rsidRDefault="00BC2885"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2.7</w:t>
            </w:r>
          </w:p>
        </w:tc>
        <w:tc>
          <w:tcPr>
            <w:tcW w:w="630" w:type="dxa"/>
            <w:tcBorders>
              <w:top w:val="single" w:sz="4" w:space="0" w:color="auto"/>
              <w:left w:val="single" w:sz="4" w:space="0" w:color="auto"/>
              <w:right w:val="single" w:sz="4" w:space="0" w:color="auto"/>
            </w:tcBorders>
            <w:shd w:val="clear" w:color="000000" w:fill="47C6F4"/>
            <w:noWrap/>
            <w:vAlign w:val="center"/>
            <w:hideMark/>
          </w:tcPr>
          <w:p w14:paraId="31F8117D" w14:textId="77777777" w:rsidR="00BC2885" w:rsidRPr="000F4EA3" w:rsidRDefault="00BC2885"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1.6</w:t>
            </w:r>
          </w:p>
        </w:tc>
        <w:tc>
          <w:tcPr>
            <w:tcW w:w="630" w:type="dxa"/>
            <w:tcBorders>
              <w:top w:val="single" w:sz="4" w:space="0" w:color="auto"/>
              <w:left w:val="single" w:sz="4" w:space="0" w:color="auto"/>
              <w:right w:val="single" w:sz="4" w:space="0" w:color="auto"/>
            </w:tcBorders>
            <w:shd w:val="clear" w:color="000000" w:fill="53C9F4"/>
            <w:noWrap/>
            <w:vAlign w:val="center"/>
            <w:hideMark/>
          </w:tcPr>
          <w:p w14:paraId="14C3C027" w14:textId="77777777" w:rsidR="00BC2885" w:rsidRPr="000F4EA3" w:rsidRDefault="00BC2885"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1.7</w:t>
            </w:r>
          </w:p>
        </w:tc>
        <w:tc>
          <w:tcPr>
            <w:tcW w:w="750" w:type="dxa"/>
            <w:tcBorders>
              <w:top w:val="single" w:sz="4" w:space="0" w:color="auto"/>
              <w:left w:val="single" w:sz="4" w:space="0" w:color="auto"/>
              <w:right w:val="single" w:sz="4" w:space="0" w:color="auto"/>
            </w:tcBorders>
            <w:shd w:val="clear" w:color="000000" w:fill="33C0F3"/>
            <w:noWrap/>
            <w:vAlign w:val="center"/>
            <w:hideMark/>
          </w:tcPr>
          <w:p w14:paraId="34AF668B" w14:textId="77777777" w:rsidR="00BC2885" w:rsidRPr="000F4EA3" w:rsidRDefault="00BC2885"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1.4</w:t>
            </w:r>
          </w:p>
        </w:tc>
        <w:tc>
          <w:tcPr>
            <w:tcW w:w="750" w:type="dxa"/>
            <w:tcBorders>
              <w:top w:val="single" w:sz="4" w:space="0" w:color="auto"/>
              <w:left w:val="single" w:sz="4" w:space="0" w:color="auto"/>
              <w:right w:val="single" w:sz="4" w:space="0" w:color="auto"/>
            </w:tcBorders>
            <w:shd w:val="clear" w:color="000000" w:fill="4BC7F4"/>
            <w:noWrap/>
            <w:vAlign w:val="center"/>
            <w:hideMark/>
          </w:tcPr>
          <w:p w14:paraId="47FDBC2F" w14:textId="77777777" w:rsidR="00BC2885" w:rsidRPr="000F4EA3" w:rsidRDefault="00BC2885"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1.6</w:t>
            </w:r>
          </w:p>
        </w:tc>
        <w:tc>
          <w:tcPr>
            <w:tcW w:w="750" w:type="dxa"/>
            <w:tcBorders>
              <w:top w:val="single" w:sz="4" w:space="0" w:color="auto"/>
              <w:left w:val="single" w:sz="4" w:space="0" w:color="auto"/>
              <w:right w:val="single" w:sz="4" w:space="0" w:color="auto"/>
            </w:tcBorders>
            <w:shd w:val="clear" w:color="000000" w:fill="33C0F3"/>
            <w:noWrap/>
            <w:vAlign w:val="center"/>
            <w:hideMark/>
          </w:tcPr>
          <w:p w14:paraId="6C29412C" w14:textId="77777777" w:rsidR="00BC2885" w:rsidRPr="000F4EA3" w:rsidRDefault="00BC2885"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1.4</w:t>
            </w:r>
          </w:p>
        </w:tc>
        <w:tc>
          <w:tcPr>
            <w:tcW w:w="755" w:type="dxa"/>
            <w:tcBorders>
              <w:top w:val="single" w:sz="4" w:space="0" w:color="auto"/>
              <w:left w:val="nil"/>
              <w:right w:val="single" w:sz="4" w:space="0" w:color="auto"/>
            </w:tcBorders>
            <w:shd w:val="clear" w:color="000000" w:fill="4BC7F4"/>
            <w:noWrap/>
            <w:vAlign w:val="center"/>
            <w:hideMark/>
          </w:tcPr>
          <w:p w14:paraId="05B6169F" w14:textId="77777777" w:rsidR="00BC2885" w:rsidRPr="000F4EA3" w:rsidRDefault="00BC2885"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1.6</w:t>
            </w:r>
          </w:p>
        </w:tc>
      </w:tr>
      <w:tr w:rsidR="00BC2885" w:rsidRPr="005B4804" w14:paraId="474D3A14" w14:textId="77777777" w:rsidTr="000F4EA3">
        <w:trPr>
          <w:trHeight w:val="80"/>
          <w:jc w:val="center"/>
        </w:trPr>
        <w:tc>
          <w:tcPr>
            <w:tcW w:w="1188" w:type="dxa"/>
            <w:vMerge/>
            <w:tcBorders>
              <w:left w:val="single" w:sz="4" w:space="0" w:color="auto"/>
              <w:right w:val="single" w:sz="4" w:space="0" w:color="auto"/>
            </w:tcBorders>
            <w:shd w:val="clear" w:color="000000" w:fill="D9D9D9"/>
            <w:vAlign w:val="center"/>
          </w:tcPr>
          <w:p w14:paraId="66CD6CE8" w14:textId="77777777" w:rsidR="00BC2885" w:rsidRPr="005B4804" w:rsidRDefault="00BC2885" w:rsidP="00BC2885">
            <w:pPr>
              <w:spacing w:after="0" w:line="240" w:lineRule="auto"/>
              <w:rPr>
                <w:rFonts w:ascii="Calibri" w:eastAsia="Times New Roman" w:hAnsi="Calibri" w:cs="Calibri"/>
                <w:b/>
                <w:bCs/>
                <w:color w:val="000000"/>
                <w:sz w:val="18"/>
                <w:szCs w:val="18"/>
                <w:lang w:eastAsia="en-GB"/>
              </w:rPr>
            </w:pPr>
          </w:p>
        </w:tc>
        <w:tc>
          <w:tcPr>
            <w:tcW w:w="1062" w:type="dxa"/>
            <w:vMerge/>
            <w:tcBorders>
              <w:left w:val="nil"/>
              <w:right w:val="single" w:sz="4" w:space="0" w:color="auto"/>
            </w:tcBorders>
            <w:shd w:val="clear" w:color="000000" w:fill="F2F2F2"/>
            <w:vAlign w:val="bottom"/>
          </w:tcPr>
          <w:p w14:paraId="71D7E189" w14:textId="77777777" w:rsidR="00BC2885" w:rsidRPr="005B4804" w:rsidRDefault="00BC2885" w:rsidP="00BC2885">
            <w:pPr>
              <w:spacing w:after="0" w:line="240" w:lineRule="auto"/>
              <w:rPr>
                <w:rFonts w:ascii="Calibri" w:eastAsia="Times New Roman" w:hAnsi="Calibri" w:cs="Calibri"/>
                <w:i/>
                <w:iCs/>
                <w:color w:val="000000"/>
                <w:sz w:val="18"/>
                <w:szCs w:val="18"/>
                <w:lang w:eastAsia="en-GB"/>
              </w:rPr>
            </w:pPr>
          </w:p>
        </w:tc>
        <w:tc>
          <w:tcPr>
            <w:tcW w:w="630" w:type="dxa"/>
            <w:tcBorders>
              <w:left w:val="single" w:sz="4" w:space="0" w:color="auto"/>
              <w:right w:val="single" w:sz="4" w:space="0" w:color="auto"/>
            </w:tcBorders>
            <w:shd w:val="clear" w:color="000000" w:fill="F3FBFE"/>
            <w:noWrap/>
            <w:vAlign w:val="bottom"/>
          </w:tcPr>
          <w:p w14:paraId="01F43C22" w14:textId="7226E51F"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1.15</w:t>
            </w:r>
          </w:p>
        </w:tc>
        <w:tc>
          <w:tcPr>
            <w:tcW w:w="630" w:type="dxa"/>
            <w:tcBorders>
              <w:left w:val="nil"/>
              <w:right w:val="nil"/>
            </w:tcBorders>
            <w:shd w:val="clear" w:color="000000" w:fill="DBF3FC"/>
            <w:noWrap/>
            <w:vAlign w:val="bottom"/>
          </w:tcPr>
          <w:p w14:paraId="11B3A578" w14:textId="5930DA49"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0.89</w:t>
            </w:r>
          </w:p>
        </w:tc>
        <w:tc>
          <w:tcPr>
            <w:tcW w:w="630" w:type="dxa"/>
            <w:tcBorders>
              <w:left w:val="single" w:sz="4" w:space="0" w:color="auto"/>
              <w:right w:val="single" w:sz="4" w:space="0" w:color="auto"/>
            </w:tcBorders>
            <w:shd w:val="clear" w:color="000000" w:fill="47C6F4"/>
            <w:noWrap/>
            <w:vAlign w:val="bottom"/>
          </w:tcPr>
          <w:p w14:paraId="33DF9A27" w14:textId="4232FE75"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0.67</w:t>
            </w:r>
          </w:p>
        </w:tc>
        <w:tc>
          <w:tcPr>
            <w:tcW w:w="630" w:type="dxa"/>
            <w:tcBorders>
              <w:left w:val="single" w:sz="4" w:space="0" w:color="auto"/>
              <w:right w:val="single" w:sz="4" w:space="0" w:color="auto"/>
            </w:tcBorders>
            <w:shd w:val="clear" w:color="000000" w:fill="53C9F4"/>
            <w:noWrap/>
            <w:vAlign w:val="bottom"/>
          </w:tcPr>
          <w:p w14:paraId="2429A56F" w14:textId="3958A379"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0.65</w:t>
            </w:r>
          </w:p>
        </w:tc>
        <w:tc>
          <w:tcPr>
            <w:tcW w:w="750" w:type="dxa"/>
            <w:tcBorders>
              <w:left w:val="single" w:sz="4" w:space="0" w:color="auto"/>
              <w:right w:val="single" w:sz="4" w:space="0" w:color="auto"/>
            </w:tcBorders>
            <w:shd w:val="clear" w:color="000000" w:fill="33C0F3"/>
            <w:noWrap/>
            <w:vAlign w:val="bottom"/>
          </w:tcPr>
          <w:p w14:paraId="6CBC4FF0" w14:textId="1884320D"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0.56</w:t>
            </w:r>
          </w:p>
        </w:tc>
        <w:tc>
          <w:tcPr>
            <w:tcW w:w="750" w:type="dxa"/>
            <w:tcBorders>
              <w:left w:val="single" w:sz="4" w:space="0" w:color="auto"/>
              <w:right w:val="single" w:sz="4" w:space="0" w:color="auto"/>
            </w:tcBorders>
            <w:shd w:val="clear" w:color="000000" w:fill="4BC7F4"/>
            <w:noWrap/>
            <w:vAlign w:val="bottom"/>
          </w:tcPr>
          <w:p w14:paraId="0F53A85F" w14:textId="2280CF14"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0.56</w:t>
            </w:r>
          </w:p>
        </w:tc>
        <w:tc>
          <w:tcPr>
            <w:tcW w:w="750" w:type="dxa"/>
            <w:tcBorders>
              <w:left w:val="single" w:sz="4" w:space="0" w:color="auto"/>
              <w:right w:val="single" w:sz="4" w:space="0" w:color="auto"/>
            </w:tcBorders>
            <w:shd w:val="clear" w:color="000000" w:fill="33C0F3"/>
            <w:noWrap/>
            <w:vAlign w:val="bottom"/>
          </w:tcPr>
          <w:p w14:paraId="176EF37F" w14:textId="4294E824"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0.56</w:t>
            </w:r>
          </w:p>
        </w:tc>
        <w:tc>
          <w:tcPr>
            <w:tcW w:w="755" w:type="dxa"/>
            <w:tcBorders>
              <w:left w:val="nil"/>
              <w:right w:val="single" w:sz="4" w:space="0" w:color="auto"/>
            </w:tcBorders>
            <w:shd w:val="clear" w:color="000000" w:fill="4BC7F4"/>
            <w:noWrap/>
            <w:vAlign w:val="bottom"/>
          </w:tcPr>
          <w:p w14:paraId="167FFE58" w14:textId="659A778E"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0.56</w:t>
            </w:r>
          </w:p>
        </w:tc>
      </w:tr>
      <w:tr w:rsidR="00BC2885" w:rsidRPr="005B4804" w14:paraId="24EDA64D" w14:textId="77777777" w:rsidTr="000F4EA3">
        <w:trPr>
          <w:trHeight w:val="448"/>
          <w:jc w:val="center"/>
        </w:trPr>
        <w:tc>
          <w:tcPr>
            <w:tcW w:w="1188" w:type="dxa"/>
            <w:vMerge/>
            <w:tcBorders>
              <w:left w:val="single" w:sz="4" w:space="0" w:color="auto"/>
              <w:bottom w:val="single" w:sz="4" w:space="0" w:color="auto"/>
              <w:right w:val="single" w:sz="4" w:space="0" w:color="auto"/>
            </w:tcBorders>
            <w:shd w:val="clear" w:color="000000" w:fill="D9D9D9"/>
            <w:vAlign w:val="center"/>
          </w:tcPr>
          <w:p w14:paraId="162F6FA7" w14:textId="77777777" w:rsidR="00BC2885" w:rsidRPr="005B4804" w:rsidRDefault="00BC2885" w:rsidP="00BC2885">
            <w:pPr>
              <w:spacing w:after="0" w:line="240" w:lineRule="auto"/>
              <w:rPr>
                <w:rFonts w:ascii="Calibri" w:eastAsia="Times New Roman" w:hAnsi="Calibri" w:cs="Calibri"/>
                <w:b/>
                <w:bCs/>
                <w:color w:val="000000"/>
                <w:sz w:val="18"/>
                <w:szCs w:val="18"/>
                <w:lang w:eastAsia="en-GB"/>
              </w:rPr>
            </w:pPr>
          </w:p>
        </w:tc>
        <w:tc>
          <w:tcPr>
            <w:tcW w:w="1062" w:type="dxa"/>
            <w:vMerge/>
            <w:tcBorders>
              <w:left w:val="nil"/>
              <w:bottom w:val="single" w:sz="4" w:space="0" w:color="auto"/>
              <w:right w:val="single" w:sz="4" w:space="0" w:color="auto"/>
            </w:tcBorders>
            <w:shd w:val="clear" w:color="000000" w:fill="F2F2F2"/>
            <w:vAlign w:val="bottom"/>
          </w:tcPr>
          <w:p w14:paraId="34DB055A" w14:textId="77777777" w:rsidR="00BC2885" w:rsidRPr="005B4804" w:rsidRDefault="00BC2885" w:rsidP="00BC2885">
            <w:pPr>
              <w:spacing w:after="0" w:line="240" w:lineRule="auto"/>
              <w:rPr>
                <w:rFonts w:ascii="Calibri" w:eastAsia="Times New Roman" w:hAnsi="Calibri" w:cs="Calibri"/>
                <w:i/>
                <w:iCs/>
                <w:color w:val="000000"/>
                <w:sz w:val="18"/>
                <w:szCs w:val="18"/>
                <w:lang w:eastAsia="en-GB"/>
              </w:rPr>
            </w:pPr>
          </w:p>
        </w:tc>
        <w:tc>
          <w:tcPr>
            <w:tcW w:w="630" w:type="dxa"/>
            <w:tcBorders>
              <w:left w:val="single" w:sz="4" w:space="0" w:color="auto"/>
              <w:bottom w:val="single" w:sz="4" w:space="0" w:color="auto"/>
              <w:right w:val="single" w:sz="4" w:space="0" w:color="auto"/>
            </w:tcBorders>
            <w:shd w:val="clear" w:color="000000" w:fill="F3FBFE"/>
            <w:noWrap/>
            <w:vAlign w:val="bottom"/>
          </w:tcPr>
          <w:p w14:paraId="51692390" w14:textId="494A17DD"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1 - 5</w:t>
            </w:r>
          </w:p>
        </w:tc>
        <w:tc>
          <w:tcPr>
            <w:tcW w:w="630" w:type="dxa"/>
            <w:tcBorders>
              <w:left w:val="nil"/>
              <w:bottom w:val="single" w:sz="4" w:space="0" w:color="auto"/>
              <w:right w:val="nil"/>
            </w:tcBorders>
            <w:shd w:val="clear" w:color="000000" w:fill="DBF3FC"/>
            <w:noWrap/>
            <w:vAlign w:val="bottom"/>
          </w:tcPr>
          <w:p w14:paraId="49862B4C" w14:textId="3A82505A"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1 - 5</w:t>
            </w:r>
          </w:p>
        </w:tc>
        <w:tc>
          <w:tcPr>
            <w:tcW w:w="630" w:type="dxa"/>
            <w:tcBorders>
              <w:left w:val="single" w:sz="4" w:space="0" w:color="auto"/>
              <w:bottom w:val="single" w:sz="4" w:space="0" w:color="auto"/>
              <w:right w:val="single" w:sz="4" w:space="0" w:color="auto"/>
            </w:tcBorders>
            <w:shd w:val="clear" w:color="000000" w:fill="47C6F4"/>
            <w:noWrap/>
            <w:vAlign w:val="bottom"/>
          </w:tcPr>
          <w:p w14:paraId="3B37D03C" w14:textId="34516915"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1 - 4</w:t>
            </w:r>
          </w:p>
        </w:tc>
        <w:tc>
          <w:tcPr>
            <w:tcW w:w="630" w:type="dxa"/>
            <w:tcBorders>
              <w:left w:val="single" w:sz="4" w:space="0" w:color="auto"/>
              <w:bottom w:val="single" w:sz="4" w:space="0" w:color="auto"/>
              <w:right w:val="single" w:sz="4" w:space="0" w:color="auto"/>
            </w:tcBorders>
            <w:shd w:val="clear" w:color="000000" w:fill="53C9F4"/>
            <w:noWrap/>
            <w:vAlign w:val="bottom"/>
          </w:tcPr>
          <w:p w14:paraId="673C6E87" w14:textId="3239230C"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1 - 4</w:t>
            </w:r>
          </w:p>
        </w:tc>
        <w:tc>
          <w:tcPr>
            <w:tcW w:w="750" w:type="dxa"/>
            <w:tcBorders>
              <w:left w:val="single" w:sz="4" w:space="0" w:color="auto"/>
              <w:bottom w:val="single" w:sz="4" w:space="0" w:color="auto"/>
              <w:right w:val="single" w:sz="4" w:space="0" w:color="auto"/>
            </w:tcBorders>
            <w:shd w:val="clear" w:color="000000" w:fill="33C0F3"/>
            <w:noWrap/>
            <w:vAlign w:val="bottom"/>
          </w:tcPr>
          <w:p w14:paraId="14691DFE" w14:textId="550243B9"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1 - 3</w:t>
            </w:r>
          </w:p>
        </w:tc>
        <w:tc>
          <w:tcPr>
            <w:tcW w:w="750" w:type="dxa"/>
            <w:tcBorders>
              <w:left w:val="single" w:sz="4" w:space="0" w:color="auto"/>
              <w:bottom w:val="single" w:sz="4" w:space="0" w:color="auto"/>
              <w:right w:val="single" w:sz="4" w:space="0" w:color="auto"/>
            </w:tcBorders>
            <w:shd w:val="clear" w:color="000000" w:fill="4BC7F4"/>
            <w:noWrap/>
            <w:vAlign w:val="bottom"/>
          </w:tcPr>
          <w:p w14:paraId="1FB050CC" w14:textId="52ECEB2B"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1 - 3</w:t>
            </w:r>
          </w:p>
        </w:tc>
        <w:tc>
          <w:tcPr>
            <w:tcW w:w="750" w:type="dxa"/>
            <w:tcBorders>
              <w:left w:val="single" w:sz="4" w:space="0" w:color="auto"/>
              <w:bottom w:val="single" w:sz="4" w:space="0" w:color="auto"/>
              <w:right w:val="single" w:sz="4" w:space="0" w:color="auto"/>
            </w:tcBorders>
            <w:shd w:val="clear" w:color="000000" w:fill="33C0F3"/>
            <w:noWrap/>
            <w:vAlign w:val="bottom"/>
          </w:tcPr>
          <w:p w14:paraId="4A186C70" w14:textId="6606BE17"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1 - 3</w:t>
            </w:r>
          </w:p>
        </w:tc>
        <w:tc>
          <w:tcPr>
            <w:tcW w:w="755" w:type="dxa"/>
            <w:tcBorders>
              <w:left w:val="nil"/>
              <w:bottom w:val="single" w:sz="4" w:space="0" w:color="auto"/>
              <w:right w:val="single" w:sz="4" w:space="0" w:color="auto"/>
            </w:tcBorders>
            <w:shd w:val="clear" w:color="000000" w:fill="4BC7F4"/>
            <w:noWrap/>
            <w:vAlign w:val="bottom"/>
          </w:tcPr>
          <w:p w14:paraId="2604E5B9" w14:textId="2BB760A8"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1 - 3</w:t>
            </w:r>
          </w:p>
        </w:tc>
      </w:tr>
    </w:tbl>
    <w:p w14:paraId="35C2DC0B" w14:textId="41B273A0" w:rsidR="00445689" w:rsidRDefault="00445689" w:rsidP="00445689">
      <w:pPr>
        <w:pStyle w:val="Caption"/>
        <w:jc w:val="center"/>
      </w:pPr>
      <w:r>
        <w:t xml:space="preserve">Table </w:t>
      </w:r>
      <w:r w:rsidR="00673A35">
        <w:rPr>
          <w:noProof/>
        </w:rPr>
        <w:fldChar w:fldCharType="begin"/>
      </w:r>
      <w:r w:rsidR="00673A35">
        <w:rPr>
          <w:noProof/>
        </w:rPr>
        <w:instrText xml:space="preserve"> SEQ Table \* ARABIC </w:instrText>
      </w:r>
      <w:r w:rsidR="00673A35">
        <w:rPr>
          <w:noProof/>
        </w:rPr>
        <w:fldChar w:fldCharType="separate"/>
      </w:r>
      <w:r>
        <w:rPr>
          <w:noProof/>
        </w:rPr>
        <w:t>4</w:t>
      </w:r>
      <w:r w:rsidR="00673A35">
        <w:rPr>
          <w:noProof/>
        </w:rPr>
        <w:fldChar w:fldCharType="end"/>
      </w:r>
      <w:r>
        <w:t xml:space="preserve"> - NoMad T0-T1 scores for 'Cognitive Participation' score colour intensity tends toward: blue (strongly agree – 1); white (neither agree nor disagree – 3); yellow - strongly disagree – 5</w:t>
      </w:r>
      <w:r w:rsidR="00A82EF7">
        <w:t>)</w:t>
      </w:r>
      <w:r w:rsidR="008C2AD4">
        <w:t>.</w:t>
      </w:r>
    </w:p>
    <w:p w14:paraId="5D9FC337" w14:textId="77777777" w:rsidR="00445689" w:rsidRDefault="00445689" w:rsidP="00445689"/>
    <w:tbl>
      <w:tblPr>
        <w:tblW w:w="10831" w:type="dxa"/>
        <w:jc w:val="center"/>
        <w:tblLook w:val="04A0" w:firstRow="1" w:lastRow="0" w:firstColumn="1" w:lastColumn="0" w:noHBand="0" w:noVBand="1"/>
      </w:tblPr>
      <w:tblGrid>
        <w:gridCol w:w="1110"/>
        <w:gridCol w:w="1042"/>
        <w:gridCol w:w="607"/>
        <w:gridCol w:w="660"/>
        <w:gridCol w:w="607"/>
        <w:gridCol w:w="607"/>
        <w:gridCol w:w="607"/>
        <w:gridCol w:w="618"/>
        <w:gridCol w:w="607"/>
        <w:gridCol w:w="607"/>
        <w:gridCol w:w="607"/>
        <w:gridCol w:w="663"/>
        <w:gridCol w:w="607"/>
        <w:gridCol w:w="607"/>
        <w:gridCol w:w="668"/>
        <w:gridCol w:w="607"/>
      </w:tblGrid>
      <w:tr w:rsidR="00445689" w:rsidRPr="009B6599" w14:paraId="49E642BC" w14:textId="77777777" w:rsidTr="006F32B8">
        <w:trPr>
          <w:trHeight w:val="300"/>
          <w:jc w:val="center"/>
        </w:trPr>
        <w:tc>
          <w:tcPr>
            <w:tcW w:w="11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511055F" w14:textId="77777777" w:rsidR="00445689" w:rsidRPr="009B6599" w:rsidRDefault="00445689" w:rsidP="00445689">
            <w:pPr>
              <w:spacing w:after="0" w:line="240" w:lineRule="auto"/>
              <w:rPr>
                <w:rFonts w:ascii="Calibri" w:eastAsia="Times New Roman" w:hAnsi="Calibri" w:cs="Calibri"/>
                <w:b/>
                <w:bCs/>
                <w:color w:val="000000"/>
                <w:sz w:val="18"/>
                <w:szCs w:val="18"/>
                <w:lang w:eastAsia="en-GB"/>
              </w:rPr>
            </w:pPr>
            <w:r w:rsidRPr="009B6599">
              <w:rPr>
                <w:rFonts w:ascii="Calibri" w:eastAsia="Times New Roman" w:hAnsi="Calibri" w:cs="Calibri"/>
                <w:b/>
                <w:bCs/>
                <w:color w:val="000000"/>
                <w:sz w:val="18"/>
                <w:szCs w:val="18"/>
                <w:lang w:eastAsia="en-GB"/>
              </w:rPr>
              <w:t>Construct</w:t>
            </w:r>
          </w:p>
        </w:tc>
        <w:tc>
          <w:tcPr>
            <w:tcW w:w="1042" w:type="dxa"/>
            <w:tcBorders>
              <w:top w:val="single" w:sz="4" w:space="0" w:color="auto"/>
              <w:left w:val="nil"/>
              <w:bottom w:val="nil"/>
              <w:right w:val="single" w:sz="4" w:space="0" w:color="auto"/>
            </w:tcBorders>
            <w:shd w:val="clear" w:color="000000" w:fill="F2F2F2"/>
            <w:vAlign w:val="bottom"/>
            <w:hideMark/>
          </w:tcPr>
          <w:p w14:paraId="0907F90A" w14:textId="77777777" w:rsidR="00445689" w:rsidRPr="009B6599" w:rsidRDefault="00445689" w:rsidP="00445689">
            <w:pPr>
              <w:spacing w:after="0" w:line="240" w:lineRule="auto"/>
              <w:rPr>
                <w:rFonts w:ascii="Calibri" w:eastAsia="Times New Roman" w:hAnsi="Calibri" w:cs="Calibri"/>
                <w:i/>
                <w:iCs/>
                <w:color w:val="000000"/>
                <w:sz w:val="18"/>
                <w:szCs w:val="18"/>
                <w:lang w:eastAsia="en-GB"/>
              </w:rPr>
            </w:pPr>
            <w:r w:rsidRPr="009B6599">
              <w:rPr>
                <w:rFonts w:ascii="Calibri" w:eastAsia="Times New Roman" w:hAnsi="Calibri" w:cs="Calibri"/>
                <w:i/>
                <w:iCs/>
                <w:color w:val="000000"/>
                <w:sz w:val="18"/>
                <w:szCs w:val="18"/>
                <w:lang w:eastAsia="en-GB"/>
              </w:rPr>
              <w:t> </w:t>
            </w:r>
          </w:p>
        </w:tc>
        <w:tc>
          <w:tcPr>
            <w:tcW w:w="8679" w:type="dxa"/>
            <w:gridSpan w:val="14"/>
            <w:tcBorders>
              <w:top w:val="single" w:sz="4" w:space="0" w:color="auto"/>
              <w:left w:val="nil"/>
              <w:bottom w:val="single" w:sz="4" w:space="0" w:color="auto"/>
              <w:right w:val="single" w:sz="4" w:space="0" w:color="auto"/>
            </w:tcBorders>
            <w:shd w:val="clear" w:color="auto" w:fill="E7E6E6" w:themeFill="background2"/>
            <w:noWrap/>
            <w:vAlign w:val="bottom"/>
            <w:hideMark/>
          </w:tcPr>
          <w:p w14:paraId="11E99AD9" w14:textId="77777777" w:rsidR="00445689" w:rsidRPr="000F4EA3" w:rsidRDefault="00445689" w:rsidP="00445689">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Collective Action</w:t>
            </w:r>
          </w:p>
        </w:tc>
      </w:tr>
      <w:tr w:rsidR="00445689" w:rsidRPr="009B6599" w14:paraId="55563BD1" w14:textId="77777777" w:rsidTr="006F32B8">
        <w:trPr>
          <w:trHeight w:val="300"/>
          <w:jc w:val="center"/>
        </w:trPr>
        <w:tc>
          <w:tcPr>
            <w:tcW w:w="1110" w:type="dxa"/>
            <w:tcBorders>
              <w:top w:val="nil"/>
              <w:left w:val="single" w:sz="4" w:space="0" w:color="auto"/>
              <w:bottom w:val="single" w:sz="4" w:space="0" w:color="auto"/>
              <w:right w:val="nil"/>
            </w:tcBorders>
            <w:shd w:val="clear" w:color="000000" w:fill="D9D9D9"/>
            <w:vAlign w:val="center"/>
            <w:hideMark/>
          </w:tcPr>
          <w:p w14:paraId="219B0037" w14:textId="77777777" w:rsidR="00445689" w:rsidRPr="009B6599" w:rsidRDefault="00445689" w:rsidP="00445689">
            <w:pPr>
              <w:spacing w:after="0" w:line="240" w:lineRule="auto"/>
              <w:rPr>
                <w:rFonts w:ascii="Calibri" w:eastAsia="Times New Roman" w:hAnsi="Calibri" w:cs="Calibri"/>
                <w:b/>
                <w:bCs/>
                <w:color w:val="000000"/>
                <w:sz w:val="18"/>
                <w:szCs w:val="18"/>
                <w:lang w:eastAsia="en-GB"/>
              </w:rPr>
            </w:pPr>
            <w:r w:rsidRPr="009B6599">
              <w:rPr>
                <w:rFonts w:ascii="Calibri" w:eastAsia="Times New Roman" w:hAnsi="Calibri" w:cs="Calibri"/>
                <w:b/>
                <w:bCs/>
                <w:color w:val="000000"/>
                <w:sz w:val="18"/>
                <w:szCs w:val="18"/>
                <w:lang w:eastAsia="en-GB"/>
              </w:rPr>
              <w:t>Component</w:t>
            </w:r>
          </w:p>
        </w:tc>
        <w:tc>
          <w:tcPr>
            <w:tcW w:w="1042" w:type="dxa"/>
            <w:tcBorders>
              <w:top w:val="single" w:sz="4" w:space="0" w:color="auto"/>
              <w:left w:val="single" w:sz="4" w:space="0" w:color="auto"/>
              <w:bottom w:val="single" w:sz="4" w:space="0" w:color="auto"/>
              <w:right w:val="nil"/>
            </w:tcBorders>
            <w:shd w:val="clear" w:color="000000" w:fill="F2F2F2"/>
            <w:vAlign w:val="bottom"/>
            <w:hideMark/>
          </w:tcPr>
          <w:p w14:paraId="5263F042" w14:textId="77777777" w:rsidR="00445689" w:rsidRPr="009B6599" w:rsidRDefault="00445689" w:rsidP="00445689">
            <w:pPr>
              <w:spacing w:after="0" w:line="240" w:lineRule="auto"/>
              <w:rPr>
                <w:rFonts w:ascii="Calibri" w:eastAsia="Times New Roman" w:hAnsi="Calibri" w:cs="Calibri"/>
                <w:i/>
                <w:iCs/>
                <w:color w:val="000000"/>
                <w:sz w:val="18"/>
                <w:szCs w:val="18"/>
                <w:lang w:eastAsia="en-GB"/>
              </w:rPr>
            </w:pPr>
            <w:r w:rsidRPr="009B6599">
              <w:rPr>
                <w:rFonts w:ascii="Calibri" w:eastAsia="Times New Roman" w:hAnsi="Calibri" w:cs="Calibri"/>
                <w:i/>
                <w:iCs/>
                <w:color w:val="000000"/>
                <w:sz w:val="18"/>
                <w:szCs w:val="18"/>
                <w:lang w:eastAsia="en-GB"/>
              </w:rPr>
              <w:t> </w:t>
            </w:r>
          </w:p>
        </w:tc>
        <w:tc>
          <w:tcPr>
            <w:tcW w:w="1267" w:type="dxa"/>
            <w:gridSpan w:val="2"/>
            <w:tcBorders>
              <w:top w:val="nil"/>
              <w:left w:val="single" w:sz="4" w:space="0" w:color="auto"/>
              <w:bottom w:val="nil"/>
              <w:right w:val="nil"/>
            </w:tcBorders>
            <w:shd w:val="clear" w:color="auto" w:fill="auto"/>
            <w:vAlign w:val="center"/>
            <w:hideMark/>
          </w:tcPr>
          <w:p w14:paraId="5F04E93E" w14:textId="77777777" w:rsidR="00445689" w:rsidRPr="009B6599" w:rsidRDefault="00445689" w:rsidP="00445689">
            <w:pPr>
              <w:spacing w:after="0" w:line="240" w:lineRule="auto"/>
              <w:jc w:val="center"/>
              <w:rPr>
                <w:rFonts w:ascii="Calibri" w:eastAsia="Times New Roman" w:hAnsi="Calibri" w:cs="Calibri"/>
                <w:color w:val="000000"/>
                <w:sz w:val="18"/>
                <w:szCs w:val="18"/>
                <w:lang w:eastAsia="en-GB"/>
              </w:rPr>
            </w:pPr>
            <w:r w:rsidRPr="009B6599">
              <w:rPr>
                <w:rFonts w:ascii="Calibri" w:eastAsia="Times New Roman" w:hAnsi="Calibri" w:cs="Calibri"/>
                <w:color w:val="000000"/>
                <w:sz w:val="18"/>
                <w:szCs w:val="18"/>
                <w:lang w:eastAsia="en-GB"/>
              </w:rPr>
              <w:t>Interactional Workability</w:t>
            </w:r>
          </w:p>
        </w:tc>
        <w:tc>
          <w:tcPr>
            <w:tcW w:w="2439" w:type="dxa"/>
            <w:gridSpan w:val="4"/>
            <w:tcBorders>
              <w:top w:val="nil"/>
              <w:left w:val="single" w:sz="4" w:space="0" w:color="auto"/>
              <w:bottom w:val="nil"/>
              <w:right w:val="single" w:sz="4" w:space="0" w:color="000000"/>
            </w:tcBorders>
            <w:shd w:val="clear" w:color="auto" w:fill="auto"/>
            <w:vAlign w:val="center"/>
            <w:hideMark/>
          </w:tcPr>
          <w:p w14:paraId="5A74E47C" w14:textId="77777777" w:rsidR="00445689" w:rsidRPr="009B6599" w:rsidRDefault="00445689" w:rsidP="00445689">
            <w:pPr>
              <w:spacing w:after="0" w:line="240" w:lineRule="auto"/>
              <w:jc w:val="center"/>
              <w:rPr>
                <w:rFonts w:ascii="Calibri" w:eastAsia="Times New Roman" w:hAnsi="Calibri" w:cs="Calibri"/>
                <w:color w:val="000000"/>
                <w:sz w:val="18"/>
                <w:szCs w:val="18"/>
                <w:lang w:eastAsia="en-GB"/>
              </w:rPr>
            </w:pPr>
            <w:r w:rsidRPr="009B6599">
              <w:rPr>
                <w:rFonts w:ascii="Calibri" w:eastAsia="Times New Roman" w:hAnsi="Calibri" w:cs="Calibri"/>
                <w:color w:val="000000"/>
                <w:sz w:val="18"/>
                <w:szCs w:val="18"/>
                <w:lang w:eastAsia="en-GB"/>
              </w:rPr>
              <w:t>Relational Integration</w:t>
            </w:r>
          </w:p>
        </w:tc>
        <w:tc>
          <w:tcPr>
            <w:tcW w:w="2484" w:type="dxa"/>
            <w:gridSpan w:val="4"/>
            <w:tcBorders>
              <w:top w:val="nil"/>
              <w:left w:val="nil"/>
              <w:bottom w:val="nil"/>
              <w:right w:val="single" w:sz="4" w:space="0" w:color="000000"/>
            </w:tcBorders>
            <w:shd w:val="clear" w:color="auto" w:fill="auto"/>
            <w:vAlign w:val="center"/>
            <w:hideMark/>
          </w:tcPr>
          <w:p w14:paraId="516E57A4" w14:textId="77777777" w:rsidR="00445689" w:rsidRPr="009B6599" w:rsidRDefault="00445689" w:rsidP="00445689">
            <w:pPr>
              <w:spacing w:after="0" w:line="240" w:lineRule="auto"/>
              <w:jc w:val="center"/>
              <w:rPr>
                <w:rFonts w:ascii="Calibri" w:eastAsia="Times New Roman" w:hAnsi="Calibri" w:cs="Calibri"/>
                <w:color w:val="000000"/>
                <w:sz w:val="18"/>
                <w:szCs w:val="18"/>
                <w:lang w:eastAsia="en-GB"/>
              </w:rPr>
            </w:pPr>
            <w:r w:rsidRPr="009B6599">
              <w:rPr>
                <w:rFonts w:ascii="Calibri" w:eastAsia="Times New Roman" w:hAnsi="Calibri" w:cs="Calibri"/>
                <w:color w:val="000000"/>
                <w:sz w:val="18"/>
                <w:szCs w:val="18"/>
                <w:lang w:eastAsia="en-GB"/>
              </w:rPr>
              <w:t>Skill set Workability</w:t>
            </w:r>
          </w:p>
        </w:tc>
        <w:tc>
          <w:tcPr>
            <w:tcW w:w="2489" w:type="dxa"/>
            <w:gridSpan w:val="4"/>
            <w:tcBorders>
              <w:top w:val="nil"/>
              <w:left w:val="nil"/>
              <w:bottom w:val="nil"/>
              <w:right w:val="single" w:sz="4" w:space="0" w:color="000000"/>
            </w:tcBorders>
            <w:shd w:val="clear" w:color="auto" w:fill="auto"/>
            <w:vAlign w:val="center"/>
            <w:hideMark/>
          </w:tcPr>
          <w:p w14:paraId="11250C51" w14:textId="77777777" w:rsidR="00445689" w:rsidRPr="009B6599" w:rsidRDefault="00445689" w:rsidP="00445689">
            <w:pPr>
              <w:spacing w:after="0" w:line="240" w:lineRule="auto"/>
              <w:jc w:val="center"/>
              <w:rPr>
                <w:rFonts w:ascii="Calibri" w:eastAsia="Times New Roman" w:hAnsi="Calibri" w:cs="Calibri"/>
                <w:color w:val="000000"/>
                <w:sz w:val="18"/>
                <w:szCs w:val="18"/>
                <w:lang w:eastAsia="en-GB"/>
              </w:rPr>
            </w:pPr>
            <w:r w:rsidRPr="009B6599">
              <w:rPr>
                <w:rFonts w:ascii="Calibri" w:eastAsia="Times New Roman" w:hAnsi="Calibri" w:cs="Calibri"/>
                <w:color w:val="000000"/>
                <w:sz w:val="18"/>
                <w:szCs w:val="18"/>
                <w:lang w:eastAsia="en-GB"/>
              </w:rPr>
              <w:t>Contextual Integration</w:t>
            </w:r>
          </w:p>
        </w:tc>
      </w:tr>
      <w:tr w:rsidR="00445689" w:rsidRPr="009B6599" w14:paraId="3DBA8750" w14:textId="77777777" w:rsidTr="006F32B8">
        <w:trPr>
          <w:trHeight w:val="810"/>
          <w:jc w:val="center"/>
        </w:trPr>
        <w:tc>
          <w:tcPr>
            <w:tcW w:w="1110" w:type="dxa"/>
            <w:tcBorders>
              <w:top w:val="nil"/>
              <w:left w:val="single" w:sz="4" w:space="0" w:color="auto"/>
              <w:bottom w:val="single" w:sz="4" w:space="0" w:color="auto"/>
              <w:right w:val="nil"/>
            </w:tcBorders>
            <w:shd w:val="clear" w:color="000000" w:fill="D9D9D9"/>
            <w:vAlign w:val="center"/>
            <w:hideMark/>
          </w:tcPr>
          <w:p w14:paraId="6841AA33" w14:textId="77777777" w:rsidR="00445689" w:rsidRPr="009B6599" w:rsidRDefault="00445689" w:rsidP="00445689">
            <w:pPr>
              <w:spacing w:after="0" w:line="240" w:lineRule="auto"/>
              <w:rPr>
                <w:rFonts w:ascii="Calibri" w:eastAsia="Times New Roman" w:hAnsi="Calibri" w:cs="Calibri"/>
                <w:b/>
                <w:bCs/>
                <w:color w:val="000000"/>
                <w:sz w:val="18"/>
                <w:szCs w:val="18"/>
                <w:lang w:eastAsia="en-GB"/>
              </w:rPr>
            </w:pPr>
            <w:r w:rsidRPr="009B6599">
              <w:rPr>
                <w:rFonts w:ascii="Calibri" w:eastAsia="Times New Roman" w:hAnsi="Calibri" w:cs="Calibri"/>
                <w:b/>
                <w:bCs/>
                <w:color w:val="000000"/>
                <w:sz w:val="18"/>
                <w:szCs w:val="18"/>
                <w:lang w:eastAsia="en-GB"/>
              </w:rPr>
              <w:lastRenderedPageBreak/>
              <w:t>Question / observation point</w:t>
            </w:r>
          </w:p>
        </w:tc>
        <w:tc>
          <w:tcPr>
            <w:tcW w:w="1042" w:type="dxa"/>
            <w:tcBorders>
              <w:top w:val="nil"/>
              <w:left w:val="single" w:sz="4" w:space="0" w:color="auto"/>
              <w:bottom w:val="single" w:sz="4" w:space="0" w:color="auto"/>
              <w:right w:val="single" w:sz="4" w:space="0" w:color="auto"/>
            </w:tcBorders>
            <w:shd w:val="clear" w:color="000000" w:fill="F2F2F2"/>
            <w:vAlign w:val="bottom"/>
            <w:hideMark/>
          </w:tcPr>
          <w:p w14:paraId="3A2B483C" w14:textId="77777777" w:rsidR="00445689" w:rsidRPr="009B6599" w:rsidRDefault="00445689" w:rsidP="00445689">
            <w:pPr>
              <w:spacing w:after="0" w:line="240" w:lineRule="auto"/>
              <w:rPr>
                <w:rFonts w:ascii="Calibri" w:eastAsia="Times New Roman" w:hAnsi="Calibri" w:cs="Calibri"/>
                <w:i/>
                <w:iCs/>
                <w:color w:val="000000"/>
                <w:sz w:val="18"/>
                <w:szCs w:val="18"/>
                <w:lang w:eastAsia="en-GB"/>
              </w:rPr>
            </w:pPr>
            <w:r w:rsidRPr="009B6599">
              <w:rPr>
                <w:rFonts w:ascii="Calibri" w:eastAsia="Times New Roman" w:hAnsi="Calibri" w:cs="Calibri"/>
                <w:i/>
                <w:iCs/>
                <w:color w:val="000000"/>
                <w:sz w:val="18"/>
                <w:szCs w:val="18"/>
                <w:lang w:eastAsia="en-GB"/>
              </w:rPr>
              <w:t> </w:t>
            </w:r>
          </w:p>
        </w:tc>
        <w:tc>
          <w:tcPr>
            <w:tcW w:w="607" w:type="dxa"/>
            <w:tcBorders>
              <w:top w:val="nil"/>
              <w:left w:val="nil"/>
              <w:bottom w:val="single" w:sz="4" w:space="0" w:color="auto"/>
              <w:right w:val="single" w:sz="4" w:space="0" w:color="auto"/>
            </w:tcBorders>
            <w:shd w:val="clear" w:color="auto" w:fill="auto"/>
            <w:noWrap/>
            <w:vAlign w:val="bottom"/>
            <w:hideMark/>
          </w:tcPr>
          <w:p w14:paraId="297EFA3E" w14:textId="77777777" w:rsidR="00445689" w:rsidRPr="009B6599" w:rsidRDefault="00445689" w:rsidP="00445689">
            <w:pPr>
              <w:spacing w:after="0" w:line="240" w:lineRule="auto"/>
              <w:rPr>
                <w:rFonts w:ascii="Calibri" w:eastAsia="Times New Roman" w:hAnsi="Calibri" w:cs="Calibri"/>
                <w:color w:val="000000"/>
                <w:sz w:val="18"/>
                <w:szCs w:val="18"/>
                <w:lang w:eastAsia="en-GB"/>
              </w:rPr>
            </w:pPr>
            <w:r w:rsidRPr="009B6599">
              <w:rPr>
                <w:rFonts w:ascii="Calibri" w:eastAsia="Times New Roman" w:hAnsi="Calibri" w:cs="Calibri"/>
                <w:color w:val="000000"/>
                <w:sz w:val="18"/>
                <w:szCs w:val="18"/>
                <w:lang w:eastAsia="en-GB"/>
              </w:rPr>
              <w:t>Q12-T0</w:t>
            </w:r>
          </w:p>
        </w:tc>
        <w:tc>
          <w:tcPr>
            <w:tcW w:w="660" w:type="dxa"/>
            <w:tcBorders>
              <w:top w:val="nil"/>
              <w:left w:val="nil"/>
              <w:bottom w:val="single" w:sz="4" w:space="0" w:color="auto"/>
              <w:right w:val="nil"/>
            </w:tcBorders>
            <w:shd w:val="clear" w:color="auto" w:fill="auto"/>
            <w:noWrap/>
            <w:vAlign w:val="bottom"/>
            <w:hideMark/>
          </w:tcPr>
          <w:p w14:paraId="0752EB34" w14:textId="77777777" w:rsidR="00445689" w:rsidRPr="009B6599" w:rsidRDefault="00445689" w:rsidP="00445689">
            <w:pPr>
              <w:spacing w:after="0" w:line="240" w:lineRule="auto"/>
              <w:rPr>
                <w:rFonts w:ascii="Calibri" w:eastAsia="Times New Roman" w:hAnsi="Calibri" w:cs="Calibri"/>
                <w:color w:val="000000"/>
                <w:sz w:val="18"/>
                <w:szCs w:val="18"/>
                <w:lang w:eastAsia="en-GB"/>
              </w:rPr>
            </w:pPr>
            <w:r w:rsidRPr="009B6599">
              <w:rPr>
                <w:rFonts w:ascii="Calibri" w:eastAsia="Times New Roman" w:hAnsi="Calibri" w:cs="Calibri"/>
                <w:color w:val="000000"/>
                <w:sz w:val="18"/>
                <w:szCs w:val="18"/>
                <w:lang w:eastAsia="en-GB"/>
              </w:rPr>
              <w:t>Q12-T1</w:t>
            </w:r>
          </w:p>
        </w:tc>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1315D2BB" w14:textId="77777777" w:rsidR="00445689" w:rsidRPr="009B6599" w:rsidRDefault="00445689" w:rsidP="00445689">
            <w:pPr>
              <w:spacing w:after="0" w:line="240" w:lineRule="auto"/>
              <w:rPr>
                <w:rFonts w:ascii="Calibri" w:eastAsia="Times New Roman" w:hAnsi="Calibri" w:cs="Calibri"/>
                <w:color w:val="000000"/>
                <w:sz w:val="18"/>
                <w:szCs w:val="18"/>
                <w:lang w:eastAsia="en-GB"/>
              </w:rPr>
            </w:pPr>
            <w:r w:rsidRPr="009B6599">
              <w:rPr>
                <w:rFonts w:ascii="Calibri" w:eastAsia="Times New Roman" w:hAnsi="Calibri" w:cs="Calibri"/>
                <w:color w:val="000000"/>
                <w:sz w:val="18"/>
                <w:szCs w:val="18"/>
                <w:lang w:eastAsia="en-GB"/>
              </w:rPr>
              <w:t>Q13-T0</w:t>
            </w:r>
          </w:p>
        </w:tc>
        <w:tc>
          <w:tcPr>
            <w:tcW w:w="607" w:type="dxa"/>
            <w:tcBorders>
              <w:top w:val="nil"/>
              <w:left w:val="nil"/>
              <w:bottom w:val="single" w:sz="4" w:space="0" w:color="auto"/>
              <w:right w:val="single" w:sz="4" w:space="0" w:color="auto"/>
            </w:tcBorders>
            <w:shd w:val="clear" w:color="auto" w:fill="auto"/>
            <w:noWrap/>
            <w:vAlign w:val="bottom"/>
            <w:hideMark/>
          </w:tcPr>
          <w:p w14:paraId="4742032F" w14:textId="77777777" w:rsidR="00445689" w:rsidRPr="009B6599" w:rsidRDefault="00445689" w:rsidP="00445689">
            <w:pPr>
              <w:spacing w:after="0" w:line="240" w:lineRule="auto"/>
              <w:rPr>
                <w:rFonts w:ascii="Calibri" w:eastAsia="Times New Roman" w:hAnsi="Calibri" w:cs="Calibri"/>
                <w:color w:val="000000"/>
                <w:sz w:val="18"/>
                <w:szCs w:val="18"/>
                <w:lang w:eastAsia="en-GB"/>
              </w:rPr>
            </w:pPr>
            <w:r w:rsidRPr="009B6599">
              <w:rPr>
                <w:rFonts w:ascii="Calibri" w:eastAsia="Times New Roman" w:hAnsi="Calibri" w:cs="Calibri"/>
                <w:color w:val="000000"/>
                <w:sz w:val="18"/>
                <w:szCs w:val="18"/>
                <w:lang w:eastAsia="en-GB"/>
              </w:rPr>
              <w:t>Q13-T1</w:t>
            </w:r>
          </w:p>
        </w:tc>
        <w:tc>
          <w:tcPr>
            <w:tcW w:w="607" w:type="dxa"/>
            <w:tcBorders>
              <w:top w:val="nil"/>
              <w:left w:val="nil"/>
              <w:bottom w:val="single" w:sz="4" w:space="0" w:color="auto"/>
              <w:right w:val="single" w:sz="4" w:space="0" w:color="auto"/>
            </w:tcBorders>
            <w:shd w:val="clear" w:color="auto" w:fill="auto"/>
            <w:noWrap/>
            <w:vAlign w:val="bottom"/>
            <w:hideMark/>
          </w:tcPr>
          <w:p w14:paraId="4A810534" w14:textId="77777777" w:rsidR="00445689" w:rsidRPr="009B6599" w:rsidRDefault="00445689" w:rsidP="00445689">
            <w:pPr>
              <w:spacing w:after="0" w:line="240" w:lineRule="auto"/>
              <w:rPr>
                <w:rFonts w:ascii="Calibri" w:eastAsia="Times New Roman" w:hAnsi="Calibri" w:cs="Calibri"/>
                <w:color w:val="000000"/>
                <w:sz w:val="18"/>
                <w:szCs w:val="18"/>
                <w:lang w:eastAsia="en-GB"/>
              </w:rPr>
            </w:pPr>
            <w:r w:rsidRPr="009B6599">
              <w:rPr>
                <w:rFonts w:ascii="Calibri" w:eastAsia="Times New Roman" w:hAnsi="Calibri" w:cs="Calibri"/>
                <w:color w:val="000000"/>
                <w:sz w:val="18"/>
                <w:szCs w:val="18"/>
                <w:lang w:eastAsia="en-GB"/>
              </w:rPr>
              <w:t>Q14-T0</w:t>
            </w:r>
          </w:p>
        </w:tc>
        <w:tc>
          <w:tcPr>
            <w:tcW w:w="618" w:type="dxa"/>
            <w:tcBorders>
              <w:top w:val="nil"/>
              <w:left w:val="nil"/>
              <w:bottom w:val="single" w:sz="4" w:space="0" w:color="auto"/>
              <w:right w:val="single" w:sz="4" w:space="0" w:color="auto"/>
            </w:tcBorders>
            <w:shd w:val="clear" w:color="auto" w:fill="auto"/>
            <w:noWrap/>
            <w:vAlign w:val="bottom"/>
            <w:hideMark/>
          </w:tcPr>
          <w:p w14:paraId="52B181A4" w14:textId="77777777" w:rsidR="00445689" w:rsidRPr="009B6599" w:rsidRDefault="00445689" w:rsidP="00445689">
            <w:pPr>
              <w:spacing w:after="0" w:line="240" w:lineRule="auto"/>
              <w:rPr>
                <w:rFonts w:ascii="Calibri" w:eastAsia="Times New Roman" w:hAnsi="Calibri" w:cs="Calibri"/>
                <w:color w:val="000000"/>
                <w:sz w:val="18"/>
                <w:szCs w:val="18"/>
                <w:lang w:eastAsia="en-GB"/>
              </w:rPr>
            </w:pPr>
            <w:r w:rsidRPr="009B6599">
              <w:rPr>
                <w:rFonts w:ascii="Calibri" w:eastAsia="Times New Roman" w:hAnsi="Calibri" w:cs="Calibri"/>
                <w:color w:val="000000"/>
                <w:sz w:val="18"/>
                <w:szCs w:val="18"/>
                <w:lang w:eastAsia="en-GB"/>
              </w:rPr>
              <w:t>Q14-T1</w:t>
            </w:r>
          </w:p>
        </w:tc>
        <w:tc>
          <w:tcPr>
            <w:tcW w:w="607" w:type="dxa"/>
            <w:tcBorders>
              <w:top w:val="nil"/>
              <w:left w:val="nil"/>
              <w:bottom w:val="single" w:sz="4" w:space="0" w:color="auto"/>
              <w:right w:val="single" w:sz="4" w:space="0" w:color="auto"/>
            </w:tcBorders>
            <w:shd w:val="clear" w:color="auto" w:fill="auto"/>
            <w:noWrap/>
            <w:vAlign w:val="bottom"/>
            <w:hideMark/>
          </w:tcPr>
          <w:p w14:paraId="7EC7640A" w14:textId="77777777" w:rsidR="00445689" w:rsidRPr="009B6599" w:rsidRDefault="00445689" w:rsidP="00445689">
            <w:pPr>
              <w:spacing w:after="0" w:line="240" w:lineRule="auto"/>
              <w:rPr>
                <w:rFonts w:ascii="Calibri" w:eastAsia="Times New Roman" w:hAnsi="Calibri" w:cs="Calibri"/>
                <w:color w:val="000000"/>
                <w:sz w:val="18"/>
                <w:szCs w:val="18"/>
                <w:lang w:eastAsia="en-GB"/>
              </w:rPr>
            </w:pPr>
            <w:r w:rsidRPr="009B6599">
              <w:rPr>
                <w:rFonts w:ascii="Calibri" w:eastAsia="Times New Roman" w:hAnsi="Calibri" w:cs="Calibri"/>
                <w:color w:val="000000"/>
                <w:sz w:val="18"/>
                <w:szCs w:val="18"/>
                <w:lang w:eastAsia="en-GB"/>
              </w:rPr>
              <w:t>Q15-T0</w:t>
            </w:r>
          </w:p>
        </w:tc>
        <w:tc>
          <w:tcPr>
            <w:tcW w:w="607" w:type="dxa"/>
            <w:tcBorders>
              <w:top w:val="nil"/>
              <w:left w:val="nil"/>
              <w:bottom w:val="single" w:sz="4" w:space="0" w:color="auto"/>
              <w:right w:val="single" w:sz="4" w:space="0" w:color="auto"/>
            </w:tcBorders>
            <w:shd w:val="clear" w:color="auto" w:fill="auto"/>
            <w:noWrap/>
            <w:vAlign w:val="bottom"/>
            <w:hideMark/>
          </w:tcPr>
          <w:p w14:paraId="4255D050" w14:textId="77777777" w:rsidR="00445689" w:rsidRPr="009B6599" w:rsidRDefault="00445689" w:rsidP="00445689">
            <w:pPr>
              <w:spacing w:after="0" w:line="240" w:lineRule="auto"/>
              <w:rPr>
                <w:rFonts w:ascii="Calibri" w:eastAsia="Times New Roman" w:hAnsi="Calibri" w:cs="Calibri"/>
                <w:color w:val="000000"/>
                <w:sz w:val="18"/>
                <w:szCs w:val="18"/>
                <w:lang w:eastAsia="en-GB"/>
              </w:rPr>
            </w:pPr>
            <w:r w:rsidRPr="009B6599">
              <w:rPr>
                <w:rFonts w:ascii="Calibri" w:eastAsia="Times New Roman" w:hAnsi="Calibri" w:cs="Calibri"/>
                <w:color w:val="000000"/>
                <w:sz w:val="18"/>
                <w:szCs w:val="18"/>
                <w:lang w:eastAsia="en-GB"/>
              </w:rPr>
              <w:t>Q15-T1</w:t>
            </w:r>
          </w:p>
        </w:tc>
        <w:tc>
          <w:tcPr>
            <w:tcW w:w="607" w:type="dxa"/>
            <w:tcBorders>
              <w:top w:val="nil"/>
              <w:left w:val="nil"/>
              <w:bottom w:val="single" w:sz="4" w:space="0" w:color="auto"/>
              <w:right w:val="single" w:sz="4" w:space="0" w:color="auto"/>
            </w:tcBorders>
            <w:shd w:val="clear" w:color="auto" w:fill="auto"/>
            <w:noWrap/>
            <w:vAlign w:val="bottom"/>
            <w:hideMark/>
          </w:tcPr>
          <w:p w14:paraId="7125707D" w14:textId="77777777" w:rsidR="00445689" w:rsidRPr="009B6599" w:rsidRDefault="00445689" w:rsidP="00445689">
            <w:pPr>
              <w:spacing w:after="0" w:line="240" w:lineRule="auto"/>
              <w:rPr>
                <w:rFonts w:ascii="Calibri" w:eastAsia="Times New Roman" w:hAnsi="Calibri" w:cs="Calibri"/>
                <w:color w:val="000000"/>
                <w:sz w:val="18"/>
                <w:szCs w:val="18"/>
                <w:lang w:eastAsia="en-GB"/>
              </w:rPr>
            </w:pPr>
            <w:r w:rsidRPr="009B6599">
              <w:rPr>
                <w:rFonts w:ascii="Calibri" w:eastAsia="Times New Roman" w:hAnsi="Calibri" w:cs="Calibri"/>
                <w:color w:val="000000"/>
                <w:sz w:val="18"/>
                <w:szCs w:val="18"/>
                <w:lang w:eastAsia="en-GB"/>
              </w:rPr>
              <w:t>Q16-T0</w:t>
            </w:r>
          </w:p>
        </w:tc>
        <w:tc>
          <w:tcPr>
            <w:tcW w:w="663" w:type="dxa"/>
            <w:tcBorders>
              <w:top w:val="nil"/>
              <w:left w:val="nil"/>
              <w:bottom w:val="single" w:sz="4" w:space="0" w:color="auto"/>
              <w:right w:val="single" w:sz="4" w:space="0" w:color="auto"/>
            </w:tcBorders>
            <w:shd w:val="clear" w:color="auto" w:fill="auto"/>
            <w:noWrap/>
            <w:vAlign w:val="bottom"/>
            <w:hideMark/>
          </w:tcPr>
          <w:p w14:paraId="44596D09" w14:textId="77777777" w:rsidR="00445689" w:rsidRPr="009B6599" w:rsidRDefault="00445689" w:rsidP="00445689">
            <w:pPr>
              <w:spacing w:after="0" w:line="240" w:lineRule="auto"/>
              <w:rPr>
                <w:rFonts w:ascii="Calibri" w:eastAsia="Times New Roman" w:hAnsi="Calibri" w:cs="Calibri"/>
                <w:color w:val="000000"/>
                <w:sz w:val="18"/>
                <w:szCs w:val="18"/>
                <w:lang w:eastAsia="en-GB"/>
              </w:rPr>
            </w:pPr>
            <w:r w:rsidRPr="009B6599">
              <w:rPr>
                <w:rFonts w:ascii="Calibri" w:eastAsia="Times New Roman" w:hAnsi="Calibri" w:cs="Calibri"/>
                <w:color w:val="000000"/>
                <w:sz w:val="18"/>
                <w:szCs w:val="18"/>
                <w:lang w:eastAsia="en-GB"/>
              </w:rPr>
              <w:t>Q16-T1</w:t>
            </w:r>
          </w:p>
        </w:tc>
        <w:tc>
          <w:tcPr>
            <w:tcW w:w="607" w:type="dxa"/>
            <w:tcBorders>
              <w:top w:val="nil"/>
              <w:left w:val="nil"/>
              <w:bottom w:val="single" w:sz="4" w:space="0" w:color="auto"/>
              <w:right w:val="single" w:sz="4" w:space="0" w:color="auto"/>
            </w:tcBorders>
            <w:shd w:val="clear" w:color="auto" w:fill="auto"/>
            <w:noWrap/>
            <w:vAlign w:val="bottom"/>
            <w:hideMark/>
          </w:tcPr>
          <w:p w14:paraId="35B8D567" w14:textId="77777777" w:rsidR="00445689" w:rsidRPr="009B6599" w:rsidRDefault="00445689" w:rsidP="00445689">
            <w:pPr>
              <w:spacing w:after="0" w:line="240" w:lineRule="auto"/>
              <w:rPr>
                <w:rFonts w:ascii="Calibri" w:eastAsia="Times New Roman" w:hAnsi="Calibri" w:cs="Calibri"/>
                <w:color w:val="000000"/>
                <w:sz w:val="18"/>
                <w:szCs w:val="18"/>
                <w:lang w:eastAsia="en-GB"/>
              </w:rPr>
            </w:pPr>
            <w:r w:rsidRPr="009B6599">
              <w:rPr>
                <w:rFonts w:ascii="Calibri" w:eastAsia="Times New Roman" w:hAnsi="Calibri" w:cs="Calibri"/>
                <w:color w:val="000000"/>
                <w:sz w:val="18"/>
                <w:szCs w:val="18"/>
                <w:lang w:eastAsia="en-GB"/>
              </w:rPr>
              <w:t>Q17-T0</w:t>
            </w:r>
          </w:p>
        </w:tc>
        <w:tc>
          <w:tcPr>
            <w:tcW w:w="607" w:type="dxa"/>
            <w:tcBorders>
              <w:top w:val="nil"/>
              <w:left w:val="nil"/>
              <w:bottom w:val="single" w:sz="4" w:space="0" w:color="auto"/>
              <w:right w:val="single" w:sz="4" w:space="0" w:color="auto"/>
            </w:tcBorders>
            <w:shd w:val="clear" w:color="auto" w:fill="auto"/>
            <w:noWrap/>
            <w:vAlign w:val="bottom"/>
            <w:hideMark/>
          </w:tcPr>
          <w:p w14:paraId="0EDF8FD0" w14:textId="77777777" w:rsidR="00445689" w:rsidRPr="009B6599" w:rsidRDefault="00445689" w:rsidP="00445689">
            <w:pPr>
              <w:spacing w:after="0" w:line="240" w:lineRule="auto"/>
              <w:rPr>
                <w:rFonts w:ascii="Calibri" w:eastAsia="Times New Roman" w:hAnsi="Calibri" w:cs="Calibri"/>
                <w:color w:val="000000"/>
                <w:sz w:val="18"/>
                <w:szCs w:val="18"/>
                <w:lang w:eastAsia="en-GB"/>
              </w:rPr>
            </w:pPr>
            <w:r w:rsidRPr="009B6599">
              <w:rPr>
                <w:rFonts w:ascii="Calibri" w:eastAsia="Times New Roman" w:hAnsi="Calibri" w:cs="Calibri"/>
                <w:color w:val="000000"/>
                <w:sz w:val="18"/>
                <w:szCs w:val="18"/>
                <w:lang w:eastAsia="en-GB"/>
              </w:rPr>
              <w:t>Q17-T1</w:t>
            </w:r>
          </w:p>
        </w:tc>
        <w:tc>
          <w:tcPr>
            <w:tcW w:w="668" w:type="dxa"/>
            <w:tcBorders>
              <w:top w:val="nil"/>
              <w:left w:val="nil"/>
              <w:bottom w:val="single" w:sz="4" w:space="0" w:color="auto"/>
              <w:right w:val="single" w:sz="4" w:space="0" w:color="auto"/>
            </w:tcBorders>
            <w:shd w:val="clear" w:color="auto" w:fill="auto"/>
            <w:noWrap/>
            <w:vAlign w:val="bottom"/>
            <w:hideMark/>
          </w:tcPr>
          <w:p w14:paraId="319CC54D" w14:textId="77777777" w:rsidR="00445689" w:rsidRPr="009B6599" w:rsidRDefault="00445689" w:rsidP="00445689">
            <w:pPr>
              <w:spacing w:after="0" w:line="240" w:lineRule="auto"/>
              <w:rPr>
                <w:rFonts w:ascii="Calibri" w:eastAsia="Times New Roman" w:hAnsi="Calibri" w:cs="Calibri"/>
                <w:color w:val="000000"/>
                <w:sz w:val="18"/>
                <w:szCs w:val="18"/>
                <w:lang w:eastAsia="en-GB"/>
              </w:rPr>
            </w:pPr>
            <w:r w:rsidRPr="009B6599">
              <w:rPr>
                <w:rFonts w:ascii="Calibri" w:eastAsia="Times New Roman" w:hAnsi="Calibri" w:cs="Calibri"/>
                <w:color w:val="000000"/>
                <w:sz w:val="18"/>
                <w:szCs w:val="18"/>
                <w:lang w:eastAsia="en-GB"/>
              </w:rPr>
              <w:t>Q18-T0</w:t>
            </w:r>
          </w:p>
        </w:tc>
        <w:tc>
          <w:tcPr>
            <w:tcW w:w="607" w:type="dxa"/>
            <w:tcBorders>
              <w:top w:val="nil"/>
              <w:left w:val="nil"/>
              <w:bottom w:val="single" w:sz="4" w:space="0" w:color="auto"/>
              <w:right w:val="single" w:sz="4" w:space="0" w:color="auto"/>
            </w:tcBorders>
            <w:shd w:val="clear" w:color="auto" w:fill="auto"/>
            <w:noWrap/>
            <w:vAlign w:val="bottom"/>
            <w:hideMark/>
          </w:tcPr>
          <w:p w14:paraId="6649F14A" w14:textId="77777777" w:rsidR="00445689" w:rsidRPr="009B6599" w:rsidRDefault="00445689" w:rsidP="00445689">
            <w:pPr>
              <w:spacing w:after="0" w:line="240" w:lineRule="auto"/>
              <w:rPr>
                <w:rFonts w:ascii="Calibri" w:eastAsia="Times New Roman" w:hAnsi="Calibri" w:cs="Calibri"/>
                <w:color w:val="000000"/>
                <w:sz w:val="18"/>
                <w:szCs w:val="18"/>
                <w:lang w:eastAsia="en-GB"/>
              </w:rPr>
            </w:pPr>
            <w:r w:rsidRPr="009B6599">
              <w:rPr>
                <w:rFonts w:ascii="Calibri" w:eastAsia="Times New Roman" w:hAnsi="Calibri" w:cs="Calibri"/>
                <w:color w:val="000000"/>
                <w:sz w:val="18"/>
                <w:szCs w:val="18"/>
                <w:lang w:eastAsia="en-GB"/>
              </w:rPr>
              <w:t>Q18-T1</w:t>
            </w:r>
          </w:p>
        </w:tc>
      </w:tr>
      <w:tr w:rsidR="00BC2885" w:rsidRPr="009B6599" w14:paraId="167D5097" w14:textId="77777777" w:rsidTr="000F4EA3">
        <w:trPr>
          <w:trHeight w:val="496"/>
          <w:jc w:val="center"/>
        </w:trPr>
        <w:tc>
          <w:tcPr>
            <w:tcW w:w="1110" w:type="dxa"/>
            <w:vMerge w:val="restart"/>
            <w:tcBorders>
              <w:top w:val="nil"/>
              <w:left w:val="single" w:sz="4" w:space="0" w:color="auto"/>
              <w:right w:val="single" w:sz="4" w:space="0" w:color="auto"/>
            </w:tcBorders>
            <w:shd w:val="clear" w:color="000000" w:fill="D9D9D9"/>
            <w:vAlign w:val="center"/>
            <w:hideMark/>
          </w:tcPr>
          <w:p w14:paraId="37E5E353" w14:textId="77777777" w:rsidR="00BC2885" w:rsidRPr="009B6599" w:rsidRDefault="00BC2885" w:rsidP="00445689">
            <w:pPr>
              <w:spacing w:after="0" w:line="240" w:lineRule="auto"/>
              <w:rPr>
                <w:rFonts w:ascii="Calibri" w:eastAsia="Times New Roman" w:hAnsi="Calibri" w:cs="Calibri"/>
                <w:b/>
                <w:bCs/>
                <w:color w:val="000000"/>
                <w:sz w:val="18"/>
                <w:szCs w:val="18"/>
                <w:lang w:eastAsia="en-GB"/>
              </w:rPr>
            </w:pPr>
            <w:r w:rsidRPr="009B6599">
              <w:rPr>
                <w:rFonts w:ascii="Calibri" w:eastAsia="Times New Roman" w:hAnsi="Calibri" w:cs="Calibri"/>
                <w:b/>
                <w:bCs/>
                <w:color w:val="000000"/>
                <w:sz w:val="18"/>
                <w:szCs w:val="18"/>
                <w:lang w:eastAsia="en-GB"/>
              </w:rPr>
              <w:t>Training Participants (n=13)</w:t>
            </w:r>
          </w:p>
        </w:tc>
        <w:tc>
          <w:tcPr>
            <w:tcW w:w="1042" w:type="dxa"/>
            <w:vMerge w:val="restart"/>
            <w:tcBorders>
              <w:top w:val="nil"/>
              <w:left w:val="nil"/>
              <w:right w:val="single" w:sz="4" w:space="0" w:color="auto"/>
            </w:tcBorders>
            <w:shd w:val="clear" w:color="000000" w:fill="F2F2F2"/>
            <w:vAlign w:val="center"/>
            <w:hideMark/>
          </w:tcPr>
          <w:p w14:paraId="094ECA23" w14:textId="4CF1D6E7" w:rsidR="00BC2885" w:rsidRPr="009B6599" w:rsidRDefault="00BC2885" w:rsidP="000F4EA3">
            <w:pPr>
              <w:spacing w:after="0" w:line="240" w:lineRule="auto"/>
              <w:rPr>
                <w:rFonts w:ascii="Calibri" w:eastAsia="Times New Roman" w:hAnsi="Calibri" w:cs="Calibri"/>
                <w:i/>
                <w:iCs/>
                <w:color w:val="000000"/>
                <w:sz w:val="18"/>
                <w:szCs w:val="18"/>
                <w:lang w:eastAsia="en-GB"/>
              </w:rPr>
            </w:pPr>
            <w:r w:rsidRPr="009B6599">
              <w:rPr>
                <w:rFonts w:ascii="Calibri" w:eastAsia="Times New Roman" w:hAnsi="Calibri" w:cs="Calibri"/>
                <w:i/>
                <w:iCs/>
                <w:color w:val="000000"/>
                <w:sz w:val="18"/>
                <w:szCs w:val="18"/>
                <w:lang w:eastAsia="en-GB"/>
              </w:rPr>
              <w:t>Question / component mean score</w:t>
            </w:r>
            <w:r>
              <w:rPr>
                <w:rFonts w:ascii="Calibri" w:eastAsia="Times New Roman" w:hAnsi="Calibri" w:cs="Calibri"/>
                <w:i/>
                <w:iCs/>
                <w:color w:val="000000"/>
                <w:sz w:val="18"/>
                <w:szCs w:val="18"/>
                <w:lang w:eastAsia="en-GB"/>
              </w:rPr>
              <w:t>, SD, range.</w:t>
            </w:r>
          </w:p>
        </w:tc>
        <w:tc>
          <w:tcPr>
            <w:tcW w:w="607" w:type="dxa"/>
            <w:tcBorders>
              <w:top w:val="single" w:sz="4" w:space="0" w:color="auto"/>
              <w:left w:val="single" w:sz="4" w:space="0" w:color="auto"/>
              <w:right w:val="single" w:sz="4" w:space="0" w:color="auto"/>
            </w:tcBorders>
            <w:shd w:val="clear" w:color="000000" w:fill="75D4F6"/>
            <w:noWrap/>
            <w:vAlign w:val="center"/>
            <w:hideMark/>
          </w:tcPr>
          <w:p w14:paraId="2EAD522B"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1.9</w:t>
            </w:r>
          </w:p>
        </w:tc>
        <w:tc>
          <w:tcPr>
            <w:tcW w:w="660" w:type="dxa"/>
            <w:tcBorders>
              <w:top w:val="single" w:sz="4" w:space="0" w:color="auto"/>
              <w:left w:val="single" w:sz="4" w:space="0" w:color="auto"/>
              <w:right w:val="single" w:sz="4" w:space="0" w:color="auto"/>
            </w:tcBorders>
            <w:shd w:val="clear" w:color="000000" w:fill="62CEF5"/>
            <w:noWrap/>
            <w:vAlign w:val="center"/>
            <w:hideMark/>
          </w:tcPr>
          <w:p w14:paraId="4A3610F7"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1.8</w:t>
            </w:r>
          </w:p>
        </w:tc>
        <w:tc>
          <w:tcPr>
            <w:tcW w:w="607" w:type="dxa"/>
            <w:tcBorders>
              <w:top w:val="single" w:sz="4" w:space="0" w:color="auto"/>
              <w:left w:val="single" w:sz="4" w:space="0" w:color="auto"/>
              <w:right w:val="single" w:sz="4" w:space="0" w:color="auto"/>
            </w:tcBorders>
            <w:shd w:val="clear" w:color="000000" w:fill="62CEF5"/>
            <w:noWrap/>
            <w:vAlign w:val="center"/>
            <w:hideMark/>
          </w:tcPr>
          <w:p w14:paraId="1735A94D"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1.8</w:t>
            </w:r>
          </w:p>
        </w:tc>
        <w:tc>
          <w:tcPr>
            <w:tcW w:w="607" w:type="dxa"/>
            <w:tcBorders>
              <w:top w:val="single" w:sz="4" w:space="0" w:color="auto"/>
              <w:left w:val="single" w:sz="4" w:space="0" w:color="auto"/>
              <w:right w:val="single" w:sz="4" w:space="0" w:color="auto"/>
            </w:tcBorders>
            <w:shd w:val="clear" w:color="000000" w:fill="89DAF8"/>
            <w:noWrap/>
            <w:vAlign w:val="center"/>
            <w:hideMark/>
          </w:tcPr>
          <w:p w14:paraId="00ACB316"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2.1</w:t>
            </w:r>
          </w:p>
        </w:tc>
        <w:tc>
          <w:tcPr>
            <w:tcW w:w="607" w:type="dxa"/>
            <w:tcBorders>
              <w:top w:val="single" w:sz="4" w:space="0" w:color="auto"/>
              <w:left w:val="single" w:sz="4" w:space="0" w:color="auto"/>
              <w:right w:val="single" w:sz="4" w:space="0" w:color="auto"/>
            </w:tcBorders>
            <w:shd w:val="clear" w:color="000000" w:fill="CDEFFC"/>
            <w:noWrap/>
            <w:vAlign w:val="center"/>
            <w:hideMark/>
          </w:tcPr>
          <w:p w14:paraId="7C5F0ABC"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2.6</w:t>
            </w:r>
          </w:p>
        </w:tc>
        <w:tc>
          <w:tcPr>
            <w:tcW w:w="618" w:type="dxa"/>
            <w:tcBorders>
              <w:top w:val="single" w:sz="4" w:space="0" w:color="auto"/>
              <w:left w:val="single" w:sz="4" w:space="0" w:color="auto"/>
              <w:right w:val="single" w:sz="4" w:space="0" w:color="auto"/>
            </w:tcBorders>
            <w:shd w:val="clear" w:color="000000" w:fill="BAE9FA"/>
            <w:noWrap/>
            <w:vAlign w:val="center"/>
            <w:hideMark/>
          </w:tcPr>
          <w:p w14:paraId="652BD3E5"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2.5</w:t>
            </w:r>
          </w:p>
        </w:tc>
        <w:tc>
          <w:tcPr>
            <w:tcW w:w="607" w:type="dxa"/>
            <w:tcBorders>
              <w:top w:val="single" w:sz="4" w:space="0" w:color="auto"/>
              <w:left w:val="single" w:sz="4" w:space="0" w:color="auto"/>
              <w:right w:val="single" w:sz="4" w:space="0" w:color="auto"/>
            </w:tcBorders>
            <w:shd w:val="clear" w:color="000000" w:fill="EBF8FD"/>
            <w:noWrap/>
            <w:vAlign w:val="center"/>
            <w:hideMark/>
          </w:tcPr>
          <w:p w14:paraId="5D6CD879"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2.8</w:t>
            </w:r>
          </w:p>
        </w:tc>
        <w:tc>
          <w:tcPr>
            <w:tcW w:w="607" w:type="dxa"/>
            <w:tcBorders>
              <w:top w:val="single" w:sz="4" w:space="0" w:color="auto"/>
              <w:left w:val="single" w:sz="4" w:space="0" w:color="auto"/>
              <w:right w:val="single" w:sz="4" w:space="0" w:color="auto"/>
            </w:tcBorders>
            <w:shd w:val="clear" w:color="000000" w:fill="F5FBFE"/>
            <w:noWrap/>
            <w:vAlign w:val="center"/>
            <w:hideMark/>
          </w:tcPr>
          <w:p w14:paraId="33B98375"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2.9</w:t>
            </w:r>
          </w:p>
        </w:tc>
        <w:tc>
          <w:tcPr>
            <w:tcW w:w="607" w:type="dxa"/>
            <w:tcBorders>
              <w:top w:val="single" w:sz="4" w:space="0" w:color="auto"/>
              <w:left w:val="single" w:sz="4" w:space="0" w:color="auto"/>
              <w:right w:val="single" w:sz="4" w:space="0" w:color="auto"/>
            </w:tcBorders>
            <w:shd w:val="clear" w:color="000000" w:fill="F5FBFE"/>
            <w:noWrap/>
            <w:vAlign w:val="center"/>
            <w:hideMark/>
          </w:tcPr>
          <w:p w14:paraId="6EF4EFC0"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2.9</w:t>
            </w:r>
          </w:p>
        </w:tc>
        <w:tc>
          <w:tcPr>
            <w:tcW w:w="663" w:type="dxa"/>
            <w:tcBorders>
              <w:top w:val="single" w:sz="4" w:space="0" w:color="auto"/>
              <w:left w:val="single" w:sz="4" w:space="0" w:color="auto"/>
              <w:right w:val="single" w:sz="4" w:space="0" w:color="auto"/>
            </w:tcBorders>
            <w:shd w:val="clear" w:color="000000" w:fill="D7F2FC"/>
            <w:noWrap/>
            <w:vAlign w:val="center"/>
            <w:hideMark/>
          </w:tcPr>
          <w:p w14:paraId="459E8732"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2.7</w:t>
            </w:r>
          </w:p>
        </w:tc>
        <w:tc>
          <w:tcPr>
            <w:tcW w:w="607" w:type="dxa"/>
            <w:tcBorders>
              <w:top w:val="single" w:sz="4" w:space="0" w:color="auto"/>
              <w:left w:val="single" w:sz="4" w:space="0" w:color="auto"/>
              <w:right w:val="single" w:sz="4" w:space="0" w:color="auto"/>
            </w:tcBorders>
            <w:shd w:val="clear" w:color="000000" w:fill="F4FBFE"/>
            <w:noWrap/>
            <w:vAlign w:val="center"/>
            <w:hideMark/>
          </w:tcPr>
          <w:p w14:paraId="6DB5591C"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2.9</w:t>
            </w:r>
          </w:p>
        </w:tc>
        <w:tc>
          <w:tcPr>
            <w:tcW w:w="607" w:type="dxa"/>
            <w:tcBorders>
              <w:top w:val="single" w:sz="4" w:space="0" w:color="auto"/>
              <w:left w:val="single" w:sz="4" w:space="0" w:color="auto"/>
              <w:right w:val="single" w:sz="4" w:space="0" w:color="auto"/>
            </w:tcBorders>
            <w:shd w:val="clear" w:color="000000" w:fill="F5FBFE"/>
            <w:noWrap/>
            <w:vAlign w:val="center"/>
            <w:hideMark/>
          </w:tcPr>
          <w:p w14:paraId="6128801B"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2.9</w:t>
            </w:r>
          </w:p>
        </w:tc>
        <w:tc>
          <w:tcPr>
            <w:tcW w:w="668" w:type="dxa"/>
            <w:tcBorders>
              <w:top w:val="single" w:sz="4" w:space="0" w:color="auto"/>
              <w:left w:val="single" w:sz="4" w:space="0" w:color="auto"/>
              <w:right w:val="single" w:sz="4" w:space="0" w:color="auto"/>
            </w:tcBorders>
            <w:shd w:val="clear" w:color="000000" w:fill="C9EEFB"/>
            <w:noWrap/>
            <w:vAlign w:val="center"/>
            <w:hideMark/>
          </w:tcPr>
          <w:p w14:paraId="69C76C3D"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2.6</w:t>
            </w:r>
          </w:p>
        </w:tc>
        <w:tc>
          <w:tcPr>
            <w:tcW w:w="607" w:type="dxa"/>
            <w:tcBorders>
              <w:top w:val="single" w:sz="4" w:space="0" w:color="auto"/>
              <w:left w:val="single" w:sz="4" w:space="0" w:color="auto"/>
              <w:right w:val="single" w:sz="4" w:space="0" w:color="auto"/>
            </w:tcBorders>
            <w:shd w:val="clear" w:color="000000" w:fill="B0E6FA"/>
            <w:noWrap/>
            <w:vAlign w:val="center"/>
            <w:hideMark/>
          </w:tcPr>
          <w:p w14:paraId="22905799"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2.4</w:t>
            </w:r>
          </w:p>
        </w:tc>
      </w:tr>
      <w:tr w:rsidR="00BC2885" w:rsidRPr="009B6599" w14:paraId="04AF9E24" w14:textId="77777777" w:rsidTr="000F4EA3">
        <w:trPr>
          <w:trHeight w:val="80"/>
          <w:jc w:val="center"/>
        </w:trPr>
        <w:tc>
          <w:tcPr>
            <w:tcW w:w="1110" w:type="dxa"/>
            <w:vMerge/>
            <w:tcBorders>
              <w:left w:val="single" w:sz="4" w:space="0" w:color="auto"/>
              <w:right w:val="single" w:sz="4" w:space="0" w:color="auto"/>
            </w:tcBorders>
            <w:shd w:val="clear" w:color="000000" w:fill="D9D9D9"/>
            <w:vAlign w:val="center"/>
          </w:tcPr>
          <w:p w14:paraId="0F8A38EC" w14:textId="77777777" w:rsidR="00BC2885" w:rsidRPr="009B6599" w:rsidRDefault="00BC2885" w:rsidP="00BC2885">
            <w:pPr>
              <w:spacing w:after="0" w:line="240" w:lineRule="auto"/>
              <w:rPr>
                <w:rFonts w:ascii="Calibri" w:eastAsia="Times New Roman" w:hAnsi="Calibri" w:cs="Calibri"/>
                <w:b/>
                <w:bCs/>
                <w:color w:val="000000"/>
                <w:sz w:val="18"/>
                <w:szCs w:val="18"/>
                <w:lang w:eastAsia="en-GB"/>
              </w:rPr>
            </w:pPr>
          </w:p>
        </w:tc>
        <w:tc>
          <w:tcPr>
            <w:tcW w:w="1042" w:type="dxa"/>
            <w:vMerge/>
            <w:tcBorders>
              <w:left w:val="nil"/>
              <w:right w:val="single" w:sz="4" w:space="0" w:color="auto"/>
            </w:tcBorders>
            <w:shd w:val="clear" w:color="000000" w:fill="F2F2F2"/>
            <w:vAlign w:val="bottom"/>
          </w:tcPr>
          <w:p w14:paraId="44B67B7E" w14:textId="77777777" w:rsidR="00BC2885" w:rsidRPr="009B6599" w:rsidRDefault="00BC2885" w:rsidP="00BC2885">
            <w:pPr>
              <w:spacing w:after="0" w:line="240" w:lineRule="auto"/>
              <w:rPr>
                <w:rFonts w:ascii="Calibri" w:eastAsia="Times New Roman" w:hAnsi="Calibri" w:cs="Calibri"/>
                <w:i/>
                <w:iCs/>
                <w:color w:val="000000"/>
                <w:sz w:val="18"/>
                <w:szCs w:val="18"/>
                <w:lang w:eastAsia="en-GB"/>
              </w:rPr>
            </w:pPr>
          </w:p>
        </w:tc>
        <w:tc>
          <w:tcPr>
            <w:tcW w:w="607" w:type="dxa"/>
            <w:tcBorders>
              <w:left w:val="single" w:sz="4" w:space="0" w:color="auto"/>
              <w:right w:val="single" w:sz="4" w:space="0" w:color="auto"/>
            </w:tcBorders>
            <w:shd w:val="clear" w:color="000000" w:fill="75D4F6"/>
            <w:noWrap/>
            <w:vAlign w:val="bottom"/>
          </w:tcPr>
          <w:p w14:paraId="27AC6EBC" w14:textId="0014CCB5"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0.64</w:t>
            </w:r>
          </w:p>
        </w:tc>
        <w:tc>
          <w:tcPr>
            <w:tcW w:w="660" w:type="dxa"/>
            <w:tcBorders>
              <w:left w:val="single" w:sz="4" w:space="0" w:color="auto"/>
              <w:right w:val="single" w:sz="4" w:space="0" w:color="auto"/>
            </w:tcBorders>
            <w:shd w:val="clear" w:color="000000" w:fill="62CEF5"/>
            <w:noWrap/>
            <w:vAlign w:val="bottom"/>
          </w:tcPr>
          <w:p w14:paraId="1D20F399" w14:textId="38FDF53A"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0.44</w:t>
            </w:r>
          </w:p>
        </w:tc>
        <w:tc>
          <w:tcPr>
            <w:tcW w:w="607" w:type="dxa"/>
            <w:tcBorders>
              <w:left w:val="single" w:sz="4" w:space="0" w:color="auto"/>
              <w:right w:val="single" w:sz="4" w:space="0" w:color="auto"/>
            </w:tcBorders>
            <w:shd w:val="clear" w:color="000000" w:fill="62CEF5"/>
            <w:noWrap/>
            <w:vAlign w:val="bottom"/>
          </w:tcPr>
          <w:p w14:paraId="142DEB22" w14:textId="01B571C4"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0.73</w:t>
            </w:r>
          </w:p>
        </w:tc>
        <w:tc>
          <w:tcPr>
            <w:tcW w:w="607" w:type="dxa"/>
            <w:tcBorders>
              <w:left w:val="single" w:sz="4" w:space="0" w:color="auto"/>
              <w:right w:val="single" w:sz="4" w:space="0" w:color="auto"/>
            </w:tcBorders>
            <w:shd w:val="clear" w:color="000000" w:fill="89DAF8"/>
            <w:noWrap/>
            <w:vAlign w:val="bottom"/>
          </w:tcPr>
          <w:p w14:paraId="40A233D2" w14:textId="28DA1617"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0.76</w:t>
            </w:r>
          </w:p>
        </w:tc>
        <w:tc>
          <w:tcPr>
            <w:tcW w:w="607" w:type="dxa"/>
            <w:tcBorders>
              <w:left w:val="single" w:sz="4" w:space="0" w:color="auto"/>
              <w:right w:val="single" w:sz="4" w:space="0" w:color="auto"/>
            </w:tcBorders>
            <w:shd w:val="clear" w:color="000000" w:fill="CDEFFC"/>
            <w:noWrap/>
            <w:vAlign w:val="bottom"/>
          </w:tcPr>
          <w:p w14:paraId="29AAC92C" w14:textId="518E3870"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0.77</w:t>
            </w:r>
          </w:p>
        </w:tc>
        <w:tc>
          <w:tcPr>
            <w:tcW w:w="618" w:type="dxa"/>
            <w:tcBorders>
              <w:left w:val="single" w:sz="4" w:space="0" w:color="auto"/>
              <w:right w:val="single" w:sz="4" w:space="0" w:color="auto"/>
            </w:tcBorders>
            <w:shd w:val="clear" w:color="000000" w:fill="BAE9FA"/>
            <w:noWrap/>
            <w:vAlign w:val="bottom"/>
          </w:tcPr>
          <w:p w14:paraId="17F45436" w14:textId="5818077D"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0.52</w:t>
            </w:r>
          </w:p>
        </w:tc>
        <w:tc>
          <w:tcPr>
            <w:tcW w:w="607" w:type="dxa"/>
            <w:tcBorders>
              <w:left w:val="single" w:sz="4" w:space="0" w:color="auto"/>
              <w:right w:val="single" w:sz="4" w:space="0" w:color="auto"/>
            </w:tcBorders>
            <w:shd w:val="clear" w:color="000000" w:fill="EBF8FD"/>
            <w:noWrap/>
            <w:vAlign w:val="bottom"/>
          </w:tcPr>
          <w:p w14:paraId="134F4A13" w14:textId="2CE42858"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0.90</w:t>
            </w:r>
          </w:p>
        </w:tc>
        <w:tc>
          <w:tcPr>
            <w:tcW w:w="607" w:type="dxa"/>
            <w:tcBorders>
              <w:left w:val="single" w:sz="4" w:space="0" w:color="auto"/>
              <w:right w:val="single" w:sz="4" w:space="0" w:color="auto"/>
            </w:tcBorders>
            <w:shd w:val="clear" w:color="000000" w:fill="F5FBFE"/>
            <w:noWrap/>
            <w:vAlign w:val="bottom"/>
          </w:tcPr>
          <w:p w14:paraId="63D9860E" w14:textId="47EC7AF4"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0.95</w:t>
            </w:r>
          </w:p>
        </w:tc>
        <w:tc>
          <w:tcPr>
            <w:tcW w:w="607" w:type="dxa"/>
            <w:tcBorders>
              <w:left w:val="single" w:sz="4" w:space="0" w:color="auto"/>
              <w:right w:val="single" w:sz="4" w:space="0" w:color="auto"/>
            </w:tcBorders>
            <w:shd w:val="clear" w:color="000000" w:fill="F5FBFE"/>
            <w:noWrap/>
            <w:vAlign w:val="bottom"/>
          </w:tcPr>
          <w:p w14:paraId="2AF8A80B" w14:textId="5635CB50"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1.12</w:t>
            </w:r>
          </w:p>
        </w:tc>
        <w:tc>
          <w:tcPr>
            <w:tcW w:w="663" w:type="dxa"/>
            <w:tcBorders>
              <w:left w:val="single" w:sz="4" w:space="0" w:color="auto"/>
              <w:right w:val="single" w:sz="4" w:space="0" w:color="auto"/>
            </w:tcBorders>
            <w:shd w:val="clear" w:color="000000" w:fill="D7F2FC"/>
            <w:noWrap/>
            <w:vAlign w:val="bottom"/>
          </w:tcPr>
          <w:p w14:paraId="2053897C" w14:textId="68C5B2BF"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0.85</w:t>
            </w:r>
          </w:p>
        </w:tc>
        <w:tc>
          <w:tcPr>
            <w:tcW w:w="607" w:type="dxa"/>
            <w:tcBorders>
              <w:left w:val="single" w:sz="4" w:space="0" w:color="auto"/>
              <w:right w:val="single" w:sz="4" w:space="0" w:color="auto"/>
            </w:tcBorders>
            <w:shd w:val="clear" w:color="000000" w:fill="F4FBFE"/>
            <w:noWrap/>
            <w:vAlign w:val="bottom"/>
          </w:tcPr>
          <w:p w14:paraId="3FCE2B92" w14:textId="03673ECE"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1.24</w:t>
            </w:r>
          </w:p>
        </w:tc>
        <w:tc>
          <w:tcPr>
            <w:tcW w:w="607" w:type="dxa"/>
            <w:tcBorders>
              <w:left w:val="single" w:sz="4" w:space="0" w:color="auto"/>
              <w:right w:val="single" w:sz="4" w:space="0" w:color="auto"/>
            </w:tcBorders>
            <w:shd w:val="clear" w:color="000000" w:fill="F5FBFE"/>
            <w:noWrap/>
            <w:vAlign w:val="bottom"/>
          </w:tcPr>
          <w:p w14:paraId="636A4B7D" w14:textId="2AE10A27"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0.86</w:t>
            </w:r>
          </w:p>
        </w:tc>
        <w:tc>
          <w:tcPr>
            <w:tcW w:w="668" w:type="dxa"/>
            <w:tcBorders>
              <w:left w:val="single" w:sz="4" w:space="0" w:color="auto"/>
              <w:right w:val="single" w:sz="4" w:space="0" w:color="auto"/>
            </w:tcBorders>
            <w:shd w:val="clear" w:color="000000" w:fill="C9EEFB"/>
            <w:noWrap/>
            <w:vAlign w:val="bottom"/>
          </w:tcPr>
          <w:p w14:paraId="7FDEF73D" w14:textId="164F3F2E"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1.08</w:t>
            </w:r>
          </w:p>
        </w:tc>
        <w:tc>
          <w:tcPr>
            <w:tcW w:w="607" w:type="dxa"/>
            <w:tcBorders>
              <w:left w:val="single" w:sz="4" w:space="0" w:color="auto"/>
              <w:right w:val="single" w:sz="4" w:space="0" w:color="auto"/>
            </w:tcBorders>
            <w:shd w:val="clear" w:color="000000" w:fill="B0E6FA"/>
            <w:noWrap/>
            <w:vAlign w:val="bottom"/>
          </w:tcPr>
          <w:p w14:paraId="27BFD087" w14:textId="79378659"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0.65</w:t>
            </w:r>
          </w:p>
        </w:tc>
      </w:tr>
      <w:tr w:rsidR="00BC2885" w:rsidRPr="009B6599" w14:paraId="1A4D66B4" w14:textId="77777777" w:rsidTr="000F4EA3">
        <w:trPr>
          <w:trHeight w:val="308"/>
          <w:jc w:val="center"/>
        </w:trPr>
        <w:tc>
          <w:tcPr>
            <w:tcW w:w="1110" w:type="dxa"/>
            <w:vMerge/>
            <w:tcBorders>
              <w:left w:val="single" w:sz="4" w:space="0" w:color="auto"/>
              <w:bottom w:val="nil"/>
              <w:right w:val="single" w:sz="4" w:space="0" w:color="auto"/>
            </w:tcBorders>
            <w:shd w:val="clear" w:color="000000" w:fill="D9D9D9"/>
            <w:vAlign w:val="center"/>
          </w:tcPr>
          <w:p w14:paraId="4AE9E5AC" w14:textId="77777777" w:rsidR="00BC2885" w:rsidRPr="009B6599" w:rsidRDefault="00BC2885" w:rsidP="00BC2885">
            <w:pPr>
              <w:spacing w:after="0" w:line="240" w:lineRule="auto"/>
              <w:rPr>
                <w:rFonts w:ascii="Calibri" w:eastAsia="Times New Roman" w:hAnsi="Calibri" w:cs="Calibri"/>
                <w:b/>
                <w:bCs/>
                <w:color w:val="000000"/>
                <w:sz w:val="18"/>
                <w:szCs w:val="18"/>
                <w:lang w:eastAsia="en-GB"/>
              </w:rPr>
            </w:pPr>
          </w:p>
        </w:tc>
        <w:tc>
          <w:tcPr>
            <w:tcW w:w="1042" w:type="dxa"/>
            <w:vMerge/>
            <w:tcBorders>
              <w:left w:val="nil"/>
              <w:bottom w:val="single" w:sz="4" w:space="0" w:color="auto"/>
              <w:right w:val="single" w:sz="4" w:space="0" w:color="auto"/>
            </w:tcBorders>
            <w:shd w:val="clear" w:color="000000" w:fill="F2F2F2"/>
            <w:vAlign w:val="bottom"/>
          </w:tcPr>
          <w:p w14:paraId="0A1CE4F5" w14:textId="77777777" w:rsidR="00BC2885" w:rsidRPr="009B6599" w:rsidRDefault="00BC2885" w:rsidP="00BC2885">
            <w:pPr>
              <w:spacing w:after="0" w:line="240" w:lineRule="auto"/>
              <w:rPr>
                <w:rFonts w:ascii="Calibri" w:eastAsia="Times New Roman" w:hAnsi="Calibri" w:cs="Calibri"/>
                <w:i/>
                <w:iCs/>
                <w:color w:val="000000"/>
                <w:sz w:val="18"/>
                <w:szCs w:val="18"/>
                <w:lang w:eastAsia="en-GB"/>
              </w:rPr>
            </w:pPr>
          </w:p>
        </w:tc>
        <w:tc>
          <w:tcPr>
            <w:tcW w:w="607" w:type="dxa"/>
            <w:tcBorders>
              <w:left w:val="single" w:sz="4" w:space="0" w:color="auto"/>
              <w:bottom w:val="single" w:sz="4" w:space="0" w:color="auto"/>
              <w:right w:val="single" w:sz="4" w:space="0" w:color="auto"/>
            </w:tcBorders>
            <w:shd w:val="clear" w:color="000000" w:fill="75D4F6"/>
            <w:noWrap/>
            <w:vAlign w:val="bottom"/>
          </w:tcPr>
          <w:p w14:paraId="11884CF2" w14:textId="0AB8E25A"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1 - 3</w:t>
            </w:r>
          </w:p>
        </w:tc>
        <w:tc>
          <w:tcPr>
            <w:tcW w:w="660" w:type="dxa"/>
            <w:tcBorders>
              <w:left w:val="single" w:sz="4" w:space="0" w:color="auto"/>
              <w:bottom w:val="single" w:sz="4" w:space="0" w:color="auto"/>
              <w:right w:val="single" w:sz="4" w:space="0" w:color="auto"/>
            </w:tcBorders>
            <w:shd w:val="clear" w:color="000000" w:fill="62CEF5"/>
            <w:noWrap/>
            <w:vAlign w:val="bottom"/>
          </w:tcPr>
          <w:p w14:paraId="34FC8D66" w14:textId="71D041C7"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1 - 2</w:t>
            </w:r>
          </w:p>
        </w:tc>
        <w:tc>
          <w:tcPr>
            <w:tcW w:w="607" w:type="dxa"/>
            <w:tcBorders>
              <w:left w:val="single" w:sz="4" w:space="0" w:color="auto"/>
              <w:bottom w:val="single" w:sz="4" w:space="0" w:color="auto"/>
              <w:right w:val="single" w:sz="4" w:space="0" w:color="auto"/>
            </w:tcBorders>
            <w:shd w:val="clear" w:color="000000" w:fill="62CEF5"/>
            <w:noWrap/>
            <w:vAlign w:val="bottom"/>
          </w:tcPr>
          <w:p w14:paraId="57C93F58" w14:textId="5D785A24"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3 - 5</w:t>
            </w:r>
          </w:p>
        </w:tc>
        <w:tc>
          <w:tcPr>
            <w:tcW w:w="607" w:type="dxa"/>
            <w:tcBorders>
              <w:left w:val="single" w:sz="4" w:space="0" w:color="auto"/>
              <w:bottom w:val="single" w:sz="4" w:space="0" w:color="auto"/>
              <w:right w:val="single" w:sz="4" w:space="0" w:color="auto"/>
            </w:tcBorders>
            <w:shd w:val="clear" w:color="000000" w:fill="89DAF8"/>
            <w:noWrap/>
            <w:vAlign w:val="bottom"/>
          </w:tcPr>
          <w:p w14:paraId="5E900323" w14:textId="6D26F1D0"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2 - 5</w:t>
            </w:r>
          </w:p>
        </w:tc>
        <w:tc>
          <w:tcPr>
            <w:tcW w:w="607" w:type="dxa"/>
            <w:tcBorders>
              <w:left w:val="single" w:sz="4" w:space="0" w:color="auto"/>
              <w:bottom w:val="single" w:sz="4" w:space="0" w:color="auto"/>
              <w:right w:val="single" w:sz="4" w:space="0" w:color="auto"/>
            </w:tcBorders>
            <w:shd w:val="clear" w:color="000000" w:fill="CDEFFC"/>
            <w:noWrap/>
            <w:vAlign w:val="bottom"/>
          </w:tcPr>
          <w:p w14:paraId="55D52C55" w14:textId="0A17B77F"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1 - 4</w:t>
            </w:r>
          </w:p>
        </w:tc>
        <w:tc>
          <w:tcPr>
            <w:tcW w:w="618" w:type="dxa"/>
            <w:tcBorders>
              <w:left w:val="single" w:sz="4" w:space="0" w:color="auto"/>
              <w:bottom w:val="single" w:sz="4" w:space="0" w:color="auto"/>
              <w:right w:val="single" w:sz="4" w:space="0" w:color="auto"/>
            </w:tcBorders>
            <w:shd w:val="clear" w:color="000000" w:fill="BAE9FA"/>
            <w:noWrap/>
            <w:vAlign w:val="bottom"/>
          </w:tcPr>
          <w:p w14:paraId="6E1291D1" w14:textId="4AE72B39"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2 - 3</w:t>
            </w:r>
          </w:p>
        </w:tc>
        <w:tc>
          <w:tcPr>
            <w:tcW w:w="607" w:type="dxa"/>
            <w:tcBorders>
              <w:left w:val="single" w:sz="4" w:space="0" w:color="auto"/>
              <w:bottom w:val="single" w:sz="4" w:space="0" w:color="auto"/>
              <w:right w:val="single" w:sz="4" w:space="0" w:color="auto"/>
            </w:tcBorders>
            <w:shd w:val="clear" w:color="000000" w:fill="EBF8FD"/>
            <w:noWrap/>
            <w:vAlign w:val="bottom"/>
          </w:tcPr>
          <w:p w14:paraId="5970F011" w14:textId="21720A5E"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1 - 4</w:t>
            </w:r>
          </w:p>
        </w:tc>
        <w:tc>
          <w:tcPr>
            <w:tcW w:w="607" w:type="dxa"/>
            <w:tcBorders>
              <w:left w:val="single" w:sz="4" w:space="0" w:color="auto"/>
              <w:bottom w:val="single" w:sz="4" w:space="0" w:color="auto"/>
              <w:right w:val="single" w:sz="4" w:space="0" w:color="auto"/>
            </w:tcBorders>
            <w:shd w:val="clear" w:color="000000" w:fill="F5FBFE"/>
            <w:noWrap/>
            <w:vAlign w:val="bottom"/>
          </w:tcPr>
          <w:p w14:paraId="5CB6A0CE" w14:textId="2F0477C4"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2 - 5</w:t>
            </w:r>
          </w:p>
        </w:tc>
        <w:tc>
          <w:tcPr>
            <w:tcW w:w="607" w:type="dxa"/>
            <w:tcBorders>
              <w:left w:val="single" w:sz="4" w:space="0" w:color="auto"/>
              <w:bottom w:val="single" w:sz="4" w:space="0" w:color="auto"/>
              <w:right w:val="single" w:sz="4" w:space="0" w:color="auto"/>
            </w:tcBorders>
            <w:shd w:val="clear" w:color="000000" w:fill="F5FBFE"/>
            <w:noWrap/>
            <w:vAlign w:val="bottom"/>
          </w:tcPr>
          <w:p w14:paraId="6543D680" w14:textId="597355D8"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1 - 4</w:t>
            </w:r>
          </w:p>
        </w:tc>
        <w:tc>
          <w:tcPr>
            <w:tcW w:w="663" w:type="dxa"/>
            <w:tcBorders>
              <w:left w:val="single" w:sz="4" w:space="0" w:color="auto"/>
              <w:bottom w:val="single" w:sz="4" w:space="0" w:color="auto"/>
              <w:right w:val="single" w:sz="4" w:space="0" w:color="auto"/>
            </w:tcBorders>
            <w:shd w:val="clear" w:color="000000" w:fill="D7F2FC"/>
            <w:noWrap/>
            <w:vAlign w:val="bottom"/>
          </w:tcPr>
          <w:p w14:paraId="7688DA44" w14:textId="38B12FC9"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2 - 4</w:t>
            </w:r>
          </w:p>
        </w:tc>
        <w:tc>
          <w:tcPr>
            <w:tcW w:w="607" w:type="dxa"/>
            <w:tcBorders>
              <w:left w:val="single" w:sz="4" w:space="0" w:color="auto"/>
              <w:bottom w:val="single" w:sz="4" w:space="0" w:color="auto"/>
              <w:right w:val="single" w:sz="4" w:space="0" w:color="auto"/>
            </w:tcBorders>
            <w:shd w:val="clear" w:color="000000" w:fill="F4FBFE"/>
            <w:noWrap/>
            <w:vAlign w:val="bottom"/>
          </w:tcPr>
          <w:p w14:paraId="7B2A66E0" w14:textId="00831694"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1 - 5</w:t>
            </w:r>
          </w:p>
        </w:tc>
        <w:tc>
          <w:tcPr>
            <w:tcW w:w="607" w:type="dxa"/>
            <w:tcBorders>
              <w:left w:val="single" w:sz="4" w:space="0" w:color="auto"/>
              <w:bottom w:val="single" w:sz="4" w:space="0" w:color="auto"/>
              <w:right w:val="single" w:sz="4" w:space="0" w:color="auto"/>
            </w:tcBorders>
            <w:shd w:val="clear" w:color="000000" w:fill="F5FBFE"/>
            <w:noWrap/>
            <w:vAlign w:val="bottom"/>
          </w:tcPr>
          <w:p w14:paraId="24B9891A" w14:textId="4005D61A"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2 - 4</w:t>
            </w:r>
          </w:p>
        </w:tc>
        <w:tc>
          <w:tcPr>
            <w:tcW w:w="668" w:type="dxa"/>
            <w:tcBorders>
              <w:left w:val="single" w:sz="4" w:space="0" w:color="auto"/>
              <w:bottom w:val="single" w:sz="4" w:space="0" w:color="auto"/>
              <w:right w:val="single" w:sz="4" w:space="0" w:color="auto"/>
            </w:tcBorders>
            <w:shd w:val="clear" w:color="000000" w:fill="C9EEFB"/>
            <w:noWrap/>
            <w:vAlign w:val="bottom"/>
          </w:tcPr>
          <w:p w14:paraId="7CCD694F" w14:textId="3AF36EFA"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1 - 4</w:t>
            </w:r>
          </w:p>
        </w:tc>
        <w:tc>
          <w:tcPr>
            <w:tcW w:w="607" w:type="dxa"/>
            <w:tcBorders>
              <w:left w:val="single" w:sz="4" w:space="0" w:color="auto"/>
              <w:bottom w:val="single" w:sz="4" w:space="0" w:color="auto"/>
              <w:right w:val="single" w:sz="4" w:space="0" w:color="auto"/>
            </w:tcBorders>
            <w:shd w:val="clear" w:color="000000" w:fill="B0E6FA"/>
            <w:noWrap/>
            <w:vAlign w:val="bottom"/>
          </w:tcPr>
          <w:p w14:paraId="6F4DE4BF" w14:textId="27F52F5C" w:rsidR="00BC2885" w:rsidRPr="000F4EA3" w:rsidRDefault="00BC2885" w:rsidP="00BC2885">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1 - 3</w:t>
            </w:r>
          </w:p>
        </w:tc>
      </w:tr>
      <w:tr w:rsidR="00BC2885" w:rsidRPr="009B6599" w14:paraId="02021D0F" w14:textId="77777777" w:rsidTr="000F4EA3">
        <w:trPr>
          <w:trHeight w:val="512"/>
          <w:jc w:val="center"/>
        </w:trPr>
        <w:tc>
          <w:tcPr>
            <w:tcW w:w="1110" w:type="dxa"/>
            <w:vMerge w:val="restart"/>
            <w:tcBorders>
              <w:top w:val="single" w:sz="4" w:space="0" w:color="auto"/>
              <w:left w:val="single" w:sz="4" w:space="0" w:color="auto"/>
              <w:right w:val="single" w:sz="4" w:space="0" w:color="auto"/>
            </w:tcBorders>
            <w:shd w:val="clear" w:color="000000" w:fill="D9D9D9"/>
            <w:vAlign w:val="center"/>
            <w:hideMark/>
          </w:tcPr>
          <w:p w14:paraId="608979AF" w14:textId="77777777" w:rsidR="00BC2885" w:rsidRPr="009B6599" w:rsidRDefault="00BC2885" w:rsidP="00445689">
            <w:pPr>
              <w:spacing w:after="0" w:line="240" w:lineRule="auto"/>
              <w:rPr>
                <w:rFonts w:ascii="Calibri" w:eastAsia="Times New Roman" w:hAnsi="Calibri" w:cs="Calibri"/>
                <w:b/>
                <w:bCs/>
                <w:color w:val="000000"/>
                <w:sz w:val="18"/>
                <w:szCs w:val="18"/>
                <w:lang w:eastAsia="en-GB"/>
              </w:rPr>
            </w:pPr>
            <w:r w:rsidRPr="009B6599">
              <w:rPr>
                <w:rFonts w:ascii="Calibri" w:eastAsia="Times New Roman" w:hAnsi="Calibri" w:cs="Calibri"/>
                <w:b/>
                <w:bCs/>
                <w:color w:val="000000"/>
                <w:sz w:val="18"/>
                <w:szCs w:val="18"/>
                <w:lang w:eastAsia="en-GB"/>
              </w:rPr>
              <w:t>Non-training participants (n=19)</w:t>
            </w:r>
          </w:p>
        </w:tc>
        <w:tc>
          <w:tcPr>
            <w:tcW w:w="1042" w:type="dxa"/>
            <w:vMerge w:val="restart"/>
            <w:tcBorders>
              <w:top w:val="nil"/>
              <w:left w:val="nil"/>
              <w:right w:val="single" w:sz="4" w:space="0" w:color="auto"/>
            </w:tcBorders>
            <w:shd w:val="clear" w:color="000000" w:fill="F2F2F2"/>
            <w:vAlign w:val="center"/>
            <w:hideMark/>
          </w:tcPr>
          <w:p w14:paraId="150E1DB2" w14:textId="760A9797" w:rsidR="00BC2885" w:rsidRPr="009B6599" w:rsidRDefault="00BC2885" w:rsidP="000F4EA3">
            <w:pPr>
              <w:spacing w:after="0" w:line="240" w:lineRule="auto"/>
              <w:rPr>
                <w:rFonts w:ascii="Calibri" w:eastAsia="Times New Roman" w:hAnsi="Calibri" w:cs="Calibri"/>
                <w:i/>
                <w:iCs/>
                <w:color w:val="000000"/>
                <w:sz w:val="18"/>
                <w:szCs w:val="18"/>
                <w:lang w:eastAsia="en-GB"/>
              </w:rPr>
            </w:pPr>
            <w:r w:rsidRPr="009B6599">
              <w:rPr>
                <w:rFonts w:ascii="Calibri" w:eastAsia="Times New Roman" w:hAnsi="Calibri" w:cs="Calibri"/>
                <w:i/>
                <w:iCs/>
                <w:color w:val="000000"/>
                <w:sz w:val="18"/>
                <w:szCs w:val="18"/>
                <w:lang w:eastAsia="en-GB"/>
              </w:rPr>
              <w:t>Question / component mean score</w:t>
            </w:r>
            <w:r>
              <w:rPr>
                <w:rFonts w:ascii="Calibri" w:eastAsia="Times New Roman" w:hAnsi="Calibri" w:cs="Calibri"/>
                <w:i/>
                <w:iCs/>
                <w:color w:val="000000"/>
                <w:sz w:val="18"/>
                <w:szCs w:val="18"/>
                <w:lang w:eastAsia="en-GB"/>
              </w:rPr>
              <w:t>, SD, range.</w:t>
            </w:r>
          </w:p>
        </w:tc>
        <w:tc>
          <w:tcPr>
            <w:tcW w:w="607" w:type="dxa"/>
            <w:tcBorders>
              <w:top w:val="single" w:sz="4" w:space="0" w:color="auto"/>
              <w:left w:val="single" w:sz="4" w:space="0" w:color="auto"/>
              <w:right w:val="single" w:sz="4" w:space="0" w:color="auto"/>
            </w:tcBorders>
            <w:shd w:val="clear" w:color="000000" w:fill="8CDBF8"/>
            <w:noWrap/>
            <w:vAlign w:val="center"/>
            <w:hideMark/>
          </w:tcPr>
          <w:p w14:paraId="5995F773"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2.1</w:t>
            </w:r>
          </w:p>
        </w:tc>
        <w:tc>
          <w:tcPr>
            <w:tcW w:w="660" w:type="dxa"/>
            <w:tcBorders>
              <w:top w:val="single" w:sz="4" w:space="0" w:color="auto"/>
              <w:left w:val="single" w:sz="4" w:space="0" w:color="auto"/>
              <w:right w:val="single" w:sz="4" w:space="0" w:color="auto"/>
            </w:tcBorders>
            <w:shd w:val="clear" w:color="000000" w:fill="A7E3F9"/>
            <w:noWrap/>
            <w:vAlign w:val="center"/>
            <w:hideMark/>
          </w:tcPr>
          <w:p w14:paraId="6942E30C"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2.3</w:t>
            </w:r>
          </w:p>
        </w:tc>
        <w:tc>
          <w:tcPr>
            <w:tcW w:w="607" w:type="dxa"/>
            <w:tcBorders>
              <w:top w:val="single" w:sz="4" w:space="0" w:color="auto"/>
              <w:left w:val="single" w:sz="4" w:space="0" w:color="auto"/>
              <w:right w:val="single" w:sz="4" w:space="0" w:color="auto"/>
            </w:tcBorders>
            <w:shd w:val="clear" w:color="000000" w:fill="86D9F7"/>
            <w:noWrap/>
            <w:vAlign w:val="center"/>
            <w:hideMark/>
          </w:tcPr>
          <w:p w14:paraId="460D2F42"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2.1</w:t>
            </w:r>
          </w:p>
        </w:tc>
        <w:tc>
          <w:tcPr>
            <w:tcW w:w="607" w:type="dxa"/>
            <w:tcBorders>
              <w:top w:val="single" w:sz="4" w:space="0" w:color="auto"/>
              <w:left w:val="single" w:sz="4" w:space="0" w:color="auto"/>
              <w:right w:val="single" w:sz="4" w:space="0" w:color="auto"/>
            </w:tcBorders>
            <w:shd w:val="clear" w:color="000000" w:fill="B5E8FA"/>
            <w:noWrap/>
            <w:vAlign w:val="center"/>
            <w:hideMark/>
          </w:tcPr>
          <w:p w14:paraId="02DAC009"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2.4</w:t>
            </w:r>
          </w:p>
        </w:tc>
        <w:tc>
          <w:tcPr>
            <w:tcW w:w="607" w:type="dxa"/>
            <w:tcBorders>
              <w:top w:val="single" w:sz="4" w:space="0" w:color="auto"/>
              <w:left w:val="single" w:sz="4" w:space="0" w:color="auto"/>
              <w:right w:val="single" w:sz="4" w:space="0" w:color="auto"/>
            </w:tcBorders>
            <w:shd w:val="clear" w:color="000000" w:fill="9BE0F9"/>
            <w:noWrap/>
            <w:vAlign w:val="center"/>
            <w:hideMark/>
          </w:tcPr>
          <w:p w14:paraId="1D05D092"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2.2</w:t>
            </w:r>
          </w:p>
        </w:tc>
        <w:tc>
          <w:tcPr>
            <w:tcW w:w="618" w:type="dxa"/>
            <w:tcBorders>
              <w:top w:val="single" w:sz="4" w:space="0" w:color="auto"/>
              <w:left w:val="single" w:sz="4" w:space="0" w:color="auto"/>
              <w:right w:val="single" w:sz="4" w:space="0" w:color="auto"/>
            </w:tcBorders>
            <w:shd w:val="clear" w:color="000000" w:fill="BFEBFB"/>
            <w:noWrap/>
            <w:vAlign w:val="center"/>
            <w:hideMark/>
          </w:tcPr>
          <w:p w14:paraId="031F2678"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2.5</w:t>
            </w:r>
          </w:p>
        </w:tc>
        <w:tc>
          <w:tcPr>
            <w:tcW w:w="607" w:type="dxa"/>
            <w:tcBorders>
              <w:top w:val="single" w:sz="4" w:space="0" w:color="auto"/>
              <w:left w:val="single" w:sz="4" w:space="0" w:color="auto"/>
              <w:right w:val="single" w:sz="4" w:space="0" w:color="auto"/>
            </w:tcBorders>
            <w:shd w:val="clear" w:color="000000" w:fill="D6F2FC"/>
            <w:noWrap/>
            <w:vAlign w:val="center"/>
            <w:hideMark/>
          </w:tcPr>
          <w:p w14:paraId="5D138144"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2.7</w:t>
            </w:r>
          </w:p>
        </w:tc>
        <w:tc>
          <w:tcPr>
            <w:tcW w:w="607" w:type="dxa"/>
            <w:tcBorders>
              <w:top w:val="single" w:sz="4" w:space="0" w:color="auto"/>
              <w:left w:val="single" w:sz="4" w:space="0" w:color="auto"/>
              <w:right w:val="single" w:sz="4" w:space="0" w:color="auto"/>
            </w:tcBorders>
            <w:shd w:val="clear" w:color="000000" w:fill="AAE4FA"/>
            <w:noWrap/>
            <w:vAlign w:val="center"/>
            <w:hideMark/>
          </w:tcPr>
          <w:p w14:paraId="5052E5F8"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2.3</w:t>
            </w:r>
          </w:p>
        </w:tc>
        <w:tc>
          <w:tcPr>
            <w:tcW w:w="607" w:type="dxa"/>
            <w:tcBorders>
              <w:top w:val="single" w:sz="4" w:space="0" w:color="auto"/>
              <w:left w:val="single" w:sz="4" w:space="0" w:color="auto"/>
              <w:right w:val="single" w:sz="4" w:space="0" w:color="auto"/>
            </w:tcBorders>
            <w:shd w:val="clear" w:color="000000" w:fill="FFFFE9"/>
            <w:noWrap/>
            <w:vAlign w:val="center"/>
            <w:hideMark/>
          </w:tcPr>
          <w:p w14:paraId="174D4AE4"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3.2</w:t>
            </w:r>
          </w:p>
        </w:tc>
        <w:tc>
          <w:tcPr>
            <w:tcW w:w="663" w:type="dxa"/>
            <w:tcBorders>
              <w:top w:val="single" w:sz="4" w:space="0" w:color="auto"/>
              <w:left w:val="single" w:sz="4" w:space="0" w:color="auto"/>
              <w:right w:val="single" w:sz="4" w:space="0" w:color="auto"/>
            </w:tcBorders>
            <w:shd w:val="clear" w:color="000000" w:fill="F8FCFE"/>
            <w:noWrap/>
            <w:vAlign w:val="center"/>
            <w:hideMark/>
          </w:tcPr>
          <w:p w14:paraId="0B3EC09B"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2.9</w:t>
            </w:r>
          </w:p>
        </w:tc>
        <w:tc>
          <w:tcPr>
            <w:tcW w:w="607" w:type="dxa"/>
            <w:tcBorders>
              <w:top w:val="single" w:sz="4" w:space="0" w:color="auto"/>
              <w:left w:val="single" w:sz="4" w:space="0" w:color="auto"/>
              <w:right w:val="single" w:sz="4" w:space="0" w:color="auto"/>
            </w:tcBorders>
            <w:shd w:val="clear" w:color="000000" w:fill="EAF8FD"/>
            <w:noWrap/>
            <w:vAlign w:val="center"/>
            <w:hideMark/>
          </w:tcPr>
          <w:p w14:paraId="016FC17F"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2.8</w:t>
            </w:r>
          </w:p>
        </w:tc>
        <w:tc>
          <w:tcPr>
            <w:tcW w:w="607" w:type="dxa"/>
            <w:tcBorders>
              <w:top w:val="single" w:sz="4" w:space="0" w:color="auto"/>
              <w:left w:val="single" w:sz="4" w:space="0" w:color="auto"/>
              <w:right w:val="single" w:sz="4" w:space="0" w:color="auto"/>
            </w:tcBorders>
            <w:shd w:val="clear" w:color="000000" w:fill="FFFFF2"/>
            <w:noWrap/>
            <w:vAlign w:val="center"/>
            <w:hideMark/>
          </w:tcPr>
          <w:p w14:paraId="375EC7AE"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3.1</w:t>
            </w:r>
          </w:p>
        </w:tc>
        <w:tc>
          <w:tcPr>
            <w:tcW w:w="668" w:type="dxa"/>
            <w:tcBorders>
              <w:top w:val="single" w:sz="4" w:space="0" w:color="auto"/>
              <w:left w:val="single" w:sz="4" w:space="0" w:color="auto"/>
              <w:right w:val="single" w:sz="4" w:space="0" w:color="auto"/>
            </w:tcBorders>
            <w:shd w:val="clear" w:color="000000" w:fill="C2ECFB"/>
            <w:noWrap/>
            <w:vAlign w:val="center"/>
            <w:hideMark/>
          </w:tcPr>
          <w:p w14:paraId="4A1F2DEF"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2.5</w:t>
            </w:r>
          </w:p>
        </w:tc>
        <w:tc>
          <w:tcPr>
            <w:tcW w:w="607" w:type="dxa"/>
            <w:tcBorders>
              <w:top w:val="single" w:sz="4" w:space="0" w:color="auto"/>
              <w:left w:val="single" w:sz="4" w:space="0" w:color="auto"/>
              <w:right w:val="single" w:sz="4" w:space="0" w:color="auto"/>
            </w:tcBorders>
            <w:shd w:val="clear" w:color="000000" w:fill="E4F6FD"/>
            <w:noWrap/>
            <w:vAlign w:val="center"/>
            <w:hideMark/>
          </w:tcPr>
          <w:p w14:paraId="29321952" w14:textId="77777777" w:rsidR="00BC2885" w:rsidRPr="000F4EA3" w:rsidRDefault="00BC2885" w:rsidP="00BC2885">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2.8</w:t>
            </w:r>
          </w:p>
        </w:tc>
      </w:tr>
      <w:tr w:rsidR="006F32B8" w:rsidRPr="009B6599" w14:paraId="2DC608C9" w14:textId="77777777" w:rsidTr="000F4EA3">
        <w:trPr>
          <w:trHeight w:val="80"/>
          <w:jc w:val="center"/>
        </w:trPr>
        <w:tc>
          <w:tcPr>
            <w:tcW w:w="1110" w:type="dxa"/>
            <w:vMerge/>
            <w:tcBorders>
              <w:left w:val="single" w:sz="4" w:space="0" w:color="auto"/>
              <w:right w:val="single" w:sz="4" w:space="0" w:color="auto"/>
            </w:tcBorders>
            <w:shd w:val="clear" w:color="000000" w:fill="D9D9D9"/>
            <w:vAlign w:val="center"/>
          </w:tcPr>
          <w:p w14:paraId="77708812" w14:textId="77777777" w:rsidR="006F32B8" w:rsidRPr="009B6599" w:rsidRDefault="006F32B8" w:rsidP="006F32B8">
            <w:pPr>
              <w:spacing w:after="0" w:line="240" w:lineRule="auto"/>
              <w:rPr>
                <w:rFonts w:ascii="Calibri" w:eastAsia="Times New Roman" w:hAnsi="Calibri" w:cs="Calibri"/>
                <w:b/>
                <w:bCs/>
                <w:color w:val="000000"/>
                <w:sz w:val="18"/>
                <w:szCs w:val="18"/>
                <w:lang w:eastAsia="en-GB"/>
              </w:rPr>
            </w:pPr>
          </w:p>
        </w:tc>
        <w:tc>
          <w:tcPr>
            <w:tcW w:w="1042" w:type="dxa"/>
            <w:vMerge/>
            <w:tcBorders>
              <w:left w:val="nil"/>
              <w:right w:val="single" w:sz="4" w:space="0" w:color="auto"/>
            </w:tcBorders>
            <w:shd w:val="clear" w:color="000000" w:fill="F2F2F2"/>
            <w:vAlign w:val="bottom"/>
          </w:tcPr>
          <w:p w14:paraId="33211ABE" w14:textId="77777777" w:rsidR="006F32B8" w:rsidRPr="009B6599" w:rsidRDefault="006F32B8" w:rsidP="006F32B8">
            <w:pPr>
              <w:spacing w:after="0" w:line="240" w:lineRule="auto"/>
              <w:rPr>
                <w:rFonts w:ascii="Calibri" w:eastAsia="Times New Roman" w:hAnsi="Calibri" w:cs="Calibri"/>
                <w:i/>
                <w:iCs/>
                <w:color w:val="000000"/>
                <w:sz w:val="18"/>
                <w:szCs w:val="18"/>
                <w:lang w:eastAsia="en-GB"/>
              </w:rPr>
            </w:pPr>
          </w:p>
        </w:tc>
        <w:tc>
          <w:tcPr>
            <w:tcW w:w="607" w:type="dxa"/>
            <w:tcBorders>
              <w:left w:val="single" w:sz="4" w:space="0" w:color="auto"/>
              <w:right w:val="single" w:sz="4" w:space="0" w:color="auto"/>
            </w:tcBorders>
            <w:shd w:val="clear" w:color="000000" w:fill="8CDBF8"/>
            <w:noWrap/>
            <w:vAlign w:val="bottom"/>
          </w:tcPr>
          <w:p w14:paraId="180BBCC6" w14:textId="770182D5"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0.81</w:t>
            </w:r>
          </w:p>
        </w:tc>
        <w:tc>
          <w:tcPr>
            <w:tcW w:w="660" w:type="dxa"/>
            <w:tcBorders>
              <w:left w:val="single" w:sz="4" w:space="0" w:color="auto"/>
              <w:right w:val="single" w:sz="4" w:space="0" w:color="auto"/>
            </w:tcBorders>
            <w:shd w:val="clear" w:color="000000" w:fill="A7E3F9"/>
            <w:noWrap/>
            <w:vAlign w:val="bottom"/>
          </w:tcPr>
          <w:p w14:paraId="1555B1ED" w14:textId="10051E17"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1.00</w:t>
            </w:r>
          </w:p>
        </w:tc>
        <w:tc>
          <w:tcPr>
            <w:tcW w:w="607" w:type="dxa"/>
            <w:tcBorders>
              <w:left w:val="single" w:sz="4" w:space="0" w:color="auto"/>
              <w:right w:val="single" w:sz="4" w:space="0" w:color="auto"/>
            </w:tcBorders>
            <w:shd w:val="clear" w:color="000000" w:fill="86D9F7"/>
            <w:noWrap/>
            <w:vAlign w:val="bottom"/>
          </w:tcPr>
          <w:p w14:paraId="13979B34" w14:textId="2F6023CF"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0.78</w:t>
            </w:r>
          </w:p>
        </w:tc>
        <w:tc>
          <w:tcPr>
            <w:tcW w:w="607" w:type="dxa"/>
            <w:tcBorders>
              <w:left w:val="single" w:sz="4" w:space="0" w:color="auto"/>
              <w:right w:val="single" w:sz="4" w:space="0" w:color="auto"/>
            </w:tcBorders>
            <w:shd w:val="clear" w:color="000000" w:fill="B5E8FA"/>
            <w:noWrap/>
            <w:vAlign w:val="bottom"/>
          </w:tcPr>
          <w:p w14:paraId="3A29E605" w14:textId="164A92AB"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0.69</w:t>
            </w:r>
          </w:p>
        </w:tc>
        <w:tc>
          <w:tcPr>
            <w:tcW w:w="607" w:type="dxa"/>
            <w:tcBorders>
              <w:left w:val="single" w:sz="4" w:space="0" w:color="auto"/>
              <w:right w:val="single" w:sz="4" w:space="0" w:color="auto"/>
            </w:tcBorders>
            <w:shd w:val="clear" w:color="000000" w:fill="9BE0F9"/>
            <w:noWrap/>
            <w:vAlign w:val="bottom"/>
          </w:tcPr>
          <w:p w14:paraId="746A1645" w14:textId="45E97520"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0.73</w:t>
            </w:r>
          </w:p>
        </w:tc>
        <w:tc>
          <w:tcPr>
            <w:tcW w:w="618" w:type="dxa"/>
            <w:tcBorders>
              <w:left w:val="single" w:sz="4" w:space="0" w:color="auto"/>
              <w:right w:val="single" w:sz="4" w:space="0" w:color="auto"/>
            </w:tcBorders>
            <w:shd w:val="clear" w:color="000000" w:fill="BFEBFB"/>
            <w:noWrap/>
            <w:vAlign w:val="bottom"/>
          </w:tcPr>
          <w:p w14:paraId="24E547B5" w14:textId="283F1FA6"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0.62</w:t>
            </w:r>
          </w:p>
        </w:tc>
        <w:tc>
          <w:tcPr>
            <w:tcW w:w="607" w:type="dxa"/>
            <w:tcBorders>
              <w:left w:val="single" w:sz="4" w:space="0" w:color="auto"/>
              <w:right w:val="single" w:sz="4" w:space="0" w:color="auto"/>
            </w:tcBorders>
            <w:shd w:val="clear" w:color="000000" w:fill="D6F2FC"/>
            <w:noWrap/>
            <w:vAlign w:val="bottom"/>
          </w:tcPr>
          <w:p w14:paraId="0AFCC14D" w14:textId="18ADE0AC"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1.00</w:t>
            </w:r>
          </w:p>
        </w:tc>
        <w:tc>
          <w:tcPr>
            <w:tcW w:w="607" w:type="dxa"/>
            <w:tcBorders>
              <w:left w:val="single" w:sz="4" w:space="0" w:color="auto"/>
              <w:right w:val="single" w:sz="4" w:space="0" w:color="auto"/>
            </w:tcBorders>
            <w:shd w:val="clear" w:color="000000" w:fill="AAE4FA"/>
            <w:noWrap/>
            <w:vAlign w:val="bottom"/>
          </w:tcPr>
          <w:p w14:paraId="1D905295" w14:textId="6190F741"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1.03</w:t>
            </w:r>
          </w:p>
        </w:tc>
        <w:tc>
          <w:tcPr>
            <w:tcW w:w="607" w:type="dxa"/>
            <w:tcBorders>
              <w:left w:val="single" w:sz="4" w:space="0" w:color="auto"/>
              <w:right w:val="single" w:sz="4" w:space="0" w:color="auto"/>
            </w:tcBorders>
            <w:shd w:val="clear" w:color="000000" w:fill="FFFFE9"/>
            <w:noWrap/>
            <w:vAlign w:val="bottom"/>
          </w:tcPr>
          <w:p w14:paraId="44BCED07" w14:textId="116A717A"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1.07</w:t>
            </w:r>
          </w:p>
        </w:tc>
        <w:tc>
          <w:tcPr>
            <w:tcW w:w="663" w:type="dxa"/>
            <w:tcBorders>
              <w:left w:val="single" w:sz="4" w:space="0" w:color="auto"/>
              <w:right w:val="single" w:sz="4" w:space="0" w:color="auto"/>
            </w:tcBorders>
            <w:shd w:val="clear" w:color="000000" w:fill="F8FCFE"/>
            <w:noWrap/>
            <w:vAlign w:val="bottom"/>
          </w:tcPr>
          <w:p w14:paraId="1EDE09A6" w14:textId="3B900846"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1.39</w:t>
            </w:r>
          </w:p>
        </w:tc>
        <w:tc>
          <w:tcPr>
            <w:tcW w:w="607" w:type="dxa"/>
            <w:tcBorders>
              <w:left w:val="single" w:sz="4" w:space="0" w:color="auto"/>
              <w:right w:val="single" w:sz="4" w:space="0" w:color="auto"/>
            </w:tcBorders>
            <w:shd w:val="clear" w:color="000000" w:fill="EAF8FD"/>
            <w:noWrap/>
            <w:vAlign w:val="bottom"/>
          </w:tcPr>
          <w:p w14:paraId="4724F28E" w14:textId="1F9A2CB0"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0.69</w:t>
            </w:r>
          </w:p>
        </w:tc>
        <w:tc>
          <w:tcPr>
            <w:tcW w:w="607" w:type="dxa"/>
            <w:tcBorders>
              <w:left w:val="single" w:sz="4" w:space="0" w:color="auto"/>
              <w:right w:val="single" w:sz="4" w:space="0" w:color="auto"/>
            </w:tcBorders>
            <w:shd w:val="clear" w:color="000000" w:fill="FFFFF2"/>
            <w:noWrap/>
            <w:vAlign w:val="bottom"/>
          </w:tcPr>
          <w:p w14:paraId="6F7A15D6" w14:textId="78B12BCF"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1.20</w:t>
            </w:r>
          </w:p>
        </w:tc>
        <w:tc>
          <w:tcPr>
            <w:tcW w:w="668" w:type="dxa"/>
            <w:tcBorders>
              <w:left w:val="single" w:sz="4" w:space="0" w:color="auto"/>
              <w:right w:val="single" w:sz="4" w:space="0" w:color="auto"/>
            </w:tcBorders>
            <w:shd w:val="clear" w:color="000000" w:fill="C2ECFB"/>
            <w:noWrap/>
            <w:vAlign w:val="bottom"/>
          </w:tcPr>
          <w:p w14:paraId="39A4B44B" w14:textId="3FEA962A"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0.84</w:t>
            </w:r>
          </w:p>
        </w:tc>
        <w:tc>
          <w:tcPr>
            <w:tcW w:w="607" w:type="dxa"/>
            <w:tcBorders>
              <w:left w:val="single" w:sz="4" w:space="0" w:color="auto"/>
              <w:right w:val="single" w:sz="4" w:space="0" w:color="auto"/>
            </w:tcBorders>
            <w:shd w:val="clear" w:color="000000" w:fill="E4F6FD"/>
            <w:noWrap/>
            <w:vAlign w:val="bottom"/>
          </w:tcPr>
          <w:p w14:paraId="7EA57D54" w14:textId="258FADBD"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1.08</w:t>
            </w:r>
          </w:p>
        </w:tc>
      </w:tr>
      <w:tr w:rsidR="006F32B8" w:rsidRPr="009B6599" w14:paraId="730894AC" w14:textId="77777777" w:rsidTr="000F4EA3">
        <w:trPr>
          <w:trHeight w:val="93"/>
          <w:jc w:val="center"/>
        </w:trPr>
        <w:tc>
          <w:tcPr>
            <w:tcW w:w="1110" w:type="dxa"/>
            <w:vMerge/>
            <w:tcBorders>
              <w:left w:val="single" w:sz="4" w:space="0" w:color="auto"/>
              <w:bottom w:val="single" w:sz="4" w:space="0" w:color="auto"/>
              <w:right w:val="single" w:sz="4" w:space="0" w:color="auto"/>
            </w:tcBorders>
            <w:shd w:val="clear" w:color="000000" w:fill="D9D9D9"/>
            <w:vAlign w:val="center"/>
          </w:tcPr>
          <w:p w14:paraId="30AA5593" w14:textId="77777777" w:rsidR="006F32B8" w:rsidRPr="009B6599" w:rsidRDefault="006F32B8" w:rsidP="006F32B8">
            <w:pPr>
              <w:spacing w:after="0" w:line="240" w:lineRule="auto"/>
              <w:rPr>
                <w:rFonts w:ascii="Calibri" w:eastAsia="Times New Roman" w:hAnsi="Calibri" w:cs="Calibri"/>
                <w:b/>
                <w:bCs/>
                <w:color w:val="000000"/>
                <w:sz w:val="18"/>
                <w:szCs w:val="18"/>
                <w:lang w:eastAsia="en-GB"/>
              </w:rPr>
            </w:pPr>
          </w:p>
        </w:tc>
        <w:tc>
          <w:tcPr>
            <w:tcW w:w="1042" w:type="dxa"/>
            <w:vMerge/>
            <w:tcBorders>
              <w:left w:val="nil"/>
              <w:bottom w:val="single" w:sz="4" w:space="0" w:color="auto"/>
              <w:right w:val="single" w:sz="4" w:space="0" w:color="auto"/>
            </w:tcBorders>
            <w:shd w:val="clear" w:color="000000" w:fill="F2F2F2"/>
            <w:vAlign w:val="bottom"/>
          </w:tcPr>
          <w:p w14:paraId="11A1B20F" w14:textId="77777777" w:rsidR="006F32B8" w:rsidRPr="009B6599" w:rsidRDefault="006F32B8" w:rsidP="006F32B8">
            <w:pPr>
              <w:spacing w:after="0" w:line="240" w:lineRule="auto"/>
              <w:rPr>
                <w:rFonts w:ascii="Calibri" w:eastAsia="Times New Roman" w:hAnsi="Calibri" w:cs="Calibri"/>
                <w:i/>
                <w:iCs/>
                <w:color w:val="000000"/>
                <w:sz w:val="18"/>
                <w:szCs w:val="18"/>
                <w:lang w:eastAsia="en-GB"/>
              </w:rPr>
            </w:pPr>
          </w:p>
        </w:tc>
        <w:tc>
          <w:tcPr>
            <w:tcW w:w="607" w:type="dxa"/>
            <w:tcBorders>
              <w:left w:val="single" w:sz="4" w:space="0" w:color="auto"/>
              <w:bottom w:val="single" w:sz="4" w:space="0" w:color="auto"/>
              <w:right w:val="single" w:sz="4" w:space="0" w:color="auto"/>
            </w:tcBorders>
            <w:shd w:val="clear" w:color="000000" w:fill="8CDBF8"/>
            <w:noWrap/>
            <w:vAlign w:val="bottom"/>
          </w:tcPr>
          <w:p w14:paraId="0338B222" w14:textId="7FFA486E"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1 - 4</w:t>
            </w:r>
          </w:p>
        </w:tc>
        <w:tc>
          <w:tcPr>
            <w:tcW w:w="660" w:type="dxa"/>
            <w:tcBorders>
              <w:left w:val="single" w:sz="4" w:space="0" w:color="auto"/>
              <w:bottom w:val="single" w:sz="4" w:space="0" w:color="auto"/>
              <w:right w:val="single" w:sz="4" w:space="0" w:color="auto"/>
            </w:tcBorders>
            <w:shd w:val="clear" w:color="000000" w:fill="A7E3F9"/>
            <w:noWrap/>
            <w:vAlign w:val="bottom"/>
          </w:tcPr>
          <w:p w14:paraId="31167D2C" w14:textId="3FB9B10D"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1 - 4</w:t>
            </w:r>
          </w:p>
        </w:tc>
        <w:tc>
          <w:tcPr>
            <w:tcW w:w="607" w:type="dxa"/>
            <w:tcBorders>
              <w:left w:val="single" w:sz="4" w:space="0" w:color="auto"/>
              <w:bottom w:val="single" w:sz="4" w:space="0" w:color="auto"/>
              <w:right w:val="single" w:sz="4" w:space="0" w:color="auto"/>
            </w:tcBorders>
            <w:shd w:val="clear" w:color="000000" w:fill="86D9F7"/>
            <w:noWrap/>
            <w:vAlign w:val="bottom"/>
          </w:tcPr>
          <w:p w14:paraId="46CCCB04" w14:textId="51CA1AC3"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2 - 5</w:t>
            </w:r>
          </w:p>
        </w:tc>
        <w:tc>
          <w:tcPr>
            <w:tcW w:w="607" w:type="dxa"/>
            <w:tcBorders>
              <w:left w:val="single" w:sz="4" w:space="0" w:color="auto"/>
              <w:bottom w:val="single" w:sz="4" w:space="0" w:color="auto"/>
              <w:right w:val="single" w:sz="4" w:space="0" w:color="auto"/>
            </w:tcBorders>
            <w:shd w:val="clear" w:color="000000" w:fill="B5E8FA"/>
            <w:noWrap/>
            <w:vAlign w:val="bottom"/>
          </w:tcPr>
          <w:p w14:paraId="3995349E" w14:textId="517178EA"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2 - 4</w:t>
            </w:r>
          </w:p>
        </w:tc>
        <w:tc>
          <w:tcPr>
            <w:tcW w:w="607" w:type="dxa"/>
            <w:tcBorders>
              <w:left w:val="single" w:sz="4" w:space="0" w:color="auto"/>
              <w:bottom w:val="single" w:sz="4" w:space="0" w:color="auto"/>
              <w:right w:val="single" w:sz="4" w:space="0" w:color="auto"/>
            </w:tcBorders>
            <w:shd w:val="clear" w:color="000000" w:fill="9BE0F9"/>
            <w:noWrap/>
            <w:vAlign w:val="bottom"/>
          </w:tcPr>
          <w:p w14:paraId="2C1054E9" w14:textId="09388D31"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1 - 3</w:t>
            </w:r>
          </w:p>
        </w:tc>
        <w:tc>
          <w:tcPr>
            <w:tcW w:w="618" w:type="dxa"/>
            <w:tcBorders>
              <w:left w:val="single" w:sz="4" w:space="0" w:color="auto"/>
              <w:bottom w:val="single" w:sz="4" w:space="0" w:color="auto"/>
              <w:right w:val="single" w:sz="4" w:space="0" w:color="auto"/>
            </w:tcBorders>
            <w:shd w:val="clear" w:color="000000" w:fill="BFEBFB"/>
            <w:noWrap/>
            <w:vAlign w:val="bottom"/>
          </w:tcPr>
          <w:p w14:paraId="09963B60" w14:textId="598D3EA8"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2 - 4</w:t>
            </w:r>
          </w:p>
        </w:tc>
        <w:tc>
          <w:tcPr>
            <w:tcW w:w="607" w:type="dxa"/>
            <w:tcBorders>
              <w:left w:val="single" w:sz="4" w:space="0" w:color="auto"/>
              <w:bottom w:val="single" w:sz="4" w:space="0" w:color="auto"/>
              <w:right w:val="single" w:sz="4" w:space="0" w:color="auto"/>
            </w:tcBorders>
            <w:shd w:val="clear" w:color="000000" w:fill="D6F2FC"/>
            <w:noWrap/>
            <w:vAlign w:val="bottom"/>
          </w:tcPr>
          <w:p w14:paraId="63708559" w14:textId="1AA9932B"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1 - 5</w:t>
            </w:r>
          </w:p>
        </w:tc>
        <w:tc>
          <w:tcPr>
            <w:tcW w:w="607" w:type="dxa"/>
            <w:tcBorders>
              <w:left w:val="single" w:sz="4" w:space="0" w:color="auto"/>
              <w:bottom w:val="single" w:sz="4" w:space="0" w:color="auto"/>
              <w:right w:val="single" w:sz="4" w:space="0" w:color="auto"/>
            </w:tcBorders>
            <w:shd w:val="clear" w:color="000000" w:fill="AAE4FA"/>
            <w:noWrap/>
            <w:vAlign w:val="bottom"/>
          </w:tcPr>
          <w:p w14:paraId="6EB89F5D" w14:textId="767F8DD1"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1 - 4</w:t>
            </w:r>
          </w:p>
        </w:tc>
        <w:tc>
          <w:tcPr>
            <w:tcW w:w="607" w:type="dxa"/>
            <w:tcBorders>
              <w:left w:val="single" w:sz="4" w:space="0" w:color="auto"/>
              <w:bottom w:val="single" w:sz="4" w:space="0" w:color="auto"/>
              <w:right w:val="single" w:sz="4" w:space="0" w:color="auto"/>
            </w:tcBorders>
            <w:shd w:val="clear" w:color="000000" w:fill="FFFFE9"/>
            <w:noWrap/>
            <w:vAlign w:val="bottom"/>
          </w:tcPr>
          <w:p w14:paraId="3BC6B28A" w14:textId="167089C8"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2 - 5</w:t>
            </w:r>
          </w:p>
        </w:tc>
        <w:tc>
          <w:tcPr>
            <w:tcW w:w="663" w:type="dxa"/>
            <w:tcBorders>
              <w:left w:val="single" w:sz="4" w:space="0" w:color="auto"/>
              <w:bottom w:val="single" w:sz="4" w:space="0" w:color="auto"/>
              <w:right w:val="single" w:sz="4" w:space="0" w:color="auto"/>
            </w:tcBorders>
            <w:shd w:val="clear" w:color="000000" w:fill="F8FCFE"/>
            <w:noWrap/>
            <w:vAlign w:val="bottom"/>
          </w:tcPr>
          <w:p w14:paraId="50BC266F" w14:textId="7662850F"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1 - 5</w:t>
            </w:r>
          </w:p>
        </w:tc>
        <w:tc>
          <w:tcPr>
            <w:tcW w:w="607" w:type="dxa"/>
            <w:tcBorders>
              <w:left w:val="single" w:sz="4" w:space="0" w:color="auto"/>
              <w:bottom w:val="single" w:sz="4" w:space="0" w:color="auto"/>
              <w:right w:val="single" w:sz="4" w:space="0" w:color="auto"/>
            </w:tcBorders>
            <w:shd w:val="clear" w:color="000000" w:fill="EAF8FD"/>
            <w:noWrap/>
            <w:vAlign w:val="bottom"/>
          </w:tcPr>
          <w:p w14:paraId="5D1B430B" w14:textId="3C9794A0"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2 - 4</w:t>
            </w:r>
          </w:p>
        </w:tc>
        <w:tc>
          <w:tcPr>
            <w:tcW w:w="607" w:type="dxa"/>
            <w:tcBorders>
              <w:left w:val="single" w:sz="4" w:space="0" w:color="auto"/>
              <w:bottom w:val="single" w:sz="4" w:space="0" w:color="auto"/>
              <w:right w:val="single" w:sz="4" w:space="0" w:color="auto"/>
            </w:tcBorders>
            <w:shd w:val="clear" w:color="000000" w:fill="FFFFF2"/>
            <w:noWrap/>
            <w:vAlign w:val="bottom"/>
          </w:tcPr>
          <w:p w14:paraId="79E7EB36" w14:textId="1E2D817D"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1 - 5</w:t>
            </w:r>
          </w:p>
        </w:tc>
        <w:tc>
          <w:tcPr>
            <w:tcW w:w="668" w:type="dxa"/>
            <w:tcBorders>
              <w:left w:val="single" w:sz="4" w:space="0" w:color="auto"/>
              <w:bottom w:val="single" w:sz="4" w:space="0" w:color="auto"/>
              <w:right w:val="single" w:sz="4" w:space="0" w:color="auto"/>
            </w:tcBorders>
            <w:shd w:val="clear" w:color="000000" w:fill="C2ECFB"/>
            <w:noWrap/>
            <w:vAlign w:val="bottom"/>
          </w:tcPr>
          <w:p w14:paraId="51377E3D" w14:textId="52CD5733"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2 - 5</w:t>
            </w:r>
          </w:p>
        </w:tc>
        <w:tc>
          <w:tcPr>
            <w:tcW w:w="607" w:type="dxa"/>
            <w:tcBorders>
              <w:left w:val="single" w:sz="4" w:space="0" w:color="auto"/>
              <w:bottom w:val="single" w:sz="4" w:space="0" w:color="auto"/>
              <w:right w:val="single" w:sz="4" w:space="0" w:color="auto"/>
            </w:tcBorders>
            <w:shd w:val="clear" w:color="000000" w:fill="E4F6FD"/>
            <w:noWrap/>
            <w:vAlign w:val="bottom"/>
          </w:tcPr>
          <w:p w14:paraId="58F2BB4E" w14:textId="2A97219C"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hAnsi="Calibri" w:cs="Calibri"/>
                <w:i/>
                <w:color w:val="000000"/>
                <w:sz w:val="16"/>
                <w:szCs w:val="16"/>
              </w:rPr>
              <w:t>1 - 5</w:t>
            </w:r>
          </w:p>
        </w:tc>
      </w:tr>
      <w:tr w:rsidR="006F32B8" w:rsidRPr="009B6599" w14:paraId="446E34B9" w14:textId="77777777" w:rsidTr="000F4EA3">
        <w:trPr>
          <w:trHeight w:val="400"/>
          <w:jc w:val="center"/>
        </w:trPr>
        <w:tc>
          <w:tcPr>
            <w:tcW w:w="1110" w:type="dxa"/>
            <w:vMerge w:val="restart"/>
            <w:tcBorders>
              <w:top w:val="single" w:sz="4" w:space="0" w:color="auto"/>
              <w:left w:val="single" w:sz="4" w:space="0" w:color="auto"/>
              <w:right w:val="single" w:sz="4" w:space="0" w:color="auto"/>
            </w:tcBorders>
            <w:shd w:val="clear" w:color="000000" w:fill="D9D9D9"/>
            <w:vAlign w:val="center"/>
            <w:hideMark/>
          </w:tcPr>
          <w:p w14:paraId="262179C1" w14:textId="77777777" w:rsidR="006F32B8" w:rsidRPr="009B6599" w:rsidRDefault="006F32B8" w:rsidP="00445689">
            <w:pPr>
              <w:spacing w:after="0" w:line="240" w:lineRule="auto"/>
              <w:rPr>
                <w:rFonts w:ascii="Calibri" w:eastAsia="Times New Roman" w:hAnsi="Calibri" w:cs="Calibri"/>
                <w:b/>
                <w:bCs/>
                <w:color w:val="000000"/>
                <w:sz w:val="18"/>
                <w:szCs w:val="18"/>
                <w:lang w:eastAsia="en-GB"/>
              </w:rPr>
            </w:pPr>
            <w:r w:rsidRPr="009B6599">
              <w:rPr>
                <w:rFonts w:ascii="Calibri" w:eastAsia="Times New Roman" w:hAnsi="Calibri" w:cs="Calibri"/>
                <w:b/>
                <w:bCs/>
                <w:color w:val="000000"/>
                <w:sz w:val="18"/>
                <w:szCs w:val="18"/>
                <w:lang w:eastAsia="en-GB"/>
              </w:rPr>
              <w:t>All participants (n=32)</w:t>
            </w:r>
          </w:p>
        </w:tc>
        <w:tc>
          <w:tcPr>
            <w:tcW w:w="1042" w:type="dxa"/>
            <w:vMerge w:val="restart"/>
            <w:tcBorders>
              <w:top w:val="nil"/>
              <w:left w:val="nil"/>
              <w:right w:val="single" w:sz="4" w:space="0" w:color="auto"/>
            </w:tcBorders>
            <w:shd w:val="clear" w:color="000000" w:fill="F2F2F2"/>
            <w:vAlign w:val="center"/>
            <w:hideMark/>
          </w:tcPr>
          <w:p w14:paraId="6D48A885" w14:textId="0F666D3A" w:rsidR="006F32B8" w:rsidRPr="009B6599" w:rsidRDefault="006F32B8" w:rsidP="000F4EA3">
            <w:pPr>
              <w:spacing w:after="0" w:line="240" w:lineRule="auto"/>
              <w:rPr>
                <w:rFonts w:ascii="Calibri" w:eastAsia="Times New Roman" w:hAnsi="Calibri" w:cs="Calibri"/>
                <w:i/>
                <w:iCs/>
                <w:color w:val="000000"/>
                <w:sz w:val="18"/>
                <w:szCs w:val="18"/>
                <w:lang w:eastAsia="en-GB"/>
              </w:rPr>
            </w:pPr>
            <w:r w:rsidRPr="009B6599">
              <w:rPr>
                <w:rFonts w:ascii="Calibri" w:eastAsia="Times New Roman" w:hAnsi="Calibri" w:cs="Calibri"/>
                <w:i/>
                <w:iCs/>
                <w:color w:val="000000"/>
                <w:sz w:val="18"/>
                <w:szCs w:val="18"/>
                <w:lang w:eastAsia="en-GB"/>
              </w:rPr>
              <w:t>Question / component mean score</w:t>
            </w:r>
            <w:r>
              <w:rPr>
                <w:rFonts w:ascii="Calibri" w:eastAsia="Times New Roman" w:hAnsi="Calibri" w:cs="Calibri"/>
                <w:i/>
                <w:iCs/>
                <w:color w:val="000000"/>
                <w:sz w:val="18"/>
                <w:szCs w:val="18"/>
                <w:lang w:eastAsia="en-GB"/>
              </w:rPr>
              <w:t>, SD, range.</w:t>
            </w:r>
          </w:p>
        </w:tc>
        <w:tc>
          <w:tcPr>
            <w:tcW w:w="607" w:type="dxa"/>
            <w:tcBorders>
              <w:top w:val="single" w:sz="4" w:space="0" w:color="auto"/>
              <w:left w:val="single" w:sz="4" w:space="0" w:color="auto"/>
              <w:right w:val="single" w:sz="4" w:space="0" w:color="auto"/>
            </w:tcBorders>
            <w:shd w:val="clear" w:color="000000" w:fill="83D8F7"/>
            <w:noWrap/>
            <w:vAlign w:val="center"/>
            <w:hideMark/>
          </w:tcPr>
          <w:p w14:paraId="1775EB22" w14:textId="77777777" w:rsidR="006F32B8" w:rsidRPr="006F32B8" w:rsidRDefault="006F32B8" w:rsidP="006F32B8">
            <w:pPr>
              <w:spacing w:after="0" w:line="240" w:lineRule="auto"/>
              <w:jc w:val="center"/>
              <w:rPr>
                <w:rFonts w:ascii="Calibri" w:eastAsia="Times New Roman" w:hAnsi="Calibri" w:cs="Calibri"/>
                <w:b/>
                <w:color w:val="000000"/>
                <w:sz w:val="18"/>
                <w:szCs w:val="18"/>
                <w:lang w:eastAsia="en-GB"/>
              </w:rPr>
            </w:pPr>
            <w:r w:rsidRPr="006F32B8">
              <w:rPr>
                <w:rFonts w:ascii="Calibri" w:eastAsia="Times New Roman" w:hAnsi="Calibri" w:cs="Calibri"/>
                <w:b/>
                <w:color w:val="000000"/>
                <w:sz w:val="18"/>
                <w:szCs w:val="18"/>
                <w:lang w:eastAsia="en-GB"/>
              </w:rPr>
              <w:t>2.0</w:t>
            </w:r>
          </w:p>
        </w:tc>
        <w:tc>
          <w:tcPr>
            <w:tcW w:w="660" w:type="dxa"/>
            <w:tcBorders>
              <w:top w:val="single" w:sz="4" w:space="0" w:color="auto"/>
              <w:left w:val="single" w:sz="4" w:space="0" w:color="auto"/>
              <w:right w:val="single" w:sz="4" w:space="0" w:color="auto"/>
            </w:tcBorders>
            <w:shd w:val="clear" w:color="000000" w:fill="8BDBF8"/>
            <w:noWrap/>
            <w:vAlign w:val="center"/>
            <w:hideMark/>
          </w:tcPr>
          <w:p w14:paraId="21CA31B9" w14:textId="77777777" w:rsidR="006F32B8" w:rsidRPr="006F32B8" w:rsidRDefault="006F32B8" w:rsidP="006F32B8">
            <w:pPr>
              <w:spacing w:after="0" w:line="240" w:lineRule="auto"/>
              <w:jc w:val="center"/>
              <w:rPr>
                <w:rFonts w:ascii="Calibri" w:eastAsia="Times New Roman" w:hAnsi="Calibri" w:cs="Calibri"/>
                <w:b/>
                <w:color w:val="000000"/>
                <w:sz w:val="18"/>
                <w:szCs w:val="18"/>
                <w:lang w:eastAsia="en-GB"/>
              </w:rPr>
            </w:pPr>
            <w:r w:rsidRPr="006F32B8">
              <w:rPr>
                <w:rFonts w:ascii="Calibri" w:eastAsia="Times New Roman" w:hAnsi="Calibri" w:cs="Calibri"/>
                <w:b/>
                <w:color w:val="000000"/>
                <w:sz w:val="18"/>
                <w:szCs w:val="18"/>
                <w:lang w:eastAsia="en-GB"/>
              </w:rPr>
              <w:t>2.1</w:t>
            </w:r>
          </w:p>
        </w:tc>
        <w:tc>
          <w:tcPr>
            <w:tcW w:w="607" w:type="dxa"/>
            <w:tcBorders>
              <w:top w:val="single" w:sz="4" w:space="0" w:color="auto"/>
              <w:left w:val="single" w:sz="4" w:space="0" w:color="auto"/>
              <w:right w:val="single" w:sz="4" w:space="0" w:color="auto"/>
            </w:tcBorders>
            <w:shd w:val="clear" w:color="000000" w:fill="77D5F7"/>
            <w:noWrap/>
            <w:vAlign w:val="center"/>
            <w:hideMark/>
          </w:tcPr>
          <w:p w14:paraId="64E24CCA" w14:textId="77777777" w:rsidR="006F32B8" w:rsidRPr="006F32B8" w:rsidRDefault="006F32B8" w:rsidP="006F32B8">
            <w:pPr>
              <w:spacing w:after="0" w:line="240" w:lineRule="auto"/>
              <w:jc w:val="center"/>
              <w:rPr>
                <w:rFonts w:ascii="Calibri" w:eastAsia="Times New Roman" w:hAnsi="Calibri" w:cs="Calibri"/>
                <w:b/>
                <w:color w:val="000000"/>
                <w:sz w:val="18"/>
                <w:szCs w:val="18"/>
                <w:lang w:eastAsia="en-GB"/>
              </w:rPr>
            </w:pPr>
            <w:r w:rsidRPr="006F32B8">
              <w:rPr>
                <w:rFonts w:ascii="Calibri" w:eastAsia="Times New Roman" w:hAnsi="Calibri" w:cs="Calibri"/>
                <w:b/>
                <w:color w:val="000000"/>
                <w:sz w:val="18"/>
                <w:szCs w:val="18"/>
                <w:lang w:eastAsia="en-GB"/>
              </w:rPr>
              <w:t>1.9</w:t>
            </w:r>
          </w:p>
        </w:tc>
        <w:tc>
          <w:tcPr>
            <w:tcW w:w="607" w:type="dxa"/>
            <w:tcBorders>
              <w:top w:val="single" w:sz="4" w:space="0" w:color="auto"/>
              <w:left w:val="single" w:sz="4" w:space="0" w:color="auto"/>
              <w:right w:val="single" w:sz="4" w:space="0" w:color="auto"/>
            </w:tcBorders>
            <w:shd w:val="clear" w:color="000000" w:fill="A3E2F9"/>
            <w:noWrap/>
            <w:vAlign w:val="center"/>
            <w:hideMark/>
          </w:tcPr>
          <w:p w14:paraId="58A8BF44" w14:textId="77777777" w:rsidR="006F32B8" w:rsidRPr="006F32B8" w:rsidRDefault="006F32B8" w:rsidP="006F32B8">
            <w:pPr>
              <w:spacing w:after="0" w:line="240" w:lineRule="auto"/>
              <w:jc w:val="center"/>
              <w:rPr>
                <w:rFonts w:ascii="Calibri" w:eastAsia="Times New Roman" w:hAnsi="Calibri" w:cs="Calibri"/>
                <w:b/>
                <w:color w:val="000000"/>
                <w:sz w:val="18"/>
                <w:szCs w:val="18"/>
                <w:lang w:eastAsia="en-GB"/>
              </w:rPr>
            </w:pPr>
            <w:r w:rsidRPr="006F32B8">
              <w:rPr>
                <w:rFonts w:ascii="Calibri" w:eastAsia="Times New Roman" w:hAnsi="Calibri" w:cs="Calibri"/>
                <w:b/>
                <w:color w:val="000000"/>
                <w:sz w:val="18"/>
                <w:szCs w:val="18"/>
                <w:lang w:eastAsia="en-GB"/>
              </w:rPr>
              <w:t>2.3</w:t>
            </w:r>
          </w:p>
        </w:tc>
        <w:tc>
          <w:tcPr>
            <w:tcW w:w="607" w:type="dxa"/>
            <w:tcBorders>
              <w:top w:val="single" w:sz="4" w:space="0" w:color="auto"/>
              <w:left w:val="single" w:sz="4" w:space="0" w:color="auto"/>
              <w:right w:val="single" w:sz="4" w:space="0" w:color="auto"/>
            </w:tcBorders>
            <w:shd w:val="clear" w:color="000000" w:fill="B0E6FA"/>
            <w:noWrap/>
            <w:vAlign w:val="center"/>
            <w:hideMark/>
          </w:tcPr>
          <w:p w14:paraId="5CBE8465" w14:textId="77777777" w:rsidR="006F32B8" w:rsidRPr="006F32B8" w:rsidRDefault="006F32B8" w:rsidP="006F32B8">
            <w:pPr>
              <w:spacing w:after="0" w:line="240" w:lineRule="auto"/>
              <w:jc w:val="center"/>
              <w:rPr>
                <w:rFonts w:ascii="Calibri" w:eastAsia="Times New Roman" w:hAnsi="Calibri" w:cs="Calibri"/>
                <w:b/>
                <w:color w:val="000000"/>
                <w:sz w:val="18"/>
                <w:szCs w:val="18"/>
                <w:lang w:eastAsia="en-GB"/>
              </w:rPr>
            </w:pPr>
            <w:r w:rsidRPr="006F32B8">
              <w:rPr>
                <w:rFonts w:ascii="Calibri" w:eastAsia="Times New Roman" w:hAnsi="Calibri" w:cs="Calibri"/>
                <w:b/>
                <w:color w:val="000000"/>
                <w:sz w:val="18"/>
                <w:szCs w:val="18"/>
                <w:lang w:eastAsia="en-GB"/>
              </w:rPr>
              <w:t>2.4</w:t>
            </w:r>
          </w:p>
        </w:tc>
        <w:tc>
          <w:tcPr>
            <w:tcW w:w="618" w:type="dxa"/>
            <w:tcBorders>
              <w:top w:val="single" w:sz="4" w:space="0" w:color="auto"/>
              <w:left w:val="single" w:sz="4" w:space="0" w:color="auto"/>
              <w:right w:val="single" w:sz="4" w:space="0" w:color="auto"/>
            </w:tcBorders>
            <w:shd w:val="clear" w:color="000000" w:fill="BDEAFB"/>
            <w:noWrap/>
            <w:vAlign w:val="center"/>
            <w:hideMark/>
          </w:tcPr>
          <w:p w14:paraId="13E9F7BA" w14:textId="77777777" w:rsidR="006F32B8" w:rsidRPr="006F32B8" w:rsidRDefault="006F32B8" w:rsidP="006F32B8">
            <w:pPr>
              <w:spacing w:after="0" w:line="240" w:lineRule="auto"/>
              <w:jc w:val="center"/>
              <w:rPr>
                <w:rFonts w:ascii="Calibri" w:eastAsia="Times New Roman" w:hAnsi="Calibri" w:cs="Calibri"/>
                <w:b/>
                <w:color w:val="000000"/>
                <w:sz w:val="18"/>
                <w:szCs w:val="18"/>
                <w:lang w:eastAsia="en-GB"/>
              </w:rPr>
            </w:pPr>
            <w:r w:rsidRPr="006F32B8">
              <w:rPr>
                <w:rFonts w:ascii="Calibri" w:eastAsia="Times New Roman" w:hAnsi="Calibri" w:cs="Calibri"/>
                <w:b/>
                <w:color w:val="000000"/>
                <w:sz w:val="18"/>
                <w:szCs w:val="18"/>
                <w:lang w:eastAsia="en-GB"/>
              </w:rPr>
              <w:t>2.5</w:t>
            </w:r>
          </w:p>
        </w:tc>
        <w:tc>
          <w:tcPr>
            <w:tcW w:w="607" w:type="dxa"/>
            <w:tcBorders>
              <w:top w:val="single" w:sz="4" w:space="0" w:color="auto"/>
              <w:left w:val="single" w:sz="4" w:space="0" w:color="auto"/>
              <w:right w:val="single" w:sz="4" w:space="0" w:color="auto"/>
            </w:tcBorders>
            <w:shd w:val="clear" w:color="000000" w:fill="DFF5FD"/>
            <w:noWrap/>
            <w:vAlign w:val="center"/>
            <w:hideMark/>
          </w:tcPr>
          <w:p w14:paraId="11D156AA" w14:textId="77777777" w:rsidR="006F32B8" w:rsidRPr="006F32B8" w:rsidRDefault="006F32B8" w:rsidP="006F32B8">
            <w:pPr>
              <w:spacing w:after="0" w:line="240" w:lineRule="auto"/>
              <w:jc w:val="center"/>
              <w:rPr>
                <w:rFonts w:ascii="Calibri" w:eastAsia="Times New Roman" w:hAnsi="Calibri" w:cs="Calibri"/>
                <w:b/>
                <w:color w:val="000000"/>
                <w:sz w:val="18"/>
                <w:szCs w:val="18"/>
                <w:lang w:eastAsia="en-GB"/>
              </w:rPr>
            </w:pPr>
            <w:r w:rsidRPr="006F32B8">
              <w:rPr>
                <w:rFonts w:ascii="Calibri" w:eastAsia="Times New Roman" w:hAnsi="Calibri" w:cs="Calibri"/>
                <w:b/>
                <w:color w:val="000000"/>
                <w:sz w:val="18"/>
                <w:szCs w:val="18"/>
                <w:lang w:eastAsia="en-GB"/>
              </w:rPr>
              <w:t>2.8</w:t>
            </w:r>
          </w:p>
        </w:tc>
        <w:tc>
          <w:tcPr>
            <w:tcW w:w="607" w:type="dxa"/>
            <w:tcBorders>
              <w:top w:val="single" w:sz="4" w:space="0" w:color="auto"/>
              <w:left w:val="single" w:sz="4" w:space="0" w:color="auto"/>
              <w:right w:val="single" w:sz="4" w:space="0" w:color="auto"/>
            </w:tcBorders>
            <w:shd w:val="clear" w:color="000000" w:fill="C9EEFB"/>
            <w:noWrap/>
            <w:vAlign w:val="center"/>
            <w:hideMark/>
          </w:tcPr>
          <w:p w14:paraId="26F68529" w14:textId="77777777" w:rsidR="006F32B8" w:rsidRPr="006F32B8" w:rsidRDefault="006F32B8" w:rsidP="006F32B8">
            <w:pPr>
              <w:spacing w:after="0" w:line="240" w:lineRule="auto"/>
              <w:jc w:val="center"/>
              <w:rPr>
                <w:rFonts w:ascii="Calibri" w:eastAsia="Times New Roman" w:hAnsi="Calibri" w:cs="Calibri"/>
                <w:b/>
                <w:color w:val="000000"/>
                <w:sz w:val="18"/>
                <w:szCs w:val="18"/>
                <w:lang w:eastAsia="en-GB"/>
              </w:rPr>
            </w:pPr>
            <w:r w:rsidRPr="006F32B8">
              <w:rPr>
                <w:rFonts w:ascii="Calibri" w:eastAsia="Times New Roman" w:hAnsi="Calibri" w:cs="Calibri"/>
                <w:b/>
                <w:color w:val="000000"/>
                <w:sz w:val="18"/>
                <w:szCs w:val="18"/>
                <w:lang w:eastAsia="en-GB"/>
              </w:rPr>
              <w:t>2.6</w:t>
            </w:r>
          </w:p>
        </w:tc>
        <w:tc>
          <w:tcPr>
            <w:tcW w:w="607" w:type="dxa"/>
            <w:tcBorders>
              <w:top w:val="single" w:sz="4" w:space="0" w:color="auto"/>
              <w:left w:val="single" w:sz="4" w:space="0" w:color="auto"/>
              <w:right w:val="single" w:sz="4" w:space="0" w:color="auto"/>
            </w:tcBorders>
            <w:shd w:val="clear" w:color="000000" w:fill="FFFFF7"/>
            <w:noWrap/>
            <w:vAlign w:val="center"/>
            <w:hideMark/>
          </w:tcPr>
          <w:p w14:paraId="5A5F41B8" w14:textId="77777777" w:rsidR="006F32B8" w:rsidRPr="006F32B8" w:rsidRDefault="006F32B8" w:rsidP="006F32B8">
            <w:pPr>
              <w:spacing w:after="0" w:line="240" w:lineRule="auto"/>
              <w:jc w:val="center"/>
              <w:rPr>
                <w:rFonts w:ascii="Calibri" w:eastAsia="Times New Roman" w:hAnsi="Calibri" w:cs="Calibri"/>
                <w:b/>
                <w:color w:val="000000"/>
                <w:sz w:val="18"/>
                <w:szCs w:val="18"/>
                <w:lang w:eastAsia="en-GB"/>
              </w:rPr>
            </w:pPr>
            <w:r w:rsidRPr="006F32B8">
              <w:rPr>
                <w:rFonts w:ascii="Calibri" w:eastAsia="Times New Roman" w:hAnsi="Calibri" w:cs="Calibri"/>
                <w:b/>
                <w:color w:val="000000"/>
                <w:sz w:val="18"/>
                <w:szCs w:val="18"/>
                <w:lang w:eastAsia="en-GB"/>
              </w:rPr>
              <w:t>3.1</w:t>
            </w:r>
          </w:p>
        </w:tc>
        <w:tc>
          <w:tcPr>
            <w:tcW w:w="663" w:type="dxa"/>
            <w:tcBorders>
              <w:top w:val="single" w:sz="4" w:space="0" w:color="auto"/>
              <w:left w:val="single" w:sz="4" w:space="0" w:color="auto"/>
              <w:right w:val="single" w:sz="4" w:space="0" w:color="auto"/>
            </w:tcBorders>
            <w:shd w:val="clear" w:color="000000" w:fill="EBF8FD"/>
            <w:noWrap/>
            <w:vAlign w:val="center"/>
            <w:hideMark/>
          </w:tcPr>
          <w:p w14:paraId="13692928" w14:textId="77777777" w:rsidR="006F32B8" w:rsidRPr="006F32B8" w:rsidRDefault="006F32B8" w:rsidP="006F32B8">
            <w:pPr>
              <w:spacing w:after="0" w:line="240" w:lineRule="auto"/>
              <w:jc w:val="center"/>
              <w:rPr>
                <w:rFonts w:ascii="Calibri" w:eastAsia="Times New Roman" w:hAnsi="Calibri" w:cs="Calibri"/>
                <w:b/>
                <w:color w:val="000000"/>
                <w:sz w:val="18"/>
                <w:szCs w:val="18"/>
                <w:lang w:eastAsia="en-GB"/>
              </w:rPr>
            </w:pPr>
            <w:r w:rsidRPr="006F32B8">
              <w:rPr>
                <w:rFonts w:ascii="Calibri" w:eastAsia="Times New Roman" w:hAnsi="Calibri" w:cs="Calibri"/>
                <w:b/>
                <w:color w:val="000000"/>
                <w:sz w:val="18"/>
                <w:szCs w:val="18"/>
                <w:lang w:eastAsia="en-GB"/>
              </w:rPr>
              <w:t>2.8</w:t>
            </w:r>
          </w:p>
        </w:tc>
        <w:tc>
          <w:tcPr>
            <w:tcW w:w="607" w:type="dxa"/>
            <w:tcBorders>
              <w:top w:val="single" w:sz="4" w:space="0" w:color="auto"/>
              <w:left w:val="single" w:sz="4" w:space="0" w:color="auto"/>
              <w:right w:val="single" w:sz="4" w:space="0" w:color="auto"/>
            </w:tcBorders>
            <w:shd w:val="clear" w:color="000000" w:fill="EEF9FE"/>
            <w:noWrap/>
            <w:vAlign w:val="center"/>
            <w:hideMark/>
          </w:tcPr>
          <w:p w14:paraId="445C99EE" w14:textId="77777777" w:rsidR="006F32B8" w:rsidRPr="006F32B8" w:rsidRDefault="006F32B8" w:rsidP="006F32B8">
            <w:pPr>
              <w:spacing w:after="0" w:line="240" w:lineRule="auto"/>
              <w:jc w:val="center"/>
              <w:rPr>
                <w:rFonts w:ascii="Calibri" w:eastAsia="Times New Roman" w:hAnsi="Calibri" w:cs="Calibri"/>
                <w:b/>
                <w:color w:val="000000"/>
                <w:sz w:val="18"/>
                <w:szCs w:val="18"/>
                <w:lang w:eastAsia="en-GB"/>
              </w:rPr>
            </w:pPr>
            <w:r w:rsidRPr="006F32B8">
              <w:rPr>
                <w:rFonts w:ascii="Calibri" w:eastAsia="Times New Roman" w:hAnsi="Calibri" w:cs="Calibri"/>
                <w:b/>
                <w:color w:val="000000"/>
                <w:sz w:val="18"/>
                <w:szCs w:val="18"/>
                <w:lang w:eastAsia="en-GB"/>
              </w:rPr>
              <w:t>2.9</w:t>
            </w:r>
          </w:p>
        </w:tc>
        <w:tc>
          <w:tcPr>
            <w:tcW w:w="607" w:type="dxa"/>
            <w:tcBorders>
              <w:top w:val="single" w:sz="4" w:space="0" w:color="auto"/>
              <w:left w:val="single" w:sz="4" w:space="0" w:color="auto"/>
              <w:right w:val="single" w:sz="4" w:space="0" w:color="auto"/>
            </w:tcBorders>
            <w:shd w:val="clear" w:color="000000" w:fill="FFFFFC"/>
            <w:noWrap/>
            <w:vAlign w:val="center"/>
            <w:hideMark/>
          </w:tcPr>
          <w:p w14:paraId="2F8A145B" w14:textId="77777777" w:rsidR="006F32B8" w:rsidRPr="006F32B8" w:rsidRDefault="006F32B8" w:rsidP="006F32B8">
            <w:pPr>
              <w:spacing w:after="0" w:line="240" w:lineRule="auto"/>
              <w:jc w:val="center"/>
              <w:rPr>
                <w:rFonts w:ascii="Calibri" w:eastAsia="Times New Roman" w:hAnsi="Calibri" w:cs="Calibri"/>
                <w:b/>
                <w:color w:val="000000"/>
                <w:sz w:val="18"/>
                <w:szCs w:val="18"/>
                <w:lang w:eastAsia="en-GB"/>
              </w:rPr>
            </w:pPr>
            <w:r w:rsidRPr="006F32B8">
              <w:rPr>
                <w:rFonts w:ascii="Calibri" w:eastAsia="Times New Roman" w:hAnsi="Calibri" w:cs="Calibri"/>
                <w:b/>
                <w:color w:val="000000"/>
                <w:sz w:val="18"/>
                <w:szCs w:val="18"/>
                <w:lang w:eastAsia="en-GB"/>
              </w:rPr>
              <w:t>3.0</w:t>
            </w:r>
          </w:p>
        </w:tc>
        <w:tc>
          <w:tcPr>
            <w:tcW w:w="668" w:type="dxa"/>
            <w:tcBorders>
              <w:top w:val="single" w:sz="4" w:space="0" w:color="auto"/>
              <w:left w:val="single" w:sz="4" w:space="0" w:color="auto"/>
              <w:right w:val="single" w:sz="4" w:space="0" w:color="auto"/>
            </w:tcBorders>
            <w:shd w:val="clear" w:color="000000" w:fill="C5EDFB"/>
            <w:noWrap/>
            <w:vAlign w:val="center"/>
            <w:hideMark/>
          </w:tcPr>
          <w:p w14:paraId="5F3BB92E" w14:textId="77777777" w:rsidR="006F32B8" w:rsidRPr="006F32B8" w:rsidRDefault="006F32B8" w:rsidP="006F32B8">
            <w:pPr>
              <w:spacing w:after="0" w:line="240" w:lineRule="auto"/>
              <w:jc w:val="center"/>
              <w:rPr>
                <w:rFonts w:ascii="Calibri" w:eastAsia="Times New Roman" w:hAnsi="Calibri" w:cs="Calibri"/>
                <w:b/>
                <w:color w:val="000000"/>
                <w:sz w:val="18"/>
                <w:szCs w:val="18"/>
                <w:lang w:eastAsia="en-GB"/>
              </w:rPr>
            </w:pPr>
            <w:r w:rsidRPr="006F32B8">
              <w:rPr>
                <w:rFonts w:ascii="Calibri" w:eastAsia="Times New Roman" w:hAnsi="Calibri" w:cs="Calibri"/>
                <w:b/>
                <w:color w:val="000000"/>
                <w:sz w:val="18"/>
                <w:szCs w:val="18"/>
                <w:lang w:eastAsia="en-GB"/>
              </w:rPr>
              <w:t>2.5</w:t>
            </w:r>
          </w:p>
        </w:tc>
        <w:tc>
          <w:tcPr>
            <w:tcW w:w="607" w:type="dxa"/>
            <w:tcBorders>
              <w:top w:val="single" w:sz="4" w:space="0" w:color="auto"/>
              <w:left w:val="single" w:sz="4" w:space="0" w:color="auto"/>
              <w:right w:val="single" w:sz="4" w:space="0" w:color="auto"/>
            </w:tcBorders>
            <w:shd w:val="clear" w:color="000000" w:fill="CFF0FC"/>
            <w:noWrap/>
            <w:vAlign w:val="center"/>
            <w:hideMark/>
          </w:tcPr>
          <w:p w14:paraId="113BF68D" w14:textId="77777777" w:rsidR="006F32B8" w:rsidRPr="006F32B8" w:rsidRDefault="006F32B8" w:rsidP="006F32B8">
            <w:pPr>
              <w:spacing w:after="0" w:line="240" w:lineRule="auto"/>
              <w:jc w:val="center"/>
              <w:rPr>
                <w:rFonts w:ascii="Calibri" w:eastAsia="Times New Roman" w:hAnsi="Calibri" w:cs="Calibri"/>
                <w:b/>
                <w:color w:val="000000"/>
                <w:sz w:val="18"/>
                <w:szCs w:val="18"/>
                <w:lang w:eastAsia="en-GB"/>
              </w:rPr>
            </w:pPr>
            <w:r w:rsidRPr="006F32B8">
              <w:rPr>
                <w:rFonts w:ascii="Calibri" w:eastAsia="Times New Roman" w:hAnsi="Calibri" w:cs="Calibri"/>
                <w:b/>
                <w:color w:val="000000"/>
                <w:sz w:val="18"/>
                <w:szCs w:val="18"/>
                <w:lang w:eastAsia="en-GB"/>
              </w:rPr>
              <w:t>2.6</w:t>
            </w:r>
          </w:p>
        </w:tc>
      </w:tr>
      <w:tr w:rsidR="006F32B8" w:rsidRPr="009B6599" w14:paraId="1D03229B" w14:textId="77777777" w:rsidTr="000F4EA3">
        <w:trPr>
          <w:trHeight w:val="288"/>
          <w:jc w:val="center"/>
        </w:trPr>
        <w:tc>
          <w:tcPr>
            <w:tcW w:w="1110" w:type="dxa"/>
            <w:vMerge/>
            <w:tcBorders>
              <w:left w:val="single" w:sz="4" w:space="0" w:color="auto"/>
              <w:right w:val="single" w:sz="4" w:space="0" w:color="auto"/>
            </w:tcBorders>
            <w:shd w:val="clear" w:color="000000" w:fill="D9D9D9"/>
            <w:vAlign w:val="center"/>
          </w:tcPr>
          <w:p w14:paraId="2C3A34AF" w14:textId="77777777" w:rsidR="006F32B8" w:rsidRPr="009B6599" w:rsidRDefault="006F32B8" w:rsidP="006F32B8">
            <w:pPr>
              <w:spacing w:after="0" w:line="240" w:lineRule="auto"/>
              <w:rPr>
                <w:rFonts w:ascii="Calibri" w:eastAsia="Times New Roman" w:hAnsi="Calibri" w:cs="Calibri"/>
                <w:b/>
                <w:bCs/>
                <w:color w:val="000000"/>
                <w:sz w:val="18"/>
                <w:szCs w:val="18"/>
                <w:lang w:eastAsia="en-GB"/>
              </w:rPr>
            </w:pPr>
          </w:p>
        </w:tc>
        <w:tc>
          <w:tcPr>
            <w:tcW w:w="1042" w:type="dxa"/>
            <w:vMerge/>
            <w:tcBorders>
              <w:left w:val="nil"/>
              <w:right w:val="single" w:sz="4" w:space="0" w:color="auto"/>
            </w:tcBorders>
            <w:shd w:val="clear" w:color="000000" w:fill="F2F2F2"/>
            <w:vAlign w:val="bottom"/>
          </w:tcPr>
          <w:p w14:paraId="5003E8CD" w14:textId="77777777" w:rsidR="006F32B8" w:rsidRPr="009B6599" w:rsidRDefault="006F32B8" w:rsidP="006F32B8">
            <w:pPr>
              <w:spacing w:after="0" w:line="240" w:lineRule="auto"/>
              <w:rPr>
                <w:rFonts w:ascii="Calibri" w:eastAsia="Times New Roman" w:hAnsi="Calibri" w:cs="Calibri"/>
                <w:i/>
                <w:iCs/>
                <w:color w:val="000000"/>
                <w:sz w:val="18"/>
                <w:szCs w:val="18"/>
                <w:lang w:eastAsia="en-GB"/>
              </w:rPr>
            </w:pPr>
          </w:p>
        </w:tc>
        <w:tc>
          <w:tcPr>
            <w:tcW w:w="607" w:type="dxa"/>
            <w:tcBorders>
              <w:left w:val="single" w:sz="4" w:space="0" w:color="auto"/>
              <w:right w:val="single" w:sz="4" w:space="0" w:color="auto"/>
            </w:tcBorders>
            <w:shd w:val="clear" w:color="000000" w:fill="83D8F7"/>
            <w:noWrap/>
            <w:vAlign w:val="bottom"/>
          </w:tcPr>
          <w:p w14:paraId="4106E866" w14:textId="7DFFB719"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0.74</w:t>
            </w:r>
          </w:p>
        </w:tc>
        <w:tc>
          <w:tcPr>
            <w:tcW w:w="660" w:type="dxa"/>
            <w:tcBorders>
              <w:left w:val="single" w:sz="4" w:space="0" w:color="auto"/>
              <w:right w:val="single" w:sz="4" w:space="0" w:color="auto"/>
            </w:tcBorders>
            <w:shd w:val="clear" w:color="000000" w:fill="8BDBF8"/>
            <w:noWrap/>
            <w:vAlign w:val="bottom"/>
          </w:tcPr>
          <w:p w14:paraId="410E686C" w14:textId="5620485F"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0.86</w:t>
            </w:r>
          </w:p>
        </w:tc>
        <w:tc>
          <w:tcPr>
            <w:tcW w:w="607" w:type="dxa"/>
            <w:tcBorders>
              <w:left w:val="single" w:sz="4" w:space="0" w:color="auto"/>
              <w:right w:val="single" w:sz="4" w:space="0" w:color="auto"/>
            </w:tcBorders>
            <w:shd w:val="clear" w:color="000000" w:fill="77D5F7"/>
            <w:noWrap/>
            <w:vAlign w:val="bottom"/>
          </w:tcPr>
          <w:p w14:paraId="60C8C921" w14:textId="2F853BF4"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0.76</w:t>
            </w:r>
          </w:p>
        </w:tc>
        <w:tc>
          <w:tcPr>
            <w:tcW w:w="607" w:type="dxa"/>
            <w:tcBorders>
              <w:left w:val="single" w:sz="4" w:space="0" w:color="auto"/>
              <w:right w:val="single" w:sz="4" w:space="0" w:color="auto"/>
            </w:tcBorders>
            <w:shd w:val="clear" w:color="000000" w:fill="A3E2F9"/>
            <w:noWrap/>
            <w:vAlign w:val="bottom"/>
          </w:tcPr>
          <w:p w14:paraId="11D8E549" w14:textId="2559D882"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0.73</w:t>
            </w:r>
          </w:p>
        </w:tc>
        <w:tc>
          <w:tcPr>
            <w:tcW w:w="607" w:type="dxa"/>
            <w:tcBorders>
              <w:left w:val="single" w:sz="4" w:space="0" w:color="auto"/>
              <w:right w:val="single" w:sz="4" w:space="0" w:color="auto"/>
            </w:tcBorders>
            <w:shd w:val="clear" w:color="000000" w:fill="B0E6FA"/>
            <w:noWrap/>
            <w:vAlign w:val="bottom"/>
          </w:tcPr>
          <w:p w14:paraId="48E0E362" w14:textId="02D3B70A"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0.76</w:t>
            </w:r>
          </w:p>
        </w:tc>
        <w:tc>
          <w:tcPr>
            <w:tcW w:w="618" w:type="dxa"/>
            <w:tcBorders>
              <w:left w:val="single" w:sz="4" w:space="0" w:color="auto"/>
              <w:right w:val="single" w:sz="4" w:space="0" w:color="auto"/>
            </w:tcBorders>
            <w:shd w:val="clear" w:color="000000" w:fill="BDEAFB"/>
            <w:noWrap/>
            <w:vAlign w:val="bottom"/>
          </w:tcPr>
          <w:p w14:paraId="767FF37A" w14:textId="0F21BCDF"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0.57</w:t>
            </w:r>
          </w:p>
        </w:tc>
        <w:tc>
          <w:tcPr>
            <w:tcW w:w="607" w:type="dxa"/>
            <w:tcBorders>
              <w:left w:val="single" w:sz="4" w:space="0" w:color="auto"/>
              <w:right w:val="single" w:sz="4" w:space="0" w:color="auto"/>
            </w:tcBorders>
            <w:shd w:val="clear" w:color="000000" w:fill="DFF5FD"/>
            <w:noWrap/>
            <w:vAlign w:val="bottom"/>
          </w:tcPr>
          <w:p w14:paraId="25AC7719" w14:textId="1C57805F"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0.95</w:t>
            </w:r>
          </w:p>
        </w:tc>
        <w:tc>
          <w:tcPr>
            <w:tcW w:w="607" w:type="dxa"/>
            <w:tcBorders>
              <w:left w:val="single" w:sz="4" w:space="0" w:color="auto"/>
              <w:right w:val="single" w:sz="4" w:space="0" w:color="auto"/>
            </w:tcBorders>
            <w:shd w:val="clear" w:color="000000" w:fill="C9EEFB"/>
            <w:noWrap/>
            <w:vAlign w:val="bottom"/>
          </w:tcPr>
          <w:p w14:paraId="6461C396" w14:textId="63E48052"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1.03</w:t>
            </w:r>
          </w:p>
        </w:tc>
        <w:tc>
          <w:tcPr>
            <w:tcW w:w="607" w:type="dxa"/>
            <w:tcBorders>
              <w:left w:val="single" w:sz="4" w:space="0" w:color="auto"/>
              <w:right w:val="single" w:sz="4" w:space="0" w:color="auto"/>
            </w:tcBorders>
            <w:shd w:val="clear" w:color="000000" w:fill="FFFFF7"/>
            <w:noWrap/>
            <w:vAlign w:val="bottom"/>
          </w:tcPr>
          <w:p w14:paraId="1599329A" w14:textId="501BB263"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1.08</w:t>
            </w:r>
          </w:p>
        </w:tc>
        <w:tc>
          <w:tcPr>
            <w:tcW w:w="663" w:type="dxa"/>
            <w:tcBorders>
              <w:left w:val="single" w:sz="4" w:space="0" w:color="auto"/>
              <w:right w:val="single" w:sz="4" w:space="0" w:color="auto"/>
            </w:tcBorders>
            <w:shd w:val="clear" w:color="000000" w:fill="EBF8FD"/>
            <w:noWrap/>
            <w:vAlign w:val="bottom"/>
          </w:tcPr>
          <w:p w14:paraId="31370102" w14:textId="51976FAF"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1.19</w:t>
            </w:r>
          </w:p>
        </w:tc>
        <w:tc>
          <w:tcPr>
            <w:tcW w:w="607" w:type="dxa"/>
            <w:tcBorders>
              <w:left w:val="single" w:sz="4" w:space="0" w:color="auto"/>
              <w:right w:val="single" w:sz="4" w:space="0" w:color="auto"/>
            </w:tcBorders>
            <w:shd w:val="clear" w:color="000000" w:fill="EEF9FE"/>
            <w:noWrap/>
            <w:vAlign w:val="bottom"/>
          </w:tcPr>
          <w:p w14:paraId="262E7302" w14:textId="39A45FBF"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0.92</w:t>
            </w:r>
          </w:p>
        </w:tc>
        <w:tc>
          <w:tcPr>
            <w:tcW w:w="607" w:type="dxa"/>
            <w:tcBorders>
              <w:left w:val="single" w:sz="4" w:space="0" w:color="auto"/>
              <w:right w:val="single" w:sz="4" w:space="0" w:color="auto"/>
            </w:tcBorders>
            <w:shd w:val="clear" w:color="000000" w:fill="FFFFFC"/>
            <w:noWrap/>
            <w:vAlign w:val="bottom"/>
          </w:tcPr>
          <w:p w14:paraId="5EFEDFED" w14:textId="71F9EDB0"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1.06</w:t>
            </w:r>
          </w:p>
        </w:tc>
        <w:tc>
          <w:tcPr>
            <w:tcW w:w="668" w:type="dxa"/>
            <w:tcBorders>
              <w:left w:val="single" w:sz="4" w:space="0" w:color="auto"/>
              <w:right w:val="single" w:sz="4" w:space="0" w:color="auto"/>
            </w:tcBorders>
            <w:shd w:val="clear" w:color="000000" w:fill="C5EDFB"/>
            <w:noWrap/>
            <w:vAlign w:val="bottom"/>
          </w:tcPr>
          <w:p w14:paraId="72E17CE2" w14:textId="1C2067D5"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0.93</w:t>
            </w:r>
          </w:p>
        </w:tc>
        <w:tc>
          <w:tcPr>
            <w:tcW w:w="607" w:type="dxa"/>
            <w:tcBorders>
              <w:left w:val="single" w:sz="4" w:space="0" w:color="auto"/>
              <w:right w:val="single" w:sz="4" w:space="0" w:color="auto"/>
            </w:tcBorders>
            <w:shd w:val="clear" w:color="000000" w:fill="CFF0FC"/>
            <w:noWrap/>
            <w:vAlign w:val="bottom"/>
          </w:tcPr>
          <w:p w14:paraId="4F80D89F" w14:textId="223C29A0"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0.94</w:t>
            </w:r>
          </w:p>
        </w:tc>
      </w:tr>
      <w:tr w:rsidR="006F32B8" w:rsidRPr="009B6599" w14:paraId="66D91FAC" w14:textId="77777777" w:rsidTr="000F4EA3">
        <w:trPr>
          <w:trHeight w:val="93"/>
          <w:jc w:val="center"/>
        </w:trPr>
        <w:tc>
          <w:tcPr>
            <w:tcW w:w="1110" w:type="dxa"/>
            <w:vMerge/>
            <w:tcBorders>
              <w:left w:val="single" w:sz="4" w:space="0" w:color="auto"/>
              <w:bottom w:val="single" w:sz="4" w:space="0" w:color="auto"/>
              <w:right w:val="single" w:sz="4" w:space="0" w:color="auto"/>
            </w:tcBorders>
            <w:shd w:val="clear" w:color="000000" w:fill="D9D9D9"/>
            <w:vAlign w:val="center"/>
          </w:tcPr>
          <w:p w14:paraId="4EF425FB" w14:textId="77777777" w:rsidR="006F32B8" w:rsidRPr="009B6599" w:rsidRDefault="006F32B8" w:rsidP="006F32B8">
            <w:pPr>
              <w:spacing w:after="0" w:line="240" w:lineRule="auto"/>
              <w:rPr>
                <w:rFonts w:ascii="Calibri" w:eastAsia="Times New Roman" w:hAnsi="Calibri" w:cs="Calibri"/>
                <w:b/>
                <w:bCs/>
                <w:color w:val="000000"/>
                <w:sz w:val="18"/>
                <w:szCs w:val="18"/>
                <w:lang w:eastAsia="en-GB"/>
              </w:rPr>
            </w:pPr>
          </w:p>
        </w:tc>
        <w:tc>
          <w:tcPr>
            <w:tcW w:w="1042" w:type="dxa"/>
            <w:vMerge/>
            <w:tcBorders>
              <w:left w:val="nil"/>
              <w:bottom w:val="single" w:sz="4" w:space="0" w:color="auto"/>
              <w:right w:val="single" w:sz="4" w:space="0" w:color="auto"/>
            </w:tcBorders>
            <w:shd w:val="clear" w:color="000000" w:fill="F2F2F2"/>
            <w:vAlign w:val="bottom"/>
          </w:tcPr>
          <w:p w14:paraId="0761ED32" w14:textId="77777777" w:rsidR="006F32B8" w:rsidRPr="009B6599" w:rsidRDefault="006F32B8" w:rsidP="006F32B8">
            <w:pPr>
              <w:spacing w:after="0" w:line="240" w:lineRule="auto"/>
              <w:rPr>
                <w:rFonts w:ascii="Calibri" w:eastAsia="Times New Roman" w:hAnsi="Calibri" w:cs="Calibri"/>
                <w:i/>
                <w:iCs/>
                <w:color w:val="000000"/>
                <w:sz w:val="18"/>
                <w:szCs w:val="18"/>
                <w:lang w:eastAsia="en-GB"/>
              </w:rPr>
            </w:pPr>
          </w:p>
        </w:tc>
        <w:tc>
          <w:tcPr>
            <w:tcW w:w="607" w:type="dxa"/>
            <w:tcBorders>
              <w:left w:val="single" w:sz="4" w:space="0" w:color="auto"/>
              <w:bottom w:val="single" w:sz="4" w:space="0" w:color="auto"/>
              <w:right w:val="single" w:sz="4" w:space="0" w:color="auto"/>
            </w:tcBorders>
            <w:shd w:val="clear" w:color="000000" w:fill="83D8F7"/>
            <w:noWrap/>
            <w:vAlign w:val="bottom"/>
          </w:tcPr>
          <w:p w14:paraId="52D556ED" w14:textId="48FBA783"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1 - 4</w:t>
            </w:r>
          </w:p>
        </w:tc>
        <w:tc>
          <w:tcPr>
            <w:tcW w:w="660" w:type="dxa"/>
            <w:tcBorders>
              <w:left w:val="single" w:sz="4" w:space="0" w:color="auto"/>
              <w:bottom w:val="single" w:sz="4" w:space="0" w:color="auto"/>
              <w:right w:val="single" w:sz="4" w:space="0" w:color="auto"/>
            </w:tcBorders>
            <w:shd w:val="clear" w:color="000000" w:fill="8BDBF8"/>
            <w:noWrap/>
            <w:vAlign w:val="bottom"/>
          </w:tcPr>
          <w:p w14:paraId="5D74B20A" w14:textId="795619C3"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1 - 4</w:t>
            </w:r>
          </w:p>
        </w:tc>
        <w:tc>
          <w:tcPr>
            <w:tcW w:w="607" w:type="dxa"/>
            <w:tcBorders>
              <w:left w:val="single" w:sz="4" w:space="0" w:color="auto"/>
              <w:bottom w:val="single" w:sz="4" w:space="0" w:color="auto"/>
              <w:right w:val="single" w:sz="4" w:space="0" w:color="auto"/>
            </w:tcBorders>
            <w:shd w:val="clear" w:color="000000" w:fill="77D5F7"/>
            <w:noWrap/>
            <w:vAlign w:val="bottom"/>
          </w:tcPr>
          <w:p w14:paraId="60DF11B5" w14:textId="7727517C"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2 - 5</w:t>
            </w:r>
          </w:p>
        </w:tc>
        <w:tc>
          <w:tcPr>
            <w:tcW w:w="607" w:type="dxa"/>
            <w:tcBorders>
              <w:left w:val="single" w:sz="4" w:space="0" w:color="auto"/>
              <w:bottom w:val="single" w:sz="4" w:space="0" w:color="auto"/>
              <w:right w:val="single" w:sz="4" w:space="0" w:color="auto"/>
            </w:tcBorders>
            <w:shd w:val="clear" w:color="000000" w:fill="A3E2F9"/>
            <w:noWrap/>
            <w:vAlign w:val="bottom"/>
          </w:tcPr>
          <w:p w14:paraId="68B7320E" w14:textId="3A6E07CB"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2 - 5</w:t>
            </w:r>
          </w:p>
        </w:tc>
        <w:tc>
          <w:tcPr>
            <w:tcW w:w="607" w:type="dxa"/>
            <w:tcBorders>
              <w:left w:val="single" w:sz="4" w:space="0" w:color="auto"/>
              <w:bottom w:val="single" w:sz="4" w:space="0" w:color="auto"/>
              <w:right w:val="single" w:sz="4" w:space="0" w:color="auto"/>
            </w:tcBorders>
            <w:shd w:val="clear" w:color="000000" w:fill="B0E6FA"/>
            <w:noWrap/>
            <w:vAlign w:val="bottom"/>
          </w:tcPr>
          <w:p w14:paraId="5708331A" w14:textId="2A2DD96E"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1 - 4</w:t>
            </w:r>
          </w:p>
        </w:tc>
        <w:tc>
          <w:tcPr>
            <w:tcW w:w="618" w:type="dxa"/>
            <w:tcBorders>
              <w:left w:val="single" w:sz="4" w:space="0" w:color="auto"/>
              <w:bottom w:val="single" w:sz="4" w:space="0" w:color="auto"/>
              <w:right w:val="single" w:sz="4" w:space="0" w:color="auto"/>
            </w:tcBorders>
            <w:shd w:val="clear" w:color="000000" w:fill="BDEAFB"/>
            <w:noWrap/>
            <w:vAlign w:val="bottom"/>
          </w:tcPr>
          <w:p w14:paraId="709D5B7D" w14:textId="3BFB0CE7"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2 - 4</w:t>
            </w:r>
          </w:p>
        </w:tc>
        <w:tc>
          <w:tcPr>
            <w:tcW w:w="607" w:type="dxa"/>
            <w:tcBorders>
              <w:left w:val="single" w:sz="4" w:space="0" w:color="auto"/>
              <w:bottom w:val="single" w:sz="4" w:space="0" w:color="auto"/>
              <w:right w:val="single" w:sz="4" w:space="0" w:color="auto"/>
            </w:tcBorders>
            <w:shd w:val="clear" w:color="000000" w:fill="DFF5FD"/>
            <w:noWrap/>
            <w:vAlign w:val="bottom"/>
          </w:tcPr>
          <w:p w14:paraId="5FCBAB97" w14:textId="292ADFBF"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1 - 5</w:t>
            </w:r>
          </w:p>
        </w:tc>
        <w:tc>
          <w:tcPr>
            <w:tcW w:w="607" w:type="dxa"/>
            <w:tcBorders>
              <w:left w:val="single" w:sz="4" w:space="0" w:color="auto"/>
              <w:bottom w:val="single" w:sz="4" w:space="0" w:color="auto"/>
              <w:right w:val="single" w:sz="4" w:space="0" w:color="auto"/>
            </w:tcBorders>
            <w:shd w:val="clear" w:color="000000" w:fill="C9EEFB"/>
            <w:noWrap/>
            <w:vAlign w:val="bottom"/>
          </w:tcPr>
          <w:p w14:paraId="2382B053" w14:textId="6CD67674"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1 - 5</w:t>
            </w:r>
          </w:p>
        </w:tc>
        <w:tc>
          <w:tcPr>
            <w:tcW w:w="607" w:type="dxa"/>
            <w:tcBorders>
              <w:left w:val="single" w:sz="4" w:space="0" w:color="auto"/>
              <w:bottom w:val="single" w:sz="4" w:space="0" w:color="auto"/>
              <w:right w:val="single" w:sz="4" w:space="0" w:color="auto"/>
            </w:tcBorders>
            <w:shd w:val="clear" w:color="000000" w:fill="FFFFF7"/>
            <w:noWrap/>
            <w:vAlign w:val="bottom"/>
          </w:tcPr>
          <w:p w14:paraId="67B32C47" w14:textId="7A8B38B2"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1 - 5</w:t>
            </w:r>
          </w:p>
        </w:tc>
        <w:tc>
          <w:tcPr>
            <w:tcW w:w="663" w:type="dxa"/>
            <w:tcBorders>
              <w:left w:val="single" w:sz="4" w:space="0" w:color="auto"/>
              <w:bottom w:val="single" w:sz="4" w:space="0" w:color="auto"/>
              <w:right w:val="single" w:sz="4" w:space="0" w:color="auto"/>
            </w:tcBorders>
            <w:shd w:val="clear" w:color="000000" w:fill="EBF8FD"/>
            <w:noWrap/>
            <w:vAlign w:val="bottom"/>
          </w:tcPr>
          <w:p w14:paraId="5FB68E9C" w14:textId="4A0B0EE8"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1 - 5</w:t>
            </w:r>
          </w:p>
        </w:tc>
        <w:tc>
          <w:tcPr>
            <w:tcW w:w="607" w:type="dxa"/>
            <w:tcBorders>
              <w:left w:val="single" w:sz="4" w:space="0" w:color="auto"/>
              <w:bottom w:val="single" w:sz="4" w:space="0" w:color="auto"/>
              <w:right w:val="single" w:sz="4" w:space="0" w:color="auto"/>
            </w:tcBorders>
            <w:shd w:val="clear" w:color="000000" w:fill="EEF9FE"/>
            <w:noWrap/>
            <w:vAlign w:val="bottom"/>
          </w:tcPr>
          <w:p w14:paraId="7989E94F" w14:textId="2547B911"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1 - 5</w:t>
            </w:r>
          </w:p>
        </w:tc>
        <w:tc>
          <w:tcPr>
            <w:tcW w:w="607" w:type="dxa"/>
            <w:tcBorders>
              <w:left w:val="single" w:sz="4" w:space="0" w:color="auto"/>
              <w:bottom w:val="single" w:sz="4" w:space="0" w:color="auto"/>
              <w:right w:val="single" w:sz="4" w:space="0" w:color="auto"/>
            </w:tcBorders>
            <w:shd w:val="clear" w:color="000000" w:fill="FFFFFC"/>
            <w:noWrap/>
            <w:vAlign w:val="bottom"/>
          </w:tcPr>
          <w:p w14:paraId="3AC87875" w14:textId="4B939266"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1 - 5</w:t>
            </w:r>
          </w:p>
        </w:tc>
        <w:tc>
          <w:tcPr>
            <w:tcW w:w="668" w:type="dxa"/>
            <w:tcBorders>
              <w:left w:val="single" w:sz="4" w:space="0" w:color="auto"/>
              <w:bottom w:val="single" w:sz="4" w:space="0" w:color="auto"/>
              <w:right w:val="single" w:sz="4" w:space="0" w:color="auto"/>
            </w:tcBorders>
            <w:shd w:val="clear" w:color="000000" w:fill="C5EDFB"/>
            <w:noWrap/>
            <w:vAlign w:val="bottom"/>
          </w:tcPr>
          <w:p w14:paraId="37C1E49D" w14:textId="776428FF"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1 - 5</w:t>
            </w:r>
          </w:p>
        </w:tc>
        <w:tc>
          <w:tcPr>
            <w:tcW w:w="607" w:type="dxa"/>
            <w:tcBorders>
              <w:left w:val="single" w:sz="4" w:space="0" w:color="auto"/>
              <w:bottom w:val="single" w:sz="4" w:space="0" w:color="auto"/>
              <w:right w:val="single" w:sz="4" w:space="0" w:color="auto"/>
            </w:tcBorders>
            <w:shd w:val="clear" w:color="000000" w:fill="CFF0FC"/>
            <w:noWrap/>
            <w:vAlign w:val="bottom"/>
          </w:tcPr>
          <w:p w14:paraId="246C3926" w14:textId="5885A596" w:rsidR="006F32B8" w:rsidRPr="000F4EA3" w:rsidRDefault="006F32B8" w:rsidP="006F32B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1 - 5</w:t>
            </w:r>
          </w:p>
        </w:tc>
      </w:tr>
    </w:tbl>
    <w:p w14:paraId="52E96B35" w14:textId="6778F6CD" w:rsidR="00445689" w:rsidRDefault="00445689" w:rsidP="00445689">
      <w:pPr>
        <w:pStyle w:val="Caption"/>
        <w:jc w:val="center"/>
      </w:pPr>
      <w:r>
        <w:t xml:space="preserve">Table </w:t>
      </w:r>
      <w:r>
        <w:rPr>
          <w:i w:val="0"/>
          <w:iCs w:val="0"/>
        </w:rPr>
        <w:fldChar w:fldCharType="begin"/>
      </w:r>
      <w:r>
        <w:rPr>
          <w:i w:val="0"/>
          <w:iCs w:val="0"/>
        </w:rPr>
        <w:instrText xml:space="preserve"> SEQ Table \* ARABIC </w:instrText>
      </w:r>
      <w:r>
        <w:rPr>
          <w:i w:val="0"/>
          <w:iCs w:val="0"/>
        </w:rPr>
        <w:fldChar w:fldCharType="separate"/>
      </w:r>
      <w:r>
        <w:rPr>
          <w:i w:val="0"/>
          <w:iCs w:val="0"/>
          <w:noProof/>
        </w:rPr>
        <w:t>5</w:t>
      </w:r>
      <w:r>
        <w:rPr>
          <w:i w:val="0"/>
          <w:iCs w:val="0"/>
          <w:noProof/>
        </w:rPr>
        <w:fldChar w:fldCharType="end"/>
      </w:r>
      <w:r>
        <w:t xml:space="preserve"> - NoMad T0-T1 responses for 'Collective Action' score colour intensity tends toward: blue (strongly agree – 1); white (neither agree nor disagree – 3); yellow - strongly disagree – 5)</w:t>
      </w:r>
      <w:r w:rsidR="008C2AD4">
        <w:t>.</w:t>
      </w:r>
    </w:p>
    <w:p w14:paraId="53B0A9BF" w14:textId="1C4EDDBB" w:rsidR="005B4804" w:rsidRDefault="005B4804" w:rsidP="00A92EAE">
      <w:pPr>
        <w:jc w:val="both"/>
      </w:pPr>
    </w:p>
    <w:p w14:paraId="28F16CA6" w14:textId="1E9DA51C" w:rsidR="00D51D9A" w:rsidRPr="00570AA3" w:rsidRDefault="00D51D9A" w:rsidP="00570AA3">
      <w:pPr>
        <w:rPr>
          <w:u w:val="single"/>
        </w:rPr>
      </w:pPr>
      <w:r w:rsidRPr="00570AA3">
        <w:rPr>
          <w:u w:val="single"/>
        </w:rPr>
        <w:t>Training outcomes</w:t>
      </w:r>
    </w:p>
    <w:p w14:paraId="32602CEF" w14:textId="77ECF09C" w:rsidR="00D5098A" w:rsidRPr="003042B6" w:rsidRDefault="00D5098A" w:rsidP="00D5098A">
      <w:pPr>
        <w:jc w:val="both"/>
        <w:rPr>
          <w:i/>
        </w:rPr>
      </w:pPr>
      <w:bookmarkStart w:id="21" w:name="_Hlk524081609"/>
      <w:r w:rsidRPr="005E6F30">
        <w:t xml:space="preserve">126 </w:t>
      </w:r>
      <w:r w:rsidR="00E32A3B">
        <w:t>staff members within</w:t>
      </w:r>
      <w:r w:rsidR="00000B38">
        <w:t xml:space="preserve"> the implementation area</w:t>
      </w:r>
      <w:r w:rsidR="00E32A3B">
        <w:t xml:space="preserve"> </w:t>
      </w:r>
      <w:r w:rsidRPr="005E6F30">
        <w:t>completed training</w:t>
      </w:r>
      <w:r w:rsidR="003042B6">
        <w:t>, representing 56% of full</w:t>
      </w:r>
      <w:r w:rsidR="00AC24F1">
        <w:t>-</w:t>
      </w:r>
      <w:r w:rsidR="003042B6">
        <w:t>time staff</w:t>
      </w:r>
      <w:r w:rsidR="00000B38">
        <w:t xml:space="preserve"> (n=223)</w:t>
      </w:r>
      <w:r w:rsidR="003042B6">
        <w:t xml:space="preserve"> at initiation of training</w:t>
      </w:r>
      <w:r w:rsidRPr="005E6F30">
        <w:t xml:space="preserve"> </w:t>
      </w:r>
      <w:r w:rsidR="00000B38">
        <w:t>(</w:t>
      </w:r>
      <w:r w:rsidRPr="005E6F30">
        <w:t>23%</w:t>
      </w:r>
      <w:r w:rsidR="00273C56">
        <w:t xml:space="preserve"> (n=30)</w:t>
      </w:r>
      <w:r w:rsidR="00000B38">
        <w:t xml:space="preserve"> of those completing</w:t>
      </w:r>
      <w:r w:rsidRPr="005E6F30">
        <w:t xml:space="preserve"> were INSCCOPe participants</w:t>
      </w:r>
      <w:r w:rsidR="00000B38">
        <w:t>)</w:t>
      </w:r>
      <w:r w:rsidR="00273C56">
        <w:t>.</w:t>
      </w:r>
      <w:r w:rsidRPr="005E6F30">
        <w:rPr>
          <w:i/>
        </w:rPr>
        <w:t xml:space="preserve"> </w:t>
      </w:r>
      <w:r w:rsidRPr="005E6F30">
        <w:t>40%</w:t>
      </w:r>
      <w:r w:rsidR="00273C56">
        <w:t xml:space="preserve"> (n=29) </w:t>
      </w:r>
      <w:r w:rsidRPr="005E6F30">
        <w:t>of INSCCOPe participants</w:t>
      </w:r>
      <w:r w:rsidR="00000B38">
        <w:t xml:space="preserve"> (n=73)</w:t>
      </w:r>
      <w:r w:rsidRPr="005E6F30">
        <w:t xml:space="preserve"> completed training; 60% did not</w:t>
      </w:r>
      <w:r w:rsidR="005E6F30">
        <w:t xml:space="preserve"> </w:t>
      </w:r>
      <w:r w:rsidR="005E6F30" w:rsidRPr="005E6F30">
        <w:t>(see</w:t>
      </w:r>
      <w:r w:rsidR="005E6F30">
        <w:t xml:space="preserve"> </w:t>
      </w:r>
      <w:r w:rsidR="003E31E1">
        <w:t>Additional File 3</w:t>
      </w:r>
      <w:r w:rsidR="00E32A3B">
        <w:t>, tables 1 &amp; 2</w:t>
      </w:r>
      <w:r w:rsidR="005E6F30" w:rsidRPr="005E6F30">
        <w:t>)</w:t>
      </w:r>
      <w:r w:rsidRPr="005E6F30">
        <w:t>.</w:t>
      </w:r>
      <w:r w:rsidR="003042B6">
        <w:rPr>
          <w:i/>
        </w:rPr>
        <w:t xml:space="preserve"> </w:t>
      </w:r>
      <w:r w:rsidR="00000B38">
        <w:t>P</w:t>
      </w:r>
      <w:r w:rsidR="005E6F30">
        <w:t>re-post knowledge check</w:t>
      </w:r>
      <w:r w:rsidR="00FF1C12">
        <w:t xml:space="preserve"> </w:t>
      </w:r>
      <w:r w:rsidR="005E6F30">
        <w:t>scores</w:t>
      </w:r>
      <w:r w:rsidR="00236E28">
        <w:t xml:space="preserve"> </w:t>
      </w:r>
      <w:r w:rsidR="005E6F30">
        <w:t>indicate</w:t>
      </w:r>
      <w:r w:rsidR="00236E28">
        <w:t>d</w:t>
      </w:r>
      <w:r w:rsidR="005E6F30">
        <w:t xml:space="preserve"> that training </w:t>
      </w:r>
      <w:r w:rsidR="003042B6">
        <w:t>had been effectiv</w:t>
      </w:r>
      <w:r w:rsidR="00236E28">
        <w:t>e in raising a</w:t>
      </w:r>
      <w:r w:rsidRPr="005E6F30">
        <w:t xml:space="preserve">verage knowledge check score for all participants </w:t>
      </w:r>
      <w:r w:rsidR="00236E28">
        <w:t xml:space="preserve">from 54% </w:t>
      </w:r>
      <w:r w:rsidRPr="005E6F30">
        <w:t>imm</w:t>
      </w:r>
      <w:r w:rsidR="00236E28">
        <w:t>ediately prior to training</w:t>
      </w:r>
      <w:r w:rsidRPr="005E6F30">
        <w:t xml:space="preserve"> to 68% for immediate</w:t>
      </w:r>
      <w:r w:rsidR="00236E28">
        <w:t>ly</w:t>
      </w:r>
      <w:r w:rsidRPr="005E6F30">
        <w:t xml:space="preserve"> post-training (</w:t>
      </w:r>
      <w:r w:rsidR="003042B6">
        <w:t xml:space="preserve">see </w:t>
      </w:r>
      <w:r w:rsidR="003E31E1">
        <w:t>Additional File 3</w:t>
      </w:r>
      <w:r w:rsidR="00E32A3B">
        <w:t>, table 3</w:t>
      </w:r>
      <w:r w:rsidRPr="005E6F30">
        <w:t>). All role groups saw an increase in average scores, the largest (23%) for Healthcare Support Workers, while the smallest (7%) was for Occupational Therapists and Associate Practitioners</w:t>
      </w:r>
      <w:r w:rsidR="003042B6">
        <w:t xml:space="preserve"> (see </w:t>
      </w:r>
      <w:r w:rsidR="003E31E1">
        <w:t>Additional File 3</w:t>
      </w:r>
      <w:r w:rsidR="00E32A3B">
        <w:t>, table 3</w:t>
      </w:r>
      <w:r w:rsidR="003042B6">
        <w:t xml:space="preserve">). </w:t>
      </w:r>
    </w:p>
    <w:bookmarkEnd w:id="21"/>
    <w:p w14:paraId="51EA8AB4" w14:textId="0BC0446A" w:rsidR="006C2272" w:rsidRPr="00570AA3" w:rsidRDefault="006C2272" w:rsidP="00570AA3">
      <w:pPr>
        <w:rPr>
          <w:u w:val="single"/>
        </w:rPr>
      </w:pPr>
      <w:r w:rsidRPr="00570AA3">
        <w:rPr>
          <w:u w:val="single"/>
        </w:rPr>
        <w:t>T1 Results</w:t>
      </w:r>
    </w:p>
    <w:p w14:paraId="0B630B7D" w14:textId="00522C61" w:rsidR="000E5ED7" w:rsidRPr="003E2BD8" w:rsidRDefault="000E5ED7" w:rsidP="00BC68BD">
      <w:pPr>
        <w:rPr>
          <w:i/>
        </w:rPr>
      </w:pPr>
      <w:r w:rsidRPr="003E2BD8">
        <w:rPr>
          <w:i/>
        </w:rPr>
        <w:t xml:space="preserve">Results for </w:t>
      </w:r>
      <w:r w:rsidR="000F26E1">
        <w:rPr>
          <w:i/>
        </w:rPr>
        <w:t xml:space="preserve">NoMad responses within the </w:t>
      </w:r>
      <w:r w:rsidRPr="003E2BD8">
        <w:rPr>
          <w:i/>
        </w:rPr>
        <w:t>‘Coherence’ construct</w:t>
      </w:r>
      <w:r w:rsidR="000F26E1">
        <w:rPr>
          <w:i/>
        </w:rPr>
        <w:t xml:space="preserve"> (Q4-7)</w:t>
      </w:r>
      <w:r w:rsidRPr="003E2BD8">
        <w:rPr>
          <w:i/>
        </w:rPr>
        <w:t>.</w:t>
      </w:r>
    </w:p>
    <w:p w14:paraId="4462AC13" w14:textId="02B1A3F3" w:rsidR="003E2BD8" w:rsidRDefault="00236E28" w:rsidP="006866A1">
      <w:pPr>
        <w:jc w:val="both"/>
      </w:pPr>
      <w:r>
        <w:t>F</w:t>
      </w:r>
      <w:r w:rsidR="000E5ED7">
        <w:t>our questions (Q4-7) mapping to ‘Coherence’ and its components were added to NoMad instrument at T1 (see table 6).</w:t>
      </w:r>
      <w:r w:rsidR="00431314">
        <w:t xml:space="preserve"> For all participants</w:t>
      </w:r>
      <w:r>
        <w:t xml:space="preserve"> completing T1</w:t>
      </w:r>
      <w:r w:rsidR="00431314">
        <w:t xml:space="preserve">, 46% (n=15) disagreed or were </w:t>
      </w:r>
      <w:r w:rsidR="00B5094A">
        <w:t>uncertain</w:t>
      </w:r>
      <w:r w:rsidR="00431314">
        <w:t xml:space="preserve"> in response to the statement</w:t>
      </w:r>
      <w:r w:rsidR="003E2BD8">
        <w:t xml:space="preserve"> (Q4)</w:t>
      </w:r>
      <w:r w:rsidR="00431314">
        <w:t xml:space="preserve">: ‘I can </w:t>
      </w:r>
      <w:r w:rsidR="00431314" w:rsidRPr="00431314">
        <w:t>see how the new procedure for screening and treatment of malnutrition differs from usual ways of working</w:t>
      </w:r>
      <w:r w:rsidR="00431314">
        <w:t xml:space="preserve">’ </w:t>
      </w:r>
      <w:r w:rsidR="003A704A">
        <w:t>(mean score = 2.7, see table 6</w:t>
      </w:r>
      <w:r w:rsidR="003E2BD8">
        <w:t>). T</w:t>
      </w:r>
      <w:r w:rsidR="00431314">
        <w:t>he same responses represented 38% (n=5) of</w:t>
      </w:r>
      <w:r>
        <w:t xml:space="preserve"> training</w:t>
      </w:r>
      <w:r w:rsidR="00431314">
        <w:t xml:space="preserve"> participant</w:t>
      </w:r>
      <w:r>
        <w:t>s</w:t>
      </w:r>
      <w:r w:rsidR="00431314">
        <w:t xml:space="preserve"> </w:t>
      </w:r>
      <w:r w:rsidR="003E2BD8">
        <w:t>(mean score = 2.5)</w:t>
      </w:r>
      <w:r w:rsidR="00431314">
        <w:t>, and 52% (n=10) of non-</w:t>
      </w:r>
      <w:r>
        <w:t xml:space="preserve">training </w:t>
      </w:r>
      <w:r w:rsidR="00431314">
        <w:t>participant</w:t>
      </w:r>
      <w:r>
        <w:t>s</w:t>
      </w:r>
      <w:r w:rsidR="003A704A">
        <w:t xml:space="preserve"> (mean score = 2.7, see table 6</w:t>
      </w:r>
      <w:r w:rsidR="003E2BD8">
        <w:t>)</w:t>
      </w:r>
      <w:r w:rsidR="00431314">
        <w:t xml:space="preserve">. </w:t>
      </w:r>
      <w:bookmarkStart w:id="22" w:name="_Hlk524082465"/>
      <w:r w:rsidR="00360743">
        <w:t xml:space="preserve">This indicates that for those who both did and did not </w:t>
      </w:r>
      <w:r w:rsidR="00360743">
        <w:lastRenderedPageBreak/>
        <w:t>complete the training, differentiation of the new procedure introduced through training for existing practice requires further attention.</w:t>
      </w:r>
      <w:bookmarkEnd w:id="22"/>
    </w:p>
    <w:p w14:paraId="0ED6E7D5" w14:textId="7F14C042" w:rsidR="00431314" w:rsidRDefault="003E2BD8" w:rsidP="006866A1">
      <w:pPr>
        <w:jc w:val="both"/>
      </w:pPr>
      <w:r>
        <w:t>In the</w:t>
      </w:r>
      <w:r w:rsidR="000E53A9">
        <w:t xml:space="preserve"> T1</w:t>
      </w:r>
      <w:r>
        <w:t xml:space="preserve"> </w:t>
      </w:r>
      <w:r w:rsidR="000E53A9">
        <w:t>all</w:t>
      </w:r>
      <w:r>
        <w:t xml:space="preserve"> participant group, 41% (n=13) disagreed or were </w:t>
      </w:r>
      <w:r w:rsidR="00B5094A">
        <w:t>uncertain</w:t>
      </w:r>
      <w:r>
        <w:t xml:space="preserve"> regarding the statement (Q5): ‘</w:t>
      </w:r>
      <w:r w:rsidRPr="003E2BD8">
        <w:t>Staff in this organisation have a shared understanding of the purpose of new procedure for screening and treatment of malnutrition</w:t>
      </w:r>
      <w:r w:rsidR="00E32A3B">
        <w:t>’ (mean score = 2.7, see tabl</w:t>
      </w:r>
      <w:r w:rsidR="003A704A">
        <w:t>e 6</w:t>
      </w:r>
      <w:r>
        <w:t>). Responses of this type represented 38% (n=5) in the training participant group (mean score = 2.5, and 42% (n=9) of the non-</w:t>
      </w:r>
      <w:r w:rsidR="00236E28">
        <w:t>training</w:t>
      </w:r>
      <w:r>
        <w:t xml:space="preserve"> group</w:t>
      </w:r>
      <w:r w:rsidR="00E32A3B">
        <w:t xml:space="preserve"> (mean score = 2.9, see table </w:t>
      </w:r>
      <w:r w:rsidR="003A704A">
        <w:t>6</w:t>
      </w:r>
      <w:r>
        <w:t>).</w:t>
      </w:r>
      <w:r w:rsidR="00360743">
        <w:t xml:space="preserve"> </w:t>
      </w:r>
      <w:bookmarkStart w:id="23" w:name="_Hlk524082475"/>
      <w:r w:rsidR="00360743">
        <w:t>Results indicate</w:t>
      </w:r>
      <w:r w:rsidR="00236E28">
        <w:t xml:space="preserve"> a large proportion</w:t>
      </w:r>
      <w:r w:rsidR="00360743">
        <w:t xml:space="preserve"> in both sub-groups for whom shared understanding (Communal Specification) of the procedure remains vague. </w:t>
      </w:r>
      <w:bookmarkEnd w:id="23"/>
    </w:p>
    <w:p w14:paraId="6681F67E" w14:textId="73036A8F" w:rsidR="002B1112" w:rsidRDefault="003E2BD8" w:rsidP="006866A1">
      <w:pPr>
        <w:jc w:val="both"/>
      </w:pPr>
      <w:r>
        <w:t>25%</w:t>
      </w:r>
      <w:r w:rsidR="00360743">
        <w:t xml:space="preserve"> (n=8) of the all participant group </w:t>
      </w:r>
      <w:r w:rsidR="000E53A9">
        <w:t>were uncertain of disagreed</w:t>
      </w:r>
      <w:r w:rsidR="00360743">
        <w:t xml:space="preserve"> </w:t>
      </w:r>
      <w:r w:rsidR="000E53A9">
        <w:t>with</w:t>
      </w:r>
      <w:r w:rsidR="00360743">
        <w:t xml:space="preserve"> the statement</w:t>
      </w:r>
      <w:r w:rsidR="00B81D7D">
        <w:t xml:space="preserve"> (Q6)</w:t>
      </w:r>
      <w:r w:rsidR="00360743">
        <w:t>: ‘</w:t>
      </w:r>
      <w:r w:rsidR="00360743" w:rsidRPr="00360743">
        <w:t xml:space="preserve">I understand how </w:t>
      </w:r>
      <w:r w:rsidR="00236E28">
        <w:t xml:space="preserve">the </w:t>
      </w:r>
      <w:r w:rsidR="00360743" w:rsidRPr="00360743">
        <w:t>new procedure for screening and treatment of malnutrition affects the nature of my own work</w:t>
      </w:r>
      <w:r w:rsidR="00E32A3B">
        <w:t xml:space="preserve">’ (mean score = 2.4, see table </w:t>
      </w:r>
      <w:r w:rsidR="003A704A">
        <w:t>6</w:t>
      </w:r>
      <w:r w:rsidR="00360743">
        <w:t>). Respondents providing such answers r</w:t>
      </w:r>
      <w:r w:rsidR="00236E28">
        <w:t>epresented only one response</w:t>
      </w:r>
      <w:r w:rsidR="00360743">
        <w:t xml:space="preserve"> in the training participant subgroup (mean score = 2.0), with seven </w:t>
      </w:r>
      <w:r w:rsidR="000E53A9">
        <w:t>such responses</w:t>
      </w:r>
      <w:r w:rsidR="00360743">
        <w:t xml:space="preserve"> representing 37% of training non-</w:t>
      </w:r>
      <w:r w:rsidR="00236E28">
        <w:t>training group</w:t>
      </w:r>
      <w:r w:rsidR="00E32A3B">
        <w:t xml:space="preserve"> (mean score = 2.7, see table </w:t>
      </w:r>
      <w:r w:rsidR="003A704A">
        <w:t>6</w:t>
      </w:r>
      <w:r w:rsidR="00360743">
        <w:t xml:space="preserve">). </w:t>
      </w:r>
      <w:r w:rsidR="00B81D7D">
        <w:t xml:space="preserve">Here, results indicate a </w:t>
      </w:r>
      <w:r w:rsidR="00AC24F1">
        <w:t xml:space="preserve">potential </w:t>
      </w:r>
      <w:r w:rsidR="00B81D7D">
        <w:t xml:space="preserve">difference in how well participants in respective sub-groups </w:t>
      </w:r>
      <w:r w:rsidR="002B1112">
        <w:t xml:space="preserve">understood the new procedure in terms of their own practice (Individual Specification), </w:t>
      </w:r>
      <w:r w:rsidR="00AC24F1">
        <w:t>though difference between observations did not reach statistical significance</w:t>
      </w:r>
      <w:r w:rsidR="002B1112">
        <w:t xml:space="preserve"> (</w:t>
      </w:r>
      <w:r w:rsidR="00236E28">
        <w:t>p=0.0</w:t>
      </w:r>
      <w:r w:rsidR="003E31E1">
        <w:t>6, see Additional File 4</w:t>
      </w:r>
      <w:r w:rsidR="00236E28">
        <w:t xml:space="preserve">, table </w:t>
      </w:r>
      <w:r w:rsidR="00ED416D">
        <w:t>1</w:t>
      </w:r>
      <w:r w:rsidR="002B1112">
        <w:t xml:space="preserve">). </w:t>
      </w:r>
      <w:bookmarkStart w:id="24" w:name="_Hlk524082631"/>
      <w:r w:rsidR="002B1112">
        <w:t>Comparing this with results from Q5, results indicate a greater effect of training on understanding implications fo</w:t>
      </w:r>
      <w:r w:rsidR="00236E28">
        <w:t>r individual working compared with</w:t>
      </w:r>
      <w:r w:rsidR="002B1112">
        <w:t xml:space="preserve"> team working.</w:t>
      </w:r>
      <w:bookmarkEnd w:id="24"/>
    </w:p>
    <w:p w14:paraId="5400D112" w14:textId="7B96BCD0" w:rsidR="006F32B8" w:rsidRDefault="000F26E1" w:rsidP="006866A1">
      <w:pPr>
        <w:jc w:val="both"/>
      </w:pPr>
      <w:r>
        <w:t xml:space="preserve">75% (n=24) of all participants strongly/agreed with the statement (Q7): </w:t>
      </w:r>
      <w:r w:rsidR="00585F9E">
        <w:t>‘</w:t>
      </w:r>
      <w:r w:rsidR="00585F9E" w:rsidRPr="00585F9E">
        <w:t xml:space="preserve">I can see the potential value of </w:t>
      </w:r>
      <w:r w:rsidR="00585F9E">
        <w:t xml:space="preserve">the </w:t>
      </w:r>
      <w:r w:rsidR="00585F9E" w:rsidRPr="00585F9E">
        <w:t>new procedure for screening and treatment of malnutrition for my work</w:t>
      </w:r>
      <w:r w:rsidR="003A704A">
        <w:t>’ (mean score = 2.2, see table 6</w:t>
      </w:r>
      <w:r w:rsidR="00585F9E">
        <w:t>). 92% (n=12) of the training participant group (mean score = 1.7), and 37% (n=7) of the non-training participant group (mean score = 2.6, see table 6), gave</w:t>
      </w:r>
      <w:r w:rsidR="000E53A9">
        <w:t xml:space="preserve"> such</w:t>
      </w:r>
      <w:r w:rsidR="00585F9E">
        <w:t xml:space="preserve"> responses.  </w:t>
      </w:r>
      <w:bookmarkStart w:id="25" w:name="_Hlk524082748"/>
      <w:r w:rsidR="00585F9E">
        <w:t>This difference between sub-groups was signifi</w:t>
      </w:r>
      <w:r w:rsidR="008628D5">
        <w:t>can</w:t>
      </w:r>
      <w:r w:rsidR="003E31E1">
        <w:t>t (p=0.01, see Additional File 4</w:t>
      </w:r>
      <w:r w:rsidR="008628D5">
        <w:t xml:space="preserve">, </w:t>
      </w:r>
      <w:r w:rsidR="00585F9E">
        <w:t xml:space="preserve">table </w:t>
      </w:r>
      <w:r w:rsidR="00ED416D">
        <w:t>1</w:t>
      </w:r>
      <w:r w:rsidR="00585F9E">
        <w:t>), and indicates a potential impact of training on value placed on the new procedure.</w:t>
      </w:r>
      <w:bookmarkEnd w:id="25"/>
    </w:p>
    <w:p w14:paraId="65CBC151" w14:textId="3C300A88" w:rsidR="003A704A" w:rsidRDefault="003A704A" w:rsidP="003A704A">
      <w:pPr>
        <w:jc w:val="both"/>
      </w:pPr>
    </w:p>
    <w:p w14:paraId="1A10CCEA" w14:textId="1191E7C1" w:rsidR="00556068" w:rsidRDefault="00556068" w:rsidP="003A704A">
      <w:pPr>
        <w:jc w:val="both"/>
      </w:pPr>
    </w:p>
    <w:p w14:paraId="25749A2D" w14:textId="054B79A2" w:rsidR="00556068" w:rsidRDefault="00556068" w:rsidP="003A704A">
      <w:pPr>
        <w:jc w:val="both"/>
      </w:pPr>
    </w:p>
    <w:p w14:paraId="3B85E1B1" w14:textId="1A3012BA" w:rsidR="00556068" w:rsidRDefault="00556068" w:rsidP="003A704A">
      <w:pPr>
        <w:jc w:val="both"/>
      </w:pPr>
    </w:p>
    <w:p w14:paraId="414B31BA" w14:textId="7CBF8355" w:rsidR="00556068" w:rsidRDefault="00556068" w:rsidP="003A704A">
      <w:pPr>
        <w:jc w:val="both"/>
      </w:pPr>
    </w:p>
    <w:p w14:paraId="5A1E611E" w14:textId="5A80A4DF" w:rsidR="00556068" w:rsidRDefault="00556068" w:rsidP="003A704A">
      <w:pPr>
        <w:jc w:val="both"/>
      </w:pPr>
    </w:p>
    <w:p w14:paraId="1441EB36" w14:textId="3FE9352F" w:rsidR="00556068" w:rsidRDefault="00556068" w:rsidP="003A704A">
      <w:pPr>
        <w:jc w:val="both"/>
      </w:pPr>
    </w:p>
    <w:p w14:paraId="70AA193F" w14:textId="48978989" w:rsidR="00556068" w:rsidRDefault="00556068" w:rsidP="003A704A">
      <w:pPr>
        <w:jc w:val="both"/>
      </w:pPr>
    </w:p>
    <w:p w14:paraId="78842C26" w14:textId="019EB6C7" w:rsidR="00556068" w:rsidRDefault="00556068" w:rsidP="003A704A">
      <w:pPr>
        <w:jc w:val="both"/>
      </w:pPr>
    </w:p>
    <w:p w14:paraId="40D6A544" w14:textId="058F0BA8" w:rsidR="00556068" w:rsidRDefault="00556068" w:rsidP="003A704A">
      <w:pPr>
        <w:jc w:val="both"/>
      </w:pPr>
    </w:p>
    <w:p w14:paraId="5BBEE4D3" w14:textId="77777777" w:rsidR="00556068" w:rsidRDefault="00556068" w:rsidP="003A704A">
      <w:pPr>
        <w:jc w:val="both"/>
      </w:pPr>
    </w:p>
    <w:tbl>
      <w:tblPr>
        <w:tblW w:w="7100" w:type="dxa"/>
        <w:jc w:val="center"/>
        <w:tblLook w:val="04A0" w:firstRow="1" w:lastRow="0" w:firstColumn="1" w:lastColumn="0" w:noHBand="0" w:noVBand="1"/>
      </w:tblPr>
      <w:tblGrid>
        <w:gridCol w:w="1188"/>
        <w:gridCol w:w="1062"/>
        <w:gridCol w:w="1294"/>
        <w:gridCol w:w="1138"/>
        <w:gridCol w:w="1138"/>
        <w:gridCol w:w="1280"/>
      </w:tblGrid>
      <w:tr w:rsidR="003A704A" w:rsidRPr="005B4804" w14:paraId="676C843C" w14:textId="77777777" w:rsidTr="00614D14">
        <w:trPr>
          <w:trHeight w:val="300"/>
          <w:jc w:val="center"/>
        </w:trPr>
        <w:tc>
          <w:tcPr>
            <w:tcW w:w="118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C4280D" w14:textId="77777777" w:rsidR="003A704A" w:rsidRPr="005B4804" w:rsidRDefault="003A704A" w:rsidP="00614D14">
            <w:pPr>
              <w:spacing w:after="0" w:line="240" w:lineRule="auto"/>
              <w:rPr>
                <w:rFonts w:ascii="Calibri" w:eastAsia="Times New Roman" w:hAnsi="Calibri" w:cs="Calibri"/>
                <w:b/>
                <w:bCs/>
                <w:color w:val="000000"/>
                <w:sz w:val="18"/>
                <w:szCs w:val="18"/>
                <w:lang w:eastAsia="en-GB"/>
              </w:rPr>
            </w:pPr>
            <w:r w:rsidRPr="005B4804">
              <w:rPr>
                <w:rFonts w:ascii="Calibri" w:eastAsia="Times New Roman" w:hAnsi="Calibri" w:cs="Calibri"/>
                <w:b/>
                <w:bCs/>
                <w:color w:val="000000"/>
                <w:sz w:val="18"/>
                <w:szCs w:val="18"/>
                <w:lang w:eastAsia="en-GB"/>
              </w:rPr>
              <w:t>Construct</w:t>
            </w:r>
          </w:p>
        </w:tc>
        <w:tc>
          <w:tcPr>
            <w:tcW w:w="1062" w:type="dxa"/>
            <w:tcBorders>
              <w:top w:val="single" w:sz="4" w:space="0" w:color="auto"/>
              <w:left w:val="nil"/>
              <w:bottom w:val="single" w:sz="4" w:space="0" w:color="auto"/>
              <w:right w:val="nil"/>
            </w:tcBorders>
            <w:shd w:val="clear" w:color="000000" w:fill="F2F2F2"/>
            <w:vAlign w:val="bottom"/>
            <w:hideMark/>
          </w:tcPr>
          <w:p w14:paraId="04415C95" w14:textId="77777777" w:rsidR="003A704A" w:rsidRPr="005B4804" w:rsidRDefault="003A704A" w:rsidP="00614D14">
            <w:pPr>
              <w:spacing w:after="0" w:line="240" w:lineRule="auto"/>
              <w:rPr>
                <w:rFonts w:ascii="Calibri" w:eastAsia="Times New Roman" w:hAnsi="Calibri" w:cs="Calibri"/>
                <w:color w:val="000000"/>
                <w:sz w:val="18"/>
                <w:szCs w:val="18"/>
                <w:lang w:eastAsia="en-GB"/>
              </w:rPr>
            </w:pPr>
            <w:r w:rsidRPr="005B4804">
              <w:rPr>
                <w:rFonts w:ascii="Calibri" w:eastAsia="Times New Roman" w:hAnsi="Calibri" w:cs="Calibri"/>
                <w:color w:val="000000"/>
                <w:sz w:val="18"/>
                <w:szCs w:val="18"/>
                <w:lang w:eastAsia="en-GB"/>
              </w:rPr>
              <w:t> </w:t>
            </w:r>
          </w:p>
        </w:tc>
        <w:tc>
          <w:tcPr>
            <w:tcW w:w="4850" w:type="dxa"/>
            <w:gridSpan w:val="4"/>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14:paraId="5A897C25" w14:textId="77777777" w:rsidR="003A704A" w:rsidRPr="005B4804" w:rsidRDefault="003A704A" w:rsidP="00614D14">
            <w:pPr>
              <w:spacing w:after="0" w:line="240" w:lineRule="auto"/>
              <w:jc w:val="center"/>
              <w:rPr>
                <w:rFonts w:ascii="Calibri" w:eastAsia="Times New Roman" w:hAnsi="Calibri" w:cs="Calibri"/>
                <w:color w:val="000000"/>
                <w:sz w:val="18"/>
                <w:szCs w:val="18"/>
                <w:lang w:eastAsia="en-GB"/>
              </w:rPr>
            </w:pPr>
            <w:r w:rsidRPr="005B4804">
              <w:rPr>
                <w:rFonts w:ascii="Calibri" w:eastAsia="Times New Roman" w:hAnsi="Calibri" w:cs="Calibri"/>
                <w:color w:val="000000"/>
                <w:sz w:val="18"/>
                <w:szCs w:val="18"/>
                <w:lang w:eastAsia="en-GB"/>
              </w:rPr>
              <w:t>Coherence</w:t>
            </w:r>
          </w:p>
        </w:tc>
      </w:tr>
      <w:tr w:rsidR="003A704A" w:rsidRPr="005B4804" w14:paraId="65B9924A" w14:textId="77777777" w:rsidTr="00614D14">
        <w:trPr>
          <w:trHeight w:val="720"/>
          <w:jc w:val="center"/>
        </w:trPr>
        <w:tc>
          <w:tcPr>
            <w:tcW w:w="1188" w:type="dxa"/>
            <w:tcBorders>
              <w:top w:val="nil"/>
              <w:left w:val="single" w:sz="4" w:space="0" w:color="auto"/>
              <w:bottom w:val="single" w:sz="4" w:space="0" w:color="auto"/>
              <w:right w:val="single" w:sz="4" w:space="0" w:color="auto"/>
            </w:tcBorders>
            <w:shd w:val="clear" w:color="000000" w:fill="D9D9D9"/>
            <w:vAlign w:val="center"/>
            <w:hideMark/>
          </w:tcPr>
          <w:p w14:paraId="4919E81C" w14:textId="77777777" w:rsidR="003A704A" w:rsidRPr="005B4804" w:rsidRDefault="003A704A" w:rsidP="00614D14">
            <w:pPr>
              <w:spacing w:after="0" w:line="240" w:lineRule="auto"/>
              <w:rPr>
                <w:rFonts w:ascii="Calibri" w:eastAsia="Times New Roman" w:hAnsi="Calibri" w:cs="Calibri"/>
                <w:b/>
                <w:bCs/>
                <w:color w:val="000000"/>
                <w:sz w:val="18"/>
                <w:szCs w:val="18"/>
                <w:lang w:eastAsia="en-GB"/>
              </w:rPr>
            </w:pPr>
            <w:r w:rsidRPr="005B4804">
              <w:rPr>
                <w:rFonts w:ascii="Calibri" w:eastAsia="Times New Roman" w:hAnsi="Calibri" w:cs="Calibri"/>
                <w:b/>
                <w:bCs/>
                <w:color w:val="000000"/>
                <w:sz w:val="18"/>
                <w:szCs w:val="18"/>
                <w:lang w:eastAsia="en-GB"/>
              </w:rPr>
              <w:t>Component</w:t>
            </w:r>
          </w:p>
        </w:tc>
        <w:tc>
          <w:tcPr>
            <w:tcW w:w="1062" w:type="dxa"/>
            <w:tcBorders>
              <w:top w:val="single" w:sz="4" w:space="0" w:color="auto"/>
              <w:left w:val="nil"/>
              <w:bottom w:val="nil"/>
              <w:right w:val="single" w:sz="4" w:space="0" w:color="auto"/>
            </w:tcBorders>
            <w:shd w:val="clear" w:color="000000" w:fill="F2F2F2"/>
            <w:vAlign w:val="bottom"/>
            <w:hideMark/>
          </w:tcPr>
          <w:p w14:paraId="01EA4CBF" w14:textId="77777777" w:rsidR="003A704A" w:rsidRPr="005B4804" w:rsidRDefault="003A704A" w:rsidP="00614D14">
            <w:pPr>
              <w:spacing w:after="0" w:line="240" w:lineRule="auto"/>
              <w:rPr>
                <w:rFonts w:ascii="Calibri" w:eastAsia="Times New Roman" w:hAnsi="Calibri" w:cs="Calibri"/>
                <w:i/>
                <w:iCs/>
                <w:color w:val="000000"/>
                <w:sz w:val="18"/>
                <w:szCs w:val="18"/>
                <w:lang w:eastAsia="en-GB"/>
              </w:rPr>
            </w:pPr>
            <w:r w:rsidRPr="005B4804">
              <w:rPr>
                <w:rFonts w:ascii="Calibri" w:eastAsia="Times New Roman" w:hAnsi="Calibri" w:cs="Calibri"/>
                <w:i/>
                <w:iCs/>
                <w:color w:val="000000"/>
                <w:sz w:val="18"/>
                <w:szCs w:val="18"/>
                <w:lang w:eastAsia="en-GB"/>
              </w:rPr>
              <w:t> </w:t>
            </w:r>
          </w:p>
        </w:tc>
        <w:tc>
          <w:tcPr>
            <w:tcW w:w="1294" w:type="dxa"/>
            <w:tcBorders>
              <w:top w:val="nil"/>
              <w:left w:val="nil"/>
              <w:bottom w:val="nil"/>
              <w:right w:val="single" w:sz="4" w:space="0" w:color="auto"/>
            </w:tcBorders>
            <w:shd w:val="clear" w:color="auto" w:fill="auto"/>
            <w:vAlign w:val="center"/>
            <w:hideMark/>
          </w:tcPr>
          <w:p w14:paraId="148EF54F" w14:textId="77777777" w:rsidR="003A704A" w:rsidRPr="005B4804" w:rsidRDefault="003A704A" w:rsidP="00614D14">
            <w:pPr>
              <w:spacing w:after="0" w:line="240" w:lineRule="auto"/>
              <w:rPr>
                <w:rFonts w:ascii="Calibri" w:eastAsia="Times New Roman" w:hAnsi="Calibri" w:cs="Calibri"/>
                <w:color w:val="000000"/>
                <w:sz w:val="18"/>
                <w:szCs w:val="18"/>
                <w:lang w:eastAsia="en-GB"/>
              </w:rPr>
            </w:pPr>
            <w:r w:rsidRPr="005B4804">
              <w:rPr>
                <w:rFonts w:ascii="Calibri" w:eastAsia="Times New Roman" w:hAnsi="Calibri" w:cs="Calibri"/>
                <w:color w:val="000000"/>
                <w:sz w:val="18"/>
                <w:szCs w:val="18"/>
                <w:lang w:eastAsia="en-GB"/>
              </w:rPr>
              <w:t>Differentiation</w:t>
            </w:r>
          </w:p>
        </w:tc>
        <w:tc>
          <w:tcPr>
            <w:tcW w:w="1138" w:type="dxa"/>
            <w:tcBorders>
              <w:top w:val="nil"/>
              <w:left w:val="nil"/>
              <w:bottom w:val="nil"/>
              <w:right w:val="single" w:sz="4" w:space="0" w:color="auto"/>
            </w:tcBorders>
            <w:shd w:val="clear" w:color="auto" w:fill="auto"/>
            <w:vAlign w:val="center"/>
            <w:hideMark/>
          </w:tcPr>
          <w:p w14:paraId="4B659AD6" w14:textId="77777777" w:rsidR="003A704A" w:rsidRPr="005B4804" w:rsidRDefault="003A704A" w:rsidP="00614D14">
            <w:pPr>
              <w:spacing w:after="0" w:line="240" w:lineRule="auto"/>
              <w:rPr>
                <w:rFonts w:ascii="Calibri" w:eastAsia="Times New Roman" w:hAnsi="Calibri" w:cs="Calibri"/>
                <w:color w:val="000000"/>
                <w:sz w:val="18"/>
                <w:szCs w:val="18"/>
                <w:lang w:eastAsia="en-GB"/>
              </w:rPr>
            </w:pPr>
            <w:r w:rsidRPr="005B4804">
              <w:rPr>
                <w:rFonts w:ascii="Calibri" w:eastAsia="Times New Roman" w:hAnsi="Calibri" w:cs="Calibri"/>
                <w:color w:val="000000"/>
                <w:sz w:val="18"/>
                <w:szCs w:val="18"/>
                <w:lang w:eastAsia="en-GB"/>
              </w:rPr>
              <w:t>Communal specification</w:t>
            </w:r>
          </w:p>
        </w:tc>
        <w:tc>
          <w:tcPr>
            <w:tcW w:w="1138" w:type="dxa"/>
            <w:tcBorders>
              <w:top w:val="nil"/>
              <w:left w:val="nil"/>
              <w:bottom w:val="nil"/>
              <w:right w:val="single" w:sz="4" w:space="0" w:color="auto"/>
            </w:tcBorders>
            <w:shd w:val="clear" w:color="auto" w:fill="auto"/>
            <w:vAlign w:val="center"/>
            <w:hideMark/>
          </w:tcPr>
          <w:p w14:paraId="13F1EAFF" w14:textId="77777777" w:rsidR="003A704A" w:rsidRPr="005B4804" w:rsidRDefault="003A704A" w:rsidP="00614D14">
            <w:pPr>
              <w:spacing w:after="0" w:line="240" w:lineRule="auto"/>
              <w:rPr>
                <w:rFonts w:ascii="Calibri" w:eastAsia="Times New Roman" w:hAnsi="Calibri" w:cs="Calibri"/>
                <w:color w:val="000000"/>
                <w:sz w:val="18"/>
                <w:szCs w:val="18"/>
                <w:lang w:eastAsia="en-GB"/>
              </w:rPr>
            </w:pPr>
            <w:r w:rsidRPr="005B4804">
              <w:rPr>
                <w:rFonts w:ascii="Calibri" w:eastAsia="Times New Roman" w:hAnsi="Calibri" w:cs="Calibri"/>
                <w:color w:val="000000"/>
                <w:sz w:val="18"/>
                <w:szCs w:val="18"/>
                <w:lang w:eastAsia="en-GB"/>
              </w:rPr>
              <w:t>Individual specification</w:t>
            </w:r>
          </w:p>
        </w:tc>
        <w:tc>
          <w:tcPr>
            <w:tcW w:w="1280" w:type="dxa"/>
            <w:tcBorders>
              <w:top w:val="nil"/>
              <w:left w:val="nil"/>
              <w:bottom w:val="nil"/>
              <w:right w:val="single" w:sz="4" w:space="0" w:color="auto"/>
            </w:tcBorders>
            <w:shd w:val="clear" w:color="auto" w:fill="auto"/>
            <w:vAlign w:val="center"/>
            <w:hideMark/>
          </w:tcPr>
          <w:p w14:paraId="42D0F7A7" w14:textId="77777777" w:rsidR="003A704A" w:rsidRPr="005B4804" w:rsidRDefault="003A704A" w:rsidP="00614D14">
            <w:pPr>
              <w:spacing w:after="0" w:line="240" w:lineRule="auto"/>
              <w:rPr>
                <w:rFonts w:ascii="Calibri" w:eastAsia="Times New Roman" w:hAnsi="Calibri" w:cs="Calibri"/>
                <w:color w:val="000000"/>
                <w:sz w:val="18"/>
                <w:szCs w:val="18"/>
                <w:lang w:eastAsia="en-GB"/>
              </w:rPr>
            </w:pPr>
            <w:r w:rsidRPr="005B4804">
              <w:rPr>
                <w:rFonts w:ascii="Calibri" w:eastAsia="Times New Roman" w:hAnsi="Calibri" w:cs="Calibri"/>
                <w:color w:val="000000"/>
                <w:sz w:val="18"/>
                <w:szCs w:val="18"/>
                <w:lang w:eastAsia="en-GB"/>
              </w:rPr>
              <w:t>Internalisation</w:t>
            </w:r>
          </w:p>
        </w:tc>
      </w:tr>
      <w:tr w:rsidR="003A704A" w:rsidRPr="005B4804" w14:paraId="7F1113CF" w14:textId="77777777" w:rsidTr="00614D14">
        <w:trPr>
          <w:trHeight w:val="720"/>
          <w:jc w:val="center"/>
        </w:trPr>
        <w:tc>
          <w:tcPr>
            <w:tcW w:w="1188" w:type="dxa"/>
            <w:tcBorders>
              <w:top w:val="nil"/>
              <w:left w:val="single" w:sz="4" w:space="0" w:color="auto"/>
              <w:bottom w:val="single" w:sz="4" w:space="0" w:color="auto"/>
              <w:right w:val="nil"/>
            </w:tcBorders>
            <w:shd w:val="clear" w:color="000000" w:fill="D9D9D9"/>
            <w:vAlign w:val="center"/>
            <w:hideMark/>
          </w:tcPr>
          <w:p w14:paraId="1B2E0BCF" w14:textId="77777777" w:rsidR="003A704A" w:rsidRPr="005B4804" w:rsidRDefault="003A704A" w:rsidP="00614D14">
            <w:pPr>
              <w:spacing w:after="0" w:line="240" w:lineRule="auto"/>
              <w:rPr>
                <w:rFonts w:ascii="Calibri" w:eastAsia="Times New Roman" w:hAnsi="Calibri" w:cs="Calibri"/>
                <w:b/>
                <w:bCs/>
                <w:color w:val="000000"/>
                <w:sz w:val="18"/>
                <w:szCs w:val="18"/>
                <w:lang w:eastAsia="en-GB"/>
              </w:rPr>
            </w:pPr>
            <w:r w:rsidRPr="005B4804">
              <w:rPr>
                <w:rFonts w:ascii="Calibri" w:eastAsia="Times New Roman" w:hAnsi="Calibri" w:cs="Calibri"/>
                <w:b/>
                <w:bCs/>
                <w:color w:val="000000"/>
                <w:sz w:val="18"/>
                <w:szCs w:val="18"/>
                <w:lang w:eastAsia="en-GB"/>
              </w:rPr>
              <w:t>Question / observation point</w:t>
            </w:r>
          </w:p>
        </w:tc>
        <w:tc>
          <w:tcPr>
            <w:tcW w:w="106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5087BF64" w14:textId="77777777" w:rsidR="003A704A" w:rsidRPr="005B4804" w:rsidRDefault="003A704A" w:rsidP="00614D14">
            <w:pPr>
              <w:spacing w:after="0" w:line="240" w:lineRule="auto"/>
              <w:rPr>
                <w:rFonts w:ascii="Calibri" w:eastAsia="Times New Roman" w:hAnsi="Calibri" w:cs="Calibri"/>
                <w:i/>
                <w:iCs/>
                <w:color w:val="000000"/>
                <w:sz w:val="18"/>
                <w:szCs w:val="18"/>
                <w:lang w:eastAsia="en-GB"/>
              </w:rPr>
            </w:pPr>
            <w:r w:rsidRPr="005B4804">
              <w:rPr>
                <w:rFonts w:ascii="Calibri" w:eastAsia="Times New Roman" w:hAnsi="Calibri" w:cs="Calibri"/>
                <w:i/>
                <w:iCs/>
                <w:color w:val="000000"/>
                <w:sz w:val="18"/>
                <w:szCs w:val="18"/>
                <w:lang w:eastAsia="en-GB"/>
              </w:rPr>
              <w:t> </w:t>
            </w:r>
          </w:p>
        </w:tc>
        <w:tc>
          <w:tcPr>
            <w:tcW w:w="1294" w:type="dxa"/>
            <w:tcBorders>
              <w:top w:val="nil"/>
              <w:left w:val="nil"/>
              <w:bottom w:val="single" w:sz="4" w:space="0" w:color="auto"/>
              <w:right w:val="single" w:sz="4" w:space="0" w:color="auto"/>
            </w:tcBorders>
            <w:shd w:val="clear" w:color="auto" w:fill="auto"/>
            <w:noWrap/>
            <w:vAlign w:val="bottom"/>
            <w:hideMark/>
          </w:tcPr>
          <w:p w14:paraId="02C64C34" w14:textId="77777777" w:rsidR="003A704A" w:rsidRPr="005B4804" w:rsidRDefault="003A704A" w:rsidP="00614D14">
            <w:pPr>
              <w:spacing w:after="0" w:line="240" w:lineRule="auto"/>
              <w:rPr>
                <w:rFonts w:ascii="Calibri" w:eastAsia="Times New Roman" w:hAnsi="Calibri" w:cs="Calibri"/>
                <w:color w:val="000000"/>
                <w:sz w:val="18"/>
                <w:szCs w:val="18"/>
                <w:lang w:eastAsia="en-GB"/>
              </w:rPr>
            </w:pPr>
            <w:r w:rsidRPr="005B4804">
              <w:rPr>
                <w:rFonts w:ascii="Calibri" w:eastAsia="Times New Roman" w:hAnsi="Calibri" w:cs="Calibri"/>
                <w:color w:val="000000"/>
                <w:sz w:val="18"/>
                <w:szCs w:val="18"/>
                <w:lang w:eastAsia="en-GB"/>
              </w:rPr>
              <w:t>Q4</w:t>
            </w:r>
          </w:p>
        </w:tc>
        <w:tc>
          <w:tcPr>
            <w:tcW w:w="1138" w:type="dxa"/>
            <w:tcBorders>
              <w:top w:val="nil"/>
              <w:left w:val="nil"/>
              <w:bottom w:val="single" w:sz="4" w:space="0" w:color="auto"/>
              <w:right w:val="single" w:sz="4" w:space="0" w:color="auto"/>
            </w:tcBorders>
            <w:shd w:val="clear" w:color="auto" w:fill="auto"/>
            <w:noWrap/>
            <w:vAlign w:val="bottom"/>
            <w:hideMark/>
          </w:tcPr>
          <w:p w14:paraId="0C661773" w14:textId="77777777" w:rsidR="003A704A" w:rsidRPr="005B4804" w:rsidRDefault="003A704A" w:rsidP="00614D14">
            <w:pPr>
              <w:spacing w:after="0" w:line="240" w:lineRule="auto"/>
              <w:rPr>
                <w:rFonts w:ascii="Calibri" w:eastAsia="Times New Roman" w:hAnsi="Calibri" w:cs="Calibri"/>
                <w:color w:val="000000"/>
                <w:sz w:val="18"/>
                <w:szCs w:val="18"/>
                <w:lang w:eastAsia="en-GB"/>
              </w:rPr>
            </w:pPr>
            <w:r w:rsidRPr="005B4804">
              <w:rPr>
                <w:rFonts w:ascii="Calibri" w:eastAsia="Times New Roman" w:hAnsi="Calibri" w:cs="Calibri"/>
                <w:color w:val="000000"/>
                <w:sz w:val="18"/>
                <w:szCs w:val="18"/>
                <w:lang w:eastAsia="en-GB"/>
              </w:rPr>
              <w:t>Q5</w:t>
            </w:r>
          </w:p>
        </w:tc>
        <w:tc>
          <w:tcPr>
            <w:tcW w:w="1138" w:type="dxa"/>
            <w:tcBorders>
              <w:top w:val="nil"/>
              <w:left w:val="nil"/>
              <w:bottom w:val="single" w:sz="4" w:space="0" w:color="auto"/>
              <w:right w:val="single" w:sz="4" w:space="0" w:color="auto"/>
            </w:tcBorders>
            <w:shd w:val="clear" w:color="auto" w:fill="auto"/>
            <w:noWrap/>
            <w:vAlign w:val="bottom"/>
            <w:hideMark/>
          </w:tcPr>
          <w:p w14:paraId="439E3EDE" w14:textId="77777777" w:rsidR="003A704A" w:rsidRPr="005B4804" w:rsidRDefault="003A704A" w:rsidP="00614D14">
            <w:pPr>
              <w:spacing w:after="0" w:line="240" w:lineRule="auto"/>
              <w:rPr>
                <w:rFonts w:ascii="Calibri" w:eastAsia="Times New Roman" w:hAnsi="Calibri" w:cs="Calibri"/>
                <w:color w:val="000000"/>
                <w:sz w:val="18"/>
                <w:szCs w:val="18"/>
                <w:lang w:eastAsia="en-GB"/>
              </w:rPr>
            </w:pPr>
            <w:r w:rsidRPr="005B4804">
              <w:rPr>
                <w:rFonts w:ascii="Calibri" w:eastAsia="Times New Roman" w:hAnsi="Calibri" w:cs="Calibri"/>
                <w:color w:val="000000"/>
                <w:sz w:val="18"/>
                <w:szCs w:val="18"/>
                <w:lang w:eastAsia="en-GB"/>
              </w:rPr>
              <w:t>Q6</w:t>
            </w:r>
          </w:p>
        </w:tc>
        <w:tc>
          <w:tcPr>
            <w:tcW w:w="1280" w:type="dxa"/>
            <w:tcBorders>
              <w:top w:val="nil"/>
              <w:left w:val="nil"/>
              <w:bottom w:val="single" w:sz="4" w:space="0" w:color="auto"/>
              <w:right w:val="single" w:sz="4" w:space="0" w:color="auto"/>
            </w:tcBorders>
            <w:shd w:val="clear" w:color="auto" w:fill="auto"/>
            <w:noWrap/>
            <w:vAlign w:val="bottom"/>
            <w:hideMark/>
          </w:tcPr>
          <w:p w14:paraId="28DE9BF0" w14:textId="77777777" w:rsidR="003A704A" w:rsidRPr="005B4804" w:rsidRDefault="003A704A" w:rsidP="00614D14">
            <w:pPr>
              <w:spacing w:after="0" w:line="240" w:lineRule="auto"/>
              <w:rPr>
                <w:rFonts w:ascii="Calibri" w:eastAsia="Times New Roman" w:hAnsi="Calibri" w:cs="Calibri"/>
                <w:color w:val="000000"/>
                <w:sz w:val="18"/>
                <w:szCs w:val="18"/>
                <w:lang w:eastAsia="en-GB"/>
              </w:rPr>
            </w:pPr>
            <w:r w:rsidRPr="005B4804">
              <w:rPr>
                <w:rFonts w:ascii="Calibri" w:eastAsia="Times New Roman" w:hAnsi="Calibri" w:cs="Calibri"/>
                <w:color w:val="000000"/>
                <w:sz w:val="18"/>
                <w:szCs w:val="18"/>
                <w:lang w:eastAsia="en-GB"/>
              </w:rPr>
              <w:t>Q7</w:t>
            </w:r>
          </w:p>
        </w:tc>
      </w:tr>
      <w:tr w:rsidR="006F32B8" w:rsidRPr="005B4804" w14:paraId="2F251F6C" w14:textId="77777777" w:rsidTr="000F4EA3">
        <w:trPr>
          <w:trHeight w:val="460"/>
          <w:jc w:val="center"/>
        </w:trPr>
        <w:tc>
          <w:tcPr>
            <w:tcW w:w="1188" w:type="dxa"/>
            <w:vMerge w:val="restart"/>
            <w:tcBorders>
              <w:top w:val="nil"/>
              <w:left w:val="single" w:sz="4" w:space="0" w:color="auto"/>
              <w:right w:val="single" w:sz="4" w:space="0" w:color="auto"/>
            </w:tcBorders>
            <w:shd w:val="clear" w:color="000000" w:fill="D9D9D9"/>
            <w:vAlign w:val="center"/>
            <w:hideMark/>
          </w:tcPr>
          <w:p w14:paraId="4D31F34B" w14:textId="77777777" w:rsidR="006F32B8" w:rsidRPr="005B4804" w:rsidRDefault="006F32B8" w:rsidP="000F4EA3">
            <w:pPr>
              <w:spacing w:after="0" w:line="240" w:lineRule="auto"/>
              <w:rPr>
                <w:rFonts w:ascii="Calibri" w:eastAsia="Times New Roman" w:hAnsi="Calibri" w:cs="Calibri"/>
                <w:b/>
                <w:bCs/>
                <w:color w:val="000000"/>
                <w:sz w:val="18"/>
                <w:szCs w:val="18"/>
                <w:lang w:eastAsia="en-GB"/>
              </w:rPr>
            </w:pPr>
            <w:r w:rsidRPr="005B4804">
              <w:rPr>
                <w:rFonts w:ascii="Calibri" w:eastAsia="Times New Roman" w:hAnsi="Calibri" w:cs="Calibri"/>
                <w:b/>
                <w:bCs/>
                <w:color w:val="000000"/>
                <w:sz w:val="18"/>
                <w:szCs w:val="18"/>
                <w:lang w:eastAsia="en-GB"/>
              </w:rPr>
              <w:t>Training Participants (n=13)</w:t>
            </w:r>
          </w:p>
        </w:tc>
        <w:tc>
          <w:tcPr>
            <w:tcW w:w="1062" w:type="dxa"/>
            <w:vMerge w:val="restart"/>
            <w:tcBorders>
              <w:top w:val="nil"/>
              <w:left w:val="nil"/>
              <w:right w:val="single" w:sz="4" w:space="0" w:color="auto"/>
            </w:tcBorders>
            <w:shd w:val="clear" w:color="000000" w:fill="F2F2F2"/>
            <w:vAlign w:val="center"/>
            <w:hideMark/>
          </w:tcPr>
          <w:p w14:paraId="104F7145" w14:textId="488120B1" w:rsidR="006F32B8" w:rsidRPr="005B4804" w:rsidRDefault="006F32B8" w:rsidP="000F4EA3">
            <w:pPr>
              <w:spacing w:after="0" w:line="240" w:lineRule="auto"/>
              <w:rPr>
                <w:rFonts w:ascii="Calibri" w:eastAsia="Times New Roman" w:hAnsi="Calibri" w:cs="Calibri"/>
                <w:i/>
                <w:iCs/>
                <w:color w:val="000000"/>
                <w:sz w:val="18"/>
                <w:szCs w:val="18"/>
                <w:lang w:eastAsia="en-GB"/>
              </w:rPr>
            </w:pPr>
            <w:r w:rsidRPr="005B4804">
              <w:rPr>
                <w:rFonts w:ascii="Calibri" w:eastAsia="Times New Roman" w:hAnsi="Calibri" w:cs="Calibri"/>
                <w:i/>
                <w:iCs/>
                <w:color w:val="000000"/>
                <w:sz w:val="18"/>
                <w:szCs w:val="18"/>
                <w:lang w:eastAsia="en-GB"/>
              </w:rPr>
              <w:t>Question / component mean score</w:t>
            </w:r>
            <w:r>
              <w:rPr>
                <w:rFonts w:ascii="Calibri" w:eastAsia="Times New Roman" w:hAnsi="Calibri" w:cs="Calibri"/>
                <w:i/>
                <w:iCs/>
                <w:color w:val="000000"/>
                <w:sz w:val="18"/>
                <w:szCs w:val="18"/>
                <w:lang w:eastAsia="en-GB"/>
              </w:rPr>
              <w:t>, SD, range.</w:t>
            </w:r>
          </w:p>
        </w:tc>
        <w:tc>
          <w:tcPr>
            <w:tcW w:w="1294" w:type="dxa"/>
            <w:tcBorders>
              <w:top w:val="nil"/>
              <w:left w:val="single" w:sz="4" w:space="0" w:color="auto"/>
              <w:bottom w:val="nil"/>
              <w:right w:val="single" w:sz="4" w:space="0" w:color="auto"/>
            </w:tcBorders>
            <w:shd w:val="clear" w:color="000000" w:fill="BAE9FA"/>
            <w:noWrap/>
            <w:vAlign w:val="center"/>
            <w:hideMark/>
          </w:tcPr>
          <w:p w14:paraId="52B9228E" w14:textId="77777777" w:rsidR="006F32B8" w:rsidRPr="000F4EA3" w:rsidRDefault="006F32B8"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2.5</w:t>
            </w:r>
          </w:p>
        </w:tc>
        <w:tc>
          <w:tcPr>
            <w:tcW w:w="1138" w:type="dxa"/>
            <w:tcBorders>
              <w:top w:val="nil"/>
              <w:left w:val="single" w:sz="4" w:space="0" w:color="auto"/>
              <w:bottom w:val="nil"/>
              <w:right w:val="single" w:sz="4" w:space="0" w:color="auto"/>
            </w:tcBorders>
            <w:shd w:val="clear" w:color="000000" w:fill="BAE9FA"/>
            <w:noWrap/>
            <w:vAlign w:val="center"/>
            <w:hideMark/>
          </w:tcPr>
          <w:p w14:paraId="236F8E29" w14:textId="77777777" w:rsidR="006F32B8" w:rsidRPr="000F4EA3" w:rsidRDefault="006F32B8"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2.5</w:t>
            </w:r>
          </w:p>
        </w:tc>
        <w:tc>
          <w:tcPr>
            <w:tcW w:w="1138" w:type="dxa"/>
            <w:tcBorders>
              <w:top w:val="nil"/>
              <w:left w:val="single" w:sz="4" w:space="0" w:color="auto"/>
              <w:bottom w:val="nil"/>
              <w:right w:val="single" w:sz="4" w:space="0" w:color="auto"/>
            </w:tcBorders>
            <w:shd w:val="clear" w:color="000000" w:fill="7FD7F7"/>
            <w:noWrap/>
            <w:vAlign w:val="center"/>
            <w:hideMark/>
          </w:tcPr>
          <w:p w14:paraId="09AD75F1" w14:textId="77777777" w:rsidR="006F32B8" w:rsidRPr="000F4EA3" w:rsidRDefault="006F32B8"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2.0</w:t>
            </w:r>
          </w:p>
        </w:tc>
        <w:tc>
          <w:tcPr>
            <w:tcW w:w="1280" w:type="dxa"/>
            <w:tcBorders>
              <w:top w:val="nil"/>
              <w:left w:val="nil"/>
              <w:bottom w:val="nil"/>
              <w:right w:val="single" w:sz="4" w:space="0" w:color="auto"/>
            </w:tcBorders>
            <w:shd w:val="clear" w:color="000000" w:fill="55CAF5"/>
            <w:noWrap/>
            <w:vAlign w:val="center"/>
            <w:hideMark/>
          </w:tcPr>
          <w:p w14:paraId="5E92571F" w14:textId="77777777" w:rsidR="006F32B8" w:rsidRPr="000F4EA3" w:rsidRDefault="006F32B8" w:rsidP="000F4EA3">
            <w:pPr>
              <w:spacing w:after="0" w:line="240" w:lineRule="auto"/>
              <w:jc w:val="center"/>
              <w:rPr>
                <w:rFonts w:ascii="Calibri" w:eastAsia="Times New Roman" w:hAnsi="Calibri" w:cs="Calibri"/>
                <w:b/>
                <w:color w:val="000000"/>
                <w:sz w:val="18"/>
                <w:szCs w:val="18"/>
                <w:lang w:eastAsia="en-GB"/>
              </w:rPr>
            </w:pPr>
            <w:r w:rsidRPr="000F4EA3">
              <w:rPr>
                <w:rFonts w:ascii="Calibri" w:eastAsia="Times New Roman" w:hAnsi="Calibri" w:cs="Calibri"/>
                <w:b/>
                <w:color w:val="000000"/>
                <w:sz w:val="18"/>
                <w:szCs w:val="18"/>
                <w:lang w:eastAsia="en-GB"/>
              </w:rPr>
              <w:t>1.7</w:t>
            </w:r>
          </w:p>
        </w:tc>
      </w:tr>
      <w:tr w:rsidR="00556068" w:rsidRPr="005B4804" w14:paraId="78302A9A" w14:textId="77777777" w:rsidTr="000F4EA3">
        <w:trPr>
          <w:trHeight w:val="80"/>
          <w:jc w:val="center"/>
        </w:trPr>
        <w:tc>
          <w:tcPr>
            <w:tcW w:w="1188" w:type="dxa"/>
            <w:vMerge/>
            <w:tcBorders>
              <w:left w:val="single" w:sz="4" w:space="0" w:color="auto"/>
              <w:right w:val="single" w:sz="4" w:space="0" w:color="auto"/>
            </w:tcBorders>
            <w:shd w:val="clear" w:color="000000" w:fill="D9D9D9"/>
            <w:vAlign w:val="center"/>
          </w:tcPr>
          <w:p w14:paraId="47806A92" w14:textId="77777777" w:rsidR="00556068" w:rsidRPr="005B4804" w:rsidRDefault="00556068" w:rsidP="00556068">
            <w:pPr>
              <w:spacing w:after="0" w:line="240" w:lineRule="auto"/>
              <w:rPr>
                <w:rFonts w:ascii="Calibri" w:eastAsia="Times New Roman" w:hAnsi="Calibri" w:cs="Calibri"/>
                <w:b/>
                <w:bCs/>
                <w:color w:val="000000"/>
                <w:sz w:val="18"/>
                <w:szCs w:val="18"/>
                <w:lang w:eastAsia="en-GB"/>
              </w:rPr>
            </w:pPr>
          </w:p>
        </w:tc>
        <w:tc>
          <w:tcPr>
            <w:tcW w:w="1062" w:type="dxa"/>
            <w:vMerge/>
            <w:tcBorders>
              <w:left w:val="nil"/>
              <w:right w:val="single" w:sz="4" w:space="0" w:color="auto"/>
            </w:tcBorders>
            <w:shd w:val="clear" w:color="000000" w:fill="F2F2F2"/>
            <w:vAlign w:val="center"/>
          </w:tcPr>
          <w:p w14:paraId="24853709" w14:textId="77777777" w:rsidR="00556068" w:rsidRPr="005B4804" w:rsidRDefault="00556068" w:rsidP="000F4EA3">
            <w:pPr>
              <w:spacing w:after="0" w:line="240" w:lineRule="auto"/>
              <w:rPr>
                <w:rFonts w:ascii="Calibri" w:eastAsia="Times New Roman" w:hAnsi="Calibri" w:cs="Calibri"/>
                <w:i/>
                <w:iCs/>
                <w:color w:val="000000"/>
                <w:sz w:val="18"/>
                <w:szCs w:val="18"/>
                <w:lang w:eastAsia="en-GB"/>
              </w:rPr>
            </w:pPr>
          </w:p>
        </w:tc>
        <w:tc>
          <w:tcPr>
            <w:tcW w:w="1294" w:type="dxa"/>
            <w:tcBorders>
              <w:top w:val="nil"/>
              <w:left w:val="single" w:sz="4" w:space="0" w:color="auto"/>
              <w:bottom w:val="nil"/>
              <w:right w:val="single" w:sz="4" w:space="0" w:color="auto"/>
            </w:tcBorders>
            <w:shd w:val="clear" w:color="000000" w:fill="BAE9FA"/>
            <w:noWrap/>
          </w:tcPr>
          <w:p w14:paraId="259D1F80" w14:textId="0A64B65E" w:rsidR="00556068" w:rsidRPr="000F4EA3" w:rsidRDefault="00556068" w:rsidP="00556068">
            <w:pPr>
              <w:spacing w:after="0" w:line="240" w:lineRule="auto"/>
              <w:jc w:val="center"/>
              <w:rPr>
                <w:rFonts w:ascii="Calibri" w:eastAsia="Times New Roman" w:hAnsi="Calibri" w:cs="Calibri"/>
                <w:i/>
                <w:color w:val="000000"/>
                <w:sz w:val="16"/>
                <w:szCs w:val="16"/>
                <w:lang w:eastAsia="en-GB"/>
              </w:rPr>
            </w:pPr>
            <w:r w:rsidRPr="000F4EA3">
              <w:rPr>
                <w:i/>
                <w:sz w:val="16"/>
                <w:szCs w:val="16"/>
              </w:rPr>
              <w:t>0.66</w:t>
            </w:r>
          </w:p>
        </w:tc>
        <w:tc>
          <w:tcPr>
            <w:tcW w:w="1138" w:type="dxa"/>
            <w:tcBorders>
              <w:top w:val="nil"/>
              <w:left w:val="single" w:sz="4" w:space="0" w:color="auto"/>
              <w:bottom w:val="nil"/>
              <w:right w:val="single" w:sz="4" w:space="0" w:color="auto"/>
            </w:tcBorders>
            <w:shd w:val="clear" w:color="000000" w:fill="BAE9FA"/>
            <w:noWrap/>
          </w:tcPr>
          <w:p w14:paraId="17CE3311" w14:textId="3943CC86" w:rsidR="00556068" w:rsidRPr="000F4EA3" w:rsidRDefault="00556068" w:rsidP="00556068">
            <w:pPr>
              <w:spacing w:after="0" w:line="240" w:lineRule="auto"/>
              <w:jc w:val="center"/>
              <w:rPr>
                <w:rFonts w:ascii="Calibri" w:eastAsia="Times New Roman" w:hAnsi="Calibri" w:cs="Calibri"/>
                <w:i/>
                <w:color w:val="000000"/>
                <w:sz w:val="16"/>
                <w:szCs w:val="16"/>
                <w:lang w:eastAsia="en-GB"/>
              </w:rPr>
            </w:pPr>
            <w:r w:rsidRPr="000F4EA3">
              <w:rPr>
                <w:i/>
                <w:sz w:val="16"/>
                <w:szCs w:val="16"/>
              </w:rPr>
              <w:t>0.66</w:t>
            </w:r>
          </w:p>
        </w:tc>
        <w:tc>
          <w:tcPr>
            <w:tcW w:w="1138" w:type="dxa"/>
            <w:tcBorders>
              <w:top w:val="nil"/>
              <w:left w:val="single" w:sz="4" w:space="0" w:color="auto"/>
              <w:bottom w:val="nil"/>
              <w:right w:val="single" w:sz="4" w:space="0" w:color="auto"/>
            </w:tcBorders>
            <w:shd w:val="clear" w:color="000000" w:fill="7FD7F7"/>
            <w:noWrap/>
          </w:tcPr>
          <w:p w14:paraId="5C89C42D" w14:textId="11761FAA" w:rsidR="00556068" w:rsidRPr="000F4EA3" w:rsidRDefault="00556068" w:rsidP="00556068">
            <w:pPr>
              <w:spacing w:after="0" w:line="240" w:lineRule="auto"/>
              <w:jc w:val="center"/>
              <w:rPr>
                <w:rFonts w:ascii="Calibri" w:eastAsia="Times New Roman" w:hAnsi="Calibri" w:cs="Calibri"/>
                <w:i/>
                <w:color w:val="000000"/>
                <w:sz w:val="16"/>
                <w:szCs w:val="16"/>
                <w:lang w:eastAsia="en-GB"/>
              </w:rPr>
            </w:pPr>
            <w:r w:rsidRPr="000F4EA3">
              <w:rPr>
                <w:i/>
                <w:sz w:val="16"/>
                <w:szCs w:val="16"/>
              </w:rPr>
              <w:t>0.41</w:t>
            </w:r>
          </w:p>
        </w:tc>
        <w:tc>
          <w:tcPr>
            <w:tcW w:w="1280" w:type="dxa"/>
            <w:tcBorders>
              <w:top w:val="nil"/>
              <w:left w:val="nil"/>
              <w:bottom w:val="nil"/>
              <w:right w:val="single" w:sz="4" w:space="0" w:color="auto"/>
            </w:tcBorders>
            <w:shd w:val="clear" w:color="000000" w:fill="55CAF5"/>
            <w:noWrap/>
          </w:tcPr>
          <w:p w14:paraId="2C37EA9C" w14:textId="2E93FBD9" w:rsidR="00556068" w:rsidRPr="000F4EA3" w:rsidRDefault="00556068" w:rsidP="00556068">
            <w:pPr>
              <w:spacing w:after="0" w:line="240" w:lineRule="auto"/>
              <w:jc w:val="center"/>
              <w:rPr>
                <w:rFonts w:ascii="Calibri" w:eastAsia="Times New Roman" w:hAnsi="Calibri" w:cs="Calibri"/>
                <w:i/>
                <w:color w:val="000000"/>
                <w:sz w:val="16"/>
                <w:szCs w:val="16"/>
                <w:lang w:eastAsia="en-GB"/>
              </w:rPr>
            </w:pPr>
            <w:r w:rsidRPr="000F4EA3">
              <w:rPr>
                <w:i/>
                <w:sz w:val="16"/>
                <w:szCs w:val="16"/>
              </w:rPr>
              <w:t>0.49</w:t>
            </w:r>
          </w:p>
        </w:tc>
      </w:tr>
      <w:tr w:rsidR="006F32B8" w:rsidRPr="005B4804" w14:paraId="4B327065" w14:textId="77777777" w:rsidTr="000F4EA3">
        <w:trPr>
          <w:trHeight w:val="472"/>
          <w:jc w:val="center"/>
        </w:trPr>
        <w:tc>
          <w:tcPr>
            <w:tcW w:w="1188" w:type="dxa"/>
            <w:vMerge/>
            <w:tcBorders>
              <w:left w:val="single" w:sz="4" w:space="0" w:color="auto"/>
              <w:bottom w:val="nil"/>
              <w:right w:val="single" w:sz="4" w:space="0" w:color="auto"/>
            </w:tcBorders>
            <w:shd w:val="clear" w:color="000000" w:fill="D9D9D9"/>
            <w:vAlign w:val="center"/>
          </w:tcPr>
          <w:p w14:paraId="10764872" w14:textId="77777777" w:rsidR="006F32B8" w:rsidRPr="005B4804" w:rsidRDefault="006F32B8" w:rsidP="00614D14">
            <w:pPr>
              <w:spacing w:after="0" w:line="240" w:lineRule="auto"/>
              <w:rPr>
                <w:rFonts w:ascii="Calibri" w:eastAsia="Times New Roman" w:hAnsi="Calibri" w:cs="Calibri"/>
                <w:b/>
                <w:bCs/>
                <w:color w:val="000000"/>
                <w:sz w:val="18"/>
                <w:szCs w:val="18"/>
                <w:lang w:eastAsia="en-GB"/>
              </w:rPr>
            </w:pPr>
          </w:p>
        </w:tc>
        <w:tc>
          <w:tcPr>
            <w:tcW w:w="1062" w:type="dxa"/>
            <w:vMerge/>
            <w:tcBorders>
              <w:left w:val="nil"/>
              <w:bottom w:val="nil"/>
              <w:right w:val="single" w:sz="4" w:space="0" w:color="auto"/>
            </w:tcBorders>
            <w:shd w:val="clear" w:color="000000" w:fill="F2F2F2"/>
            <w:vAlign w:val="center"/>
          </w:tcPr>
          <w:p w14:paraId="24C5FCA8" w14:textId="77777777" w:rsidR="006F32B8" w:rsidRPr="005B4804" w:rsidRDefault="006F32B8" w:rsidP="000F4EA3">
            <w:pPr>
              <w:spacing w:after="0" w:line="240" w:lineRule="auto"/>
              <w:rPr>
                <w:rFonts w:ascii="Calibri" w:eastAsia="Times New Roman" w:hAnsi="Calibri" w:cs="Calibri"/>
                <w:i/>
                <w:iCs/>
                <w:color w:val="000000"/>
                <w:sz w:val="18"/>
                <w:szCs w:val="18"/>
                <w:lang w:eastAsia="en-GB"/>
              </w:rPr>
            </w:pPr>
          </w:p>
        </w:tc>
        <w:tc>
          <w:tcPr>
            <w:tcW w:w="1294" w:type="dxa"/>
            <w:tcBorders>
              <w:top w:val="nil"/>
              <w:left w:val="single" w:sz="4" w:space="0" w:color="auto"/>
              <w:bottom w:val="nil"/>
              <w:right w:val="single" w:sz="4" w:space="0" w:color="auto"/>
            </w:tcBorders>
            <w:shd w:val="clear" w:color="000000" w:fill="BAE9FA"/>
            <w:noWrap/>
            <w:vAlign w:val="center"/>
          </w:tcPr>
          <w:p w14:paraId="5A7A7832" w14:textId="7995C191"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eastAsia="Times New Roman" w:hAnsi="Calibri" w:cs="Calibri"/>
                <w:i/>
                <w:color w:val="000000"/>
                <w:sz w:val="16"/>
                <w:szCs w:val="16"/>
                <w:lang w:eastAsia="en-GB"/>
              </w:rPr>
              <w:t>2 - 4</w:t>
            </w:r>
          </w:p>
        </w:tc>
        <w:tc>
          <w:tcPr>
            <w:tcW w:w="1138" w:type="dxa"/>
            <w:tcBorders>
              <w:top w:val="nil"/>
              <w:left w:val="single" w:sz="4" w:space="0" w:color="auto"/>
              <w:bottom w:val="nil"/>
              <w:right w:val="single" w:sz="4" w:space="0" w:color="auto"/>
            </w:tcBorders>
            <w:shd w:val="clear" w:color="000000" w:fill="BAE9FA"/>
            <w:noWrap/>
            <w:vAlign w:val="center"/>
          </w:tcPr>
          <w:p w14:paraId="2761F4BA" w14:textId="28BDDDED"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eastAsia="Times New Roman" w:hAnsi="Calibri" w:cs="Calibri"/>
                <w:i/>
                <w:color w:val="000000"/>
                <w:sz w:val="16"/>
                <w:szCs w:val="16"/>
                <w:lang w:eastAsia="en-GB"/>
              </w:rPr>
              <w:t>2 - 4</w:t>
            </w:r>
          </w:p>
        </w:tc>
        <w:tc>
          <w:tcPr>
            <w:tcW w:w="1138" w:type="dxa"/>
            <w:tcBorders>
              <w:top w:val="nil"/>
              <w:left w:val="single" w:sz="4" w:space="0" w:color="auto"/>
              <w:bottom w:val="nil"/>
              <w:right w:val="single" w:sz="4" w:space="0" w:color="auto"/>
            </w:tcBorders>
            <w:shd w:val="clear" w:color="000000" w:fill="7FD7F7"/>
            <w:noWrap/>
            <w:vAlign w:val="center"/>
          </w:tcPr>
          <w:p w14:paraId="73F63FE2" w14:textId="78BCCDAA"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eastAsia="Times New Roman" w:hAnsi="Calibri" w:cs="Calibri"/>
                <w:i/>
                <w:color w:val="000000"/>
                <w:sz w:val="16"/>
                <w:szCs w:val="16"/>
                <w:lang w:eastAsia="en-GB"/>
              </w:rPr>
              <w:t>1 - 3</w:t>
            </w:r>
          </w:p>
        </w:tc>
        <w:tc>
          <w:tcPr>
            <w:tcW w:w="1280" w:type="dxa"/>
            <w:tcBorders>
              <w:top w:val="nil"/>
              <w:left w:val="nil"/>
              <w:bottom w:val="nil"/>
              <w:right w:val="single" w:sz="4" w:space="0" w:color="auto"/>
            </w:tcBorders>
            <w:shd w:val="clear" w:color="000000" w:fill="55CAF5"/>
            <w:noWrap/>
            <w:vAlign w:val="center"/>
          </w:tcPr>
          <w:p w14:paraId="48FDC9C5" w14:textId="393ABE66" w:rsidR="006F32B8" w:rsidRPr="000F4EA3" w:rsidRDefault="006F32B8" w:rsidP="006F32B8">
            <w:pPr>
              <w:spacing w:after="0" w:line="240" w:lineRule="auto"/>
              <w:jc w:val="center"/>
              <w:rPr>
                <w:rFonts w:ascii="Calibri" w:eastAsia="Times New Roman" w:hAnsi="Calibri" w:cs="Calibri"/>
                <w:i/>
                <w:color w:val="000000"/>
                <w:sz w:val="16"/>
                <w:szCs w:val="16"/>
                <w:lang w:eastAsia="en-GB"/>
              </w:rPr>
            </w:pPr>
            <w:r w:rsidRPr="000F4EA3">
              <w:rPr>
                <w:rFonts w:ascii="Calibri" w:eastAsia="Times New Roman" w:hAnsi="Calibri" w:cs="Calibri"/>
                <w:i/>
                <w:color w:val="000000"/>
                <w:sz w:val="16"/>
                <w:szCs w:val="16"/>
                <w:lang w:eastAsia="en-GB"/>
              </w:rPr>
              <w:t>1 - 2</w:t>
            </w:r>
          </w:p>
        </w:tc>
      </w:tr>
      <w:tr w:rsidR="006F32B8" w:rsidRPr="005B4804" w14:paraId="33624D14" w14:textId="77777777" w:rsidTr="000F4EA3">
        <w:trPr>
          <w:trHeight w:val="478"/>
          <w:jc w:val="center"/>
        </w:trPr>
        <w:tc>
          <w:tcPr>
            <w:tcW w:w="1188" w:type="dxa"/>
            <w:vMerge w:val="restart"/>
            <w:tcBorders>
              <w:top w:val="single" w:sz="4" w:space="0" w:color="auto"/>
              <w:left w:val="single" w:sz="4" w:space="0" w:color="auto"/>
              <w:right w:val="single" w:sz="4" w:space="0" w:color="auto"/>
            </w:tcBorders>
            <w:shd w:val="clear" w:color="000000" w:fill="D9D9D9"/>
            <w:vAlign w:val="center"/>
            <w:hideMark/>
          </w:tcPr>
          <w:p w14:paraId="3E333FEF" w14:textId="77777777" w:rsidR="006F32B8" w:rsidRPr="005B4804" w:rsidRDefault="006F32B8" w:rsidP="00614D14">
            <w:pPr>
              <w:spacing w:after="0" w:line="240" w:lineRule="auto"/>
              <w:rPr>
                <w:rFonts w:ascii="Calibri" w:eastAsia="Times New Roman" w:hAnsi="Calibri" w:cs="Calibri"/>
                <w:b/>
                <w:bCs/>
                <w:color w:val="000000"/>
                <w:sz w:val="18"/>
                <w:szCs w:val="18"/>
                <w:lang w:eastAsia="en-GB"/>
              </w:rPr>
            </w:pPr>
            <w:r w:rsidRPr="005B4804">
              <w:rPr>
                <w:rFonts w:ascii="Calibri" w:eastAsia="Times New Roman" w:hAnsi="Calibri" w:cs="Calibri"/>
                <w:b/>
                <w:bCs/>
                <w:color w:val="000000"/>
                <w:sz w:val="18"/>
                <w:szCs w:val="18"/>
                <w:lang w:eastAsia="en-GB"/>
              </w:rPr>
              <w:t>Non-training participants (n=19)</w:t>
            </w:r>
          </w:p>
        </w:tc>
        <w:tc>
          <w:tcPr>
            <w:tcW w:w="1062" w:type="dxa"/>
            <w:vMerge w:val="restart"/>
            <w:tcBorders>
              <w:top w:val="single" w:sz="4" w:space="0" w:color="auto"/>
              <w:left w:val="nil"/>
              <w:right w:val="single" w:sz="4" w:space="0" w:color="auto"/>
            </w:tcBorders>
            <w:shd w:val="clear" w:color="000000" w:fill="F2F2F2"/>
            <w:vAlign w:val="center"/>
            <w:hideMark/>
          </w:tcPr>
          <w:p w14:paraId="4F289B86" w14:textId="72999723" w:rsidR="006F32B8" w:rsidRPr="005B4804" w:rsidRDefault="006F32B8" w:rsidP="000F4EA3">
            <w:pPr>
              <w:spacing w:after="0" w:line="240" w:lineRule="auto"/>
              <w:rPr>
                <w:rFonts w:ascii="Calibri" w:eastAsia="Times New Roman" w:hAnsi="Calibri" w:cs="Calibri"/>
                <w:i/>
                <w:iCs/>
                <w:color w:val="000000"/>
                <w:sz w:val="18"/>
                <w:szCs w:val="18"/>
                <w:lang w:eastAsia="en-GB"/>
              </w:rPr>
            </w:pPr>
            <w:r w:rsidRPr="005B4804">
              <w:rPr>
                <w:rFonts w:ascii="Calibri" w:eastAsia="Times New Roman" w:hAnsi="Calibri" w:cs="Calibri"/>
                <w:i/>
                <w:iCs/>
                <w:color w:val="000000"/>
                <w:sz w:val="18"/>
                <w:szCs w:val="18"/>
                <w:lang w:eastAsia="en-GB"/>
              </w:rPr>
              <w:t>Question / component mean score</w:t>
            </w:r>
            <w:r>
              <w:rPr>
                <w:rFonts w:ascii="Calibri" w:eastAsia="Times New Roman" w:hAnsi="Calibri" w:cs="Calibri"/>
                <w:i/>
                <w:iCs/>
                <w:color w:val="000000"/>
                <w:sz w:val="18"/>
                <w:szCs w:val="18"/>
                <w:lang w:eastAsia="en-GB"/>
              </w:rPr>
              <w:t>, SD, range.</w:t>
            </w:r>
          </w:p>
        </w:tc>
        <w:tc>
          <w:tcPr>
            <w:tcW w:w="1294" w:type="dxa"/>
            <w:tcBorders>
              <w:top w:val="single" w:sz="4" w:space="0" w:color="auto"/>
              <w:left w:val="single" w:sz="4" w:space="0" w:color="auto"/>
              <w:right w:val="single" w:sz="4" w:space="0" w:color="auto"/>
            </w:tcBorders>
            <w:shd w:val="clear" w:color="000000" w:fill="D4F1FC"/>
            <w:noWrap/>
            <w:vAlign w:val="center"/>
            <w:hideMark/>
          </w:tcPr>
          <w:p w14:paraId="63E34C81" w14:textId="77777777" w:rsidR="006F32B8" w:rsidRPr="006F32B8" w:rsidRDefault="006F32B8" w:rsidP="006F32B8">
            <w:pPr>
              <w:spacing w:after="0" w:line="240" w:lineRule="auto"/>
              <w:jc w:val="center"/>
              <w:rPr>
                <w:rFonts w:ascii="Calibri" w:eastAsia="Times New Roman" w:hAnsi="Calibri" w:cs="Calibri"/>
                <w:b/>
                <w:color w:val="000000"/>
                <w:sz w:val="18"/>
                <w:szCs w:val="18"/>
                <w:lang w:eastAsia="en-GB"/>
              </w:rPr>
            </w:pPr>
            <w:r w:rsidRPr="006F32B8">
              <w:rPr>
                <w:rFonts w:ascii="Calibri" w:eastAsia="Times New Roman" w:hAnsi="Calibri" w:cs="Calibri"/>
                <w:b/>
                <w:color w:val="000000"/>
                <w:sz w:val="18"/>
                <w:szCs w:val="18"/>
                <w:lang w:eastAsia="en-GB"/>
              </w:rPr>
              <w:t>2.7</w:t>
            </w:r>
          </w:p>
        </w:tc>
        <w:tc>
          <w:tcPr>
            <w:tcW w:w="1138" w:type="dxa"/>
            <w:tcBorders>
              <w:top w:val="single" w:sz="4" w:space="0" w:color="auto"/>
              <w:left w:val="single" w:sz="4" w:space="0" w:color="auto"/>
              <w:right w:val="single" w:sz="4" w:space="0" w:color="auto"/>
            </w:tcBorders>
            <w:shd w:val="clear" w:color="000000" w:fill="EEF9FE"/>
            <w:noWrap/>
            <w:vAlign w:val="center"/>
            <w:hideMark/>
          </w:tcPr>
          <w:p w14:paraId="21FACF20" w14:textId="77777777" w:rsidR="006F32B8" w:rsidRPr="006F32B8" w:rsidRDefault="006F32B8" w:rsidP="006F32B8">
            <w:pPr>
              <w:spacing w:after="0" w:line="240" w:lineRule="auto"/>
              <w:jc w:val="center"/>
              <w:rPr>
                <w:rFonts w:ascii="Calibri" w:eastAsia="Times New Roman" w:hAnsi="Calibri" w:cs="Calibri"/>
                <w:b/>
                <w:color w:val="000000"/>
                <w:sz w:val="18"/>
                <w:szCs w:val="18"/>
                <w:lang w:eastAsia="en-GB"/>
              </w:rPr>
            </w:pPr>
            <w:r w:rsidRPr="006F32B8">
              <w:rPr>
                <w:rFonts w:ascii="Calibri" w:eastAsia="Times New Roman" w:hAnsi="Calibri" w:cs="Calibri"/>
                <w:b/>
                <w:color w:val="000000"/>
                <w:sz w:val="18"/>
                <w:szCs w:val="18"/>
                <w:lang w:eastAsia="en-GB"/>
              </w:rPr>
              <w:t>2.9</w:t>
            </w:r>
          </w:p>
        </w:tc>
        <w:tc>
          <w:tcPr>
            <w:tcW w:w="1138" w:type="dxa"/>
            <w:tcBorders>
              <w:top w:val="single" w:sz="4" w:space="0" w:color="auto"/>
              <w:left w:val="single" w:sz="4" w:space="0" w:color="auto"/>
              <w:right w:val="single" w:sz="4" w:space="0" w:color="auto"/>
            </w:tcBorders>
            <w:shd w:val="clear" w:color="000000" w:fill="DDF4FD"/>
            <w:noWrap/>
            <w:vAlign w:val="center"/>
            <w:hideMark/>
          </w:tcPr>
          <w:p w14:paraId="2DE8C56F" w14:textId="77777777" w:rsidR="006F32B8" w:rsidRPr="006F32B8" w:rsidRDefault="006F32B8" w:rsidP="006F32B8">
            <w:pPr>
              <w:spacing w:after="0" w:line="240" w:lineRule="auto"/>
              <w:jc w:val="center"/>
              <w:rPr>
                <w:rFonts w:ascii="Calibri" w:eastAsia="Times New Roman" w:hAnsi="Calibri" w:cs="Calibri"/>
                <w:b/>
                <w:color w:val="000000"/>
                <w:sz w:val="18"/>
                <w:szCs w:val="18"/>
                <w:lang w:eastAsia="en-GB"/>
              </w:rPr>
            </w:pPr>
            <w:r w:rsidRPr="006F32B8">
              <w:rPr>
                <w:rFonts w:ascii="Calibri" w:eastAsia="Times New Roman" w:hAnsi="Calibri" w:cs="Calibri"/>
                <w:b/>
                <w:color w:val="000000"/>
                <w:sz w:val="18"/>
                <w:szCs w:val="18"/>
                <w:lang w:eastAsia="en-GB"/>
              </w:rPr>
              <w:t>2.7</w:t>
            </w:r>
          </w:p>
        </w:tc>
        <w:tc>
          <w:tcPr>
            <w:tcW w:w="1280" w:type="dxa"/>
            <w:tcBorders>
              <w:top w:val="single" w:sz="4" w:space="0" w:color="auto"/>
              <w:left w:val="single" w:sz="4" w:space="0" w:color="auto"/>
              <w:right w:val="single" w:sz="4" w:space="0" w:color="auto"/>
            </w:tcBorders>
            <w:shd w:val="clear" w:color="000000" w:fill="CCEFFC"/>
            <w:noWrap/>
            <w:vAlign w:val="center"/>
            <w:hideMark/>
          </w:tcPr>
          <w:p w14:paraId="55EAFFC0" w14:textId="77777777" w:rsidR="006F32B8" w:rsidRPr="006F32B8" w:rsidRDefault="006F32B8" w:rsidP="006F32B8">
            <w:pPr>
              <w:spacing w:after="0" w:line="240" w:lineRule="auto"/>
              <w:jc w:val="center"/>
              <w:rPr>
                <w:rFonts w:ascii="Calibri" w:eastAsia="Times New Roman" w:hAnsi="Calibri" w:cs="Calibri"/>
                <w:b/>
                <w:color w:val="000000"/>
                <w:sz w:val="18"/>
                <w:szCs w:val="18"/>
                <w:lang w:eastAsia="en-GB"/>
              </w:rPr>
            </w:pPr>
            <w:r w:rsidRPr="006F32B8">
              <w:rPr>
                <w:rFonts w:ascii="Calibri" w:eastAsia="Times New Roman" w:hAnsi="Calibri" w:cs="Calibri"/>
                <w:b/>
                <w:color w:val="000000"/>
                <w:sz w:val="18"/>
                <w:szCs w:val="18"/>
                <w:lang w:eastAsia="en-GB"/>
              </w:rPr>
              <w:t>2.6</w:t>
            </w:r>
          </w:p>
        </w:tc>
      </w:tr>
      <w:tr w:rsidR="00556068" w:rsidRPr="005B4804" w14:paraId="1FBEBAF8" w14:textId="77777777" w:rsidTr="000F4EA3">
        <w:trPr>
          <w:trHeight w:val="80"/>
          <w:jc w:val="center"/>
        </w:trPr>
        <w:tc>
          <w:tcPr>
            <w:tcW w:w="1188" w:type="dxa"/>
            <w:vMerge/>
            <w:tcBorders>
              <w:left w:val="single" w:sz="4" w:space="0" w:color="auto"/>
              <w:right w:val="single" w:sz="4" w:space="0" w:color="auto"/>
            </w:tcBorders>
            <w:shd w:val="clear" w:color="000000" w:fill="D9D9D9"/>
            <w:vAlign w:val="center"/>
          </w:tcPr>
          <w:p w14:paraId="740FF305" w14:textId="77777777" w:rsidR="00556068" w:rsidRPr="005B4804" w:rsidRDefault="00556068" w:rsidP="00556068">
            <w:pPr>
              <w:spacing w:after="0" w:line="240" w:lineRule="auto"/>
              <w:rPr>
                <w:rFonts w:ascii="Calibri" w:eastAsia="Times New Roman" w:hAnsi="Calibri" w:cs="Calibri"/>
                <w:b/>
                <w:bCs/>
                <w:color w:val="000000"/>
                <w:sz w:val="18"/>
                <w:szCs w:val="18"/>
                <w:lang w:eastAsia="en-GB"/>
              </w:rPr>
            </w:pPr>
          </w:p>
        </w:tc>
        <w:tc>
          <w:tcPr>
            <w:tcW w:w="1062" w:type="dxa"/>
            <w:vMerge/>
            <w:tcBorders>
              <w:left w:val="nil"/>
              <w:right w:val="single" w:sz="4" w:space="0" w:color="auto"/>
            </w:tcBorders>
            <w:shd w:val="clear" w:color="000000" w:fill="F2F2F2"/>
            <w:vAlign w:val="bottom"/>
          </w:tcPr>
          <w:p w14:paraId="22EB0825" w14:textId="77777777" w:rsidR="00556068" w:rsidRPr="005B4804" w:rsidRDefault="00556068" w:rsidP="00556068">
            <w:pPr>
              <w:spacing w:after="0" w:line="240" w:lineRule="auto"/>
              <w:rPr>
                <w:rFonts w:ascii="Calibri" w:eastAsia="Times New Roman" w:hAnsi="Calibri" w:cs="Calibri"/>
                <w:i/>
                <w:iCs/>
                <w:color w:val="000000"/>
                <w:sz w:val="18"/>
                <w:szCs w:val="18"/>
                <w:lang w:eastAsia="en-GB"/>
              </w:rPr>
            </w:pPr>
          </w:p>
        </w:tc>
        <w:tc>
          <w:tcPr>
            <w:tcW w:w="1294" w:type="dxa"/>
            <w:tcBorders>
              <w:left w:val="single" w:sz="4" w:space="0" w:color="auto"/>
              <w:right w:val="single" w:sz="4" w:space="0" w:color="auto"/>
            </w:tcBorders>
            <w:shd w:val="clear" w:color="000000" w:fill="D4F1FC"/>
            <w:noWrap/>
            <w:vAlign w:val="bottom"/>
          </w:tcPr>
          <w:p w14:paraId="2DA43AB3" w14:textId="085EF98F" w:rsidR="00556068" w:rsidRPr="000F4EA3" w:rsidRDefault="00556068" w:rsidP="0055606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1.59</w:t>
            </w:r>
          </w:p>
        </w:tc>
        <w:tc>
          <w:tcPr>
            <w:tcW w:w="1138" w:type="dxa"/>
            <w:tcBorders>
              <w:left w:val="single" w:sz="4" w:space="0" w:color="auto"/>
              <w:right w:val="single" w:sz="4" w:space="0" w:color="auto"/>
            </w:tcBorders>
            <w:shd w:val="clear" w:color="000000" w:fill="EEF9FE"/>
            <w:noWrap/>
            <w:vAlign w:val="bottom"/>
          </w:tcPr>
          <w:p w14:paraId="106CB4E7" w14:textId="7CB33D94" w:rsidR="00556068" w:rsidRPr="000F4EA3" w:rsidRDefault="00556068" w:rsidP="0055606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1.50</w:t>
            </w:r>
          </w:p>
        </w:tc>
        <w:tc>
          <w:tcPr>
            <w:tcW w:w="1138" w:type="dxa"/>
            <w:tcBorders>
              <w:left w:val="single" w:sz="4" w:space="0" w:color="auto"/>
              <w:right w:val="single" w:sz="4" w:space="0" w:color="auto"/>
            </w:tcBorders>
            <w:shd w:val="clear" w:color="000000" w:fill="DDF4FD"/>
            <w:noWrap/>
            <w:vAlign w:val="bottom"/>
          </w:tcPr>
          <w:p w14:paraId="3564CD86" w14:textId="70796DAE" w:rsidR="00556068" w:rsidRPr="000F4EA3" w:rsidRDefault="00556068" w:rsidP="0055606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1.63</w:t>
            </w:r>
          </w:p>
        </w:tc>
        <w:tc>
          <w:tcPr>
            <w:tcW w:w="1280" w:type="dxa"/>
            <w:tcBorders>
              <w:left w:val="single" w:sz="4" w:space="0" w:color="auto"/>
              <w:right w:val="single" w:sz="4" w:space="0" w:color="auto"/>
            </w:tcBorders>
            <w:shd w:val="clear" w:color="000000" w:fill="CCEFFC"/>
            <w:noWrap/>
            <w:vAlign w:val="bottom"/>
          </w:tcPr>
          <w:p w14:paraId="772D4BB8" w14:textId="0D5AA27A" w:rsidR="00556068" w:rsidRPr="000F4EA3" w:rsidRDefault="00556068" w:rsidP="0055606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1.59</w:t>
            </w:r>
          </w:p>
        </w:tc>
      </w:tr>
      <w:tr w:rsidR="006F32B8" w:rsidRPr="005B4804" w14:paraId="1D0A7A30" w14:textId="77777777" w:rsidTr="000F4EA3">
        <w:trPr>
          <w:trHeight w:val="270"/>
          <w:jc w:val="center"/>
        </w:trPr>
        <w:tc>
          <w:tcPr>
            <w:tcW w:w="1188" w:type="dxa"/>
            <w:vMerge/>
            <w:tcBorders>
              <w:left w:val="single" w:sz="4" w:space="0" w:color="auto"/>
              <w:bottom w:val="single" w:sz="4" w:space="0" w:color="auto"/>
              <w:right w:val="single" w:sz="4" w:space="0" w:color="auto"/>
            </w:tcBorders>
            <w:shd w:val="clear" w:color="000000" w:fill="D9D9D9"/>
            <w:vAlign w:val="center"/>
          </w:tcPr>
          <w:p w14:paraId="02E37EF9" w14:textId="77777777" w:rsidR="006F32B8" w:rsidRPr="005B4804" w:rsidRDefault="006F32B8" w:rsidP="00614D14">
            <w:pPr>
              <w:spacing w:after="0" w:line="240" w:lineRule="auto"/>
              <w:rPr>
                <w:rFonts w:ascii="Calibri" w:eastAsia="Times New Roman" w:hAnsi="Calibri" w:cs="Calibri"/>
                <w:b/>
                <w:bCs/>
                <w:color w:val="000000"/>
                <w:sz w:val="18"/>
                <w:szCs w:val="18"/>
                <w:lang w:eastAsia="en-GB"/>
              </w:rPr>
            </w:pPr>
          </w:p>
        </w:tc>
        <w:tc>
          <w:tcPr>
            <w:tcW w:w="1062" w:type="dxa"/>
            <w:vMerge/>
            <w:tcBorders>
              <w:left w:val="nil"/>
              <w:bottom w:val="single" w:sz="4" w:space="0" w:color="auto"/>
              <w:right w:val="single" w:sz="4" w:space="0" w:color="auto"/>
            </w:tcBorders>
            <w:shd w:val="clear" w:color="000000" w:fill="F2F2F2"/>
            <w:vAlign w:val="bottom"/>
          </w:tcPr>
          <w:p w14:paraId="6C8AB6F9" w14:textId="77777777" w:rsidR="006F32B8" w:rsidRPr="005B4804" w:rsidRDefault="006F32B8" w:rsidP="00614D14">
            <w:pPr>
              <w:spacing w:after="0" w:line="240" w:lineRule="auto"/>
              <w:rPr>
                <w:rFonts w:ascii="Calibri" w:eastAsia="Times New Roman" w:hAnsi="Calibri" w:cs="Calibri"/>
                <w:i/>
                <w:iCs/>
                <w:color w:val="000000"/>
                <w:sz w:val="18"/>
                <w:szCs w:val="18"/>
                <w:lang w:eastAsia="en-GB"/>
              </w:rPr>
            </w:pPr>
          </w:p>
        </w:tc>
        <w:tc>
          <w:tcPr>
            <w:tcW w:w="1294" w:type="dxa"/>
            <w:tcBorders>
              <w:left w:val="single" w:sz="4" w:space="0" w:color="auto"/>
              <w:bottom w:val="single" w:sz="4" w:space="0" w:color="auto"/>
              <w:right w:val="single" w:sz="4" w:space="0" w:color="auto"/>
            </w:tcBorders>
            <w:shd w:val="clear" w:color="000000" w:fill="D4F1FC"/>
            <w:noWrap/>
            <w:vAlign w:val="center"/>
          </w:tcPr>
          <w:p w14:paraId="209A6838" w14:textId="5239A614" w:rsidR="006F32B8" w:rsidRPr="000F4EA3" w:rsidRDefault="00556068" w:rsidP="006F32B8">
            <w:pPr>
              <w:spacing w:after="0" w:line="240" w:lineRule="auto"/>
              <w:jc w:val="center"/>
              <w:rPr>
                <w:rFonts w:ascii="Calibri" w:eastAsia="Times New Roman" w:hAnsi="Calibri" w:cs="Calibri"/>
                <w:i/>
                <w:color w:val="000000"/>
                <w:sz w:val="16"/>
                <w:szCs w:val="16"/>
                <w:lang w:eastAsia="en-GB"/>
              </w:rPr>
            </w:pPr>
            <w:r w:rsidRPr="000F4EA3">
              <w:rPr>
                <w:rFonts w:ascii="Calibri" w:eastAsia="Times New Roman" w:hAnsi="Calibri" w:cs="Calibri"/>
                <w:i/>
                <w:color w:val="000000"/>
                <w:sz w:val="16"/>
                <w:szCs w:val="16"/>
                <w:lang w:eastAsia="en-GB"/>
              </w:rPr>
              <w:t>1 - 4</w:t>
            </w:r>
          </w:p>
        </w:tc>
        <w:tc>
          <w:tcPr>
            <w:tcW w:w="1138" w:type="dxa"/>
            <w:tcBorders>
              <w:left w:val="single" w:sz="4" w:space="0" w:color="auto"/>
              <w:bottom w:val="single" w:sz="4" w:space="0" w:color="auto"/>
              <w:right w:val="single" w:sz="4" w:space="0" w:color="auto"/>
            </w:tcBorders>
            <w:shd w:val="clear" w:color="000000" w:fill="EEF9FE"/>
            <w:noWrap/>
            <w:vAlign w:val="center"/>
          </w:tcPr>
          <w:p w14:paraId="5E9CFD31" w14:textId="21748D21" w:rsidR="006F32B8" w:rsidRPr="000F4EA3" w:rsidRDefault="00556068" w:rsidP="006F32B8">
            <w:pPr>
              <w:spacing w:after="0" w:line="240" w:lineRule="auto"/>
              <w:jc w:val="center"/>
              <w:rPr>
                <w:rFonts w:ascii="Calibri" w:eastAsia="Times New Roman" w:hAnsi="Calibri" w:cs="Calibri"/>
                <w:i/>
                <w:color w:val="000000"/>
                <w:sz w:val="16"/>
                <w:szCs w:val="16"/>
                <w:lang w:eastAsia="en-GB"/>
              </w:rPr>
            </w:pPr>
            <w:r w:rsidRPr="000F4EA3">
              <w:rPr>
                <w:rFonts w:ascii="Calibri" w:eastAsia="Times New Roman" w:hAnsi="Calibri" w:cs="Calibri"/>
                <w:i/>
                <w:color w:val="000000"/>
                <w:sz w:val="16"/>
                <w:szCs w:val="16"/>
                <w:lang w:eastAsia="en-GB"/>
              </w:rPr>
              <w:t>1 - 5</w:t>
            </w:r>
          </w:p>
        </w:tc>
        <w:tc>
          <w:tcPr>
            <w:tcW w:w="1138" w:type="dxa"/>
            <w:tcBorders>
              <w:left w:val="single" w:sz="4" w:space="0" w:color="auto"/>
              <w:bottom w:val="single" w:sz="4" w:space="0" w:color="auto"/>
              <w:right w:val="single" w:sz="4" w:space="0" w:color="auto"/>
            </w:tcBorders>
            <w:shd w:val="clear" w:color="000000" w:fill="DDF4FD"/>
            <w:noWrap/>
            <w:vAlign w:val="center"/>
          </w:tcPr>
          <w:p w14:paraId="47AA1A44" w14:textId="7EA1DBAC" w:rsidR="006F32B8" w:rsidRPr="000F4EA3" w:rsidRDefault="00556068" w:rsidP="006F32B8">
            <w:pPr>
              <w:spacing w:after="0" w:line="240" w:lineRule="auto"/>
              <w:jc w:val="center"/>
              <w:rPr>
                <w:rFonts w:ascii="Calibri" w:eastAsia="Times New Roman" w:hAnsi="Calibri" w:cs="Calibri"/>
                <w:i/>
                <w:color w:val="000000"/>
                <w:sz w:val="16"/>
                <w:szCs w:val="16"/>
                <w:lang w:eastAsia="en-GB"/>
              </w:rPr>
            </w:pPr>
            <w:r w:rsidRPr="000F4EA3">
              <w:rPr>
                <w:rFonts w:ascii="Calibri" w:eastAsia="Times New Roman" w:hAnsi="Calibri" w:cs="Calibri"/>
                <w:i/>
                <w:color w:val="000000"/>
                <w:sz w:val="16"/>
                <w:szCs w:val="16"/>
                <w:lang w:eastAsia="en-GB"/>
              </w:rPr>
              <w:t>1 - 5</w:t>
            </w:r>
          </w:p>
        </w:tc>
        <w:tc>
          <w:tcPr>
            <w:tcW w:w="1280" w:type="dxa"/>
            <w:tcBorders>
              <w:left w:val="single" w:sz="4" w:space="0" w:color="auto"/>
              <w:bottom w:val="single" w:sz="4" w:space="0" w:color="auto"/>
              <w:right w:val="single" w:sz="4" w:space="0" w:color="auto"/>
            </w:tcBorders>
            <w:shd w:val="clear" w:color="000000" w:fill="CCEFFC"/>
            <w:noWrap/>
            <w:vAlign w:val="center"/>
          </w:tcPr>
          <w:p w14:paraId="63BE77E5" w14:textId="227554CA" w:rsidR="006F32B8" w:rsidRPr="000F4EA3" w:rsidRDefault="00556068" w:rsidP="006F32B8">
            <w:pPr>
              <w:spacing w:after="0" w:line="240" w:lineRule="auto"/>
              <w:jc w:val="center"/>
              <w:rPr>
                <w:rFonts w:ascii="Calibri" w:eastAsia="Times New Roman" w:hAnsi="Calibri" w:cs="Calibri"/>
                <w:i/>
                <w:color w:val="000000"/>
                <w:sz w:val="16"/>
                <w:szCs w:val="16"/>
                <w:lang w:eastAsia="en-GB"/>
              </w:rPr>
            </w:pPr>
            <w:r w:rsidRPr="000F4EA3">
              <w:rPr>
                <w:rFonts w:ascii="Calibri" w:eastAsia="Times New Roman" w:hAnsi="Calibri" w:cs="Calibri"/>
                <w:i/>
                <w:color w:val="000000"/>
                <w:sz w:val="16"/>
                <w:szCs w:val="16"/>
                <w:lang w:eastAsia="en-GB"/>
              </w:rPr>
              <w:t>1 - 5</w:t>
            </w:r>
          </w:p>
        </w:tc>
      </w:tr>
      <w:tr w:rsidR="00556068" w:rsidRPr="005B4804" w14:paraId="6A9EE507" w14:textId="77777777" w:rsidTr="000F4EA3">
        <w:trPr>
          <w:trHeight w:val="508"/>
          <w:jc w:val="center"/>
        </w:trPr>
        <w:tc>
          <w:tcPr>
            <w:tcW w:w="1188" w:type="dxa"/>
            <w:vMerge w:val="restart"/>
            <w:tcBorders>
              <w:top w:val="single" w:sz="4" w:space="0" w:color="auto"/>
              <w:left w:val="single" w:sz="4" w:space="0" w:color="auto"/>
              <w:right w:val="single" w:sz="4" w:space="0" w:color="auto"/>
            </w:tcBorders>
            <w:shd w:val="clear" w:color="000000" w:fill="D9D9D9"/>
            <w:vAlign w:val="center"/>
            <w:hideMark/>
          </w:tcPr>
          <w:p w14:paraId="5D33DA6C" w14:textId="77777777" w:rsidR="00556068" w:rsidRPr="005B4804" w:rsidRDefault="00556068" w:rsidP="00614D14">
            <w:pPr>
              <w:spacing w:after="0" w:line="240" w:lineRule="auto"/>
              <w:rPr>
                <w:rFonts w:ascii="Calibri" w:eastAsia="Times New Roman" w:hAnsi="Calibri" w:cs="Calibri"/>
                <w:b/>
                <w:bCs/>
                <w:color w:val="000000"/>
                <w:sz w:val="18"/>
                <w:szCs w:val="18"/>
                <w:lang w:eastAsia="en-GB"/>
              </w:rPr>
            </w:pPr>
            <w:r w:rsidRPr="005B4804">
              <w:rPr>
                <w:rFonts w:ascii="Calibri" w:eastAsia="Times New Roman" w:hAnsi="Calibri" w:cs="Calibri"/>
                <w:b/>
                <w:bCs/>
                <w:color w:val="000000"/>
                <w:sz w:val="18"/>
                <w:szCs w:val="18"/>
                <w:lang w:eastAsia="en-GB"/>
              </w:rPr>
              <w:t>All participants (n=32)</w:t>
            </w:r>
          </w:p>
        </w:tc>
        <w:tc>
          <w:tcPr>
            <w:tcW w:w="1062" w:type="dxa"/>
            <w:vMerge w:val="restart"/>
            <w:tcBorders>
              <w:top w:val="single" w:sz="4" w:space="0" w:color="auto"/>
              <w:left w:val="nil"/>
              <w:right w:val="single" w:sz="4" w:space="0" w:color="auto"/>
            </w:tcBorders>
            <w:shd w:val="clear" w:color="000000" w:fill="F2F2F2"/>
            <w:vAlign w:val="center"/>
            <w:hideMark/>
          </w:tcPr>
          <w:p w14:paraId="294F3921" w14:textId="2A206BD9" w:rsidR="00556068" w:rsidRPr="005B4804" w:rsidRDefault="00556068" w:rsidP="000F4EA3">
            <w:pPr>
              <w:spacing w:after="0" w:line="240" w:lineRule="auto"/>
              <w:rPr>
                <w:rFonts w:ascii="Calibri" w:eastAsia="Times New Roman" w:hAnsi="Calibri" w:cs="Calibri"/>
                <w:i/>
                <w:iCs/>
                <w:color w:val="000000"/>
                <w:sz w:val="18"/>
                <w:szCs w:val="18"/>
                <w:lang w:eastAsia="en-GB"/>
              </w:rPr>
            </w:pPr>
            <w:r w:rsidRPr="005B4804">
              <w:rPr>
                <w:rFonts w:ascii="Calibri" w:eastAsia="Times New Roman" w:hAnsi="Calibri" w:cs="Calibri"/>
                <w:i/>
                <w:iCs/>
                <w:color w:val="000000"/>
                <w:sz w:val="18"/>
                <w:szCs w:val="18"/>
                <w:lang w:eastAsia="en-GB"/>
              </w:rPr>
              <w:t>Question / component mean score</w:t>
            </w:r>
            <w:r>
              <w:rPr>
                <w:rFonts w:ascii="Calibri" w:eastAsia="Times New Roman" w:hAnsi="Calibri" w:cs="Calibri"/>
                <w:i/>
                <w:iCs/>
                <w:color w:val="000000"/>
                <w:sz w:val="18"/>
                <w:szCs w:val="18"/>
                <w:lang w:eastAsia="en-GB"/>
              </w:rPr>
              <w:t>, SD, range.</w:t>
            </w:r>
          </w:p>
        </w:tc>
        <w:tc>
          <w:tcPr>
            <w:tcW w:w="1294" w:type="dxa"/>
            <w:tcBorders>
              <w:top w:val="single" w:sz="4" w:space="0" w:color="auto"/>
              <w:left w:val="single" w:sz="4" w:space="0" w:color="auto"/>
              <w:right w:val="single" w:sz="4" w:space="0" w:color="auto"/>
            </w:tcBorders>
            <w:shd w:val="clear" w:color="000000" w:fill="C8EEFB"/>
            <w:noWrap/>
            <w:vAlign w:val="center"/>
            <w:hideMark/>
          </w:tcPr>
          <w:p w14:paraId="5F4F5CEF" w14:textId="77777777" w:rsidR="00556068" w:rsidRPr="00556068" w:rsidRDefault="00556068" w:rsidP="00556068">
            <w:pPr>
              <w:spacing w:after="0" w:line="240" w:lineRule="auto"/>
              <w:jc w:val="center"/>
              <w:rPr>
                <w:rFonts w:ascii="Calibri" w:eastAsia="Times New Roman" w:hAnsi="Calibri" w:cs="Calibri"/>
                <w:b/>
                <w:color w:val="000000"/>
                <w:sz w:val="18"/>
                <w:szCs w:val="18"/>
                <w:lang w:eastAsia="en-GB"/>
              </w:rPr>
            </w:pPr>
            <w:r w:rsidRPr="00556068">
              <w:rPr>
                <w:rFonts w:ascii="Calibri" w:eastAsia="Times New Roman" w:hAnsi="Calibri" w:cs="Calibri"/>
                <w:b/>
                <w:color w:val="000000"/>
                <w:sz w:val="18"/>
                <w:szCs w:val="18"/>
                <w:lang w:eastAsia="en-GB"/>
              </w:rPr>
              <w:t>2.6</w:t>
            </w:r>
          </w:p>
        </w:tc>
        <w:tc>
          <w:tcPr>
            <w:tcW w:w="1138" w:type="dxa"/>
            <w:tcBorders>
              <w:top w:val="single" w:sz="4" w:space="0" w:color="auto"/>
              <w:left w:val="single" w:sz="4" w:space="0" w:color="auto"/>
              <w:right w:val="single" w:sz="4" w:space="0" w:color="auto"/>
            </w:tcBorders>
            <w:shd w:val="clear" w:color="000000" w:fill="D6F2FC"/>
            <w:noWrap/>
            <w:vAlign w:val="center"/>
            <w:hideMark/>
          </w:tcPr>
          <w:p w14:paraId="02AD34A3" w14:textId="77777777" w:rsidR="00556068" w:rsidRPr="00556068" w:rsidRDefault="00556068" w:rsidP="00556068">
            <w:pPr>
              <w:spacing w:after="0" w:line="240" w:lineRule="auto"/>
              <w:jc w:val="center"/>
              <w:rPr>
                <w:rFonts w:ascii="Calibri" w:eastAsia="Times New Roman" w:hAnsi="Calibri" w:cs="Calibri"/>
                <w:b/>
                <w:color w:val="000000"/>
                <w:sz w:val="18"/>
                <w:szCs w:val="18"/>
                <w:lang w:eastAsia="en-GB"/>
              </w:rPr>
            </w:pPr>
            <w:r w:rsidRPr="00556068">
              <w:rPr>
                <w:rFonts w:ascii="Calibri" w:eastAsia="Times New Roman" w:hAnsi="Calibri" w:cs="Calibri"/>
                <w:b/>
                <w:color w:val="000000"/>
                <w:sz w:val="18"/>
                <w:szCs w:val="18"/>
                <w:lang w:eastAsia="en-GB"/>
              </w:rPr>
              <w:t>2.7</w:t>
            </w:r>
          </w:p>
        </w:tc>
        <w:tc>
          <w:tcPr>
            <w:tcW w:w="1138" w:type="dxa"/>
            <w:tcBorders>
              <w:top w:val="single" w:sz="4" w:space="0" w:color="auto"/>
              <w:left w:val="single" w:sz="4" w:space="0" w:color="auto"/>
              <w:right w:val="single" w:sz="4" w:space="0" w:color="auto"/>
            </w:tcBorders>
            <w:shd w:val="clear" w:color="000000" w:fill="B1E7FA"/>
            <w:noWrap/>
            <w:vAlign w:val="center"/>
            <w:hideMark/>
          </w:tcPr>
          <w:p w14:paraId="49C915B3" w14:textId="77777777" w:rsidR="00556068" w:rsidRPr="00556068" w:rsidRDefault="00556068" w:rsidP="00556068">
            <w:pPr>
              <w:spacing w:after="0" w:line="240" w:lineRule="auto"/>
              <w:jc w:val="center"/>
              <w:rPr>
                <w:rFonts w:ascii="Calibri" w:eastAsia="Times New Roman" w:hAnsi="Calibri" w:cs="Calibri"/>
                <w:b/>
                <w:color w:val="000000"/>
                <w:sz w:val="18"/>
                <w:szCs w:val="18"/>
                <w:lang w:eastAsia="en-GB"/>
              </w:rPr>
            </w:pPr>
            <w:r w:rsidRPr="00556068">
              <w:rPr>
                <w:rFonts w:ascii="Calibri" w:eastAsia="Times New Roman" w:hAnsi="Calibri" w:cs="Calibri"/>
                <w:b/>
                <w:color w:val="000000"/>
                <w:sz w:val="18"/>
                <w:szCs w:val="18"/>
                <w:lang w:eastAsia="en-GB"/>
              </w:rPr>
              <w:t>2.4</w:t>
            </w:r>
          </w:p>
        </w:tc>
        <w:tc>
          <w:tcPr>
            <w:tcW w:w="1280" w:type="dxa"/>
            <w:tcBorders>
              <w:top w:val="single" w:sz="4" w:space="0" w:color="auto"/>
              <w:left w:val="nil"/>
              <w:right w:val="single" w:sz="4" w:space="0" w:color="auto"/>
            </w:tcBorders>
            <w:shd w:val="clear" w:color="000000" w:fill="97DEF8"/>
            <w:noWrap/>
            <w:vAlign w:val="center"/>
            <w:hideMark/>
          </w:tcPr>
          <w:p w14:paraId="42524E9E" w14:textId="77777777" w:rsidR="00556068" w:rsidRPr="00556068" w:rsidRDefault="00556068" w:rsidP="00556068">
            <w:pPr>
              <w:spacing w:after="0" w:line="240" w:lineRule="auto"/>
              <w:jc w:val="center"/>
              <w:rPr>
                <w:rFonts w:ascii="Calibri" w:eastAsia="Times New Roman" w:hAnsi="Calibri" w:cs="Calibri"/>
                <w:b/>
                <w:color w:val="000000"/>
                <w:sz w:val="18"/>
                <w:szCs w:val="18"/>
                <w:lang w:eastAsia="en-GB"/>
              </w:rPr>
            </w:pPr>
            <w:r w:rsidRPr="00556068">
              <w:rPr>
                <w:rFonts w:ascii="Calibri" w:eastAsia="Times New Roman" w:hAnsi="Calibri" w:cs="Calibri"/>
                <w:b/>
                <w:color w:val="000000"/>
                <w:sz w:val="18"/>
                <w:szCs w:val="18"/>
                <w:lang w:eastAsia="en-GB"/>
              </w:rPr>
              <w:t>2.2</w:t>
            </w:r>
          </w:p>
        </w:tc>
      </w:tr>
      <w:tr w:rsidR="00556068" w:rsidRPr="005B4804" w14:paraId="38DC5863" w14:textId="77777777" w:rsidTr="000F4EA3">
        <w:trPr>
          <w:trHeight w:val="80"/>
          <w:jc w:val="center"/>
        </w:trPr>
        <w:tc>
          <w:tcPr>
            <w:tcW w:w="1188" w:type="dxa"/>
            <w:vMerge/>
            <w:tcBorders>
              <w:left w:val="single" w:sz="4" w:space="0" w:color="auto"/>
              <w:right w:val="single" w:sz="4" w:space="0" w:color="auto"/>
            </w:tcBorders>
            <w:shd w:val="clear" w:color="000000" w:fill="D9D9D9"/>
            <w:vAlign w:val="center"/>
          </w:tcPr>
          <w:p w14:paraId="1575CF7E" w14:textId="77777777" w:rsidR="00556068" w:rsidRPr="005B4804" w:rsidRDefault="00556068" w:rsidP="00556068">
            <w:pPr>
              <w:spacing w:after="0" w:line="240" w:lineRule="auto"/>
              <w:rPr>
                <w:rFonts w:ascii="Calibri" w:eastAsia="Times New Roman" w:hAnsi="Calibri" w:cs="Calibri"/>
                <w:b/>
                <w:bCs/>
                <w:color w:val="000000"/>
                <w:sz w:val="18"/>
                <w:szCs w:val="18"/>
                <w:lang w:eastAsia="en-GB"/>
              </w:rPr>
            </w:pPr>
          </w:p>
        </w:tc>
        <w:tc>
          <w:tcPr>
            <w:tcW w:w="1062" w:type="dxa"/>
            <w:vMerge/>
            <w:tcBorders>
              <w:left w:val="nil"/>
              <w:right w:val="single" w:sz="4" w:space="0" w:color="auto"/>
            </w:tcBorders>
            <w:shd w:val="clear" w:color="000000" w:fill="F2F2F2"/>
            <w:vAlign w:val="bottom"/>
          </w:tcPr>
          <w:p w14:paraId="63A5C0D4" w14:textId="77777777" w:rsidR="00556068" w:rsidRPr="005B4804" w:rsidRDefault="00556068" w:rsidP="00556068">
            <w:pPr>
              <w:spacing w:after="0" w:line="240" w:lineRule="auto"/>
              <w:rPr>
                <w:rFonts w:ascii="Calibri" w:eastAsia="Times New Roman" w:hAnsi="Calibri" w:cs="Calibri"/>
                <w:i/>
                <w:iCs/>
                <w:color w:val="000000"/>
                <w:sz w:val="18"/>
                <w:szCs w:val="18"/>
                <w:lang w:eastAsia="en-GB"/>
              </w:rPr>
            </w:pPr>
          </w:p>
        </w:tc>
        <w:tc>
          <w:tcPr>
            <w:tcW w:w="1294" w:type="dxa"/>
            <w:tcBorders>
              <w:left w:val="single" w:sz="4" w:space="0" w:color="auto"/>
              <w:right w:val="single" w:sz="4" w:space="0" w:color="auto"/>
            </w:tcBorders>
            <w:shd w:val="clear" w:color="000000" w:fill="C8EEFB"/>
            <w:noWrap/>
            <w:vAlign w:val="bottom"/>
          </w:tcPr>
          <w:p w14:paraId="68E37DB9" w14:textId="19ADBF28" w:rsidR="00556068" w:rsidRPr="000F4EA3" w:rsidRDefault="00556068" w:rsidP="0055606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1.31</w:t>
            </w:r>
          </w:p>
        </w:tc>
        <w:tc>
          <w:tcPr>
            <w:tcW w:w="1138" w:type="dxa"/>
            <w:tcBorders>
              <w:left w:val="single" w:sz="4" w:space="0" w:color="auto"/>
              <w:right w:val="single" w:sz="4" w:space="0" w:color="auto"/>
            </w:tcBorders>
            <w:shd w:val="clear" w:color="000000" w:fill="D6F2FC"/>
            <w:noWrap/>
            <w:vAlign w:val="bottom"/>
          </w:tcPr>
          <w:p w14:paraId="7A5B13F2" w14:textId="398B2B30" w:rsidR="00556068" w:rsidRPr="000F4EA3" w:rsidRDefault="00556068" w:rsidP="0055606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1.23</w:t>
            </w:r>
          </w:p>
        </w:tc>
        <w:tc>
          <w:tcPr>
            <w:tcW w:w="1138" w:type="dxa"/>
            <w:tcBorders>
              <w:left w:val="single" w:sz="4" w:space="0" w:color="auto"/>
              <w:right w:val="single" w:sz="4" w:space="0" w:color="auto"/>
            </w:tcBorders>
            <w:shd w:val="clear" w:color="000000" w:fill="B1E7FA"/>
            <w:noWrap/>
            <w:vAlign w:val="bottom"/>
          </w:tcPr>
          <w:p w14:paraId="131920C8" w14:textId="2B04991F" w:rsidR="00556068" w:rsidRPr="000F4EA3" w:rsidRDefault="00556068" w:rsidP="0055606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1.33</w:t>
            </w:r>
          </w:p>
        </w:tc>
        <w:tc>
          <w:tcPr>
            <w:tcW w:w="1280" w:type="dxa"/>
            <w:tcBorders>
              <w:left w:val="nil"/>
              <w:right w:val="single" w:sz="4" w:space="0" w:color="auto"/>
            </w:tcBorders>
            <w:shd w:val="clear" w:color="000000" w:fill="97DEF8"/>
            <w:noWrap/>
            <w:vAlign w:val="bottom"/>
          </w:tcPr>
          <w:p w14:paraId="460B417E" w14:textId="6A72F514" w:rsidR="00556068" w:rsidRPr="000F4EA3" w:rsidRDefault="00556068" w:rsidP="00556068">
            <w:pPr>
              <w:spacing w:after="0" w:line="240" w:lineRule="auto"/>
              <w:jc w:val="center"/>
              <w:rPr>
                <w:rFonts w:ascii="Calibri" w:eastAsia="Times New Roman" w:hAnsi="Calibri" w:cs="Calibri"/>
                <w:b/>
                <w:i/>
                <w:color w:val="000000"/>
                <w:sz w:val="16"/>
                <w:szCs w:val="16"/>
                <w:lang w:eastAsia="en-GB"/>
              </w:rPr>
            </w:pPr>
            <w:r w:rsidRPr="000F4EA3">
              <w:rPr>
                <w:rFonts w:ascii="Calibri" w:hAnsi="Calibri" w:cs="Calibri"/>
                <w:i/>
                <w:color w:val="000000"/>
                <w:sz w:val="16"/>
                <w:szCs w:val="16"/>
              </w:rPr>
              <w:t>1.37</w:t>
            </w:r>
          </w:p>
        </w:tc>
      </w:tr>
      <w:tr w:rsidR="00556068" w:rsidRPr="005B4804" w14:paraId="6FDE725E" w14:textId="77777777" w:rsidTr="000F4EA3">
        <w:trPr>
          <w:trHeight w:val="514"/>
          <w:jc w:val="center"/>
        </w:trPr>
        <w:tc>
          <w:tcPr>
            <w:tcW w:w="1188" w:type="dxa"/>
            <w:vMerge/>
            <w:tcBorders>
              <w:left w:val="single" w:sz="4" w:space="0" w:color="auto"/>
              <w:bottom w:val="single" w:sz="4" w:space="0" w:color="auto"/>
              <w:right w:val="single" w:sz="4" w:space="0" w:color="auto"/>
            </w:tcBorders>
            <w:shd w:val="clear" w:color="000000" w:fill="D9D9D9"/>
            <w:vAlign w:val="center"/>
          </w:tcPr>
          <w:p w14:paraId="6111C457" w14:textId="77777777" w:rsidR="00556068" w:rsidRPr="005B4804" w:rsidRDefault="00556068" w:rsidP="00614D14">
            <w:pPr>
              <w:spacing w:after="0" w:line="240" w:lineRule="auto"/>
              <w:rPr>
                <w:rFonts w:ascii="Calibri" w:eastAsia="Times New Roman" w:hAnsi="Calibri" w:cs="Calibri"/>
                <w:b/>
                <w:bCs/>
                <w:color w:val="000000"/>
                <w:sz w:val="18"/>
                <w:szCs w:val="18"/>
                <w:lang w:eastAsia="en-GB"/>
              </w:rPr>
            </w:pPr>
          </w:p>
        </w:tc>
        <w:tc>
          <w:tcPr>
            <w:tcW w:w="1062" w:type="dxa"/>
            <w:vMerge/>
            <w:tcBorders>
              <w:left w:val="nil"/>
              <w:bottom w:val="single" w:sz="4" w:space="0" w:color="auto"/>
              <w:right w:val="single" w:sz="4" w:space="0" w:color="auto"/>
            </w:tcBorders>
            <w:shd w:val="clear" w:color="000000" w:fill="F2F2F2"/>
            <w:vAlign w:val="bottom"/>
          </w:tcPr>
          <w:p w14:paraId="01A638A4" w14:textId="77777777" w:rsidR="00556068" w:rsidRPr="005B4804" w:rsidRDefault="00556068" w:rsidP="00614D14">
            <w:pPr>
              <w:spacing w:after="0" w:line="240" w:lineRule="auto"/>
              <w:rPr>
                <w:rFonts w:ascii="Calibri" w:eastAsia="Times New Roman" w:hAnsi="Calibri" w:cs="Calibri"/>
                <w:i/>
                <w:iCs/>
                <w:color w:val="000000"/>
                <w:sz w:val="18"/>
                <w:szCs w:val="18"/>
                <w:lang w:eastAsia="en-GB"/>
              </w:rPr>
            </w:pPr>
          </w:p>
        </w:tc>
        <w:tc>
          <w:tcPr>
            <w:tcW w:w="1294" w:type="dxa"/>
            <w:tcBorders>
              <w:left w:val="single" w:sz="4" w:space="0" w:color="auto"/>
              <w:bottom w:val="single" w:sz="4" w:space="0" w:color="auto"/>
              <w:right w:val="single" w:sz="4" w:space="0" w:color="auto"/>
            </w:tcBorders>
            <w:shd w:val="clear" w:color="000000" w:fill="C8EEFB"/>
            <w:noWrap/>
            <w:vAlign w:val="center"/>
          </w:tcPr>
          <w:p w14:paraId="60D7A8CB" w14:textId="1D81E32A" w:rsidR="00556068" w:rsidRPr="00556068" w:rsidRDefault="00556068" w:rsidP="00556068">
            <w:pPr>
              <w:spacing w:after="0" w:line="240" w:lineRule="auto"/>
              <w:jc w:val="center"/>
              <w:rPr>
                <w:rFonts w:ascii="Calibri" w:eastAsia="Times New Roman" w:hAnsi="Calibri" w:cs="Calibri"/>
                <w:b/>
                <w:color w:val="000000"/>
                <w:sz w:val="18"/>
                <w:szCs w:val="18"/>
                <w:lang w:eastAsia="en-GB"/>
              </w:rPr>
            </w:pPr>
            <w:r w:rsidRPr="00EC34E2">
              <w:rPr>
                <w:rFonts w:ascii="Calibri" w:eastAsia="Times New Roman" w:hAnsi="Calibri" w:cs="Calibri"/>
                <w:i/>
                <w:color w:val="000000"/>
                <w:sz w:val="16"/>
                <w:szCs w:val="16"/>
                <w:lang w:eastAsia="en-GB"/>
              </w:rPr>
              <w:t>1 - 4</w:t>
            </w:r>
          </w:p>
        </w:tc>
        <w:tc>
          <w:tcPr>
            <w:tcW w:w="1138" w:type="dxa"/>
            <w:tcBorders>
              <w:left w:val="single" w:sz="4" w:space="0" w:color="auto"/>
              <w:bottom w:val="single" w:sz="4" w:space="0" w:color="auto"/>
              <w:right w:val="single" w:sz="4" w:space="0" w:color="auto"/>
            </w:tcBorders>
            <w:shd w:val="clear" w:color="000000" w:fill="D6F2FC"/>
            <w:noWrap/>
            <w:vAlign w:val="center"/>
          </w:tcPr>
          <w:p w14:paraId="4C735CF2" w14:textId="6C3B335F" w:rsidR="00556068" w:rsidRPr="00556068" w:rsidRDefault="00556068" w:rsidP="00556068">
            <w:pPr>
              <w:spacing w:after="0" w:line="240" w:lineRule="auto"/>
              <w:jc w:val="center"/>
              <w:rPr>
                <w:rFonts w:ascii="Calibri" w:eastAsia="Times New Roman" w:hAnsi="Calibri" w:cs="Calibri"/>
                <w:b/>
                <w:color w:val="000000"/>
                <w:sz w:val="18"/>
                <w:szCs w:val="18"/>
                <w:lang w:eastAsia="en-GB"/>
              </w:rPr>
            </w:pPr>
            <w:r w:rsidRPr="00EC34E2">
              <w:rPr>
                <w:rFonts w:ascii="Calibri" w:eastAsia="Times New Roman" w:hAnsi="Calibri" w:cs="Calibri"/>
                <w:i/>
                <w:color w:val="000000"/>
                <w:sz w:val="16"/>
                <w:szCs w:val="16"/>
                <w:lang w:eastAsia="en-GB"/>
              </w:rPr>
              <w:t>1 - 5</w:t>
            </w:r>
          </w:p>
        </w:tc>
        <w:tc>
          <w:tcPr>
            <w:tcW w:w="1138" w:type="dxa"/>
            <w:tcBorders>
              <w:left w:val="single" w:sz="4" w:space="0" w:color="auto"/>
              <w:bottom w:val="single" w:sz="4" w:space="0" w:color="auto"/>
              <w:right w:val="single" w:sz="4" w:space="0" w:color="auto"/>
            </w:tcBorders>
            <w:shd w:val="clear" w:color="000000" w:fill="B1E7FA"/>
            <w:noWrap/>
            <w:vAlign w:val="center"/>
          </w:tcPr>
          <w:p w14:paraId="00C1961F" w14:textId="362EB87A" w:rsidR="00556068" w:rsidRPr="00556068" w:rsidRDefault="00556068" w:rsidP="00556068">
            <w:pPr>
              <w:spacing w:after="0" w:line="240" w:lineRule="auto"/>
              <w:jc w:val="center"/>
              <w:rPr>
                <w:rFonts w:ascii="Calibri" w:eastAsia="Times New Roman" w:hAnsi="Calibri" w:cs="Calibri"/>
                <w:b/>
                <w:color w:val="000000"/>
                <w:sz w:val="18"/>
                <w:szCs w:val="18"/>
                <w:lang w:eastAsia="en-GB"/>
              </w:rPr>
            </w:pPr>
            <w:r w:rsidRPr="00EC34E2">
              <w:rPr>
                <w:rFonts w:ascii="Calibri" w:eastAsia="Times New Roman" w:hAnsi="Calibri" w:cs="Calibri"/>
                <w:i/>
                <w:color w:val="000000"/>
                <w:sz w:val="16"/>
                <w:szCs w:val="16"/>
                <w:lang w:eastAsia="en-GB"/>
              </w:rPr>
              <w:t>1 - 5</w:t>
            </w:r>
          </w:p>
        </w:tc>
        <w:tc>
          <w:tcPr>
            <w:tcW w:w="1280" w:type="dxa"/>
            <w:tcBorders>
              <w:left w:val="nil"/>
              <w:bottom w:val="single" w:sz="4" w:space="0" w:color="auto"/>
              <w:right w:val="single" w:sz="4" w:space="0" w:color="auto"/>
            </w:tcBorders>
            <w:shd w:val="clear" w:color="000000" w:fill="97DEF8"/>
            <w:noWrap/>
            <w:vAlign w:val="center"/>
          </w:tcPr>
          <w:p w14:paraId="1DA8CD73" w14:textId="3967E8A0" w:rsidR="00556068" w:rsidRPr="00556068" w:rsidRDefault="00556068" w:rsidP="00556068">
            <w:pPr>
              <w:spacing w:after="0" w:line="240" w:lineRule="auto"/>
              <w:jc w:val="center"/>
              <w:rPr>
                <w:rFonts w:ascii="Calibri" w:eastAsia="Times New Roman" w:hAnsi="Calibri" w:cs="Calibri"/>
                <w:b/>
                <w:color w:val="000000"/>
                <w:sz w:val="18"/>
                <w:szCs w:val="18"/>
                <w:lang w:eastAsia="en-GB"/>
              </w:rPr>
            </w:pPr>
            <w:r w:rsidRPr="00EC34E2">
              <w:rPr>
                <w:rFonts w:ascii="Calibri" w:eastAsia="Times New Roman" w:hAnsi="Calibri" w:cs="Calibri"/>
                <w:i/>
                <w:color w:val="000000"/>
                <w:sz w:val="16"/>
                <w:szCs w:val="16"/>
                <w:lang w:eastAsia="en-GB"/>
              </w:rPr>
              <w:t>1 - 5</w:t>
            </w:r>
          </w:p>
        </w:tc>
      </w:tr>
    </w:tbl>
    <w:p w14:paraId="6CC53161" w14:textId="0A449636" w:rsidR="003A704A" w:rsidRDefault="003A704A" w:rsidP="003A704A">
      <w:pPr>
        <w:pStyle w:val="Caption"/>
        <w:jc w:val="center"/>
      </w:pPr>
      <w:r>
        <w:t xml:space="preserve">Table </w:t>
      </w:r>
      <w:r w:rsidR="00673A35">
        <w:rPr>
          <w:noProof/>
        </w:rPr>
        <w:fldChar w:fldCharType="begin"/>
      </w:r>
      <w:r w:rsidR="00673A35">
        <w:rPr>
          <w:noProof/>
        </w:rPr>
        <w:instrText xml:space="preserve"> SEQ Table \* ARABIC </w:instrText>
      </w:r>
      <w:r w:rsidR="00673A35">
        <w:rPr>
          <w:noProof/>
        </w:rPr>
        <w:fldChar w:fldCharType="separate"/>
      </w:r>
      <w:r>
        <w:rPr>
          <w:noProof/>
        </w:rPr>
        <w:t>6</w:t>
      </w:r>
      <w:r w:rsidR="00673A35">
        <w:rPr>
          <w:noProof/>
        </w:rPr>
        <w:fldChar w:fldCharType="end"/>
      </w:r>
      <w:r>
        <w:t xml:space="preserve"> - NoMad T1 mean scores for 'Coherence' (score colour intensity tends toward: blue (strongly agree – 1); white (neither agree nor disagree – 3); yellow - strongly disagree – 5)</w:t>
      </w:r>
      <w:r w:rsidR="008C2AD4">
        <w:t>.</w:t>
      </w:r>
    </w:p>
    <w:p w14:paraId="7298AA57" w14:textId="77777777" w:rsidR="003A704A" w:rsidRDefault="003A704A" w:rsidP="006866A1">
      <w:pPr>
        <w:jc w:val="both"/>
      </w:pPr>
    </w:p>
    <w:p w14:paraId="5E8C6A56" w14:textId="30C9D946" w:rsidR="009F59B4" w:rsidRPr="009F59B4" w:rsidRDefault="00833833" w:rsidP="00100D9E">
      <w:pPr>
        <w:jc w:val="both"/>
        <w:rPr>
          <w:i/>
        </w:rPr>
      </w:pPr>
      <w:bookmarkStart w:id="26" w:name="_Hlk524082798"/>
      <w:r>
        <w:rPr>
          <w:i/>
        </w:rPr>
        <w:t>Changes</w:t>
      </w:r>
      <w:r w:rsidR="00F809D8">
        <w:rPr>
          <w:i/>
        </w:rPr>
        <w:t xml:space="preserve"> in NoMad response </w:t>
      </w:r>
      <w:r>
        <w:rPr>
          <w:i/>
        </w:rPr>
        <w:t>(</w:t>
      </w:r>
      <w:r w:rsidR="00F809D8">
        <w:rPr>
          <w:i/>
        </w:rPr>
        <w:t>T0-T1</w:t>
      </w:r>
      <w:r>
        <w:rPr>
          <w:i/>
        </w:rPr>
        <w:t>)</w:t>
      </w:r>
    </w:p>
    <w:p w14:paraId="42CF73E5" w14:textId="32D1E3CF" w:rsidR="000926A3" w:rsidRDefault="00F809D8" w:rsidP="00100D9E">
      <w:pPr>
        <w:jc w:val="both"/>
      </w:pPr>
      <w:r>
        <w:t>Wilcoxon signed-rank tests were used to investigate differences between responses to Q8-23</w:t>
      </w:r>
      <w:r w:rsidR="00CE2EB9">
        <w:t xml:space="preserve"> for all </w:t>
      </w:r>
      <w:r>
        <w:t>participants</w:t>
      </w:r>
      <w:r w:rsidR="000926A3">
        <w:t xml:space="preserve"> (n=32), training participants (n=13)</w:t>
      </w:r>
      <w:r w:rsidR="00447DF0">
        <w:t>,</w:t>
      </w:r>
      <w:r>
        <w:t xml:space="preserve"> and non-</w:t>
      </w:r>
      <w:r w:rsidR="0060641B">
        <w:t xml:space="preserve">training </w:t>
      </w:r>
      <w:r>
        <w:t>participants</w:t>
      </w:r>
      <w:r w:rsidR="000926A3">
        <w:t xml:space="preserve"> (n=19)</w:t>
      </w:r>
      <w:r>
        <w:t xml:space="preserve"> respectively.</w:t>
      </w:r>
      <w:r w:rsidR="00431314">
        <w:t xml:space="preserve"> </w:t>
      </w:r>
      <w:r w:rsidR="000926A3">
        <w:t xml:space="preserve">For all participants, only </w:t>
      </w:r>
      <w:r w:rsidR="00F755EE">
        <w:t>Q13 saw a significant change from T0 (mean score = 1.9) to T1 (mean scor</w:t>
      </w:r>
      <w:r w:rsidR="008628D5">
        <w:t>e – 2.3, see table 5</w:t>
      </w:r>
      <w:r w:rsidR="00F755EE">
        <w:t xml:space="preserve">), which involved a shift towards </w:t>
      </w:r>
      <w:r w:rsidR="00B5094A">
        <w:t>uncertainty</w:t>
      </w:r>
      <w:r w:rsidR="00447DF0">
        <w:t xml:space="preserve"> or </w:t>
      </w:r>
      <w:r w:rsidR="00F755EE">
        <w:t>disagreement with the statement ‘</w:t>
      </w:r>
      <w:r w:rsidR="00F755EE" w:rsidRPr="00F755EE">
        <w:t xml:space="preserve">Screening and treatment for </w:t>
      </w:r>
      <w:r w:rsidR="00F755EE" w:rsidRPr="00F755EE">
        <w:lastRenderedPageBreak/>
        <w:t>malnutrition disrupts working relationships</w:t>
      </w:r>
      <w:r w:rsidR="00F755EE">
        <w:t>’ (T = 32.00, r = -0.29, p = 0.02</w:t>
      </w:r>
      <w:r w:rsidR="003E31E1">
        <w:t>; see Additional File 4</w:t>
      </w:r>
      <w:r w:rsidR="008628D5">
        <w:t xml:space="preserve">, table </w:t>
      </w:r>
      <w:r w:rsidR="00ED416D">
        <w:t>2</w:t>
      </w:r>
      <w:r w:rsidR="00F755EE">
        <w:t>). This indicates small</w:t>
      </w:r>
      <w:r w:rsidR="00250776">
        <w:t>-to-</w:t>
      </w:r>
      <w:r w:rsidR="00F755EE">
        <w:t xml:space="preserve">moderate effect on responses during the period in which the training took place. </w:t>
      </w:r>
      <w:r w:rsidR="00833833">
        <w:t>No other significan</w:t>
      </w:r>
      <w:r w:rsidR="00004C24">
        <w:t>t changes were</w:t>
      </w:r>
      <w:r w:rsidR="003E31E1">
        <w:t xml:space="preserve"> observed (see Additional File 4</w:t>
      </w:r>
      <w:r w:rsidR="00004C24">
        <w:t xml:space="preserve">, tables </w:t>
      </w:r>
      <w:r w:rsidR="00ED416D">
        <w:t>2</w:t>
      </w:r>
      <w:r w:rsidR="00004C24">
        <w:t>-</w:t>
      </w:r>
      <w:r w:rsidR="00ED416D">
        <w:t>4</w:t>
      </w:r>
      <w:r w:rsidR="00833833">
        <w:t>).</w:t>
      </w:r>
    </w:p>
    <w:p w14:paraId="2116D62F" w14:textId="57242BBA" w:rsidR="00833833" w:rsidRPr="00833833" w:rsidRDefault="00833833" w:rsidP="00100D9E">
      <w:pPr>
        <w:jc w:val="both"/>
        <w:rPr>
          <w:i/>
        </w:rPr>
      </w:pPr>
      <w:r w:rsidRPr="00833833">
        <w:rPr>
          <w:i/>
        </w:rPr>
        <w:t>Differences between sub</w:t>
      </w:r>
      <w:r w:rsidR="000E5ED7">
        <w:rPr>
          <w:i/>
        </w:rPr>
        <w:t>-</w:t>
      </w:r>
      <w:r w:rsidRPr="00833833">
        <w:rPr>
          <w:i/>
        </w:rPr>
        <w:t>group responses (T0 &amp; T1)</w:t>
      </w:r>
    </w:p>
    <w:p w14:paraId="2E389572" w14:textId="2948AD28" w:rsidR="00100D9E" w:rsidRDefault="00B81D7D" w:rsidP="00A92EAE">
      <w:pPr>
        <w:jc w:val="both"/>
      </w:pPr>
      <w:r>
        <w:t xml:space="preserve">A significant difference was observed for Q7-T1 (W = 124, r = -0.43, p = 0.01). </w:t>
      </w:r>
      <w:r w:rsidR="000E5ED7">
        <w:t>N</w:t>
      </w:r>
      <w:r w:rsidR="003220E3">
        <w:t>o significant differences were found for any</w:t>
      </w:r>
      <w:r>
        <w:t xml:space="preserve"> other</w:t>
      </w:r>
      <w:r w:rsidR="003220E3">
        <w:t xml:space="preserve"> </w:t>
      </w:r>
      <w:r w:rsidR="000E5ED7">
        <w:t xml:space="preserve">questions at either time points (see </w:t>
      </w:r>
      <w:r w:rsidR="003E31E1">
        <w:t>Additional File 4</w:t>
      </w:r>
      <w:r w:rsidR="00004C24">
        <w:t xml:space="preserve">, tables </w:t>
      </w:r>
      <w:r w:rsidR="00ED416D">
        <w:t>1; 5-7</w:t>
      </w:r>
      <w:r w:rsidR="000E5ED7">
        <w:t>).</w:t>
      </w:r>
      <w:r w:rsidR="00585F9E">
        <w:t xml:space="preserve"> </w:t>
      </w:r>
    </w:p>
    <w:p w14:paraId="112B88A2" w14:textId="16B62F1E" w:rsidR="001B4C91" w:rsidRPr="00570AA3" w:rsidRDefault="001B4C91" w:rsidP="00570AA3">
      <w:pPr>
        <w:rPr>
          <w:i/>
        </w:rPr>
      </w:pPr>
      <w:bookmarkStart w:id="27" w:name="_Hlk524082850"/>
      <w:bookmarkEnd w:id="26"/>
      <w:r w:rsidRPr="00570AA3">
        <w:rPr>
          <w:i/>
        </w:rPr>
        <w:t>Dietetic questions</w:t>
      </w:r>
    </w:p>
    <w:p w14:paraId="2DC2F5E4" w14:textId="46DE1D28" w:rsidR="00A92EAE" w:rsidRDefault="005C7EAD" w:rsidP="00100D9E">
      <w:pPr>
        <w:jc w:val="both"/>
      </w:pPr>
      <w:r>
        <w:t>Interview responses</w:t>
      </w:r>
      <w:r w:rsidR="00585F9E">
        <w:t xml:space="preserve"> at T0 indicated </w:t>
      </w:r>
      <w:r w:rsidR="00500092">
        <w:t>access to dietetic services was a significant concern for many</w:t>
      </w:r>
      <w:r w:rsidR="00E17E57">
        <w:t xml:space="preserve"> participants</w:t>
      </w:r>
      <w:r w:rsidR="00500092">
        <w:t xml:space="preserve">.  Additional questions regarding availability and </w:t>
      </w:r>
      <w:r w:rsidR="00BD3606">
        <w:t>adequacy of dietetic services were appended to questionnaire</w:t>
      </w:r>
      <w:r w:rsidR="000E53A9">
        <w:t>s</w:t>
      </w:r>
      <w:r w:rsidR="00BD3606">
        <w:t xml:space="preserve"> at T1.</w:t>
      </w:r>
      <w:r w:rsidR="00786905">
        <w:t xml:space="preserve"> Overall, results show that 30-90% of all participants </w:t>
      </w:r>
      <w:r w:rsidR="00E17E57">
        <w:t>had concerns about</w:t>
      </w:r>
      <w:r w:rsidR="00786905">
        <w:t xml:space="preserve"> or were </w:t>
      </w:r>
      <w:r w:rsidR="00B5094A">
        <w:t>uncertain</w:t>
      </w:r>
      <w:r w:rsidR="00786905">
        <w:t xml:space="preserve"> in relation to, all aspects of dietetic service explored by q</w:t>
      </w:r>
      <w:r w:rsidR="00004C24">
        <w:t>uestion statements (see table 7</w:t>
      </w:r>
      <w:r w:rsidR="00786905">
        <w:t>).  Proportions of responses were similar for both training and non-trai</w:t>
      </w:r>
      <w:r w:rsidR="00004C24">
        <w:t>ning participants in</w:t>
      </w:r>
      <w:r w:rsidR="00786905">
        <w:t xml:space="preserve"> most areas (A1-2, A4-6)</w:t>
      </w:r>
      <w:r w:rsidR="006E7ECB">
        <w:t>, and Wilcox</w:t>
      </w:r>
      <w:r w:rsidR="0073444C">
        <w:t>on</w:t>
      </w:r>
      <w:r w:rsidR="006E7ECB">
        <w:t xml:space="preserve"> rank-sum test results between sub-group response to each question showed no </w:t>
      </w:r>
      <w:r w:rsidR="0073444C">
        <w:t xml:space="preserve">statistically </w:t>
      </w:r>
      <w:r w:rsidR="006E7ECB">
        <w:t xml:space="preserve">significant differences (see </w:t>
      </w:r>
      <w:r w:rsidR="003E31E1">
        <w:t>Additional File 4</w:t>
      </w:r>
      <w:r w:rsidR="00004C24">
        <w:t>, table 8</w:t>
      </w:r>
      <w:r w:rsidR="006E7ECB">
        <w:t>).</w:t>
      </w:r>
      <w:r w:rsidR="00786905">
        <w:t xml:space="preserve"> </w:t>
      </w:r>
      <w:r w:rsidR="006E7ECB">
        <w:t>These results echo those indicated by telephone interview</w:t>
      </w:r>
      <w:r w:rsidR="000E53A9">
        <w:t>s</w:t>
      </w:r>
      <w:r w:rsidR="006E7ECB">
        <w:t>, that many participants appear to have doubts regarding adequacy of dietetic services in relation to procedure, support, and resource allocation.</w:t>
      </w:r>
    </w:p>
    <w:p w14:paraId="3F651892" w14:textId="77777777" w:rsidR="00B77C22" w:rsidRDefault="00B77C22" w:rsidP="00100D9E">
      <w:pPr>
        <w:jc w:val="both"/>
      </w:pPr>
    </w:p>
    <w:tbl>
      <w:tblPr>
        <w:tblW w:w="10079" w:type="dxa"/>
        <w:jc w:val="center"/>
        <w:tblLook w:val="04A0" w:firstRow="1" w:lastRow="0" w:firstColumn="1" w:lastColumn="0" w:noHBand="0" w:noVBand="1"/>
      </w:tblPr>
      <w:tblGrid>
        <w:gridCol w:w="4059"/>
        <w:gridCol w:w="1860"/>
        <w:gridCol w:w="1740"/>
        <w:gridCol w:w="2420"/>
      </w:tblGrid>
      <w:tr w:rsidR="00C304AA" w:rsidRPr="00C304AA" w14:paraId="3294DA3C" w14:textId="77777777" w:rsidTr="00A92EAE">
        <w:trPr>
          <w:trHeight w:val="540"/>
          <w:jc w:val="center"/>
        </w:trPr>
        <w:tc>
          <w:tcPr>
            <w:tcW w:w="4059" w:type="dxa"/>
            <w:tcBorders>
              <w:top w:val="nil"/>
              <w:left w:val="nil"/>
              <w:bottom w:val="nil"/>
              <w:right w:val="nil"/>
            </w:tcBorders>
            <w:shd w:val="clear" w:color="auto" w:fill="auto"/>
            <w:noWrap/>
            <w:vAlign w:val="bottom"/>
            <w:hideMark/>
          </w:tcPr>
          <w:p w14:paraId="307A1F19" w14:textId="77777777" w:rsidR="00C304AA" w:rsidRPr="00C304AA" w:rsidRDefault="00C304AA" w:rsidP="00C304AA">
            <w:pPr>
              <w:spacing w:after="0" w:line="240" w:lineRule="auto"/>
              <w:rPr>
                <w:rFonts w:ascii="Times New Roman" w:eastAsia="Times New Roman" w:hAnsi="Times New Roman" w:cs="Times New Roman"/>
                <w:sz w:val="18"/>
                <w:szCs w:val="18"/>
                <w:lang w:eastAsia="en-GB"/>
              </w:rPr>
            </w:pPr>
            <w:bookmarkStart w:id="28" w:name="_Hlk524082874"/>
            <w:bookmarkEnd w:id="27"/>
          </w:p>
        </w:tc>
        <w:tc>
          <w:tcPr>
            <w:tcW w:w="1860" w:type="dxa"/>
            <w:tcBorders>
              <w:top w:val="nil"/>
              <w:left w:val="nil"/>
              <w:bottom w:val="nil"/>
              <w:right w:val="nil"/>
            </w:tcBorders>
            <w:shd w:val="clear" w:color="auto" w:fill="auto"/>
            <w:noWrap/>
            <w:vAlign w:val="bottom"/>
            <w:hideMark/>
          </w:tcPr>
          <w:p w14:paraId="5807D720" w14:textId="77777777" w:rsidR="00C304AA" w:rsidRPr="00C304AA" w:rsidRDefault="00C304AA" w:rsidP="00C304AA">
            <w:pPr>
              <w:spacing w:after="0" w:line="240" w:lineRule="auto"/>
              <w:rPr>
                <w:rFonts w:ascii="Calibri" w:eastAsia="Times New Roman" w:hAnsi="Calibri" w:cs="Calibri"/>
                <w:b/>
                <w:bCs/>
                <w:color w:val="000000"/>
                <w:sz w:val="18"/>
                <w:szCs w:val="18"/>
                <w:lang w:eastAsia="en-GB"/>
              </w:rPr>
            </w:pPr>
            <w:r w:rsidRPr="00C304AA">
              <w:rPr>
                <w:rFonts w:ascii="Calibri" w:eastAsia="Times New Roman" w:hAnsi="Calibri" w:cs="Calibri"/>
                <w:b/>
                <w:bCs/>
                <w:color w:val="000000"/>
                <w:sz w:val="18"/>
                <w:szCs w:val="18"/>
                <w:lang w:eastAsia="en-GB"/>
              </w:rPr>
              <w:t>Training group</w:t>
            </w:r>
          </w:p>
        </w:tc>
        <w:tc>
          <w:tcPr>
            <w:tcW w:w="1740" w:type="dxa"/>
            <w:tcBorders>
              <w:top w:val="nil"/>
              <w:left w:val="nil"/>
              <w:bottom w:val="nil"/>
              <w:right w:val="nil"/>
            </w:tcBorders>
            <w:shd w:val="clear" w:color="auto" w:fill="auto"/>
            <w:noWrap/>
            <w:vAlign w:val="bottom"/>
            <w:hideMark/>
          </w:tcPr>
          <w:p w14:paraId="3FD4C6AF" w14:textId="77777777" w:rsidR="00C304AA" w:rsidRPr="00C304AA" w:rsidRDefault="00C304AA" w:rsidP="00C304AA">
            <w:pPr>
              <w:spacing w:after="0" w:line="240" w:lineRule="auto"/>
              <w:rPr>
                <w:rFonts w:ascii="Calibri" w:eastAsia="Times New Roman" w:hAnsi="Calibri" w:cs="Calibri"/>
                <w:b/>
                <w:bCs/>
                <w:color w:val="000000"/>
                <w:sz w:val="18"/>
                <w:szCs w:val="18"/>
                <w:lang w:eastAsia="en-GB"/>
              </w:rPr>
            </w:pPr>
            <w:r w:rsidRPr="00C304AA">
              <w:rPr>
                <w:rFonts w:ascii="Calibri" w:eastAsia="Times New Roman" w:hAnsi="Calibri" w:cs="Calibri"/>
                <w:b/>
                <w:bCs/>
                <w:color w:val="000000"/>
                <w:sz w:val="18"/>
                <w:szCs w:val="18"/>
                <w:lang w:eastAsia="en-GB"/>
              </w:rPr>
              <w:t>% strongly/agree</w:t>
            </w:r>
          </w:p>
        </w:tc>
        <w:tc>
          <w:tcPr>
            <w:tcW w:w="2420" w:type="dxa"/>
            <w:tcBorders>
              <w:top w:val="nil"/>
              <w:left w:val="nil"/>
              <w:bottom w:val="nil"/>
              <w:right w:val="nil"/>
            </w:tcBorders>
            <w:shd w:val="clear" w:color="auto" w:fill="auto"/>
            <w:noWrap/>
            <w:vAlign w:val="bottom"/>
            <w:hideMark/>
          </w:tcPr>
          <w:p w14:paraId="60D6FC2B" w14:textId="252B4A55" w:rsidR="00C304AA" w:rsidRPr="00C304AA" w:rsidRDefault="00C304AA" w:rsidP="00C304AA">
            <w:pPr>
              <w:spacing w:after="0" w:line="240" w:lineRule="auto"/>
              <w:rPr>
                <w:rFonts w:ascii="Calibri" w:eastAsia="Times New Roman" w:hAnsi="Calibri" w:cs="Calibri"/>
                <w:b/>
                <w:bCs/>
                <w:color w:val="000000"/>
                <w:sz w:val="18"/>
                <w:szCs w:val="18"/>
                <w:lang w:eastAsia="en-GB"/>
              </w:rPr>
            </w:pPr>
            <w:r w:rsidRPr="00C304AA">
              <w:rPr>
                <w:rFonts w:ascii="Calibri" w:eastAsia="Times New Roman" w:hAnsi="Calibri" w:cs="Calibri"/>
                <w:b/>
                <w:bCs/>
                <w:color w:val="000000"/>
                <w:sz w:val="18"/>
                <w:szCs w:val="18"/>
                <w:lang w:eastAsia="en-GB"/>
              </w:rPr>
              <w:t xml:space="preserve">% </w:t>
            </w:r>
            <w:r w:rsidR="001A7F92">
              <w:rPr>
                <w:rFonts w:ascii="Calibri" w:eastAsia="Times New Roman" w:hAnsi="Calibri" w:cs="Calibri"/>
                <w:b/>
                <w:bCs/>
                <w:color w:val="000000"/>
                <w:sz w:val="18"/>
                <w:szCs w:val="18"/>
                <w:lang w:eastAsia="en-GB"/>
              </w:rPr>
              <w:t>strongly/</w:t>
            </w:r>
            <w:r w:rsidRPr="00C304AA">
              <w:rPr>
                <w:rFonts w:ascii="Calibri" w:eastAsia="Times New Roman" w:hAnsi="Calibri" w:cs="Calibri"/>
                <w:b/>
                <w:bCs/>
                <w:color w:val="000000"/>
                <w:sz w:val="18"/>
                <w:szCs w:val="18"/>
                <w:lang w:eastAsia="en-GB"/>
              </w:rPr>
              <w:t>disagree</w:t>
            </w:r>
            <w:r w:rsidR="001A7F92">
              <w:rPr>
                <w:rFonts w:ascii="Calibri" w:eastAsia="Times New Roman" w:hAnsi="Calibri" w:cs="Calibri"/>
                <w:b/>
                <w:bCs/>
                <w:color w:val="000000"/>
                <w:sz w:val="18"/>
                <w:szCs w:val="18"/>
                <w:lang w:eastAsia="en-GB"/>
              </w:rPr>
              <w:t xml:space="preserve"> or </w:t>
            </w:r>
            <w:r w:rsidR="00B5094A">
              <w:rPr>
                <w:rFonts w:ascii="Calibri" w:eastAsia="Times New Roman" w:hAnsi="Calibri" w:cs="Calibri"/>
                <w:b/>
                <w:bCs/>
                <w:color w:val="000000"/>
                <w:sz w:val="18"/>
                <w:szCs w:val="18"/>
                <w:lang w:eastAsia="en-GB"/>
              </w:rPr>
              <w:t>uncertain</w:t>
            </w:r>
          </w:p>
        </w:tc>
      </w:tr>
      <w:tr w:rsidR="00C304AA" w:rsidRPr="00C304AA" w14:paraId="5E60A0A7" w14:textId="77777777" w:rsidTr="00A92EAE">
        <w:trPr>
          <w:trHeight w:val="300"/>
          <w:jc w:val="center"/>
        </w:trPr>
        <w:tc>
          <w:tcPr>
            <w:tcW w:w="4059" w:type="dxa"/>
            <w:vMerge w:val="restart"/>
            <w:tcBorders>
              <w:top w:val="single" w:sz="4" w:space="0" w:color="auto"/>
              <w:left w:val="nil"/>
              <w:bottom w:val="single" w:sz="4" w:space="0" w:color="000000"/>
              <w:right w:val="nil"/>
            </w:tcBorders>
            <w:shd w:val="clear" w:color="auto" w:fill="auto"/>
            <w:vAlign w:val="center"/>
            <w:hideMark/>
          </w:tcPr>
          <w:p w14:paraId="1384F6C2" w14:textId="77777777" w:rsidR="00C304AA" w:rsidRPr="00C304AA" w:rsidRDefault="00C304AA" w:rsidP="00C304AA">
            <w:pPr>
              <w:spacing w:after="0" w:line="240" w:lineRule="auto"/>
              <w:jc w:val="center"/>
              <w:rPr>
                <w:rFonts w:ascii="Calibri" w:eastAsia="Times New Roman" w:hAnsi="Calibri" w:cs="Calibri"/>
                <w:b/>
                <w:bCs/>
                <w:color w:val="000000"/>
                <w:sz w:val="18"/>
                <w:szCs w:val="18"/>
                <w:lang w:eastAsia="en-GB"/>
              </w:rPr>
            </w:pPr>
            <w:r w:rsidRPr="00C304AA">
              <w:rPr>
                <w:rFonts w:ascii="Calibri" w:eastAsia="Times New Roman" w:hAnsi="Calibri" w:cs="Calibri"/>
                <w:b/>
                <w:bCs/>
                <w:color w:val="000000"/>
                <w:sz w:val="18"/>
                <w:szCs w:val="18"/>
                <w:lang w:eastAsia="en-GB"/>
              </w:rPr>
              <w:t>A1 - I know where to get specialist support and advice on treatment for malnutrition if I need it</w:t>
            </w:r>
          </w:p>
        </w:tc>
        <w:tc>
          <w:tcPr>
            <w:tcW w:w="1860" w:type="dxa"/>
            <w:tcBorders>
              <w:top w:val="single" w:sz="4" w:space="0" w:color="auto"/>
              <w:left w:val="nil"/>
              <w:bottom w:val="nil"/>
              <w:right w:val="nil"/>
            </w:tcBorders>
            <w:shd w:val="clear" w:color="auto" w:fill="auto"/>
            <w:noWrap/>
            <w:vAlign w:val="bottom"/>
            <w:hideMark/>
          </w:tcPr>
          <w:p w14:paraId="6EFB2479" w14:textId="1CF2C906" w:rsidR="00C304AA" w:rsidRPr="00C304AA" w:rsidRDefault="00BD3606" w:rsidP="00C304AA">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Non-</w:t>
            </w:r>
            <w:r w:rsidR="00447DF0">
              <w:rPr>
                <w:rFonts w:ascii="Calibri" w:eastAsia="Times New Roman" w:hAnsi="Calibri" w:cs="Calibri"/>
                <w:b/>
                <w:bCs/>
                <w:color w:val="000000"/>
                <w:sz w:val="18"/>
                <w:szCs w:val="18"/>
                <w:lang w:eastAsia="en-GB"/>
              </w:rPr>
              <w:t xml:space="preserve">training </w:t>
            </w:r>
            <w:r>
              <w:rPr>
                <w:rFonts w:ascii="Calibri" w:eastAsia="Times New Roman" w:hAnsi="Calibri" w:cs="Calibri"/>
                <w:b/>
                <w:bCs/>
                <w:color w:val="000000"/>
                <w:sz w:val="18"/>
                <w:szCs w:val="18"/>
                <w:lang w:eastAsia="en-GB"/>
              </w:rPr>
              <w:t>participants (n=19)</w:t>
            </w:r>
          </w:p>
        </w:tc>
        <w:tc>
          <w:tcPr>
            <w:tcW w:w="1740" w:type="dxa"/>
            <w:tcBorders>
              <w:top w:val="single" w:sz="4" w:space="0" w:color="auto"/>
              <w:left w:val="nil"/>
              <w:bottom w:val="nil"/>
              <w:right w:val="nil"/>
            </w:tcBorders>
            <w:shd w:val="clear" w:color="auto" w:fill="auto"/>
            <w:noWrap/>
            <w:vAlign w:val="bottom"/>
            <w:hideMark/>
          </w:tcPr>
          <w:p w14:paraId="33B33869" w14:textId="77777777" w:rsidR="00C304AA" w:rsidRPr="00C304AA" w:rsidRDefault="00C304AA" w:rsidP="00C304AA">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0.47</w:t>
            </w:r>
          </w:p>
        </w:tc>
        <w:tc>
          <w:tcPr>
            <w:tcW w:w="2420" w:type="dxa"/>
            <w:tcBorders>
              <w:top w:val="single" w:sz="4" w:space="0" w:color="auto"/>
              <w:left w:val="nil"/>
              <w:bottom w:val="nil"/>
              <w:right w:val="nil"/>
            </w:tcBorders>
            <w:shd w:val="clear" w:color="auto" w:fill="auto"/>
            <w:noWrap/>
            <w:vAlign w:val="bottom"/>
            <w:hideMark/>
          </w:tcPr>
          <w:p w14:paraId="7D87D0C2" w14:textId="77777777" w:rsidR="00C304AA" w:rsidRPr="00C304AA" w:rsidRDefault="00C304AA" w:rsidP="00C304AA">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0.47</w:t>
            </w:r>
          </w:p>
        </w:tc>
      </w:tr>
      <w:tr w:rsidR="00C304AA" w:rsidRPr="00C304AA" w14:paraId="51C8297D" w14:textId="77777777" w:rsidTr="00A92EAE">
        <w:trPr>
          <w:trHeight w:val="300"/>
          <w:jc w:val="center"/>
        </w:trPr>
        <w:tc>
          <w:tcPr>
            <w:tcW w:w="4059" w:type="dxa"/>
            <w:vMerge/>
            <w:tcBorders>
              <w:top w:val="single" w:sz="4" w:space="0" w:color="auto"/>
              <w:left w:val="nil"/>
              <w:bottom w:val="single" w:sz="4" w:space="0" w:color="000000"/>
              <w:right w:val="nil"/>
            </w:tcBorders>
            <w:vAlign w:val="center"/>
            <w:hideMark/>
          </w:tcPr>
          <w:p w14:paraId="3C002260" w14:textId="77777777" w:rsidR="00C304AA" w:rsidRPr="00C304AA" w:rsidRDefault="00C304AA" w:rsidP="00C304AA">
            <w:pPr>
              <w:spacing w:after="0" w:line="240" w:lineRule="auto"/>
              <w:rPr>
                <w:rFonts w:ascii="Calibri" w:eastAsia="Times New Roman" w:hAnsi="Calibri" w:cs="Calibri"/>
                <w:b/>
                <w:bCs/>
                <w:color w:val="000000"/>
                <w:sz w:val="18"/>
                <w:szCs w:val="18"/>
                <w:lang w:eastAsia="en-GB"/>
              </w:rPr>
            </w:pPr>
          </w:p>
        </w:tc>
        <w:tc>
          <w:tcPr>
            <w:tcW w:w="1860" w:type="dxa"/>
            <w:tcBorders>
              <w:top w:val="single" w:sz="4" w:space="0" w:color="auto"/>
              <w:left w:val="nil"/>
              <w:bottom w:val="single" w:sz="4" w:space="0" w:color="auto"/>
              <w:right w:val="nil"/>
            </w:tcBorders>
            <w:shd w:val="clear" w:color="auto" w:fill="auto"/>
            <w:noWrap/>
            <w:vAlign w:val="bottom"/>
            <w:hideMark/>
          </w:tcPr>
          <w:p w14:paraId="6C339271" w14:textId="0B9D744E" w:rsidR="00C304AA" w:rsidRPr="00C304AA" w:rsidRDefault="00447DF0" w:rsidP="00C304AA">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xml:space="preserve">Training </w:t>
            </w:r>
            <w:r w:rsidR="00BD3606">
              <w:rPr>
                <w:rFonts w:ascii="Calibri" w:eastAsia="Times New Roman" w:hAnsi="Calibri" w:cs="Calibri"/>
                <w:b/>
                <w:bCs/>
                <w:color w:val="000000"/>
                <w:sz w:val="18"/>
                <w:szCs w:val="18"/>
                <w:lang w:eastAsia="en-GB"/>
              </w:rPr>
              <w:t>Participants (n=13)</w:t>
            </w:r>
          </w:p>
        </w:tc>
        <w:tc>
          <w:tcPr>
            <w:tcW w:w="1740" w:type="dxa"/>
            <w:tcBorders>
              <w:top w:val="single" w:sz="4" w:space="0" w:color="auto"/>
              <w:left w:val="nil"/>
              <w:bottom w:val="single" w:sz="4" w:space="0" w:color="auto"/>
              <w:right w:val="nil"/>
            </w:tcBorders>
            <w:shd w:val="clear" w:color="auto" w:fill="auto"/>
            <w:noWrap/>
            <w:vAlign w:val="bottom"/>
            <w:hideMark/>
          </w:tcPr>
          <w:p w14:paraId="1185E387" w14:textId="77777777" w:rsidR="00C304AA" w:rsidRPr="00C304AA" w:rsidRDefault="00C304AA" w:rsidP="00C304AA">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0.54</w:t>
            </w:r>
          </w:p>
        </w:tc>
        <w:tc>
          <w:tcPr>
            <w:tcW w:w="2420" w:type="dxa"/>
            <w:tcBorders>
              <w:top w:val="single" w:sz="4" w:space="0" w:color="auto"/>
              <w:left w:val="nil"/>
              <w:bottom w:val="single" w:sz="4" w:space="0" w:color="auto"/>
              <w:right w:val="nil"/>
            </w:tcBorders>
            <w:shd w:val="clear" w:color="auto" w:fill="auto"/>
            <w:noWrap/>
            <w:vAlign w:val="bottom"/>
            <w:hideMark/>
          </w:tcPr>
          <w:p w14:paraId="587669DD" w14:textId="77777777" w:rsidR="00C304AA" w:rsidRPr="00C304AA" w:rsidRDefault="00C304AA" w:rsidP="00C304AA">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0.38</w:t>
            </w:r>
          </w:p>
        </w:tc>
      </w:tr>
      <w:tr w:rsidR="00C304AA" w:rsidRPr="00C304AA" w14:paraId="1EAB8B32" w14:textId="77777777" w:rsidTr="00A92EAE">
        <w:trPr>
          <w:trHeight w:val="300"/>
          <w:jc w:val="center"/>
        </w:trPr>
        <w:tc>
          <w:tcPr>
            <w:tcW w:w="4059" w:type="dxa"/>
            <w:vMerge/>
            <w:tcBorders>
              <w:top w:val="single" w:sz="4" w:space="0" w:color="auto"/>
              <w:left w:val="nil"/>
              <w:bottom w:val="single" w:sz="4" w:space="0" w:color="000000"/>
              <w:right w:val="nil"/>
            </w:tcBorders>
            <w:vAlign w:val="center"/>
            <w:hideMark/>
          </w:tcPr>
          <w:p w14:paraId="06EC70F6" w14:textId="77777777" w:rsidR="00C304AA" w:rsidRPr="00C304AA" w:rsidRDefault="00C304AA" w:rsidP="00C304AA">
            <w:pPr>
              <w:spacing w:after="0" w:line="240" w:lineRule="auto"/>
              <w:rPr>
                <w:rFonts w:ascii="Calibri" w:eastAsia="Times New Roman" w:hAnsi="Calibri" w:cs="Calibri"/>
                <w:b/>
                <w:bCs/>
                <w:color w:val="000000"/>
                <w:sz w:val="18"/>
                <w:szCs w:val="18"/>
                <w:lang w:eastAsia="en-GB"/>
              </w:rPr>
            </w:pPr>
          </w:p>
        </w:tc>
        <w:tc>
          <w:tcPr>
            <w:tcW w:w="1860" w:type="dxa"/>
            <w:tcBorders>
              <w:top w:val="nil"/>
              <w:left w:val="nil"/>
              <w:bottom w:val="single" w:sz="4" w:space="0" w:color="auto"/>
              <w:right w:val="nil"/>
            </w:tcBorders>
            <w:shd w:val="clear" w:color="auto" w:fill="auto"/>
            <w:noWrap/>
            <w:vAlign w:val="bottom"/>
            <w:hideMark/>
          </w:tcPr>
          <w:p w14:paraId="37B64AF6" w14:textId="6BEC70F6" w:rsidR="00C304AA" w:rsidRPr="00C304AA" w:rsidRDefault="00C304AA" w:rsidP="00C304AA">
            <w:pPr>
              <w:spacing w:after="0" w:line="240" w:lineRule="auto"/>
              <w:rPr>
                <w:rFonts w:ascii="Calibri" w:eastAsia="Times New Roman" w:hAnsi="Calibri" w:cs="Calibri"/>
                <w:b/>
                <w:bCs/>
                <w:color w:val="000000"/>
                <w:sz w:val="18"/>
                <w:szCs w:val="18"/>
                <w:lang w:eastAsia="en-GB"/>
              </w:rPr>
            </w:pPr>
            <w:r w:rsidRPr="00C304AA">
              <w:rPr>
                <w:rFonts w:ascii="Calibri" w:eastAsia="Times New Roman" w:hAnsi="Calibri" w:cs="Calibri"/>
                <w:b/>
                <w:bCs/>
                <w:color w:val="000000"/>
                <w:sz w:val="18"/>
                <w:szCs w:val="18"/>
                <w:lang w:eastAsia="en-GB"/>
              </w:rPr>
              <w:t>All</w:t>
            </w:r>
            <w:r w:rsidR="00BD3606">
              <w:rPr>
                <w:rFonts w:ascii="Calibri" w:eastAsia="Times New Roman" w:hAnsi="Calibri" w:cs="Calibri"/>
                <w:b/>
                <w:bCs/>
                <w:color w:val="000000"/>
                <w:sz w:val="18"/>
                <w:szCs w:val="18"/>
                <w:lang w:eastAsia="en-GB"/>
              </w:rPr>
              <w:t xml:space="preserve"> (n=32)</w:t>
            </w:r>
          </w:p>
        </w:tc>
        <w:tc>
          <w:tcPr>
            <w:tcW w:w="1740" w:type="dxa"/>
            <w:tcBorders>
              <w:top w:val="nil"/>
              <w:left w:val="nil"/>
              <w:bottom w:val="single" w:sz="4" w:space="0" w:color="auto"/>
              <w:right w:val="nil"/>
            </w:tcBorders>
            <w:shd w:val="clear" w:color="auto" w:fill="auto"/>
            <w:noWrap/>
            <w:vAlign w:val="bottom"/>
            <w:hideMark/>
          </w:tcPr>
          <w:p w14:paraId="67667EAE" w14:textId="77777777" w:rsidR="00C304AA" w:rsidRPr="00C304AA" w:rsidRDefault="00C304AA" w:rsidP="00C304AA">
            <w:pPr>
              <w:spacing w:after="0" w:line="240" w:lineRule="auto"/>
              <w:jc w:val="right"/>
              <w:rPr>
                <w:rFonts w:ascii="Calibri" w:eastAsia="Times New Roman" w:hAnsi="Calibri" w:cs="Calibri"/>
                <w:i/>
                <w:iCs/>
                <w:color w:val="000000"/>
                <w:sz w:val="18"/>
                <w:szCs w:val="18"/>
                <w:lang w:eastAsia="en-GB"/>
              </w:rPr>
            </w:pPr>
            <w:r w:rsidRPr="00C304AA">
              <w:rPr>
                <w:rFonts w:ascii="Calibri" w:eastAsia="Times New Roman" w:hAnsi="Calibri" w:cs="Calibri"/>
                <w:i/>
                <w:iCs/>
                <w:color w:val="000000"/>
                <w:sz w:val="18"/>
                <w:szCs w:val="18"/>
                <w:lang w:eastAsia="en-GB"/>
              </w:rPr>
              <w:t>0.50</w:t>
            </w:r>
          </w:p>
        </w:tc>
        <w:tc>
          <w:tcPr>
            <w:tcW w:w="2420" w:type="dxa"/>
            <w:tcBorders>
              <w:top w:val="nil"/>
              <w:left w:val="nil"/>
              <w:bottom w:val="single" w:sz="4" w:space="0" w:color="auto"/>
              <w:right w:val="nil"/>
            </w:tcBorders>
            <w:shd w:val="clear" w:color="auto" w:fill="auto"/>
            <w:noWrap/>
            <w:vAlign w:val="bottom"/>
            <w:hideMark/>
          </w:tcPr>
          <w:p w14:paraId="6216C5B5" w14:textId="77777777" w:rsidR="00C304AA" w:rsidRPr="00C304AA" w:rsidRDefault="00C304AA" w:rsidP="00C304AA">
            <w:pPr>
              <w:spacing w:after="0" w:line="240" w:lineRule="auto"/>
              <w:jc w:val="right"/>
              <w:rPr>
                <w:rFonts w:ascii="Calibri" w:eastAsia="Times New Roman" w:hAnsi="Calibri" w:cs="Calibri"/>
                <w:i/>
                <w:iCs/>
                <w:color w:val="000000"/>
                <w:sz w:val="18"/>
                <w:szCs w:val="18"/>
                <w:lang w:eastAsia="en-GB"/>
              </w:rPr>
            </w:pPr>
            <w:r w:rsidRPr="00C304AA">
              <w:rPr>
                <w:rFonts w:ascii="Calibri" w:eastAsia="Times New Roman" w:hAnsi="Calibri" w:cs="Calibri"/>
                <w:i/>
                <w:iCs/>
                <w:color w:val="000000"/>
                <w:sz w:val="18"/>
                <w:szCs w:val="18"/>
                <w:lang w:eastAsia="en-GB"/>
              </w:rPr>
              <w:t>0.44</w:t>
            </w:r>
          </w:p>
        </w:tc>
      </w:tr>
      <w:tr w:rsidR="00447DF0" w:rsidRPr="00C304AA" w14:paraId="4A74FAF9" w14:textId="77777777" w:rsidTr="00A92EAE">
        <w:trPr>
          <w:trHeight w:val="70"/>
          <w:jc w:val="center"/>
        </w:trPr>
        <w:tc>
          <w:tcPr>
            <w:tcW w:w="4059" w:type="dxa"/>
            <w:vMerge w:val="restart"/>
            <w:tcBorders>
              <w:top w:val="nil"/>
              <w:left w:val="nil"/>
              <w:bottom w:val="single" w:sz="4" w:space="0" w:color="000000"/>
              <w:right w:val="nil"/>
            </w:tcBorders>
            <w:shd w:val="clear" w:color="auto" w:fill="auto"/>
            <w:vAlign w:val="center"/>
            <w:hideMark/>
          </w:tcPr>
          <w:p w14:paraId="3607B9DB" w14:textId="77777777" w:rsidR="00447DF0" w:rsidRPr="00C304AA" w:rsidRDefault="00447DF0" w:rsidP="00447DF0">
            <w:pPr>
              <w:spacing w:after="0" w:line="240" w:lineRule="auto"/>
              <w:jc w:val="center"/>
              <w:rPr>
                <w:rFonts w:ascii="Calibri" w:eastAsia="Times New Roman" w:hAnsi="Calibri" w:cs="Calibri"/>
                <w:b/>
                <w:bCs/>
                <w:color w:val="000000"/>
                <w:sz w:val="18"/>
                <w:szCs w:val="18"/>
                <w:lang w:eastAsia="en-GB"/>
              </w:rPr>
            </w:pPr>
            <w:r w:rsidRPr="00C304AA">
              <w:rPr>
                <w:rFonts w:ascii="Calibri" w:eastAsia="Times New Roman" w:hAnsi="Calibri" w:cs="Calibri"/>
                <w:b/>
                <w:bCs/>
                <w:color w:val="000000"/>
                <w:sz w:val="18"/>
                <w:szCs w:val="18"/>
                <w:lang w:eastAsia="en-GB"/>
              </w:rPr>
              <w:t>A2 - I have sufficient access to patient information resources relating to malnutrition</w:t>
            </w:r>
          </w:p>
        </w:tc>
        <w:tc>
          <w:tcPr>
            <w:tcW w:w="1860" w:type="dxa"/>
            <w:tcBorders>
              <w:top w:val="nil"/>
              <w:left w:val="nil"/>
              <w:bottom w:val="nil"/>
              <w:right w:val="nil"/>
            </w:tcBorders>
            <w:shd w:val="clear" w:color="auto" w:fill="auto"/>
            <w:noWrap/>
            <w:vAlign w:val="bottom"/>
            <w:hideMark/>
          </w:tcPr>
          <w:p w14:paraId="6171E557" w14:textId="7ECBFBB7" w:rsidR="00447DF0" w:rsidRPr="00C304AA" w:rsidRDefault="00447DF0" w:rsidP="00447DF0">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Non-training participants (n=19)</w:t>
            </w:r>
          </w:p>
        </w:tc>
        <w:tc>
          <w:tcPr>
            <w:tcW w:w="1740" w:type="dxa"/>
            <w:tcBorders>
              <w:top w:val="single" w:sz="4" w:space="0" w:color="auto"/>
              <w:left w:val="nil"/>
              <w:bottom w:val="nil"/>
              <w:right w:val="nil"/>
            </w:tcBorders>
            <w:shd w:val="clear" w:color="auto" w:fill="auto"/>
            <w:noWrap/>
            <w:vAlign w:val="bottom"/>
            <w:hideMark/>
          </w:tcPr>
          <w:p w14:paraId="69783230"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0.47</w:t>
            </w:r>
          </w:p>
        </w:tc>
        <w:tc>
          <w:tcPr>
            <w:tcW w:w="2420" w:type="dxa"/>
            <w:tcBorders>
              <w:top w:val="single" w:sz="4" w:space="0" w:color="auto"/>
              <w:left w:val="nil"/>
              <w:bottom w:val="nil"/>
              <w:right w:val="nil"/>
            </w:tcBorders>
            <w:shd w:val="clear" w:color="auto" w:fill="auto"/>
            <w:noWrap/>
            <w:vAlign w:val="bottom"/>
            <w:hideMark/>
          </w:tcPr>
          <w:p w14:paraId="432A57BE"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0.47</w:t>
            </w:r>
          </w:p>
        </w:tc>
      </w:tr>
      <w:tr w:rsidR="00447DF0" w:rsidRPr="00C304AA" w14:paraId="7168333A" w14:textId="77777777" w:rsidTr="00A92EAE">
        <w:trPr>
          <w:trHeight w:val="300"/>
          <w:jc w:val="center"/>
        </w:trPr>
        <w:tc>
          <w:tcPr>
            <w:tcW w:w="4059" w:type="dxa"/>
            <w:vMerge/>
            <w:tcBorders>
              <w:top w:val="nil"/>
              <w:left w:val="nil"/>
              <w:bottom w:val="single" w:sz="4" w:space="0" w:color="000000"/>
              <w:right w:val="nil"/>
            </w:tcBorders>
            <w:vAlign w:val="center"/>
            <w:hideMark/>
          </w:tcPr>
          <w:p w14:paraId="04CD1254" w14:textId="77777777" w:rsidR="00447DF0" w:rsidRPr="00C304AA" w:rsidRDefault="00447DF0" w:rsidP="00447DF0">
            <w:pPr>
              <w:spacing w:after="0" w:line="240" w:lineRule="auto"/>
              <w:rPr>
                <w:rFonts w:ascii="Calibri" w:eastAsia="Times New Roman" w:hAnsi="Calibri" w:cs="Calibri"/>
                <w:b/>
                <w:bCs/>
                <w:color w:val="000000"/>
                <w:sz w:val="18"/>
                <w:szCs w:val="18"/>
                <w:lang w:eastAsia="en-GB"/>
              </w:rPr>
            </w:pPr>
          </w:p>
        </w:tc>
        <w:tc>
          <w:tcPr>
            <w:tcW w:w="1860" w:type="dxa"/>
            <w:tcBorders>
              <w:top w:val="single" w:sz="4" w:space="0" w:color="auto"/>
              <w:left w:val="nil"/>
              <w:bottom w:val="single" w:sz="4" w:space="0" w:color="auto"/>
              <w:right w:val="nil"/>
            </w:tcBorders>
            <w:shd w:val="clear" w:color="auto" w:fill="auto"/>
            <w:noWrap/>
            <w:vAlign w:val="bottom"/>
            <w:hideMark/>
          </w:tcPr>
          <w:p w14:paraId="4A44DB42" w14:textId="62139463" w:rsidR="00447DF0" w:rsidRPr="00C304AA" w:rsidRDefault="00447DF0" w:rsidP="00447DF0">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Training Participants (n=13)</w:t>
            </w:r>
          </w:p>
        </w:tc>
        <w:tc>
          <w:tcPr>
            <w:tcW w:w="1740" w:type="dxa"/>
            <w:tcBorders>
              <w:top w:val="single" w:sz="4" w:space="0" w:color="auto"/>
              <w:left w:val="nil"/>
              <w:bottom w:val="single" w:sz="4" w:space="0" w:color="auto"/>
              <w:right w:val="nil"/>
            </w:tcBorders>
            <w:shd w:val="clear" w:color="auto" w:fill="auto"/>
            <w:noWrap/>
            <w:vAlign w:val="bottom"/>
            <w:hideMark/>
          </w:tcPr>
          <w:p w14:paraId="4E9C5C66"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0.69</w:t>
            </w:r>
          </w:p>
        </w:tc>
        <w:tc>
          <w:tcPr>
            <w:tcW w:w="2420" w:type="dxa"/>
            <w:tcBorders>
              <w:top w:val="single" w:sz="4" w:space="0" w:color="auto"/>
              <w:left w:val="nil"/>
              <w:bottom w:val="single" w:sz="4" w:space="0" w:color="auto"/>
              <w:right w:val="nil"/>
            </w:tcBorders>
            <w:shd w:val="clear" w:color="auto" w:fill="auto"/>
            <w:noWrap/>
            <w:vAlign w:val="bottom"/>
            <w:hideMark/>
          </w:tcPr>
          <w:p w14:paraId="5F91A4B2"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0.31</w:t>
            </w:r>
          </w:p>
        </w:tc>
      </w:tr>
      <w:tr w:rsidR="00BD3606" w:rsidRPr="00C304AA" w14:paraId="66B3798E" w14:textId="77777777" w:rsidTr="00A92EAE">
        <w:trPr>
          <w:trHeight w:val="70"/>
          <w:jc w:val="center"/>
        </w:trPr>
        <w:tc>
          <w:tcPr>
            <w:tcW w:w="4059" w:type="dxa"/>
            <w:vMerge/>
            <w:tcBorders>
              <w:top w:val="nil"/>
              <w:left w:val="nil"/>
              <w:bottom w:val="single" w:sz="4" w:space="0" w:color="000000"/>
              <w:right w:val="nil"/>
            </w:tcBorders>
            <w:vAlign w:val="center"/>
            <w:hideMark/>
          </w:tcPr>
          <w:p w14:paraId="45822DDC" w14:textId="77777777" w:rsidR="00BD3606" w:rsidRPr="00C304AA" w:rsidRDefault="00BD3606" w:rsidP="00BD3606">
            <w:pPr>
              <w:spacing w:after="0" w:line="240" w:lineRule="auto"/>
              <w:rPr>
                <w:rFonts w:ascii="Calibri" w:eastAsia="Times New Roman" w:hAnsi="Calibri" w:cs="Calibri"/>
                <w:b/>
                <w:bCs/>
                <w:color w:val="000000"/>
                <w:sz w:val="18"/>
                <w:szCs w:val="18"/>
                <w:lang w:eastAsia="en-GB"/>
              </w:rPr>
            </w:pPr>
          </w:p>
        </w:tc>
        <w:tc>
          <w:tcPr>
            <w:tcW w:w="1860" w:type="dxa"/>
            <w:tcBorders>
              <w:top w:val="nil"/>
              <w:left w:val="nil"/>
              <w:bottom w:val="single" w:sz="4" w:space="0" w:color="auto"/>
              <w:right w:val="nil"/>
            </w:tcBorders>
            <w:shd w:val="clear" w:color="auto" w:fill="auto"/>
            <w:noWrap/>
            <w:vAlign w:val="bottom"/>
            <w:hideMark/>
          </w:tcPr>
          <w:p w14:paraId="2E261914" w14:textId="19D39F7F" w:rsidR="00BD3606" w:rsidRPr="00C304AA" w:rsidRDefault="00BD3606" w:rsidP="00BD3606">
            <w:pPr>
              <w:spacing w:after="0" w:line="240" w:lineRule="auto"/>
              <w:rPr>
                <w:rFonts w:ascii="Calibri" w:eastAsia="Times New Roman" w:hAnsi="Calibri" w:cs="Calibri"/>
                <w:b/>
                <w:bCs/>
                <w:color w:val="000000"/>
                <w:sz w:val="18"/>
                <w:szCs w:val="18"/>
                <w:lang w:eastAsia="en-GB"/>
              </w:rPr>
            </w:pPr>
            <w:r w:rsidRPr="00C304AA">
              <w:rPr>
                <w:rFonts w:ascii="Calibri" w:eastAsia="Times New Roman" w:hAnsi="Calibri" w:cs="Calibri"/>
                <w:b/>
                <w:bCs/>
                <w:color w:val="000000"/>
                <w:sz w:val="18"/>
                <w:szCs w:val="18"/>
                <w:lang w:eastAsia="en-GB"/>
              </w:rPr>
              <w:t>All</w:t>
            </w:r>
            <w:r>
              <w:rPr>
                <w:rFonts w:ascii="Calibri" w:eastAsia="Times New Roman" w:hAnsi="Calibri" w:cs="Calibri"/>
                <w:b/>
                <w:bCs/>
                <w:color w:val="000000"/>
                <w:sz w:val="18"/>
                <w:szCs w:val="18"/>
                <w:lang w:eastAsia="en-GB"/>
              </w:rPr>
              <w:t xml:space="preserve"> (n=32)</w:t>
            </w:r>
          </w:p>
        </w:tc>
        <w:tc>
          <w:tcPr>
            <w:tcW w:w="1740" w:type="dxa"/>
            <w:tcBorders>
              <w:top w:val="nil"/>
              <w:left w:val="nil"/>
              <w:bottom w:val="single" w:sz="4" w:space="0" w:color="auto"/>
              <w:right w:val="nil"/>
            </w:tcBorders>
            <w:shd w:val="clear" w:color="auto" w:fill="auto"/>
            <w:noWrap/>
            <w:vAlign w:val="bottom"/>
            <w:hideMark/>
          </w:tcPr>
          <w:p w14:paraId="069CEB09" w14:textId="77777777" w:rsidR="00BD3606" w:rsidRPr="00C304AA" w:rsidRDefault="00BD3606" w:rsidP="00BD3606">
            <w:pPr>
              <w:spacing w:after="0" w:line="240" w:lineRule="auto"/>
              <w:jc w:val="right"/>
              <w:rPr>
                <w:rFonts w:ascii="Calibri" w:eastAsia="Times New Roman" w:hAnsi="Calibri" w:cs="Calibri"/>
                <w:i/>
                <w:iCs/>
                <w:color w:val="000000"/>
                <w:sz w:val="18"/>
                <w:szCs w:val="18"/>
                <w:lang w:eastAsia="en-GB"/>
              </w:rPr>
            </w:pPr>
            <w:r w:rsidRPr="00C304AA">
              <w:rPr>
                <w:rFonts w:ascii="Calibri" w:eastAsia="Times New Roman" w:hAnsi="Calibri" w:cs="Calibri"/>
                <w:i/>
                <w:iCs/>
                <w:color w:val="000000"/>
                <w:sz w:val="18"/>
                <w:szCs w:val="18"/>
                <w:lang w:eastAsia="en-GB"/>
              </w:rPr>
              <w:t>0.56</w:t>
            </w:r>
          </w:p>
        </w:tc>
        <w:tc>
          <w:tcPr>
            <w:tcW w:w="2420" w:type="dxa"/>
            <w:tcBorders>
              <w:top w:val="nil"/>
              <w:left w:val="nil"/>
              <w:bottom w:val="single" w:sz="4" w:space="0" w:color="auto"/>
              <w:right w:val="nil"/>
            </w:tcBorders>
            <w:shd w:val="clear" w:color="auto" w:fill="auto"/>
            <w:noWrap/>
            <w:vAlign w:val="bottom"/>
            <w:hideMark/>
          </w:tcPr>
          <w:p w14:paraId="4CF178C8" w14:textId="77777777" w:rsidR="00BD3606" w:rsidRPr="00C304AA" w:rsidRDefault="00BD3606" w:rsidP="00BD3606">
            <w:pPr>
              <w:spacing w:after="0" w:line="240" w:lineRule="auto"/>
              <w:jc w:val="right"/>
              <w:rPr>
                <w:rFonts w:ascii="Calibri" w:eastAsia="Times New Roman" w:hAnsi="Calibri" w:cs="Calibri"/>
                <w:i/>
                <w:iCs/>
                <w:color w:val="000000"/>
                <w:sz w:val="18"/>
                <w:szCs w:val="18"/>
                <w:lang w:eastAsia="en-GB"/>
              </w:rPr>
            </w:pPr>
            <w:r w:rsidRPr="00C304AA">
              <w:rPr>
                <w:rFonts w:ascii="Calibri" w:eastAsia="Times New Roman" w:hAnsi="Calibri" w:cs="Calibri"/>
                <w:i/>
                <w:iCs/>
                <w:color w:val="000000"/>
                <w:sz w:val="18"/>
                <w:szCs w:val="18"/>
                <w:lang w:eastAsia="en-GB"/>
              </w:rPr>
              <w:t>0.41</w:t>
            </w:r>
          </w:p>
        </w:tc>
      </w:tr>
      <w:tr w:rsidR="00447DF0" w:rsidRPr="00C304AA" w14:paraId="2D4A38A5" w14:textId="77777777" w:rsidTr="00A92EAE">
        <w:trPr>
          <w:trHeight w:val="300"/>
          <w:jc w:val="center"/>
        </w:trPr>
        <w:tc>
          <w:tcPr>
            <w:tcW w:w="4059" w:type="dxa"/>
            <w:vMerge w:val="restart"/>
            <w:tcBorders>
              <w:top w:val="nil"/>
              <w:left w:val="nil"/>
              <w:bottom w:val="single" w:sz="4" w:space="0" w:color="000000"/>
              <w:right w:val="nil"/>
            </w:tcBorders>
            <w:shd w:val="clear" w:color="auto" w:fill="auto"/>
            <w:vAlign w:val="center"/>
            <w:hideMark/>
          </w:tcPr>
          <w:p w14:paraId="0E4B21D1" w14:textId="77777777" w:rsidR="00447DF0" w:rsidRPr="00C304AA" w:rsidRDefault="00447DF0" w:rsidP="00447DF0">
            <w:pPr>
              <w:spacing w:after="0" w:line="240" w:lineRule="auto"/>
              <w:jc w:val="center"/>
              <w:rPr>
                <w:rFonts w:ascii="Calibri" w:eastAsia="Times New Roman" w:hAnsi="Calibri" w:cs="Calibri"/>
                <w:b/>
                <w:bCs/>
                <w:color w:val="000000"/>
                <w:sz w:val="18"/>
                <w:szCs w:val="18"/>
                <w:lang w:eastAsia="en-GB"/>
              </w:rPr>
            </w:pPr>
            <w:r w:rsidRPr="00C304AA">
              <w:rPr>
                <w:rFonts w:ascii="Calibri" w:eastAsia="Times New Roman" w:hAnsi="Calibri" w:cs="Calibri"/>
                <w:b/>
                <w:bCs/>
                <w:color w:val="000000"/>
                <w:sz w:val="18"/>
                <w:szCs w:val="18"/>
                <w:lang w:eastAsia="en-GB"/>
              </w:rPr>
              <w:t>A3 - Patient information resources relating to malnutrition are useful and effective</w:t>
            </w:r>
          </w:p>
        </w:tc>
        <w:tc>
          <w:tcPr>
            <w:tcW w:w="1860" w:type="dxa"/>
            <w:tcBorders>
              <w:top w:val="nil"/>
              <w:left w:val="nil"/>
              <w:bottom w:val="nil"/>
              <w:right w:val="nil"/>
            </w:tcBorders>
            <w:shd w:val="clear" w:color="auto" w:fill="auto"/>
            <w:noWrap/>
            <w:vAlign w:val="bottom"/>
            <w:hideMark/>
          </w:tcPr>
          <w:p w14:paraId="735D119C" w14:textId="2DBFEA75" w:rsidR="00447DF0" w:rsidRPr="00C304AA" w:rsidRDefault="00447DF0" w:rsidP="00447DF0">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Non-training participants (n=19)</w:t>
            </w:r>
          </w:p>
        </w:tc>
        <w:tc>
          <w:tcPr>
            <w:tcW w:w="1740" w:type="dxa"/>
            <w:tcBorders>
              <w:top w:val="single" w:sz="4" w:space="0" w:color="auto"/>
              <w:left w:val="nil"/>
              <w:bottom w:val="nil"/>
              <w:right w:val="nil"/>
            </w:tcBorders>
            <w:shd w:val="clear" w:color="auto" w:fill="auto"/>
            <w:noWrap/>
            <w:vAlign w:val="bottom"/>
            <w:hideMark/>
          </w:tcPr>
          <w:p w14:paraId="547980D6"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0.32</w:t>
            </w:r>
          </w:p>
        </w:tc>
        <w:tc>
          <w:tcPr>
            <w:tcW w:w="2420" w:type="dxa"/>
            <w:tcBorders>
              <w:top w:val="single" w:sz="4" w:space="0" w:color="auto"/>
              <w:left w:val="nil"/>
              <w:bottom w:val="nil"/>
              <w:right w:val="nil"/>
            </w:tcBorders>
            <w:shd w:val="clear" w:color="auto" w:fill="auto"/>
            <w:noWrap/>
            <w:vAlign w:val="bottom"/>
            <w:hideMark/>
          </w:tcPr>
          <w:p w14:paraId="545072A0"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0.63</w:t>
            </w:r>
          </w:p>
        </w:tc>
      </w:tr>
      <w:tr w:rsidR="00447DF0" w:rsidRPr="00C304AA" w14:paraId="111E2852" w14:textId="77777777" w:rsidTr="00A92EAE">
        <w:trPr>
          <w:trHeight w:val="300"/>
          <w:jc w:val="center"/>
        </w:trPr>
        <w:tc>
          <w:tcPr>
            <w:tcW w:w="4059" w:type="dxa"/>
            <w:vMerge/>
            <w:tcBorders>
              <w:top w:val="nil"/>
              <w:left w:val="nil"/>
              <w:bottom w:val="single" w:sz="4" w:space="0" w:color="000000"/>
              <w:right w:val="nil"/>
            </w:tcBorders>
            <w:vAlign w:val="center"/>
            <w:hideMark/>
          </w:tcPr>
          <w:p w14:paraId="136BE796" w14:textId="77777777" w:rsidR="00447DF0" w:rsidRPr="00C304AA" w:rsidRDefault="00447DF0" w:rsidP="00447DF0">
            <w:pPr>
              <w:spacing w:after="0" w:line="240" w:lineRule="auto"/>
              <w:rPr>
                <w:rFonts w:ascii="Calibri" w:eastAsia="Times New Roman" w:hAnsi="Calibri" w:cs="Calibri"/>
                <w:b/>
                <w:bCs/>
                <w:color w:val="000000"/>
                <w:sz w:val="18"/>
                <w:szCs w:val="18"/>
                <w:lang w:eastAsia="en-GB"/>
              </w:rPr>
            </w:pPr>
          </w:p>
        </w:tc>
        <w:tc>
          <w:tcPr>
            <w:tcW w:w="1860" w:type="dxa"/>
            <w:tcBorders>
              <w:top w:val="single" w:sz="4" w:space="0" w:color="auto"/>
              <w:left w:val="nil"/>
              <w:bottom w:val="single" w:sz="4" w:space="0" w:color="auto"/>
              <w:right w:val="nil"/>
            </w:tcBorders>
            <w:shd w:val="clear" w:color="auto" w:fill="auto"/>
            <w:noWrap/>
            <w:vAlign w:val="bottom"/>
            <w:hideMark/>
          </w:tcPr>
          <w:p w14:paraId="2DA03092" w14:textId="2634F744" w:rsidR="00447DF0" w:rsidRPr="00C304AA" w:rsidRDefault="00447DF0" w:rsidP="00447DF0">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Training Participants (n=13)</w:t>
            </w:r>
          </w:p>
        </w:tc>
        <w:tc>
          <w:tcPr>
            <w:tcW w:w="1740" w:type="dxa"/>
            <w:tcBorders>
              <w:top w:val="single" w:sz="4" w:space="0" w:color="auto"/>
              <w:left w:val="nil"/>
              <w:bottom w:val="single" w:sz="4" w:space="0" w:color="auto"/>
              <w:right w:val="nil"/>
            </w:tcBorders>
            <w:shd w:val="clear" w:color="auto" w:fill="auto"/>
            <w:noWrap/>
            <w:vAlign w:val="bottom"/>
            <w:hideMark/>
          </w:tcPr>
          <w:p w14:paraId="75742B06"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0.69</w:t>
            </w:r>
          </w:p>
        </w:tc>
        <w:tc>
          <w:tcPr>
            <w:tcW w:w="2420" w:type="dxa"/>
            <w:tcBorders>
              <w:top w:val="single" w:sz="4" w:space="0" w:color="auto"/>
              <w:left w:val="nil"/>
              <w:bottom w:val="single" w:sz="4" w:space="0" w:color="auto"/>
              <w:right w:val="nil"/>
            </w:tcBorders>
            <w:shd w:val="clear" w:color="auto" w:fill="auto"/>
            <w:noWrap/>
            <w:vAlign w:val="bottom"/>
            <w:hideMark/>
          </w:tcPr>
          <w:p w14:paraId="04A38B28"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0.31</w:t>
            </w:r>
          </w:p>
        </w:tc>
      </w:tr>
      <w:tr w:rsidR="00BD3606" w:rsidRPr="00C304AA" w14:paraId="65527AB5" w14:textId="77777777" w:rsidTr="00A92EAE">
        <w:trPr>
          <w:trHeight w:val="70"/>
          <w:jc w:val="center"/>
        </w:trPr>
        <w:tc>
          <w:tcPr>
            <w:tcW w:w="4059" w:type="dxa"/>
            <w:vMerge/>
            <w:tcBorders>
              <w:top w:val="nil"/>
              <w:left w:val="nil"/>
              <w:bottom w:val="single" w:sz="4" w:space="0" w:color="000000"/>
              <w:right w:val="nil"/>
            </w:tcBorders>
            <w:vAlign w:val="center"/>
            <w:hideMark/>
          </w:tcPr>
          <w:p w14:paraId="4CFD7A66" w14:textId="77777777" w:rsidR="00BD3606" w:rsidRPr="00C304AA" w:rsidRDefault="00BD3606" w:rsidP="00BD3606">
            <w:pPr>
              <w:spacing w:after="0" w:line="240" w:lineRule="auto"/>
              <w:rPr>
                <w:rFonts w:ascii="Calibri" w:eastAsia="Times New Roman" w:hAnsi="Calibri" w:cs="Calibri"/>
                <w:b/>
                <w:bCs/>
                <w:color w:val="000000"/>
                <w:sz w:val="18"/>
                <w:szCs w:val="18"/>
                <w:lang w:eastAsia="en-GB"/>
              </w:rPr>
            </w:pPr>
          </w:p>
        </w:tc>
        <w:tc>
          <w:tcPr>
            <w:tcW w:w="1860" w:type="dxa"/>
            <w:tcBorders>
              <w:top w:val="nil"/>
              <w:left w:val="nil"/>
              <w:bottom w:val="single" w:sz="4" w:space="0" w:color="auto"/>
              <w:right w:val="nil"/>
            </w:tcBorders>
            <w:shd w:val="clear" w:color="auto" w:fill="auto"/>
            <w:noWrap/>
            <w:vAlign w:val="bottom"/>
            <w:hideMark/>
          </w:tcPr>
          <w:p w14:paraId="334D8621" w14:textId="74DC963B" w:rsidR="00BD3606" w:rsidRPr="00C304AA" w:rsidRDefault="00BD3606" w:rsidP="00BD3606">
            <w:pPr>
              <w:spacing w:after="0" w:line="240" w:lineRule="auto"/>
              <w:rPr>
                <w:rFonts w:ascii="Calibri" w:eastAsia="Times New Roman" w:hAnsi="Calibri" w:cs="Calibri"/>
                <w:b/>
                <w:bCs/>
                <w:color w:val="000000"/>
                <w:sz w:val="18"/>
                <w:szCs w:val="18"/>
                <w:lang w:eastAsia="en-GB"/>
              </w:rPr>
            </w:pPr>
            <w:r w:rsidRPr="00C304AA">
              <w:rPr>
                <w:rFonts w:ascii="Calibri" w:eastAsia="Times New Roman" w:hAnsi="Calibri" w:cs="Calibri"/>
                <w:b/>
                <w:bCs/>
                <w:color w:val="000000"/>
                <w:sz w:val="18"/>
                <w:szCs w:val="18"/>
                <w:lang w:eastAsia="en-GB"/>
              </w:rPr>
              <w:t>All</w:t>
            </w:r>
            <w:r>
              <w:rPr>
                <w:rFonts w:ascii="Calibri" w:eastAsia="Times New Roman" w:hAnsi="Calibri" w:cs="Calibri"/>
                <w:b/>
                <w:bCs/>
                <w:color w:val="000000"/>
                <w:sz w:val="18"/>
                <w:szCs w:val="18"/>
                <w:lang w:eastAsia="en-GB"/>
              </w:rPr>
              <w:t xml:space="preserve"> (n=32)</w:t>
            </w:r>
          </w:p>
        </w:tc>
        <w:tc>
          <w:tcPr>
            <w:tcW w:w="1740" w:type="dxa"/>
            <w:tcBorders>
              <w:top w:val="nil"/>
              <w:left w:val="nil"/>
              <w:bottom w:val="single" w:sz="4" w:space="0" w:color="auto"/>
              <w:right w:val="nil"/>
            </w:tcBorders>
            <w:shd w:val="clear" w:color="auto" w:fill="auto"/>
            <w:noWrap/>
            <w:vAlign w:val="bottom"/>
            <w:hideMark/>
          </w:tcPr>
          <w:p w14:paraId="401F691E" w14:textId="77777777" w:rsidR="00BD3606" w:rsidRPr="00C304AA" w:rsidRDefault="00BD3606" w:rsidP="00BD3606">
            <w:pPr>
              <w:spacing w:after="0" w:line="240" w:lineRule="auto"/>
              <w:jc w:val="right"/>
              <w:rPr>
                <w:rFonts w:ascii="Calibri" w:eastAsia="Times New Roman" w:hAnsi="Calibri" w:cs="Calibri"/>
                <w:i/>
                <w:iCs/>
                <w:color w:val="000000"/>
                <w:sz w:val="18"/>
                <w:szCs w:val="18"/>
                <w:lang w:eastAsia="en-GB"/>
              </w:rPr>
            </w:pPr>
            <w:r w:rsidRPr="00C304AA">
              <w:rPr>
                <w:rFonts w:ascii="Calibri" w:eastAsia="Times New Roman" w:hAnsi="Calibri" w:cs="Calibri"/>
                <w:i/>
                <w:iCs/>
                <w:color w:val="000000"/>
                <w:sz w:val="18"/>
                <w:szCs w:val="18"/>
                <w:lang w:eastAsia="en-GB"/>
              </w:rPr>
              <w:t>0.47</w:t>
            </w:r>
          </w:p>
        </w:tc>
        <w:tc>
          <w:tcPr>
            <w:tcW w:w="2420" w:type="dxa"/>
            <w:tcBorders>
              <w:top w:val="nil"/>
              <w:left w:val="nil"/>
              <w:bottom w:val="single" w:sz="4" w:space="0" w:color="auto"/>
              <w:right w:val="nil"/>
            </w:tcBorders>
            <w:shd w:val="clear" w:color="auto" w:fill="auto"/>
            <w:noWrap/>
            <w:vAlign w:val="bottom"/>
            <w:hideMark/>
          </w:tcPr>
          <w:p w14:paraId="10108888" w14:textId="77777777" w:rsidR="00BD3606" w:rsidRPr="00C304AA" w:rsidRDefault="00BD3606" w:rsidP="00BD3606">
            <w:pPr>
              <w:spacing w:after="0" w:line="240" w:lineRule="auto"/>
              <w:jc w:val="right"/>
              <w:rPr>
                <w:rFonts w:ascii="Calibri" w:eastAsia="Times New Roman" w:hAnsi="Calibri" w:cs="Calibri"/>
                <w:i/>
                <w:iCs/>
                <w:color w:val="000000"/>
                <w:sz w:val="18"/>
                <w:szCs w:val="18"/>
                <w:lang w:eastAsia="en-GB"/>
              </w:rPr>
            </w:pPr>
            <w:r w:rsidRPr="00C304AA">
              <w:rPr>
                <w:rFonts w:ascii="Calibri" w:eastAsia="Times New Roman" w:hAnsi="Calibri" w:cs="Calibri"/>
                <w:i/>
                <w:iCs/>
                <w:color w:val="000000"/>
                <w:sz w:val="18"/>
                <w:szCs w:val="18"/>
                <w:lang w:eastAsia="en-GB"/>
              </w:rPr>
              <w:t>0.50</w:t>
            </w:r>
          </w:p>
        </w:tc>
      </w:tr>
      <w:tr w:rsidR="00447DF0" w:rsidRPr="00C304AA" w14:paraId="4E75F5F2" w14:textId="77777777" w:rsidTr="00A92EAE">
        <w:trPr>
          <w:trHeight w:val="300"/>
          <w:jc w:val="center"/>
        </w:trPr>
        <w:tc>
          <w:tcPr>
            <w:tcW w:w="4059" w:type="dxa"/>
            <w:vMerge w:val="restart"/>
            <w:tcBorders>
              <w:top w:val="nil"/>
              <w:left w:val="nil"/>
              <w:bottom w:val="single" w:sz="4" w:space="0" w:color="000000"/>
              <w:right w:val="nil"/>
            </w:tcBorders>
            <w:shd w:val="clear" w:color="auto" w:fill="auto"/>
            <w:vAlign w:val="center"/>
            <w:hideMark/>
          </w:tcPr>
          <w:p w14:paraId="283A5F87" w14:textId="77777777" w:rsidR="00447DF0" w:rsidRPr="00C304AA" w:rsidRDefault="00447DF0" w:rsidP="00447DF0">
            <w:pPr>
              <w:spacing w:after="0" w:line="240" w:lineRule="auto"/>
              <w:jc w:val="center"/>
              <w:rPr>
                <w:rFonts w:ascii="Calibri" w:eastAsia="Times New Roman" w:hAnsi="Calibri" w:cs="Calibri"/>
                <w:b/>
                <w:bCs/>
                <w:color w:val="000000"/>
                <w:sz w:val="18"/>
                <w:szCs w:val="18"/>
                <w:lang w:eastAsia="en-GB"/>
              </w:rPr>
            </w:pPr>
            <w:r w:rsidRPr="00C304AA">
              <w:rPr>
                <w:rFonts w:ascii="Calibri" w:eastAsia="Times New Roman" w:hAnsi="Calibri" w:cs="Calibri"/>
                <w:b/>
                <w:bCs/>
                <w:color w:val="000000"/>
                <w:sz w:val="18"/>
                <w:szCs w:val="18"/>
                <w:lang w:eastAsia="en-GB"/>
              </w:rPr>
              <w:t>A4 - My team has access to a dietician if a patient requires it</w:t>
            </w:r>
          </w:p>
        </w:tc>
        <w:tc>
          <w:tcPr>
            <w:tcW w:w="1860" w:type="dxa"/>
            <w:tcBorders>
              <w:top w:val="nil"/>
              <w:left w:val="nil"/>
              <w:bottom w:val="nil"/>
              <w:right w:val="nil"/>
            </w:tcBorders>
            <w:shd w:val="clear" w:color="auto" w:fill="auto"/>
            <w:noWrap/>
            <w:vAlign w:val="bottom"/>
            <w:hideMark/>
          </w:tcPr>
          <w:p w14:paraId="626F757D" w14:textId="205DA92F" w:rsidR="00447DF0" w:rsidRPr="00C304AA" w:rsidRDefault="00447DF0" w:rsidP="00447DF0">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Non-training participants (n=19)</w:t>
            </w:r>
          </w:p>
        </w:tc>
        <w:tc>
          <w:tcPr>
            <w:tcW w:w="1740" w:type="dxa"/>
            <w:tcBorders>
              <w:top w:val="single" w:sz="4" w:space="0" w:color="auto"/>
              <w:left w:val="nil"/>
              <w:bottom w:val="nil"/>
              <w:right w:val="nil"/>
            </w:tcBorders>
            <w:shd w:val="clear" w:color="auto" w:fill="auto"/>
            <w:noWrap/>
            <w:vAlign w:val="bottom"/>
            <w:hideMark/>
          </w:tcPr>
          <w:p w14:paraId="68FB2622"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0.32</w:t>
            </w:r>
          </w:p>
        </w:tc>
        <w:tc>
          <w:tcPr>
            <w:tcW w:w="2420" w:type="dxa"/>
            <w:tcBorders>
              <w:top w:val="single" w:sz="4" w:space="0" w:color="auto"/>
              <w:left w:val="nil"/>
              <w:bottom w:val="nil"/>
              <w:right w:val="nil"/>
            </w:tcBorders>
            <w:shd w:val="clear" w:color="auto" w:fill="auto"/>
            <w:noWrap/>
            <w:vAlign w:val="bottom"/>
            <w:hideMark/>
          </w:tcPr>
          <w:p w14:paraId="05F2CB82"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0.63</w:t>
            </w:r>
          </w:p>
        </w:tc>
      </w:tr>
      <w:tr w:rsidR="00447DF0" w:rsidRPr="00C304AA" w14:paraId="7B61F45A" w14:textId="77777777" w:rsidTr="00A92EAE">
        <w:trPr>
          <w:trHeight w:val="300"/>
          <w:jc w:val="center"/>
        </w:trPr>
        <w:tc>
          <w:tcPr>
            <w:tcW w:w="4059" w:type="dxa"/>
            <w:vMerge/>
            <w:tcBorders>
              <w:top w:val="nil"/>
              <w:left w:val="nil"/>
              <w:bottom w:val="single" w:sz="4" w:space="0" w:color="000000"/>
              <w:right w:val="nil"/>
            </w:tcBorders>
            <w:vAlign w:val="center"/>
            <w:hideMark/>
          </w:tcPr>
          <w:p w14:paraId="1E6915D7" w14:textId="77777777" w:rsidR="00447DF0" w:rsidRPr="00C304AA" w:rsidRDefault="00447DF0" w:rsidP="00447DF0">
            <w:pPr>
              <w:spacing w:after="0" w:line="240" w:lineRule="auto"/>
              <w:rPr>
                <w:rFonts w:ascii="Calibri" w:eastAsia="Times New Roman" w:hAnsi="Calibri" w:cs="Calibri"/>
                <w:b/>
                <w:bCs/>
                <w:color w:val="000000"/>
                <w:sz w:val="18"/>
                <w:szCs w:val="18"/>
                <w:lang w:eastAsia="en-GB"/>
              </w:rPr>
            </w:pPr>
          </w:p>
        </w:tc>
        <w:tc>
          <w:tcPr>
            <w:tcW w:w="1860" w:type="dxa"/>
            <w:tcBorders>
              <w:top w:val="single" w:sz="4" w:space="0" w:color="auto"/>
              <w:left w:val="nil"/>
              <w:bottom w:val="single" w:sz="4" w:space="0" w:color="auto"/>
              <w:right w:val="nil"/>
            </w:tcBorders>
            <w:shd w:val="clear" w:color="auto" w:fill="auto"/>
            <w:noWrap/>
            <w:vAlign w:val="bottom"/>
            <w:hideMark/>
          </w:tcPr>
          <w:p w14:paraId="4077932D" w14:textId="09BEBCA2" w:rsidR="00447DF0" w:rsidRPr="00C304AA" w:rsidRDefault="00447DF0" w:rsidP="00447DF0">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Training Participants (n=13)</w:t>
            </w:r>
          </w:p>
        </w:tc>
        <w:tc>
          <w:tcPr>
            <w:tcW w:w="1740" w:type="dxa"/>
            <w:tcBorders>
              <w:top w:val="single" w:sz="4" w:space="0" w:color="auto"/>
              <w:left w:val="nil"/>
              <w:bottom w:val="single" w:sz="4" w:space="0" w:color="auto"/>
              <w:right w:val="nil"/>
            </w:tcBorders>
            <w:shd w:val="clear" w:color="auto" w:fill="auto"/>
            <w:noWrap/>
            <w:vAlign w:val="bottom"/>
            <w:hideMark/>
          </w:tcPr>
          <w:p w14:paraId="4655F66C"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0.38</w:t>
            </w:r>
          </w:p>
        </w:tc>
        <w:tc>
          <w:tcPr>
            <w:tcW w:w="2420" w:type="dxa"/>
            <w:tcBorders>
              <w:top w:val="single" w:sz="4" w:space="0" w:color="auto"/>
              <w:left w:val="nil"/>
              <w:bottom w:val="single" w:sz="4" w:space="0" w:color="auto"/>
              <w:right w:val="nil"/>
            </w:tcBorders>
            <w:shd w:val="clear" w:color="auto" w:fill="auto"/>
            <w:noWrap/>
            <w:vAlign w:val="bottom"/>
            <w:hideMark/>
          </w:tcPr>
          <w:p w14:paraId="6ADB553D"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0.54</w:t>
            </w:r>
          </w:p>
        </w:tc>
      </w:tr>
      <w:tr w:rsidR="00BD3606" w:rsidRPr="00C304AA" w14:paraId="14269E70" w14:textId="77777777" w:rsidTr="00A92EAE">
        <w:trPr>
          <w:trHeight w:val="300"/>
          <w:jc w:val="center"/>
        </w:trPr>
        <w:tc>
          <w:tcPr>
            <w:tcW w:w="4059" w:type="dxa"/>
            <w:vMerge/>
            <w:tcBorders>
              <w:top w:val="nil"/>
              <w:left w:val="nil"/>
              <w:bottom w:val="single" w:sz="4" w:space="0" w:color="000000"/>
              <w:right w:val="nil"/>
            </w:tcBorders>
            <w:vAlign w:val="center"/>
            <w:hideMark/>
          </w:tcPr>
          <w:p w14:paraId="77E80FD0" w14:textId="77777777" w:rsidR="00BD3606" w:rsidRPr="00C304AA" w:rsidRDefault="00BD3606" w:rsidP="00BD3606">
            <w:pPr>
              <w:spacing w:after="0" w:line="240" w:lineRule="auto"/>
              <w:rPr>
                <w:rFonts w:ascii="Calibri" w:eastAsia="Times New Roman" w:hAnsi="Calibri" w:cs="Calibri"/>
                <w:b/>
                <w:bCs/>
                <w:color w:val="000000"/>
                <w:sz w:val="18"/>
                <w:szCs w:val="18"/>
                <w:lang w:eastAsia="en-GB"/>
              </w:rPr>
            </w:pPr>
          </w:p>
        </w:tc>
        <w:tc>
          <w:tcPr>
            <w:tcW w:w="1860" w:type="dxa"/>
            <w:tcBorders>
              <w:top w:val="nil"/>
              <w:left w:val="nil"/>
              <w:bottom w:val="single" w:sz="4" w:space="0" w:color="auto"/>
              <w:right w:val="nil"/>
            </w:tcBorders>
            <w:shd w:val="clear" w:color="auto" w:fill="auto"/>
            <w:noWrap/>
            <w:vAlign w:val="bottom"/>
            <w:hideMark/>
          </w:tcPr>
          <w:p w14:paraId="1CB386CA" w14:textId="05841121" w:rsidR="00BD3606" w:rsidRPr="00C304AA" w:rsidRDefault="00BD3606" w:rsidP="00BD3606">
            <w:pPr>
              <w:spacing w:after="0" w:line="240" w:lineRule="auto"/>
              <w:rPr>
                <w:rFonts w:ascii="Calibri" w:eastAsia="Times New Roman" w:hAnsi="Calibri" w:cs="Calibri"/>
                <w:b/>
                <w:bCs/>
                <w:color w:val="000000"/>
                <w:sz w:val="18"/>
                <w:szCs w:val="18"/>
                <w:lang w:eastAsia="en-GB"/>
              </w:rPr>
            </w:pPr>
            <w:r w:rsidRPr="00C304AA">
              <w:rPr>
                <w:rFonts w:ascii="Calibri" w:eastAsia="Times New Roman" w:hAnsi="Calibri" w:cs="Calibri"/>
                <w:b/>
                <w:bCs/>
                <w:color w:val="000000"/>
                <w:sz w:val="18"/>
                <w:szCs w:val="18"/>
                <w:lang w:eastAsia="en-GB"/>
              </w:rPr>
              <w:t>All</w:t>
            </w:r>
            <w:r>
              <w:rPr>
                <w:rFonts w:ascii="Calibri" w:eastAsia="Times New Roman" w:hAnsi="Calibri" w:cs="Calibri"/>
                <w:b/>
                <w:bCs/>
                <w:color w:val="000000"/>
                <w:sz w:val="18"/>
                <w:szCs w:val="18"/>
                <w:lang w:eastAsia="en-GB"/>
              </w:rPr>
              <w:t xml:space="preserve"> (n=32)</w:t>
            </w:r>
          </w:p>
        </w:tc>
        <w:tc>
          <w:tcPr>
            <w:tcW w:w="1740" w:type="dxa"/>
            <w:tcBorders>
              <w:top w:val="nil"/>
              <w:left w:val="nil"/>
              <w:bottom w:val="single" w:sz="4" w:space="0" w:color="auto"/>
              <w:right w:val="nil"/>
            </w:tcBorders>
            <w:shd w:val="clear" w:color="auto" w:fill="auto"/>
            <w:noWrap/>
            <w:vAlign w:val="bottom"/>
            <w:hideMark/>
          </w:tcPr>
          <w:p w14:paraId="2E46C056" w14:textId="77777777" w:rsidR="00BD3606" w:rsidRPr="00C304AA" w:rsidRDefault="00BD3606" w:rsidP="00BD3606">
            <w:pPr>
              <w:spacing w:after="0" w:line="240" w:lineRule="auto"/>
              <w:jc w:val="right"/>
              <w:rPr>
                <w:rFonts w:ascii="Calibri" w:eastAsia="Times New Roman" w:hAnsi="Calibri" w:cs="Calibri"/>
                <w:i/>
                <w:iCs/>
                <w:color w:val="000000"/>
                <w:sz w:val="18"/>
                <w:szCs w:val="18"/>
                <w:lang w:eastAsia="en-GB"/>
              </w:rPr>
            </w:pPr>
            <w:r w:rsidRPr="00C304AA">
              <w:rPr>
                <w:rFonts w:ascii="Calibri" w:eastAsia="Times New Roman" w:hAnsi="Calibri" w:cs="Calibri"/>
                <w:i/>
                <w:iCs/>
                <w:color w:val="000000"/>
                <w:sz w:val="18"/>
                <w:szCs w:val="18"/>
                <w:lang w:eastAsia="en-GB"/>
              </w:rPr>
              <w:t>0.34</w:t>
            </w:r>
          </w:p>
        </w:tc>
        <w:tc>
          <w:tcPr>
            <w:tcW w:w="2420" w:type="dxa"/>
            <w:tcBorders>
              <w:top w:val="nil"/>
              <w:left w:val="nil"/>
              <w:bottom w:val="single" w:sz="4" w:space="0" w:color="auto"/>
              <w:right w:val="nil"/>
            </w:tcBorders>
            <w:shd w:val="clear" w:color="auto" w:fill="auto"/>
            <w:noWrap/>
            <w:vAlign w:val="bottom"/>
            <w:hideMark/>
          </w:tcPr>
          <w:p w14:paraId="6B4D6B9F" w14:textId="77777777" w:rsidR="00BD3606" w:rsidRPr="00C304AA" w:rsidRDefault="00BD3606" w:rsidP="00BD3606">
            <w:pPr>
              <w:spacing w:after="0" w:line="240" w:lineRule="auto"/>
              <w:jc w:val="right"/>
              <w:rPr>
                <w:rFonts w:ascii="Calibri" w:eastAsia="Times New Roman" w:hAnsi="Calibri" w:cs="Calibri"/>
                <w:i/>
                <w:iCs/>
                <w:color w:val="000000"/>
                <w:sz w:val="18"/>
                <w:szCs w:val="18"/>
                <w:lang w:eastAsia="en-GB"/>
              </w:rPr>
            </w:pPr>
            <w:r w:rsidRPr="00C304AA">
              <w:rPr>
                <w:rFonts w:ascii="Calibri" w:eastAsia="Times New Roman" w:hAnsi="Calibri" w:cs="Calibri"/>
                <w:i/>
                <w:iCs/>
                <w:color w:val="000000"/>
                <w:sz w:val="18"/>
                <w:szCs w:val="18"/>
                <w:lang w:eastAsia="en-GB"/>
              </w:rPr>
              <w:t>0.59</w:t>
            </w:r>
          </w:p>
        </w:tc>
      </w:tr>
      <w:tr w:rsidR="00447DF0" w:rsidRPr="00C304AA" w14:paraId="54AC42D3" w14:textId="77777777" w:rsidTr="00A92EAE">
        <w:trPr>
          <w:trHeight w:val="121"/>
          <w:jc w:val="center"/>
        </w:trPr>
        <w:tc>
          <w:tcPr>
            <w:tcW w:w="4059" w:type="dxa"/>
            <w:vMerge w:val="restart"/>
            <w:tcBorders>
              <w:top w:val="nil"/>
              <w:left w:val="nil"/>
              <w:bottom w:val="single" w:sz="4" w:space="0" w:color="000000"/>
              <w:right w:val="nil"/>
            </w:tcBorders>
            <w:shd w:val="clear" w:color="auto" w:fill="auto"/>
            <w:vAlign w:val="center"/>
            <w:hideMark/>
          </w:tcPr>
          <w:p w14:paraId="2898E2EA" w14:textId="77777777" w:rsidR="00447DF0" w:rsidRPr="00C304AA" w:rsidRDefault="00447DF0" w:rsidP="00447DF0">
            <w:pPr>
              <w:spacing w:after="0" w:line="240" w:lineRule="auto"/>
              <w:jc w:val="center"/>
              <w:rPr>
                <w:rFonts w:ascii="Calibri" w:eastAsia="Times New Roman" w:hAnsi="Calibri" w:cs="Calibri"/>
                <w:b/>
                <w:bCs/>
                <w:color w:val="000000"/>
                <w:sz w:val="18"/>
                <w:szCs w:val="18"/>
                <w:lang w:eastAsia="en-GB"/>
              </w:rPr>
            </w:pPr>
            <w:r w:rsidRPr="00C304AA">
              <w:rPr>
                <w:rFonts w:ascii="Calibri" w:eastAsia="Times New Roman" w:hAnsi="Calibri" w:cs="Calibri"/>
                <w:b/>
                <w:bCs/>
                <w:color w:val="000000"/>
                <w:sz w:val="18"/>
                <w:szCs w:val="18"/>
                <w:lang w:eastAsia="en-GB"/>
              </w:rPr>
              <w:t>A5 - I know the procedure for referring a patient to a dietician if required</w:t>
            </w:r>
          </w:p>
        </w:tc>
        <w:tc>
          <w:tcPr>
            <w:tcW w:w="1860" w:type="dxa"/>
            <w:tcBorders>
              <w:top w:val="nil"/>
              <w:left w:val="nil"/>
              <w:bottom w:val="nil"/>
              <w:right w:val="nil"/>
            </w:tcBorders>
            <w:shd w:val="clear" w:color="auto" w:fill="auto"/>
            <w:noWrap/>
            <w:vAlign w:val="bottom"/>
            <w:hideMark/>
          </w:tcPr>
          <w:p w14:paraId="0C45F5A4" w14:textId="4CCBAA9E" w:rsidR="00447DF0" w:rsidRPr="00C304AA" w:rsidRDefault="00447DF0" w:rsidP="00447DF0">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Non-training participants (n=19)</w:t>
            </w:r>
          </w:p>
        </w:tc>
        <w:tc>
          <w:tcPr>
            <w:tcW w:w="1740" w:type="dxa"/>
            <w:tcBorders>
              <w:top w:val="single" w:sz="4" w:space="0" w:color="auto"/>
              <w:left w:val="nil"/>
              <w:bottom w:val="nil"/>
              <w:right w:val="nil"/>
            </w:tcBorders>
            <w:shd w:val="clear" w:color="auto" w:fill="auto"/>
            <w:noWrap/>
            <w:vAlign w:val="bottom"/>
            <w:hideMark/>
          </w:tcPr>
          <w:p w14:paraId="72ED44C1"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0.42</w:t>
            </w:r>
          </w:p>
        </w:tc>
        <w:tc>
          <w:tcPr>
            <w:tcW w:w="2420" w:type="dxa"/>
            <w:tcBorders>
              <w:top w:val="single" w:sz="4" w:space="0" w:color="auto"/>
              <w:left w:val="nil"/>
              <w:bottom w:val="nil"/>
              <w:right w:val="nil"/>
            </w:tcBorders>
            <w:shd w:val="clear" w:color="auto" w:fill="auto"/>
            <w:noWrap/>
            <w:vAlign w:val="bottom"/>
            <w:hideMark/>
          </w:tcPr>
          <w:p w14:paraId="13739874"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0.53</w:t>
            </w:r>
          </w:p>
        </w:tc>
      </w:tr>
      <w:tr w:rsidR="00447DF0" w:rsidRPr="00C304AA" w14:paraId="5E077F83" w14:textId="77777777" w:rsidTr="00A92EAE">
        <w:trPr>
          <w:trHeight w:val="181"/>
          <w:jc w:val="center"/>
        </w:trPr>
        <w:tc>
          <w:tcPr>
            <w:tcW w:w="4059" w:type="dxa"/>
            <w:vMerge/>
            <w:tcBorders>
              <w:top w:val="nil"/>
              <w:left w:val="nil"/>
              <w:bottom w:val="single" w:sz="4" w:space="0" w:color="000000"/>
              <w:right w:val="nil"/>
            </w:tcBorders>
            <w:vAlign w:val="center"/>
            <w:hideMark/>
          </w:tcPr>
          <w:p w14:paraId="6F8C8AB1" w14:textId="77777777" w:rsidR="00447DF0" w:rsidRPr="00C304AA" w:rsidRDefault="00447DF0" w:rsidP="00447DF0">
            <w:pPr>
              <w:spacing w:after="0" w:line="240" w:lineRule="auto"/>
              <w:rPr>
                <w:rFonts w:ascii="Calibri" w:eastAsia="Times New Roman" w:hAnsi="Calibri" w:cs="Calibri"/>
                <w:b/>
                <w:bCs/>
                <w:color w:val="000000"/>
                <w:sz w:val="18"/>
                <w:szCs w:val="18"/>
                <w:lang w:eastAsia="en-GB"/>
              </w:rPr>
            </w:pPr>
          </w:p>
        </w:tc>
        <w:tc>
          <w:tcPr>
            <w:tcW w:w="1860" w:type="dxa"/>
            <w:tcBorders>
              <w:top w:val="single" w:sz="4" w:space="0" w:color="auto"/>
              <w:left w:val="nil"/>
              <w:bottom w:val="single" w:sz="4" w:space="0" w:color="auto"/>
              <w:right w:val="nil"/>
            </w:tcBorders>
            <w:shd w:val="clear" w:color="auto" w:fill="auto"/>
            <w:noWrap/>
            <w:vAlign w:val="bottom"/>
            <w:hideMark/>
          </w:tcPr>
          <w:p w14:paraId="7DB193AB" w14:textId="5FF8100A" w:rsidR="00447DF0" w:rsidRPr="00C304AA" w:rsidRDefault="00447DF0" w:rsidP="00447DF0">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Training Participants (n=13)</w:t>
            </w:r>
          </w:p>
        </w:tc>
        <w:tc>
          <w:tcPr>
            <w:tcW w:w="1740" w:type="dxa"/>
            <w:tcBorders>
              <w:top w:val="single" w:sz="4" w:space="0" w:color="auto"/>
              <w:left w:val="nil"/>
              <w:bottom w:val="single" w:sz="4" w:space="0" w:color="auto"/>
              <w:right w:val="nil"/>
            </w:tcBorders>
            <w:shd w:val="clear" w:color="auto" w:fill="auto"/>
            <w:noWrap/>
            <w:vAlign w:val="bottom"/>
            <w:hideMark/>
          </w:tcPr>
          <w:p w14:paraId="207B1291"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0.46</w:t>
            </w:r>
          </w:p>
        </w:tc>
        <w:tc>
          <w:tcPr>
            <w:tcW w:w="2420" w:type="dxa"/>
            <w:tcBorders>
              <w:top w:val="single" w:sz="4" w:space="0" w:color="auto"/>
              <w:left w:val="nil"/>
              <w:bottom w:val="single" w:sz="4" w:space="0" w:color="auto"/>
              <w:right w:val="nil"/>
            </w:tcBorders>
            <w:shd w:val="clear" w:color="auto" w:fill="auto"/>
            <w:noWrap/>
            <w:vAlign w:val="bottom"/>
            <w:hideMark/>
          </w:tcPr>
          <w:p w14:paraId="2C83F980"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0.54</w:t>
            </w:r>
          </w:p>
        </w:tc>
      </w:tr>
      <w:tr w:rsidR="00BD3606" w:rsidRPr="00C304AA" w14:paraId="660E76D5" w14:textId="77777777" w:rsidTr="00A92EAE">
        <w:trPr>
          <w:trHeight w:val="241"/>
          <w:jc w:val="center"/>
        </w:trPr>
        <w:tc>
          <w:tcPr>
            <w:tcW w:w="4059" w:type="dxa"/>
            <w:vMerge/>
            <w:tcBorders>
              <w:top w:val="nil"/>
              <w:left w:val="nil"/>
              <w:bottom w:val="single" w:sz="4" w:space="0" w:color="000000"/>
              <w:right w:val="nil"/>
            </w:tcBorders>
            <w:vAlign w:val="center"/>
            <w:hideMark/>
          </w:tcPr>
          <w:p w14:paraId="60B3A086" w14:textId="77777777" w:rsidR="00BD3606" w:rsidRPr="00C304AA" w:rsidRDefault="00BD3606" w:rsidP="00BD3606">
            <w:pPr>
              <w:spacing w:after="0" w:line="240" w:lineRule="auto"/>
              <w:rPr>
                <w:rFonts w:ascii="Calibri" w:eastAsia="Times New Roman" w:hAnsi="Calibri" w:cs="Calibri"/>
                <w:b/>
                <w:bCs/>
                <w:color w:val="000000"/>
                <w:sz w:val="18"/>
                <w:szCs w:val="18"/>
                <w:lang w:eastAsia="en-GB"/>
              </w:rPr>
            </w:pPr>
          </w:p>
        </w:tc>
        <w:tc>
          <w:tcPr>
            <w:tcW w:w="1860" w:type="dxa"/>
            <w:tcBorders>
              <w:top w:val="nil"/>
              <w:left w:val="nil"/>
              <w:bottom w:val="single" w:sz="4" w:space="0" w:color="auto"/>
              <w:right w:val="nil"/>
            </w:tcBorders>
            <w:shd w:val="clear" w:color="auto" w:fill="auto"/>
            <w:noWrap/>
            <w:vAlign w:val="bottom"/>
            <w:hideMark/>
          </w:tcPr>
          <w:p w14:paraId="66223002" w14:textId="0552387C" w:rsidR="00BD3606" w:rsidRPr="00C304AA" w:rsidRDefault="00BD3606" w:rsidP="00BD3606">
            <w:pPr>
              <w:spacing w:after="0" w:line="240" w:lineRule="auto"/>
              <w:rPr>
                <w:rFonts w:ascii="Calibri" w:eastAsia="Times New Roman" w:hAnsi="Calibri" w:cs="Calibri"/>
                <w:b/>
                <w:bCs/>
                <w:color w:val="000000"/>
                <w:sz w:val="18"/>
                <w:szCs w:val="18"/>
                <w:lang w:eastAsia="en-GB"/>
              </w:rPr>
            </w:pPr>
            <w:r w:rsidRPr="00C304AA">
              <w:rPr>
                <w:rFonts w:ascii="Calibri" w:eastAsia="Times New Roman" w:hAnsi="Calibri" w:cs="Calibri"/>
                <w:b/>
                <w:bCs/>
                <w:color w:val="000000"/>
                <w:sz w:val="18"/>
                <w:szCs w:val="18"/>
                <w:lang w:eastAsia="en-GB"/>
              </w:rPr>
              <w:t>All</w:t>
            </w:r>
            <w:r>
              <w:rPr>
                <w:rFonts w:ascii="Calibri" w:eastAsia="Times New Roman" w:hAnsi="Calibri" w:cs="Calibri"/>
                <w:b/>
                <w:bCs/>
                <w:color w:val="000000"/>
                <w:sz w:val="18"/>
                <w:szCs w:val="18"/>
                <w:lang w:eastAsia="en-GB"/>
              </w:rPr>
              <w:t xml:space="preserve"> (n=32)</w:t>
            </w:r>
          </w:p>
        </w:tc>
        <w:tc>
          <w:tcPr>
            <w:tcW w:w="1740" w:type="dxa"/>
            <w:tcBorders>
              <w:top w:val="nil"/>
              <w:left w:val="nil"/>
              <w:bottom w:val="single" w:sz="4" w:space="0" w:color="auto"/>
              <w:right w:val="nil"/>
            </w:tcBorders>
            <w:shd w:val="clear" w:color="auto" w:fill="auto"/>
            <w:noWrap/>
            <w:vAlign w:val="bottom"/>
            <w:hideMark/>
          </w:tcPr>
          <w:p w14:paraId="4898BC2E" w14:textId="77777777" w:rsidR="00BD3606" w:rsidRPr="00C304AA" w:rsidRDefault="00BD3606" w:rsidP="00BD3606">
            <w:pPr>
              <w:spacing w:after="0" w:line="240" w:lineRule="auto"/>
              <w:jc w:val="right"/>
              <w:rPr>
                <w:rFonts w:ascii="Calibri" w:eastAsia="Times New Roman" w:hAnsi="Calibri" w:cs="Calibri"/>
                <w:i/>
                <w:iCs/>
                <w:color w:val="000000"/>
                <w:sz w:val="18"/>
                <w:szCs w:val="18"/>
                <w:lang w:eastAsia="en-GB"/>
              </w:rPr>
            </w:pPr>
            <w:r w:rsidRPr="00C304AA">
              <w:rPr>
                <w:rFonts w:ascii="Calibri" w:eastAsia="Times New Roman" w:hAnsi="Calibri" w:cs="Calibri"/>
                <w:i/>
                <w:iCs/>
                <w:color w:val="000000"/>
                <w:sz w:val="18"/>
                <w:szCs w:val="18"/>
                <w:lang w:eastAsia="en-GB"/>
              </w:rPr>
              <w:t>0.44</w:t>
            </w:r>
          </w:p>
        </w:tc>
        <w:tc>
          <w:tcPr>
            <w:tcW w:w="2420" w:type="dxa"/>
            <w:tcBorders>
              <w:top w:val="nil"/>
              <w:left w:val="nil"/>
              <w:bottom w:val="single" w:sz="4" w:space="0" w:color="auto"/>
              <w:right w:val="nil"/>
            </w:tcBorders>
            <w:shd w:val="clear" w:color="auto" w:fill="auto"/>
            <w:noWrap/>
            <w:vAlign w:val="bottom"/>
            <w:hideMark/>
          </w:tcPr>
          <w:p w14:paraId="2678096E" w14:textId="77777777" w:rsidR="00BD3606" w:rsidRPr="00C304AA" w:rsidRDefault="00BD3606" w:rsidP="00BD3606">
            <w:pPr>
              <w:spacing w:after="0" w:line="240" w:lineRule="auto"/>
              <w:jc w:val="right"/>
              <w:rPr>
                <w:rFonts w:ascii="Calibri" w:eastAsia="Times New Roman" w:hAnsi="Calibri" w:cs="Calibri"/>
                <w:i/>
                <w:iCs/>
                <w:color w:val="000000"/>
                <w:sz w:val="18"/>
                <w:szCs w:val="18"/>
                <w:lang w:eastAsia="en-GB"/>
              </w:rPr>
            </w:pPr>
            <w:r w:rsidRPr="00C304AA">
              <w:rPr>
                <w:rFonts w:ascii="Calibri" w:eastAsia="Times New Roman" w:hAnsi="Calibri" w:cs="Calibri"/>
                <w:i/>
                <w:iCs/>
                <w:color w:val="000000"/>
                <w:sz w:val="18"/>
                <w:szCs w:val="18"/>
                <w:lang w:eastAsia="en-GB"/>
              </w:rPr>
              <w:t>0.53</w:t>
            </w:r>
          </w:p>
        </w:tc>
      </w:tr>
      <w:tr w:rsidR="00447DF0" w:rsidRPr="00C304AA" w14:paraId="17285DB3" w14:textId="77777777" w:rsidTr="00A92EAE">
        <w:trPr>
          <w:trHeight w:val="300"/>
          <w:jc w:val="center"/>
        </w:trPr>
        <w:tc>
          <w:tcPr>
            <w:tcW w:w="4059" w:type="dxa"/>
            <w:vMerge w:val="restart"/>
            <w:tcBorders>
              <w:top w:val="nil"/>
              <w:left w:val="nil"/>
              <w:bottom w:val="single" w:sz="4" w:space="0" w:color="000000"/>
              <w:right w:val="nil"/>
            </w:tcBorders>
            <w:shd w:val="clear" w:color="auto" w:fill="auto"/>
            <w:vAlign w:val="center"/>
            <w:hideMark/>
          </w:tcPr>
          <w:p w14:paraId="53F1BA38" w14:textId="77777777" w:rsidR="00447DF0" w:rsidRPr="00C304AA" w:rsidRDefault="00447DF0" w:rsidP="00447DF0">
            <w:pPr>
              <w:spacing w:after="0" w:line="240" w:lineRule="auto"/>
              <w:jc w:val="center"/>
              <w:rPr>
                <w:rFonts w:ascii="Calibri" w:eastAsia="Times New Roman" w:hAnsi="Calibri" w:cs="Calibri"/>
                <w:b/>
                <w:bCs/>
                <w:color w:val="000000"/>
                <w:sz w:val="18"/>
                <w:szCs w:val="18"/>
                <w:lang w:eastAsia="en-GB"/>
              </w:rPr>
            </w:pPr>
            <w:r w:rsidRPr="00C304AA">
              <w:rPr>
                <w:rFonts w:ascii="Calibri" w:eastAsia="Times New Roman" w:hAnsi="Calibri" w:cs="Calibri"/>
                <w:b/>
                <w:bCs/>
                <w:color w:val="000000"/>
                <w:sz w:val="18"/>
                <w:szCs w:val="18"/>
                <w:lang w:eastAsia="en-GB"/>
              </w:rPr>
              <w:t>A6 - Availability of dieticians is sufficient to meet the needs of our patients</w:t>
            </w:r>
          </w:p>
        </w:tc>
        <w:tc>
          <w:tcPr>
            <w:tcW w:w="1860" w:type="dxa"/>
            <w:tcBorders>
              <w:top w:val="nil"/>
              <w:left w:val="nil"/>
              <w:bottom w:val="nil"/>
              <w:right w:val="nil"/>
            </w:tcBorders>
            <w:shd w:val="clear" w:color="auto" w:fill="auto"/>
            <w:noWrap/>
            <w:vAlign w:val="bottom"/>
            <w:hideMark/>
          </w:tcPr>
          <w:p w14:paraId="7B81E54F" w14:textId="599B817D" w:rsidR="00447DF0" w:rsidRPr="00C304AA" w:rsidRDefault="00447DF0" w:rsidP="00447DF0">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Non-training participants (n=19)</w:t>
            </w:r>
          </w:p>
        </w:tc>
        <w:tc>
          <w:tcPr>
            <w:tcW w:w="1740" w:type="dxa"/>
            <w:tcBorders>
              <w:top w:val="single" w:sz="4" w:space="0" w:color="auto"/>
              <w:left w:val="nil"/>
              <w:bottom w:val="nil"/>
              <w:right w:val="nil"/>
            </w:tcBorders>
            <w:shd w:val="clear" w:color="auto" w:fill="auto"/>
            <w:noWrap/>
            <w:vAlign w:val="bottom"/>
            <w:hideMark/>
          </w:tcPr>
          <w:p w14:paraId="41470847"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0.05</w:t>
            </w:r>
          </w:p>
        </w:tc>
        <w:tc>
          <w:tcPr>
            <w:tcW w:w="2420" w:type="dxa"/>
            <w:tcBorders>
              <w:top w:val="single" w:sz="4" w:space="0" w:color="auto"/>
              <w:left w:val="nil"/>
              <w:bottom w:val="nil"/>
              <w:right w:val="nil"/>
            </w:tcBorders>
            <w:shd w:val="clear" w:color="auto" w:fill="auto"/>
            <w:noWrap/>
            <w:vAlign w:val="bottom"/>
            <w:hideMark/>
          </w:tcPr>
          <w:p w14:paraId="5D1559F1"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0.89</w:t>
            </w:r>
          </w:p>
        </w:tc>
      </w:tr>
      <w:tr w:rsidR="00447DF0" w:rsidRPr="00C304AA" w14:paraId="0D74F545" w14:textId="77777777" w:rsidTr="00A92EAE">
        <w:trPr>
          <w:trHeight w:val="300"/>
          <w:jc w:val="center"/>
        </w:trPr>
        <w:tc>
          <w:tcPr>
            <w:tcW w:w="4059" w:type="dxa"/>
            <w:vMerge/>
            <w:tcBorders>
              <w:top w:val="nil"/>
              <w:left w:val="nil"/>
              <w:bottom w:val="single" w:sz="4" w:space="0" w:color="000000"/>
              <w:right w:val="nil"/>
            </w:tcBorders>
            <w:vAlign w:val="center"/>
            <w:hideMark/>
          </w:tcPr>
          <w:p w14:paraId="029F6C21" w14:textId="77777777" w:rsidR="00447DF0" w:rsidRPr="00C304AA" w:rsidRDefault="00447DF0" w:rsidP="00447DF0">
            <w:pPr>
              <w:spacing w:after="0" w:line="240" w:lineRule="auto"/>
              <w:rPr>
                <w:rFonts w:ascii="Calibri" w:eastAsia="Times New Roman" w:hAnsi="Calibri" w:cs="Calibri"/>
                <w:b/>
                <w:bCs/>
                <w:color w:val="000000"/>
                <w:sz w:val="18"/>
                <w:szCs w:val="18"/>
                <w:lang w:eastAsia="en-GB"/>
              </w:rPr>
            </w:pPr>
          </w:p>
        </w:tc>
        <w:tc>
          <w:tcPr>
            <w:tcW w:w="1860" w:type="dxa"/>
            <w:tcBorders>
              <w:top w:val="single" w:sz="4" w:space="0" w:color="auto"/>
              <w:left w:val="nil"/>
              <w:bottom w:val="single" w:sz="4" w:space="0" w:color="auto"/>
              <w:right w:val="nil"/>
            </w:tcBorders>
            <w:shd w:val="clear" w:color="auto" w:fill="auto"/>
            <w:noWrap/>
            <w:vAlign w:val="bottom"/>
            <w:hideMark/>
          </w:tcPr>
          <w:p w14:paraId="3903E822" w14:textId="0EA3CBAF" w:rsidR="00447DF0" w:rsidRPr="00C304AA" w:rsidRDefault="00447DF0" w:rsidP="00447DF0">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Training Participants (n=13)</w:t>
            </w:r>
          </w:p>
        </w:tc>
        <w:tc>
          <w:tcPr>
            <w:tcW w:w="1740" w:type="dxa"/>
            <w:tcBorders>
              <w:top w:val="single" w:sz="4" w:space="0" w:color="auto"/>
              <w:left w:val="nil"/>
              <w:bottom w:val="single" w:sz="4" w:space="0" w:color="auto"/>
              <w:right w:val="nil"/>
            </w:tcBorders>
            <w:shd w:val="clear" w:color="auto" w:fill="auto"/>
            <w:noWrap/>
            <w:vAlign w:val="bottom"/>
            <w:hideMark/>
          </w:tcPr>
          <w:p w14:paraId="65ED3865"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0.23</w:t>
            </w:r>
          </w:p>
        </w:tc>
        <w:tc>
          <w:tcPr>
            <w:tcW w:w="2420" w:type="dxa"/>
            <w:tcBorders>
              <w:top w:val="single" w:sz="4" w:space="0" w:color="auto"/>
              <w:left w:val="nil"/>
              <w:bottom w:val="single" w:sz="4" w:space="0" w:color="auto"/>
              <w:right w:val="nil"/>
            </w:tcBorders>
            <w:shd w:val="clear" w:color="auto" w:fill="auto"/>
            <w:noWrap/>
            <w:vAlign w:val="bottom"/>
            <w:hideMark/>
          </w:tcPr>
          <w:p w14:paraId="58995594"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0.77</w:t>
            </w:r>
          </w:p>
        </w:tc>
      </w:tr>
      <w:tr w:rsidR="00BD3606" w:rsidRPr="00C304AA" w14:paraId="6D454BB0" w14:textId="77777777" w:rsidTr="00A92EAE">
        <w:trPr>
          <w:trHeight w:val="70"/>
          <w:jc w:val="center"/>
        </w:trPr>
        <w:tc>
          <w:tcPr>
            <w:tcW w:w="4059" w:type="dxa"/>
            <w:vMerge/>
            <w:tcBorders>
              <w:top w:val="nil"/>
              <w:left w:val="nil"/>
              <w:bottom w:val="single" w:sz="4" w:space="0" w:color="000000"/>
              <w:right w:val="nil"/>
            </w:tcBorders>
            <w:vAlign w:val="center"/>
            <w:hideMark/>
          </w:tcPr>
          <w:p w14:paraId="5AF21E1F" w14:textId="77777777" w:rsidR="00BD3606" w:rsidRPr="00C304AA" w:rsidRDefault="00BD3606" w:rsidP="00BD3606">
            <w:pPr>
              <w:spacing w:after="0" w:line="240" w:lineRule="auto"/>
              <w:rPr>
                <w:rFonts w:ascii="Calibri" w:eastAsia="Times New Roman" w:hAnsi="Calibri" w:cs="Calibri"/>
                <w:b/>
                <w:bCs/>
                <w:color w:val="000000"/>
                <w:sz w:val="18"/>
                <w:szCs w:val="18"/>
                <w:lang w:eastAsia="en-GB"/>
              </w:rPr>
            </w:pPr>
          </w:p>
        </w:tc>
        <w:tc>
          <w:tcPr>
            <w:tcW w:w="1860" w:type="dxa"/>
            <w:tcBorders>
              <w:top w:val="nil"/>
              <w:left w:val="nil"/>
              <w:bottom w:val="single" w:sz="4" w:space="0" w:color="auto"/>
              <w:right w:val="nil"/>
            </w:tcBorders>
            <w:shd w:val="clear" w:color="auto" w:fill="auto"/>
            <w:noWrap/>
            <w:vAlign w:val="bottom"/>
            <w:hideMark/>
          </w:tcPr>
          <w:p w14:paraId="157A8519" w14:textId="344AE100" w:rsidR="00BD3606" w:rsidRPr="00C304AA" w:rsidRDefault="00BD3606" w:rsidP="00BD3606">
            <w:pPr>
              <w:spacing w:after="0" w:line="240" w:lineRule="auto"/>
              <w:rPr>
                <w:rFonts w:ascii="Calibri" w:eastAsia="Times New Roman" w:hAnsi="Calibri" w:cs="Calibri"/>
                <w:b/>
                <w:bCs/>
                <w:color w:val="000000"/>
                <w:sz w:val="18"/>
                <w:szCs w:val="18"/>
                <w:lang w:eastAsia="en-GB"/>
              </w:rPr>
            </w:pPr>
            <w:r w:rsidRPr="00C304AA">
              <w:rPr>
                <w:rFonts w:ascii="Calibri" w:eastAsia="Times New Roman" w:hAnsi="Calibri" w:cs="Calibri"/>
                <w:b/>
                <w:bCs/>
                <w:color w:val="000000"/>
                <w:sz w:val="18"/>
                <w:szCs w:val="18"/>
                <w:lang w:eastAsia="en-GB"/>
              </w:rPr>
              <w:t>All</w:t>
            </w:r>
            <w:r>
              <w:rPr>
                <w:rFonts w:ascii="Calibri" w:eastAsia="Times New Roman" w:hAnsi="Calibri" w:cs="Calibri"/>
                <w:b/>
                <w:bCs/>
                <w:color w:val="000000"/>
                <w:sz w:val="18"/>
                <w:szCs w:val="18"/>
                <w:lang w:eastAsia="en-GB"/>
              </w:rPr>
              <w:t xml:space="preserve"> (n=32)</w:t>
            </w:r>
          </w:p>
        </w:tc>
        <w:tc>
          <w:tcPr>
            <w:tcW w:w="1740" w:type="dxa"/>
            <w:tcBorders>
              <w:top w:val="nil"/>
              <w:left w:val="nil"/>
              <w:bottom w:val="single" w:sz="4" w:space="0" w:color="auto"/>
              <w:right w:val="nil"/>
            </w:tcBorders>
            <w:shd w:val="clear" w:color="auto" w:fill="auto"/>
            <w:noWrap/>
            <w:vAlign w:val="bottom"/>
            <w:hideMark/>
          </w:tcPr>
          <w:p w14:paraId="1850D0E6" w14:textId="77777777" w:rsidR="00BD3606" w:rsidRPr="00C304AA" w:rsidRDefault="00BD3606" w:rsidP="00BD3606">
            <w:pPr>
              <w:spacing w:after="0" w:line="240" w:lineRule="auto"/>
              <w:jc w:val="right"/>
              <w:rPr>
                <w:rFonts w:ascii="Calibri" w:eastAsia="Times New Roman" w:hAnsi="Calibri" w:cs="Calibri"/>
                <w:i/>
                <w:iCs/>
                <w:color w:val="000000"/>
                <w:sz w:val="18"/>
                <w:szCs w:val="18"/>
                <w:lang w:eastAsia="en-GB"/>
              </w:rPr>
            </w:pPr>
            <w:r w:rsidRPr="00C304AA">
              <w:rPr>
                <w:rFonts w:ascii="Calibri" w:eastAsia="Times New Roman" w:hAnsi="Calibri" w:cs="Calibri"/>
                <w:i/>
                <w:iCs/>
                <w:color w:val="000000"/>
                <w:sz w:val="18"/>
                <w:szCs w:val="18"/>
                <w:lang w:eastAsia="en-GB"/>
              </w:rPr>
              <w:t>0.13</w:t>
            </w:r>
          </w:p>
        </w:tc>
        <w:tc>
          <w:tcPr>
            <w:tcW w:w="2420" w:type="dxa"/>
            <w:tcBorders>
              <w:top w:val="nil"/>
              <w:left w:val="nil"/>
              <w:bottom w:val="single" w:sz="4" w:space="0" w:color="auto"/>
              <w:right w:val="nil"/>
            </w:tcBorders>
            <w:shd w:val="clear" w:color="auto" w:fill="auto"/>
            <w:noWrap/>
            <w:vAlign w:val="bottom"/>
            <w:hideMark/>
          </w:tcPr>
          <w:p w14:paraId="6F6ABF99" w14:textId="77777777" w:rsidR="00BD3606" w:rsidRPr="00C304AA" w:rsidRDefault="00BD3606" w:rsidP="00BD3606">
            <w:pPr>
              <w:spacing w:after="0" w:line="240" w:lineRule="auto"/>
              <w:jc w:val="right"/>
              <w:rPr>
                <w:rFonts w:ascii="Calibri" w:eastAsia="Times New Roman" w:hAnsi="Calibri" w:cs="Calibri"/>
                <w:i/>
                <w:iCs/>
                <w:color w:val="000000"/>
                <w:sz w:val="18"/>
                <w:szCs w:val="18"/>
                <w:lang w:eastAsia="en-GB"/>
              </w:rPr>
            </w:pPr>
            <w:r w:rsidRPr="00C304AA">
              <w:rPr>
                <w:rFonts w:ascii="Calibri" w:eastAsia="Times New Roman" w:hAnsi="Calibri" w:cs="Calibri"/>
                <w:i/>
                <w:iCs/>
                <w:color w:val="000000"/>
                <w:sz w:val="18"/>
                <w:szCs w:val="18"/>
                <w:lang w:eastAsia="en-GB"/>
              </w:rPr>
              <w:t>0.84</w:t>
            </w:r>
          </w:p>
        </w:tc>
      </w:tr>
      <w:tr w:rsidR="00447DF0" w:rsidRPr="00C304AA" w14:paraId="2E3CBD06" w14:textId="77777777" w:rsidTr="00A92EAE">
        <w:trPr>
          <w:trHeight w:val="300"/>
          <w:jc w:val="center"/>
        </w:trPr>
        <w:tc>
          <w:tcPr>
            <w:tcW w:w="4059" w:type="dxa"/>
            <w:vMerge w:val="restart"/>
            <w:tcBorders>
              <w:top w:val="nil"/>
              <w:left w:val="nil"/>
              <w:bottom w:val="single" w:sz="4" w:space="0" w:color="000000"/>
              <w:right w:val="nil"/>
            </w:tcBorders>
            <w:shd w:val="clear" w:color="auto" w:fill="auto"/>
            <w:vAlign w:val="center"/>
            <w:hideMark/>
          </w:tcPr>
          <w:p w14:paraId="16758990" w14:textId="77777777" w:rsidR="00447DF0" w:rsidRPr="00C304AA" w:rsidRDefault="00447DF0" w:rsidP="00447DF0">
            <w:pPr>
              <w:spacing w:after="0" w:line="240" w:lineRule="auto"/>
              <w:jc w:val="center"/>
              <w:rPr>
                <w:rFonts w:ascii="Calibri" w:eastAsia="Times New Roman" w:hAnsi="Calibri" w:cs="Calibri"/>
                <w:b/>
                <w:bCs/>
                <w:color w:val="000000"/>
                <w:sz w:val="18"/>
                <w:szCs w:val="18"/>
                <w:lang w:eastAsia="en-GB"/>
              </w:rPr>
            </w:pPr>
            <w:r w:rsidRPr="00C304AA">
              <w:rPr>
                <w:rFonts w:ascii="Calibri" w:eastAsia="Times New Roman" w:hAnsi="Calibri" w:cs="Calibri"/>
                <w:b/>
                <w:bCs/>
                <w:color w:val="000000"/>
                <w:sz w:val="18"/>
                <w:szCs w:val="18"/>
                <w:lang w:eastAsia="en-GB"/>
              </w:rPr>
              <w:t>A7 - Current state of malnutrition screening is sufficient to meet the needs of our patients</w:t>
            </w:r>
          </w:p>
        </w:tc>
        <w:tc>
          <w:tcPr>
            <w:tcW w:w="1860" w:type="dxa"/>
            <w:tcBorders>
              <w:top w:val="nil"/>
              <w:left w:val="nil"/>
              <w:bottom w:val="nil"/>
              <w:right w:val="nil"/>
            </w:tcBorders>
            <w:shd w:val="clear" w:color="auto" w:fill="auto"/>
            <w:noWrap/>
            <w:vAlign w:val="bottom"/>
            <w:hideMark/>
          </w:tcPr>
          <w:p w14:paraId="362B1F12" w14:textId="347932D6" w:rsidR="00447DF0" w:rsidRPr="00C304AA" w:rsidRDefault="00447DF0" w:rsidP="00447DF0">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Non-training participants (n=19)</w:t>
            </w:r>
          </w:p>
        </w:tc>
        <w:tc>
          <w:tcPr>
            <w:tcW w:w="1740" w:type="dxa"/>
            <w:tcBorders>
              <w:top w:val="single" w:sz="4" w:space="0" w:color="auto"/>
              <w:left w:val="nil"/>
              <w:bottom w:val="nil"/>
              <w:right w:val="nil"/>
            </w:tcBorders>
            <w:shd w:val="clear" w:color="auto" w:fill="auto"/>
            <w:noWrap/>
            <w:vAlign w:val="bottom"/>
            <w:hideMark/>
          </w:tcPr>
          <w:p w14:paraId="2F53D380"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0.58</w:t>
            </w:r>
          </w:p>
        </w:tc>
        <w:tc>
          <w:tcPr>
            <w:tcW w:w="2420" w:type="dxa"/>
            <w:tcBorders>
              <w:top w:val="single" w:sz="4" w:space="0" w:color="auto"/>
              <w:left w:val="nil"/>
              <w:bottom w:val="nil"/>
              <w:right w:val="nil"/>
            </w:tcBorders>
            <w:shd w:val="clear" w:color="auto" w:fill="auto"/>
            <w:noWrap/>
            <w:vAlign w:val="bottom"/>
            <w:hideMark/>
          </w:tcPr>
          <w:p w14:paraId="3DE5A6CC"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0.37</w:t>
            </w:r>
          </w:p>
        </w:tc>
      </w:tr>
      <w:tr w:rsidR="00447DF0" w:rsidRPr="00C304AA" w14:paraId="4F3A19EA" w14:textId="77777777" w:rsidTr="00A92EAE">
        <w:trPr>
          <w:trHeight w:val="300"/>
          <w:jc w:val="center"/>
        </w:trPr>
        <w:tc>
          <w:tcPr>
            <w:tcW w:w="4059" w:type="dxa"/>
            <w:vMerge/>
            <w:tcBorders>
              <w:top w:val="nil"/>
              <w:left w:val="nil"/>
              <w:bottom w:val="single" w:sz="4" w:space="0" w:color="000000"/>
              <w:right w:val="nil"/>
            </w:tcBorders>
            <w:vAlign w:val="center"/>
            <w:hideMark/>
          </w:tcPr>
          <w:p w14:paraId="6B2C4BA5" w14:textId="77777777" w:rsidR="00447DF0" w:rsidRPr="00C304AA" w:rsidRDefault="00447DF0" w:rsidP="00447DF0">
            <w:pPr>
              <w:spacing w:after="0" w:line="240" w:lineRule="auto"/>
              <w:rPr>
                <w:rFonts w:ascii="Calibri" w:eastAsia="Times New Roman" w:hAnsi="Calibri" w:cs="Calibri"/>
                <w:b/>
                <w:bCs/>
                <w:color w:val="000000"/>
                <w:sz w:val="18"/>
                <w:szCs w:val="18"/>
                <w:lang w:eastAsia="en-GB"/>
              </w:rPr>
            </w:pPr>
          </w:p>
        </w:tc>
        <w:tc>
          <w:tcPr>
            <w:tcW w:w="1860" w:type="dxa"/>
            <w:tcBorders>
              <w:top w:val="single" w:sz="4" w:space="0" w:color="auto"/>
              <w:left w:val="nil"/>
              <w:bottom w:val="single" w:sz="4" w:space="0" w:color="auto"/>
              <w:right w:val="nil"/>
            </w:tcBorders>
            <w:shd w:val="clear" w:color="auto" w:fill="auto"/>
            <w:noWrap/>
            <w:vAlign w:val="bottom"/>
            <w:hideMark/>
          </w:tcPr>
          <w:p w14:paraId="1D5EE930" w14:textId="1C7D93F0" w:rsidR="00447DF0" w:rsidRPr="00C304AA" w:rsidRDefault="00447DF0" w:rsidP="00447DF0">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Training Participants (n=13)</w:t>
            </w:r>
          </w:p>
        </w:tc>
        <w:tc>
          <w:tcPr>
            <w:tcW w:w="1740" w:type="dxa"/>
            <w:tcBorders>
              <w:top w:val="single" w:sz="4" w:space="0" w:color="auto"/>
              <w:left w:val="nil"/>
              <w:bottom w:val="single" w:sz="4" w:space="0" w:color="auto"/>
              <w:right w:val="nil"/>
            </w:tcBorders>
            <w:shd w:val="clear" w:color="auto" w:fill="auto"/>
            <w:noWrap/>
            <w:vAlign w:val="bottom"/>
            <w:hideMark/>
          </w:tcPr>
          <w:p w14:paraId="5D248DCF"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0.38</w:t>
            </w:r>
          </w:p>
        </w:tc>
        <w:tc>
          <w:tcPr>
            <w:tcW w:w="2420" w:type="dxa"/>
            <w:tcBorders>
              <w:top w:val="single" w:sz="4" w:space="0" w:color="auto"/>
              <w:left w:val="nil"/>
              <w:bottom w:val="single" w:sz="4" w:space="0" w:color="auto"/>
              <w:right w:val="nil"/>
            </w:tcBorders>
            <w:shd w:val="clear" w:color="auto" w:fill="auto"/>
            <w:noWrap/>
            <w:vAlign w:val="bottom"/>
            <w:hideMark/>
          </w:tcPr>
          <w:p w14:paraId="5E6120F4"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0.54</w:t>
            </w:r>
          </w:p>
        </w:tc>
      </w:tr>
      <w:tr w:rsidR="00BD3606" w:rsidRPr="00C304AA" w14:paraId="76204BE6" w14:textId="77777777" w:rsidTr="00A92EAE">
        <w:trPr>
          <w:trHeight w:val="70"/>
          <w:jc w:val="center"/>
        </w:trPr>
        <w:tc>
          <w:tcPr>
            <w:tcW w:w="4059" w:type="dxa"/>
            <w:vMerge/>
            <w:tcBorders>
              <w:top w:val="nil"/>
              <w:left w:val="nil"/>
              <w:bottom w:val="single" w:sz="4" w:space="0" w:color="000000"/>
              <w:right w:val="nil"/>
            </w:tcBorders>
            <w:vAlign w:val="center"/>
            <w:hideMark/>
          </w:tcPr>
          <w:p w14:paraId="030107B8" w14:textId="77777777" w:rsidR="00BD3606" w:rsidRPr="00C304AA" w:rsidRDefault="00BD3606" w:rsidP="00BD3606">
            <w:pPr>
              <w:spacing w:after="0" w:line="240" w:lineRule="auto"/>
              <w:rPr>
                <w:rFonts w:ascii="Calibri" w:eastAsia="Times New Roman" w:hAnsi="Calibri" w:cs="Calibri"/>
                <w:b/>
                <w:bCs/>
                <w:color w:val="000000"/>
                <w:sz w:val="18"/>
                <w:szCs w:val="18"/>
                <w:lang w:eastAsia="en-GB"/>
              </w:rPr>
            </w:pPr>
          </w:p>
        </w:tc>
        <w:tc>
          <w:tcPr>
            <w:tcW w:w="1860" w:type="dxa"/>
            <w:tcBorders>
              <w:top w:val="nil"/>
              <w:left w:val="nil"/>
              <w:bottom w:val="single" w:sz="4" w:space="0" w:color="auto"/>
              <w:right w:val="nil"/>
            </w:tcBorders>
            <w:shd w:val="clear" w:color="auto" w:fill="auto"/>
            <w:noWrap/>
            <w:vAlign w:val="bottom"/>
            <w:hideMark/>
          </w:tcPr>
          <w:p w14:paraId="5991CBEC" w14:textId="58D9B75E" w:rsidR="00BD3606" w:rsidRPr="00C304AA" w:rsidRDefault="00BD3606" w:rsidP="00BD3606">
            <w:pPr>
              <w:spacing w:after="0" w:line="240" w:lineRule="auto"/>
              <w:rPr>
                <w:rFonts w:ascii="Calibri" w:eastAsia="Times New Roman" w:hAnsi="Calibri" w:cs="Calibri"/>
                <w:b/>
                <w:bCs/>
                <w:color w:val="000000"/>
                <w:sz w:val="18"/>
                <w:szCs w:val="18"/>
                <w:lang w:eastAsia="en-GB"/>
              </w:rPr>
            </w:pPr>
            <w:r w:rsidRPr="00C304AA">
              <w:rPr>
                <w:rFonts w:ascii="Calibri" w:eastAsia="Times New Roman" w:hAnsi="Calibri" w:cs="Calibri"/>
                <w:b/>
                <w:bCs/>
                <w:color w:val="000000"/>
                <w:sz w:val="18"/>
                <w:szCs w:val="18"/>
                <w:lang w:eastAsia="en-GB"/>
              </w:rPr>
              <w:t>All</w:t>
            </w:r>
            <w:r>
              <w:rPr>
                <w:rFonts w:ascii="Calibri" w:eastAsia="Times New Roman" w:hAnsi="Calibri" w:cs="Calibri"/>
                <w:b/>
                <w:bCs/>
                <w:color w:val="000000"/>
                <w:sz w:val="18"/>
                <w:szCs w:val="18"/>
                <w:lang w:eastAsia="en-GB"/>
              </w:rPr>
              <w:t xml:space="preserve"> (n=32)</w:t>
            </w:r>
          </w:p>
        </w:tc>
        <w:tc>
          <w:tcPr>
            <w:tcW w:w="1740" w:type="dxa"/>
            <w:tcBorders>
              <w:top w:val="nil"/>
              <w:left w:val="nil"/>
              <w:bottom w:val="single" w:sz="4" w:space="0" w:color="auto"/>
              <w:right w:val="nil"/>
            </w:tcBorders>
            <w:shd w:val="clear" w:color="auto" w:fill="auto"/>
            <w:noWrap/>
            <w:vAlign w:val="bottom"/>
            <w:hideMark/>
          </w:tcPr>
          <w:p w14:paraId="494911C6" w14:textId="77777777" w:rsidR="00BD3606" w:rsidRPr="00C304AA" w:rsidRDefault="00BD3606" w:rsidP="00BD3606">
            <w:pPr>
              <w:spacing w:after="0" w:line="240" w:lineRule="auto"/>
              <w:jc w:val="right"/>
              <w:rPr>
                <w:rFonts w:ascii="Calibri" w:eastAsia="Times New Roman" w:hAnsi="Calibri" w:cs="Calibri"/>
                <w:i/>
                <w:iCs/>
                <w:color w:val="000000"/>
                <w:sz w:val="18"/>
                <w:szCs w:val="18"/>
                <w:lang w:eastAsia="en-GB"/>
              </w:rPr>
            </w:pPr>
            <w:r w:rsidRPr="00C304AA">
              <w:rPr>
                <w:rFonts w:ascii="Calibri" w:eastAsia="Times New Roman" w:hAnsi="Calibri" w:cs="Calibri"/>
                <w:i/>
                <w:iCs/>
                <w:color w:val="000000"/>
                <w:sz w:val="18"/>
                <w:szCs w:val="18"/>
                <w:lang w:eastAsia="en-GB"/>
              </w:rPr>
              <w:t>0.50</w:t>
            </w:r>
          </w:p>
        </w:tc>
        <w:tc>
          <w:tcPr>
            <w:tcW w:w="2420" w:type="dxa"/>
            <w:tcBorders>
              <w:top w:val="nil"/>
              <w:left w:val="nil"/>
              <w:bottom w:val="single" w:sz="4" w:space="0" w:color="auto"/>
              <w:right w:val="nil"/>
            </w:tcBorders>
            <w:shd w:val="clear" w:color="auto" w:fill="auto"/>
            <w:noWrap/>
            <w:vAlign w:val="bottom"/>
            <w:hideMark/>
          </w:tcPr>
          <w:p w14:paraId="133BBF23" w14:textId="77777777" w:rsidR="00BD3606" w:rsidRPr="00C304AA" w:rsidRDefault="00BD3606" w:rsidP="00BD3606">
            <w:pPr>
              <w:spacing w:after="0" w:line="240" w:lineRule="auto"/>
              <w:jc w:val="right"/>
              <w:rPr>
                <w:rFonts w:ascii="Calibri" w:eastAsia="Times New Roman" w:hAnsi="Calibri" w:cs="Calibri"/>
                <w:i/>
                <w:iCs/>
                <w:color w:val="000000"/>
                <w:sz w:val="18"/>
                <w:szCs w:val="18"/>
                <w:lang w:eastAsia="en-GB"/>
              </w:rPr>
            </w:pPr>
            <w:r w:rsidRPr="00C304AA">
              <w:rPr>
                <w:rFonts w:ascii="Calibri" w:eastAsia="Times New Roman" w:hAnsi="Calibri" w:cs="Calibri"/>
                <w:i/>
                <w:iCs/>
                <w:color w:val="000000"/>
                <w:sz w:val="18"/>
                <w:szCs w:val="18"/>
                <w:lang w:eastAsia="en-GB"/>
              </w:rPr>
              <w:t>0.44</w:t>
            </w:r>
          </w:p>
        </w:tc>
      </w:tr>
      <w:tr w:rsidR="00447DF0" w:rsidRPr="00C304AA" w14:paraId="45390760" w14:textId="77777777" w:rsidTr="00A92EAE">
        <w:trPr>
          <w:trHeight w:val="70"/>
          <w:jc w:val="center"/>
        </w:trPr>
        <w:tc>
          <w:tcPr>
            <w:tcW w:w="4059" w:type="dxa"/>
            <w:vMerge w:val="restart"/>
            <w:tcBorders>
              <w:top w:val="single" w:sz="4" w:space="0" w:color="000000"/>
              <w:left w:val="nil"/>
              <w:bottom w:val="single" w:sz="4" w:space="0" w:color="auto"/>
              <w:right w:val="nil"/>
            </w:tcBorders>
            <w:shd w:val="clear" w:color="auto" w:fill="auto"/>
            <w:vAlign w:val="center"/>
            <w:hideMark/>
          </w:tcPr>
          <w:p w14:paraId="500C9A82" w14:textId="77777777" w:rsidR="00447DF0" w:rsidRPr="00C304AA" w:rsidRDefault="00447DF0" w:rsidP="00447DF0">
            <w:pPr>
              <w:spacing w:after="0" w:line="240" w:lineRule="auto"/>
              <w:jc w:val="center"/>
              <w:rPr>
                <w:rFonts w:ascii="Calibri" w:eastAsia="Times New Roman" w:hAnsi="Calibri" w:cs="Calibri"/>
                <w:b/>
                <w:bCs/>
                <w:sz w:val="18"/>
                <w:szCs w:val="18"/>
                <w:lang w:eastAsia="en-GB"/>
              </w:rPr>
            </w:pPr>
            <w:r w:rsidRPr="00C304AA">
              <w:rPr>
                <w:rFonts w:ascii="Calibri" w:eastAsia="Times New Roman" w:hAnsi="Calibri" w:cs="Calibri"/>
                <w:b/>
                <w:bCs/>
                <w:sz w:val="18"/>
                <w:szCs w:val="18"/>
                <w:lang w:eastAsia="en-GB"/>
              </w:rPr>
              <w:t>A8 - Current arrangements for treatment of malnutrition are sufficient to meet the needs of our patients</w:t>
            </w:r>
          </w:p>
        </w:tc>
        <w:tc>
          <w:tcPr>
            <w:tcW w:w="1860" w:type="dxa"/>
            <w:tcBorders>
              <w:top w:val="nil"/>
              <w:left w:val="nil"/>
              <w:bottom w:val="nil"/>
              <w:right w:val="nil"/>
            </w:tcBorders>
            <w:shd w:val="clear" w:color="auto" w:fill="auto"/>
            <w:noWrap/>
            <w:vAlign w:val="bottom"/>
            <w:hideMark/>
          </w:tcPr>
          <w:p w14:paraId="0E90530F" w14:textId="7CAE1F5C" w:rsidR="00447DF0" w:rsidRPr="00C304AA" w:rsidRDefault="00447DF0" w:rsidP="00447DF0">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Non-training participants (n=19)</w:t>
            </w:r>
          </w:p>
        </w:tc>
        <w:tc>
          <w:tcPr>
            <w:tcW w:w="1740" w:type="dxa"/>
            <w:tcBorders>
              <w:top w:val="single" w:sz="4" w:space="0" w:color="auto"/>
              <w:left w:val="nil"/>
              <w:bottom w:val="nil"/>
              <w:right w:val="nil"/>
            </w:tcBorders>
            <w:shd w:val="clear" w:color="auto" w:fill="auto"/>
            <w:noWrap/>
            <w:vAlign w:val="bottom"/>
            <w:hideMark/>
          </w:tcPr>
          <w:p w14:paraId="51CF1428"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0.21</w:t>
            </w:r>
          </w:p>
        </w:tc>
        <w:tc>
          <w:tcPr>
            <w:tcW w:w="2420" w:type="dxa"/>
            <w:tcBorders>
              <w:top w:val="single" w:sz="4" w:space="0" w:color="auto"/>
              <w:left w:val="nil"/>
              <w:bottom w:val="nil"/>
              <w:right w:val="nil"/>
            </w:tcBorders>
            <w:shd w:val="clear" w:color="auto" w:fill="auto"/>
            <w:noWrap/>
            <w:vAlign w:val="bottom"/>
            <w:hideMark/>
          </w:tcPr>
          <w:p w14:paraId="104514BB"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0.74</w:t>
            </w:r>
          </w:p>
        </w:tc>
      </w:tr>
      <w:tr w:rsidR="00447DF0" w:rsidRPr="00C304AA" w14:paraId="50B66DC5" w14:textId="77777777" w:rsidTr="00A92EAE">
        <w:trPr>
          <w:trHeight w:val="145"/>
          <w:jc w:val="center"/>
        </w:trPr>
        <w:tc>
          <w:tcPr>
            <w:tcW w:w="4059" w:type="dxa"/>
            <w:vMerge/>
            <w:tcBorders>
              <w:top w:val="nil"/>
              <w:left w:val="nil"/>
              <w:bottom w:val="single" w:sz="4" w:space="0" w:color="auto"/>
              <w:right w:val="nil"/>
            </w:tcBorders>
            <w:vAlign w:val="center"/>
            <w:hideMark/>
          </w:tcPr>
          <w:p w14:paraId="37DCC59E" w14:textId="77777777" w:rsidR="00447DF0" w:rsidRPr="00C304AA" w:rsidRDefault="00447DF0" w:rsidP="00447DF0">
            <w:pPr>
              <w:spacing w:after="0" w:line="240" w:lineRule="auto"/>
              <w:rPr>
                <w:rFonts w:ascii="Calibri" w:eastAsia="Times New Roman" w:hAnsi="Calibri" w:cs="Calibri"/>
                <w:b/>
                <w:bCs/>
                <w:sz w:val="18"/>
                <w:szCs w:val="18"/>
                <w:lang w:eastAsia="en-GB"/>
              </w:rPr>
            </w:pPr>
          </w:p>
        </w:tc>
        <w:tc>
          <w:tcPr>
            <w:tcW w:w="1860" w:type="dxa"/>
            <w:tcBorders>
              <w:top w:val="single" w:sz="4" w:space="0" w:color="auto"/>
              <w:left w:val="nil"/>
              <w:bottom w:val="single" w:sz="4" w:space="0" w:color="auto"/>
              <w:right w:val="nil"/>
            </w:tcBorders>
            <w:shd w:val="clear" w:color="auto" w:fill="auto"/>
            <w:noWrap/>
            <w:vAlign w:val="bottom"/>
            <w:hideMark/>
          </w:tcPr>
          <w:p w14:paraId="2B960CC6" w14:textId="002409BE" w:rsidR="00447DF0" w:rsidRPr="00C304AA" w:rsidRDefault="00447DF0" w:rsidP="00447DF0">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Training Participants (n=13)</w:t>
            </w:r>
          </w:p>
        </w:tc>
        <w:tc>
          <w:tcPr>
            <w:tcW w:w="1740" w:type="dxa"/>
            <w:tcBorders>
              <w:top w:val="single" w:sz="4" w:space="0" w:color="auto"/>
              <w:left w:val="nil"/>
              <w:bottom w:val="single" w:sz="4" w:space="0" w:color="auto"/>
              <w:right w:val="nil"/>
            </w:tcBorders>
            <w:shd w:val="clear" w:color="auto" w:fill="auto"/>
            <w:noWrap/>
            <w:vAlign w:val="bottom"/>
            <w:hideMark/>
          </w:tcPr>
          <w:p w14:paraId="3674E19F"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0.54</w:t>
            </w:r>
          </w:p>
        </w:tc>
        <w:tc>
          <w:tcPr>
            <w:tcW w:w="2420" w:type="dxa"/>
            <w:tcBorders>
              <w:top w:val="single" w:sz="4" w:space="0" w:color="auto"/>
              <w:left w:val="nil"/>
              <w:bottom w:val="single" w:sz="4" w:space="0" w:color="auto"/>
              <w:right w:val="nil"/>
            </w:tcBorders>
            <w:shd w:val="clear" w:color="auto" w:fill="auto"/>
            <w:noWrap/>
            <w:vAlign w:val="bottom"/>
            <w:hideMark/>
          </w:tcPr>
          <w:p w14:paraId="3D00547F" w14:textId="77777777" w:rsidR="00447DF0" w:rsidRPr="00C304AA" w:rsidRDefault="00447DF0" w:rsidP="00447DF0">
            <w:pPr>
              <w:spacing w:after="0" w:line="240" w:lineRule="auto"/>
              <w:jc w:val="right"/>
              <w:rPr>
                <w:rFonts w:ascii="Calibri" w:eastAsia="Times New Roman" w:hAnsi="Calibri" w:cs="Calibri"/>
                <w:color w:val="000000"/>
                <w:sz w:val="18"/>
                <w:szCs w:val="18"/>
                <w:lang w:eastAsia="en-GB"/>
              </w:rPr>
            </w:pPr>
            <w:r w:rsidRPr="00C304AA">
              <w:rPr>
                <w:rFonts w:ascii="Calibri" w:eastAsia="Times New Roman" w:hAnsi="Calibri" w:cs="Calibri"/>
                <w:color w:val="000000"/>
                <w:sz w:val="18"/>
                <w:szCs w:val="18"/>
                <w:lang w:eastAsia="en-GB"/>
              </w:rPr>
              <w:t>0.38</w:t>
            </w:r>
          </w:p>
        </w:tc>
      </w:tr>
      <w:tr w:rsidR="00BD3606" w:rsidRPr="00C304AA" w14:paraId="3E4C5FDE" w14:textId="77777777" w:rsidTr="00A92EAE">
        <w:trPr>
          <w:trHeight w:val="205"/>
          <w:jc w:val="center"/>
        </w:trPr>
        <w:tc>
          <w:tcPr>
            <w:tcW w:w="4059" w:type="dxa"/>
            <w:vMerge/>
            <w:tcBorders>
              <w:top w:val="nil"/>
              <w:left w:val="nil"/>
              <w:bottom w:val="single" w:sz="4" w:space="0" w:color="auto"/>
              <w:right w:val="nil"/>
            </w:tcBorders>
            <w:vAlign w:val="center"/>
            <w:hideMark/>
          </w:tcPr>
          <w:p w14:paraId="019DEC0C" w14:textId="77777777" w:rsidR="00BD3606" w:rsidRPr="00C304AA" w:rsidRDefault="00BD3606" w:rsidP="00BD3606">
            <w:pPr>
              <w:spacing w:after="0" w:line="240" w:lineRule="auto"/>
              <w:rPr>
                <w:rFonts w:ascii="Calibri" w:eastAsia="Times New Roman" w:hAnsi="Calibri" w:cs="Calibri"/>
                <w:b/>
                <w:bCs/>
                <w:sz w:val="18"/>
                <w:szCs w:val="18"/>
                <w:lang w:eastAsia="en-GB"/>
              </w:rPr>
            </w:pPr>
          </w:p>
        </w:tc>
        <w:tc>
          <w:tcPr>
            <w:tcW w:w="1860" w:type="dxa"/>
            <w:tcBorders>
              <w:top w:val="nil"/>
              <w:left w:val="nil"/>
              <w:bottom w:val="single" w:sz="4" w:space="0" w:color="auto"/>
              <w:right w:val="nil"/>
            </w:tcBorders>
            <w:shd w:val="clear" w:color="auto" w:fill="auto"/>
            <w:noWrap/>
            <w:vAlign w:val="bottom"/>
            <w:hideMark/>
          </w:tcPr>
          <w:p w14:paraId="227534CB" w14:textId="6BCCABAE" w:rsidR="00BD3606" w:rsidRPr="00C304AA" w:rsidRDefault="00BD3606" w:rsidP="00BD3606">
            <w:pPr>
              <w:spacing w:after="0" w:line="240" w:lineRule="auto"/>
              <w:rPr>
                <w:rFonts w:ascii="Calibri" w:eastAsia="Times New Roman" w:hAnsi="Calibri" w:cs="Calibri"/>
                <w:b/>
                <w:bCs/>
                <w:color w:val="000000"/>
                <w:sz w:val="18"/>
                <w:szCs w:val="18"/>
                <w:lang w:eastAsia="en-GB"/>
              </w:rPr>
            </w:pPr>
            <w:r w:rsidRPr="00C304AA">
              <w:rPr>
                <w:rFonts w:ascii="Calibri" w:eastAsia="Times New Roman" w:hAnsi="Calibri" w:cs="Calibri"/>
                <w:b/>
                <w:bCs/>
                <w:color w:val="000000"/>
                <w:sz w:val="18"/>
                <w:szCs w:val="18"/>
                <w:lang w:eastAsia="en-GB"/>
              </w:rPr>
              <w:t>All</w:t>
            </w:r>
            <w:r>
              <w:rPr>
                <w:rFonts w:ascii="Calibri" w:eastAsia="Times New Roman" w:hAnsi="Calibri" w:cs="Calibri"/>
                <w:b/>
                <w:bCs/>
                <w:color w:val="000000"/>
                <w:sz w:val="18"/>
                <w:szCs w:val="18"/>
                <w:lang w:eastAsia="en-GB"/>
              </w:rPr>
              <w:t xml:space="preserve"> (n=32)</w:t>
            </w:r>
          </w:p>
        </w:tc>
        <w:tc>
          <w:tcPr>
            <w:tcW w:w="1740" w:type="dxa"/>
            <w:tcBorders>
              <w:top w:val="nil"/>
              <w:left w:val="nil"/>
              <w:bottom w:val="single" w:sz="4" w:space="0" w:color="auto"/>
              <w:right w:val="nil"/>
            </w:tcBorders>
            <w:shd w:val="clear" w:color="auto" w:fill="auto"/>
            <w:noWrap/>
            <w:vAlign w:val="bottom"/>
            <w:hideMark/>
          </w:tcPr>
          <w:p w14:paraId="05771E93" w14:textId="77777777" w:rsidR="00BD3606" w:rsidRPr="00C304AA" w:rsidRDefault="00BD3606" w:rsidP="00BD3606">
            <w:pPr>
              <w:spacing w:after="0" w:line="240" w:lineRule="auto"/>
              <w:jc w:val="right"/>
              <w:rPr>
                <w:rFonts w:ascii="Calibri" w:eastAsia="Times New Roman" w:hAnsi="Calibri" w:cs="Calibri"/>
                <w:i/>
                <w:iCs/>
                <w:color w:val="000000"/>
                <w:sz w:val="18"/>
                <w:szCs w:val="18"/>
                <w:lang w:eastAsia="en-GB"/>
              </w:rPr>
            </w:pPr>
            <w:r w:rsidRPr="00C304AA">
              <w:rPr>
                <w:rFonts w:ascii="Calibri" w:eastAsia="Times New Roman" w:hAnsi="Calibri" w:cs="Calibri"/>
                <w:i/>
                <w:iCs/>
                <w:color w:val="000000"/>
                <w:sz w:val="18"/>
                <w:szCs w:val="18"/>
                <w:lang w:eastAsia="en-GB"/>
              </w:rPr>
              <w:t>0.34</w:t>
            </w:r>
          </w:p>
        </w:tc>
        <w:tc>
          <w:tcPr>
            <w:tcW w:w="2420" w:type="dxa"/>
            <w:tcBorders>
              <w:top w:val="nil"/>
              <w:left w:val="nil"/>
              <w:bottom w:val="single" w:sz="4" w:space="0" w:color="auto"/>
              <w:right w:val="nil"/>
            </w:tcBorders>
            <w:shd w:val="clear" w:color="auto" w:fill="auto"/>
            <w:noWrap/>
            <w:vAlign w:val="bottom"/>
            <w:hideMark/>
          </w:tcPr>
          <w:p w14:paraId="45DCAFAD" w14:textId="77777777" w:rsidR="00BD3606" w:rsidRPr="00C304AA" w:rsidRDefault="00BD3606" w:rsidP="00BD3606">
            <w:pPr>
              <w:keepNext/>
              <w:spacing w:after="0" w:line="240" w:lineRule="auto"/>
              <w:jc w:val="right"/>
              <w:rPr>
                <w:rFonts w:ascii="Calibri" w:eastAsia="Times New Roman" w:hAnsi="Calibri" w:cs="Calibri"/>
                <w:i/>
                <w:iCs/>
                <w:color w:val="000000"/>
                <w:sz w:val="18"/>
                <w:szCs w:val="18"/>
                <w:lang w:eastAsia="en-GB"/>
              </w:rPr>
            </w:pPr>
            <w:r w:rsidRPr="00C304AA">
              <w:rPr>
                <w:rFonts w:ascii="Calibri" w:eastAsia="Times New Roman" w:hAnsi="Calibri" w:cs="Calibri"/>
                <w:i/>
                <w:iCs/>
                <w:color w:val="000000"/>
                <w:sz w:val="18"/>
                <w:szCs w:val="18"/>
                <w:lang w:eastAsia="en-GB"/>
              </w:rPr>
              <w:t>0.59</w:t>
            </w:r>
          </w:p>
        </w:tc>
      </w:tr>
    </w:tbl>
    <w:bookmarkEnd w:id="28"/>
    <w:p w14:paraId="1007ABB0" w14:textId="3361087B" w:rsidR="00C304AA" w:rsidRPr="001B4C91" w:rsidRDefault="00BD3606" w:rsidP="00786905">
      <w:pPr>
        <w:pStyle w:val="Caption"/>
        <w:jc w:val="center"/>
      </w:pPr>
      <w:r>
        <w:t xml:space="preserve">Table </w:t>
      </w:r>
      <w:r w:rsidR="00673A35">
        <w:rPr>
          <w:noProof/>
        </w:rPr>
        <w:fldChar w:fldCharType="begin"/>
      </w:r>
      <w:r w:rsidR="00673A35">
        <w:rPr>
          <w:noProof/>
        </w:rPr>
        <w:instrText xml:space="preserve"> SEQ Table \* ARABIC </w:instrText>
      </w:r>
      <w:r w:rsidR="00673A35">
        <w:rPr>
          <w:noProof/>
        </w:rPr>
        <w:fldChar w:fldCharType="separate"/>
      </w:r>
      <w:r w:rsidR="00004C24">
        <w:rPr>
          <w:noProof/>
        </w:rPr>
        <w:t>7</w:t>
      </w:r>
      <w:r w:rsidR="00673A35">
        <w:rPr>
          <w:noProof/>
        </w:rPr>
        <w:fldChar w:fldCharType="end"/>
      </w:r>
      <w:r>
        <w:t xml:space="preserve"> – Results as percentages </w:t>
      </w:r>
      <w:r w:rsidR="00786905">
        <w:t>for responses to additional dietetic questions at T1.</w:t>
      </w:r>
    </w:p>
    <w:p w14:paraId="31E07969" w14:textId="333AC0E2" w:rsidR="00C3267A" w:rsidRPr="00570AA3" w:rsidRDefault="00C3267A" w:rsidP="00570AA3">
      <w:pPr>
        <w:rPr>
          <w:u w:val="single"/>
        </w:rPr>
      </w:pPr>
      <w:r w:rsidRPr="00570AA3">
        <w:rPr>
          <w:u w:val="single"/>
        </w:rPr>
        <w:t>Discussion</w:t>
      </w:r>
    </w:p>
    <w:p w14:paraId="4917C5C6" w14:textId="497BA931" w:rsidR="00145B12" w:rsidRDefault="002A6B33" w:rsidP="00D75EF7">
      <w:pPr>
        <w:jc w:val="both"/>
      </w:pPr>
      <w:r w:rsidRPr="002A6B33">
        <w:t xml:space="preserve">The </w:t>
      </w:r>
      <w:r>
        <w:t>aim of the INSCCOPe study</w:t>
      </w:r>
      <w:r w:rsidRPr="002A6B33">
        <w:t xml:space="preserve"> was</w:t>
      </w:r>
      <w:r>
        <w:t xml:space="preserve"> to </w:t>
      </w:r>
      <w:r w:rsidRPr="002A6B33">
        <w:t>undertake a process evaluation of implementation of the screening procedure and its associated training</w:t>
      </w:r>
      <w:r w:rsidR="000E53A9">
        <w:t>,</w:t>
      </w:r>
      <w:r w:rsidRPr="002A6B33">
        <w:t xml:space="preserve"> and identify factors </w:t>
      </w:r>
      <w:r w:rsidR="000E53A9">
        <w:t xml:space="preserve">promoting </w:t>
      </w:r>
      <w:r w:rsidRPr="002A6B33">
        <w:t>or inhibit</w:t>
      </w:r>
      <w:r w:rsidR="000E53A9">
        <w:t>ing</w:t>
      </w:r>
      <w:r w:rsidRPr="002A6B33">
        <w:t xml:space="preserve"> embedding of nutritional screening </w:t>
      </w:r>
      <w:r w:rsidR="000E53A9">
        <w:t>in routine care</w:t>
      </w:r>
      <w:r w:rsidRPr="002A6B33">
        <w:t>.</w:t>
      </w:r>
      <w:r>
        <w:t xml:space="preserve"> </w:t>
      </w:r>
      <w:r w:rsidR="00145B12">
        <w:t>Study findings indicate that staff value nutri</w:t>
      </w:r>
      <w:r w:rsidR="00570AA3">
        <w:t>ti</w:t>
      </w:r>
      <w:r w:rsidR="00145B12">
        <w:t>on screening and treatment activity</w:t>
      </w:r>
      <w:r w:rsidR="00FA37E6">
        <w:t xml:space="preserve"> and are open to new ways of working (indicating favourable conditions relating to the </w:t>
      </w:r>
      <w:r w:rsidR="00A44033">
        <w:rPr>
          <w:i/>
        </w:rPr>
        <w:t>Internalisation</w:t>
      </w:r>
      <w:r w:rsidR="00FA37E6">
        <w:t xml:space="preserve"> and </w:t>
      </w:r>
      <w:r w:rsidR="00A44033">
        <w:rPr>
          <w:i/>
        </w:rPr>
        <w:t>Relational integration</w:t>
      </w:r>
      <w:r w:rsidR="00FA37E6">
        <w:t xml:space="preserve"> co</w:t>
      </w:r>
      <w:r w:rsidR="00A44033">
        <w:t>mponents</w:t>
      </w:r>
      <w:r w:rsidR="00FA37E6">
        <w:t xml:space="preserve"> of NPT). In addition,</w:t>
      </w:r>
      <w:r w:rsidR="00145B12">
        <w:t xml:space="preserve"> training is effective in improving knowledge of the new procedure. However, </w:t>
      </w:r>
      <w:r w:rsidR="00FA37E6">
        <w:t>participant</w:t>
      </w:r>
      <w:r w:rsidR="00A44033">
        <w:t xml:space="preserve"> responses</w:t>
      </w:r>
      <w:r w:rsidR="00FA37E6">
        <w:t xml:space="preserve"> highlighted </w:t>
      </w:r>
      <w:r w:rsidR="00A44033">
        <w:t xml:space="preserve">lack of institutional support for nutrition screening </w:t>
      </w:r>
      <w:r w:rsidR="00A44033">
        <w:rPr>
          <w:i/>
        </w:rPr>
        <w:t>(Contextual integration)</w:t>
      </w:r>
      <w:r w:rsidR="00A44033">
        <w:t xml:space="preserve">, as well as absence of a ‘key’ person to support and drive forward service development </w:t>
      </w:r>
      <w:r w:rsidR="00A44033">
        <w:rPr>
          <w:i/>
        </w:rPr>
        <w:t>(Initiation)</w:t>
      </w:r>
      <w:r w:rsidR="00A44033">
        <w:t xml:space="preserve">, indicating that </w:t>
      </w:r>
      <w:r w:rsidR="00A44033" w:rsidRPr="00A44033">
        <w:t xml:space="preserve">significant barriers to implementation remain. </w:t>
      </w:r>
      <w:r w:rsidR="00145B12">
        <w:t xml:space="preserve">Implications of </w:t>
      </w:r>
      <w:r w:rsidR="00004591">
        <w:t>these findings and</w:t>
      </w:r>
      <w:r w:rsidR="00145B12">
        <w:t xml:space="preserve"> recommendations for addressing</w:t>
      </w:r>
      <w:r w:rsidR="00004591">
        <w:t xml:space="preserve"> barriers</w:t>
      </w:r>
      <w:r w:rsidR="00145B12">
        <w:t xml:space="preserve"> are discussed, in addition to wider implications for implementation of service developments in community settings.</w:t>
      </w:r>
    </w:p>
    <w:p w14:paraId="22E7C427" w14:textId="4869C5E7" w:rsidR="00DB54DB" w:rsidRDefault="00502281" w:rsidP="00D75EF7">
      <w:pPr>
        <w:jc w:val="both"/>
      </w:pPr>
      <w:r>
        <w:t>NoMad r</w:t>
      </w:r>
      <w:r w:rsidRPr="00502281">
        <w:t xml:space="preserve">esponses mapping to </w:t>
      </w:r>
      <w:r w:rsidRPr="000F4EA3">
        <w:rPr>
          <w:i/>
        </w:rPr>
        <w:t>Cognitive participation</w:t>
      </w:r>
      <w:r w:rsidRPr="00502281">
        <w:t xml:space="preserve"> </w:t>
      </w:r>
      <w:r>
        <w:t>indicate</w:t>
      </w:r>
      <w:r w:rsidRPr="00502281">
        <w:t xml:space="preserve"> conditions conducive to building and sustaining a community of practice around nutrition screening and treatment. Findings (T0 and T1) indicate that staff view such work as a legitimate part of their role (Q9, </w:t>
      </w:r>
      <w:r w:rsidRPr="000F4EA3">
        <w:rPr>
          <w:i/>
        </w:rPr>
        <w:t>Enrolment</w:t>
      </w:r>
      <w:r w:rsidRPr="00502281">
        <w:t xml:space="preserve">), are open to working with colleagues in new ways in relation to it (Q10, </w:t>
      </w:r>
      <w:r w:rsidRPr="000F4EA3">
        <w:rPr>
          <w:i/>
        </w:rPr>
        <w:t>Legitimation</w:t>
      </w:r>
      <w:r w:rsidRPr="00502281">
        <w:t xml:space="preserve">), and will continue to support further development in this area (Q11, </w:t>
      </w:r>
      <w:r w:rsidRPr="000F4EA3">
        <w:rPr>
          <w:i/>
        </w:rPr>
        <w:t>Activation</w:t>
      </w:r>
      <w:r w:rsidRPr="00502281">
        <w:t>).</w:t>
      </w:r>
      <w:r w:rsidR="00495727">
        <w:t xml:space="preserve"> </w:t>
      </w:r>
      <w:r w:rsidR="00E14F30">
        <w:t xml:space="preserve">In addition, responses (both T0 and T1) indicate that both baseline </w:t>
      </w:r>
      <w:r w:rsidR="00E14F30">
        <w:lastRenderedPageBreak/>
        <w:t xml:space="preserve">arrangements for nutrition screening and treatment, as well as the new procedure, and can be easily integrated into existing work (Q12, </w:t>
      </w:r>
      <w:r w:rsidR="00E14F30">
        <w:rPr>
          <w:i/>
        </w:rPr>
        <w:t>Interactional workability</w:t>
      </w:r>
      <w:r w:rsidR="00E14F30">
        <w:t>)</w:t>
      </w:r>
      <w:r w:rsidR="00E60DD5">
        <w:t>. Between T0-T1, there was a shift in average scores towards ‘neither agree nor disagree’ and away from ‘strongly agree’ in relation to perceptions of disruptiveness of</w:t>
      </w:r>
      <w:r w:rsidR="00E14F30">
        <w:t xml:space="preserve"> </w:t>
      </w:r>
      <w:r w:rsidR="00E60DD5">
        <w:t>nutrition screening and treatment for working relationships</w:t>
      </w:r>
      <w:r w:rsidR="00E14F30">
        <w:t xml:space="preserve"> (Q13, </w:t>
      </w:r>
      <w:r w:rsidR="00E14F30">
        <w:rPr>
          <w:i/>
        </w:rPr>
        <w:t>Relational integration)</w:t>
      </w:r>
      <w:r w:rsidR="00E14F30">
        <w:t>.</w:t>
      </w:r>
      <w:r w:rsidR="00E60DD5">
        <w:t xml:space="preserve"> This shift was significant for non-training participants (p=0.02)</w:t>
      </w:r>
      <w:r w:rsidR="00AC24F1">
        <w:t>,</w:t>
      </w:r>
      <w:r w:rsidR="00E60DD5">
        <w:t xml:space="preserve"> and </w:t>
      </w:r>
      <w:r w:rsidR="00AC24F1">
        <w:t xml:space="preserve">was observed but did not reach statistical </w:t>
      </w:r>
      <w:r w:rsidR="00E60DD5">
        <w:t>significance for training participants (p=0.07), indicating that implementation may have had some effect on staff perceptions of effect of nutrition screening and treatment on working relationships. However, mean scores for both groups at T1 (2.1 for training, 2.4 for non-training) indicate that many participants still see this activity as disruptive to working relationships.</w:t>
      </w:r>
    </w:p>
    <w:p w14:paraId="704EDD32" w14:textId="5F69BD37" w:rsidR="00E24ABD" w:rsidRDefault="00FB3072" w:rsidP="00E24ABD">
      <w:pPr>
        <w:jc w:val="both"/>
      </w:pPr>
      <w:bookmarkStart w:id="29" w:name="_Hlk524082916"/>
      <w:r>
        <w:t>Results indicate several challenges to</w:t>
      </w:r>
      <w:r w:rsidR="00145B12">
        <w:t xml:space="preserve"> current</w:t>
      </w:r>
      <w:r>
        <w:t xml:space="preserve"> </w:t>
      </w:r>
      <w:r w:rsidR="00FD1B89">
        <w:t>implementation design</w:t>
      </w:r>
      <w:r w:rsidR="007A0FF9">
        <w:t>: f</w:t>
      </w:r>
      <w:r>
        <w:t xml:space="preserve">irstly, </w:t>
      </w:r>
      <w:r w:rsidR="00145B12">
        <w:t>non-completion of training (</w:t>
      </w:r>
      <w:r w:rsidR="00024428">
        <w:t>44%</w:t>
      </w:r>
      <w:r>
        <w:t xml:space="preserve"> of total staff (n=223) did not complete</w:t>
      </w:r>
      <w:r w:rsidR="00145B12">
        <w:t>)</w:t>
      </w:r>
      <w:r w:rsidR="007A0FF9">
        <w:t>. C</w:t>
      </w:r>
      <w:r w:rsidR="00DB54DB">
        <w:t xml:space="preserve">oncerns regarding </w:t>
      </w:r>
      <w:r w:rsidR="007A0FF9">
        <w:t xml:space="preserve">time and resource constraints for nutrition screening and treatment activity (see Q17, table 5; and Box 1) were indicated in both NoMad (T0 &amp; T1) and interview responses. Furthermore, </w:t>
      </w:r>
      <w:r w:rsidR="000E53A9">
        <w:t>study team experiences</w:t>
      </w:r>
      <w:r w:rsidR="00495727">
        <w:t xml:space="preserve"> in recruitment to telephone interview indicated </w:t>
      </w:r>
      <w:r w:rsidR="000E53A9">
        <w:t>a number of</w:t>
      </w:r>
      <w:r w:rsidR="00495727">
        <w:t xml:space="preserve"> participants who declined to participate, or agreed and then were forced to withdraw, in both cases due to changes in workload (see Additional File 2). These observations </w:t>
      </w:r>
      <w:r w:rsidR="000E53A9">
        <w:t>indicate</w:t>
      </w:r>
      <w:r w:rsidR="00495727">
        <w:t xml:space="preserve"> changeable demands that characterise community team working</w:t>
      </w:r>
      <w:r w:rsidR="007A0FF9">
        <w:t xml:space="preserve"> </w:t>
      </w:r>
      <w:r w:rsidR="00495727">
        <w:t>environments</w:t>
      </w:r>
      <w:r w:rsidR="00E14F30">
        <w:t xml:space="preserve">, and affect attendance at </w:t>
      </w:r>
      <w:r w:rsidR="00155F8F">
        <w:t>in-person</w:t>
      </w:r>
      <w:r w:rsidR="00E14F30">
        <w:t xml:space="preserve"> training sessions</w:t>
      </w:r>
      <w:r w:rsidR="00155F8F">
        <w:t xml:space="preserve"> that are non-mandatory</w:t>
      </w:r>
      <w:r w:rsidR="00495727">
        <w:t xml:space="preserve">. Secondly, </w:t>
      </w:r>
      <w:r w:rsidR="00E14F30">
        <w:t>working</w:t>
      </w:r>
      <w:r w:rsidR="00495727">
        <w:t xml:space="preserve"> environment</w:t>
      </w:r>
      <w:r w:rsidR="000E53A9">
        <w:t>s</w:t>
      </w:r>
      <w:r w:rsidR="00495727">
        <w:t xml:space="preserve"> also include significant attrition of key </w:t>
      </w:r>
      <w:r w:rsidR="00583931">
        <w:t>staff</w:t>
      </w:r>
      <w:r w:rsidR="00495727">
        <w:t xml:space="preserve">; </w:t>
      </w:r>
      <w:r w:rsidR="00583931">
        <w:t>12 participants left post between T0-T1, of which four were team leads</w:t>
      </w:r>
      <w:r w:rsidR="00495727">
        <w:t>.</w:t>
      </w:r>
      <w:r w:rsidR="00E14F30">
        <w:t xml:space="preserve"> This risks reduction in numbers trained in the new procedure, as well as key people able to monitor compliance and provide appropriate support (i.e. team leads). </w:t>
      </w:r>
      <w:r w:rsidR="00495727">
        <w:t>T</w:t>
      </w:r>
      <w:r w:rsidR="00024428">
        <w:t xml:space="preserve">hirdly, </w:t>
      </w:r>
      <w:r w:rsidR="00495727">
        <w:t xml:space="preserve">effect of staff attrition on overall procedure compliance may be compounded by </w:t>
      </w:r>
      <w:r w:rsidR="00583931">
        <w:t>lack of monitoring</w:t>
      </w:r>
      <w:r w:rsidR="00495727">
        <w:t xml:space="preserve"> of training</w:t>
      </w:r>
      <w:r w:rsidR="00583931">
        <w:t xml:space="preserve"> (</w:t>
      </w:r>
      <w:r w:rsidR="00495727">
        <w:t xml:space="preserve">i.e. </w:t>
      </w:r>
      <w:r w:rsidR="00024428">
        <w:t>while pre-post knowledge checks were taken, no procedures</w:t>
      </w:r>
      <w:r w:rsidR="00AD57BA">
        <w:t xml:space="preserve"> for monitoring</w:t>
      </w:r>
      <w:r w:rsidR="00583931">
        <w:t xml:space="preserve"> ongoing</w:t>
      </w:r>
      <w:r w:rsidR="00AD57BA">
        <w:t xml:space="preserve"> compliance </w:t>
      </w:r>
      <w:r w:rsidR="00024428">
        <w:t>currently exist</w:t>
      </w:r>
      <w:r w:rsidR="00583931">
        <w:t>)</w:t>
      </w:r>
      <w:r w:rsidR="00495727">
        <w:t>. F</w:t>
      </w:r>
      <w:r w:rsidR="00024428">
        <w:t xml:space="preserve">ourthly, </w:t>
      </w:r>
      <w:r w:rsidR="003A1520">
        <w:t>concerns about</w:t>
      </w:r>
      <w:r w:rsidR="00583931">
        <w:t xml:space="preserve"> institutional support for nutrition screening and treatment activity (as indicated through interviews and responses to dietetic survey questions) </w:t>
      </w:r>
      <w:r w:rsidR="00E24ABD">
        <w:t xml:space="preserve">persisted after introduction of </w:t>
      </w:r>
      <w:r w:rsidR="00583931">
        <w:t>the procedure through training</w:t>
      </w:r>
      <w:r w:rsidR="00495727">
        <w:t xml:space="preserve">. </w:t>
      </w:r>
      <w:r w:rsidR="000E53A9">
        <w:t>F</w:t>
      </w:r>
      <w:r w:rsidR="00495727">
        <w:t xml:space="preserve">urther </w:t>
      </w:r>
      <w:r w:rsidR="000E53A9">
        <w:t xml:space="preserve">attention </w:t>
      </w:r>
      <w:r w:rsidR="00495727">
        <w:t xml:space="preserve">to </w:t>
      </w:r>
      <w:r w:rsidR="00495727">
        <w:rPr>
          <w:i/>
        </w:rPr>
        <w:t>Contextual integration</w:t>
      </w:r>
      <w:r w:rsidR="00495727">
        <w:t xml:space="preserve"> processes</w:t>
      </w:r>
      <w:r w:rsidR="000E53A9">
        <w:t xml:space="preserve"> is necessary</w:t>
      </w:r>
      <w:r w:rsidR="00495727">
        <w:t>, specifically support provided by management for nutrition screening and treatment activity, and how this is made available to community teams.</w:t>
      </w:r>
    </w:p>
    <w:p w14:paraId="24D4B15F" w14:textId="11C5A927" w:rsidR="00A03E06" w:rsidRDefault="00583931" w:rsidP="00E34B16">
      <w:pPr>
        <w:jc w:val="both"/>
      </w:pPr>
      <w:bookmarkStart w:id="30" w:name="_Hlk524082962"/>
      <w:bookmarkEnd w:id="29"/>
      <w:r>
        <w:t>In response, w</w:t>
      </w:r>
      <w:r w:rsidR="00501D0C">
        <w:t>e propose two</w:t>
      </w:r>
      <w:r>
        <w:t xml:space="preserve"> main</w:t>
      </w:r>
      <w:r w:rsidR="00501D0C">
        <w:t xml:space="preserve"> changes to implementation design.</w:t>
      </w:r>
      <w:r w:rsidR="00D131E0">
        <w:t xml:space="preserve">  </w:t>
      </w:r>
      <w:r w:rsidR="003772C4">
        <w:t xml:space="preserve">Firstly, </w:t>
      </w:r>
      <w:r w:rsidR="00D131E0">
        <w:t xml:space="preserve">appointment of a </w:t>
      </w:r>
      <w:r w:rsidR="00F406F2">
        <w:t>key person</w:t>
      </w:r>
      <w:r w:rsidR="00AD57BA">
        <w:t xml:space="preserve"> for the new procedure</w:t>
      </w:r>
      <w:r w:rsidR="00D131E0">
        <w:t>, with specialist</w:t>
      </w:r>
      <w:r w:rsidR="00501D0C">
        <w:t xml:space="preserve"> nutritional</w:t>
      </w:r>
      <w:r w:rsidR="00D131E0">
        <w:t xml:space="preserve"> expertise and </w:t>
      </w:r>
      <w:r w:rsidR="00D131E0">
        <w:lastRenderedPageBreak/>
        <w:t>remit to</w:t>
      </w:r>
      <w:r w:rsidR="00501D0C">
        <w:t>:</w:t>
      </w:r>
      <w:r w:rsidR="00D131E0">
        <w:t xml:space="preserve"> monitor training completion</w:t>
      </w:r>
      <w:r w:rsidR="00063868">
        <w:t xml:space="preserve"> rates and procedure compliance; disseminate practice updates;</w:t>
      </w:r>
      <w:r w:rsidR="00D131E0">
        <w:t xml:space="preserve"> </w:t>
      </w:r>
      <w:r>
        <w:t>provide</w:t>
      </w:r>
      <w:r w:rsidR="00D131E0">
        <w:t xml:space="preserve"> advice and support for nutritio</w:t>
      </w:r>
      <w:r>
        <w:t>n screening and treatment</w:t>
      </w:r>
      <w:r w:rsidR="00D131E0">
        <w:t xml:space="preserve">.  </w:t>
      </w:r>
      <w:r>
        <w:t>This</w:t>
      </w:r>
      <w:r w:rsidR="00E17E57">
        <w:t xml:space="preserve"> addresses a suggestion </w:t>
      </w:r>
      <w:r w:rsidR="00D131E0">
        <w:t xml:space="preserve">by </w:t>
      </w:r>
      <w:r w:rsidR="00643C4E">
        <w:t>several</w:t>
      </w:r>
      <w:r w:rsidR="001B3B05">
        <w:t xml:space="preserve"> interview participants</w:t>
      </w:r>
      <w:r w:rsidR="00E17E57">
        <w:t>,</w:t>
      </w:r>
      <w:r w:rsidR="00D131E0">
        <w:t xml:space="preserve"> who cited benefits of </w:t>
      </w:r>
      <w:r w:rsidR="00E17E57">
        <w:t xml:space="preserve">this role </w:t>
      </w:r>
      <w:r w:rsidR="00D131E0">
        <w:t>in other areas such as wound care</w:t>
      </w:r>
      <w:r w:rsidR="001B3B05">
        <w:t xml:space="preserve">, </w:t>
      </w:r>
      <w:r w:rsidR="00E17E57">
        <w:t>as well as</w:t>
      </w:r>
      <w:r w:rsidR="001B3B05">
        <w:t xml:space="preserve"> a gap indicated by </w:t>
      </w:r>
      <w:r w:rsidR="00B5094A">
        <w:t>uncertain</w:t>
      </w:r>
      <w:r w:rsidR="001B3B05">
        <w:t xml:space="preserve"> survey r</w:t>
      </w:r>
      <w:r w:rsidR="003A704A">
        <w:t>esponses (NoMad Q8 – see table 4</w:t>
      </w:r>
      <w:r w:rsidR="001B3B05">
        <w:t>)</w:t>
      </w:r>
      <w:r w:rsidR="00D131E0">
        <w:t xml:space="preserve">.  The value of such a role in implementing new nutritional care procedures has also been demonstrated </w:t>
      </w:r>
      <w:r w:rsidR="000824DF">
        <w:t>in</w:t>
      </w:r>
      <w:r w:rsidR="00D131E0">
        <w:t xml:space="preserve"> secondary care settings</w:t>
      </w:r>
      <w:r w:rsidR="00A03E06">
        <w:t xml:space="preserve"> in helping staff understand new nutritional procedures (</w:t>
      </w:r>
      <w:r w:rsidR="00A03E06" w:rsidRPr="00D57BB3">
        <w:rPr>
          <w:i/>
        </w:rPr>
        <w:t>coherence</w:t>
      </w:r>
      <w:r w:rsidR="00A03E06">
        <w:rPr>
          <w:i/>
        </w:rPr>
        <w:t>)</w:t>
      </w:r>
      <w:r w:rsidR="00A03E06">
        <w:t xml:space="preserve"> and work through changes to their existing practices and relationships (</w:t>
      </w:r>
      <w:r w:rsidR="00A03E06">
        <w:rPr>
          <w:i/>
        </w:rPr>
        <w:t>cognitive participation</w:t>
      </w:r>
      <w:r w:rsidR="00A03E06">
        <w:t>)</w:t>
      </w:r>
      <w:r w:rsidR="00E34B16">
        <w:t xml:space="preserve"> </w:t>
      </w:r>
      <w:r w:rsidR="00E34B16">
        <w:fldChar w:fldCharType="begin" w:fldLock="1"/>
      </w:r>
      <w:r w:rsidR="008F1402">
        <w:instrText>ADDIN CSL_CITATION {"citationItems":[{"id":"ITEM-1","itemData":{"DOI":"doi:10.1136/bmjopen-2017-017727","ISSN":"2044-6055","author":[{"dropping-particle":"","family":"Johnson","given":"Mark J","non-dropping-particle":"","parse-names":false,"suffix":""},{"dropping-particle":"","family":"Leaf","given":"Alison A","non-dropping-particle":"","parse-names":false,"suffix":""},{"dropping-particle":"","family":"Pearson","given":"Freya","non-dropping-particle":"","parse-names":false,"suffix":""}],"container-title":"BMJ Open","id":"ITEM-1","issued":{"date-parts":[["2017"]]},"title":"Successfully implementing and embedding guidelines to improve the nutrition and growth of preterm infants in neonatal intensive care: a prospective interventional study","type":"article-journal"},"uris":["http://www.mendeley.com/documents/?uuid=744b5300-5d0c-4cd1-a2ce-1729fafa69d4"]},{"id":"ITEM-2","itemData":{"DOI":"10.1186/1748-5908-8-96","ISBN":"1748-5908","ISSN":"17485908","PMID":"23972027","abstract":"BACKGROUND: Medical Research Council (MRC) guidance identifies implementation as a key element of the development and evaluation process for complex healthcare interventions. Implementation is itself a complex process involving the mobilization of human, material, and organizational resources to change practice within settings that have pre-existing structures, historical patterns of relationships, and routinized ways of working. Process evaluations enable researchers and clinicians to understand how implementation proceeds and what factors impact on intended program change. A qualitative process evaluation of the pragmatic cluster randomized controlled trial; Training Caregivers after Stroke was conducted to examine how professionals were engaged in the work of delivering training; how they reached and involved caregivers for whom the intervention was most appropriate; how did those on whom training was targeted experience and respond to it. Normalization Process Theory, which focuses attention on implementing and embedding program change, was used as a sensitizing framework to examine selected findings.\\n\\nRESULTS: Contextual factors including organizational history and team relationships, external policy, and service development initiatives, impinged on implementation of the caregiver training program in unintended ways that could not have been predicted through focus on mechanisms of individual and collective action at unit level. Factors that facilitated or impeded the effectiveness of the cascade training model used, whether and how stroke unit teams made sense of and engaged individually and collectively with a complex caregiver training intervention, and what impact these factors had on embedding the intervention in routine stroke unit practice were identified.\\n\\nCONCLUSIONS: Where implementation of complex interventions depends on multiple providers, time needs to be invested in reaching agreement on who will take responsibility for delivery of specific components and in determining how implementation and its effectiveness will be monitored. This goes beyond concern with intervention fidelity; explicit consideration also needs to be given to the implementation process in terms of how program change can be effected at organizational, practice, and service delivery levels. Normalization Process Theory's constructs help identify vulnerable features of implementation processes in respect of the work involved in embedding complex interventions.","author":[{"dropping-particle":"","family":"Clarke","given":"David J.","non-dropping-particle":"","parse-names":false,"suffix":""},{"dropping-particle":"","family":"Godfrey","given":"Mary","non-dropping-particle":"","parse-names":false,"suffix":""},{"dropping-particle":"","family":"Hawkins","given":"Rebecca","non-dropping-particle":"","parse-names":false,"suffix":""},{"dropping-particle":"","family":"Sadler","given":"Euan","non-dropping-particle":"","parse-names":false,"suffix":""},{"dropping-particle":"","family":"Harding","given":"Geoffrey","non-dropping-particle":"","parse-names":false,"suffix":""},{"dropping-particle":"","family":"Forster","given":"Anne","non-dropping-particle":"","parse-names":false,"suffix":""},{"dropping-particle":"","family":"McKevitt","given":"Christopher","non-dropping-particle":"","parse-names":false,"suffix":""},{"dropping-particle":"","family":"Dickerson","given":"Josie","non-dropping-particle":"","parse-names":false,"suffix":""},{"dropping-particle":"","family":"Farrin","given":"Amanda","non-dropping-particle":"","parse-names":false,"suffix":""}],"container-title":"Implementation Science","id":"ITEM-2","issue":"1","issued":{"date-parts":[["2013"]]},"page":"96","title":"Implementing a training intervention to support caregivers after stroke: A process evaluation examining the initiation and embedding of programme change","type":"article-journal","volume":"8"},"uris":["http://www.mendeley.com/documents/?uuid=d134fbf8-b433-4361-b3a2-69e5c7b8cd41"]}],"mendeley":{"formattedCitation":"[11,35]","plainTextFormattedCitation":"[11,35]","previouslyFormattedCitation":"[11,35]"},"properties":{"noteIndex":0},"schema":"https://github.com/citation-style-language/schema/raw/master/csl-citation.json"}</w:instrText>
      </w:r>
      <w:r w:rsidR="00E34B16">
        <w:fldChar w:fldCharType="separate"/>
      </w:r>
      <w:r w:rsidR="00AC65F3" w:rsidRPr="00AC65F3">
        <w:rPr>
          <w:noProof/>
        </w:rPr>
        <w:t>[11,35]</w:t>
      </w:r>
      <w:r w:rsidR="00E34B16">
        <w:fldChar w:fldCharType="end"/>
      </w:r>
      <w:r w:rsidR="00D7327A">
        <w:t>.</w:t>
      </w:r>
      <w:r w:rsidR="000824DF">
        <w:t xml:space="preserve"> Updates on compliance, training, and resource needs would be provided to senior managers at regular intervals</w:t>
      </w:r>
      <w:r w:rsidR="00E17E57">
        <w:t>, moving from</w:t>
      </w:r>
      <w:r w:rsidR="000824DF">
        <w:t xml:space="preserve"> a single-point intervention at the level of HCPs through training, </w:t>
      </w:r>
      <w:r w:rsidR="00E17E57">
        <w:t xml:space="preserve">to one that links </w:t>
      </w:r>
      <w:r w:rsidR="000824DF">
        <w:t xml:space="preserve">monitoring and resource allocation directly to those </w:t>
      </w:r>
      <w:r w:rsidR="005E3181">
        <w:t>with responsibility to ensure successful implementation of</w:t>
      </w:r>
      <w:r w:rsidR="000824DF">
        <w:t xml:space="preserve"> the new procedure</w:t>
      </w:r>
      <w:r w:rsidR="00E17E57">
        <w:t xml:space="preserve"> (thus creating an organisational feedback loop to promote sustainability and embedding in management practice)</w:t>
      </w:r>
      <w:r w:rsidR="005E3181">
        <w:t xml:space="preserve">. </w:t>
      </w:r>
      <w:r w:rsidR="003772C4">
        <w:t xml:space="preserve">Secondly, </w:t>
      </w:r>
      <w:r w:rsidR="005E3181">
        <w:t xml:space="preserve">training design needs to be adaptable </w:t>
      </w:r>
      <w:r w:rsidR="00E17E57">
        <w:t>to</w:t>
      </w:r>
      <w:r w:rsidR="005E3181">
        <w:t xml:space="preserve"> cope with c</w:t>
      </w:r>
      <w:r w:rsidR="00BB19FD">
        <w:t>hangeable working patterns</w:t>
      </w:r>
      <w:r w:rsidR="00E34B16">
        <w:t>,</w:t>
      </w:r>
      <w:r w:rsidR="00BB19FD">
        <w:t xml:space="preserve"> organisational and resource support challenges,</w:t>
      </w:r>
      <w:r w:rsidR="00E34B16">
        <w:t xml:space="preserve"> and staff turnover </w:t>
      </w:r>
      <w:r w:rsidR="005E3181">
        <w:t xml:space="preserve">that </w:t>
      </w:r>
      <w:r w:rsidR="00E34B16">
        <w:t>restric</w:t>
      </w:r>
      <w:r w:rsidR="000824DF">
        <w:t xml:space="preserve">ted </w:t>
      </w:r>
      <w:r w:rsidR="00E17E57">
        <w:t>training participation</w:t>
      </w:r>
      <w:r w:rsidR="00E34B16">
        <w:t xml:space="preserve"> and left those who did complete training vulnerable to attrition</w:t>
      </w:r>
      <w:r w:rsidR="003772C4">
        <w:t xml:space="preserve">. </w:t>
      </w:r>
      <w:r w:rsidR="00930236">
        <w:t>One option might be to make training mandatory for all staff; however, the procedure development a</w:t>
      </w:r>
      <w:r w:rsidR="000E53A9">
        <w:t>nd</w:t>
      </w:r>
      <w:r w:rsidR="00930236">
        <w:t xml:space="preserve"> delivery team indicated that this would not be possible </w:t>
      </w:r>
      <w:r w:rsidR="000E53A9">
        <w:t>currently</w:t>
      </w:r>
      <w:r w:rsidR="00930236">
        <w:t xml:space="preserve">. </w:t>
      </w:r>
      <w:r w:rsidR="000824DF">
        <w:t>We</w:t>
      </w:r>
      <w:r w:rsidR="005E3181">
        <w:t xml:space="preserve"> therefore</w:t>
      </w:r>
      <w:r w:rsidR="000824DF">
        <w:t xml:space="preserve"> recommend that training is delivered </w:t>
      </w:r>
      <w:r w:rsidR="00F406F2">
        <w:t xml:space="preserve">through </w:t>
      </w:r>
      <w:r w:rsidR="000824DF">
        <w:t xml:space="preserve">existing </w:t>
      </w:r>
      <w:r w:rsidR="005E3181">
        <w:t xml:space="preserve">organisational e-learning </w:t>
      </w:r>
      <w:r w:rsidR="000E53A9">
        <w:t>systems</w:t>
      </w:r>
      <w:r w:rsidR="005E3181">
        <w:t>, rather than in person.</w:t>
      </w:r>
      <w:r w:rsidR="00AC65F3">
        <w:t xml:space="preserve"> This change is intended to deliver several improvements. Firstly, widening</w:t>
      </w:r>
      <w:r w:rsidR="00A03E06">
        <w:t xml:space="preserve"> of</w:t>
      </w:r>
      <w:r w:rsidR="00AC65F3">
        <w:t xml:space="preserve"> scope for participation in changeable working conditions,</w:t>
      </w:r>
      <w:r w:rsidR="00A03E06">
        <w:t xml:space="preserve"> </w:t>
      </w:r>
      <w:r w:rsidR="00AC65F3">
        <w:t>thereby increasing resistance of implementation</w:t>
      </w:r>
      <w:r w:rsidR="00A03E06">
        <w:t xml:space="preserve"> </w:t>
      </w:r>
      <w:r w:rsidR="00AC65F3">
        <w:t xml:space="preserve">to organisation turbulence. Secondly, connecting training in the new procedure with existing nutritional e-learning resources on screening of malnutrition (see Additional File 1, Section 6.1) thereby increasing </w:t>
      </w:r>
      <w:r w:rsidR="00AC65F3" w:rsidRPr="00D57BB3">
        <w:rPr>
          <w:i/>
        </w:rPr>
        <w:t>coherence</w:t>
      </w:r>
      <w:r w:rsidR="00AC65F3">
        <w:t xml:space="preserve"> (specifically </w:t>
      </w:r>
      <w:r w:rsidR="00AC65F3" w:rsidRPr="00D57BB3">
        <w:rPr>
          <w:i/>
        </w:rPr>
        <w:t>differentiation</w:t>
      </w:r>
      <w:r w:rsidR="00AC65F3">
        <w:t xml:space="preserve">, </w:t>
      </w:r>
      <w:r w:rsidR="00AC65F3">
        <w:rPr>
          <w:i/>
        </w:rPr>
        <w:t>individual</w:t>
      </w:r>
      <w:r w:rsidR="00AC65F3">
        <w:t xml:space="preserve"> and </w:t>
      </w:r>
      <w:r w:rsidR="00AC65F3">
        <w:rPr>
          <w:i/>
        </w:rPr>
        <w:t>communal specification</w:t>
      </w:r>
      <w:r w:rsidR="00AC65F3">
        <w:t>) of the new procedure in terms of its relation to existing</w:t>
      </w:r>
      <w:r w:rsidR="00A03E06">
        <w:t xml:space="preserve"> nutritional</w:t>
      </w:r>
      <w:r w:rsidR="00AC65F3">
        <w:t xml:space="preserve"> working practices. Thirdly, </w:t>
      </w:r>
      <w:r w:rsidR="000E53A9">
        <w:t>l</w:t>
      </w:r>
      <w:r w:rsidR="00AC65F3">
        <w:t>ocat</w:t>
      </w:r>
      <w:r w:rsidR="000E53A9">
        <w:t>ion of</w:t>
      </w:r>
      <w:r w:rsidR="00AC65F3">
        <w:t xml:space="preserve"> </w:t>
      </w:r>
      <w:r w:rsidR="00A03E06">
        <w:t>both new and existing training components within e-learning offers the potential to reduce costs associated both with training provision, and resources needed for monitoring and support of procedure training and compliance.</w:t>
      </w:r>
      <w:r w:rsidR="00063868">
        <w:t xml:space="preserve"> </w:t>
      </w:r>
      <w:bookmarkEnd w:id="30"/>
    </w:p>
    <w:p w14:paraId="09D540C4" w14:textId="38865721" w:rsidR="00B66D31" w:rsidRDefault="00BB19FD" w:rsidP="00B66D31">
      <w:pPr>
        <w:rPr>
          <w:i/>
        </w:rPr>
      </w:pPr>
      <w:r>
        <w:rPr>
          <w:i/>
        </w:rPr>
        <w:t>Implications</w:t>
      </w:r>
      <w:r w:rsidR="002852BC">
        <w:rPr>
          <w:i/>
        </w:rPr>
        <w:t xml:space="preserve"> and future research directions</w:t>
      </w:r>
    </w:p>
    <w:p w14:paraId="2B293AC6" w14:textId="5AC7C639" w:rsidR="007B42D8" w:rsidRDefault="00395609" w:rsidP="00D75737">
      <w:pPr>
        <w:jc w:val="both"/>
      </w:pPr>
      <w:bookmarkStart w:id="31" w:name="_Hlk524083018"/>
      <w:r>
        <w:t>While barriers</w:t>
      </w:r>
      <w:r w:rsidR="00F406F2">
        <w:t xml:space="preserve"> here identified</w:t>
      </w:r>
      <w:r>
        <w:t xml:space="preserve"> relate to specific processes within the study field, they </w:t>
      </w:r>
      <w:r w:rsidR="000E53A9">
        <w:t>are</w:t>
      </w:r>
      <w:r>
        <w:t xml:space="preserve"> relevant to implementation in general</w:t>
      </w:r>
      <w:r w:rsidR="000E53A9">
        <w:t xml:space="preserve"> such as:</w:t>
      </w:r>
      <w:r>
        <w:t xml:space="preserve"> enabling participation (enrolment); responding to workforce turbulence (communal appraisal; reconfiguration); monitoring </w:t>
      </w:r>
      <w:r>
        <w:lastRenderedPageBreak/>
        <w:t xml:space="preserve">of compliance (systemisation); ensuring adequate provision of resource (contextual integration). </w:t>
      </w:r>
      <w:r w:rsidR="005E3181">
        <w:t>These components fall</w:t>
      </w:r>
      <w:r>
        <w:t xml:space="preserve"> within the ‘Collective Action’ and ‘Reflexive Monitoring’ domains of NPT, </w:t>
      </w:r>
      <w:r w:rsidR="005E3181">
        <w:t>indicating</w:t>
      </w:r>
      <w:r>
        <w:t xml:space="preserve"> importance these domain</w:t>
      </w:r>
      <w:r w:rsidR="00E734C2">
        <w:t>s for successful implementation.</w:t>
      </w:r>
      <w:r w:rsidR="005E3181">
        <w:t xml:space="preserve"> </w:t>
      </w:r>
      <w:r w:rsidR="00E734C2">
        <w:t>The</w:t>
      </w:r>
      <w:r w:rsidR="000E53A9">
        <w:t xml:space="preserve">se observations </w:t>
      </w:r>
      <w:r w:rsidR="00E734C2">
        <w:t>echo those of</w:t>
      </w:r>
      <w:r w:rsidR="005E3181">
        <w:t xml:space="preserve"> Johnson &amp; May’s (2015) theory-led overview of systematic reviews of interventions to promote professional practice change</w:t>
      </w:r>
      <w:r w:rsidR="00E734C2">
        <w:t>, insofar as positive attitudes of staff were outweighed by</w:t>
      </w:r>
      <w:r w:rsidR="00E734C2" w:rsidRPr="00E734C2">
        <w:t xml:space="preserve"> lack of engagement with collective action</w:t>
      </w:r>
      <w:r w:rsidR="005E3181">
        <w:t xml:space="preserve"> </w:t>
      </w:r>
      <w:r w:rsidR="005E3181">
        <w:fldChar w:fldCharType="begin" w:fldLock="1"/>
      </w:r>
      <w:r w:rsidR="008F1402">
        <w:instrText>ADDIN CSL_CITATION {"citationItems":[{"id":"ITEM-1","itemData":{"DOI":"10.1136/bmjopen-2015-008592","ISBN":"2044-6055","ISSN":"20446055","PMID":"26423853","abstract":"OBJECTIVES: Translating research evidence into routine clinical practice is notoriously difficult. Behavioural interventions are often used to change practice, although their success is variable and the characteristics of more successful interventions are unclear. We aimed to establish the characteristics of successful behaviour change interventions in healthcare.\\n\\nDESIGN: We carried out a systematic overview of systematic reviews on the effectiveness of behaviour change interventions with a theory-led analysis using the constructs of normalisation process theory (NPT). MEDLINE, CINAHL, PsychINFO and the Cochrane Library were searched electronically from inception to July 2015.\\n\\nSETTING: Primary and secondary care.\\n\\nPARTICIPANTS: Participants were any patients and healthcare professionals in systematic reviews who met the inclusion criteria of having examined the effectiveness of professional interventions in improving professional practice and/or patient outcomes.\\n\\nINTERVENTIONS: Professional interventions as defined by the Cochrane Effective Practice and Organisation of Care Review Group.\\n\\nPRIMARY AND SECONDARY OUTCOME MEASURES: Success of each intervention in changing practice or patient outcomes, and their mechanisms of action. Reviews were coded as to the interventions included, how successful they had been and which NPT constructs its component interventions covered.\\n\\nRESULTS: Searches identified 4724 articles, 67 of which met the inclusion criteria. Interventions fell into three main categories: persuasive; educational and informational; and action and monitoring. Interventions focusing on action or education (eg, Audit and Feedback, Reminders, Educational Outreach) acted on the NPT constructs of Collective Action and Reflexive Monitoring, and reviews using them tended to report more positive outcomes.\\n\\nCONCLUSIONS: This theory-led analysis suggests that interventions which contribute to normative restructuring of practice, modifying peer group norms and expectations (eg, educational outreach) and relational restructuring, reinforcing modified peer group norms by emphasising the expectations of an external reference group (eg, Reminders, Audit and Feedback), offer the best chances of success. Combining such interventions is most likely to change behaviour.","author":[{"dropping-particle":"","family":"Johnson","given":"Mark J.","non-dropping-particle":"","parse-names":false,"suffix":""},{"dropping-particle":"","family":"May","given":"Carl R.","non-dropping-particle":"","parse-names":false,"suffix":""}],"container-title":"BMJ Open","id":"ITEM-1","issue":"9","issued":{"date-parts":[["2015"]]},"title":"Promoting professional behaviour change in healthcare: What interventions work, and why? A theory-led overview of systematic reviews","type":"article-journal","volume":"5"},"uris":["http://www.mendeley.com/documents/?uuid=c0bf3d18-8aba-459c-8684-b83c0a29d7dc"]}],"mendeley":{"formattedCitation":"[41]","plainTextFormattedCitation":"[41]","previouslyFormattedCitation":"[41]"},"properties":{"noteIndex":0},"schema":"https://github.com/citation-style-language/schema/raw/master/csl-citation.json"}</w:instrText>
      </w:r>
      <w:r w:rsidR="005E3181">
        <w:fldChar w:fldCharType="separate"/>
      </w:r>
      <w:r w:rsidR="00AC65F3" w:rsidRPr="00AC65F3">
        <w:rPr>
          <w:noProof/>
        </w:rPr>
        <w:t>[41]</w:t>
      </w:r>
      <w:r w:rsidR="005E3181">
        <w:fldChar w:fldCharType="end"/>
      </w:r>
      <w:r w:rsidR="005E3181">
        <w:t xml:space="preserve">. </w:t>
      </w:r>
      <w:bookmarkStart w:id="32" w:name="_Hlk524083059"/>
      <w:bookmarkEnd w:id="31"/>
      <w:r w:rsidR="00E734C2">
        <w:t xml:space="preserve">The </w:t>
      </w:r>
      <w:r w:rsidR="005E3181">
        <w:t xml:space="preserve">present study </w:t>
      </w:r>
      <w:r w:rsidR="000E53A9">
        <w:t>highlights</w:t>
      </w:r>
      <w:r w:rsidR="005E3181">
        <w:t xml:space="preserve"> importance of </w:t>
      </w:r>
      <w:r w:rsidR="005E3181" w:rsidRPr="005E3181">
        <w:rPr>
          <w:i/>
        </w:rPr>
        <w:t>k</w:t>
      </w:r>
      <w:r w:rsidR="005266FB" w:rsidRPr="005E3181">
        <w:rPr>
          <w:i/>
        </w:rPr>
        <w:t>ey</w:t>
      </w:r>
      <w:r w:rsidR="00F51424" w:rsidRPr="005E3181">
        <w:rPr>
          <w:i/>
        </w:rPr>
        <w:t xml:space="preserve"> people</w:t>
      </w:r>
      <w:r w:rsidR="00F406F2" w:rsidRPr="005E3181">
        <w:rPr>
          <w:i/>
        </w:rPr>
        <w:t xml:space="preserve"> as ‘pumps’</w:t>
      </w:r>
      <w:r w:rsidR="00F51424" w:rsidRPr="005E3181">
        <w:rPr>
          <w:i/>
        </w:rPr>
        <w:t xml:space="preserve"> </w:t>
      </w:r>
      <w:r w:rsidR="005E3181" w:rsidRPr="005E3181">
        <w:rPr>
          <w:i/>
        </w:rPr>
        <w:t>to drive and sustain</w:t>
      </w:r>
      <w:r w:rsidR="00D75737" w:rsidRPr="005E3181">
        <w:rPr>
          <w:i/>
        </w:rPr>
        <w:t xml:space="preserve"> </w:t>
      </w:r>
      <w:r w:rsidR="00F51424" w:rsidRPr="005E3181">
        <w:rPr>
          <w:i/>
        </w:rPr>
        <w:t>organisational behaviour loops</w:t>
      </w:r>
      <w:r w:rsidR="005E3181">
        <w:rPr>
          <w:i/>
        </w:rPr>
        <w:t xml:space="preserve">, </w:t>
      </w:r>
      <w:r w:rsidR="005E3181">
        <w:t>adding</w:t>
      </w:r>
      <w:r w:rsidR="005266FB">
        <w:t xml:space="preserve"> to extant literature emphasising importance of individuals with resource, authority, and legitimacy (both personal and institutional) to drive forward new developments in healthcare</w:t>
      </w:r>
      <w:r w:rsidR="00F51424">
        <w:t xml:space="preserve"> </w:t>
      </w:r>
      <w:r w:rsidR="00E53801">
        <w:fldChar w:fldCharType="begin" w:fldLock="1"/>
      </w:r>
      <w:r w:rsidR="008F1402">
        <w:instrText>ADDIN CSL_CITATION {"citationItems":[{"id":"ITEM-1","itemData":{"DOI":"doi:10.1136/bmjopen-2017-017727","ISSN":"2044-6055","author":[{"dropping-particle":"","family":"Johnson","given":"Mark J","non-dropping-particle":"","parse-names":false,"suffix":""},{"dropping-particle":"","family":"Leaf","given":"Alison A","non-dropping-particle":"","parse-names":false,"suffix":""},{"dropping-particle":"","family":"Pearson","given":"Freya","non-dropping-particle":"","parse-names":false,"suffix":""}],"container-title":"BMJ Open","id":"ITEM-1","issued":{"date-parts":[["2017"]]},"title":"Successfully implementing and embedding guidelines to improve the nutrition and growth of preterm infants in neonatal intensive care: a prospective interventional study","type":"article-journal"},"uris":["http://www.mendeley.com/documents/?uuid=744b5300-5d0c-4cd1-a2ce-1729fafa69d4"]},{"id":"ITEM-2","itemData":{"DOI":"http://dx.doi.org/10.1016/j.jnn.2013.01.003","ISSN":"1355-1841","abstract":"A unique local practice initiative to develop a small group of nurses in the dual role of link advisors and champions for nutrition was part of a larger research project aimed at standardising nutritional care of preterm infants. Building upon the expertise of a small group of dedicated neonatal nurses, new clinical guidelines were successfully introduced and to date an incremental change in practice achieved. Furthermore, quality outcomes in terms of improving the research profile, bridging the research-practice gap, increased job satisfaction and personal practitioner recognition and achievement has contributed to the success of the project.","author":[{"dropping-particle":"","family":"Westbury","given":"Jan A","non-dropping-particle":"","parse-names":false,"suffix":""},{"dropping-particle":"","family":"Johnson","given":"Mark J","non-dropping-particle":"","parse-names":false,"suffix":""},{"dropping-particle":"","family":"Pond","given":"Jenny P","non-dropping-particle":"","parse-names":false,"suffix":""},{"dropping-particle":"","family":"Toy","given":"Christina F","non-dropping-particle":"","parse-names":false,"suffix":""},{"dropping-particle":"","family":"Anderson","given":"Linda S","non-dropping-particle":"","parse-names":false,"suffix":""},{"dropping-particle":"","family":"Blake","given":"Elizabeth","non-dropping-particle":"","parse-names":false,"suffix":""},{"dropping-particle":"","family":"Leaf","given":"Alison A","non-dropping-particle":"","parse-names":false,"suffix":""}],"container-title":"Journal of Neonatal Nursing","id":"ITEM-2","issue":"4","issued":{"date-parts":[["2013"]]},"page":"198-205","title":"Developing the role of the nurse as a link advisor for research and a champion for nutrition in the neonatal intensive care unit","type":"article-journal","volume":"19"},"uris":["http://www.mendeley.com/documents/?uuid=5e4d32bc-6fcb-4c05-8b83-a392e36479f6"]},{"id":"ITEM-3","itemData":{"DOI":"10.1016/j.socscimed.2009.10.067","ISBN":"0277-9536","ISSN":"02779536","PMID":"20005617","abstract":"In a cluster randomised controlled trial of a policy to provide community breastfeeding support groups in Scotland, breastfeeding rates declined in 3 of 7 intervention localities. From a preliminary study, we expected breastfeeding outcomes to vary and we prospectively used qualitative and quantitative methods to ask why. Ethnographic in-depth interviews, focus groups, observations and survey data were analysed to build seven embedded case studies. A pyramidal model of how primary health service organisations implemented the policy was constructed prior to knowing trial outcomes to minimise bias. Informed by a realist approach, the model explained variation in (a) policy implementation (b) the breastfeeding outcomes, whereas the quantity of intervention delivered did not. In the three localities where breastfeeding rates declined, negative aspects of place including deprivation, unsuitable premises and geographical barriers to inter-professional communication; personnel resources including staff shortages, high workload and low morale; and organisational change predominated (the base model tiers). Managers focused on solving these problems rather than delivering the policy and evidence of progress to the higher model tiers was weak. In contrast, where breastfeeding rates increased the base tiers of the model were less problematic, there was more evidence of leadership, focus on the policy, multi-disciplinary partnership working and reflective action cycles (the higher model tiers). We advocate an ethnographic approach to the design and evaluation of complex intervention trials and illustrate how this can assist in developing an explanatory model. More attention should be given to the complex systems within which policies and interventions occur, to identify and understand the favourable conditions necessary for a successful intervention. © 2009 Elsevier Ltd. All rights reserved.","author":[{"dropping-particle":"","family":"Hoddinott","given":"Pat","non-dropping-particle":"","parse-names":false,"suffix":""},{"dropping-particle":"","family":"Britten","given":"Jane","non-dropping-particle":"","parse-names":false,"suffix":""},{"dropping-particle":"","family":"Pill","given":"Roisin","non-dropping-particle":"","parse-names":false,"suffix":""}],"container-title":"Social Science and Medicine","id":"ITEM-3","issue":"5","issued":{"date-parts":[["2010"]]},"page":"769-778","publisher":"Elsevier Ltd","title":"Why do interventions work in some places and not others: A breastfeeding support group trial","type":"article-journal","volume":"70"},"uris":["http://www.mendeley.com/documents/?uuid=fdfde42e-aecc-4953-ae23-dbe20c100edc"]},{"id":"ITEM-4","itemData":{"DOI":"10.1177/15234220122238427","ISSN":"1523-4223","abstract":"The problem and the solution. Until recently, planned training on the job has been primarily used to achieve individual training objectives. How to use planned training on the job as part of the change management process to achieve broader organizational goals has recently emerged as an issue of importance. Specifically, planned training on the job has been suggested as a means to deliver cascade training. Cascade training has been defined as the process of providing the competence required to ensure the institutionalization of organizational change. Connecting planned training on the job and cascade training for the purpose of institutionalizing organizational change has implications for both human resource development (HRD) theory and practice.","author":[{"dropping-particle":"","family":"Jacobs","given":"Ronald L","non-dropping-particle":"","parse-names":false,"suffix":""},{"dropping-particle":"","family":"Russ-Eft","given":"Darlene","non-dropping-particle":"","parse-names":false,"suffix":""}],"container-title":"Advances in Developing Human Resources","id":"ITEM-4","issue":"4","issued":{"date-parts":[["2001","11","1"]]},"note":"doi: 10.1177/15234220122238427","page":"496-503","publisher":"SAGE Publications","title":"Cascade Training and Institutionalizing Organizational Change","type":"article-journal","volume":"3"},"uris":["http://www.mendeley.com/documents/?uuid=002e5c4f-0bae-40c1-8285-f9ebaa252502"]},{"id":"ITEM-5","itemData":{"DOI":"10.1186/1748-5908-8-96","ISBN":"1748-5908","ISSN":"17485908","PMID":"23972027","abstract":"BACKGROUND: Medical Research Council (MRC) guidance identifies implementation as a key element of the development and evaluation process for complex healthcare interventions. Implementation is itself a complex process involving the mobilization of human, material, and organizational resources to change practice within settings that have pre-existing structures, historical patterns of relationships, and routinized ways of working. Process evaluations enable researchers and clinicians to understand how implementation proceeds and what factors impact on intended program change. A qualitative process evaluation of the pragmatic cluster randomized controlled trial; Training Caregivers after Stroke was conducted to examine how professionals were engaged in the work of delivering training; how they reached and involved caregivers for whom the intervention was most appropriate; how did those on whom training was targeted experience and respond to it. Normalization Process Theory, which focuses attention on implementing and embedding program change, was used as a sensitizing framework to examine selected findings.\\n\\nRESULTS: Contextual factors including organizational history and team relationships, external policy, and service development initiatives, impinged on implementation of the caregiver training program in unintended ways that could not have been predicted through focus on mechanisms of individual and collective action at unit level. Factors that facilitated or impeded the effectiveness of the cascade training model used, whether and how stroke unit teams made sense of and engaged individually and collectively with a complex caregiver training intervention, and what impact these factors had on embedding the intervention in routine stroke unit practice were identified.\\n\\nCONCLUSIONS: Where implementation of complex interventions depends on multiple providers, time needs to be invested in reaching agreement on who will take responsibility for delivery of specific components and in determining how implementation and its effectiveness will be monitored. This goes beyond concern with intervention fidelity; explicit consideration also needs to be given to the implementation process in terms of how program change can be effected at organizational, practice, and service delivery levels. Normalization Process Theory's constructs help identify vulnerable features of implementation processes in respect of the work involved in embedding complex interventions.","author":[{"dropping-particle":"","family":"Clarke","given":"David J.","non-dropping-particle":"","parse-names":false,"suffix":""},{"dropping-particle":"","family":"Godfrey","given":"Mary","non-dropping-particle":"","parse-names":false,"suffix":""},{"dropping-particle":"","family":"Hawkins","given":"Rebecca","non-dropping-particle":"","parse-names":false,"suffix":""},{"dropping-particle":"","family":"Sadler","given":"Euan","non-dropping-particle":"","parse-names":false,"suffix":""},{"dropping-particle":"","family":"Harding","given":"Geoffrey","non-dropping-particle":"","parse-names":false,"suffix":""},{"dropping-particle":"","family":"Forster","given":"Anne","non-dropping-particle":"","parse-names":false,"suffix":""},{"dropping-particle":"","family":"McKevitt","given":"Christopher","non-dropping-particle":"","parse-names":false,"suffix":""},{"dropping-particle":"","family":"Dickerson","given":"Josie","non-dropping-particle":"","parse-names":false,"suffix":""},{"dropping-particle":"","family":"Farrin","given":"Amanda","non-dropping-particle":"","parse-names":false,"suffix":""}],"container-title":"Implementation Science","id":"ITEM-5","issue":"1","issued":{"date-parts":[["2013"]]},"page":"96","title":"Implementing a training intervention to support caregivers after stroke: A process evaluation examining the initiation and embedding of programme change","type":"article-journal","volume":"8"},"uris":["http://www.mendeley.com/documents/?uuid=d134fbf8-b433-4361-b3a2-69e5c7b8cd41"]}],"mendeley":{"formattedCitation":"[11,27,35,42,43]","plainTextFormattedCitation":"[11,27,35,42,43]","previouslyFormattedCitation":"[11,27,35,42,43]"},"properties":{"noteIndex":0},"schema":"https://github.com/citation-style-language/schema/raw/master/csl-citation.json"}</w:instrText>
      </w:r>
      <w:r w:rsidR="00E53801">
        <w:fldChar w:fldCharType="separate"/>
      </w:r>
      <w:r w:rsidR="00AC65F3" w:rsidRPr="00AC65F3">
        <w:rPr>
          <w:noProof/>
        </w:rPr>
        <w:t>[11,27,35,42,43]</w:t>
      </w:r>
      <w:r w:rsidR="00E53801">
        <w:fldChar w:fldCharType="end"/>
      </w:r>
      <w:r w:rsidR="005266FB">
        <w:t>.</w:t>
      </w:r>
      <w:r w:rsidR="005E3181">
        <w:t xml:space="preserve"> In addition, it indicates importance of </w:t>
      </w:r>
      <w:r w:rsidR="005E3181" w:rsidRPr="007B42D8">
        <w:rPr>
          <w:i/>
        </w:rPr>
        <w:t>d</w:t>
      </w:r>
      <w:r w:rsidR="00F406F2" w:rsidRPr="005E3181">
        <w:rPr>
          <w:i/>
        </w:rPr>
        <w:t xml:space="preserve">esigning intervention objects that are resilient to </w:t>
      </w:r>
      <w:r w:rsidR="00F51424" w:rsidRPr="005E3181">
        <w:rPr>
          <w:i/>
        </w:rPr>
        <w:t>organisational turbulence</w:t>
      </w:r>
      <w:r w:rsidR="007B42D8">
        <w:t>. M</w:t>
      </w:r>
      <w:r w:rsidR="00E53801">
        <w:t xml:space="preserve">any healthcare interventions take place in complex settings wherein emergent and contextual factors can modify the conditions of implementation. Providing organisational ‘closure’ through monitoring and support of a key person is important in mitigating these effects; </w:t>
      </w:r>
      <w:r w:rsidR="00F406F2">
        <w:t>however, objects of interventions (e.g. procedures, training seminars, technologies etc.) are</w:t>
      </w:r>
      <w:r w:rsidR="00E53801">
        <w:t xml:space="preserve"> important in this process. In the INSCCOPe study, the </w:t>
      </w:r>
      <w:r w:rsidR="00E5115B">
        <w:t xml:space="preserve">proposed </w:t>
      </w:r>
      <w:r w:rsidR="00E53801">
        <w:t>move from in-person to online delivery of the training was an example of how an intervention</w:t>
      </w:r>
      <w:r w:rsidR="00D75737">
        <w:t xml:space="preserve"> object may be redesigned</w:t>
      </w:r>
      <w:r w:rsidR="00E53801">
        <w:t xml:space="preserve"> in response to </w:t>
      </w:r>
      <w:r w:rsidR="00F51424">
        <w:t>turbulence encountered with</w:t>
      </w:r>
      <w:r w:rsidR="007B42D8">
        <w:t xml:space="preserve">in the field of implementation. </w:t>
      </w:r>
    </w:p>
    <w:p w14:paraId="31BDA736" w14:textId="14350CA7" w:rsidR="00063868" w:rsidRDefault="007B42D8" w:rsidP="00310172">
      <w:pPr>
        <w:jc w:val="both"/>
      </w:pPr>
      <w:r>
        <w:t xml:space="preserve">These </w:t>
      </w:r>
      <w:r w:rsidR="00E734C2">
        <w:t xml:space="preserve">findings </w:t>
      </w:r>
      <w:r w:rsidR="00D75737">
        <w:t xml:space="preserve">are interdependent; </w:t>
      </w:r>
      <w:r w:rsidR="00F51424">
        <w:t>appropriate design choices</w:t>
      </w:r>
      <w:r w:rsidR="00D75737">
        <w:t xml:space="preserve"> for objects can</w:t>
      </w:r>
      <w:r w:rsidR="00F51424">
        <w:t xml:space="preserve"> only</w:t>
      </w:r>
      <w:r w:rsidR="00D75737">
        <w:t xml:space="preserve"> be expected to</w:t>
      </w:r>
      <w:r w:rsidR="00F51424">
        <w:t xml:space="preserve"> have effects if participants are directed to use them in some way</w:t>
      </w:r>
      <w:r w:rsidR="00D75737">
        <w:t>, which typically involves organisational work of key people</w:t>
      </w:r>
      <w:r w:rsidR="00F51424">
        <w:t>.</w:t>
      </w:r>
      <w:r>
        <w:t xml:space="preserve"> </w:t>
      </w:r>
      <w:r w:rsidR="00310172">
        <w:t xml:space="preserve">In their evaluation of an intervention to support carers of stroke survivors, Clarke et al. </w:t>
      </w:r>
      <w:r w:rsidR="0016218F">
        <w:t xml:space="preserve"> (2013) </w:t>
      </w:r>
      <w:r w:rsidR="00310172">
        <w:t>observed that participants unable to attend training did not make use of replacement resources (a DVD) because they were not directed to do so</w:t>
      </w:r>
      <w:r w:rsidR="00F51424">
        <w:t xml:space="preserve"> </w:t>
      </w:r>
      <w:r w:rsidR="00F51424">
        <w:fldChar w:fldCharType="begin" w:fldLock="1"/>
      </w:r>
      <w:r w:rsidR="008F1402">
        <w:instrText>ADDIN CSL_CITATION {"citationItems":[{"id":"ITEM-1","itemData":{"DOI":"10.1186/1748-5908-8-96","ISBN":"1748-5908","ISSN":"17485908","PMID":"23972027","abstract":"BACKGROUND: Medical Research Council (MRC) guidance identifies implementation as a key element of the development and evaluation process for complex healthcare interventions. Implementation is itself a complex process involving the mobilization of human, material, and organizational resources to change practice within settings that have pre-existing structures, historical patterns of relationships, and routinized ways of working. Process evaluations enable researchers and clinicians to understand how implementation proceeds and what factors impact on intended program change. A qualitative process evaluation of the pragmatic cluster randomized controlled trial; Training Caregivers after Stroke was conducted to examine how professionals were engaged in the work of delivering training; how they reached and involved caregivers for whom the intervention was most appropriate; how did those on whom training was targeted experience and respond to it. Normalization Process Theory, which focuses attention on implementing and embedding program change, was used as a sensitizing framework to examine selected findings.\\n\\nRESULTS: Contextual factors including organizational history and team relationships, external policy, and service development initiatives, impinged on implementation of the caregiver training program in unintended ways that could not have been predicted through focus on mechanisms of individual and collective action at unit level. Factors that facilitated or impeded the effectiveness of the cascade training model used, whether and how stroke unit teams made sense of and engaged individually and collectively with a complex caregiver training intervention, and what impact these factors had on embedding the intervention in routine stroke unit practice were identified.\\n\\nCONCLUSIONS: Where implementation of complex interventions depends on multiple providers, time needs to be invested in reaching agreement on who will take responsibility for delivery of specific components and in determining how implementation and its effectiveness will be monitored. This goes beyond concern with intervention fidelity; explicit consideration also needs to be given to the implementation process in terms of how program change can be effected at organizational, practice, and service delivery levels. Normalization Process Theory's constructs help identify vulnerable features of implementation processes in respect of the work involved in embedding complex interventions.","author":[{"dropping-particle":"","family":"Clarke","given":"David J.","non-dropping-particle":"","parse-names":false,"suffix":""},{"dropping-particle":"","family":"Godfrey","given":"Mary","non-dropping-particle":"","parse-names":false,"suffix":""},{"dropping-particle":"","family":"Hawkins","given":"Rebecca","non-dropping-particle":"","parse-names":false,"suffix":""},{"dropping-particle":"","family":"Sadler","given":"Euan","non-dropping-particle":"","parse-names":false,"suffix":""},{"dropping-particle":"","family":"Harding","given":"Geoffrey","non-dropping-particle":"","parse-names":false,"suffix":""},{"dropping-particle":"","family":"Forster","given":"Anne","non-dropping-particle":"","parse-names":false,"suffix":""},{"dropping-particle":"","family":"McKevitt","given":"Christopher","non-dropping-particle":"","parse-names":false,"suffix":""},{"dropping-particle":"","family":"Dickerson","given":"Josie","non-dropping-particle":"","parse-names":false,"suffix":""},{"dropping-particle":"","family":"Farrin","given":"Amanda","non-dropping-particle":"","parse-names":false,"suffix":""}],"container-title":"Implementation Science","id":"ITEM-1","issue":"1","issued":{"date-parts":[["2013"]]},"page":"96","title":"Implementing a training intervention to support caregivers after stroke: A process evaluation examining the initiation and embedding of programme change","type":"article-journal","volume":"8"},"uris":["http://www.mendeley.com/documents/?uuid=d134fbf8-b433-4361-b3a2-69e5c7b8cd41"]}],"mendeley":{"formattedCitation":"[35]","plainTextFormattedCitation":"[35]","previouslyFormattedCitation":"[35]"},"properties":{"noteIndex":0},"schema":"https://github.com/citation-style-language/schema/raw/master/csl-citation.json"}</w:instrText>
      </w:r>
      <w:r w:rsidR="00F51424">
        <w:fldChar w:fldCharType="separate"/>
      </w:r>
      <w:r w:rsidR="00AC65F3" w:rsidRPr="00AC65F3">
        <w:rPr>
          <w:noProof/>
        </w:rPr>
        <w:t>[35]</w:t>
      </w:r>
      <w:r w:rsidR="00F51424">
        <w:fldChar w:fldCharType="end"/>
      </w:r>
      <w:r w:rsidR="00F406F2">
        <w:t xml:space="preserve">. </w:t>
      </w:r>
      <w:r w:rsidR="00D75737">
        <w:t xml:space="preserve">The observations </w:t>
      </w:r>
      <w:r w:rsidR="0016218F">
        <w:t xml:space="preserve">from the present study </w:t>
      </w:r>
      <w:r w:rsidR="00D75737">
        <w:t xml:space="preserve">add to </w:t>
      </w:r>
      <w:r w:rsidR="000E53A9">
        <w:t>extant</w:t>
      </w:r>
      <w:r w:rsidR="00D75737">
        <w:t xml:space="preserve"> literature indicating importance of contextual factors (i.e. turbulence) as well as creating practical (rather than simply attitudinal) conditions for professional behaviour change, as key determinants in success (or failure) of service development</w:t>
      </w:r>
      <w:r w:rsidR="00E5115B">
        <w:t xml:space="preserve"> initiatives.</w:t>
      </w:r>
      <w:bookmarkEnd w:id="32"/>
      <w:r w:rsidR="00D75737">
        <w:t xml:space="preserve"> </w:t>
      </w:r>
    </w:p>
    <w:p w14:paraId="7A094A76" w14:textId="33B20254" w:rsidR="002852BC" w:rsidRPr="00BB19FD" w:rsidRDefault="002852BC" w:rsidP="00310172">
      <w:pPr>
        <w:jc w:val="both"/>
      </w:pPr>
      <w:r>
        <w:t>Turning specifically to implementation in community settings, further empirical stud</w:t>
      </w:r>
      <w:r w:rsidR="00020201">
        <w:t>y of involvement of</w:t>
      </w:r>
      <w:r>
        <w:t xml:space="preserve"> key decision makers at higher levels of governance</w:t>
      </w:r>
      <w:r w:rsidR="00020201">
        <w:t xml:space="preserve"> is an important focus</w:t>
      </w:r>
      <w:r>
        <w:t xml:space="preserve">. In </w:t>
      </w:r>
      <w:r w:rsidR="000E53A9">
        <w:t xml:space="preserve">this </w:t>
      </w:r>
      <w:r>
        <w:t>study, a majority (66%) of NoMad respondents at T0 strongly/disagreed with the statement ‘</w:t>
      </w:r>
      <w:r w:rsidRPr="002852BC">
        <w:t>Management adequately supports screening and treatment for malnutrition</w:t>
      </w:r>
      <w:r>
        <w:t xml:space="preserve">’ (Q18, see table 5), </w:t>
      </w:r>
      <w:r w:rsidR="00020201">
        <w:t>a finding which persisted at</w:t>
      </w:r>
      <w:r>
        <w:t xml:space="preserve"> T1. </w:t>
      </w:r>
      <w:r w:rsidR="00020201">
        <w:t xml:space="preserve">Previous work in other </w:t>
      </w:r>
      <w:r w:rsidR="00020201">
        <w:lastRenderedPageBreak/>
        <w:t xml:space="preserve">settings by Bamford et al. (2012) has also highlighted importance of senior management support for implementation of nutritional care interventions within residential care homes </w:t>
      </w:r>
      <w:r w:rsidR="00020201">
        <w:fldChar w:fldCharType="begin" w:fldLock="1"/>
      </w:r>
      <w:r w:rsidR="00020201">
        <w:instrText>ADDIN CSL_CITATION {"citationItems":[{"id":"ITEM-1","itemData":{"DOI":"10.1186/1748-5908-7-106","ISBN":"1748-5908","ISSN":"1748-5908","PMID":"23110857","abstract":"BACKGROUND: Optimizing the dietary intake of older people can prevent nutritional deficiencies and diet-related diseases, thereby improving quality of life. However, there is evidence that the nutritional intake of older people living in care homes is suboptimal, with high levels of saturated fat, salt, and added sugars. The UK Food Standards Agency therefore developed nutrient- and food-based guidance for residential care homes. The acceptability of these guidelines and their feasibility in practice is unknown. This study used the Normalization Process Theory (NPT) to understand the barriers and facilitators to implementing the guidelines and inform future implementation.\\n\\nMETHODS: We conducted a process evaluation in five care homes in the north of England using qualitative methods (observation and interviews) to explore the views of managers, care staff, catering staff, and domestic staff. Data were analyzed thematically and discussed in data workshops; emerging themes were then mapped to the constructs of NPT.\\n\\nRESULTS: Many staff perceived the guidelines as unnecessarily restrictive and irrelevant to older people. In terms of NPT, the guidelines simply did not make sense (coherence), and as a result, relatively few staff invested in the guidelines (cognitive participation). Even where staff supported the guidelines, implementation was hampered by a lack of nutritional knowledge and institutional support (collective action). Finally, the absence of observable benefits to clients confirmed the negative preconceptions of many staff, with limited evidence of reappraisal following implementation (reflexive monitoring).\\n\\nCONCLUSIONS: The successful implementation of the nutrition guidelines requires that the fundamental issues relating to their perceived value and fit with other priorities and goals be addressed. Specialist support is needed to equip staff with the technical knowledge and skills required for menu analysis and development and to devise ways of evaluating the outcomes of modified menus. NPT proved useful in conceptualizing barriers to implementation; robust links with behavior-change theories would further increase the practical utility of NPT.","author":[{"dropping-particle":"","family":"Bamford","given":"Claire","non-dropping-particle":"","parse-names":false,"suffix":""},{"dropping-particle":"","family":"Heaven","given":"Ben","non-dropping-particle":"","parse-names":false,"suffix":""},{"dropping-particle":"","family":"May","given":"Carl","non-dropping-particle":"","parse-names":false,"suffix":""},{"dropping-particle":"","family":"Moynihan","given":"Paula","non-dropping-particle":"","parse-names":false,"suffix":""}],"container-title":"Implementation Science","id":"ITEM-1","issue":"1","issued":{"date-parts":[["2012"]]},"page":"106","title":"Implementing nutrition guidelines for older people in residential care homes: a qualitative study using normalization process theory","type":"article-journal","volume":"7"},"uris":["http://www.mendeley.com/documents/?uuid=fea2a90d-20d2-48e4-9170-fa4ae59e645e"]}],"mendeley":{"formattedCitation":"[12]","plainTextFormattedCitation":"[12]","previouslyFormattedCitation":"[12]"},"properties":{"noteIndex":0},"schema":"https://github.com/citation-style-language/schema/raw/master/csl-citation.json"}</w:instrText>
      </w:r>
      <w:r w:rsidR="00020201">
        <w:fldChar w:fldCharType="separate"/>
      </w:r>
      <w:r w:rsidR="00020201" w:rsidRPr="00020201">
        <w:rPr>
          <w:noProof/>
        </w:rPr>
        <w:t>[12]</w:t>
      </w:r>
      <w:r w:rsidR="00020201">
        <w:fldChar w:fldCharType="end"/>
      </w:r>
      <w:r w:rsidR="00020201">
        <w:t xml:space="preserve">. While studies such as INSCCOPe contribute to understanding of implementation </w:t>
      </w:r>
      <w:r w:rsidR="000E53A9">
        <w:t>for</w:t>
      </w:r>
      <w:r w:rsidR="00020201">
        <w:t xml:space="preserve"> staff and teams, it is also necessary to explore further how NPT</w:t>
      </w:r>
      <w:r w:rsidR="000E53A9">
        <w:t xml:space="preserve"> mechanisms</w:t>
      </w:r>
      <w:r w:rsidR="00020201">
        <w:t xml:space="preserve"> operate among those funding and overseeing services at a strategic level.</w:t>
      </w:r>
    </w:p>
    <w:p w14:paraId="408E3BE2" w14:textId="3C8012CF" w:rsidR="00CC5E3A" w:rsidRDefault="00CC5E3A" w:rsidP="00411492">
      <w:r>
        <w:rPr>
          <w:i/>
        </w:rPr>
        <w:t>Practical issues in the INSCCOPe study –</w:t>
      </w:r>
      <w:r w:rsidR="00273C56">
        <w:rPr>
          <w:i/>
        </w:rPr>
        <w:t xml:space="preserve"> </w:t>
      </w:r>
      <w:r w:rsidR="00C43EA9">
        <w:rPr>
          <w:i/>
        </w:rPr>
        <w:t>work necessary to secure</w:t>
      </w:r>
      <w:r w:rsidR="00273C56">
        <w:rPr>
          <w:i/>
        </w:rPr>
        <w:t xml:space="preserve"> and maintain</w:t>
      </w:r>
      <w:r w:rsidR="00C43EA9">
        <w:rPr>
          <w:i/>
        </w:rPr>
        <w:t xml:space="preserve"> participation.</w:t>
      </w:r>
    </w:p>
    <w:p w14:paraId="6BFC7947" w14:textId="372558BA" w:rsidR="00B93248" w:rsidRDefault="00310172" w:rsidP="00B93248">
      <w:pPr>
        <w:jc w:val="both"/>
      </w:pPr>
      <w:r>
        <w:t>Considerable work was</w:t>
      </w:r>
      <w:r w:rsidR="00C43EA9">
        <w:t xml:space="preserve"> necessary to recruit and conduct interviews w</w:t>
      </w:r>
      <w:r>
        <w:t xml:space="preserve">ith participants (see </w:t>
      </w:r>
      <w:r w:rsidR="003E31E1">
        <w:t>Additional File 2</w:t>
      </w:r>
      <w:r>
        <w:t>)</w:t>
      </w:r>
      <w:r w:rsidR="00C43EA9">
        <w:t xml:space="preserve">, and to obtain NoMad responses at T1 (where questionnaires were left with team leads for circulation and completion, instead of completing in the presence of a researcher as occurred during recruitment at T0). 116 telephone calls were made in order to secure 16 interviews, with seven participants requiring one or more rearrangements of their scheduled time, and four cancelling after initial agreement.  In almost all cases where contact was made, inability to participate or need for rescheduling was attributed to volume and changeability of workload. We recommend that future studies involving community teams be aware of this as a necessary condition of </w:t>
      </w:r>
      <w:r w:rsidR="000E53A9">
        <w:t>research in this field, and</w:t>
      </w:r>
      <w:r w:rsidR="00B66D31">
        <w:t xml:space="preserve"> that questionnaire instruments are completed during in-person visits by a researcher where possible.</w:t>
      </w:r>
    </w:p>
    <w:p w14:paraId="4A4CAF5E" w14:textId="02A2875F" w:rsidR="00E02FB2" w:rsidRDefault="00E02FB2" w:rsidP="00B93248">
      <w:pPr>
        <w:jc w:val="both"/>
        <w:rPr>
          <w:i/>
        </w:rPr>
      </w:pPr>
      <w:r w:rsidRPr="00D57BB3">
        <w:rPr>
          <w:i/>
        </w:rPr>
        <w:t>Limitations of the study</w:t>
      </w:r>
    </w:p>
    <w:p w14:paraId="072776CA" w14:textId="50E71A64" w:rsidR="00930236" w:rsidRPr="00D86F9C" w:rsidRDefault="00D86F9C" w:rsidP="00D86F9C">
      <w:pPr>
        <w:jc w:val="both"/>
      </w:pPr>
      <w:r>
        <w:t>The study protocol stated that a quota sample would be used, derived from 'data on composition of target population by role (e.g</w:t>
      </w:r>
      <w:r w:rsidR="00930236">
        <w:t>.</w:t>
      </w:r>
      <w:r>
        <w:t xml:space="preserve"> community nurse, physiotherapist) and NHS Agenda for Change (AfC) band (the current grading system for staff seniority within in the target population) [which would be] provided by the trust' </w:t>
      </w:r>
      <w:r>
        <w:fldChar w:fldCharType="begin" w:fldLock="1"/>
      </w:r>
      <w:r w:rsidR="008F1402">
        <w:instrText>ADDIN CSL_CITATION {"citationItems":[{"id":"ITEM-1","itemData":{"DOI":"10.1136/bmjopen-2018-023362","ISSN":"2044-6055","author":[{"dropping-particle":"","family":"Bracher","given":"Mike","non-dropping-particle":"","parse-names":false,"suffix":""},{"dropping-particle":"","family":"Murphy","given":"Jane","non-dropping-particle":"","parse-names":false,"suffix":""},{"dropping-particle":"","family":"Steward","given":"Katherine","non-dropping-particle":"","parse-names":false,"suffix":""},{"dropping-particle":"","family":"Wallis","given":"Kathy","non-dropping-particle":"","parse-names":false,"suffix":""},{"dropping-particle":"","family":"May","given":"Carl R","non-dropping-particle":"","parse-names":false,"suffix":""}],"container-title":"BMJ Open","id":"ITEM-1","issue":"2","issued":{"date-parts":[["2019"]]},"page":"e023362","title":"What factors promote or inhibit implementation of a new procedure for screening and treatment of malnutrition in community settings? A prospective process evaluation of the &lt;i&gt;Implementing Nutrition Screening in Community Care for Older People&lt;/i&gt; (INSCCO","type":"article-journal","volume":"9"},"uris":["http://www.mendeley.com/documents/?uuid=5df5da34-1dee-4957-9896-510a31fcf2aa"]}],"mendeley":{"formattedCitation":"[44]","plainTextFormattedCitation":"[44]","previouslyFormattedCitation":"[44]"},"properties":{"noteIndex":0},"schema":"https://github.com/citation-style-language/schema/raw/master/csl-citation.json"}</w:instrText>
      </w:r>
      <w:r>
        <w:fldChar w:fldCharType="separate"/>
      </w:r>
      <w:r w:rsidR="00AC65F3" w:rsidRPr="00AC65F3">
        <w:rPr>
          <w:noProof/>
        </w:rPr>
        <w:t>[44]</w:t>
      </w:r>
      <w:r>
        <w:fldChar w:fldCharType="end"/>
      </w:r>
      <w:r>
        <w:t xml:space="preserve">. Unfortunately, these data were not made available to the INSCCOPe team, and as such we </w:t>
      </w:r>
      <w:r w:rsidR="000E53A9">
        <w:t>adopted</w:t>
      </w:r>
      <w:r>
        <w:t xml:space="preserve"> a strategy of maximum recruitment within each team. This limited our reporting of relationship</w:t>
      </w:r>
      <w:r w:rsidR="000E53A9">
        <w:t>s</w:t>
      </w:r>
      <w:r>
        <w:t xml:space="preserve"> between sample and target populations with respect to these characteristics.</w:t>
      </w:r>
      <w:r w:rsidR="00930236">
        <w:t xml:space="preserve"> </w:t>
      </w:r>
      <w:r w:rsidR="00930236" w:rsidRPr="00930236">
        <w:t>While</w:t>
      </w:r>
      <w:r w:rsidR="00930236">
        <w:t xml:space="preserve"> </w:t>
      </w:r>
      <w:r w:rsidR="00930236" w:rsidRPr="00930236">
        <w:t xml:space="preserve">72 participants were originally recruited at T0, 32 </w:t>
      </w:r>
      <w:r w:rsidR="00930236">
        <w:t>went on to</w:t>
      </w:r>
      <w:r w:rsidR="00930236" w:rsidRPr="00930236">
        <w:t xml:space="preserve"> complete NoMad at T1. While 12 participants were identified as having left</w:t>
      </w:r>
      <w:r w:rsidR="00930236">
        <w:t xml:space="preserve"> their teams</w:t>
      </w:r>
      <w:r w:rsidR="00930236" w:rsidRPr="00930236">
        <w:t xml:space="preserve"> (16% of the T0 sample), reasons for non-completion were unavailable for 29</w:t>
      </w:r>
      <w:r w:rsidR="000E53A9">
        <w:t xml:space="preserve"> further</w:t>
      </w:r>
      <w:r w:rsidR="00930236" w:rsidRPr="00930236">
        <w:t xml:space="preserve"> </w:t>
      </w:r>
      <w:r w:rsidR="00930236">
        <w:t>participants</w:t>
      </w:r>
      <w:r w:rsidR="00930236" w:rsidRPr="00930236">
        <w:t>. This reduction indicates</w:t>
      </w:r>
      <w:r w:rsidR="00930236">
        <w:t xml:space="preserve"> </w:t>
      </w:r>
      <w:r w:rsidR="00930236" w:rsidRPr="00930236">
        <w:t>vulnerability of prospective studies in complex healthcare environments to participant attrition</w:t>
      </w:r>
      <w:r w:rsidR="00930236">
        <w:t>, a factor in which may have been</w:t>
      </w:r>
      <w:r w:rsidR="00930236" w:rsidRPr="00930236">
        <w:t xml:space="preserve"> that questionnaires at T1 were cascaded to participants at team meetings via team leads, whereas at T0 they were completed at the point of recruitment in the presence of a researcher. For data </w:t>
      </w:r>
      <w:r w:rsidR="00930236" w:rsidRPr="00930236">
        <w:lastRenderedPageBreak/>
        <w:t xml:space="preserve">collection at T2, the INSCCOPe team will attend team meetings in person to administer instruments, to avoid potential risks of further attrition (e.g. questionnaires getting lost due to changeable working conditions of team leads). Both survey and interview contained questions relying on participant recollection of events over varying periods of time, and </w:t>
      </w:r>
      <w:r w:rsidR="00930236">
        <w:t>as such</w:t>
      </w:r>
      <w:r w:rsidR="00930236" w:rsidRPr="00930236">
        <w:t xml:space="preserve"> recall and response bias may be present.</w:t>
      </w:r>
      <w:r w:rsidR="007C021D">
        <w:t xml:space="preserve"> </w:t>
      </w:r>
      <w:r w:rsidR="007C021D" w:rsidRPr="007C021D">
        <w:t>Finally, there are indications of differences between training and non-training participants in relation to implementation indicators, as well as differences between T0-T1, that did not reach statistical significance but may warrant further exploration. The aim of this article was to present results from phase one of implementation, to identify factors promoting or inhibiting its implementation and indicate how these have informed recommendations for further development. Further discussion is therefore beyond the scope of the current paper; however, we intend to explore these issues further in a future article reporting results from phase two of implementation, wherein we can explore them in relation to the effect of changes recommended here.</w:t>
      </w:r>
    </w:p>
    <w:p w14:paraId="4F09A156" w14:textId="253EFCE3" w:rsidR="00C3267A" w:rsidRPr="00570AA3" w:rsidRDefault="00C3267A" w:rsidP="00570AA3">
      <w:pPr>
        <w:rPr>
          <w:b/>
        </w:rPr>
      </w:pPr>
      <w:r w:rsidRPr="00570AA3">
        <w:rPr>
          <w:b/>
        </w:rPr>
        <w:t>Conclusion</w:t>
      </w:r>
    </w:p>
    <w:p w14:paraId="56F83E03" w14:textId="0DE86FF1" w:rsidR="00B66D31" w:rsidRPr="00FC3FF0" w:rsidRDefault="00310172" w:rsidP="00B66D31">
      <w:pPr>
        <w:jc w:val="both"/>
      </w:pPr>
      <w:r>
        <w:t>W</w:t>
      </w:r>
      <w:r w:rsidR="00B66D31">
        <w:t>e have presented a prospective process evaluation, exploring</w:t>
      </w:r>
      <w:r w:rsidR="00BE284E">
        <w:t xml:space="preserve"> initial</w:t>
      </w:r>
      <w:r w:rsidR="00B66D31">
        <w:t xml:space="preserve"> implementation of a new procedure for screening and treatment of malnutrition in community settings. Guided by N</w:t>
      </w:r>
      <w:r w:rsidR="0097439E">
        <w:t xml:space="preserve">ormalization </w:t>
      </w:r>
      <w:r w:rsidR="00B66D31">
        <w:t>P</w:t>
      </w:r>
      <w:r w:rsidR="0097439E">
        <w:t xml:space="preserve">rocess </w:t>
      </w:r>
      <w:r w:rsidR="00B66D31">
        <w:t>T</w:t>
      </w:r>
      <w:r w:rsidR="0097439E">
        <w:t>heory</w:t>
      </w:r>
      <w:r w:rsidR="00B66D31">
        <w:t xml:space="preserve">, we have explored </w:t>
      </w:r>
      <w:r w:rsidR="00F547CF">
        <w:t>factors promoting implementation and embedding of the new procedure (i.e. s</w:t>
      </w:r>
      <w:r w:rsidR="00F547CF" w:rsidRPr="00F547CF">
        <w:t>taff understanding of the effectiveness, legitimacy, and appropriateness of the intervention</w:t>
      </w:r>
      <w:r w:rsidR="00F547CF">
        <w:t xml:space="preserve">). </w:t>
      </w:r>
      <w:r w:rsidR="00F547CF" w:rsidRPr="00F547CF">
        <w:t xml:space="preserve"> </w:t>
      </w:r>
      <w:r w:rsidR="00F547CF">
        <w:t>In addition, we have highlighted aspects of the implementation field presenting challenges to implementation (i.e.</w:t>
      </w:r>
      <w:r w:rsidR="002852BC" w:rsidRPr="002852BC">
        <w:t xml:space="preserve"> non-completion of training, staff attrition, lack of ongoing monitoring for procedure compliance, concerns around institutional support for nutrition screening and treatment activity</w:t>
      </w:r>
      <w:r w:rsidR="002852BC">
        <w:t>)</w:t>
      </w:r>
      <w:r w:rsidR="00B66D31">
        <w:t xml:space="preserve">. </w:t>
      </w:r>
      <w:r w:rsidR="00FC3FF0">
        <w:t xml:space="preserve">In so doing, we have highlighted some generic aspects of implementation relevant to service development in community settings and proposed two specific areas of attention for those designing such interventions. These findings add to the wider knowledge base on implementation and embedding by supporting and extending observations regarding the importance of </w:t>
      </w:r>
      <w:r w:rsidR="00FC3FF0">
        <w:rPr>
          <w:i/>
        </w:rPr>
        <w:t>Collective Action</w:t>
      </w:r>
      <w:r w:rsidR="00FC3FF0">
        <w:t xml:space="preserve"> and </w:t>
      </w:r>
      <w:r w:rsidR="00FC3FF0">
        <w:rPr>
          <w:i/>
        </w:rPr>
        <w:t>Reflexive Monitoring</w:t>
      </w:r>
      <w:r w:rsidR="00965563">
        <w:t xml:space="preserve"> mechanisms.</w:t>
      </w:r>
      <w:r w:rsidR="00BE284E">
        <w:t xml:space="preserve"> </w:t>
      </w:r>
    </w:p>
    <w:p w14:paraId="6D502372" w14:textId="31893503" w:rsidR="00FB66E6" w:rsidRPr="008D7FF2" w:rsidRDefault="00FB66E6" w:rsidP="00FB66E6">
      <w:pPr>
        <w:jc w:val="both"/>
        <w:rPr>
          <w:b/>
        </w:rPr>
      </w:pPr>
      <w:r>
        <w:rPr>
          <w:b/>
        </w:rPr>
        <w:t>Declarations</w:t>
      </w:r>
    </w:p>
    <w:p w14:paraId="366CACFF" w14:textId="77777777" w:rsidR="00FB66E6" w:rsidRPr="008D7FF2" w:rsidRDefault="00FB66E6" w:rsidP="00FB66E6">
      <w:pPr>
        <w:jc w:val="both"/>
        <w:rPr>
          <w:i/>
        </w:rPr>
      </w:pPr>
      <w:r w:rsidRPr="008D7FF2">
        <w:rPr>
          <w:i/>
        </w:rPr>
        <w:t>Ethics approval and consent to participate</w:t>
      </w:r>
    </w:p>
    <w:p w14:paraId="023591BA" w14:textId="77777777" w:rsidR="00FB66E6" w:rsidRDefault="00FB66E6" w:rsidP="00FB66E6">
      <w:pPr>
        <w:jc w:val="both"/>
      </w:pPr>
      <w:r>
        <w:lastRenderedPageBreak/>
        <w:t>Ethical approval for the study has been granted through institutional ethical review (Bournemouth University); NHS Heath Research Authority approval (IRAS ID – 223214) was granted on 05/04/2017. NHS Research Ethics committee approval was not required for this study, as it involves only staff.</w:t>
      </w:r>
    </w:p>
    <w:p w14:paraId="5C242CF0" w14:textId="77777777" w:rsidR="00FB66E6" w:rsidRDefault="00FB66E6" w:rsidP="00FB66E6">
      <w:pPr>
        <w:jc w:val="both"/>
      </w:pPr>
      <w:r>
        <w:rPr>
          <w:i/>
        </w:rPr>
        <w:t>Consent for publication</w:t>
      </w:r>
    </w:p>
    <w:p w14:paraId="72DCDF02" w14:textId="77777777" w:rsidR="00FB66E6" w:rsidRDefault="00FB66E6" w:rsidP="00FB66E6">
      <w:pPr>
        <w:jc w:val="both"/>
      </w:pPr>
      <w:r>
        <w:t>Not applicable.</w:t>
      </w:r>
    </w:p>
    <w:p w14:paraId="1E644F2F" w14:textId="6DFE72C3" w:rsidR="00FB66E6" w:rsidRDefault="003A704A" w:rsidP="00FB66E6">
      <w:pPr>
        <w:jc w:val="both"/>
        <w:rPr>
          <w:i/>
        </w:rPr>
      </w:pPr>
      <w:r>
        <w:rPr>
          <w:i/>
        </w:rPr>
        <w:t>Data sharing statement</w:t>
      </w:r>
    </w:p>
    <w:p w14:paraId="558582F9" w14:textId="239F862E" w:rsidR="003A704A" w:rsidRPr="003A704A" w:rsidRDefault="003A704A" w:rsidP="00FB66E6">
      <w:pPr>
        <w:jc w:val="both"/>
      </w:pPr>
      <w:r w:rsidRPr="003A704A">
        <w:t>No additional unpublished data are available from this study.</w:t>
      </w:r>
    </w:p>
    <w:p w14:paraId="093E7081" w14:textId="77777777" w:rsidR="00FB66E6" w:rsidRDefault="00FB66E6" w:rsidP="00FB66E6">
      <w:pPr>
        <w:jc w:val="both"/>
      </w:pPr>
      <w:r>
        <w:t>Not applicable.</w:t>
      </w:r>
    </w:p>
    <w:p w14:paraId="3B6EC1B5" w14:textId="77777777" w:rsidR="00FB66E6" w:rsidRDefault="00FB66E6" w:rsidP="00FB66E6">
      <w:pPr>
        <w:jc w:val="both"/>
        <w:rPr>
          <w:i/>
        </w:rPr>
      </w:pPr>
      <w:r>
        <w:rPr>
          <w:i/>
        </w:rPr>
        <w:t>Competing interests</w:t>
      </w:r>
    </w:p>
    <w:p w14:paraId="230A031D" w14:textId="77777777" w:rsidR="00FB66E6" w:rsidRDefault="00FB66E6" w:rsidP="00FB66E6">
      <w:pPr>
        <w:jc w:val="both"/>
      </w:pPr>
      <w:r w:rsidRPr="006D673D">
        <w:t>The authors declare that they have no competing interests</w:t>
      </w:r>
      <w:r>
        <w:t>.</w:t>
      </w:r>
    </w:p>
    <w:p w14:paraId="52263884" w14:textId="77777777" w:rsidR="00FB66E6" w:rsidRDefault="00FB66E6" w:rsidP="00FB66E6">
      <w:pPr>
        <w:jc w:val="both"/>
        <w:rPr>
          <w:i/>
        </w:rPr>
      </w:pPr>
      <w:r w:rsidRPr="00F54E79">
        <w:rPr>
          <w:i/>
        </w:rPr>
        <w:t xml:space="preserve">Funding </w:t>
      </w:r>
    </w:p>
    <w:p w14:paraId="1F52F6A6" w14:textId="77777777" w:rsidR="00FB66E6" w:rsidRDefault="00FB66E6" w:rsidP="00FB66E6">
      <w:pPr>
        <w:jc w:val="both"/>
      </w:pPr>
      <w:r>
        <w:t>The project is funded by The Burdett Trust for Nursing.</w:t>
      </w:r>
    </w:p>
    <w:p w14:paraId="4CCCF7D9" w14:textId="77777777" w:rsidR="00FB66E6" w:rsidRDefault="00FB66E6" w:rsidP="00FB66E6">
      <w:pPr>
        <w:jc w:val="both"/>
        <w:rPr>
          <w:i/>
        </w:rPr>
      </w:pPr>
      <w:r w:rsidRPr="008D7FF2">
        <w:rPr>
          <w:i/>
        </w:rPr>
        <w:t>Author contributions</w:t>
      </w:r>
    </w:p>
    <w:p w14:paraId="6E4D2CDA" w14:textId="13159621" w:rsidR="00FB66E6" w:rsidRPr="008D7FF2" w:rsidRDefault="00FB66E6" w:rsidP="00FB66E6">
      <w:pPr>
        <w:jc w:val="both"/>
      </w:pPr>
      <w:r>
        <w:t xml:space="preserve">JM, KW, and KS devised the project (for which CRM </w:t>
      </w:r>
      <w:r w:rsidR="003D6483">
        <w:t xml:space="preserve">and AA </w:t>
      </w:r>
      <w:r>
        <w:t>also provided advice). JM obtained funding</w:t>
      </w:r>
      <w:r w:rsidR="0028485B">
        <w:t xml:space="preserve"> at the host institution, Bournemouth University</w:t>
      </w:r>
      <w:r>
        <w:t xml:space="preserve">. JM managed the study as chief investigator. MB was primarily responsible for study design, protocol, data collection and analysis with input from JM, KW, KS, </w:t>
      </w:r>
      <w:r w:rsidR="003D6483">
        <w:t xml:space="preserve">AA </w:t>
      </w:r>
      <w:r>
        <w:t>and CRM.  All authors contributed significant revisions to drafts of the manuscript,</w:t>
      </w:r>
      <w:r w:rsidR="00310172">
        <w:t xml:space="preserve"> </w:t>
      </w:r>
      <w:r>
        <w:t>and have read and approved the final manuscript.</w:t>
      </w:r>
    </w:p>
    <w:p w14:paraId="21BE8C0D" w14:textId="77777777" w:rsidR="00FB66E6" w:rsidRDefault="00FB66E6" w:rsidP="00FB66E6">
      <w:pPr>
        <w:jc w:val="both"/>
        <w:rPr>
          <w:i/>
        </w:rPr>
      </w:pPr>
      <w:r>
        <w:rPr>
          <w:i/>
        </w:rPr>
        <w:t>Acknowledgements</w:t>
      </w:r>
    </w:p>
    <w:p w14:paraId="260F9515" w14:textId="77777777" w:rsidR="00FB66E6" w:rsidRDefault="00FB66E6" w:rsidP="00FB66E6">
      <w:pPr>
        <w:jc w:val="both"/>
      </w:pPr>
      <w:r>
        <w:t>The study team would like to acknowledge the support of the Burdett Trust for Nursing, and of staff within Southern Health NHS Foundation Trust for their help and support in the development of this study.</w:t>
      </w:r>
    </w:p>
    <w:p w14:paraId="493F07E2" w14:textId="3CAFB567" w:rsidR="00A92EAE" w:rsidRDefault="00A92EAE" w:rsidP="00B66D31">
      <w:pPr>
        <w:jc w:val="both"/>
      </w:pPr>
    </w:p>
    <w:p w14:paraId="78642752" w14:textId="33A6B433" w:rsidR="00C3267A" w:rsidRDefault="00C3267A" w:rsidP="00570AA3">
      <w:pPr>
        <w:rPr>
          <w:b/>
        </w:rPr>
      </w:pPr>
      <w:r w:rsidRPr="00570AA3">
        <w:rPr>
          <w:b/>
        </w:rPr>
        <w:t>References</w:t>
      </w:r>
    </w:p>
    <w:p w14:paraId="4FB536E1" w14:textId="2B066C0E" w:rsidR="008F1402" w:rsidRPr="008F1402" w:rsidRDefault="009643B4" w:rsidP="008F1402">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8F1402" w:rsidRPr="008F1402">
        <w:rPr>
          <w:rFonts w:ascii="Calibri" w:hAnsi="Calibri" w:cs="Calibri"/>
          <w:noProof/>
          <w:szCs w:val="24"/>
        </w:rPr>
        <w:t xml:space="preserve">1 </w:t>
      </w:r>
      <w:r w:rsidR="008F1402" w:rsidRPr="008F1402">
        <w:rPr>
          <w:rFonts w:ascii="Calibri" w:hAnsi="Calibri" w:cs="Calibri"/>
          <w:noProof/>
          <w:szCs w:val="24"/>
        </w:rPr>
        <w:tab/>
        <w:t xml:space="preserve">Craig P, Dieppe P, Macintyre S, </w:t>
      </w:r>
      <w:r w:rsidR="008F1402" w:rsidRPr="008F1402">
        <w:rPr>
          <w:rFonts w:ascii="Calibri" w:hAnsi="Calibri" w:cs="Calibri"/>
          <w:i/>
          <w:iCs/>
          <w:noProof/>
          <w:szCs w:val="24"/>
        </w:rPr>
        <w:t>et al.</w:t>
      </w:r>
      <w:r w:rsidR="008F1402" w:rsidRPr="008F1402">
        <w:rPr>
          <w:rFonts w:ascii="Calibri" w:hAnsi="Calibri" w:cs="Calibri"/>
          <w:noProof/>
          <w:szCs w:val="24"/>
        </w:rPr>
        <w:t xml:space="preserve"> Developing and evaluating complex interventions: new guidance. 2007.</w:t>
      </w:r>
    </w:p>
    <w:p w14:paraId="7607424E"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lastRenderedPageBreak/>
        <w:t xml:space="preserve">2 </w:t>
      </w:r>
      <w:r w:rsidRPr="008F1402">
        <w:rPr>
          <w:rFonts w:ascii="Calibri" w:hAnsi="Calibri" w:cs="Calibri"/>
          <w:noProof/>
          <w:szCs w:val="24"/>
        </w:rPr>
        <w:tab/>
        <w:t xml:space="preserve">May CR, Johnson M, Finch T. Implementation, context and complexity. </w:t>
      </w:r>
      <w:r w:rsidRPr="008F1402">
        <w:rPr>
          <w:rFonts w:ascii="Calibri" w:hAnsi="Calibri" w:cs="Calibri"/>
          <w:i/>
          <w:iCs/>
          <w:noProof/>
          <w:szCs w:val="24"/>
        </w:rPr>
        <w:t>Implement Sci</w:t>
      </w:r>
      <w:r w:rsidRPr="008F1402">
        <w:rPr>
          <w:rFonts w:ascii="Calibri" w:hAnsi="Calibri" w:cs="Calibri"/>
          <w:noProof/>
          <w:szCs w:val="24"/>
        </w:rPr>
        <w:t xml:space="preserve"> 2016;</w:t>
      </w:r>
      <w:r w:rsidRPr="008F1402">
        <w:rPr>
          <w:rFonts w:ascii="Calibri" w:hAnsi="Calibri" w:cs="Calibri"/>
          <w:b/>
          <w:bCs/>
          <w:noProof/>
          <w:szCs w:val="24"/>
        </w:rPr>
        <w:t>11</w:t>
      </w:r>
      <w:r w:rsidRPr="008F1402">
        <w:rPr>
          <w:rFonts w:ascii="Calibri" w:hAnsi="Calibri" w:cs="Calibri"/>
          <w:noProof/>
          <w:szCs w:val="24"/>
        </w:rPr>
        <w:t>:141. doi:10.1186/s13012-016-0506-3</w:t>
      </w:r>
    </w:p>
    <w:p w14:paraId="0F87B21C"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3 </w:t>
      </w:r>
      <w:r w:rsidRPr="008F1402">
        <w:rPr>
          <w:rFonts w:ascii="Calibri" w:hAnsi="Calibri" w:cs="Calibri"/>
          <w:noProof/>
          <w:szCs w:val="24"/>
        </w:rPr>
        <w:tab/>
        <w:t xml:space="preserve">Greenhalgh T. </w:t>
      </w:r>
      <w:r w:rsidRPr="008F1402">
        <w:rPr>
          <w:rFonts w:ascii="Calibri" w:hAnsi="Calibri" w:cs="Calibri"/>
          <w:i/>
          <w:iCs/>
          <w:noProof/>
          <w:szCs w:val="24"/>
        </w:rPr>
        <w:t>How to Implement Evidence-Based Healthcare</w:t>
      </w:r>
      <w:r w:rsidRPr="008F1402">
        <w:rPr>
          <w:rFonts w:ascii="Calibri" w:hAnsi="Calibri" w:cs="Calibri"/>
          <w:noProof/>
          <w:szCs w:val="24"/>
        </w:rPr>
        <w:t>. Wiley 2017. https://books.google.co.uk/books?id=ySgnDwAAQBAJ</w:t>
      </w:r>
    </w:p>
    <w:p w14:paraId="63C894BE"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4 </w:t>
      </w:r>
      <w:r w:rsidRPr="008F1402">
        <w:rPr>
          <w:rFonts w:ascii="Calibri" w:hAnsi="Calibri" w:cs="Calibri"/>
          <w:noProof/>
          <w:szCs w:val="24"/>
        </w:rPr>
        <w:tab/>
        <w:t xml:space="preserve">Moore GF, Audrey S, Barker M, </w:t>
      </w:r>
      <w:r w:rsidRPr="008F1402">
        <w:rPr>
          <w:rFonts w:ascii="Calibri" w:hAnsi="Calibri" w:cs="Calibri"/>
          <w:i/>
          <w:iCs/>
          <w:noProof/>
          <w:szCs w:val="24"/>
        </w:rPr>
        <w:t>et al.</w:t>
      </w:r>
      <w:r w:rsidRPr="008F1402">
        <w:rPr>
          <w:rFonts w:ascii="Calibri" w:hAnsi="Calibri" w:cs="Calibri"/>
          <w:noProof/>
          <w:szCs w:val="24"/>
        </w:rPr>
        <w:t xml:space="preserve"> Process evaluation of complex interventions: Medical Research Council guidance. </w:t>
      </w:r>
      <w:r w:rsidRPr="008F1402">
        <w:rPr>
          <w:rFonts w:ascii="Calibri" w:hAnsi="Calibri" w:cs="Calibri"/>
          <w:i/>
          <w:iCs/>
          <w:noProof/>
          <w:szCs w:val="24"/>
        </w:rPr>
        <w:t>BMJ</w:t>
      </w:r>
      <w:r w:rsidRPr="008F1402">
        <w:rPr>
          <w:rFonts w:ascii="Calibri" w:hAnsi="Calibri" w:cs="Calibri"/>
          <w:noProof/>
          <w:szCs w:val="24"/>
        </w:rPr>
        <w:t xml:space="preserve"> 2015;</w:t>
      </w:r>
      <w:r w:rsidRPr="008F1402">
        <w:rPr>
          <w:rFonts w:ascii="Calibri" w:hAnsi="Calibri" w:cs="Calibri"/>
          <w:b/>
          <w:bCs/>
          <w:noProof/>
          <w:szCs w:val="24"/>
        </w:rPr>
        <w:t>350</w:t>
      </w:r>
      <w:r w:rsidRPr="008F1402">
        <w:rPr>
          <w:rFonts w:ascii="Calibri" w:hAnsi="Calibri" w:cs="Calibri"/>
          <w:noProof/>
          <w:szCs w:val="24"/>
        </w:rPr>
        <w:t>:h1258–h1258. doi:10.1136/bmj.h1258</w:t>
      </w:r>
    </w:p>
    <w:p w14:paraId="20FF1C2F"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5 </w:t>
      </w:r>
      <w:r w:rsidRPr="008F1402">
        <w:rPr>
          <w:rFonts w:ascii="Calibri" w:hAnsi="Calibri" w:cs="Calibri"/>
          <w:noProof/>
          <w:szCs w:val="24"/>
        </w:rPr>
        <w:tab/>
        <w:t>Community nursing : transforming health care Community nursing : transforming health care. London, UK: 2011. https://www.rcn.org.uk/-/media/royal-college-of-nursing/documents/publications/2011/november/pub-004165.pdf</w:t>
      </w:r>
    </w:p>
    <w:p w14:paraId="75E904C6"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6 </w:t>
      </w:r>
      <w:r w:rsidRPr="008F1402">
        <w:rPr>
          <w:rFonts w:ascii="Calibri" w:hAnsi="Calibri" w:cs="Calibri"/>
          <w:noProof/>
          <w:szCs w:val="24"/>
        </w:rPr>
        <w:tab/>
        <w:t xml:space="preserve">Edwards N. Community services: How they can transform care. </w:t>
      </w:r>
      <w:r w:rsidRPr="008F1402">
        <w:rPr>
          <w:rFonts w:ascii="Calibri" w:hAnsi="Calibri" w:cs="Calibri"/>
          <w:i/>
          <w:iCs/>
          <w:noProof/>
          <w:szCs w:val="24"/>
        </w:rPr>
        <w:t>King’s Fund</w:t>
      </w:r>
      <w:r w:rsidRPr="008F1402">
        <w:rPr>
          <w:rFonts w:ascii="Calibri" w:hAnsi="Calibri" w:cs="Calibri"/>
          <w:noProof/>
          <w:szCs w:val="24"/>
        </w:rPr>
        <w:t xml:space="preserve"> 2014;:1–24.http://www.kingsfund.org.uk/blog/2014/02/transforming-community-services-learning-previous-mistakes</w:t>
      </w:r>
    </w:p>
    <w:p w14:paraId="076907A2"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7 </w:t>
      </w:r>
      <w:r w:rsidRPr="008F1402">
        <w:rPr>
          <w:rFonts w:ascii="Calibri" w:hAnsi="Calibri" w:cs="Calibri"/>
          <w:noProof/>
          <w:szCs w:val="24"/>
        </w:rPr>
        <w:tab/>
        <w:t>Todorovic V, Russell C, Elia M. The ‘MUST’ explanatory booklet. 2011. http://www.bapen.org.uk/pdfs/must/must_explan.pdf</w:t>
      </w:r>
    </w:p>
    <w:p w14:paraId="63569450"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8 </w:t>
      </w:r>
      <w:r w:rsidRPr="008F1402">
        <w:rPr>
          <w:rFonts w:ascii="Calibri" w:hAnsi="Calibri" w:cs="Calibri"/>
          <w:noProof/>
          <w:szCs w:val="24"/>
        </w:rPr>
        <w:tab/>
        <w:t>NICE. Nutrition support for adults: oral nutrition support, enteral tube feeding and parenteral nutrition. London, UK: 2006. http://nice.org.uk/guidance/cg32</w:t>
      </w:r>
    </w:p>
    <w:p w14:paraId="0B849F53"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9 </w:t>
      </w:r>
      <w:r w:rsidRPr="008F1402">
        <w:rPr>
          <w:rFonts w:ascii="Calibri" w:hAnsi="Calibri" w:cs="Calibri"/>
          <w:noProof/>
          <w:szCs w:val="24"/>
        </w:rPr>
        <w:tab/>
        <w:t>NICE. Nutrition support in adults. London, UK: 2007. http://www.nice.org.uk/nicemedia/live/10978/29978/29978.pdf%5Cnpapers3://publication/uuid/48F2C672-83ED-4CAB-9BDC-BB22A7C7D3A1</w:t>
      </w:r>
    </w:p>
    <w:p w14:paraId="79E0F9F5"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10 </w:t>
      </w:r>
      <w:r w:rsidRPr="008F1402">
        <w:rPr>
          <w:rFonts w:ascii="Calibri" w:hAnsi="Calibri" w:cs="Calibri"/>
          <w:noProof/>
          <w:szCs w:val="24"/>
        </w:rPr>
        <w:tab/>
        <w:t>Elia M. The cost of malnutrition in England and potential cost savings from nutritional interventions (full report) A report on the cost of disease-related malnutrition in support in adults. 2015.</w:t>
      </w:r>
    </w:p>
    <w:p w14:paraId="46E21ECB"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11 </w:t>
      </w:r>
      <w:r w:rsidRPr="008F1402">
        <w:rPr>
          <w:rFonts w:ascii="Calibri" w:hAnsi="Calibri" w:cs="Calibri"/>
          <w:noProof/>
          <w:szCs w:val="24"/>
        </w:rPr>
        <w:tab/>
        <w:t xml:space="preserve">Johnson MJ, Leaf AA, Pearson F. Successfully implementing and embedding guidelines to improve the nutrition and growth of preterm infants in neonatal intensive care: a prospective interventional study. </w:t>
      </w:r>
      <w:r w:rsidRPr="008F1402">
        <w:rPr>
          <w:rFonts w:ascii="Calibri" w:hAnsi="Calibri" w:cs="Calibri"/>
          <w:i/>
          <w:iCs/>
          <w:noProof/>
          <w:szCs w:val="24"/>
        </w:rPr>
        <w:t>BMJ Open</w:t>
      </w:r>
      <w:r w:rsidRPr="008F1402">
        <w:rPr>
          <w:rFonts w:ascii="Calibri" w:hAnsi="Calibri" w:cs="Calibri"/>
          <w:noProof/>
          <w:szCs w:val="24"/>
        </w:rPr>
        <w:t xml:space="preserve"> Published Online First: 2017. doi:doi:10.1136/bmjopen-2017-017727</w:t>
      </w:r>
    </w:p>
    <w:p w14:paraId="6BC43613"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12 </w:t>
      </w:r>
      <w:r w:rsidRPr="008F1402">
        <w:rPr>
          <w:rFonts w:ascii="Calibri" w:hAnsi="Calibri" w:cs="Calibri"/>
          <w:noProof/>
          <w:szCs w:val="24"/>
        </w:rPr>
        <w:tab/>
        <w:t xml:space="preserve">Bamford C, Heaven B, May C, </w:t>
      </w:r>
      <w:r w:rsidRPr="008F1402">
        <w:rPr>
          <w:rFonts w:ascii="Calibri" w:hAnsi="Calibri" w:cs="Calibri"/>
          <w:i/>
          <w:iCs/>
          <w:noProof/>
          <w:szCs w:val="24"/>
        </w:rPr>
        <w:t>et al.</w:t>
      </w:r>
      <w:r w:rsidRPr="008F1402">
        <w:rPr>
          <w:rFonts w:ascii="Calibri" w:hAnsi="Calibri" w:cs="Calibri"/>
          <w:noProof/>
          <w:szCs w:val="24"/>
        </w:rPr>
        <w:t xml:space="preserve"> Implementing nutrition guidelines for older people in residential care homes: a qualitative study using normalization process theory. </w:t>
      </w:r>
      <w:r w:rsidRPr="008F1402">
        <w:rPr>
          <w:rFonts w:ascii="Calibri" w:hAnsi="Calibri" w:cs="Calibri"/>
          <w:i/>
          <w:iCs/>
          <w:noProof/>
          <w:szCs w:val="24"/>
        </w:rPr>
        <w:t>Implement Sci</w:t>
      </w:r>
      <w:r w:rsidRPr="008F1402">
        <w:rPr>
          <w:rFonts w:ascii="Calibri" w:hAnsi="Calibri" w:cs="Calibri"/>
          <w:noProof/>
          <w:szCs w:val="24"/>
        </w:rPr>
        <w:t xml:space="preserve"> 2012;</w:t>
      </w:r>
      <w:r w:rsidRPr="008F1402">
        <w:rPr>
          <w:rFonts w:ascii="Calibri" w:hAnsi="Calibri" w:cs="Calibri"/>
          <w:b/>
          <w:bCs/>
          <w:noProof/>
          <w:szCs w:val="24"/>
        </w:rPr>
        <w:t>7</w:t>
      </w:r>
      <w:r w:rsidRPr="008F1402">
        <w:rPr>
          <w:rFonts w:ascii="Calibri" w:hAnsi="Calibri" w:cs="Calibri"/>
          <w:noProof/>
          <w:szCs w:val="24"/>
        </w:rPr>
        <w:t>:106. doi:10.1186/1748-5908-7-106</w:t>
      </w:r>
    </w:p>
    <w:p w14:paraId="615B590F"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13 </w:t>
      </w:r>
      <w:r w:rsidRPr="008F1402">
        <w:rPr>
          <w:rFonts w:ascii="Calibri" w:hAnsi="Calibri" w:cs="Calibri"/>
          <w:noProof/>
          <w:szCs w:val="24"/>
        </w:rPr>
        <w:tab/>
        <w:t>Brotherton A, Simmonds N, Stroud M. Malnutrition Matters - Meeting Quality Standards in Nutritional Care. 2010. http://www.bapen.org.uk/pdfs/toolkit-for-</w:t>
      </w:r>
      <w:r w:rsidRPr="008F1402">
        <w:rPr>
          <w:rFonts w:ascii="Calibri" w:hAnsi="Calibri" w:cs="Calibri"/>
          <w:noProof/>
          <w:szCs w:val="24"/>
        </w:rPr>
        <w:lastRenderedPageBreak/>
        <w:t>commissioners.pdf</w:t>
      </w:r>
    </w:p>
    <w:p w14:paraId="08746C7E"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14 </w:t>
      </w:r>
      <w:r w:rsidRPr="008F1402">
        <w:rPr>
          <w:rFonts w:ascii="Calibri" w:hAnsi="Calibri" w:cs="Calibri"/>
          <w:noProof/>
          <w:szCs w:val="24"/>
        </w:rPr>
        <w:tab/>
        <w:t>WHO. What is malnutrition? 2016.http://www.who.int/features/qa/malnutrition/en/ (accessed 29 Sep 2017).</w:t>
      </w:r>
    </w:p>
    <w:p w14:paraId="7572E1A8"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15 </w:t>
      </w:r>
      <w:r w:rsidRPr="008F1402">
        <w:rPr>
          <w:rFonts w:ascii="Calibri" w:hAnsi="Calibri" w:cs="Calibri"/>
          <w:noProof/>
          <w:szCs w:val="24"/>
        </w:rPr>
        <w:tab/>
        <w:t>Elia M. The ‘MUST’ Report - Nutritional screening of adults: a multidisciplinary responsibility. Warminster, UK: 2003. https://www.bapen.org.uk/pdfs/must/must-report.pdf</w:t>
      </w:r>
    </w:p>
    <w:p w14:paraId="5347D999"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16 </w:t>
      </w:r>
      <w:r w:rsidRPr="008F1402">
        <w:rPr>
          <w:rFonts w:ascii="Calibri" w:hAnsi="Calibri" w:cs="Calibri"/>
          <w:noProof/>
          <w:szCs w:val="24"/>
        </w:rPr>
        <w:tab/>
        <w:t>Elia M, Russell C. Combating Malnutrition: Recommendations For Action. 2009. https://www.bapen.org.uk/pdfs/reports/advisory_group_report.pdf</w:t>
      </w:r>
    </w:p>
    <w:p w14:paraId="0673AE42"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17 </w:t>
      </w:r>
      <w:r w:rsidRPr="008F1402">
        <w:rPr>
          <w:rFonts w:ascii="Calibri" w:hAnsi="Calibri" w:cs="Calibri"/>
          <w:noProof/>
          <w:szCs w:val="24"/>
        </w:rPr>
        <w:tab/>
        <w:t>Russell C, Elia M. Screening for malnutrition in sheltered housing. A Report from BAPEN with the Group on Nutrition in Sheltered Housing (GNASH). 2009. https://www.bapen.org.uk/pdfs/nsw/gnash_exec_summary09.pdf</w:t>
      </w:r>
    </w:p>
    <w:p w14:paraId="1EF0CE21"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18 </w:t>
      </w:r>
      <w:r w:rsidRPr="008F1402">
        <w:rPr>
          <w:rFonts w:ascii="Calibri" w:hAnsi="Calibri" w:cs="Calibri"/>
          <w:noProof/>
          <w:szCs w:val="24"/>
        </w:rPr>
        <w:tab/>
        <w:t>Wilson L. State of the Nation - Older People and Malnutrition in the UK today. London, UK: 2017. http://www.malnutritiontaskforce.org.uk/wp-content/uploads/2017/10/AW-5625-Age-UK-MTF_Report.pdf</w:t>
      </w:r>
    </w:p>
    <w:p w14:paraId="17208BA7"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19 </w:t>
      </w:r>
      <w:r w:rsidRPr="008F1402">
        <w:rPr>
          <w:rFonts w:ascii="Calibri" w:hAnsi="Calibri" w:cs="Calibri"/>
          <w:noProof/>
          <w:szCs w:val="24"/>
        </w:rPr>
        <w:tab/>
        <w:t xml:space="preserve">Edington J, Barnes R, Bryan F, </w:t>
      </w:r>
      <w:r w:rsidRPr="008F1402">
        <w:rPr>
          <w:rFonts w:ascii="Calibri" w:hAnsi="Calibri" w:cs="Calibri"/>
          <w:i/>
          <w:iCs/>
          <w:noProof/>
          <w:szCs w:val="24"/>
        </w:rPr>
        <w:t>et al.</w:t>
      </w:r>
      <w:r w:rsidRPr="008F1402">
        <w:rPr>
          <w:rFonts w:ascii="Calibri" w:hAnsi="Calibri" w:cs="Calibri"/>
          <w:noProof/>
          <w:szCs w:val="24"/>
        </w:rPr>
        <w:t xml:space="preserve"> A prospective randomised controlled trial of nutritional supplementation in malnourished elderly in the community: clinical and health economic outcomes. </w:t>
      </w:r>
      <w:r w:rsidRPr="008F1402">
        <w:rPr>
          <w:rFonts w:ascii="Calibri" w:hAnsi="Calibri" w:cs="Calibri"/>
          <w:i/>
          <w:iCs/>
          <w:noProof/>
          <w:szCs w:val="24"/>
        </w:rPr>
        <w:t>Clin Nutr</w:t>
      </w:r>
      <w:r w:rsidRPr="008F1402">
        <w:rPr>
          <w:rFonts w:ascii="Calibri" w:hAnsi="Calibri" w:cs="Calibri"/>
          <w:noProof/>
          <w:szCs w:val="24"/>
        </w:rPr>
        <w:t xml:space="preserve"> 2017;</w:t>
      </w:r>
      <w:r w:rsidRPr="008F1402">
        <w:rPr>
          <w:rFonts w:ascii="Calibri" w:hAnsi="Calibri" w:cs="Calibri"/>
          <w:b/>
          <w:bCs/>
          <w:noProof/>
          <w:szCs w:val="24"/>
        </w:rPr>
        <w:t>23</w:t>
      </w:r>
      <w:r w:rsidRPr="008F1402">
        <w:rPr>
          <w:rFonts w:ascii="Calibri" w:hAnsi="Calibri" w:cs="Calibri"/>
          <w:noProof/>
          <w:szCs w:val="24"/>
        </w:rPr>
        <w:t>:195–204. doi:10.1016/S0261-5614(03)00107-9</w:t>
      </w:r>
    </w:p>
    <w:p w14:paraId="569A39F8"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20 </w:t>
      </w:r>
      <w:r w:rsidRPr="008F1402">
        <w:rPr>
          <w:rFonts w:ascii="Calibri" w:hAnsi="Calibri" w:cs="Calibri"/>
          <w:noProof/>
          <w:szCs w:val="24"/>
        </w:rPr>
        <w:tab/>
        <w:t>Wilson L, Health RP. A review and summary of the impact of malnutrition in older people and the reported costs and benefits of interventions. 2013. http://www.malnutritiontaskforce.org.uk/wp-content/uploads/2014/11/A-review-and-summary-of-the-impact-of-malnutrition-in-older-people-and-the-reported-costs-and-benefits-of-interventions.pdf</w:t>
      </w:r>
    </w:p>
    <w:p w14:paraId="75AEB0B0"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21 </w:t>
      </w:r>
      <w:r w:rsidRPr="008F1402">
        <w:rPr>
          <w:rFonts w:ascii="Calibri" w:hAnsi="Calibri" w:cs="Calibri"/>
          <w:noProof/>
          <w:szCs w:val="24"/>
        </w:rPr>
        <w:tab/>
        <w:t xml:space="preserve">Hamirudin AH, Charlton K, Walton K. Outcomes related to nutrition screening in community living older adults: A systematic literature review. </w:t>
      </w:r>
      <w:r w:rsidRPr="008F1402">
        <w:rPr>
          <w:rFonts w:ascii="Calibri" w:hAnsi="Calibri" w:cs="Calibri"/>
          <w:i/>
          <w:iCs/>
          <w:noProof/>
          <w:szCs w:val="24"/>
        </w:rPr>
        <w:t>Arch Gerontol Geriatr</w:t>
      </w:r>
      <w:r w:rsidRPr="008F1402">
        <w:rPr>
          <w:rFonts w:ascii="Calibri" w:hAnsi="Calibri" w:cs="Calibri"/>
          <w:noProof/>
          <w:szCs w:val="24"/>
        </w:rPr>
        <w:t xml:space="preserve"> 2016;</w:t>
      </w:r>
      <w:r w:rsidRPr="008F1402">
        <w:rPr>
          <w:rFonts w:ascii="Calibri" w:hAnsi="Calibri" w:cs="Calibri"/>
          <w:b/>
          <w:bCs/>
          <w:noProof/>
          <w:szCs w:val="24"/>
        </w:rPr>
        <w:t>62</w:t>
      </w:r>
      <w:r w:rsidRPr="008F1402">
        <w:rPr>
          <w:rFonts w:ascii="Calibri" w:hAnsi="Calibri" w:cs="Calibri"/>
          <w:noProof/>
          <w:szCs w:val="24"/>
        </w:rPr>
        <w:t>:9–25. doi:10.1016/j.archger.2015.09.007</w:t>
      </w:r>
    </w:p>
    <w:p w14:paraId="49BD48B9"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22 </w:t>
      </w:r>
      <w:r w:rsidRPr="008F1402">
        <w:rPr>
          <w:rFonts w:ascii="Calibri" w:hAnsi="Calibri" w:cs="Calibri"/>
          <w:noProof/>
          <w:szCs w:val="24"/>
        </w:rPr>
        <w:tab/>
        <w:t xml:space="preserve">Green SM, James EP, Latter S, </w:t>
      </w:r>
      <w:r w:rsidRPr="008F1402">
        <w:rPr>
          <w:rFonts w:ascii="Calibri" w:hAnsi="Calibri" w:cs="Calibri"/>
          <w:i/>
          <w:iCs/>
          <w:noProof/>
          <w:szCs w:val="24"/>
        </w:rPr>
        <w:t>et al.</w:t>
      </w:r>
      <w:r w:rsidRPr="008F1402">
        <w:rPr>
          <w:rFonts w:ascii="Calibri" w:hAnsi="Calibri" w:cs="Calibri"/>
          <w:noProof/>
          <w:szCs w:val="24"/>
        </w:rPr>
        <w:t xml:space="preserve"> Barriers and facilitators to screening for malnutrition by community nurses: a qualitative study. </w:t>
      </w:r>
      <w:r w:rsidRPr="008F1402">
        <w:rPr>
          <w:rFonts w:ascii="Calibri" w:hAnsi="Calibri" w:cs="Calibri"/>
          <w:i/>
          <w:iCs/>
          <w:noProof/>
          <w:szCs w:val="24"/>
        </w:rPr>
        <w:t>J Hum Nutr Diet</w:t>
      </w:r>
      <w:r w:rsidRPr="008F1402">
        <w:rPr>
          <w:rFonts w:ascii="Calibri" w:hAnsi="Calibri" w:cs="Calibri"/>
          <w:noProof/>
          <w:szCs w:val="24"/>
        </w:rPr>
        <w:t xml:space="preserve"> 2014;</w:t>
      </w:r>
      <w:r w:rsidRPr="008F1402">
        <w:rPr>
          <w:rFonts w:ascii="Calibri" w:hAnsi="Calibri" w:cs="Calibri"/>
          <w:b/>
          <w:bCs/>
          <w:noProof/>
          <w:szCs w:val="24"/>
        </w:rPr>
        <w:t>27</w:t>
      </w:r>
      <w:r w:rsidRPr="008F1402">
        <w:rPr>
          <w:rFonts w:ascii="Calibri" w:hAnsi="Calibri" w:cs="Calibri"/>
          <w:noProof/>
          <w:szCs w:val="24"/>
        </w:rPr>
        <w:t>:88–95. doi:10.1111/jhn.12104</w:t>
      </w:r>
    </w:p>
    <w:p w14:paraId="7D9BB38D"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23 </w:t>
      </w:r>
      <w:r w:rsidRPr="008F1402">
        <w:rPr>
          <w:rFonts w:ascii="Calibri" w:hAnsi="Calibri" w:cs="Calibri"/>
          <w:noProof/>
          <w:szCs w:val="24"/>
        </w:rPr>
        <w:tab/>
        <w:t xml:space="preserve">Hodgkins A, Albert G, Bonney A, </w:t>
      </w:r>
      <w:r w:rsidRPr="008F1402">
        <w:rPr>
          <w:rFonts w:ascii="Calibri" w:hAnsi="Calibri" w:cs="Calibri"/>
          <w:i/>
          <w:iCs/>
          <w:noProof/>
          <w:szCs w:val="24"/>
        </w:rPr>
        <w:t>et al.</w:t>
      </w:r>
      <w:r w:rsidRPr="008F1402">
        <w:rPr>
          <w:rFonts w:ascii="Calibri" w:hAnsi="Calibri" w:cs="Calibri"/>
          <w:noProof/>
          <w:szCs w:val="24"/>
        </w:rPr>
        <w:t xml:space="preserve"> Feasibility of implementing routine nutritional screening for older adults in Australian general practices: a mixed-methods study. </w:t>
      </w:r>
      <w:r w:rsidRPr="008F1402">
        <w:rPr>
          <w:rFonts w:ascii="Calibri" w:hAnsi="Calibri" w:cs="Calibri"/>
          <w:i/>
          <w:iCs/>
          <w:noProof/>
          <w:szCs w:val="24"/>
        </w:rPr>
        <w:t>BMC Fam Pract</w:t>
      </w:r>
      <w:r w:rsidRPr="008F1402">
        <w:rPr>
          <w:rFonts w:ascii="Calibri" w:hAnsi="Calibri" w:cs="Calibri"/>
          <w:noProof/>
          <w:szCs w:val="24"/>
        </w:rPr>
        <w:t xml:space="preserve"> 2014;</w:t>
      </w:r>
      <w:r w:rsidRPr="008F1402">
        <w:rPr>
          <w:rFonts w:ascii="Calibri" w:hAnsi="Calibri" w:cs="Calibri"/>
          <w:b/>
          <w:bCs/>
          <w:noProof/>
          <w:szCs w:val="24"/>
        </w:rPr>
        <w:t>15</w:t>
      </w:r>
      <w:r w:rsidRPr="008F1402">
        <w:rPr>
          <w:rFonts w:ascii="Calibri" w:hAnsi="Calibri" w:cs="Calibri"/>
          <w:noProof/>
          <w:szCs w:val="24"/>
        </w:rPr>
        <w:t>:1–9. doi:10.1186/s12875-014-0186-5</w:t>
      </w:r>
    </w:p>
    <w:p w14:paraId="594419F6"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lastRenderedPageBreak/>
        <w:t xml:space="preserve">24 </w:t>
      </w:r>
      <w:r w:rsidRPr="008F1402">
        <w:rPr>
          <w:rFonts w:ascii="Calibri" w:hAnsi="Calibri" w:cs="Calibri"/>
          <w:noProof/>
          <w:szCs w:val="24"/>
        </w:rPr>
        <w:tab/>
        <w:t>Wessex Academic Health Sciences Network (AHSN). Older People’s Essential Nutrition (OPEN) Eastleigh Project. 2016.http://wessexahsn.org.uk/projects/60/older-people-s-essential-nutrition-open-eastleigh (accessed 29 Sep 2017).</w:t>
      </w:r>
    </w:p>
    <w:p w14:paraId="24A4E862"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25 </w:t>
      </w:r>
      <w:r w:rsidRPr="008F1402">
        <w:rPr>
          <w:rFonts w:ascii="Calibri" w:hAnsi="Calibri" w:cs="Calibri"/>
          <w:noProof/>
          <w:szCs w:val="24"/>
        </w:rPr>
        <w:tab/>
        <w:t xml:space="preserve">May C, Finch T. Implementing, Embedding, and Integrating Practices: An Outline of Normalization Process Theory. </w:t>
      </w:r>
      <w:r w:rsidRPr="008F1402">
        <w:rPr>
          <w:rFonts w:ascii="Calibri" w:hAnsi="Calibri" w:cs="Calibri"/>
          <w:i/>
          <w:iCs/>
          <w:noProof/>
          <w:szCs w:val="24"/>
        </w:rPr>
        <w:t>Sociology</w:t>
      </w:r>
      <w:r w:rsidRPr="008F1402">
        <w:rPr>
          <w:rFonts w:ascii="Calibri" w:hAnsi="Calibri" w:cs="Calibri"/>
          <w:noProof/>
          <w:szCs w:val="24"/>
        </w:rPr>
        <w:t xml:space="preserve"> 2009;</w:t>
      </w:r>
      <w:r w:rsidRPr="008F1402">
        <w:rPr>
          <w:rFonts w:ascii="Calibri" w:hAnsi="Calibri" w:cs="Calibri"/>
          <w:b/>
          <w:bCs/>
          <w:noProof/>
          <w:szCs w:val="24"/>
        </w:rPr>
        <w:t>43</w:t>
      </w:r>
      <w:r w:rsidRPr="008F1402">
        <w:rPr>
          <w:rFonts w:ascii="Calibri" w:hAnsi="Calibri" w:cs="Calibri"/>
          <w:noProof/>
          <w:szCs w:val="24"/>
        </w:rPr>
        <w:t>:535–54. doi:10.1177/0038038509103208</w:t>
      </w:r>
    </w:p>
    <w:p w14:paraId="6573AE4C"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26 </w:t>
      </w:r>
      <w:r w:rsidRPr="008F1402">
        <w:rPr>
          <w:rFonts w:ascii="Calibri" w:hAnsi="Calibri" w:cs="Calibri"/>
          <w:noProof/>
          <w:szCs w:val="24"/>
        </w:rPr>
        <w:tab/>
        <w:t xml:space="preserve">May CR, Cummings A, Girling M, </w:t>
      </w:r>
      <w:r w:rsidRPr="008F1402">
        <w:rPr>
          <w:rFonts w:ascii="Calibri" w:hAnsi="Calibri" w:cs="Calibri"/>
          <w:i/>
          <w:iCs/>
          <w:noProof/>
          <w:szCs w:val="24"/>
        </w:rPr>
        <w:t>et al.</w:t>
      </w:r>
      <w:r w:rsidRPr="008F1402">
        <w:rPr>
          <w:rFonts w:ascii="Calibri" w:hAnsi="Calibri" w:cs="Calibri"/>
          <w:noProof/>
          <w:szCs w:val="24"/>
        </w:rPr>
        <w:t xml:space="preserve"> Using Normalization Process Theory in feasibility studies and process evaluations of complex healthcare interventions: a systematic review. </w:t>
      </w:r>
      <w:r w:rsidRPr="008F1402">
        <w:rPr>
          <w:rFonts w:ascii="Calibri" w:hAnsi="Calibri" w:cs="Calibri"/>
          <w:i/>
          <w:iCs/>
          <w:noProof/>
          <w:szCs w:val="24"/>
        </w:rPr>
        <w:t>Implement Sci</w:t>
      </w:r>
      <w:r w:rsidRPr="008F1402">
        <w:rPr>
          <w:rFonts w:ascii="Calibri" w:hAnsi="Calibri" w:cs="Calibri"/>
          <w:noProof/>
          <w:szCs w:val="24"/>
        </w:rPr>
        <w:t xml:space="preserve"> 2018;</w:t>
      </w:r>
      <w:r w:rsidRPr="008F1402">
        <w:rPr>
          <w:rFonts w:ascii="Calibri" w:hAnsi="Calibri" w:cs="Calibri"/>
          <w:b/>
          <w:bCs/>
          <w:noProof/>
          <w:szCs w:val="24"/>
        </w:rPr>
        <w:t>13</w:t>
      </w:r>
      <w:r w:rsidRPr="008F1402">
        <w:rPr>
          <w:rFonts w:ascii="Calibri" w:hAnsi="Calibri" w:cs="Calibri"/>
          <w:noProof/>
          <w:szCs w:val="24"/>
        </w:rPr>
        <w:t>:80. doi:10.1186/s13012-018-0758-1</w:t>
      </w:r>
    </w:p>
    <w:p w14:paraId="21F28A61"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27 </w:t>
      </w:r>
      <w:r w:rsidRPr="008F1402">
        <w:rPr>
          <w:rFonts w:ascii="Calibri" w:hAnsi="Calibri" w:cs="Calibri"/>
          <w:noProof/>
          <w:szCs w:val="24"/>
        </w:rPr>
        <w:tab/>
        <w:t xml:space="preserve">Westbury JA, Johnson MJ, Pond JP, </w:t>
      </w:r>
      <w:r w:rsidRPr="008F1402">
        <w:rPr>
          <w:rFonts w:ascii="Calibri" w:hAnsi="Calibri" w:cs="Calibri"/>
          <w:i/>
          <w:iCs/>
          <w:noProof/>
          <w:szCs w:val="24"/>
        </w:rPr>
        <w:t>et al.</w:t>
      </w:r>
      <w:r w:rsidRPr="008F1402">
        <w:rPr>
          <w:rFonts w:ascii="Calibri" w:hAnsi="Calibri" w:cs="Calibri"/>
          <w:noProof/>
          <w:szCs w:val="24"/>
        </w:rPr>
        <w:t xml:space="preserve"> Developing the role of the nurse as a link advisor for research and a champion for nutrition in the neonatal intensive care unit. </w:t>
      </w:r>
      <w:r w:rsidRPr="008F1402">
        <w:rPr>
          <w:rFonts w:ascii="Calibri" w:hAnsi="Calibri" w:cs="Calibri"/>
          <w:i/>
          <w:iCs/>
          <w:noProof/>
          <w:szCs w:val="24"/>
        </w:rPr>
        <w:t>J Neonatal Nurs</w:t>
      </w:r>
      <w:r w:rsidRPr="008F1402">
        <w:rPr>
          <w:rFonts w:ascii="Calibri" w:hAnsi="Calibri" w:cs="Calibri"/>
          <w:noProof/>
          <w:szCs w:val="24"/>
        </w:rPr>
        <w:t xml:space="preserve"> 2013;</w:t>
      </w:r>
      <w:r w:rsidRPr="008F1402">
        <w:rPr>
          <w:rFonts w:ascii="Calibri" w:hAnsi="Calibri" w:cs="Calibri"/>
          <w:b/>
          <w:bCs/>
          <w:noProof/>
          <w:szCs w:val="24"/>
        </w:rPr>
        <w:t>19</w:t>
      </w:r>
      <w:r w:rsidRPr="008F1402">
        <w:rPr>
          <w:rFonts w:ascii="Calibri" w:hAnsi="Calibri" w:cs="Calibri"/>
          <w:noProof/>
          <w:szCs w:val="24"/>
        </w:rPr>
        <w:t>:198–205. doi:http://dx.doi.org/10.1016/j.jnn.2013.01.003</w:t>
      </w:r>
    </w:p>
    <w:p w14:paraId="70B36CDF"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28 </w:t>
      </w:r>
      <w:r w:rsidRPr="008F1402">
        <w:rPr>
          <w:rFonts w:ascii="Calibri" w:hAnsi="Calibri" w:cs="Calibri"/>
          <w:noProof/>
          <w:szCs w:val="24"/>
        </w:rPr>
        <w:tab/>
        <w:t xml:space="preserve">Finch T, Rapley T, Girling M, </w:t>
      </w:r>
      <w:r w:rsidRPr="008F1402">
        <w:rPr>
          <w:rFonts w:ascii="Calibri" w:hAnsi="Calibri" w:cs="Calibri"/>
          <w:i/>
          <w:iCs/>
          <w:noProof/>
          <w:szCs w:val="24"/>
        </w:rPr>
        <w:t>et al.</w:t>
      </w:r>
      <w:r w:rsidRPr="008F1402">
        <w:rPr>
          <w:rFonts w:ascii="Calibri" w:hAnsi="Calibri" w:cs="Calibri"/>
          <w:noProof/>
          <w:szCs w:val="24"/>
        </w:rPr>
        <w:t xml:space="preserve"> Improving the normalization of complex interventions: measure development based on normalization process theory (NoMAD): study protocol. </w:t>
      </w:r>
      <w:r w:rsidRPr="008F1402">
        <w:rPr>
          <w:rFonts w:ascii="Calibri" w:hAnsi="Calibri" w:cs="Calibri"/>
          <w:i/>
          <w:iCs/>
          <w:noProof/>
          <w:szCs w:val="24"/>
        </w:rPr>
        <w:t>Implement Sci</w:t>
      </w:r>
      <w:r w:rsidRPr="008F1402">
        <w:rPr>
          <w:rFonts w:ascii="Calibri" w:hAnsi="Calibri" w:cs="Calibri"/>
          <w:noProof/>
          <w:szCs w:val="24"/>
        </w:rPr>
        <w:t xml:space="preserve"> 2013;</w:t>
      </w:r>
      <w:r w:rsidRPr="008F1402">
        <w:rPr>
          <w:rFonts w:ascii="Calibri" w:hAnsi="Calibri" w:cs="Calibri"/>
          <w:b/>
          <w:bCs/>
          <w:noProof/>
          <w:szCs w:val="24"/>
        </w:rPr>
        <w:t>8</w:t>
      </w:r>
      <w:r w:rsidRPr="008F1402">
        <w:rPr>
          <w:rFonts w:ascii="Calibri" w:hAnsi="Calibri" w:cs="Calibri"/>
          <w:noProof/>
          <w:szCs w:val="24"/>
        </w:rPr>
        <w:t>:43. doi:10.1186/1748-5908-8-43</w:t>
      </w:r>
    </w:p>
    <w:p w14:paraId="2E64ABB6"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29 </w:t>
      </w:r>
      <w:r w:rsidRPr="008F1402">
        <w:rPr>
          <w:rFonts w:ascii="Calibri" w:hAnsi="Calibri" w:cs="Calibri"/>
          <w:noProof/>
          <w:szCs w:val="24"/>
        </w:rPr>
        <w:tab/>
        <w:t>Finch, T.L., Girling, M., May, C.R., Mair, F.S., Murray, E., Treweek, S., Steen, I.N., McColl, E.M., Dickinson, C., Rapley T. NoMAD: Implementation measure based on Normalization Process Theory. 2015.http://www.normalizationprocess.org/resources/ (accessed 21 Aug 2017).</w:t>
      </w:r>
    </w:p>
    <w:p w14:paraId="671C32F7"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30 </w:t>
      </w:r>
      <w:r w:rsidRPr="008F1402">
        <w:rPr>
          <w:rFonts w:ascii="Calibri" w:hAnsi="Calibri" w:cs="Calibri"/>
          <w:noProof/>
          <w:szCs w:val="24"/>
        </w:rPr>
        <w:tab/>
        <w:t xml:space="preserve">Lund S, Richardson A, May C. Barriers to advance care planning at the end of life: An explanatory systematic review of implementation studies. </w:t>
      </w:r>
      <w:r w:rsidRPr="008F1402">
        <w:rPr>
          <w:rFonts w:ascii="Calibri" w:hAnsi="Calibri" w:cs="Calibri"/>
          <w:i/>
          <w:iCs/>
          <w:noProof/>
          <w:szCs w:val="24"/>
        </w:rPr>
        <w:t>PLoS One</w:t>
      </w:r>
      <w:r w:rsidRPr="008F1402">
        <w:rPr>
          <w:rFonts w:ascii="Calibri" w:hAnsi="Calibri" w:cs="Calibri"/>
          <w:noProof/>
          <w:szCs w:val="24"/>
        </w:rPr>
        <w:t xml:space="preserve"> 2015;</w:t>
      </w:r>
      <w:r w:rsidRPr="008F1402">
        <w:rPr>
          <w:rFonts w:ascii="Calibri" w:hAnsi="Calibri" w:cs="Calibri"/>
          <w:b/>
          <w:bCs/>
          <w:noProof/>
          <w:szCs w:val="24"/>
        </w:rPr>
        <w:t>10</w:t>
      </w:r>
      <w:r w:rsidRPr="008F1402">
        <w:rPr>
          <w:rFonts w:ascii="Calibri" w:hAnsi="Calibri" w:cs="Calibri"/>
          <w:noProof/>
          <w:szCs w:val="24"/>
        </w:rPr>
        <w:t>:1–15. doi:10.1371/journal.pone.0116629</w:t>
      </w:r>
    </w:p>
    <w:p w14:paraId="3FDC235E"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31 </w:t>
      </w:r>
      <w:r w:rsidRPr="008F1402">
        <w:rPr>
          <w:rFonts w:ascii="Calibri" w:hAnsi="Calibri" w:cs="Calibri"/>
          <w:noProof/>
          <w:szCs w:val="24"/>
        </w:rPr>
        <w:tab/>
        <w:t xml:space="preserve">Pope C, Halford S, Turnbull J, </w:t>
      </w:r>
      <w:r w:rsidRPr="008F1402">
        <w:rPr>
          <w:rFonts w:ascii="Calibri" w:hAnsi="Calibri" w:cs="Calibri"/>
          <w:i/>
          <w:iCs/>
          <w:noProof/>
          <w:szCs w:val="24"/>
        </w:rPr>
        <w:t>et al.</w:t>
      </w:r>
      <w:r w:rsidRPr="008F1402">
        <w:rPr>
          <w:rFonts w:ascii="Calibri" w:hAnsi="Calibri" w:cs="Calibri"/>
          <w:noProof/>
          <w:szCs w:val="24"/>
        </w:rPr>
        <w:t xml:space="preserve"> Using computer decision support systems in NHS emergency and urgent care: ethnographic study using normalisation process theory. </w:t>
      </w:r>
      <w:r w:rsidRPr="008F1402">
        <w:rPr>
          <w:rFonts w:ascii="Calibri" w:hAnsi="Calibri" w:cs="Calibri"/>
          <w:i/>
          <w:iCs/>
          <w:noProof/>
          <w:szCs w:val="24"/>
        </w:rPr>
        <w:t>BMC Health Serv Res</w:t>
      </w:r>
      <w:r w:rsidRPr="008F1402">
        <w:rPr>
          <w:rFonts w:ascii="Calibri" w:hAnsi="Calibri" w:cs="Calibri"/>
          <w:noProof/>
          <w:szCs w:val="24"/>
        </w:rPr>
        <w:t xml:space="preserve"> 2013;</w:t>
      </w:r>
      <w:r w:rsidRPr="008F1402">
        <w:rPr>
          <w:rFonts w:ascii="Calibri" w:hAnsi="Calibri" w:cs="Calibri"/>
          <w:b/>
          <w:bCs/>
          <w:noProof/>
          <w:szCs w:val="24"/>
        </w:rPr>
        <w:t>13</w:t>
      </w:r>
      <w:r w:rsidRPr="008F1402">
        <w:rPr>
          <w:rFonts w:ascii="Calibri" w:hAnsi="Calibri" w:cs="Calibri"/>
          <w:noProof/>
          <w:szCs w:val="24"/>
        </w:rPr>
        <w:t>:111. doi:10.1186/1472-6963-13-111</w:t>
      </w:r>
    </w:p>
    <w:p w14:paraId="7B45ADBA"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32 </w:t>
      </w:r>
      <w:r w:rsidRPr="008F1402">
        <w:rPr>
          <w:rFonts w:ascii="Calibri" w:hAnsi="Calibri" w:cs="Calibri"/>
          <w:noProof/>
          <w:szCs w:val="24"/>
        </w:rPr>
        <w:tab/>
        <w:t xml:space="preserve">Finch TL, Girling M, May CR, </w:t>
      </w:r>
      <w:r w:rsidRPr="008F1402">
        <w:rPr>
          <w:rFonts w:ascii="Calibri" w:hAnsi="Calibri" w:cs="Calibri"/>
          <w:i/>
          <w:iCs/>
          <w:noProof/>
          <w:szCs w:val="24"/>
        </w:rPr>
        <w:t>et al.</w:t>
      </w:r>
      <w:r w:rsidRPr="008F1402">
        <w:rPr>
          <w:rFonts w:ascii="Calibri" w:hAnsi="Calibri" w:cs="Calibri"/>
          <w:noProof/>
          <w:szCs w:val="24"/>
        </w:rPr>
        <w:t xml:space="preserve"> Improving the normalization of complex interventions: part 2 - validation of the NoMAD instrument for assessing implementation work based on normalization process theory (NPT). </w:t>
      </w:r>
      <w:r w:rsidRPr="008F1402">
        <w:rPr>
          <w:rFonts w:ascii="Calibri" w:hAnsi="Calibri" w:cs="Calibri"/>
          <w:i/>
          <w:iCs/>
          <w:noProof/>
          <w:szCs w:val="24"/>
        </w:rPr>
        <w:t>BMC Med Res Methodol</w:t>
      </w:r>
      <w:r w:rsidRPr="008F1402">
        <w:rPr>
          <w:rFonts w:ascii="Calibri" w:hAnsi="Calibri" w:cs="Calibri"/>
          <w:noProof/>
          <w:szCs w:val="24"/>
        </w:rPr>
        <w:t xml:space="preserve"> 2018;</w:t>
      </w:r>
      <w:r w:rsidRPr="008F1402">
        <w:rPr>
          <w:rFonts w:ascii="Calibri" w:hAnsi="Calibri" w:cs="Calibri"/>
          <w:b/>
          <w:bCs/>
          <w:noProof/>
          <w:szCs w:val="24"/>
        </w:rPr>
        <w:t>18</w:t>
      </w:r>
      <w:r w:rsidRPr="008F1402">
        <w:rPr>
          <w:rFonts w:ascii="Calibri" w:hAnsi="Calibri" w:cs="Calibri"/>
          <w:noProof/>
          <w:szCs w:val="24"/>
        </w:rPr>
        <w:t>:135. doi:10.1186/s12874-018-0591-x</w:t>
      </w:r>
    </w:p>
    <w:p w14:paraId="3B26BDF1"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33 </w:t>
      </w:r>
      <w:r w:rsidRPr="008F1402">
        <w:rPr>
          <w:rFonts w:ascii="Calibri" w:hAnsi="Calibri" w:cs="Calibri"/>
          <w:noProof/>
          <w:szCs w:val="24"/>
        </w:rPr>
        <w:tab/>
        <w:t xml:space="preserve">O’Cathain A, Murphy E, Nicholl J. The quality of mixed methods studies in health services research. </w:t>
      </w:r>
      <w:r w:rsidRPr="008F1402">
        <w:rPr>
          <w:rFonts w:ascii="Calibri" w:hAnsi="Calibri" w:cs="Calibri"/>
          <w:i/>
          <w:iCs/>
          <w:noProof/>
          <w:szCs w:val="24"/>
        </w:rPr>
        <w:t>J Health Serv Res Policy</w:t>
      </w:r>
      <w:r w:rsidRPr="008F1402">
        <w:rPr>
          <w:rFonts w:ascii="Calibri" w:hAnsi="Calibri" w:cs="Calibri"/>
          <w:noProof/>
          <w:szCs w:val="24"/>
        </w:rPr>
        <w:t xml:space="preserve"> 2008;</w:t>
      </w:r>
      <w:r w:rsidRPr="008F1402">
        <w:rPr>
          <w:rFonts w:ascii="Calibri" w:hAnsi="Calibri" w:cs="Calibri"/>
          <w:b/>
          <w:bCs/>
          <w:noProof/>
          <w:szCs w:val="24"/>
        </w:rPr>
        <w:t>13</w:t>
      </w:r>
      <w:r w:rsidRPr="008F1402">
        <w:rPr>
          <w:rFonts w:ascii="Calibri" w:hAnsi="Calibri" w:cs="Calibri"/>
          <w:noProof/>
          <w:szCs w:val="24"/>
        </w:rPr>
        <w:t xml:space="preserve">:92–8. </w:t>
      </w:r>
      <w:r w:rsidRPr="008F1402">
        <w:rPr>
          <w:rFonts w:ascii="Calibri" w:hAnsi="Calibri" w:cs="Calibri"/>
          <w:noProof/>
          <w:szCs w:val="24"/>
        </w:rPr>
        <w:lastRenderedPageBreak/>
        <w:t>doi:10.1258/jhsrp.2007.007074</w:t>
      </w:r>
    </w:p>
    <w:p w14:paraId="5851ACAD"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34 </w:t>
      </w:r>
      <w:r w:rsidRPr="008F1402">
        <w:rPr>
          <w:rFonts w:ascii="Calibri" w:hAnsi="Calibri" w:cs="Calibri"/>
          <w:noProof/>
          <w:szCs w:val="24"/>
        </w:rPr>
        <w:tab/>
        <w:t xml:space="preserve">May C, Rapley T, Mair FS, </w:t>
      </w:r>
      <w:r w:rsidRPr="008F1402">
        <w:rPr>
          <w:rFonts w:ascii="Calibri" w:hAnsi="Calibri" w:cs="Calibri"/>
          <w:i/>
          <w:iCs/>
          <w:noProof/>
          <w:szCs w:val="24"/>
        </w:rPr>
        <w:t>et al.</w:t>
      </w:r>
      <w:r w:rsidRPr="008F1402">
        <w:rPr>
          <w:rFonts w:ascii="Calibri" w:hAnsi="Calibri" w:cs="Calibri"/>
          <w:noProof/>
          <w:szCs w:val="24"/>
        </w:rPr>
        <w:t xml:space="preserve"> Normalization Process Theory On-line Users’ Manual, Toolkit and NoMAD instrument. 2015.http://www.normalizationprocess.org</w:t>
      </w:r>
    </w:p>
    <w:p w14:paraId="505A58CA"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35 </w:t>
      </w:r>
      <w:r w:rsidRPr="008F1402">
        <w:rPr>
          <w:rFonts w:ascii="Calibri" w:hAnsi="Calibri" w:cs="Calibri"/>
          <w:noProof/>
          <w:szCs w:val="24"/>
        </w:rPr>
        <w:tab/>
        <w:t xml:space="preserve">Clarke DJ, Godfrey M, Hawkins R, </w:t>
      </w:r>
      <w:r w:rsidRPr="008F1402">
        <w:rPr>
          <w:rFonts w:ascii="Calibri" w:hAnsi="Calibri" w:cs="Calibri"/>
          <w:i/>
          <w:iCs/>
          <w:noProof/>
          <w:szCs w:val="24"/>
        </w:rPr>
        <w:t>et al.</w:t>
      </w:r>
      <w:r w:rsidRPr="008F1402">
        <w:rPr>
          <w:rFonts w:ascii="Calibri" w:hAnsi="Calibri" w:cs="Calibri"/>
          <w:noProof/>
          <w:szCs w:val="24"/>
        </w:rPr>
        <w:t xml:space="preserve"> Implementing a training intervention to support caregivers after stroke: A process evaluation examining the initiation and embedding of programme change. </w:t>
      </w:r>
      <w:r w:rsidRPr="008F1402">
        <w:rPr>
          <w:rFonts w:ascii="Calibri" w:hAnsi="Calibri" w:cs="Calibri"/>
          <w:i/>
          <w:iCs/>
          <w:noProof/>
          <w:szCs w:val="24"/>
        </w:rPr>
        <w:t>Implement Sci</w:t>
      </w:r>
      <w:r w:rsidRPr="008F1402">
        <w:rPr>
          <w:rFonts w:ascii="Calibri" w:hAnsi="Calibri" w:cs="Calibri"/>
          <w:noProof/>
          <w:szCs w:val="24"/>
        </w:rPr>
        <w:t xml:space="preserve"> 2013;</w:t>
      </w:r>
      <w:r w:rsidRPr="008F1402">
        <w:rPr>
          <w:rFonts w:ascii="Calibri" w:hAnsi="Calibri" w:cs="Calibri"/>
          <w:b/>
          <w:bCs/>
          <w:noProof/>
          <w:szCs w:val="24"/>
        </w:rPr>
        <w:t>8</w:t>
      </w:r>
      <w:r w:rsidRPr="008F1402">
        <w:rPr>
          <w:rFonts w:ascii="Calibri" w:hAnsi="Calibri" w:cs="Calibri"/>
          <w:noProof/>
          <w:szCs w:val="24"/>
        </w:rPr>
        <w:t>:96. doi:10.1186/1748-5908-8-96</w:t>
      </w:r>
    </w:p>
    <w:p w14:paraId="350D2576"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36 </w:t>
      </w:r>
      <w:r w:rsidRPr="008F1402">
        <w:rPr>
          <w:rFonts w:ascii="Calibri" w:hAnsi="Calibri" w:cs="Calibri"/>
          <w:noProof/>
          <w:szCs w:val="24"/>
        </w:rPr>
        <w:tab/>
        <w:t xml:space="preserve">Field A. </w:t>
      </w:r>
      <w:r w:rsidRPr="008F1402">
        <w:rPr>
          <w:rFonts w:ascii="Calibri" w:hAnsi="Calibri" w:cs="Calibri"/>
          <w:i/>
          <w:iCs/>
          <w:noProof/>
          <w:szCs w:val="24"/>
        </w:rPr>
        <w:t>Discovering Statistics Using IBM SPSS Statistics</w:t>
      </w:r>
      <w:r w:rsidRPr="008F1402">
        <w:rPr>
          <w:rFonts w:ascii="Calibri" w:hAnsi="Calibri" w:cs="Calibri"/>
          <w:noProof/>
          <w:szCs w:val="24"/>
        </w:rPr>
        <w:t>. SAGE Publications 2013. https://books.google.co.uk/books?id=srb0a9fmMEoC</w:t>
      </w:r>
    </w:p>
    <w:p w14:paraId="5462DECE"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37 </w:t>
      </w:r>
      <w:r w:rsidRPr="008F1402">
        <w:rPr>
          <w:rFonts w:ascii="Calibri" w:hAnsi="Calibri" w:cs="Calibri"/>
          <w:noProof/>
          <w:szCs w:val="24"/>
        </w:rPr>
        <w:tab/>
        <w:t xml:space="preserve">Norman G. Likert scales, levels of measurement and the ‘laws’ of statistics. </w:t>
      </w:r>
      <w:r w:rsidRPr="008F1402">
        <w:rPr>
          <w:rFonts w:ascii="Calibri" w:hAnsi="Calibri" w:cs="Calibri"/>
          <w:i/>
          <w:iCs/>
          <w:noProof/>
          <w:szCs w:val="24"/>
        </w:rPr>
        <w:t>Adv Heal Sci Educ</w:t>
      </w:r>
      <w:r w:rsidRPr="008F1402">
        <w:rPr>
          <w:rFonts w:ascii="Calibri" w:hAnsi="Calibri" w:cs="Calibri"/>
          <w:noProof/>
          <w:szCs w:val="24"/>
        </w:rPr>
        <w:t xml:space="preserve"> 2010;</w:t>
      </w:r>
      <w:r w:rsidRPr="008F1402">
        <w:rPr>
          <w:rFonts w:ascii="Calibri" w:hAnsi="Calibri" w:cs="Calibri"/>
          <w:b/>
          <w:bCs/>
          <w:noProof/>
          <w:szCs w:val="24"/>
        </w:rPr>
        <w:t>15</w:t>
      </w:r>
      <w:r w:rsidRPr="008F1402">
        <w:rPr>
          <w:rFonts w:ascii="Calibri" w:hAnsi="Calibri" w:cs="Calibri"/>
          <w:noProof/>
          <w:szCs w:val="24"/>
        </w:rPr>
        <w:t>:625–32. doi:10.1007/s10459-010-9222-y</w:t>
      </w:r>
    </w:p>
    <w:p w14:paraId="700A74DA"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38 </w:t>
      </w:r>
      <w:r w:rsidRPr="008F1402">
        <w:rPr>
          <w:rFonts w:ascii="Calibri" w:hAnsi="Calibri" w:cs="Calibri"/>
          <w:noProof/>
          <w:szCs w:val="24"/>
        </w:rPr>
        <w:tab/>
        <w:t xml:space="preserve">Sullivan GM, Artino ARJ. Analyzing and Interpreting Data From Likert-Type Scales. </w:t>
      </w:r>
      <w:r w:rsidRPr="008F1402">
        <w:rPr>
          <w:rFonts w:ascii="Calibri" w:hAnsi="Calibri" w:cs="Calibri"/>
          <w:i/>
          <w:iCs/>
          <w:noProof/>
          <w:szCs w:val="24"/>
        </w:rPr>
        <w:t>J Grad Med Educ</w:t>
      </w:r>
      <w:r w:rsidRPr="008F1402">
        <w:rPr>
          <w:rFonts w:ascii="Calibri" w:hAnsi="Calibri" w:cs="Calibri"/>
          <w:noProof/>
          <w:szCs w:val="24"/>
        </w:rPr>
        <w:t xml:space="preserve"> 2013;:541–2.</w:t>
      </w:r>
    </w:p>
    <w:p w14:paraId="5C31BE3D"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39 </w:t>
      </w:r>
      <w:r w:rsidRPr="008F1402">
        <w:rPr>
          <w:rFonts w:ascii="Calibri" w:hAnsi="Calibri" w:cs="Calibri"/>
          <w:noProof/>
          <w:szCs w:val="24"/>
        </w:rPr>
        <w:tab/>
        <w:t xml:space="preserve">Mason J. </w:t>
      </w:r>
      <w:r w:rsidRPr="008F1402">
        <w:rPr>
          <w:rFonts w:ascii="Calibri" w:hAnsi="Calibri" w:cs="Calibri"/>
          <w:i/>
          <w:iCs/>
          <w:noProof/>
          <w:szCs w:val="24"/>
        </w:rPr>
        <w:t>Qualitative researching</w:t>
      </w:r>
      <w:r w:rsidRPr="008F1402">
        <w:rPr>
          <w:rFonts w:ascii="Calibri" w:hAnsi="Calibri" w:cs="Calibri"/>
          <w:noProof/>
          <w:szCs w:val="24"/>
        </w:rPr>
        <w:t xml:space="preserve">. SAGE Publications 2002. </w:t>
      </w:r>
    </w:p>
    <w:p w14:paraId="7B5C0B7D"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40 </w:t>
      </w:r>
      <w:r w:rsidRPr="008F1402">
        <w:rPr>
          <w:rFonts w:ascii="Calibri" w:hAnsi="Calibri" w:cs="Calibri"/>
          <w:noProof/>
          <w:szCs w:val="24"/>
        </w:rPr>
        <w:tab/>
        <w:t xml:space="preserve">Corbin J, Strauss A. </w:t>
      </w:r>
      <w:r w:rsidRPr="008F1402">
        <w:rPr>
          <w:rFonts w:ascii="Calibri" w:hAnsi="Calibri" w:cs="Calibri"/>
          <w:i/>
          <w:iCs/>
          <w:noProof/>
          <w:szCs w:val="24"/>
        </w:rPr>
        <w:t>Basics of Qualitative Research: Techniques and Procedures for Developing Grounded Theory</w:t>
      </w:r>
      <w:r w:rsidRPr="008F1402">
        <w:rPr>
          <w:rFonts w:ascii="Calibri" w:hAnsi="Calibri" w:cs="Calibri"/>
          <w:noProof/>
          <w:szCs w:val="24"/>
        </w:rPr>
        <w:t>. SAGE Publications 2014. https://books.google.co.uk/books?id=hZ6kBQAAQBAJ</w:t>
      </w:r>
    </w:p>
    <w:p w14:paraId="1531B8BE"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41 </w:t>
      </w:r>
      <w:r w:rsidRPr="008F1402">
        <w:rPr>
          <w:rFonts w:ascii="Calibri" w:hAnsi="Calibri" w:cs="Calibri"/>
          <w:noProof/>
          <w:szCs w:val="24"/>
        </w:rPr>
        <w:tab/>
        <w:t xml:space="preserve">Johnson MJ, May CR. Promoting professional behaviour change in healthcare: What interventions work, and why? A theory-led overview of systematic reviews. </w:t>
      </w:r>
      <w:r w:rsidRPr="008F1402">
        <w:rPr>
          <w:rFonts w:ascii="Calibri" w:hAnsi="Calibri" w:cs="Calibri"/>
          <w:i/>
          <w:iCs/>
          <w:noProof/>
          <w:szCs w:val="24"/>
        </w:rPr>
        <w:t>BMJ Open</w:t>
      </w:r>
      <w:r w:rsidRPr="008F1402">
        <w:rPr>
          <w:rFonts w:ascii="Calibri" w:hAnsi="Calibri" w:cs="Calibri"/>
          <w:noProof/>
          <w:szCs w:val="24"/>
        </w:rPr>
        <w:t xml:space="preserve"> 2015;</w:t>
      </w:r>
      <w:r w:rsidRPr="008F1402">
        <w:rPr>
          <w:rFonts w:ascii="Calibri" w:hAnsi="Calibri" w:cs="Calibri"/>
          <w:b/>
          <w:bCs/>
          <w:noProof/>
          <w:szCs w:val="24"/>
        </w:rPr>
        <w:t>5</w:t>
      </w:r>
      <w:r w:rsidRPr="008F1402">
        <w:rPr>
          <w:rFonts w:ascii="Calibri" w:hAnsi="Calibri" w:cs="Calibri"/>
          <w:noProof/>
          <w:szCs w:val="24"/>
        </w:rPr>
        <w:t>. doi:10.1136/bmjopen-2015-008592</w:t>
      </w:r>
    </w:p>
    <w:p w14:paraId="2F890E17"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42 </w:t>
      </w:r>
      <w:r w:rsidRPr="008F1402">
        <w:rPr>
          <w:rFonts w:ascii="Calibri" w:hAnsi="Calibri" w:cs="Calibri"/>
          <w:noProof/>
          <w:szCs w:val="24"/>
        </w:rPr>
        <w:tab/>
        <w:t xml:space="preserve">Hoddinott P, Britten J, Pill R. Why do interventions work in some places and not others: A breastfeeding support group trial. </w:t>
      </w:r>
      <w:r w:rsidRPr="008F1402">
        <w:rPr>
          <w:rFonts w:ascii="Calibri" w:hAnsi="Calibri" w:cs="Calibri"/>
          <w:i/>
          <w:iCs/>
          <w:noProof/>
          <w:szCs w:val="24"/>
        </w:rPr>
        <w:t>Soc Sci Med</w:t>
      </w:r>
      <w:r w:rsidRPr="008F1402">
        <w:rPr>
          <w:rFonts w:ascii="Calibri" w:hAnsi="Calibri" w:cs="Calibri"/>
          <w:noProof/>
          <w:szCs w:val="24"/>
        </w:rPr>
        <w:t xml:space="preserve"> 2010;</w:t>
      </w:r>
      <w:r w:rsidRPr="008F1402">
        <w:rPr>
          <w:rFonts w:ascii="Calibri" w:hAnsi="Calibri" w:cs="Calibri"/>
          <w:b/>
          <w:bCs/>
          <w:noProof/>
          <w:szCs w:val="24"/>
        </w:rPr>
        <w:t>70</w:t>
      </w:r>
      <w:r w:rsidRPr="008F1402">
        <w:rPr>
          <w:rFonts w:ascii="Calibri" w:hAnsi="Calibri" w:cs="Calibri"/>
          <w:noProof/>
          <w:szCs w:val="24"/>
        </w:rPr>
        <w:t>:769–78. doi:10.1016/j.socscimed.2009.10.067</w:t>
      </w:r>
    </w:p>
    <w:p w14:paraId="37EE639E"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szCs w:val="24"/>
        </w:rPr>
      </w:pPr>
      <w:r w:rsidRPr="008F1402">
        <w:rPr>
          <w:rFonts w:ascii="Calibri" w:hAnsi="Calibri" w:cs="Calibri"/>
          <w:noProof/>
          <w:szCs w:val="24"/>
        </w:rPr>
        <w:t xml:space="preserve">43 </w:t>
      </w:r>
      <w:r w:rsidRPr="008F1402">
        <w:rPr>
          <w:rFonts w:ascii="Calibri" w:hAnsi="Calibri" w:cs="Calibri"/>
          <w:noProof/>
          <w:szCs w:val="24"/>
        </w:rPr>
        <w:tab/>
        <w:t xml:space="preserve">Jacobs RL, Russ-Eft D. Cascade Training and Institutionalizing Organizational Change. </w:t>
      </w:r>
      <w:r w:rsidRPr="008F1402">
        <w:rPr>
          <w:rFonts w:ascii="Calibri" w:hAnsi="Calibri" w:cs="Calibri"/>
          <w:i/>
          <w:iCs/>
          <w:noProof/>
          <w:szCs w:val="24"/>
        </w:rPr>
        <w:t>Adv Dev Hum Resour</w:t>
      </w:r>
      <w:r w:rsidRPr="008F1402">
        <w:rPr>
          <w:rFonts w:ascii="Calibri" w:hAnsi="Calibri" w:cs="Calibri"/>
          <w:noProof/>
          <w:szCs w:val="24"/>
        </w:rPr>
        <w:t xml:space="preserve"> 2001;</w:t>
      </w:r>
      <w:r w:rsidRPr="008F1402">
        <w:rPr>
          <w:rFonts w:ascii="Calibri" w:hAnsi="Calibri" w:cs="Calibri"/>
          <w:b/>
          <w:bCs/>
          <w:noProof/>
          <w:szCs w:val="24"/>
        </w:rPr>
        <w:t>3</w:t>
      </w:r>
      <w:r w:rsidRPr="008F1402">
        <w:rPr>
          <w:rFonts w:ascii="Calibri" w:hAnsi="Calibri" w:cs="Calibri"/>
          <w:noProof/>
          <w:szCs w:val="24"/>
        </w:rPr>
        <w:t>:496–503. doi:10.1177/15234220122238427</w:t>
      </w:r>
    </w:p>
    <w:p w14:paraId="4F708761" w14:textId="77777777" w:rsidR="008F1402" w:rsidRPr="008F1402" w:rsidRDefault="008F1402" w:rsidP="008F1402">
      <w:pPr>
        <w:widowControl w:val="0"/>
        <w:autoSpaceDE w:val="0"/>
        <w:autoSpaceDN w:val="0"/>
        <w:adjustRightInd w:val="0"/>
        <w:spacing w:line="240" w:lineRule="auto"/>
        <w:ind w:left="640" w:hanging="640"/>
        <w:rPr>
          <w:rFonts w:ascii="Calibri" w:hAnsi="Calibri" w:cs="Calibri"/>
          <w:noProof/>
        </w:rPr>
      </w:pPr>
      <w:r w:rsidRPr="008F1402">
        <w:rPr>
          <w:rFonts w:ascii="Calibri" w:hAnsi="Calibri" w:cs="Calibri"/>
          <w:noProof/>
          <w:szCs w:val="24"/>
        </w:rPr>
        <w:t xml:space="preserve">44 </w:t>
      </w:r>
      <w:r w:rsidRPr="008F1402">
        <w:rPr>
          <w:rFonts w:ascii="Calibri" w:hAnsi="Calibri" w:cs="Calibri"/>
          <w:noProof/>
          <w:szCs w:val="24"/>
        </w:rPr>
        <w:tab/>
        <w:t xml:space="preserve">Bracher M, Murphy J, Steward K, </w:t>
      </w:r>
      <w:r w:rsidRPr="008F1402">
        <w:rPr>
          <w:rFonts w:ascii="Calibri" w:hAnsi="Calibri" w:cs="Calibri"/>
          <w:i/>
          <w:iCs/>
          <w:noProof/>
          <w:szCs w:val="24"/>
        </w:rPr>
        <w:t>et al.</w:t>
      </w:r>
      <w:r w:rsidRPr="008F1402">
        <w:rPr>
          <w:rFonts w:ascii="Calibri" w:hAnsi="Calibri" w:cs="Calibri"/>
          <w:noProof/>
          <w:szCs w:val="24"/>
        </w:rPr>
        <w:t xml:space="preserve"> What factors promote or inhibit implementation of a new procedure for screening and treatment of malnutrition in community settings? A prospective process evaluation of the </w:t>
      </w:r>
      <w:r w:rsidRPr="008F1402">
        <w:rPr>
          <w:rFonts w:ascii="Calibri" w:hAnsi="Calibri" w:cs="Calibri"/>
          <w:i/>
          <w:iCs/>
          <w:noProof/>
          <w:szCs w:val="24"/>
        </w:rPr>
        <w:t>Implementing Nutrition Screening in Community Care for Older People</w:t>
      </w:r>
      <w:r w:rsidRPr="008F1402">
        <w:rPr>
          <w:rFonts w:ascii="Calibri" w:hAnsi="Calibri" w:cs="Calibri"/>
          <w:noProof/>
          <w:szCs w:val="24"/>
        </w:rPr>
        <w:t xml:space="preserve"> (INSCCO. </w:t>
      </w:r>
      <w:r w:rsidRPr="008F1402">
        <w:rPr>
          <w:rFonts w:ascii="Calibri" w:hAnsi="Calibri" w:cs="Calibri"/>
          <w:i/>
          <w:iCs/>
          <w:noProof/>
          <w:szCs w:val="24"/>
        </w:rPr>
        <w:t>BMJ Open</w:t>
      </w:r>
      <w:r w:rsidRPr="008F1402">
        <w:rPr>
          <w:rFonts w:ascii="Calibri" w:hAnsi="Calibri" w:cs="Calibri"/>
          <w:noProof/>
          <w:szCs w:val="24"/>
        </w:rPr>
        <w:t xml:space="preserve"> 2019;</w:t>
      </w:r>
      <w:r w:rsidRPr="008F1402">
        <w:rPr>
          <w:rFonts w:ascii="Calibri" w:hAnsi="Calibri" w:cs="Calibri"/>
          <w:b/>
          <w:bCs/>
          <w:noProof/>
          <w:szCs w:val="24"/>
        </w:rPr>
        <w:t>9</w:t>
      </w:r>
      <w:r w:rsidRPr="008F1402">
        <w:rPr>
          <w:rFonts w:ascii="Calibri" w:hAnsi="Calibri" w:cs="Calibri"/>
          <w:noProof/>
          <w:szCs w:val="24"/>
        </w:rPr>
        <w:t>:e023362. doi:10.1136/bmjopen-2018-023362</w:t>
      </w:r>
    </w:p>
    <w:p w14:paraId="77436C9D" w14:textId="029CE9F8" w:rsidR="00DD0E75" w:rsidRPr="00A92EAE" w:rsidRDefault="009643B4" w:rsidP="00E34B16">
      <w:pPr>
        <w:widowControl w:val="0"/>
        <w:autoSpaceDE w:val="0"/>
        <w:autoSpaceDN w:val="0"/>
        <w:adjustRightInd w:val="0"/>
        <w:spacing w:line="240" w:lineRule="auto"/>
        <w:ind w:left="640" w:hanging="640"/>
        <w:rPr>
          <w:rFonts w:ascii="Calibri" w:hAnsi="Calibri" w:cs="Calibri"/>
          <w:noProof/>
        </w:rPr>
      </w:pPr>
      <w:r>
        <w:fldChar w:fldCharType="end"/>
      </w:r>
    </w:p>
    <w:p w14:paraId="0D483EBD" w14:textId="3C6A96C8" w:rsidR="00DD0E75" w:rsidRDefault="00DD0E75" w:rsidP="00DD0E75"/>
    <w:p w14:paraId="60274E78" w14:textId="61764B3E" w:rsidR="00DD0E75" w:rsidRDefault="00747696" w:rsidP="00DD0E75">
      <w:pPr>
        <w:rPr>
          <w:b/>
        </w:rPr>
      </w:pPr>
      <w:r>
        <w:rPr>
          <w:b/>
        </w:rPr>
        <w:t>Figure legends</w:t>
      </w:r>
    </w:p>
    <w:p w14:paraId="0CAF2D99" w14:textId="0E536F92" w:rsidR="00747696" w:rsidRDefault="00747696" w:rsidP="00747696">
      <w:pPr>
        <w:pStyle w:val="Caption"/>
        <w:jc w:val="center"/>
      </w:pPr>
      <w:r>
        <w:t xml:space="preserve">Figure </w:t>
      </w:r>
      <w:r w:rsidR="00AC65F3">
        <w:rPr>
          <w:noProof/>
        </w:rPr>
        <w:fldChar w:fldCharType="begin"/>
      </w:r>
      <w:r w:rsidR="00AC65F3">
        <w:rPr>
          <w:noProof/>
        </w:rPr>
        <w:instrText xml:space="preserve"> SEQ Figure \* ARABIC </w:instrText>
      </w:r>
      <w:r w:rsidR="00AC65F3">
        <w:rPr>
          <w:noProof/>
        </w:rPr>
        <w:fldChar w:fldCharType="separate"/>
      </w:r>
      <w:r w:rsidR="00B1789A">
        <w:rPr>
          <w:noProof/>
        </w:rPr>
        <w:t>1</w:t>
      </w:r>
      <w:r w:rsidR="00AC65F3">
        <w:rPr>
          <w:noProof/>
        </w:rPr>
        <w:fldChar w:fldCharType="end"/>
      </w:r>
      <w:r>
        <w:t xml:space="preserve"> - Relationship between ICT/OPMH participant questionnaire and semi-structured telephone interview data.</w:t>
      </w:r>
    </w:p>
    <w:p w14:paraId="04EF1DA9" w14:textId="4418FDA3" w:rsidR="00B1789A" w:rsidRDefault="00B1789A" w:rsidP="000F4EA3">
      <w:pPr>
        <w:pStyle w:val="Caption"/>
        <w:keepNext/>
        <w:ind w:firstLine="720"/>
      </w:pPr>
      <w:r>
        <w:t xml:space="preserve">Figure </w:t>
      </w:r>
      <w:r w:rsidR="00AC65F3">
        <w:rPr>
          <w:noProof/>
        </w:rPr>
        <w:fldChar w:fldCharType="begin"/>
      </w:r>
      <w:r w:rsidR="00AC65F3">
        <w:rPr>
          <w:noProof/>
        </w:rPr>
        <w:instrText xml:space="preserve"> SEQ Figure \* ARABIC </w:instrText>
      </w:r>
      <w:r w:rsidR="00AC65F3">
        <w:rPr>
          <w:noProof/>
        </w:rPr>
        <w:fldChar w:fldCharType="separate"/>
      </w:r>
      <w:r>
        <w:rPr>
          <w:noProof/>
        </w:rPr>
        <w:t>2</w:t>
      </w:r>
      <w:r w:rsidR="00AC65F3">
        <w:rPr>
          <w:noProof/>
        </w:rPr>
        <w:fldChar w:fldCharType="end"/>
      </w:r>
      <w:r>
        <w:t xml:space="preserve"> - Process for deductive thematic analysis of interview data (responsible authors at each stage identified by initials).</w:t>
      </w:r>
    </w:p>
    <w:p w14:paraId="66BBE95C" w14:textId="00098F40" w:rsidR="00B1789A" w:rsidRPr="008852DC" w:rsidRDefault="00B1789A" w:rsidP="000F4EA3"/>
    <w:p w14:paraId="123169A9" w14:textId="77777777" w:rsidR="00747696" w:rsidRPr="00747696" w:rsidRDefault="00747696" w:rsidP="00DD0E75">
      <w:pPr>
        <w:rPr>
          <w:b/>
        </w:rPr>
      </w:pPr>
    </w:p>
    <w:p w14:paraId="16755646" w14:textId="085A33AB" w:rsidR="00DD0E75" w:rsidRDefault="00DD0E75" w:rsidP="00DD0E75"/>
    <w:p w14:paraId="077CCA57" w14:textId="284F0DF3" w:rsidR="00A92EAE" w:rsidRDefault="00A92EAE" w:rsidP="00DD0E75"/>
    <w:p w14:paraId="7BD6DB18" w14:textId="17555A3F" w:rsidR="00A92EAE" w:rsidRDefault="00A92EAE" w:rsidP="00DD0E75"/>
    <w:p w14:paraId="4073D89C" w14:textId="527BEE17" w:rsidR="00A92EAE" w:rsidRDefault="00A92EAE" w:rsidP="00DD0E75"/>
    <w:p w14:paraId="7769BFF2" w14:textId="220864A8" w:rsidR="00A92EAE" w:rsidRDefault="00A92EAE" w:rsidP="00DD0E75"/>
    <w:p w14:paraId="6CA1DDC2" w14:textId="77777777" w:rsidR="000926A3" w:rsidRDefault="000926A3" w:rsidP="00BC68BD">
      <w:pPr>
        <w:pStyle w:val="ListParagraph"/>
      </w:pPr>
    </w:p>
    <w:sectPr w:rsidR="000926A3" w:rsidSect="00A92EA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83320" w14:textId="77777777" w:rsidR="00F130CE" w:rsidRDefault="00F130CE" w:rsidP="00C3267A">
      <w:pPr>
        <w:spacing w:after="0" w:line="240" w:lineRule="auto"/>
      </w:pPr>
      <w:r>
        <w:separator/>
      </w:r>
    </w:p>
  </w:endnote>
  <w:endnote w:type="continuationSeparator" w:id="0">
    <w:p w14:paraId="243B787C" w14:textId="77777777" w:rsidR="00F130CE" w:rsidRDefault="00F130CE" w:rsidP="00C3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abon-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495188"/>
      <w:docPartObj>
        <w:docPartGallery w:val="Page Numbers (Bottom of Page)"/>
        <w:docPartUnique/>
      </w:docPartObj>
    </w:sdtPr>
    <w:sdtEndPr>
      <w:rPr>
        <w:noProof/>
      </w:rPr>
    </w:sdtEndPr>
    <w:sdtContent>
      <w:p w14:paraId="38664A34" w14:textId="3B090A88" w:rsidR="007673F5" w:rsidRDefault="007673F5">
        <w:pPr>
          <w:pStyle w:val="Footer"/>
          <w:jc w:val="center"/>
        </w:pPr>
        <w:r>
          <w:fldChar w:fldCharType="begin"/>
        </w:r>
        <w:r>
          <w:instrText xml:space="preserve"> PAGE   \* MERGEFORMAT </w:instrText>
        </w:r>
        <w:r>
          <w:fldChar w:fldCharType="separate"/>
        </w:r>
        <w:r w:rsidR="005F25EA">
          <w:rPr>
            <w:noProof/>
          </w:rPr>
          <w:t>4</w:t>
        </w:r>
        <w:r>
          <w:rPr>
            <w:noProof/>
          </w:rPr>
          <w:fldChar w:fldCharType="end"/>
        </w:r>
      </w:p>
    </w:sdtContent>
  </w:sdt>
  <w:p w14:paraId="1CDF1FE9" w14:textId="77777777" w:rsidR="007673F5" w:rsidRDefault="00767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F870E" w14:textId="77777777" w:rsidR="00F130CE" w:rsidRDefault="00F130CE" w:rsidP="00C3267A">
      <w:pPr>
        <w:spacing w:after="0" w:line="240" w:lineRule="auto"/>
      </w:pPr>
      <w:r>
        <w:separator/>
      </w:r>
    </w:p>
  </w:footnote>
  <w:footnote w:type="continuationSeparator" w:id="0">
    <w:p w14:paraId="130CECDE" w14:textId="77777777" w:rsidR="00F130CE" w:rsidRDefault="00F130CE" w:rsidP="00C3267A">
      <w:pPr>
        <w:spacing w:after="0" w:line="240" w:lineRule="auto"/>
      </w:pPr>
      <w:r>
        <w:continuationSeparator/>
      </w:r>
    </w:p>
  </w:footnote>
  <w:footnote w:id="1">
    <w:p w14:paraId="341D0CA9" w14:textId="77777777" w:rsidR="007673F5" w:rsidRDefault="007673F5" w:rsidP="006F43EB">
      <w:pPr>
        <w:pStyle w:val="FootnoteText"/>
      </w:pPr>
      <w:r w:rsidRPr="00570AA3">
        <w:rPr>
          <w:rStyle w:val="FootnoteReference"/>
        </w:rPr>
        <w:footnoteRef/>
      </w:r>
      <w:r>
        <w:t xml:space="preserve"> This participant’s specific role has been anonymised.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4299D"/>
    <w:multiLevelType w:val="hybridMultilevel"/>
    <w:tmpl w:val="BE16E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02CA4"/>
    <w:multiLevelType w:val="hybridMultilevel"/>
    <w:tmpl w:val="AABA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D0207"/>
    <w:multiLevelType w:val="hybridMultilevel"/>
    <w:tmpl w:val="03AEA0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DD6653"/>
    <w:multiLevelType w:val="hybridMultilevel"/>
    <w:tmpl w:val="7CEAB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D5404E"/>
    <w:multiLevelType w:val="hybridMultilevel"/>
    <w:tmpl w:val="77FA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C9"/>
    <w:rsid w:val="00000B38"/>
    <w:rsid w:val="00002855"/>
    <w:rsid w:val="00004591"/>
    <w:rsid w:val="00004C24"/>
    <w:rsid w:val="00020201"/>
    <w:rsid w:val="00024428"/>
    <w:rsid w:val="00025FBE"/>
    <w:rsid w:val="00026F3E"/>
    <w:rsid w:val="00027538"/>
    <w:rsid w:val="00044DD2"/>
    <w:rsid w:val="00053B72"/>
    <w:rsid w:val="00054774"/>
    <w:rsid w:val="00055D34"/>
    <w:rsid w:val="00061F90"/>
    <w:rsid w:val="00063868"/>
    <w:rsid w:val="000641E2"/>
    <w:rsid w:val="00067131"/>
    <w:rsid w:val="0007577E"/>
    <w:rsid w:val="000824DF"/>
    <w:rsid w:val="0008670D"/>
    <w:rsid w:val="000916BB"/>
    <w:rsid w:val="000926A3"/>
    <w:rsid w:val="000A4058"/>
    <w:rsid w:val="000B2095"/>
    <w:rsid w:val="000C68B4"/>
    <w:rsid w:val="000D4042"/>
    <w:rsid w:val="000E0B94"/>
    <w:rsid w:val="000E53A9"/>
    <w:rsid w:val="000E56DF"/>
    <w:rsid w:val="000E5ED7"/>
    <w:rsid w:val="000E7D88"/>
    <w:rsid w:val="000F26E1"/>
    <w:rsid w:val="000F4EA3"/>
    <w:rsid w:val="00100D9E"/>
    <w:rsid w:val="00104979"/>
    <w:rsid w:val="00104D53"/>
    <w:rsid w:val="00106535"/>
    <w:rsid w:val="00141D32"/>
    <w:rsid w:val="00145B12"/>
    <w:rsid w:val="00153694"/>
    <w:rsid w:val="00153FBF"/>
    <w:rsid w:val="00155F8F"/>
    <w:rsid w:val="0016218F"/>
    <w:rsid w:val="001634DA"/>
    <w:rsid w:val="0018253B"/>
    <w:rsid w:val="00184C8C"/>
    <w:rsid w:val="001A4A0B"/>
    <w:rsid w:val="001A7C51"/>
    <w:rsid w:val="001A7F5C"/>
    <w:rsid w:val="001A7F92"/>
    <w:rsid w:val="001B3B05"/>
    <w:rsid w:val="001B4C91"/>
    <w:rsid w:val="001B4E60"/>
    <w:rsid w:val="001C7AE6"/>
    <w:rsid w:val="001F4645"/>
    <w:rsid w:val="00202D56"/>
    <w:rsid w:val="00210CBD"/>
    <w:rsid w:val="00211790"/>
    <w:rsid w:val="00215A48"/>
    <w:rsid w:val="002319DF"/>
    <w:rsid w:val="00236105"/>
    <w:rsid w:val="00236E28"/>
    <w:rsid w:val="00241923"/>
    <w:rsid w:val="0024307F"/>
    <w:rsid w:val="00250776"/>
    <w:rsid w:val="00253BD9"/>
    <w:rsid w:val="0026594F"/>
    <w:rsid w:val="00267E60"/>
    <w:rsid w:val="00273C56"/>
    <w:rsid w:val="00281540"/>
    <w:rsid w:val="0028485B"/>
    <w:rsid w:val="002852BC"/>
    <w:rsid w:val="00296398"/>
    <w:rsid w:val="00296F72"/>
    <w:rsid w:val="002A500A"/>
    <w:rsid w:val="002A6B33"/>
    <w:rsid w:val="002B1112"/>
    <w:rsid w:val="002B54FE"/>
    <w:rsid w:val="002C41F8"/>
    <w:rsid w:val="002C5426"/>
    <w:rsid w:val="002E3867"/>
    <w:rsid w:val="003042B6"/>
    <w:rsid w:val="00306247"/>
    <w:rsid w:val="00310172"/>
    <w:rsid w:val="00314616"/>
    <w:rsid w:val="00316F10"/>
    <w:rsid w:val="003220E3"/>
    <w:rsid w:val="00352482"/>
    <w:rsid w:val="00360743"/>
    <w:rsid w:val="003772C4"/>
    <w:rsid w:val="00382AC3"/>
    <w:rsid w:val="00394ED6"/>
    <w:rsid w:val="00395609"/>
    <w:rsid w:val="00396819"/>
    <w:rsid w:val="003A1520"/>
    <w:rsid w:val="003A26F1"/>
    <w:rsid w:val="003A704A"/>
    <w:rsid w:val="003C4FF9"/>
    <w:rsid w:val="003D0861"/>
    <w:rsid w:val="003D4B32"/>
    <w:rsid w:val="003D6483"/>
    <w:rsid w:val="003E2403"/>
    <w:rsid w:val="003E2BD8"/>
    <w:rsid w:val="003E31E1"/>
    <w:rsid w:val="003E64BB"/>
    <w:rsid w:val="0040103D"/>
    <w:rsid w:val="00411492"/>
    <w:rsid w:val="00414238"/>
    <w:rsid w:val="00417182"/>
    <w:rsid w:val="00423269"/>
    <w:rsid w:val="00431314"/>
    <w:rsid w:val="00434E54"/>
    <w:rsid w:val="00437822"/>
    <w:rsid w:val="00445689"/>
    <w:rsid w:val="00446DE7"/>
    <w:rsid w:val="00447DF0"/>
    <w:rsid w:val="004702FA"/>
    <w:rsid w:val="00470B90"/>
    <w:rsid w:val="00475893"/>
    <w:rsid w:val="0048049F"/>
    <w:rsid w:val="0048194A"/>
    <w:rsid w:val="00483C26"/>
    <w:rsid w:val="00495727"/>
    <w:rsid w:val="004A5CE0"/>
    <w:rsid w:val="004B6081"/>
    <w:rsid w:val="004C7D4F"/>
    <w:rsid w:val="004D14F8"/>
    <w:rsid w:val="004E1E84"/>
    <w:rsid w:val="004E7BF2"/>
    <w:rsid w:val="00500092"/>
    <w:rsid w:val="005017CF"/>
    <w:rsid w:val="00501D0C"/>
    <w:rsid w:val="00502281"/>
    <w:rsid w:val="005053F9"/>
    <w:rsid w:val="005070E1"/>
    <w:rsid w:val="005220FA"/>
    <w:rsid w:val="0052322E"/>
    <w:rsid w:val="005244C1"/>
    <w:rsid w:val="005266FB"/>
    <w:rsid w:val="0054333A"/>
    <w:rsid w:val="00551B6D"/>
    <w:rsid w:val="00551EB2"/>
    <w:rsid w:val="00556068"/>
    <w:rsid w:val="00561C8E"/>
    <w:rsid w:val="005651C9"/>
    <w:rsid w:val="00570AA3"/>
    <w:rsid w:val="005746BE"/>
    <w:rsid w:val="00582FED"/>
    <w:rsid w:val="00583931"/>
    <w:rsid w:val="00585F9E"/>
    <w:rsid w:val="00597CB6"/>
    <w:rsid w:val="005B0FF1"/>
    <w:rsid w:val="005B2CE1"/>
    <w:rsid w:val="005B4804"/>
    <w:rsid w:val="005C6CFE"/>
    <w:rsid w:val="005C7EAD"/>
    <w:rsid w:val="005D382A"/>
    <w:rsid w:val="005E0FC4"/>
    <w:rsid w:val="005E3181"/>
    <w:rsid w:val="005E6F30"/>
    <w:rsid w:val="005F25EA"/>
    <w:rsid w:val="006011CB"/>
    <w:rsid w:val="006036A8"/>
    <w:rsid w:val="0060641B"/>
    <w:rsid w:val="00612E6E"/>
    <w:rsid w:val="00614D14"/>
    <w:rsid w:val="0062120C"/>
    <w:rsid w:val="00636627"/>
    <w:rsid w:val="006374E4"/>
    <w:rsid w:val="00643C4E"/>
    <w:rsid w:val="0065578E"/>
    <w:rsid w:val="006722C0"/>
    <w:rsid w:val="00673A35"/>
    <w:rsid w:val="006866A1"/>
    <w:rsid w:val="00686918"/>
    <w:rsid w:val="00693283"/>
    <w:rsid w:val="00696D28"/>
    <w:rsid w:val="006A0DEF"/>
    <w:rsid w:val="006A1F09"/>
    <w:rsid w:val="006A77E9"/>
    <w:rsid w:val="006C2272"/>
    <w:rsid w:val="006E4438"/>
    <w:rsid w:val="006E7ECB"/>
    <w:rsid w:val="006F32B8"/>
    <w:rsid w:val="006F43EB"/>
    <w:rsid w:val="0070286E"/>
    <w:rsid w:val="007043DB"/>
    <w:rsid w:val="00705ED9"/>
    <w:rsid w:val="0071077A"/>
    <w:rsid w:val="00721691"/>
    <w:rsid w:val="00722291"/>
    <w:rsid w:val="007301ED"/>
    <w:rsid w:val="0073444C"/>
    <w:rsid w:val="00747696"/>
    <w:rsid w:val="007673F5"/>
    <w:rsid w:val="00770B6B"/>
    <w:rsid w:val="00780F73"/>
    <w:rsid w:val="007834A8"/>
    <w:rsid w:val="00783A78"/>
    <w:rsid w:val="00786905"/>
    <w:rsid w:val="00792F02"/>
    <w:rsid w:val="007A0FF9"/>
    <w:rsid w:val="007A3873"/>
    <w:rsid w:val="007A5A92"/>
    <w:rsid w:val="007A6354"/>
    <w:rsid w:val="007B07AC"/>
    <w:rsid w:val="007B3586"/>
    <w:rsid w:val="007B42D8"/>
    <w:rsid w:val="007C021D"/>
    <w:rsid w:val="007C14D9"/>
    <w:rsid w:val="007C4589"/>
    <w:rsid w:val="007C4B89"/>
    <w:rsid w:val="007D38AF"/>
    <w:rsid w:val="007E0AFE"/>
    <w:rsid w:val="007E1833"/>
    <w:rsid w:val="007E3454"/>
    <w:rsid w:val="007E45FA"/>
    <w:rsid w:val="007F0B87"/>
    <w:rsid w:val="007F3C50"/>
    <w:rsid w:val="00802584"/>
    <w:rsid w:val="00804A4B"/>
    <w:rsid w:val="008105BF"/>
    <w:rsid w:val="00810FBF"/>
    <w:rsid w:val="008145BC"/>
    <w:rsid w:val="0081478E"/>
    <w:rsid w:val="00822615"/>
    <w:rsid w:val="008313A8"/>
    <w:rsid w:val="00833833"/>
    <w:rsid w:val="00844B73"/>
    <w:rsid w:val="0085220D"/>
    <w:rsid w:val="008628D5"/>
    <w:rsid w:val="00874DD9"/>
    <w:rsid w:val="00881CC5"/>
    <w:rsid w:val="008820D7"/>
    <w:rsid w:val="008852DC"/>
    <w:rsid w:val="00886719"/>
    <w:rsid w:val="008A36FF"/>
    <w:rsid w:val="008B24DF"/>
    <w:rsid w:val="008B35C1"/>
    <w:rsid w:val="008B669D"/>
    <w:rsid w:val="008C2AD4"/>
    <w:rsid w:val="008E6E1E"/>
    <w:rsid w:val="008F1402"/>
    <w:rsid w:val="00910D1D"/>
    <w:rsid w:val="00921F4C"/>
    <w:rsid w:val="00923280"/>
    <w:rsid w:val="00925CED"/>
    <w:rsid w:val="00930236"/>
    <w:rsid w:val="00933F97"/>
    <w:rsid w:val="009403D1"/>
    <w:rsid w:val="0094316E"/>
    <w:rsid w:val="00960EFF"/>
    <w:rsid w:val="00962E2B"/>
    <w:rsid w:val="009643B4"/>
    <w:rsid w:val="009647A7"/>
    <w:rsid w:val="00965563"/>
    <w:rsid w:val="00971454"/>
    <w:rsid w:val="009725A4"/>
    <w:rsid w:val="0097439E"/>
    <w:rsid w:val="00974AE3"/>
    <w:rsid w:val="0099270F"/>
    <w:rsid w:val="00993986"/>
    <w:rsid w:val="0099450B"/>
    <w:rsid w:val="009976BD"/>
    <w:rsid w:val="009A2D68"/>
    <w:rsid w:val="009A457B"/>
    <w:rsid w:val="009A45FC"/>
    <w:rsid w:val="009A5982"/>
    <w:rsid w:val="009B6599"/>
    <w:rsid w:val="009C3259"/>
    <w:rsid w:val="009C6B98"/>
    <w:rsid w:val="009D1A67"/>
    <w:rsid w:val="009E44B2"/>
    <w:rsid w:val="009F07D6"/>
    <w:rsid w:val="009F59B4"/>
    <w:rsid w:val="00A02054"/>
    <w:rsid w:val="00A03E06"/>
    <w:rsid w:val="00A07867"/>
    <w:rsid w:val="00A10C33"/>
    <w:rsid w:val="00A11842"/>
    <w:rsid w:val="00A120D2"/>
    <w:rsid w:val="00A2618A"/>
    <w:rsid w:val="00A32B6F"/>
    <w:rsid w:val="00A35B9B"/>
    <w:rsid w:val="00A3651D"/>
    <w:rsid w:val="00A413B7"/>
    <w:rsid w:val="00A41C9E"/>
    <w:rsid w:val="00A44033"/>
    <w:rsid w:val="00A46532"/>
    <w:rsid w:val="00A47D1F"/>
    <w:rsid w:val="00A56335"/>
    <w:rsid w:val="00A607E5"/>
    <w:rsid w:val="00A61F9A"/>
    <w:rsid w:val="00A62E76"/>
    <w:rsid w:val="00A713C1"/>
    <w:rsid w:val="00A82EF7"/>
    <w:rsid w:val="00A9069C"/>
    <w:rsid w:val="00A92EAE"/>
    <w:rsid w:val="00A93391"/>
    <w:rsid w:val="00AA1F56"/>
    <w:rsid w:val="00AA24B6"/>
    <w:rsid w:val="00AC0230"/>
    <w:rsid w:val="00AC24F1"/>
    <w:rsid w:val="00AC65F3"/>
    <w:rsid w:val="00AC7084"/>
    <w:rsid w:val="00AD0864"/>
    <w:rsid w:val="00AD120B"/>
    <w:rsid w:val="00AD57BA"/>
    <w:rsid w:val="00AD5DF9"/>
    <w:rsid w:val="00AD6910"/>
    <w:rsid w:val="00AD6AD3"/>
    <w:rsid w:val="00AF3D49"/>
    <w:rsid w:val="00B06F0B"/>
    <w:rsid w:val="00B16FC3"/>
    <w:rsid w:val="00B1789A"/>
    <w:rsid w:val="00B441F8"/>
    <w:rsid w:val="00B5094A"/>
    <w:rsid w:val="00B52E91"/>
    <w:rsid w:val="00B56683"/>
    <w:rsid w:val="00B66D31"/>
    <w:rsid w:val="00B72EE4"/>
    <w:rsid w:val="00B7743C"/>
    <w:rsid w:val="00B77C22"/>
    <w:rsid w:val="00B81D7D"/>
    <w:rsid w:val="00B92695"/>
    <w:rsid w:val="00B93248"/>
    <w:rsid w:val="00BB19FD"/>
    <w:rsid w:val="00BC2304"/>
    <w:rsid w:val="00BC2885"/>
    <w:rsid w:val="00BC6302"/>
    <w:rsid w:val="00BC68BD"/>
    <w:rsid w:val="00BD3606"/>
    <w:rsid w:val="00BE284E"/>
    <w:rsid w:val="00BE7241"/>
    <w:rsid w:val="00BF219E"/>
    <w:rsid w:val="00BF39B2"/>
    <w:rsid w:val="00C03771"/>
    <w:rsid w:val="00C039CF"/>
    <w:rsid w:val="00C1304A"/>
    <w:rsid w:val="00C1470E"/>
    <w:rsid w:val="00C14741"/>
    <w:rsid w:val="00C14A3F"/>
    <w:rsid w:val="00C304AA"/>
    <w:rsid w:val="00C31B5F"/>
    <w:rsid w:val="00C3267A"/>
    <w:rsid w:val="00C355D7"/>
    <w:rsid w:val="00C43EA9"/>
    <w:rsid w:val="00C4527F"/>
    <w:rsid w:val="00CA5FCD"/>
    <w:rsid w:val="00CB52B8"/>
    <w:rsid w:val="00CC4783"/>
    <w:rsid w:val="00CC5E3A"/>
    <w:rsid w:val="00CC69CF"/>
    <w:rsid w:val="00CC7C87"/>
    <w:rsid w:val="00CE2ABF"/>
    <w:rsid w:val="00CE2EB9"/>
    <w:rsid w:val="00CE60AA"/>
    <w:rsid w:val="00D07B69"/>
    <w:rsid w:val="00D131E0"/>
    <w:rsid w:val="00D225C7"/>
    <w:rsid w:val="00D317D1"/>
    <w:rsid w:val="00D343DD"/>
    <w:rsid w:val="00D4642B"/>
    <w:rsid w:val="00D5098A"/>
    <w:rsid w:val="00D51D9A"/>
    <w:rsid w:val="00D51E4C"/>
    <w:rsid w:val="00D57BB3"/>
    <w:rsid w:val="00D71804"/>
    <w:rsid w:val="00D72509"/>
    <w:rsid w:val="00D7327A"/>
    <w:rsid w:val="00D73EC9"/>
    <w:rsid w:val="00D75737"/>
    <w:rsid w:val="00D75EF7"/>
    <w:rsid w:val="00D8006A"/>
    <w:rsid w:val="00D86F9C"/>
    <w:rsid w:val="00DA2BE5"/>
    <w:rsid w:val="00DA7BD2"/>
    <w:rsid w:val="00DB54DB"/>
    <w:rsid w:val="00DB7A97"/>
    <w:rsid w:val="00DC2A76"/>
    <w:rsid w:val="00DD0E75"/>
    <w:rsid w:val="00DD6BCB"/>
    <w:rsid w:val="00DD79A8"/>
    <w:rsid w:val="00DE0E7A"/>
    <w:rsid w:val="00DF3F7D"/>
    <w:rsid w:val="00E02FB2"/>
    <w:rsid w:val="00E136AF"/>
    <w:rsid w:val="00E14F30"/>
    <w:rsid w:val="00E15ECE"/>
    <w:rsid w:val="00E17E57"/>
    <w:rsid w:val="00E24ABD"/>
    <w:rsid w:val="00E27C09"/>
    <w:rsid w:val="00E30A0A"/>
    <w:rsid w:val="00E32A3B"/>
    <w:rsid w:val="00E33D04"/>
    <w:rsid w:val="00E34B16"/>
    <w:rsid w:val="00E41237"/>
    <w:rsid w:val="00E44266"/>
    <w:rsid w:val="00E5115B"/>
    <w:rsid w:val="00E53801"/>
    <w:rsid w:val="00E60DD5"/>
    <w:rsid w:val="00E65DDE"/>
    <w:rsid w:val="00E734C2"/>
    <w:rsid w:val="00E81BD4"/>
    <w:rsid w:val="00E85C1E"/>
    <w:rsid w:val="00E85E80"/>
    <w:rsid w:val="00E86DBF"/>
    <w:rsid w:val="00E93A40"/>
    <w:rsid w:val="00EA177B"/>
    <w:rsid w:val="00EB17E9"/>
    <w:rsid w:val="00EB61B9"/>
    <w:rsid w:val="00EC764F"/>
    <w:rsid w:val="00ED2659"/>
    <w:rsid w:val="00ED416D"/>
    <w:rsid w:val="00EF5076"/>
    <w:rsid w:val="00EF7731"/>
    <w:rsid w:val="00EF7A91"/>
    <w:rsid w:val="00F10D06"/>
    <w:rsid w:val="00F130CE"/>
    <w:rsid w:val="00F3706E"/>
    <w:rsid w:val="00F40637"/>
    <w:rsid w:val="00F406F2"/>
    <w:rsid w:val="00F4166F"/>
    <w:rsid w:val="00F44A44"/>
    <w:rsid w:val="00F50980"/>
    <w:rsid w:val="00F50E60"/>
    <w:rsid w:val="00F51424"/>
    <w:rsid w:val="00F514FA"/>
    <w:rsid w:val="00F547CF"/>
    <w:rsid w:val="00F559A2"/>
    <w:rsid w:val="00F56FFF"/>
    <w:rsid w:val="00F636BD"/>
    <w:rsid w:val="00F636F5"/>
    <w:rsid w:val="00F6606A"/>
    <w:rsid w:val="00F700FC"/>
    <w:rsid w:val="00F742FB"/>
    <w:rsid w:val="00F755EE"/>
    <w:rsid w:val="00F75DE9"/>
    <w:rsid w:val="00F809D8"/>
    <w:rsid w:val="00F80CFB"/>
    <w:rsid w:val="00F841AF"/>
    <w:rsid w:val="00F8529C"/>
    <w:rsid w:val="00F954F7"/>
    <w:rsid w:val="00FA37E6"/>
    <w:rsid w:val="00FB3072"/>
    <w:rsid w:val="00FB66E6"/>
    <w:rsid w:val="00FC1BF2"/>
    <w:rsid w:val="00FC3FF0"/>
    <w:rsid w:val="00FC436F"/>
    <w:rsid w:val="00FD0883"/>
    <w:rsid w:val="00FD1B89"/>
    <w:rsid w:val="00FD63A4"/>
    <w:rsid w:val="00FE2179"/>
    <w:rsid w:val="00FE4F98"/>
    <w:rsid w:val="00FE750C"/>
    <w:rsid w:val="00FF1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22DF12"/>
  <w15:docId w15:val="{36B06F0C-881D-4BA0-B8CA-DE7BA0DD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1C9"/>
  </w:style>
  <w:style w:type="paragraph" w:styleId="Heading1">
    <w:name w:val="heading 1"/>
    <w:basedOn w:val="Normal"/>
    <w:next w:val="Normal"/>
    <w:link w:val="Heading1Char"/>
    <w:uiPriority w:val="9"/>
    <w:qFormat/>
    <w:rsid w:val="00C326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26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26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1C9"/>
    <w:rPr>
      <w:color w:val="0563C1" w:themeColor="hyperlink"/>
      <w:u w:val="single"/>
    </w:rPr>
  </w:style>
  <w:style w:type="paragraph" w:styleId="ListParagraph">
    <w:name w:val="List Paragraph"/>
    <w:basedOn w:val="Normal"/>
    <w:uiPriority w:val="34"/>
    <w:qFormat/>
    <w:rsid w:val="005651C9"/>
    <w:pPr>
      <w:ind w:left="720"/>
      <w:contextualSpacing/>
    </w:pPr>
  </w:style>
  <w:style w:type="paragraph" w:styleId="Caption">
    <w:name w:val="caption"/>
    <w:basedOn w:val="Normal"/>
    <w:next w:val="Normal"/>
    <w:uiPriority w:val="35"/>
    <w:unhideWhenUsed/>
    <w:qFormat/>
    <w:rsid w:val="00A120D2"/>
    <w:pPr>
      <w:spacing w:after="200" w:line="240" w:lineRule="auto"/>
    </w:pPr>
    <w:rPr>
      <w:i/>
      <w:iCs/>
      <w:color w:val="44546A" w:themeColor="text2"/>
      <w:sz w:val="18"/>
      <w:szCs w:val="18"/>
    </w:rPr>
  </w:style>
  <w:style w:type="table" w:styleId="TableGrid">
    <w:name w:val="Table Grid"/>
    <w:basedOn w:val="TableNormal"/>
    <w:uiPriority w:val="39"/>
    <w:rsid w:val="00A1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3267A"/>
    <w:pPr>
      <w:spacing w:after="0" w:line="240" w:lineRule="auto"/>
      <w:ind w:firstLine="360"/>
    </w:pPr>
    <w:rPr>
      <w:rFonts w:eastAsiaTheme="minorEastAsia"/>
      <w:sz w:val="20"/>
      <w:szCs w:val="20"/>
    </w:rPr>
  </w:style>
  <w:style w:type="character" w:customStyle="1" w:styleId="FootnoteTextChar">
    <w:name w:val="Footnote Text Char"/>
    <w:basedOn w:val="DefaultParagraphFont"/>
    <w:link w:val="FootnoteText"/>
    <w:uiPriority w:val="99"/>
    <w:semiHidden/>
    <w:rsid w:val="00C3267A"/>
    <w:rPr>
      <w:rFonts w:eastAsiaTheme="minorEastAsia"/>
      <w:sz w:val="20"/>
      <w:szCs w:val="20"/>
    </w:rPr>
  </w:style>
  <w:style w:type="character" w:styleId="FootnoteReference">
    <w:name w:val="footnote reference"/>
    <w:basedOn w:val="DefaultParagraphFont"/>
    <w:uiPriority w:val="99"/>
    <w:semiHidden/>
    <w:unhideWhenUsed/>
    <w:rsid w:val="00C3267A"/>
    <w:rPr>
      <w:vertAlign w:val="superscript"/>
    </w:rPr>
  </w:style>
  <w:style w:type="character" w:customStyle="1" w:styleId="Heading1Char">
    <w:name w:val="Heading 1 Char"/>
    <w:basedOn w:val="DefaultParagraphFont"/>
    <w:link w:val="Heading1"/>
    <w:uiPriority w:val="9"/>
    <w:rsid w:val="00C326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26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267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64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3B4"/>
  </w:style>
  <w:style w:type="paragraph" w:styleId="Footer">
    <w:name w:val="footer"/>
    <w:basedOn w:val="Normal"/>
    <w:link w:val="FooterChar"/>
    <w:uiPriority w:val="99"/>
    <w:unhideWhenUsed/>
    <w:rsid w:val="00964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3B4"/>
  </w:style>
  <w:style w:type="paragraph" w:customStyle="1" w:styleId="Default">
    <w:name w:val="Default"/>
    <w:rsid w:val="00C1470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B307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FE4F98"/>
    <w:rPr>
      <w:sz w:val="16"/>
      <w:szCs w:val="16"/>
    </w:rPr>
  </w:style>
  <w:style w:type="paragraph" w:styleId="CommentText">
    <w:name w:val="annotation text"/>
    <w:basedOn w:val="Normal"/>
    <w:link w:val="CommentTextChar"/>
    <w:uiPriority w:val="99"/>
    <w:semiHidden/>
    <w:unhideWhenUsed/>
    <w:rsid w:val="00FE4F98"/>
    <w:pPr>
      <w:spacing w:line="240" w:lineRule="auto"/>
    </w:pPr>
    <w:rPr>
      <w:sz w:val="20"/>
      <w:szCs w:val="20"/>
    </w:rPr>
  </w:style>
  <w:style w:type="character" w:customStyle="1" w:styleId="CommentTextChar">
    <w:name w:val="Comment Text Char"/>
    <w:basedOn w:val="DefaultParagraphFont"/>
    <w:link w:val="CommentText"/>
    <w:uiPriority w:val="99"/>
    <w:semiHidden/>
    <w:rsid w:val="00FE4F98"/>
    <w:rPr>
      <w:sz w:val="20"/>
      <w:szCs w:val="20"/>
    </w:rPr>
  </w:style>
  <w:style w:type="paragraph" w:styleId="CommentSubject">
    <w:name w:val="annotation subject"/>
    <w:basedOn w:val="CommentText"/>
    <w:next w:val="CommentText"/>
    <w:link w:val="CommentSubjectChar"/>
    <w:uiPriority w:val="99"/>
    <w:semiHidden/>
    <w:unhideWhenUsed/>
    <w:rsid w:val="00FE4F98"/>
    <w:rPr>
      <w:b/>
      <w:bCs/>
    </w:rPr>
  </w:style>
  <w:style w:type="character" w:customStyle="1" w:styleId="CommentSubjectChar">
    <w:name w:val="Comment Subject Char"/>
    <w:basedOn w:val="CommentTextChar"/>
    <w:link w:val="CommentSubject"/>
    <w:uiPriority w:val="99"/>
    <w:semiHidden/>
    <w:rsid w:val="00FE4F98"/>
    <w:rPr>
      <w:b/>
      <w:bCs/>
      <w:sz w:val="20"/>
      <w:szCs w:val="20"/>
    </w:rPr>
  </w:style>
  <w:style w:type="paragraph" w:styleId="BalloonText">
    <w:name w:val="Balloon Text"/>
    <w:basedOn w:val="Normal"/>
    <w:link w:val="BalloonTextChar"/>
    <w:uiPriority w:val="99"/>
    <w:semiHidden/>
    <w:unhideWhenUsed/>
    <w:rsid w:val="00FE4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F98"/>
    <w:rPr>
      <w:rFonts w:ascii="Segoe UI" w:hAnsi="Segoe UI" w:cs="Segoe UI"/>
      <w:sz w:val="18"/>
      <w:szCs w:val="18"/>
    </w:rPr>
  </w:style>
  <w:style w:type="paragraph" w:styleId="Subtitle">
    <w:name w:val="Subtitle"/>
    <w:basedOn w:val="Normal"/>
    <w:next w:val="Normal"/>
    <w:link w:val="SubtitleChar"/>
    <w:uiPriority w:val="11"/>
    <w:qFormat/>
    <w:rsid w:val="006F43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F43EB"/>
    <w:rPr>
      <w:rFonts w:eastAsiaTheme="minorEastAsia"/>
      <w:color w:val="5A5A5A" w:themeColor="text1" w:themeTint="A5"/>
      <w:spacing w:val="15"/>
    </w:rPr>
  </w:style>
  <w:style w:type="character" w:styleId="EndnoteReference">
    <w:name w:val="endnote reference"/>
    <w:basedOn w:val="DefaultParagraphFont"/>
    <w:uiPriority w:val="99"/>
    <w:semiHidden/>
    <w:unhideWhenUsed/>
    <w:rsid w:val="00693283"/>
    <w:rPr>
      <w:vertAlign w:val="superscript"/>
    </w:rPr>
  </w:style>
  <w:style w:type="character" w:customStyle="1" w:styleId="UnresolvedMention1">
    <w:name w:val="Unresolved Mention1"/>
    <w:basedOn w:val="DefaultParagraphFont"/>
    <w:uiPriority w:val="99"/>
    <w:semiHidden/>
    <w:unhideWhenUsed/>
    <w:rsid w:val="00E136AF"/>
    <w:rPr>
      <w:color w:val="808080"/>
      <w:shd w:val="clear" w:color="auto" w:fill="E6E6E6"/>
    </w:rPr>
  </w:style>
  <w:style w:type="paragraph" w:styleId="Revision">
    <w:name w:val="Revision"/>
    <w:hidden/>
    <w:uiPriority w:val="99"/>
    <w:semiHidden/>
    <w:rsid w:val="00A32B6F"/>
    <w:pPr>
      <w:spacing w:after="0" w:line="240" w:lineRule="auto"/>
    </w:pPr>
  </w:style>
  <w:style w:type="character" w:customStyle="1" w:styleId="itemnumber">
    <w:name w:val="itemnumber"/>
    <w:basedOn w:val="DefaultParagraphFont"/>
    <w:rsid w:val="00EC764F"/>
  </w:style>
  <w:style w:type="paragraph" w:customStyle="1" w:styleId="para">
    <w:name w:val="para"/>
    <w:basedOn w:val="Normal"/>
    <w:rsid w:val="00EC764F"/>
    <w:pPr>
      <w:spacing w:before="100" w:beforeAutospacing="1" w:after="100" w:afterAutospacing="1" w:line="240" w:lineRule="auto"/>
    </w:pPr>
    <w:rPr>
      <w:rFonts w:ascii="Times" w:hAnsi="Times"/>
      <w:sz w:val="20"/>
      <w:szCs w:val="20"/>
    </w:rPr>
  </w:style>
  <w:style w:type="character" w:customStyle="1" w:styleId="citationref">
    <w:name w:val="citationref"/>
    <w:basedOn w:val="DefaultParagraphFont"/>
    <w:rsid w:val="00EC764F"/>
  </w:style>
  <w:style w:type="character" w:customStyle="1" w:styleId="apple-converted-space">
    <w:name w:val="apple-converted-space"/>
    <w:basedOn w:val="DefaultParagraphFont"/>
    <w:rsid w:val="00EC7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6366">
      <w:bodyDiv w:val="1"/>
      <w:marLeft w:val="0"/>
      <w:marRight w:val="0"/>
      <w:marTop w:val="0"/>
      <w:marBottom w:val="0"/>
      <w:divBdr>
        <w:top w:val="none" w:sz="0" w:space="0" w:color="auto"/>
        <w:left w:val="none" w:sz="0" w:space="0" w:color="auto"/>
        <w:bottom w:val="none" w:sz="0" w:space="0" w:color="auto"/>
        <w:right w:val="none" w:sz="0" w:space="0" w:color="auto"/>
      </w:divBdr>
    </w:div>
    <w:div w:id="75396624">
      <w:bodyDiv w:val="1"/>
      <w:marLeft w:val="0"/>
      <w:marRight w:val="0"/>
      <w:marTop w:val="0"/>
      <w:marBottom w:val="0"/>
      <w:divBdr>
        <w:top w:val="none" w:sz="0" w:space="0" w:color="auto"/>
        <w:left w:val="none" w:sz="0" w:space="0" w:color="auto"/>
        <w:bottom w:val="none" w:sz="0" w:space="0" w:color="auto"/>
        <w:right w:val="none" w:sz="0" w:space="0" w:color="auto"/>
      </w:divBdr>
    </w:div>
    <w:div w:id="120615162">
      <w:bodyDiv w:val="1"/>
      <w:marLeft w:val="0"/>
      <w:marRight w:val="0"/>
      <w:marTop w:val="0"/>
      <w:marBottom w:val="0"/>
      <w:divBdr>
        <w:top w:val="none" w:sz="0" w:space="0" w:color="auto"/>
        <w:left w:val="none" w:sz="0" w:space="0" w:color="auto"/>
        <w:bottom w:val="none" w:sz="0" w:space="0" w:color="auto"/>
        <w:right w:val="none" w:sz="0" w:space="0" w:color="auto"/>
      </w:divBdr>
    </w:div>
    <w:div w:id="180704746">
      <w:bodyDiv w:val="1"/>
      <w:marLeft w:val="0"/>
      <w:marRight w:val="0"/>
      <w:marTop w:val="0"/>
      <w:marBottom w:val="0"/>
      <w:divBdr>
        <w:top w:val="none" w:sz="0" w:space="0" w:color="auto"/>
        <w:left w:val="none" w:sz="0" w:space="0" w:color="auto"/>
        <w:bottom w:val="none" w:sz="0" w:space="0" w:color="auto"/>
        <w:right w:val="none" w:sz="0" w:space="0" w:color="auto"/>
      </w:divBdr>
    </w:div>
    <w:div w:id="226914731">
      <w:bodyDiv w:val="1"/>
      <w:marLeft w:val="0"/>
      <w:marRight w:val="0"/>
      <w:marTop w:val="0"/>
      <w:marBottom w:val="0"/>
      <w:divBdr>
        <w:top w:val="none" w:sz="0" w:space="0" w:color="auto"/>
        <w:left w:val="none" w:sz="0" w:space="0" w:color="auto"/>
        <w:bottom w:val="none" w:sz="0" w:space="0" w:color="auto"/>
        <w:right w:val="none" w:sz="0" w:space="0" w:color="auto"/>
      </w:divBdr>
    </w:div>
    <w:div w:id="292568117">
      <w:bodyDiv w:val="1"/>
      <w:marLeft w:val="0"/>
      <w:marRight w:val="0"/>
      <w:marTop w:val="0"/>
      <w:marBottom w:val="0"/>
      <w:divBdr>
        <w:top w:val="none" w:sz="0" w:space="0" w:color="auto"/>
        <w:left w:val="none" w:sz="0" w:space="0" w:color="auto"/>
        <w:bottom w:val="none" w:sz="0" w:space="0" w:color="auto"/>
        <w:right w:val="none" w:sz="0" w:space="0" w:color="auto"/>
      </w:divBdr>
    </w:div>
    <w:div w:id="311760434">
      <w:bodyDiv w:val="1"/>
      <w:marLeft w:val="0"/>
      <w:marRight w:val="0"/>
      <w:marTop w:val="0"/>
      <w:marBottom w:val="0"/>
      <w:divBdr>
        <w:top w:val="none" w:sz="0" w:space="0" w:color="auto"/>
        <w:left w:val="none" w:sz="0" w:space="0" w:color="auto"/>
        <w:bottom w:val="none" w:sz="0" w:space="0" w:color="auto"/>
        <w:right w:val="none" w:sz="0" w:space="0" w:color="auto"/>
      </w:divBdr>
    </w:div>
    <w:div w:id="463545195">
      <w:bodyDiv w:val="1"/>
      <w:marLeft w:val="0"/>
      <w:marRight w:val="0"/>
      <w:marTop w:val="0"/>
      <w:marBottom w:val="0"/>
      <w:divBdr>
        <w:top w:val="none" w:sz="0" w:space="0" w:color="auto"/>
        <w:left w:val="none" w:sz="0" w:space="0" w:color="auto"/>
        <w:bottom w:val="none" w:sz="0" w:space="0" w:color="auto"/>
        <w:right w:val="none" w:sz="0" w:space="0" w:color="auto"/>
      </w:divBdr>
      <w:divsChild>
        <w:div w:id="398094237">
          <w:marLeft w:val="0"/>
          <w:marRight w:val="0"/>
          <w:marTop w:val="0"/>
          <w:marBottom w:val="0"/>
          <w:divBdr>
            <w:top w:val="none" w:sz="0" w:space="0" w:color="auto"/>
            <w:left w:val="none" w:sz="0" w:space="0" w:color="auto"/>
            <w:bottom w:val="none" w:sz="0" w:space="0" w:color="auto"/>
            <w:right w:val="none" w:sz="0" w:space="0" w:color="auto"/>
          </w:divBdr>
        </w:div>
        <w:div w:id="134105369">
          <w:marLeft w:val="0"/>
          <w:marRight w:val="0"/>
          <w:marTop w:val="0"/>
          <w:marBottom w:val="0"/>
          <w:divBdr>
            <w:top w:val="none" w:sz="0" w:space="0" w:color="auto"/>
            <w:left w:val="none" w:sz="0" w:space="0" w:color="auto"/>
            <w:bottom w:val="none" w:sz="0" w:space="0" w:color="auto"/>
            <w:right w:val="none" w:sz="0" w:space="0" w:color="auto"/>
          </w:divBdr>
        </w:div>
        <w:div w:id="1644851712">
          <w:marLeft w:val="0"/>
          <w:marRight w:val="0"/>
          <w:marTop w:val="0"/>
          <w:marBottom w:val="0"/>
          <w:divBdr>
            <w:top w:val="none" w:sz="0" w:space="0" w:color="auto"/>
            <w:left w:val="none" w:sz="0" w:space="0" w:color="auto"/>
            <w:bottom w:val="none" w:sz="0" w:space="0" w:color="auto"/>
            <w:right w:val="none" w:sz="0" w:space="0" w:color="auto"/>
          </w:divBdr>
        </w:div>
      </w:divsChild>
    </w:div>
    <w:div w:id="618686653">
      <w:bodyDiv w:val="1"/>
      <w:marLeft w:val="0"/>
      <w:marRight w:val="0"/>
      <w:marTop w:val="0"/>
      <w:marBottom w:val="0"/>
      <w:divBdr>
        <w:top w:val="none" w:sz="0" w:space="0" w:color="auto"/>
        <w:left w:val="none" w:sz="0" w:space="0" w:color="auto"/>
        <w:bottom w:val="none" w:sz="0" w:space="0" w:color="auto"/>
        <w:right w:val="none" w:sz="0" w:space="0" w:color="auto"/>
      </w:divBdr>
    </w:div>
    <w:div w:id="671251536">
      <w:bodyDiv w:val="1"/>
      <w:marLeft w:val="0"/>
      <w:marRight w:val="0"/>
      <w:marTop w:val="0"/>
      <w:marBottom w:val="0"/>
      <w:divBdr>
        <w:top w:val="none" w:sz="0" w:space="0" w:color="auto"/>
        <w:left w:val="none" w:sz="0" w:space="0" w:color="auto"/>
        <w:bottom w:val="none" w:sz="0" w:space="0" w:color="auto"/>
        <w:right w:val="none" w:sz="0" w:space="0" w:color="auto"/>
      </w:divBdr>
    </w:div>
    <w:div w:id="906572718">
      <w:bodyDiv w:val="1"/>
      <w:marLeft w:val="0"/>
      <w:marRight w:val="0"/>
      <w:marTop w:val="0"/>
      <w:marBottom w:val="0"/>
      <w:divBdr>
        <w:top w:val="none" w:sz="0" w:space="0" w:color="auto"/>
        <w:left w:val="none" w:sz="0" w:space="0" w:color="auto"/>
        <w:bottom w:val="none" w:sz="0" w:space="0" w:color="auto"/>
        <w:right w:val="none" w:sz="0" w:space="0" w:color="auto"/>
      </w:divBdr>
    </w:div>
    <w:div w:id="1011562284">
      <w:bodyDiv w:val="1"/>
      <w:marLeft w:val="0"/>
      <w:marRight w:val="0"/>
      <w:marTop w:val="0"/>
      <w:marBottom w:val="0"/>
      <w:divBdr>
        <w:top w:val="none" w:sz="0" w:space="0" w:color="auto"/>
        <w:left w:val="none" w:sz="0" w:space="0" w:color="auto"/>
        <w:bottom w:val="none" w:sz="0" w:space="0" w:color="auto"/>
        <w:right w:val="none" w:sz="0" w:space="0" w:color="auto"/>
      </w:divBdr>
    </w:div>
    <w:div w:id="1025401157">
      <w:bodyDiv w:val="1"/>
      <w:marLeft w:val="0"/>
      <w:marRight w:val="0"/>
      <w:marTop w:val="0"/>
      <w:marBottom w:val="0"/>
      <w:divBdr>
        <w:top w:val="none" w:sz="0" w:space="0" w:color="auto"/>
        <w:left w:val="none" w:sz="0" w:space="0" w:color="auto"/>
        <w:bottom w:val="none" w:sz="0" w:space="0" w:color="auto"/>
        <w:right w:val="none" w:sz="0" w:space="0" w:color="auto"/>
      </w:divBdr>
      <w:divsChild>
        <w:div w:id="224023920">
          <w:marLeft w:val="0"/>
          <w:marRight w:val="0"/>
          <w:marTop w:val="0"/>
          <w:marBottom w:val="0"/>
          <w:divBdr>
            <w:top w:val="none" w:sz="0" w:space="0" w:color="auto"/>
            <w:left w:val="none" w:sz="0" w:space="0" w:color="auto"/>
            <w:bottom w:val="none" w:sz="0" w:space="0" w:color="auto"/>
            <w:right w:val="none" w:sz="0" w:space="0" w:color="auto"/>
          </w:divBdr>
        </w:div>
        <w:div w:id="1048602238">
          <w:marLeft w:val="0"/>
          <w:marRight w:val="0"/>
          <w:marTop w:val="0"/>
          <w:marBottom w:val="0"/>
          <w:divBdr>
            <w:top w:val="none" w:sz="0" w:space="0" w:color="auto"/>
            <w:left w:val="none" w:sz="0" w:space="0" w:color="auto"/>
            <w:bottom w:val="none" w:sz="0" w:space="0" w:color="auto"/>
            <w:right w:val="none" w:sz="0" w:space="0" w:color="auto"/>
          </w:divBdr>
        </w:div>
        <w:div w:id="661159823">
          <w:marLeft w:val="0"/>
          <w:marRight w:val="0"/>
          <w:marTop w:val="0"/>
          <w:marBottom w:val="0"/>
          <w:divBdr>
            <w:top w:val="none" w:sz="0" w:space="0" w:color="auto"/>
            <w:left w:val="none" w:sz="0" w:space="0" w:color="auto"/>
            <w:bottom w:val="none" w:sz="0" w:space="0" w:color="auto"/>
            <w:right w:val="none" w:sz="0" w:space="0" w:color="auto"/>
          </w:divBdr>
        </w:div>
        <w:div w:id="994144716">
          <w:marLeft w:val="0"/>
          <w:marRight w:val="0"/>
          <w:marTop w:val="0"/>
          <w:marBottom w:val="0"/>
          <w:divBdr>
            <w:top w:val="none" w:sz="0" w:space="0" w:color="auto"/>
            <w:left w:val="none" w:sz="0" w:space="0" w:color="auto"/>
            <w:bottom w:val="none" w:sz="0" w:space="0" w:color="auto"/>
            <w:right w:val="none" w:sz="0" w:space="0" w:color="auto"/>
          </w:divBdr>
        </w:div>
        <w:div w:id="947349766">
          <w:marLeft w:val="0"/>
          <w:marRight w:val="0"/>
          <w:marTop w:val="0"/>
          <w:marBottom w:val="0"/>
          <w:divBdr>
            <w:top w:val="none" w:sz="0" w:space="0" w:color="auto"/>
            <w:left w:val="none" w:sz="0" w:space="0" w:color="auto"/>
            <w:bottom w:val="none" w:sz="0" w:space="0" w:color="auto"/>
            <w:right w:val="none" w:sz="0" w:space="0" w:color="auto"/>
          </w:divBdr>
        </w:div>
      </w:divsChild>
    </w:div>
    <w:div w:id="1071393683">
      <w:bodyDiv w:val="1"/>
      <w:marLeft w:val="0"/>
      <w:marRight w:val="0"/>
      <w:marTop w:val="0"/>
      <w:marBottom w:val="0"/>
      <w:divBdr>
        <w:top w:val="none" w:sz="0" w:space="0" w:color="auto"/>
        <w:left w:val="none" w:sz="0" w:space="0" w:color="auto"/>
        <w:bottom w:val="none" w:sz="0" w:space="0" w:color="auto"/>
        <w:right w:val="none" w:sz="0" w:space="0" w:color="auto"/>
      </w:divBdr>
    </w:div>
    <w:div w:id="1127817634">
      <w:bodyDiv w:val="1"/>
      <w:marLeft w:val="0"/>
      <w:marRight w:val="0"/>
      <w:marTop w:val="0"/>
      <w:marBottom w:val="0"/>
      <w:divBdr>
        <w:top w:val="none" w:sz="0" w:space="0" w:color="auto"/>
        <w:left w:val="none" w:sz="0" w:space="0" w:color="auto"/>
        <w:bottom w:val="none" w:sz="0" w:space="0" w:color="auto"/>
        <w:right w:val="none" w:sz="0" w:space="0" w:color="auto"/>
      </w:divBdr>
    </w:div>
    <w:div w:id="1398673170">
      <w:bodyDiv w:val="1"/>
      <w:marLeft w:val="0"/>
      <w:marRight w:val="0"/>
      <w:marTop w:val="0"/>
      <w:marBottom w:val="0"/>
      <w:divBdr>
        <w:top w:val="none" w:sz="0" w:space="0" w:color="auto"/>
        <w:left w:val="none" w:sz="0" w:space="0" w:color="auto"/>
        <w:bottom w:val="none" w:sz="0" w:space="0" w:color="auto"/>
        <w:right w:val="none" w:sz="0" w:space="0" w:color="auto"/>
      </w:divBdr>
    </w:div>
    <w:div w:id="1573388542">
      <w:bodyDiv w:val="1"/>
      <w:marLeft w:val="0"/>
      <w:marRight w:val="0"/>
      <w:marTop w:val="0"/>
      <w:marBottom w:val="0"/>
      <w:divBdr>
        <w:top w:val="none" w:sz="0" w:space="0" w:color="auto"/>
        <w:left w:val="none" w:sz="0" w:space="0" w:color="auto"/>
        <w:bottom w:val="none" w:sz="0" w:space="0" w:color="auto"/>
        <w:right w:val="none" w:sz="0" w:space="0" w:color="auto"/>
      </w:divBdr>
    </w:div>
    <w:div w:id="1641883417">
      <w:bodyDiv w:val="1"/>
      <w:marLeft w:val="0"/>
      <w:marRight w:val="0"/>
      <w:marTop w:val="0"/>
      <w:marBottom w:val="0"/>
      <w:divBdr>
        <w:top w:val="none" w:sz="0" w:space="0" w:color="auto"/>
        <w:left w:val="none" w:sz="0" w:space="0" w:color="auto"/>
        <w:bottom w:val="none" w:sz="0" w:space="0" w:color="auto"/>
        <w:right w:val="none" w:sz="0" w:space="0" w:color="auto"/>
      </w:divBdr>
    </w:div>
    <w:div w:id="1689260327">
      <w:bodyDiv w:val="1"/>
      <w:marLeft w:val="0"/>
      <w:marRight w:val="0"/>
      <w:marTop w:val="0"/>
      <w:marBottom w:val="0"/>
      <w:divBdr>
        <w:top w:val="none" w:sz="0" w:space="0" w:color="auto"/>
        <w:left w:val="none" w:sz="0" w:space="0" w:color="auto"/>
        <w:bottom w:val="none" w:sz="0" w:space="0" w:color="auto"/>
        <w:right w:val="none" w:sz="0" w:space="0" w:color="auto"/>
      </w:divBdr>
    </w:div>
    <w:div w:id="1693528293">
      <w:bodyDiv w:val="1"/>
      <w:marLeft w:val="0"/>
      <w:marRight w:val="0"/>
      <w:marTop w:val="0"/>
      <w:marBottom w:val="0"/>
      <w:divBdr>
        <w:top w:val="none" w:sz="0" w:space="0" w:color="auto"/>
        <w:left w:val="none" w:sz="0" w:space="0" w:color="auto"/>
        <w:bottom w:val="none" w:sz="0" w:space="0" w:color="auto"/>
        <w:right w:val="none" w:sz="0" w:space="0" w:color="auto"/>
      </w:divBdr>
    </w:div>
    <w:div w:id="1736514711">
      <w:bodyDiv w:val="1"/>
      <w:marLeft w:val="0"/>
      <w:marRight w:val="0"/>
      <w:marTop w:val="0"/>
      <w:marBottom w:val="0"/>
      <w:divBdr>
        <w:top w:val="none" w:sz="0" w:space="0" w:color="auto"/>
        <w:left w:val="none" w:sz="0" w:space="0" w:color="auto"/>
        <w:bottom w:val="none" w:sz="0" w:space="0" w:color="auto"/>
        <w:right w:val="none" w:sz="0" w:space="0" w:color="auto"/>
      </w:divBdr>
    </w:div>
    <w:div w:id="1739747655">
      <w:bodyDiv w:val="1"/>
      <w:marLeft w:val="0"/>
      <w:marRight w:val="0"/>
      <w:marTop w:val="0"/>
      <w:marBottom w:val="0"/>
      <w:divBdr>
        <w:top w:val="none" w:sz="0" w:space="0" w:color="auto"/>
        <w:left w:val="none" w:sz="0" w:space="0" w:color="auto"/>
        <w:bottom w:val="none" w:sz="0" w:space="0" w:color="auto"/>
        <w:right w:val="none" w:sz="0" w:space="0" w:color="auto"/>
      </w:divBdr>
    </w:div>
    <w:div w:id="1797914920">
      <w:bodyDiv w:val="1"/>
      <w:marLeft w:val="0"/>
      <w:marRight w:val="0"/>
      <w:marTop w:val="0"/>
      <w:marBottom w:val="0"/>
      <w:divBdr>
        <w:top w:val="none" w:sz="0" w:space="0" w:color="auto"/>
        <w:left w:val="none" w:sz="0" w:space="0" w:color="auto"/>
        <w:bottom w:val="none" w:sz="0" w:space="0" w:color="auto"/>
        <w:right w:val="none" w:sz="0" w:space="0" w:color="auto"/>
      </w:divBdr>
    </w:div>
    <w:div w:id="1811627253">
      <w:bodyDiv w:val="1"/>
      <w:marLeft w:val="0"/>
      <w:marRight w:val="0"/>
      <w:marTop w:val="0"/>
      <w:marBottom w:val="0"/>
      <w:divBdr>
        <w:top w:val="none" w:sz="0" w:space="0" w:color="auto"/>
        <w:left w:val="none" w:sz="0" w:space="0" w:color="auto"/>
        <w:bottom w:val="none" w:sz="0" w:space="0" w:color="auto"/>
        <w:right w:val="none" w:sz="0" w:space="0" w:color="auto"/>
      </w:divBdr>
    </w:div>
    <w:div w:id="1828127910">
      <w:bodyDiv w:val="1"/>
      <w:marLeft w:val="0"/>
      <w:marRight w:val="0"/>
      <w:marTop w:val="0"/>
      <w:marBottom w:val="0"/>
      <w:divBdr>
        <w:top w:val="none" w:sz="0" w:space="0" w:color="auto"/>
        <w:left w:val="none" w:sz="0" w:space="0" w:color="auto"/>
        <w:bottom w:val="none" w:sz="0" w:space="0" w:color="auto"/>
        <w:right w:val="none" w:sz="0" w:space="0" w:color="auto"/>
      </w:divBdr>
    </w:div>
    <w:div w:id="1898086118">
      <w:bodyDiv w:val="1"/>
      <w:marLeft w:val="0"/>
      <w:marRight w:val="0"/>
      <w:marTop w:val="0"/>
      <w:marBottom w:val="0"/>
      <w:divBdr>
        <w:top w:val="none" w:sz="0" w:space="0" w:color="auto"/>
        <w:left w:val="none" w:sz="0" w:space="0" w:color="auto"/>
        <w:bottom w:val="none" w:sz="0" w:space="0" w:color="auto"/>
        <w:right w:val="none" w:sz="0" w:space="0" w:color="auto"/>
      </w:divBdr>
    </w:div>
    <w:div w:id="1983459613">
      <w:bodyDiv w:val="1"/>
      <w:marLeft w:val="0"/>
      <w:marRight w:val="0"/>
      <w:marTop w:val="0"/>
      <w:marBottom w:val="0"/>
      <w:divBdr>
        <w:top w:val="none" w:sz="0" w:space="0" w:color="auto"/>
        <w:left w:val="none" w:sz="0" w:space="0" w:color="auto"/>
        <w:bottom w:val="none" w:sz="0" w:space="0" w:color="auto"/>
        <w:right w:val="none" w:sz="0" w:space="0" w:color="auto"/>
      </w:divBdr>
    </w:div>
    <w:div w:id="2056851389">
      <w:bodyDiv w:val="1"/>
      <w:marLeft w:val="0"/>
      <w:marRight w:val="0"/>
      <w:marTop w:val="0"/>
      <w:marBottom w:val="0"/>
      <w:divBdr>
        <w:top w:val="none" w:sz="0" w:space="0" w:color="auto"/>
        <w:left w:val="none" w:sz="0" w:space="0" w:color="auto"/>
        <w:bottom w:val="none" w:sz="0" w:space="0" w:color="auto"/>
        <w:right w:val="none" w:sz="0" w:space="0" w:color="auto"/>
      </w:divBdr>
    </w:div>
    <w:div w:id="21163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Steward@southernhealth.nhs.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urphy@bournemouth.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ertdietitia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l.may@lshtm.ac.uk)5" TargetMode="External"/><Relationship Id="rId4" Type="http://schemas.openxmlformats.org/officeDocument/2006/relationships/settings" Target="settings.xml"/><Relationship Id="rId9" Type="http://schemas.openxmlformats.org/officeDocument/2006/relationships/hyperlink" Target="mailto:Kathy.Wallis@wessexahsn.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16381-5FF9-4985-875B-4F6B6DAD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10584</Words>
  <Characters>193121</Characters>
  <Application>Microsoft Office Word</Application>
  <DocSecurity>4</DocSecurity>
  <Lines>1609</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Bracher</dc:creator>
  <cp:lastModifiedBy>Bracher M.</cp:lastModifiedBy>
  <cp:revision>2</cp:revision>
  <dcterms:created xsi:type="dcterms:W3CDTF">2019-07-01T15:22:00Z</dcterms:created>
  <dcterms:modified xsi:type="dcterms:W3CDTF">2019-07-01T15:22:00Z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771ea4e1-f928-31dd-9c4f-03a840a0e304</vt:lpwstr>
  </property>
  <property fmtid="{D5CDD505-2E9C-101B-9397-08002B2CF9AE}" pid="4" name="Mendeley Citation Style_1">
    <vt:lpwstr>http://www.zotero.org/styles/bmj</vt:lpwstr>
  </property>
  <property fmtid="{D5CDD505-2E9C-101B-9397-08002B2CF9AE}" pid="5" name="Mendeley Recent Style Id 0_1">
    <vt:lpwstr>http://www.zotero.org/styles/alternatives-to-animal-experimentation</vt:lpwstr>
  </property>
  <property fmtid="{D5CDD505-2E9C-101B-9397-08002B2CF9AE}" pid="6" name="Mendeley Recent Style Name 0_1">
    <vt:lpwstr>Alternatives to Animal Experimentation</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http://www.zotero.org/styles/bmc-cancer</vt:lpwstr>
  </property>
  <property fmtid="{D5CDD505-2E9C-101B-9397-08002B2CF9AE}" pid="16" name="Mendeley Recent Style Name 5_1">
    <vt:lpwstr>BMC Cancer</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http://www.zotero.org/styles/patient-education-and-counseling</vt:lpwstr>
  </property>
  <property fmtid="{D5CDD505-2E9C-101B-9397-08002B2CF9AE}" pid="22" name="Mendeley Recent Style Name 8_1">
    <vt:lpwstr>Patient Education and Counseling</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