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CA75C" w14:textId="77777777" w:rsidR="005101DA" w:rsidRPr="001212C2" w:rsidRDefault="003C24ED" w:rsidP="000940BB">
      <w:pPr>
        <w:spacing w:line="360" w:lineRule="auto"/>
        <w:jc w:val="center"/>
        <w:outlineLvl w:val="0"/>
        <w:rPr>
          <w:rFonts w:ascii="Times" w:hAnsi="Times"/>
          <w:b/>
          <w:i/>
          <w:color w:val="000000" w:themeColor="text1"/>
          <w:sz w:val="28"/>
          <w:szCs w:val="28"/>
          <w:lang w:val="en-US"/>
        </w:rPr>
      </w:pPr>
      <w:bookmarkStart w:id="0" w:name="_GoBack"/>
      <w:bookmarkEnd w:id="0"/>
      <w:r w:rsidRPr="001212C2">
        <w:rPr>
          <w:rFonts w:ascii="Times" w:hAnsi="Times"/>
          <w:b/>
          <w:color w:val="000000" w:themeColor="text1"/>
          <w:sz w:val="28"/>
          <w:szCs w:val="28"/>
          <w:lang w:val="en-US"/>
        </w:rPr>
        <w:t>Religious holidays for the non-religious</w:t>
      </w:r>
      <w:r w:rsidR="00463BFA" w:rsidRPr="001212C2">
        <w:rPr>
          <w:rFonts w:ascii="Times" w:hAnsi="Times"/>
          <w:b/>
          <w:color w:val="000000" w:themeColor="text1"/>
          <w:sz w:val="28"/>
          <w:szCs w:val="28"/>
          <w:lang w:val="en-US"/>
        </w:rPr>
        <w:t>?</w:t>
      </w:r>
      <w:r w:rsidRPr="001212C2">
        <w:rPr>
          <w:rFonts w:ascii="Times" w:hAnsi="Times"/>
          <w:b/>
          <w:color w:val="000000" w:themeColor="text1"/>
          <w:sz w:val="28"/>
          <w:szCs w:val="28"/>
          <w:lang w:val="en-US"/>
        </w:rPr>
        <w:t xml:space="preserve"> </w:t>
      </w:r>
      <w:r w:rsidR="00F05F3D" w:rsidRPr="001212C2">
        <w:rPr>
          <w:rFonts w:ascii="Times" w:hAnsi="Times"/>
          <w:b/>
          <w:i/>
          <w:color w:val="000000" w:themeColor="text1"/>
          <w:sz w:val="28"/>
          <w:szCs w:val="28"/>
          <w:lang w:val="en-US"/>
        </w:rPr>
        <w:t>Cresco Investigations v Achatzi</w:t>
      </w:r>
    </w:p>
    <w:p w14:paraId="585D65DD" w14:textId="77777777" w:rsidR="005101DA" w:rsidRPr="00630E54" w:rsidRDefault="005101DA" w:rsidP="00B46D6A">
      <w:pPr>
        <w:spacing w:line="360" w:lineRule="auto"/>
        <w:jc w:val="both"/>
        <w:rPr>
          <w:rFonts w:ascii="Times" w:hAnsi="Times"/>
          <w:b/>
          <w:color w:val="000000" w:themeColor="text1"/>
          <w:lang w:val="en-US"/>
        </w:rPr>
      </w:pPr>
    </w:p>
    <w:p w14:paraId="1219A96D" w14:textId="77777777" w:rsidR="00986B6D" w:rsidRPr="00630E54" w:rsidRDefault="00FF3814" w:rsidP="00B46D6A">
      <w:pPr>
        <w:pStyle w:val="ListParagraph"/>
        <w:numPr>
          <w:ilvl w:val="0"/>
          <w:numId w:val="1"/>
        </w:numPr>
        <w:spacing w:line="360" w:lineRule="auto"/>
        <w:jc w:val="both"/>
        <w:rPr>
          <w:rFonts w:ascii="Times" w:hAnsi="Times" w:cs="Times New Roman"/>
          <w:b/>
          <w:color w:val="000000" w:themeColor="text1"/>
          <w:lang w:val="en-US"/>
        </w:rPr>
      </w:pPr>
      <w:r w:rsidRPr="00630E54">
        <w:rPr>
          <w:rFonts w:ascii="Times" w:hAnsi="Times" w:cs="Times New Roman"/>
          <w:b/>
          <w:color w:val="000000" w:themeColor="text1"/>
          <w:lang w:val="en-US"/>
        </w:rPr>
        <w:t>Introduction</w:t>
      </w:r>
    </w:p>
    <w:p w14:paraId="7D8581C7" w14:textId="77777777" w:rsidR="00986B6D" w:rsidRPr="00630E54" w:rsidRDefault="00986B6D" w:rsidP="00B46D6A">
      <w:pPr>
        <w:spacing w:line="360" w:lineRule="auto"/>
        <w:jc w:val="both"/>
        <w:rPr>
          <w:rFonts w:ascii="Times" w:hAnsi="Times"/>
          <w:color w:val="000000" w:themeColor="text1"/>
          <w:lang w:val="en-US"/>
        </w:rPr>
      </w:pPr>
    </w:p>
    <w:p w14:paraId="05D09E91" w14:textId="77777777" w:rsidR="00986B6D" w:rsidRPr="00630E54" w:rsidRDefault="00986B6D" w:rsidP="00B46D6A">
      <w:pPr>
        <w:spacing w:line="360" w:lineRule="auto"/>
        <w:jc w:val="both"/>
        <w:rPr>
          <w:rFonts w:ascii="Times" w:hAnsi="Times"/>
          <w:color w:val="000000" w:themeColor="text1"/>
          <w:lang w:val="en-US"/>
        </w:rPr>
      </w:pPr>
      <w:r w:rsidRPr="00630E54">
        <w:rPr>
          <w:rFonts w:ascii="Times" w:hAnsi="Times"/>
          <w:color w:val="000000" w:themeColor="text1"/>
          <w:lang w:val="en-US"/>
        </w:rPr>
        <w:t xml:space="preserve">The question of time off for religious </w:t>
      </w:r>
      <w:r w:rsidR="0002201B" w:rsidRPr="00630E54">
        <w:rPr>
          <w:rFonts w:ascii="Times" w:hAnsi="Times"/>
          <w:color w:val="000000" w:themeColor="text1"/>
          <w:lang w:val="en-US"/>
        </w:rPr>
        <w:t xml:space="preserve">holidays </w:t>
      </w:r>
      <w:r w:rsidR="00F05F3D" w:rsidRPr="00630E54">
        <w:rPr>
          <w:rFonts w:ascii="Times" w:hAnsi="Times"/>
          <w:color w:val="000000" w:themeColor="text1"/>
          <w:lang w:val="en-US"/>
        </w:rPr>
        <w:t xml:space="preserve">raised its head again in </w:t>
      </w:r>
      <w:r w:rsidR="00F05F3D" w:rsidRPr="00630E54">
        <w:rPr>
          <w:rFonts w:ascii="Times" w:hAnsi="Times"/>
          <w:i/>
          <w:color w:val="000000" w:themeColor="text1"/>
          <w:lang w:val="en-US"/>
        </w:rPr>
        <w:t>Cresco Investigations v Achatzi</w:t>
      </w:r>
      <w:r w:rsidR="00454271">
        <w:rPr>
          <w:rFonts w:ascii="Times" w:hAnsi="Times"/>
          <w:i/>
          <w:color w:val="000000" w:themeColor="text1"/>
          <w:lang w:val="en-US"/>
        </w:rPr>
        <w:t>.</w:t>
      </w:r>
      <w:r w:rsidR="00F05F3D" w:rsidRPr="00630E54">
        <w:rPr>
          <w:rStyle w:val="FootnoteReference"/>
          <w:rFonts w:ascii="Times" w:hAnsi="Times"/>
          <w:color w:val="000000" w:themeColor="text1"/>
          <w:lang w:val="en-US"/>
        </w:rPr>
        <w:t xml:space="preserve"> </w:t>
      </w:r>
      <w:r w:rsidR="00255891" w:rsidRPr="00630E54">
        <w:rPr>
          <w:rStyle w:val="FootnoteReference"/>
          <w:rFonts w:ascii="Times" w:hAnsi="Times"/>
          <w:color w:val="000000" w:themeColor="text1"/>
          <w:lang w:val="en-US"/>
        </w:rPr>
        <w:footnoteReference w:id="1"/>
      </w:r>
      <w:r w:rsidR="00554018" w:rsidRPr="00630E54">
        <w:rPr>
          <w:rFonts w:ascii="Times" w:hAnsi="Times"/>
          <w:color w:val="000000" w:themeColor="text1"/>
          <w:lang w:val="en-US"/>
        </w:rPr>
        <w:t xml:space="preserve"> The facts though did not involve the </w:t>
      </w:r>
      <w:r w:rsidR="0002201B" w:rsidRPr="00630E54">
        <w:rPr>
          <w:rFonts w:ascii="Times" w:hAnsi="Times"/>
          <w:color w:val="000000" w:themeColor="text1"/>
          <w:lang w:val="en-US"/>
        </w:rPr>
        <w:t>previously considered</w:t>
      </w:r>
      <w:r w:rsidR="00695704" w:rsidRPr="00630E54">
        <w:rPr>
          <w:rFonts w:ascii="Times" w:hAnsi="Times"/>
          <w:color w:val="000000" w:themeColor="text1"/>
          <w:lang w:val="en-US"/>
        </w:rPr>
        <w:t>,</w:t>
      </w:r>
      <w:r w:rsidR="00695704" w:rsidRPr="00630E54">
        <w:rPr>
          <w:rStyle w:val="FootnoteReference"/>
          <w:rFonts w:ascii="Times" w:hAnsi="Times"/>
          <w:color w:val="000000" w:themeColor="text1"/>
          <w:lang w:val="en-US"/>
        </w:rPr>
        <w:footnoteReference w:id="2"/>
      </w:r>
      <w:r w:rsidR="00695704" w:rsidRPr="00630E54">
        <w:rPr>
          <w:rFonts w:ascii="Times" w:hAnsi="Times"/>
          <w:color w:val="000000" w:themeColor="text1"/>
          <w:lang w:val="en-US"/>
        </w:rPr>
        <w:t xml:space="preserve"> but thorny,</w:t>
      </w:r>
      <w:r w:rsidR="0002201B" w:rsidRPr="00630E54">
        <w:rPr>
          <w:rFonts w:ascii="Times" w:hAnsi="Times"/>
          <w:color w:val="000000" w:themeColor="text1"/>
          <w:lang w:val="en-US"/>
        </w:rPr>
        <w:t xml:space="preserve"> </w:t>
      </w:r>
      <w:r w:rsidR="00554018" w:rsidRPr="00630E54">
        <w:rPr>
          <w:rFonts w:ascii="Times" w:hAnsi="Times"/>
          <w:color w:val="000000" w:themeColor="text1"/>
          <w:lang w:val="en-US"/>
        </w:rPr>
        <w:t xml:space="preserve">question of whether it would be indirectly discriminatory to deny </w:t>
      </w:r>
      <w:r w:rsidR="00901822" w:rsidRPr="00630E54">
        <w:rPr>
          <w:rFonts w:ascii="Times" w:hAnsi="Times"/>
          <w:color w:val="000000" w:themeColor="text1"/>
          <w:lang w:val="en-US"/>
        </w:rPr>
        <w:t>a</w:t>
      </w:r>
      <w:r w:rsidR="0017618B" w:rsidRPr="00630E54">
        <w:rPr>
          <w:rFonts w:ascii="Times" w:hAnsi="Times"/>
          <w:color w:val="000000" w:themeColor="text1"/>
          <w:lang w:val="en-US"/>
        </w:rPr>
        <w:t xml:space="preserve"> religious</w:t>
      </w:r>
      <w:r w:rsidR="00901822" w:rsidRPr="00630E54">
        <w:rPr>
          <w:rFonts w:ascii="Times" w:hAnsi="Times"/>
          <w:color w:val="000000" w:themeColor="text1"/>
          <w:lang w:val="en-US"/>
        </w:rPr>
        <w:t xml:space="preserve"> </w:t>
      </w:r>
      <w:r w:rsidR="00554018" w:rsidRPr="00630E54">
        <w:rPr>
          <w:rFonts w:ascii="Times" w:hAnsi="Times"/>
          <w:color w:val="000000" w:themeColor="text1"/>
          <w:lang w:val="en-US"/>
        </w:rPr>
        <w:t xml:space="preserve">employee </w:t>
      </w:r>
      <w:r w:rsidR="000904CC" w:rsidRPr="00630E54">
        <w:rPr>
          <w:rFonts w:ascii="Times" w:hAnsi="Times"/>
          <w:color w:val="000000" w:themeColor="text1"/>
          <w:lang w:val="en-US"/>
        </w:rPr>
        <w:t xml:space="preserve">time off to perform religious activities </w:t>
      </w:r>
      <w:r w:rsidR="00C54185" w:rsidRPr="00630E54">
        <w:rPr>
          <w:rFonts w:ascii="Times" w:hAnsi="Times"/>
          <w:color w:val="000000" w:themeColor="text1"/>
          <w:lang w:val="en-US"/>
        </w:rPr>
        <w:t xml:space="preserve">but whether it was </w:t>
      </w:r>
      <w:r w:rsidR="00C54185" w:rsidRPr="00630E54">
        <w:rPr>
          <w:rFonts w:ascii="Times" w:hAnsi="Times"/>
          <w:i/>
          <w:color w:val="000000" w:themeColor="text1"/>
          <w:lang w:val="en-US"/>
        </w:rPr>
        <w:t xml:space="preserve">directly </w:t>
      </w:r>
      <w:r w:rsidR="00C54185" w:rsidRPr="00630E54">
        <w:rPr>
          <w:rFonts w:ascii="Times" w:hAnsi="Times"/>
          <w:color w:val="000000" w:themeColor="text1"/>
          <w:lang w:val="en-US"/>
        </w:rPr>
        <w:t xml:space="preserve">discriminatory </w:t>
      </w:r>
      <w:r w:rsidR="002203CD" w:rsidRPr="00630E54">
        <w:rPr>
          <w:rFonts w:ascii="Times" w:hAnsi="Times"/>
          <w:color w:val="000000" w:themeColor="text1"/>
          <w:lang w:val="en-US"/>
        </w:rPr>
        <w:t xml:space="preserve">for legislation </w:t>
      </w:r>
      <w:r w:rsidR="00C54185" w:rsidRPr="00630E54">
        <w:rPr>
          <w:rFonts w:ascii="Times" w:hAnsi="Times"/>
          <w:color w:val="000000" w:themeColor="text1"/>
          <w:lang w:val="en-US"/>
        </w:rPr>
        <w:t>to provide an extra day of leave, or double pay if</w:t>
      </w:r>
      <w:r w:rsidR="00F267E8" w:rsidRPr="00630E54">
        <w:rPr>
          <w:rFonts w:ascii="Times" w:hAnsi="Times"/>
          <w:color w:val="000000" w:themeColor="text1"/>
          <w:lang w:val="en-US"/>
        </w:rPr>
        <w:t xml:space="preserve"> </w:t>
      </w:r>
      <w:r w:rsidR="0002201B" w:rsidRPr="00630E54">
        <w:rPr>
          <w:rFonts w:ascii="Times" w:hAnsi="Times"/>
          <w:color w:val="000000" w:themeColor="text1"/>
          <w:lang w:val="en-US"/>
        </w:rPr>
        <w:t>the employee worked on that day</w:t>
      </w:r>
      <w:r w:rsidR="00B70477" w:rsidRPr="00630E54">
        <w:rPr>
          <w:rFonts w:ascii="Times" w:hAnsi="Times"/>
          <w:color w:val="000000" w:themeColor="text1"/>
          <w:lang w:val="en-US"/>
        </w:rPr>
        <w:t>,</w:t>
      </w:r>
      <w:r w:rsidR="00C54185" w:rsidRPr="00630E54">
        <w:rPr>
          <w:rFonts w:ascii="Times" w:hAnsi="Times"/>
          <w:color w:val="000000" w:themeColor="text1"/>
          <w:lang w:val="en-US"/>
        </w:rPr>
        <w:t xml:space="preserve"> for members of pa</w:t>
      </w:r>
      <w:r w:rsidR="00B70477" w:rsidRPr="00630E54">
        <w:rPr>
          <w:rFonts w:ascii="Times" w:hAnsi="Times"/>
          <w:color w:val="000000" w:themeColor="text1"/>
          <w:lang w:val="en-US"/>
        </w:rPr>
        <w:t xml:space="preserve">rticular religious communities only. The answer to this, perhaps not surprisingly, was </w:t>
      </w:r>
      <w:r w:rsidR="009F6729" w:rsidRPr="00630E54">
        <w:rPr>
          <w:rFonts w:ascii="Times" w:hAnsi="Times"/>
          <w:color w:val="000000" w:themeColor="text1"/>
          <w:lang w:val="en-US"/>
        </w:rPr>
        <w:t xml:space="preserve">that to do </w:t>
      </w:r>
      <w:r w:rsidR="001161DA" w:rsidRPr="00630E54">
        <w:rPr>
          <w:rFonts w:ascii="Times" w:hAnsi="Times"/>
          <w:color w:val="000000" w:themeColor="text1"/>
          <w:lang w:val="en-US"/>
        </w:rPr>
        <w:t xml:space="preserve">so </w:t>
      </w:r>
      <w:r w:rsidR="009F6729" w:rsidRPr="00630E54">
        <w:rPr>
          <w:rFonts w:ascii="Times" w:hAnsi="Times"/>
          <w:color w:val="000000" w:themeColor="text1"/>
          <w:lang w:val="en-US"/>
        </w:rPr>
        <w:t>was discriminatory</w:t>
      </w:r>
      <w:r w:rsidR="00B70477" w:rsidRPr="00630E54">
        <w:rPr>
          <w:rFonts w:ascii="Times" w:hAnsi="Times"/>
          <w:color w:val="000000" w:themeColor="text1"/>
          <w:lang w:val="en-US"/>
        </w:rPr>
        <w:t>, and could not be defended on the basis that it protected the rights and freedoms of others.</w:t>
      </w:r>
      <w:r w:rsidR="009F6729" w:rsidRPr="00630E54">
        <w:rPr>
          <w:rFonts w:ascii="Times" w:hAnsi="Times"/>
          <w:color w:val="000000" w:themeColor="text1"/>
          <w:lang w:val="en-US"/>
        </w:rPr>
        <w:t xml:space="preserve"> Given t</w:t>
      </w:r>
      <w:r w:rsidR="008C42BC" w:rsidRPr="00630E54">
        <w:rPr>
          <w:rFonts w:ascii="Times" w:hAnsi="Times"/>
          <w:color w:val="000000" w:themeColor="text1"/>
          <w:lang w:val="en-US"/>
        </w:rPr>
        <w:t xml:space="preserve">he law’s clear privileging of some religious groups above others for little objective reason it is hard to see what other conclusion the court could </w:t>
      </w:r>
      <w:r w:rsidR="00543EF4" w:rsidRPr="00630E54">
        <w:rPr>
          <w:rFonts w:ascii="Times" w:hAnsi="Times"/>
          <w:color w:val="000000" w:themeColor="text1"/>
          <w:lang w:val="en-US"/>
        </w:rPr>
        <w:t xml:space="preserve">have </w:t>
      </w:r>
      <w:r w:rsidR="008C42BC" w:rsidRPr="00630E54">
        <w:rPr>
          <w:rFonts w:ascii="Times" w:hAnsi="Times"/>
          <w:color w:val="000000" w:themeColor="text1"/>
          <w:lang w:val="en-US"/>
        </w:rPr>
        <w:t>reach</w:t>
      </w:r>
      <w:r w:rsidR="00543EF4" w:rsidRPr="00630E54">
        <w:rPr>
          <w:rFonts w:ascii="Times" w:hAnsi="Times"/>
          <w:color w:val="000000" w:themeColor="text1"/>
          <w:lang w:val="en-US"/>
        </w:rPr>
        <w:t>ed</w:t>
      </w:r>
      <w:r w:rsidR="00A37999" w:rsidRPr="00630E54">
        <w:rPr>
          <w:rFonts w:ascii="Times" w:hAnsi="Times"/>
          <w:color w:val="000000" w:themeColor="text1"/>
          <w:lang w:val="en-US"/>
        </w:rPr>
        <w:t xml:space="preserve"> given </w:t>
      </w:r>
      <w:r w:rsidR="00454271">
        <w:rPr>
          <w:rFonts w:ascii="Times" w:hAnsi="Times"/>
          <w:color w:val="000000" w:themeColor="text1"/>
          <w:lang w:val="en-US"/>
        </w:rPr>
        <w:t xml:space="preserve">that </w:t>
      </w:r>
      <w:r w:rsidR="00A37999" w:rsidRPr="00630E54">
        <w:rPr>
          <w:rFonts w:ascii="Times" w:hAnsi="Times"/>
          <w:color w:val="000000" w:themeColor="text1"/>
          <w:lang w:val="en-US"/>
        </w:rPr>
        <w:t xml:space="preserve">what was at stake was not merely a day off but extra payment </w:t>
      </w:r>
      <w:r w:rsidR="00AC664C" w:rsidRPr="00630E54">
        <w:rPr>
          <w:rFonts w:ascii="Times" w:hAnsi="Times"/>
          <w:color w:val="000000" w:themeColor="text1"/>
          <w:lang w:val="en-US"/>
        </w:rPr>
        <w:t xml:space="preserve">if an employee chose to work that day. </w:t>
      </w:r>
      <w:r w:rsidR="008C42BC" w:rsidRPr="00630E54">
        <w:rPr>
          <w:rFonts w:ascii="Times" w:hAnsi="Times"/>
          <w:color w:val="000000" w:themeColor="text1"/>
          <w:lang w:val="en-US"/>
        </w:rPr>
        <w:t xml:space="preserve">Nevertheless, </w:t>
      </w:r>
      <w:r w:rsidR="00F00B1B" w:rsidRPr="00630E54">
        <w:rPr>
          <w:rFonts w:ascii="Times" w:hAnsi="Times"/>
          <w:color w:val="000000" w:themeColor="text1"/>
          <w:lang w:val="en-US"/>
        </w:rPr>
        <w:t xml:space="preserve">this case </w:t>
      </w:r>
      <w:r w:rsidR="00A4165A" w:rsidRPr="00630E54">
        <w:rPr>
          <w:rFonts w:ascii="Times" w:hAnsi="Times"/>
          <w:color w:val="000000" w:themeColor="text1"/>
          <w:lang w:val="en-US"/>
        </w:rPr>
        <w:t xml:space="preserve">is </w:t>
      </w:r>
      <w:r w:rsidR="00F00B1B" w:rsidRPr="00630E54">
        <w:rPr>
          <w:rFonts w:ascii="Times" w:hAnsi="Times"/>
          <w:color w:val="000000" w:themeColor="text1"/>
          <w:lang w:val="en-US"/>
        </w:rPr>
        <w:t xml:space="preserve">important because it raised </w:t>
      </w:r>
      <w:r w:rsidR="00B70477" w:rsidRPr="00630E54">
        <w:rPr>
          <w:rFonts w:ascii="Times" w:hAnsi="Times"/>
          <w:color w:val="000000" w:themeColor="text1"/>
          <w:lang w:val="en-US"/>
        </w:rPr>
        <w:t xml:space="preserve">technical but potentially extremely far ranging questions on the horizontal direct effect of Directives and the Charter of Fundamental Rights and Freedoms.  </w:t>
      </w:r>
    </w:p>
    <w:p w14:paraId="2F5FCA1D" w14:textId="77777777" w:rsidR="00986B6D" w:rsidRPr="00630E54" w:rsidRDefault="00986B6D" w:rsidP="00B46D6A">
      <w:pPr>
        <w:spacing w:line="360" w:lineRule="auto"/>
        <w:jc w:val="both"/>
        <w:rPr>
          <w:rFonts w:ascii="Times" w:hAnsi="Times"/>
          <w:color w:val="000000" w:themeColor="text1"/>
          <w:lang w:val="en-US"/>
        </w:rPr>
      </w:pPr>
    </w:p>
    <w:p w14:paraId="08D97F2C" w14:textId="77777777" w:rsidR="00FF3814" w:rsidRPr="00630E54" w:rsidRDefault="00FF3814" w:rsidP="00B46D6A">
      <w:pPr>
        <w:pStyle w:val="ListParagraph"/>
        <w:numPr>
          <w:ilvl w:val="0"/>
          <w:numId w:val="1"/>
        </w:numPr>
        <w:spacing w:line="360" w:lineRule="auto"/>
        <w:jc w:val="both"/>
        <w:rPr>
          <w:rFonts w:ascii="Times" w:hAnsi="Times" w:cs="Times New Roman"/>
          <w:b/>
          <w:color w:val="000000" w:themeColor="text1"/>
          <w:lang w:val="en-US"/>
        </w:rPr>
      </w:pPr>
      <w:r w:rsidRPr="00630E54">
        <w:rPr>
          <w:rFonts w:ascii="Times" w:hAnsi="Times" w:cs="Times New Roman"/>
          <w:b/>
          <w:color w:val="000000" w:themeColor="text1"/>
          <w:lang w:val="en-US"/>
        </w:rPr>
        <w:t>Facts and Case History</w:t>
      </w:r>
    </w:p>
    <w:p w14:paraId="1AF07D26" w14:textId="77777777" w:rsidR="00FF3814" w:rsidRPr="00630E54" w:rsidRDefault="00FF3814" w:rsidP="00B46D6A">
      <w:pPr>
        <w:spacing w:line="360" w:lineRule="auto"/>
        <w:jc w:val="both"/>
        <w:rPr>
          <w:rFonts w:ascii="Times" w:hAnsi="Times"/>
          <w:color w:val="000000" w:themeColor="text1"/>
          <w:lang w:val="en-US"/>
        </w:rPr>
      </w:pPr>
    </w:p>
    <w:p w14:paraId="16FDDD32" w14:textId="5BAB210B" w:rsidR="00B70477" w:rsidRPr="00630E54" w:rsidRDefault="00B70477" w:rsidP="00B46D6A">
      <w:pPr>
        <w:spacing w:line="360" w:lineRule="auto"/>
        <w:jc w:val="both"/>
        <w:rPr>
          <w:rFonts w:ascii="Times" w:eastAsia="Times New Roman" w:hAnsi="Times"/>
          <w:color w:val="000000" w:themeColor="text1"/>
          <w:shd w:val="clear" w:color="auto" w:fill="FFFFFF"/>
        </w:rPr>
      </w:pPr>
      <w:r w:rsidRPr="00630E54">
        <w:rPr>
          <w:rFonts w:ascii="Times" w:hAnsi="Times"/>
          <w:color w:val="000000" w:themeColor="text1"/>
          <w:lang w:val="en-US"/>
        </w:rPr>
        <w:t>Under Austrian law, paragraph 7</w:t>
      </w:r>
      <w:r w:rsidR="002F1FCE">
        <w:rPr>
          <w:rFonts w:ascii="Times" w:hAnsi="Times"/>
          <w:color w:val="000000" w:themeColor="text1"/>
          <w:lang w:val="en-US"/>
        </w:rPr>
        <w:t>(3)</w:t>
      </w:r>
      <w:r w:rsidRPr="00630E54">
        <w:rPr>
          <w:rFonts w:ascii="Times" w:hAnsi="Times"/>
          <w:color w:val="000000" w:themeColor="text1"/>
          <w:lang w:val="en-US"/>
        </w:rPr>
        <w:t xml:space="preserve"> of the </w:t>
      </w:r>
      <w:r w:rsidRPr="00630E54">
        <w:rPr>
          <w:rFonts w:ascii="Times" w:eastAsia="Times New Roman" w:hAnsi="Times"/>
          <w:color w:val="000000" w:themeColor="text1"/>
          <w:shd w:val="clear" w:color="auto" w:fill="FFFFFF"/>
        </w:rPr>
        <w:t xml:space="preserve">Arbeitsruhegesetz (Law on Rest Periods and Public Holidays, BGBl. 144/1983) (the ‘ARG’) </w:t>
      </w:r>
      <w:r w:rsidR="00F42F30" w:rsidRPr="00630E54">
        <w:rPr>
          <w:rFonts w:ascii="Times" w:eastAsia="Times New Roman" w:hAnsi="Times"/>
          <w:color w:val="000000" w:themeColor="text1"/>
          <w:shd w:val="clear" w:color="auto" w:fill="FFFFFF"/>
        </w:rPr>
        <w:t>gave</w:t>
      </w:r>
      <w:r w:rsidRPr="00630E54">
        <w:rPr>
          <w:rFonts w:ascii="Times" w:eastAsia="Times New Roman" w:hAnsi="Times"/>
          <w:color w:val="000000" w:themeColor="text1"/>
          <w:shd w:val="clear" w:color="auto" w:fill="FFFFFF"/>
        </w:rPr>
        <w:t xml:space="preserve"> employees</w:t>
      </w:r>
      <w:r w:rsidR="00920A7B" w:rsidRPr="00630E54">
        <w:rPr>
          <w:rFonts w:ascii="Times" w:eastAsia="Times New Roman" w:hAnsi="Times"/>
          <w:color w:val="000000" w:themeColor="text1"/>
          <w:shd w:val="clear" w:color="auto" w:fill="FFFFFF"/>
        </w:rPr>
        <w:t xml:space="preserve"> the right to</w:t>
      </w:r>
      <w:r w:rsidRPr="00630E54">
        <w:rPr>
          <w:rFonts w:ascii="Times" w:eastAsia="Times New Roman" w:hAnsi="Times"/>
          <w:color w:val="000000" w:themeColor="text1"/>
          <w:shd w:val="clear" w:color="auto" w:fill="FFFFFF"/>
        </w:rPr>
        <w:t xml:space="preserve"> a 24</w:t>
      </w:r>
      <w:r w:rsidR="00A24766" w:rsidRPr="00630E54">
        <w:rPr>
          <w:rFonts w:ascii="Times" w:eastAsia="Times New Roman" w:hAnsi="Times"/>
          <w:color w:val="000000" w:themeColor="text1"/>
          <w:shd w:val="clear" w:color="auto" w:fill="FFFFFF"/>
        </w:rPr>
        <w:t xml:space="preserve"> hour</w:t>
      </w:r>
      <w:r w:rsidRPr="00630E54">
        <w:rPr>
          <w:rFonts w:ascii="Times" w:eastAsia="Times New Roman" w:hAnsi="Times"/>
          <w:color w:val="000000" w:themeColor="text1"/>
          <w:shd w:val="clear" w:color="auto" w:fill="FFFFFF"/>
        </w:rPr>
        <w:t xml:space="preserve"> rest period on 13 public holidays</w:t>
      </w:r>
      <w:r w:rsidR="00A24766" w:rsidRPr="00630E54">
        <w:rPr>
          <w:rFonts w:ascii="Times" w:eastAsia="Times New Roman" w:hAnsi="Times"/>
          <w:color w:val="000000" w:themeColor="text1"/>
          <w:shd w:val="clear" w:color="auto" w:fill="FFFFFF"/>
        </w:rPr>
        <w:t>. In addition, m</w:t>
      </w:r>
      <w:r w:rsidRPr="00630E54">
        <w:rPr>
          <w:rFonts w:ascii="Times" w:eastAsia="Times New Roman" w:hAnsi="Times"/>
          <w:color w:val="000000" w:themeColor="text1"/>
          <w:shd w:val="clear" w:color="auto" w:fill="FFFFFF"/>
        </w:rPr>
        <w:t>embers of the Evangelical Churches of the Augsburg and Helvetic Confessions, the Old Catholic Church and the United Methodist Church</w:t>
      </w:r>
      <w:r w:rsidR="00A24766" w:rsidRPr="00630E54">
        <w:rPr>
          <w:rFonts w:ascii="Times" w:eastAsia="Times New Roman" w:hAnsi="Times"/>
          <w:color w:val="000000" w:themeColor="text1"/>
          <w:shd w:val="clear" w:color="auto" w:fill="FFFFFF"/>
        </w:rPr>
        <w:t xml:space="preserve"> also receive</w:t>
      </w:r>
      <w:r w:rsidR="00F42F30" w:rsidRPr="00630E54">
        <w:rPr>
          <w:rFonts w:ascii="Times" w:eastAsia="Times New Roman" w:hAnsi="Times"/>
          <w:color w:val="000000" w:themeColor="text1"/>
          <w:shd w:val="clear" w:color="auto" w:fill="FFFFFF"/>
        </w:rPr>
        <w:t>d</w:t>
      </w:r>
      <w:r w:rsidR="00A24766" w:rsidRPr="00630E54">
        <w:rPr>
          <w:rFonts w:ascii="Times" w:eastAsia="Times New Roman" w:hAnsi="Times"/>
          <w:color w:val="000000" w:themeColor="text1"/>
          <w:shd w:val="clear" w:color="auto" w:fill="FFFFFF"/>
        </w:rPr>
        <w:t xml:space="preserve"> an extra </w:t>
      </w:r>
      <w:r w:rsidR="00F00B1B" w:rsidRPr="00630E54">
        <w:rPr>
          <w:rFonts w:ascii="Times" w:eastAsia="Times New Roman" w:hAnsi="Times"/>
          <w:color w:val="000000" w:themeColor="text1"/>
          <w:shd w:val="clear" w:color="auto" w:fill="FFFFFF"/>
        </w:rPr>
        <w:t xml:space="preserve">day </w:t>
      </w:r>
      <w:r w:rsidR="00A24766" w:rsidRPr="00630E54">
        <w:rPr>
          <w:rFonts w:ascii="Times" w:eastAsia="Times New Roman" w:hAnsi="Times"/>
          <w:color w:val="000000" w:themeColor="text1"/>
          <w:shd w:val="clear" w:color="auto" w:fill="FFFFFF"/>
        </w:rPr>
        <w:t>on Good Friday</w:t>
      </w:r>
      <w:r w:rsidRPr="00630E54">
        <w:rPr>
          <w:rFonts w:ascii="Times" w:eastAsia="Times New Roman" w:hAnsi="Times"/>
          <w:color w:val="000000" w:themeColor="text1"/>
          <w:shd w:val="clear" w:color="auto" w:fill="FFFFFF"/>
        </w:rPr>
        <w:t>. If a member of one of those churches d</w:t>
      </w:r>
      <w:r w:rsidR="00F42F30" w:rsidRPr="00630E54">
        <w:rPr>
          <w:rFonts w:ascii="Times" w:eastAsia="Times New Roman" w:hAnsi="Times"/>
          <w:color w:val="000000" w:themeColor="text1"/>
          <w:shd w:val="clear" w:color="auto" w:fill="FFFFFF"/>
        </w:rPr>
        <w:t>id</w:t>
      </w:r>
      <w:r w:rsidRPr="00630E54">
        <w:rPr>
          <w:rFonts w:ascii="Times" w:eastAsia="Times New Roman" w:hAnsi="Times"/>
          <w:color w:val="000000" w:themeColor="text1"/>
          <w:shd w:val="clear" w:color="auto" w:fill="FFFFFF"/>
        </w:rPr>
        <w:t xml:space="preserve"> work on that day </w:t>
      </w:r>
      <w:r w:rsidR="00A4165A" w:rsidRPr="00630E54">
        <w:rPr>
          <w:rFonts w:ascii="Times" w:eastAsia="Times New Roman" w:hAnsi="Times"/>
          <w:color w:val="000000" w:themeColor="text1"/>
          <w:shd w:val="clear" w:color="auto" w:fill="FFFFFF"/>
        </w:rPr>
        <w:t>s</w:t>
      </w:r>
      <w:r w:rsidR="00F42F30" w:rsidRPr="00630E54">
        <w:rPr>
          <w:rFonts w:ascii="Times" w:eastAsia="Times New Roman" w:hAnsi="Times"/>
          <w:color w:val="000000" w:themeColor="text1"/>
          <w:shd w:val="clear" w:color="auto" w:fill="FFFFFF"/>
        </w:rPr>
        <w:t>he wa</w:t>
      </w:r>
      <w:r w:rsidRPr="00630E54">
        <w:rPr>
          <w:rFonts w:ascii="Times" w:eastAsia="Times New Roman" w:hAnsi="Times"/>
          <w:color w:val="000000" w:themeColor="text1"/>
          <w:shd w:val="clear" w:color="auto" w:fill="FFFFFF"/>
        </w:rPr>
        <w:t xml:space="preserve">s entitled to </w:t>
      </w:r>
      <w:r w:rsidR="00F00B1B" w:rsidRPr="00630E54">
        <w:rPr>
          <w:rFonts w:ascii="Times" w:eastAsia="Times New Roman" w:hAnsi="Times"/>
          <w:color w:val="000000" w:themeColor="text1"/>
          <w:shd w:val="clear" w:color="auto" w:fill="FFFFFF"/>
        </w:rPr>
        <w:t>double</w:t>
      </w:r>
      <w:r w:rsidRPr="00630E54">
        <w:rPr>
          <w:rFonts w:ascii="Times" w:eastAsia="Times New Roman" w:hAnsi="Times"/>
          <w:color w:val="000000" w:themeColor="text1"/>
          <w:shd w:val="clear" w:color="auto" w:fill="FFFFFF"/>
        </w:rPr>
        <w:t xml:space="preserve"> pay (public holiday pay). Mr Achatzi was not a member of one of these churches</w:t>
      </w:r>
      <w:r w:rsidR="00A4165A" w:rsidRPr="00630E54">
        <w:rPr>
          <w:rFonts w:ascii="Times" w:eastAsia="Times New Roman" w:hAnsi="Times"/>
          <w:color w:val="000000" w:themeColor="text1"/>
          <w:shd w:val="clear" w:color="auto" w:fill="FFFFFF"/>
        </w:rPr>
        <w:t>,</w:t>
      </w:r>
      <w:r w:rsidR="00F00B1B" w:rsidRPr="00630E54">
        <w:rPr>
          <w:rFonts w:ascii="Times" w:eastAsia="Times New Roman" w:hAnsi="Times"/>
          <w:color w:val="000000" w:themeColor="text1"/>
          <w:shd w:val="clear" w:color="auto" w:fill="FFFFFF"/>
        </w:rPr>
        <w:t xml:space="preserve"> worked on Good Friday and </w:t>
      </w:r>
      <w:r w:rsidRPr="00630E54">
        <w:rPr>
          <w:rFonts w:ascii="Times" w:eastAsia="Times New Roman" w:hAnsi="Times"/>
          <w:color w:val="000000" w:themeColor="text1"/>
          <w:shd w:val="clear" w:color="auto" w:fill="FFFFFF"/>
        </w:rPr>
        <w:t xml:space="preserve">claimed that he had been discriminated against because he did not receive public holiday pay, amounting to EUR 109.09. </w:t>
      </w:r>
    </w:p>
    <w:p w14:paraId="241B7818" w14:textId="77777777" w:rsidR="00B70477" w:rsidRPr="00630E54" w:rsidRDefault="00B70477" w:rsidP="00B46D6A">
      <w:pPr>
        <w:spacing w:line="360" w:lineRule="auto"/>
        <w:jc w:val="both"/>
        <w:rPr>
          <w:rFonts w:ascii="Times" w:eastAsia="Times New Roman" w:hAnsi="Times"/>
          <w:color w:val="000000" w:themeColor="text1"/>
          <w:shd w:val="clear" w:color="auto" w:fill="FFFFFF"/>
        </w:rPr>
      </w:pPr>
    </w:p>
    <w:p w14:paraId="4CDAFBA6" w14:textId="77777777" w:rsidR="000640EC" w:rsidRPr="00630E54" w:rsidRDefault="0019108B" w:rsidP="00B46D6A">
      <w:pPr>
        <w:spacing w:line="360" w:lineRule="auto"/>
        <w:jc w:val="both"/>
        <w:rPr>
          <w:rFonts w:ascii="Times" w:eastAsia="Times New Roman" w:hAnsi="Times"/>
          <w:color w:val="000000" w:themeColor="text1"/>
        </w:rPr>
      </w:pPr>
      <w:r w:rsidRPr="00630E54">
        <w:rPr>
          <w:rFonts w:ascii="Times" w:hAnsi="Times"/>
          <w:color w:val="000000" w:themeColor="text1"/>
          <w:lang w:val="en-US"/>
        </w:rPr>
        <w:lastRenderedPageBreak/>
        <w:t>Ach</w:t>
      </w:r>
      <w:r w:rsidR="00B70477" w:rsidRPr="00630E54">
        <w:rPr>
          <w:rFonts w:ascii="Times" w:hAnsi="Times"/>
          <w:color w:val="000000" w:themeColor="text1"/>
          <w:lang w:val="en-US"/>
        </w:rPr>
        <w:t>a</w:t>
      </w:r>
      <w:r w:rsidRPr="00630E54">
        <w:rPr>
          <w:rFonts w:ascii="Times" w:hAnsi="Times"/>
          <w:color w:val="000000" w:themeColor="text1"/>
          <w:lang w:val="en-US"/>
        </w:rPr>
        <w:t>t</w:t>
      </w:r>
      <w:r w:rsidR="00B70477" w:rsidRPr="00630E54">
        <w:rPr>
          <w:rFonts w:ascii="Times" w:hAnsi="Times"/>
          <w:color w:val="000000" w:themeColor="text1"/>
          <w:lang w:val="en-US"/>
        </w:rPr>
        <w:t>zi c</w:t>
      </w:r>
      <w:r w:rsidR="00FF3814" w:rsidRPr="00630E54">
        <w:rPr>
          <w:rFonts w:ascii="Times" w:hAnsi="Times"/>
          <w:color w:val="000000" w:themeColor="text1"/>
          <w:lang w:val="en-US"/>
        </w:rPr>
        <w:t xml:space="preserve">laimed </w:t>
      </w:r>
      <w:r w:rsidR="00F00B1B" w:rsidRPr="00630E54">
        <w:rPr>
          <w:rFonts w:ascii="Times" w:hAnsi="Times"/>
          <w:color w:val="000000" w:themeColor="text1"/>
          <w:lang w:val="en-US"/>
        </w:rPr>
        <w:t xml:space="preserve">this situation gave rise to a </w:t>
      </w:r>
      <w:r w:rsidR="00FF3814" w:rsidRPr="00630E54">
        <w:rPr>
          <w:rFonts w:ascii="Times" w:hAnsi="Times"/>
          <w:color w:val="000000" w:themeColor="text1"/>
          <w:lang w:val="en-US"/>
        </w:rPr>
        <w:t xml:space="preserve">breach of Council Directive 2000/78/EC of 27 November 2000 </w:t>
      </w:r>
      <w:r w:rsidR="008A2312" w:rsidRPr="00630E54">
        <w:rPr>
          <w:rFonts w:ascii="Times" w:hAnsi="Times"/>
          <w:color w:val="000000" w:themeColor="text1"/>
          <w:lang w:val="en-US"/>
        </w:rPr>
        <w:t>establishing</w:t>
      </w:r>
      <w:r w:rsidR="00FF3814" w:rsidRPr="00630E54">
        <w:rPr>
          <w:rFonts w:ascii="Times" w:hAnsi="Times"/>
          <w:color w:val="000000" w:themeColor="text1"/>
          <w:lang w:val="en-US"/>
        </w:rPr>
        <w:t xml:space="preserve"> a general framework for equal treatment in employment and occupation</w:t>
      </w:r>
      <w:r w:rsidR="008A2312" w:rsidRPr="00630E54">
        <w:rPr>
          <w:rFonts w:ascii="Times" w:hAnsi="Times"/>
          <w:color w:val="000000" w:themeColor="text1"/>
          <w:lang w:val="en-US"/>
        </w:rPr>
        <w:t xml:space="preserve"> (‘</w:t>
      </w:r>
      <w:r w:rsidR="00F00B1B" w:rsidRPr="00630E54">
        <w:rPr>
          <w:rFonts w:ascii="Times" w:hAnsi="Times"/>
          <w:color w:val="000000" w:themeColor="text1"/>
          <w:lang w:val="en-US"/>
        </w:rPr>
        <w:t>the F</w:t>
      </w:r>
      <w:r w:rsidR="008A2312" w:rsidRPr="00630E54">
        <w:rPr>
          <w:rFonts w:ascii="Times" w:hAnsi="Times"/>
          <w:color w:val="000000" w:themeColor="text1"/>
          <w:lang w:val="en-US"/>
        </w:rPr>
        <w:t>ramework Directive’). Art 2 of the Directive prohibits direct and indirect discrimination, inter alia,</w:t>
      </w:r>
      <w:r w:rsidR="00FF3814" w:rsidRPr="00630E54">
        <w:rPr>
          <w:rFonts w:ascii="Times" w:hAnsi="Times"/>
          <w:color w:val="000000" w:themeColor="text1"/>
          <w:lang w:val="en-US"/>
        </w:rPr>
        <w:t xml:space="preserve"> </w:t>
      </w:r>
      <w:r w:rsidR="008A2312" w:rsidRPr="00630E54">
        <w:rPr>
          <w:rFonts w:ascii="Times" w:hAnsi="Times"/>
          <w:color w:val="000000" w:themeColor="text1"/>
          <w:lang w:val="en-US"/>
        </w:rPr>
        <w:t>on the ground of religion or belief. Direct discrimination is defined as where ‘one person is treated less favourably than another is, has been or would be treated in a comparable situation</w:t>
      </w:r>
      <w:r w:rsidR="00F00B1B" w:rsidRPr="00630E54">
        <w:rPr>
          <w:rFonts w:ascii="Times" w:hAnsi="Times"/>
          <w:color w:val="000000" w:themeColor="text1"/>
          <w:lang w:val="en-US"/>
        </w:rPr>
        <w:t>’.</w:t>
      </w:r>
      <w:r w:rsidR="00D26625" w:rsidRPr="00630E54">
        <w:rPr>
          <w:rStyle w:val="FootnoteReference"/>
          <w:rFonts w:ascii="Times" w:hAnsi="Times"/>
          <w:color w:val="000000" w:themeColor="text1"/>
          <w:lang w:val="en-US"/>
        </w:rPr>
        <w:footnoteReference w:id="3"/>
      </w:r>
      <w:r w:rsidR="00F00B1B" w:rsidRPr="00630E54">
        <w:rPr>
          <w:rFonts w:ascii="Times" w:hAnsi="Times"/>
          <w:color w:val="000000" w:themeColor="text1"/>
          <w:lang w:val="en-US"/>
        </w:rPr>
        <w:t xml:space="preserve"> However, the Directive</w:t>
      </w:r>
      <w:r w:rsidR="00040FB1">
        <w:rPr>
          <w:rFonts w:ascii="Times" w:hAnsi="Times"/>
          <w:color w:val="000000" w:themeColor="text1"/>
          <w:lang w:val="en-US"/>
        </w:rPr>
        <w:t xml:space="preserve"> permits</w:t>
      </w:r>
      <w:r w:rsidR="008A2312" w:rsidRPr="00630E54">
        <w:rPr>
          <w:rFonts w:ascii="Times" w:hAnsi="Times"/>
          <w:color w:val="000000" w:themeColor="text1"/>
          <w:lang w:val="en-US"/>
        </w:rPr>
        <w:t xml:space="preserve"> measures laid down by national law which are necessary for </w:t>
      </w:r>
      <w:r w:rsidR="00F00B1B" w:rsidRPr="00630E54">
        <w:rPr>
          <w:rFonts w:ascii="Times" w:hAnsi="Times"/>
          <w:color w:val="000000" w:themeColor="text1"/>
          <w:lang w:val="en-US"/>
        </w:rPr>
        <w:t>‘</w:t>
      </w:r>
      <w:r w:rsidR="000640EC" w:rsidRPr="00630E54">
        <w:rPr>
          <w:rFonts w:ascii="Times" w:eastAsia="Times New Roman" w:hAnsi="Times"/>
          <w:color w:val="000000" w:themeColor="text1"/>
          <w:shd w:val="clear" w:color="auto" w:fill="FFFFFF"/>
        </w:rPr>
        <w:t>public security, for the maintenance of public order and the prevention of criminal offences, for the protection of health and for the protection of the rights and freedoms of others</w:t>
      </w:r>
      <w:r w:rsidR="00F00B1B" w:rsidRPr="00630E54">
        <w:rPr>
          <w:rFonts w:ascii="Times" w:eastAsia="Times New Roman" w:hAnsi="Times"/>
          <w:color w:val="000000" w:themeColor="text1"/>
          <w:shd w:val="clear" w:color="auto" w:fill="FFFFFF"/>
        </w:rPr>
        <w:t>’</w:t>
      </w:r>
      <w:r w:rsidR="00A4165A" w:rsidRPr="00630E54">
        <w:rPr>
          <w:rFonts w:ascii="Times" w:eastAsia="Times New Roman" w:hAnsi="Times"/>
          <w:color w:val="000000" w:themeColor="text1"/>
          <w:shd w:val="clear" w:color="auto" w:fill="FFFFFF"/>
        </w:rPr>
        <w:t xml:space="preserve"> and also allows states to take ‘positive action’</w:t>
      </w:r>
      <w:r w:rsidR="00AF717D" w:rsidRPr="00630E54">
        <w:rPr>
          <w:rFonts w:ascii="Times" w:eastAsia="Times New Roman" w:hAnsi="Times"/>
          <w:color w:val="000000" w:themeColor="text1"/>
          <w:shd w:val="clear" w:color="auto" w:fill="FFFFFF"/>
        </w:rPr>
        <w:t xml:space="preserve"> </w:t>
      </w:r>
      <w:r w:rsidR="00255891" w:rsidRPr="00630E54">
        <w:rPr>
          <w:rFonts w:ascii="Times" w:eastAsia="Times New Roman" w:hAnsi="Times"/>
          <w:color w:val="000000" w:themeColor="text1"/>
          <w:shd w:val="clear" w:color="auto" w:fill="FFFFFF"/>
        </w:rPr>
        <w:t xml:space="preserve">by </w:t>
      </w:r>
      <w:r w:rsidR="00255891" w:rsidRPr="00630E54">
        <w:rPr>
          <w:rFonts w:ascii="Times" w:eastAsia="Times New Roman" w:hAnsi="Times"/>
          <w:color w:val="000000" w:themeColor="text1"/>
        </w:rPr>
        <w:t>maintaining or adopting specific measures to prevent or compensate for disadvantages</w:t>
      </w:r>
      <w:r w:rsidR="00255891" w:rsidRPr="00630E54">
        <w:rPr>
          <w:rStyle w:val="apple-converted-space"/>
          <w:rFonts w:ascii="Times" w:eastAsia="Times New Roman" w:hAnsi="Times"/>
          <w:color w:val="000000" w:themeColor="text1"/>
        </w:rPr>
        <w:t> on all the grounds of discrimination covered by the Directive.</w:t>
      </w:r>
      <w:r w:rsidR="000B27F5" w:rsidRPr="00630E54">
        <w:rPr>
          <w:rStyle w:val="FootnoteReference"/>
          <w:rFonts w:ascii="Times" w:eastAsia="Times New Roman" w:hAnsi="Times"/>
          <w:color w:val="000000" w:themeColor="text1"/>
        </w:rPr>
        <w:footnoteReference w:id="4"/>
      </w:r>
      <w:r w:rsidR="00255891" w:rsidRPr="00630E54">
        <w:rPr>
          <w:rStyle w:val="apple-converted-space"/>
          <w:rFonts w:ascii="Times" w:eastAsia="Times New Roman" w:hAnsi="Times"/>
          <w:color w:val="000000" w:themeColor="text1"/>
        </w:rPr>
        <w:t xml:space="preserve"> </w:t>
      </w:r>
      <w:r w:rsidR="00255891" w:rsidRPr="00630E54">
        <w:rPr>
          <w:rFonts w:ascii="Times" w:eastAsia="Times New Roman" w:hAnsi="Times"/>
          <w:color w:val="000000" w:themeColor="text1"/>
        </w:rPr>
        <w:t>Finally, the Directive</w:t>
      </w:r>
      <w:r w:rsidR="00255891" w:rsidRPr="00630E54">
        <w:rPr>
          <w:rFonts w:ascii="Times" w:eastAsia="Times New Roman" w:hAnsi="Times"/>
          <w:color w:val="000000" w:themeColor="text1"/>
          <w:shd w:val="clear" w:color="auto" w:fill="FFFFFF"/>
        </w:rPr>
        <w:t xml:space="preserve"> does</w:t>
      </w:r>
      <w:r w:rsidR="00CB2C35" w:rsidRPr="00630E54">
        <w:rPr>
          <w:rFonts w:ascii="Times" w:eastAsia="Times New Roman" w:hAnsi="Times"/>
          <w:color w:val="000000" w:themeColor="text1"/>
          <w:shd w:val="clear" w:color="auto" w:fill="FFFFFF"/>
        </w:rPr>
        <w:t xml:space="preserve"> not apply to</w:t>
      </w:r>
      <w:r w:rsidR="00F00B1B" w:rsidRPr="00630E54">
        <w:rPr>
          <w:rFonts w:ascii="Times" w:eastAsia="Times New Roman" w:hAnsi="Times"/>
          <w:color w:val="000000" w:themeColor="text1"/>
          <w:shd w:val="clear" w:color="auto" w:fill="FFFFFF"/>
        </w:rPr>
        <w:t xml:space="preserve"> ‘the status under national law of churches and religious associations or communities’ </w:t>
      </w:r>
      <w:r w:rsidR="00CB2C35" w:rsidRPr="00630E54">
        <w:rPr>
          <w:rFonts w:ascii="Times" w:eastAsia="Times New Roman" w:hAnsi="Times"/>
          <w:color w:val="000000" w:themeColor="text1"/>
          <w:shd w:val="clear" w:color="auto" w:fill="FFFFFF"/>
        </w:rPr>
        <w:t xml:space="preserve">as </w:t>
      </w:r>
      <w:r w:rsidR="00F00B1B" w:rsidRPr="00630E54">
        <w:rPr>
          <w:rFonts w:ascii="Times" w:eastAsia="Times New Roman" w:hAnsi="Times"/>
          <w:color w:val="000000" w:themeColor="text1"/>
          <w:shd w:val="clear" w:color="auto" w:fill="FFFFFF"/>
        </w:rPr>
        <w:t>referred to in Article 17(1) TFEU</w:t>
      </w:r>
      <w:r w:rsidR="00CB2C35" w:rsidRPr="00630E54">
        <w:rPr>
          <w:rFonts w:ascii="Times" w:eastAsia="Times New Roman" w:hAnsi="Times"/>
          <w:color w:val="000000" w:themeColor="text1"/>
          <w:shd w:val="clear" w:color="auto" w:fill="FFFFFF"/>
        </w:rPr>
        <w:t>.</w:t>
      </w:r>
    </w:p>
    <w:p w14:paraId="07F4DB5C" w14:textId="77777777" w:rsidR="00FF3814" w:rsidRPr="00630E54" w:rsidRDefault="00FF3814" w:rsidP="00B46D6A">
      <w:pPr>
        <w:spacing w:line="360" w:lineRule="auto"/>
        <w:jc w:val="both"/>
        <w:rPr>
          <w:rFonts w:ascii="Times" w:hAnsi="Times"/>
          <w:color w:val="000000" w:themeColor="text1"/>
          <w:lang w:val="en-US"/>
        </w:rPr>
      </w:pPr>
    </w:p>
    <w:p w14:paraId="579019E8" w14:textId="77777777" w:rsidR="000640EC" w:rsidRPr="00630E54" w:rsidRDefault="00CB2C35" w:rsidP="00B46D6A">
      <w:pPr>
        <w:spacing w:line="360" w:lineRule="auto"/>
        <w:jc w:val="both"/>
        <w:rPr>
          <w:rFonts w:ascii="Times" w:eastAsia="Times New Roman" w:hAnsi="Times"/>
          <w:color w:val="000000" w:themeColor="text1"/>
          <w:shd w:val="clear" w:color="auto" w:fill="FFFFFF"/>
        </w:rPr>
      </w:pPr>
      <w:r w:rsidRPr="00630E54">
        <w:rPr>
          <w:rFonts w:ascii="Times" w:eastAsia="Times New Roman" w:hAnsi="Times"/>
          <w:color w:val="000000" w:themeColor="text1"/>
          <w:shd w:val="clear" w:color="auto" w:fill="FFFFFF"/>
        </w:rPr>
        <w:t>Achatzi</w:t>
      </w:r>
      <w:r w:rsidR="00374F5B" w:rsidRPr="00630E54">
        <w:rPr>
          <w:rFonts w:ascii="Times" w:eastAsia="Times New Roman" w:hAnsi="Times"/>
          <w:color w:val="000000" w:themeColor="text1"/>
          <w:shd w:val="clear" w:color="auto" w:fill="FFFFFF"/>
        </w:rPr>
        <w:t>’s claim</w:t>
      </w:r>
      <w:r w:rsidR="00A8771B" w:rsidRPr="00630E54">
        <w:rPr>
          <w:rFonts w:ascii="Times" w:eastAsia="Times New Roman" w:hAnsi="Times"/>
          <w:color w:val="000000" w:themeColor="text1"/>
          <w:shd w:val="clear" w:color="auto" w:fill="FFFFFF"/>
        </w:rPr>
        <w:t xml:space="preserve"> was refused by the first instance </w:t>
      </w:r>
      <w:r w:rsidR="00374F5B" w:rsidRPr="00630E54">
        <w:rPr>
          <w:rFonts w:ascii="Times" w:eastAsia="Times New Roman" w:hAnsi="Times"/>
          <w:color w:val="000000" w:themeColor="text1"/>
          <w:shd w:val="clear" w:color="auto" w:fill="FFFFFF"/>
        </w:rPr>
        <w:t xml:space="preserve">domestic </w:t>
      </w:r>
      <w:r w:rsidR="00A8771B" w:rsidRPr="00630E54">
        <w:rPr>
          <w:rFonts w:ascii="Times" w:eastAsia="Times New Roman" w:hAnsi="Times"/>
          <w:color w:val="000000" w:themeColor="text1"/>
          <w:shd w:val="clear" w:color="auto" w:fill="FFFFFF"/>
        </w:rPr>
        <w:t xml:space="preserve">court but the Austrian Supreme Court referred to the CJEU for a preliminary ruling. </w:t>
      </w:r>
      <w:r w:rsidR="00255891" w:rsidRPr="00630E54">
        <w:rPr>
          <w:rFonts w:ascii="Times" w:eastAsia="Times New Roman" w:hAnsi="Times"/>
          <w:color w:val="000000" w:themeColor="text1"/>
          <w:shd w:val="clear" w:color="auto" w:fill="FFFFFF"/>
        </w:rPr>
        <w:t>It formulated the issues</w:t>
      </w:r>
      <w:r w:rsidR="007B2F65" w:rsidRPr="00630E54">
        <w:rPr>
          <w:rFonts w:ascii="Times" w:eastAsia="Times New Roman" w:hAnsi="Times"/>
          <w:color w:val="000000" w:themeColor="text1"/>
          <w:shd w:val="clear" w:color="auto" w:fill="FFFFFF"/>
        </w:rPr>
        <w:t xml:space="preserve"> as follows</w:t>
      </w:r>
      <w:r w:rsidR="00062DDD" w:rsidRPr="00630E54">
        <w:rPr>
          <w:rFonts w:ascii="Times" w:eastAsia="Times New Roman" w:hAnsi="Times"/>
          <w:color w:val="000000" w:themeColor="text1"/>
          <w:shd w:val="clear" w:color="auto" w:fill="FFFFFF"/>
        </w:rPr>
        <w:t>:</w:t>
      </w:r>
      <w:r w:rsidR="00255891" w:rsidRPr="00630E54">
        <w:rPr>
          <w:rStyle w:val="FootnoteReference"/>
          <w:rFonts w:ascii="Times" w:eastAsia="Times New Roman" w:hAnsi="Times"/>
          <w:color w:val="000000" w:themeColor="text1"/>
          <w:shd w:val="clear" w:color="auto" w:fill="FFFFFF"/>
        </w:rPr>
        <w:footnoteReference w:id="5"/>
      </w:r>
    </w:p>
    <w:p w14:paraId="4E3ED00B" w14:textId="77777777" w:rsidR="007B2F65" w:rsidRPr="00630E54" w:rsidRDefault="007B2F65" w:rsidP="00B46D6A">
      <w:pPr>
        <w:spacing w:line="360" w:lineRule="auto"/>
        <w:jc w:val="both"/>
        <w:rPr>
          <w:rFonts w:ascii="Times" w:eastAsia="Times New Roman" w:hAnsi="Times"/>
          <w:color w:val="000000" w:themeColor="text1"/>
          <w:shd w:val="clear" w:color="auto" w:fill="FFFFFF"/>
        </w:rPr>
      </w:pPr>
    </w:p>
    <w:p w14:paraId="5AC00C03" w14:textId="77777777" w:rsidR="007B2F65" w:rsidRPr="00630E54" w:rsidRDefault="000803E0" w:rsidP="00B46D6A">
      <w:pPr>
        <w:pStyle w:val="ListParagraph"/>
        <w:numPr>
          <w:ilvl w:val="0"/>
          <w:numId w:val="2"/>
        </w:numPr>
        <w:spacing w:line="360" w:lineRule="auto"/>
        <w:jc w:val="both"/>
        <w:rPr>
          <w:rFonts w:ascii="Times" w:eastAsia="Times New Roman" w:hAnsi="Times" w:cs="Times New Roman"/>
          <w:color w:val="000000" w:themeColor="text1"/>
          <w:lang w:eastAsia="en-GB"/>
        </w:rPr>
      </w:pPr>
      <w:r w:rsidRPr="00630E54">
        <w:rPr>
          <w:rFonts w:ascii="Times" w:eastAsia="Times New Roman" w:hAnsi="Times" w:cs="Times New Roman"/>
          <w:color w:val="000000" w:themeColor="text1"/>
          <w:lang w:eastAsia="en-GB"/>
        </w:rPr>
        <w:t>Whether there had been discrimination in a situation where a measure allowed the protection of the rights of a religious minority to freely practice their religion in a situation where the rest of the public holidays allowed the majority religion holders (Roman Catholic) to have time off for their mos</w:t>
      </w:r>
      <w:r w:rsidR="00255891" w:rsidRPr="00630E54">
        <w:rPr>
          <w:rFonts w:ascii="Times" w:eastAsia="Times New Roman" w:hAnsi="Times" w:cs="Times New Roman"/>
          <w:color w:val="000000" w:themeColor="text1"/>
          <w:lang w:eastAsia="en-GB"/>
        </w:rPr>
        <w:t>t important religious holidays.</w:t>
      </w:r>
    </w:p>
    <w:p w14:paraId="1499BD03" w14:textId="77777777" w:rsidR="00255891" w:rsidRPr="00630E54" w:rsidRDefault="00255891" w:rsidP="00B46D6A">
      <w:pPr>
        <w:pStyle w:val="ListParagraph"/>
        <w:spacing w:line="360" w:lineRule="auto"/>
        <w:jc w:val="both"/>
        <w:rPr>
          <w:rFonts w:ascii="Times" w:eastAsia="Times New Roman" w:hAnsi="Times" w:cs="Times New Roman"/>
          <w:color w:val="000000" w:themeColor="text1"/>
          <w:lang w:eastAsia="en-GB"/>
        </w:rPr>
      </w:pPr>
    </w:p>
    <w:p w14:paraId="68F4E179" w14:textId="77777777" w:rsidR="00145C5A" w:rsidRPr="00630E54" w:rsidRDefault="00145C5A" w:rsidP="00B46D6A">
      <w:pPr>
        <w:pStyle w:val="ListParagraph"/>
        <w:numPr>
          <w:ilvl w:val="0"/>
          <w:numId w:val="2"/>
        </w:numPr>
        <w:spacing w:line="360" w:lineRule="auto"/>
        <w:jc w:val="both"/>
        <w:rPr>
          <w:rFonts w:ascii="Times" w:eastAsia="Times New Roman" w:hAnsi="Times" w:cs="Times New Roman"/>
          <w:color w:val="000000" w:themeColor="text1"/>
          <w:lang w:eastAsia="en-GB"/>
        </w:rPr>
      </w:pPr>
      <w:r w:rsidRPr="00630E54">
        <w:rPr>
          <w:rFonts w:ascii="Times" w:eastAsia="Times New Roman" w:hAnsi="Times" w:cs="Times New Roman"/>
          <w:color w:val="000000" w:themeColor="text1"/>
          <w:lang w:eastAsia="en-GB"/>
        </w:rPr>
        <w:t>Did the legislation constitute positive action for the member</w:t>
      </w:r>
      <w:r w:rsidR="005B143D" w:rsidRPr="00630E54">
        <w:rPr>
          <w:rFonts w:ascii="Times" w:eastAsia="Times New Roman" w:hAnsi="Times" w:cs="Times New Roman"/>
          <w:color w:val="000000" w:themeColor="text1"/>
          <w:lang w:eastAsia="en-GB"/>
        </w:rPr>
        <w:t>s</w:t>
      </w:r>
      <w:r w:rsidRPr="00630E54">
        <w:rPr>
          <w:rFonts w:ascii="Times" w:eastAsia="Times New Roman" w:hAnsi="Times" w:cs="Times New Roman"/>
          <w:color w:val="000000" w:themeColor="text1"/>
          <w:lang w:eastAsia="en-GB"/>
        </w:rPr>
        <w:t xml:space="preserve"> of those churches, designed to guarantee </w:t>
      </w:r>
      <w:r w:rsidRPr="00630E54">
        <w:rPr>
          <w:rFonts w:ascii="Times" w:eastAsia="Times New Roman" w:hAnsi="Times" w:cs="Times New Roman"/>
          <w:color w:val="000000" w:themeColor="text1"/>
          <w:shd w:val="clear" w:color="auto" w:fill="FFFFFF"/>
          <w:lang w:eastAsia="en-GB"/>
        </w:rPr>
        <w:t>their full equality in working life and to prevent or offset disadvantages to those members due to religion, because generally employees are not required to work on the holidays for the religion that is observed by the majority of employee</w:t>
      </w:r>
      <w:r w:rsidR="00446E0D" w:rsidRPr="00630E54">
        <w:rPr>
          <w:rFonts w:ascii="Times" w:eastAsia="Times New Roman" w:hAnsi="Times" w:cs="Times New Roman"/>
          <w:color w:val="000000" w:themeColor="text1"/>
          <w:shd w:val="clear" w:color="auto" w:fill="FFFFFF"/>
          <w:lang w:eastAsia="en-GB"/>
        </w:rPr>
        <w:t>s</w:t>
      </w:r>
      <w:r w:rsidRPr="00630E54">
        <w:rPr>
          <w:rFonts w:ascii="Times" w:eastAsia="Times New Roman" w:hAnsi="Times" w:cs="Times New Roman"/>
          <w:color w:val="000000" w:themeColor="text1"/>
          <w:shd w:val="clear" w:color="auto" w:fill="FFFFFF"/>
          <w:lang w:eastAsia="en-GB"/>
        </w:rPr>
        <w:t>?</w:t>
      </w:r>
    </w:p>
    <w:p w14:paraId="157AC071" w14:textId="77777777" w:rsidR="00255891" w:rsidRPr="00630E54" w:rsidRDefault="00255891" w:rsidP="00B46D6A">
      <w:pPr>
        <w:spacing w:line="360" w:lineRule="auto"/>
        <w:jc w:val="both"/>
        <w:rPr>
          <w:rFonts w:ascii="Times" w:eastAsia="Times New Roman" w:hAnsi="Times"/>
          <w:color w:val="000000" w:themeColor="text1"/>
        </w:rPr>
      </w:pPr>
    </w:p>
    <w:p w14:paraId="21356E98" w14:textId="77777777" w:rsidR="000640EC" w:rsidRPr="00630E54" w:rsidRDefault="00255891" w:rsidP="00B46D6A">
      <w:pPr>
        <w:pStyle w:val="ListParagraph"/>
        <w:numPr>
          <w:ilvl w:val="0"/>
          <w:numId w:val="2"/>
        </w:numPr>
        <w:spacing w:line="360" w:lineRule="auto"/>
        <w:jc w:val="both"/>
        <w:rPr>
          <w:rFonts w:ascii="Times" w:eastAsia="Times New Roman" w:hAnsi="Times" w:cs="Times New Roman"/>
          <w:color w:val="000000" w:themeColor="text1"/>
          <w:lang w:eastAsia="en-GB"/>
        </w:rPr>
      </w:pPr>
      <w:r w:rsidRPr="00630E54">
        <w:rPr>
          <w:rFonts w:ascii="Times" w:eastAsia="Times New Roman" w:hAnsi="Times" w:cs="Times New Roman"/>
          <w:color w:val="000000" w:themeColor="text1"/>
          <w:lang w:eastAsia="en-GB"/>
        </w:rPr>
        <w:t>If the ARG</w:t>
      </w:r>
      <w:r w:rsidR="00327566" w:rsidRPr="00630E54">
        <w:rPr>
          <w:rFonts w:ascii="Times" w:eastAsia="Times New Roman" w:hAnsi="Times" w:cs="Times New Roman"/>
          <w:color w:val="000000" w:themeColor="text1"/>
          <w:lang w:eastAsia="en-GB"/>
        </w:rPr>
        <w:t xml:space="preserve"> was discriminatory, </w:t>
      </w:r>
      <w:r w:rsidR="00291D85" w:rsidRPr="00630E54">
        <w:rPr>
          <w:rFonts w:ascii="Times" w:eastAsia="Times New Roman" w:hAnsi="Times" w:cs="Times New Roman"/>
          <w:color w:val="000000" w:themeColor="text1"/>
          <w:lang w:eastAsia="en-GB"/>
        </w:rPr>
        <w:t xml:space="preserve">was a private employer required </w:t>
      </w:r>
      <w:r w:rsidR="00A12699" w:rsidRPr="00630E54">
        <w:rPr>
          <w:rFonts w:ascii="Times" w:eastAsia="Times New Roman" w:hAnsi="Times" w:cs="Times New Roman"/>
          <w:color w:val="000000" w:themeColor="text1"/>
          <w:lang w:eastAsia="en-GB"/>
        </w:rPr>
        <w:t xml:space="preserve">to </w:t>
      </w:r>
      <w:r w:rsidR="00DA1BE5" w:rsidRPr="00630E54">
        <w:rPr>
          <w:rFonts w:ascii="Times" w:eastAsia="Times New Roman" w:hAnsi="Times" w:cs="Times New Roman"/>
          <w:color w:val="000000" w:themeColor="text1"/>
          <w:lang w:eastAsia="en-GB"/>
        </w:rPr>
        <w:t>give time off/extra payment to all employees on Good Friday or should the national law be disapplied so no employee received them?</w:t>
      </w:r>
      <w:r w:rsidR="00327566" w:rsidRPr="00630E54">
        <w:rPr>
          <w:rFonts w:ascii="Times" w:eastAsia="Times New Roman" w:hAnsi="Times" w:cs="Times New Roman"/>
          <w:color w:val="000000" w:themeColor="text1"/>
          <w:lang w:eastAsia="en-GB"/>
        </w:rPr>
        <w:t xml:space="preserve"> </w:t>
      </w:r>
    </w:p>
    <w:p w14:paraId="19E071E5" w14:textId="77777777" w:rsidR="00FF3814" w:rsidRPr="00630E54" w:rsidRDefault="00FF3814" w:rsidP="00B46D6A">
      <w:pPr>
        <w:spacing w:line="360" w:lineRule="auto"/>
        <w:jc w:val="both"/>
        <w:rPr>
          <w:rFonts w:ascii="Times" w:hAnsi="Times"/>
          <w:color w:val="000000" w:themeColor="text1"/>
          <w:lang w:val="en-US"/>
        </w:rPr>
      </w:pPr>
    </w:p>
    <w:p w14:paraId="527E2C44" w14:textId="77777777" w:rsidR="00FF3814" w:rsidRPr="00630E54" w:rsidRDefault="00FF3814" w:rsidP="00B46D6A">
      <w:pPr>
        <w:pStyle w:val="ListParagraph"/>
        <w:numPr>
          <w:ilvl w:val="0"/>
          <w:numId w:val="1"/>
        </w:numPr>
        <w:spacing w:line="360" w:lineRule="auto"/>
        <w:jc w:val="both"/>
        <w:rPr>
          <w:rFonts w:ascii="Times" w:hAnsi="Times" w:cs="Times New Roman"/>
          <w:b/>
          <w:color w:val="000000" w:themeColor="text1"/>
          <w:lang w:val="en-US"/>
        </w:rPr>
      </w:pPr>
      <w:r w:rsidRPr="00630E54">
        <w:rPr>
          <w:rFonts w:ascii="Times" w:hAnsi="Times" w:cs="Times New Roman"/>
          <w:b/>
          <w:color w:val="000000" w:themeColor="text1"/>
          <w:lang w:val="en-US"/>
        </w:rPr>
        <w:t>The Judgment of the CJEU</w:t>
      </w:r>
    </w:p>
    <w:p w14:paraId="4D7510E2" w14:textId="77777777" w:rsidR="00FD15F7" w:rsidRPr="00630E54" w:rsidRDefault="00FD15F7" w:rsidP="00B46D6A">
      <w:pPr>
        <w:pStyle w:val="ListParagraph"/>
        <w:spacing w:line="360" w:lineRule="auto"/>
        <w:jc w:val="both"/>
        <w:rPr>
          <w:rFonts w:ascii="Times" w:hAnsi="Times" w:cs="Times New Roman"/>
          <w:b/>
          <w:color w:val="000000" w:themeColor="text1"/>
          <w:lang w:val="en-US"/>
        </w:rPr>
      </w:pPr>
    </w:p>
    <w:p w14:paraId="1F158253" w14:textId="77777777" w:rsidR="00FD15F7" w:rsidRPr="00630E54" w:rsidRDefault="00FD15F7" w:rsidP="00B46D6A">
      <w:pPr>
        <w:pStyle w:val="ListParagraph"/>
        <w:numPr>
          <w:ilvl w:val="0"/>
          <w:numId w:val="4"/>
        </w:numPr>
        <w:spacing w:line="360" w:lineRule="auto"/>
        <w:jc w:val="both"/>
        <w:rPr>
          <w:rFonts w:ascii="Times" w:hAnsi="Times" w:cs="Times New Roman"/>
          <w:i/>
          <w:color w:val="000000" w:themeColor="text1"/>
          <w:lang w:val="en-US"/>
        </w:rPr>
      </w:pPr>
      <w:r w:rsidRPr="00630E54">
        <w:rPr>
          <w:rFonts w:ascii="Times" w:hAnsi="Times" w:cs="Times New Roman"/>
          <w:i/>
          <w:color w:val="000000" w:themeColor="text1"/>
          <w:lang w:val="en-US"/>
        </w:rPr>
        <w:t>Was there a violation of the Directive?</w:t>
      </w:r>
    </w:p>
    <w:p w14:paraId="173563ED" w14:textId="77777777" w:rsidR="004B6021" w:rsidRPr="00630E54" w:rsidRDefault="004B6021" w:rsidP="00B46D6A">
      <w:pPr>
        <w:pStyle w:val="ListParagraph"/>
        <w:spacing w:line="360" w:lineRule="auto"/>
        <w:jc w:val="both"/>
        <w:rPr>
          <w:rFonts w:ascii="Times" w:hAnsi="Times" w:cs="Times New Roman"/>
          <w:color w:val="000000" w:themeColor="text1"/>
          <w:lang w:val="en-US"/>
        </w:rPr>
      </w:pPr>
    </w:p>
    <w:p w14:paraId="7647304B" w14:textId="77777777" w:rsidR="00374F5B" w:rsidRPr="00630E54" w:rsidRDefault="006373ED" w:rsidP="00B46D6A">
      <w:pPr>
        <w:spacing w:line="360" w:lineRule="auto"/>
        <w:jc w:val="both"/>
        <w:rPr>
          <w:rFonts w:ascii="Times" w:eastAsia="Times New Roman" w:hAnsi="Times"/>
          <w:color w:val="000000" w:themeColor="text1"/>
          <w:shd w:val="clear" w:color="auto" w:fill="FFFFFF"/>
        </w:rPr>
      </w:pPr>
      <w:r w:rsidRPr="00630E54">
        <w:rPr>
          <w:rFonts w:ascii="Times" w:hAnsi="Times"/>
          <w:color w:val="000000" w:themeColor="text1"/>
          <w:lang w:val="en-US"/>
        </w:rPr>
        <w:t>The CJEU</w:t>
      </w:r>
      <w:r w:rsidR="008E12AD" w:rsidRPr="00630E54">
        <w:rPr>
          <w:rFonts w:ascii="Times" w:hAnsi="Times"/>
          <w:color w:val="000000" w:themeColor="text1"/>
          <w:lang w:val="en-US"/>
        </w:rPr>
        <w:t xml:space="preserve"> ultimately</w:t>
      </w:r>
      <w:r w:rsidRPr="00630E54">
        <w:rPr>
          <w:rFonts w:ascii="Times" w:hAnsi="Times"/>
          <w:color w:val="000000" w:themeColor="text1"/>
          <w:lang w:val="en-US"/>
        </w:rPr>
        <w:t xml:space="preserve"> resolved all these questions in favour of Mr Ach</w:t>
      </w:r>
      <w:r w:rsidR="007A7056" w:rsidRPr="00630E54">
        <w:rPr>
          <w:rFonts w:ascii="Times" w:hAnsi="Times"/>
          <w:color w:val="000000" w:themeColor="text1"/>
          <w:lang w:val="en-US"/>
        </w:rPr>
        <w:t>at</w:t>
      </w:r>
      <w:r w:rsidRPr="00630E54">
        <w:rPr>
          <w:rFonts w:ascii="Times" w:hAnsi="Times"/>
          <w:color w:val="000000" w:themeColor="text1"/>
          <w:lang w:val="en-US"/>
        </w:rPr>
        <w:t>zi, holding</w:t>
      </w:r>
      <w:r w:rsidR="00F9746E" w:rsidRPr="00630E54">
        <w:rPr>
          <w:rFonts w:ascii="Times" w:hAnsi="Times"/>
          <w:color w:val="000000" w:themeColor="text1"/>
          <w:lang w:val="en-US"/>
        </w:rPr>
        <w:t xml:space="preserve"> </w:t>
      </w:r>
      <w:r w:rsidR="0078325A" w:rsidRPr="00630E54">
        <w:rPr>
          <w:rFonts w:ascii="Times" w:hAnsi="Times"/>
          <w:color w:val="000000" w:themeColor="text1"/>
          <w:lang w:val="en-US"/>
        </w:rPr>
        <w:t>that</w:t>
      </w:r>
      <w:r w:rsidRPr="00630E54">
        <w:rPr>
          <w:rFonts w:ascii="Times" w:hAnsi="Times"/>
          <w:color w:val="000000" w:themeColor="text1"/>
          <w:lang w:val="en-US"/>
        </w:rPr>
        <w:t xml:space="preserve"> t</w:t>
      </w:r>
      <w:r w:rsidR="005B143D" w:rsidRPr="00630E54">
        <w:rPr>
          <w:rFonts w:ascii="Times" w:hAnsi="Times"/>
          <w:color w:val="000000" w:themeColor="text1"/>
          <w:lang w:val="en-US"/>
        </w:rPr>
        <w:t>he ARG was discriminatory and</w:t>
      </w:r>
      <w:r w:rsidR="00FA6FCD" w:rsidRPr="00630E54">
        <w:rPr>
          <w:rFonts w:ascii="Times" w:hAnsi="Times"/>
          <w:color w:val="000000" w:themeColor="text1"/>
          <w:lang w:val="en-US"/>
        </w:rPr>
        <w:t xml:space="preserve"> so</w:t>
      </w:r>
      <w:r w:rsidR="005B143D" w:rsidRPr="00630E54">
        <w:rPr>
          <w:rFonts w:ascii="Times" w:hAnsi="Times"/>
          <w:color w:val="000000" w:themeColor="text1"/>
          <w:lang w:val="en-US"/>
        </w:rPr>
        <w:t xml:space="preserve"> </w:t>
      </w:r>
      <w:r w:rsidRPr="00630E54">
        <w:rPr>
          <w:rFonts w:ascii="Times" w:hAnsi="Times"/>
          <w:color w:val="000000" w:themeColor="text1"/>
          <w:lang w:val="en-US"/>
        </w:rPr>
        <w:t>not giving him extra holiday pay contravened EU law</w:t>
      </w:r>
      <w:r w:rsidR="0078325A" w:rsidRPr="00630E54">
        <w:rPr>
          <w:rFonts w:ascii="Times" w:hAnsi="Times"/>
          <w:color w:val="000000" w:themeColor="text1"/>
          <w:lang w:val="en-US"/>
        </w:rPr>
        <w:t xml:space="preserve">. </w:t>
      </w:r>
      <w:r w:rsidRPr="00630E54">
        <w:rPr>
          <w:rFonts w:ascii="Times" w:hAnsi="Times"/>
          <w:color w:val="000000" w:themeColor="text1"/>
          <w:lang w:val="en-US"/>
        </w:rPr>
        <w:t xml:space="preserve">The first question to be resolved though was a jurisdictional one. </w:t>
      </w:r>
      <w:r w:rsidR="00E44D69" w:rsidRPr="00630E54">
        <w:rPr>
          <w:rFonts w:ascii="Times" w:hAnsi="Times"/>
          <w:color w:val="000000" w:themeColor="text1"/>
          <w:lang w:val="en-US"/>
        </w:rPr>
        <w:t xml:space="preserve">As a preliminary matter, the </w:t>
      </w:r>
      <w:r w:rsidR="00374F5B" w:rsidRPr="00630E54">
        <w:rPr>
          <w:rFonts w:ascii="Times" w:hAnsi="Times"/>
          <w:color w:val="000000" w:themeColor="text1"/>
          <w:lang w:val="en-US"/>
        </w:rPr>
        <w:t xml:space="preserve">Polish government had argued that </w:t>
      </w:r>
      <w:r w:rsidR="00220C36" w:rsidRPr="00630E54">
        <w:rPr>
          <w:rFonts w:ascii="Times" w:hAnsi="Times"/>
          <w:color w:val="000000" w:themeColor="text1"/>
          <w:lang w:val="en-US"/>
        </w:rPr>
        <w:t>this</w:t>
      </w:r>
      <w:r w:rsidR="00374F5B" w:rsidRPr="00630E54">
        <w:rPr>
          <w:rFonts w:ascii="Times" w:hAnsi="Times"/>
          <w:color w:val="000000" w:themeColor="text1"/>
          <w:lang w:val="en-US"/>
        </w:rPr>
        <w:t xml:space="preserve"> was</w:t>
      </w:r>
      <w:r w:rsidR="00220C36" w:rsidRPr="00630E54">
        <w:rPr>
          <w:rFonts w:ascii="Times" w:hAnsi="Times"/>
          <w:color w:val="000000" w:themeColor="text1"/>
          <w:lang w:val="en-US"/>
        </w:rPr>
        <w:t xml:space="preserve"> a matter which was outside the CJEU’s </w:t>
      </w:r>
      <w:r w:rsidR="00374F5B" w:rsidRPr="00630E54">
        <w:rPr>
          <w:rFonts w:ascii="Times" w:hAnsi="Times"/>
          <w:color w:val="000000" w:themeColor="text1"/>
          <w:lang w:val="en-US"/>
        </w:rPr>
        <w:t xml:space="preserve">competence </w:t>
      </w:r>
      <w:r w:rsidR="00220C36" w:rsidRPr="00630E54">
        <w:rPr>
          <w:rFonts w:ascii="Times" w:hAnsi="Times"/>
          <w:color w:val="000000" w:themeColor="text1"/>
          <w:lang w:val="en-US"/>
        </w:rPr>
        <w:t>because it involved</w:t>
      </w:r>
      <w:r w:rsidR="00220C36" w:rsidRPr="00630E54">
        <w:rPr>
          <w:rFonts w:ascii="Times" w:eastAsia="Times New Roman" w:hAnsi="Times"/>
          <w:color w:val="000000" w:themeColor="text1"/>
          <w:shd w:val="clear" w:color="auto" w:fill="FFFFFF"/>
        </w:rPr>
        <w:t> </w:t>
      </w:r>
      <w:r w:rsidR="00374F5B" w:rsidRPr="00630E54">
        <w:rPr>
          <w:rFonts w:ascii="Times" w:eastAsia="Times New Roman" w:hAnsi="Times"/>
          <w:color w:val="000000" w:themeColor="text1"/>
          <w:shd w:val="clear" w:color="auto" w:fill="FFFFFF"/>
        </w:rPr>
        <w:t xml:space="preserve">rules governing relations between the four </w:t>
      </w:r>
      <w:r w:rsidRPr="00630E54">
        <w:rPr>
          <w:rFonts w:ascii="Times" w:eastAsia="Times New Roman" w:hAnsi="Times"/>
          <w:color w:val="000000" w:themeColor="text1"/>
          <w:shd w:val="clear" w:color="auto" w:fill="FFFFFF"/>
        </w:rPr>
        <w:t xml:space="preserve">specified </w:t>
      </w:r>
      <w:r w:rsidR="00374F5B" w:rsidRPr="00630E54">
        <w:rPr>
          <w:rFonts w:ascii="Times" w:eastAsia="Times New Roman" w:hAnsi="Times"/>
          <w:color w:val="000000" w:themeColor="text1"/>
          <w:shd w:val="clear" w:color="auto" w:fill="FFFFFF"/>
        </w:rPr>
        <w:t>c</w:t>
      </w:r>
      <w:r w:rsidR="00220C36" w:rsidRPr="00630E54">
        <w:rPr>
          <w:rFonts w:ascii="Times" w:eastAsia="Times New Roman" w:hAnsi="Times"/>
          <w:color w:val="000000" w:themeColor="text1"/>
          <w:shd w:val="clear" w:color="auto" w:fill="FFFFFF"/>
        </w:rPr>
        <w:t>hurche</w:t>
      </w:r>
      <w:r w:rsidRPr="00630E54">
        <w:rPr>
          <w:rFonts w:ascii="Times" w:eastAsia="Times New Roman" w:hAnsi="Times"/>
          <w:color w:val="000000" w:themeColor="text1"/>
          <w:shd w:val="clear" w:color="auto" w:fill="FFFFFF"/>
        </w:rPr>
        <w:t xml:space="preserve">s and the Austrian State and therefore </w:t>
      </w:r>
      <w:r w:rsidR="00220C36" w:rsidRPr="00630E54">
        <w:rPr>
          <w:rFonts w:ascii="Times" w:eastAsia="Times New Roman" w:hAnsi="Times"/>
          <w:color w:val="000000" w:themeColor="text1"/>
          <w:shd w:val="clear" w:color="auto" w:fill="FFFFFF"/>
        </w:rPr>
        <w:t>fell within</w:t>
      </w:r>
      <w:r w:rsidRPr="00630E54">
        <w:rPr>
          <w:rFonts w:ascii="Times" w:eastAsia="Times New Roman" w:hAnsi="Times"/>
          <w:color w:val="000000" w:themeColor="text1"/>
          <w:shd w:val="clear" w:color="auto" w:fill="FFFFFF"/>
        </w:rPr>
        <w:t xml:space="preserve"> the category of</w:t>
      </w:r>
      <w:r w:rsidR="00220C36" w:rsidRPr="00630E54">
        <w:rPr>
          <w:rFonts w:ascii="Times" w:eastAsia="Times New Roman" w:hAnsi="Times"/>
          <w:color w:val="000000" w:themeColor="text1"/>
          <w:shd w:val="clear" w:color="auto" w:fill="FFFFFF"/>
        </w:rPr>
        <w:t xml:space="preserve"> questions relating to </w:t>
      </w:r>
      <w:r w:rsidR="00374F5B" w:rsidRPr="00630E54">
        <w:rPr>
          <w:rFonts w:ascii="Times" w:eastAsia="Times New Roman" w:hAnsi="Times"/>
          <w:color w:val="000000" w:themeColor="text1"/>
          <w:shd w:val="clear" w:color="auto" w:fill="FFFFFF"/>
        </w:rPr>
        <w:t xml:space="preserve">‘the status under national law of churches and religious associations or communities’ referred to in Article 17(1) TFEU. </w:t>
      </w:r>
      <w:r w:rsidR="00220C36" w:rsidRPr="00630E54">
        <w:rPr>
          <w:rFonts w:ascii="Times" w:eastAsia="Times New Roman" w:hAnsi="Times"/>
          <w:color w:val="000000" w:themeColor="text1"/>
          <w:shd w:val="clear" w:color="auto" w:fill="FFFFFF"/>
        </w:rPr>
        <w:t>This argument w</w:t>
      </w:r>
      <w:r w:rsidR="003C1071" w:rsidRPr="00630E54">
        <w:rPr>
          <w:rFonts w:ascii="Times" w:eastAsia="Times New Roman" w:hAnsi="Times"/>
          <w:color w:val="000000" w:themeColor="text1"/>
          <w:shd w:val="clear" w:color="auto" w:fill="FFFFFF"/>
        </w:rPr>
        <w:t>as rejected by the Court on the basis that this</w:t>
      </w:r>
      <w:r w:rsidRPr="00630E54">
        <w:rPr>
          <w:rFonts w:ascii="Times" w:eastAsia="Times New Roman" w:hAnsi="Times"/>
          <w:color w:val="000000" w:themeColor="text1"/>
          <w:shd w:val="clear" w:color="auto" w:fill="FFFFFF"/>
        </w:rPr>
        <w:t xml:space="preserve"> provision</w:t>
      </w:r>
      <w:r w:rsidR="003C1071" w:rsidRPr="00630E54">
        <w:rPr>
          <w:rFonts w:ascii="Times" w:eastAsia="Times New Roman" w:hAnsi="Times"/>
          <w:color w:val="000000" w:themeColor="text1"/>
          <w:shd w:val="clear" w:color="auto" w:fill="FFFFFF"/>
        </w:rPr>
        <w:t xml:space="preserve"> did not </w:t>
      </w:r>
      <w:r w:rsidR="00606A82" w:rsidRPr="00630E54">
        <w:rPr>
          <w:rFonts w:ascii="Times" w:eastAsia="Times New Roman" w:hAnsi="Times"/>
          <w:color w:val="000000" w:themeColor="text1"/>
          <w:shd w:val="clear" w:color="auto" w:fill="FFFFFF"/>
        </w:rPr>
        <w:t>exclude from its competence any question relating to a church</w:t>
      </w:r>
      <w:r w:rsidR="0046629A" w:rsidRPr="00630E54">
        <w:rPr>
          <w:rFonts w:ascii="Times" w:eastAsia="Times New Roman" w:hAnsi="Times"/>
          <w:color w:val="000000" w:themeColor="text1"/>
          <w:shd w:val="clear" w:color="auto" w:fill="FFFFFF"/>
        </w:rPr>
        <w:t>. T</w:t>
      </w:r>
      <w:r w:rsidRPr="00630E54">
        <w:rPr>
          <w:rFonts w:ascii="Times" w:eastAsia="Times New Roman" w:hAnsi="Times"/>
          <w:color w:val="000000" w:themeColor="text1"/>
          <w:shd w:val="clear" w:color="auto" w:fill="FFFFFF"/>
        </w:rPr>
        <w:t>he case</w:t>
      </w:r>
      <w:r w:rsidR="00777BC3" w:rsidRPr="00630E54">
        <w:rPr>
          <w:rFonts w:ascii="Times" w:eastAsia="Times New Roman" w:hAnsi="Times"/>
          <w:color w:val="000000" w:themeColor="text1"/>
          <w:shd w:val="clear" w:color="auto" w:fill="FFFFFF"/>
        </w:rPr>
        <w:t xml:space="preserve"> did not concern constitutional matters </w:t>
      </w:r>
      <w:r w:rsidR="00F7262E" w:rsidRPr="00630E54">
        <w:rPr>
          <w:rFonts w:ascii="Times" w:eastAsia="Times New Roman" w:hAnsi="Times"/>
          <w:color w:val="000000" w:themeColor="text1"/>
          <w:shd w:val="clear" w:color="auto" w:fill="FFFFFF"/>
        </w:rPr>
        <w:t xml:space="preserve">which were </w:t>
      </w:r>
      <w:r w:rsidR="00777BC3" w:rsidRPr="00630E54">
        <w:rPr>
          <w:rFonts w:ascii="Times" w:eastAsia="Times New Roman" w:hAnsi="Times"/>
          <w:color w:val="000000" w:themeColor="text1"/>
          <w:shd w:val="clear" w:color="auto" w:fill="FFFFFF"/>
        </w:rPr>
        <w:t xml:space="preserve">for each member state </w:t>
      </w:r>
      <w:r w:rsidR="00F7262E" w:rsidRPr="00630E54">
        <w:rPr>
          <w:rFonts w:ascii="Times" w:eastAsia="Times New Roman" w:hAnsi="Times"/>
          <w:color w:val="000000" w:themeColor="text1"/>
          <w:shd w:val="clear" w:color="auto" w:fill="FFFFFF"/>
        </w:rPr>
        <w:t xml:space="preserve">to decide, </w:t>
      </w:r>
      <w:r w:rsidR="00777BC3" w:rsidRPr="00630E54">
        <w:rPr>
          <w:rFonts w:ascii="Times" w:eastAsia="Times New Roman" w:hAnsi="Times"/>
          <w:color w:val="000000" w:themeColor="text1"/>
          <w:shd w:val="clear" w:color="auto" w:fill="FFFFFF"/>
        </w:rPr>
        <w:t xml:space="preserve">such as whether there </w:t>
      </w:r>
      <w:r w:rsidR="00374F5B" w:rsidRPr="00630E54">
        <w:rPr>
          <w:rFonts w:ascii="Times" w:eastAsia="Times New Roman" w:hAnsi="Times"/>
          <w:color w:val="000000" w:themeColor="text1"/>
          <w:shd w:val="clear" w:color="auto" w:fill="FFFFFF"/>
        </w:rPr>
        <w:t>was an established church</w:t>
      </w:r>
      <w:r w:rsidR="00777BC3" w:rsidRPr="00630E54">
        <w:rPr>
          <w:rFonts w:ascii="Times" w:eastAsia="Times New Roman" w:hAnsi="Times"/>
          <w:color w:val="000000" w:themeColor="text1"/>
          <w:shd w:val="clear" w:color="auto" w:fill="FFFFFF"/>
        </w:rPr>
        <w:t xml:space="preserve"> or </w:t>
      </w:r>
      <w:r w:rsidR="00DC26E0" w:rsidRPr="00630E54">
        <w:rPr>
          <w:rFonts w:ascii="Times" w:eastAsia="Times New Roman" w:hAnsi="Times"/>
          <w:color w:val="000000" w:themeColor="text1"/>
          <w:shd w:val="clear" w:color="auto" w:fill="FFFFFF"/>
        </w:rPr>
        <w:t>its legal status under national law</w:t>
      </w:r>
      <w:r w:rsidR="0046629A" w:rsidRPr="00630E54">
        <w:rPr>
          <w:rFonts w:ascii="Times" w:eastAsia="Times New Roman" w:hAnsi="Times"/>
          <w:color w:val="000000" w:themeColor="text1"/>
          <w:shd w:val="clear" w:color="auto" w:fill="FFFFFF"/>
        </w:rPr>
        <w:t xml:space="preserve"> but discrimination within employment</w:t>
      </w:r>
      <w:r w:rsidR="00374F5B" w:rsidRPr="00630E54">
        <w:rPr>
          <w:rFonts w:ascii="Times" w:eastAsia="Times New Roman" w:hAnsi="Times"/>
          <w:color w:val="000000" w:themeColor="text1"/>
          <w:shd w:val="clear" w:color="auto" w:fill="FFFFFF"/>
        </w:rPr>
        <w:t xml:space="preserve">. </w:t>
      </w:r>
      <w:r w:rsidRPr="00630E54">
        <w:rPr>
          <w:rFonts w:ascii="Times" w:eastAsia="Times New Roman" w:hAnsi="Times"/>
          <w:color w:val="000000" w:themeColor="text1"/>
          <w:shd w:val="clear" w:color="auto" w:fill="FFFFFF"/>
        </w:rPr>
        <w:t xml:space="preserve">It was therefore a suitable case for the CJEU to hear. </w:t>
      </w:r>
    </w:p>
    <w:p w14:paraId="2414AC1A" w14:textId="77777777" w:rsidR="00374F5B" w:rsidRPr="00630E54" w:rsidRDefault="00374F5B" w:rsidP="00B46D6A">
      <w:pPr>
        <w:spacing w:line="360" w:lineRule="auto"/>
        <w:jc w:val="both"/>
        <w:rPr>
          <w:rFonts w:ascii="Times" w:eastAsia="Times New Roman" w:hAnsi="Times"/>
          <w:color w:val="000000" w:themeColor="text1"/>
        </w:rPr>
      </w:pPr>
    </w:p>
    <w:p w14:paraId="481B28DA" w14:textId="77777777" w:rsidR="00B222FA" w:rsidRDefault="00DC26E0" w:rsidP="00B46D6A">
      <w:pPr>
        <w:spacing w:line="360" w:lineRule="auto"/>
        <w:jc w:val="both"/>
        <w:rPr>
          <w:rFonts w:ascii="Times" w:hAnsi="Times"/>
          <w:color w:val="000000" w:themeColor="text1"/>
          <w:lang w:val="en-US"/>
        </w:rPr>
      </w:pPr>
      <w:r w:rsidRPr="00630E54">
        <w:rPr>
          <w:rFonts w:ascii="Times" w:hAnsi="Times"/>
          <w:color w:val="000000" w:themeColor="text1"/>
          <w:lang w:val="en-US"/>
        </w:rPr>
        <w:t>On the substantive question</w:t>
      </w:r>
      <w:r w:rsidR="00107164" w:rsidRPr="00630E54">
        <w:rPr>
          <w:rFonts w:ascii="Times" w:hAnsi="Times"/>
          <w:color w:val="000000" w:themeColor="text1"/>
          <w:lang w:val="en-US"/>
        </w:rPr>
        <w:t>s</w:t>
      </w:r>
      <w:r w:rsidR="0046629A" w:rsidRPr="00630E54">
        <w:rPr>
          <w:rFonts w:ascii="Times" w:hAnsi="Times"/>
          <w:color w:val="000000" w:themeColor="text1"/>
          <w:lang w:val="en-US"/>
        </w:rPr>
        <w:t>, the</w:t>
      </w:r>
      <w:r w:rsidR="004B7534" w:rsidRPr="00630E54">
        <w:rPr>
          <w:rFonts w:ascii="Times" w:hAnsi="Times"/>
          <w:color w:val="000000" w:themeColor="text1"/>
          <w:lang w:val="en-US"/>
        </w:rPr>
        <w:t xml:space="preserve"> first question was who </w:t>
      </w:r>
      <w:r w:rsidR="00802953" w:rsidRPr="00630E54">
        <w:rPr>
          <w:rFonts w:ascii="Times" w:hAnsi="Times"/>
          <w:color w:val="000000" w:themeColor="text1"/>
          <w:lang w:val="en-US"/>
        </w:rPr>
        <w:t>was the appropriate</w:t>
      </w:r>
      <w:r w:rsidR="004B7534" w:rsidRPr="00630E54">
        <w:rPr>
          <w:rFonts w:ascii="Times" w:hAnsi="Times"/>
          <w:color w:val="000000" w:themeColor="text1"/>
          <w:lang w:val="en-US"/>
        </w:rPr>
        <w:t xml:space="preserve"> comparator.</w:t>
      </w:r>
      <w:r w:rsidR="00B222FA" w:rsidRPr="00630E54">
        <w:rPr>
          <w:rFonts w:ascii="Times" w:hAnsi="Times"/>
          <w:color w:val="000000" w:themeColor="text1"/>
          <w:lang w:val="en-US"/>
        </w:rPr>
        <w:t xml:space="preserve"> Whether or not situations </w:t>
      </w:r>
      <w:r w:rsidR="00BB38F4" w:rsidRPr="00630E54">
        <w:rPr>
          <w:rFonts w:ascii="Times" w:hAnsi="Times"/>
          <w:color w:val="000000" w:themeColor="text1"/>
          <w:lang w:val="en-US"/>
        </w:rPr>
        <w:t xml:space="preserve">are </w:t>
      </w:r>
      <w:r w:rsidR="00B222FA" w:rsidRPr="00630E54">
        <w:rPr>
          <w:rFonts w:ascii="Times" w:hAnsi="Times"/>
          <w:color w:val="000000" w:themeColor="text1"/>
          <w:lang w:val="en-US"/>
        </w:rPr>
        <w:t>comparable must be assessed ‘in the light of all the elements which characterize them and, in particular, in the light of the subject matter and purpose of the national legislation which makes the distinction at issue.’</w:t>
      </w:r>
      <w:r w:rsidR="00B222FA" w:rsidRPr="00630E54">
        <w:rPr>
          <w:rStyle w:val="FootnoteReference"/>
          <w:rFonts w:ascii="Times" w:hAnsi="Times"/>
          <w:color w:val="000000" w:themeColor="text1"/>
          <w:lang w:val="en-US"/>
        </w:rPr>
        <w:footnoteReference w:id="6"/>
      </w:r>
      <w:r w:rsidR="00B222FA" w:rsidRPr="00630E54">
        <w:rPr>
          <w:rFonts w:ascii="Times" w:hAnsi="Times"/>
          <w:color w:val="000000" w:themeColor="text1"/>
          <w:lang w:val="en-US"/>
        </w:rPr>
        <w:t xml:space="preserve"> The situations do have not to be identical</w:t>
      </w:r>
      <w:r w:rsidR="00BB38F4" w:rsidRPr="00630E54">
        <w:rPr>
          <w:rFonts w:ascii="Times" w:hAnsi="Times"/>
          <w:color w:val="000000" w:themeColor="text1"/>
          <w:lang w:val="en-US"/>
        </w:rPr>
        <w:t>.</w:t>
      </w:r>
      <w:r w:rsidR="00B222FA" w:rsidRPr="00630E54">
        <w:rPr>
          <w:rFonts w:ascii="Times" w:hAnsi="Times"/>
          <w:color w:val="000000" w:themeColor="text1"/>
          <w:lang w:val="en-US"/>
        </w:rPr>
        <w:t xml:space="preserve"> </w:t>
      </w:r>
      <w:r w:rsidR="00040FB1" w:rsidRPr="00630E54">
        <w:rPr>
          <w:rFonts w:ascii="Times" w:hAnsi="Times"/>
          <w:color w:val="000000" w:themeColor="text1"/>
          <w:lang w:val="en-US"/>
        </w:rPr>
        <w:t>Advocate General Bobek discussed 3 alternatives</w:t>
      </w:r>
      <w:r w:rsidR="00040FB1" w:rsidRPr="00040FB1">
        <w:rPr>
          <w:rFonts w:ascii="Times" w:hAnsi="Times"/>
          <w:color w:val="000000" w:themeColor="text1"/>
          <w:lang w:val="en-US"/>
        </w:rPr>
        <w:t xml:space="preserve"> </w:t>
      </w:r>
      <w:r w:rsidR="00040FB1">
        <w:rPr>
          <w:rFonts w:ascii="Times" w:hAnsi="Times"/>
          <w:color w:val="000000" w:themeColor="text1"/>
          <w:lang w:val="en-US"/>
        </w:rPr>
        <w:t>i</w:t>
      </w:r>
      <w:r w:rsidR="00040FB1" w:rsidRPr="00630E54">
        <w:rPr>
          <w:rFonts w:ascii="Times" w:hAnsi="Times"/>
          <w:color w:val="000000" w:themeColor="text1"/>
          <w:lang w:val="en-US"/>
        </w:rPr>
        <w:t>n his Opinion.</w:t>
      </w:r>
      <w:r w:rsidR="00040FB1" w:rsidRPr="00630E54">
        <w:rPr>
          <w:rStyle w:val="FootnoteReference"/>
          <w:rFonts w:ascii="Times" w:hAnsi="Times"/>
          <w:color w:val="000000" w:themeColor="text1"/>
          <w:lang w:val="en-US"/>
        </w:rPr>
        <w:footnoteReference w:id="7"/>
      </w:r>
    </w:p>
    <w:p w14:paraId="54FB1101" w14:textId="77777777" w:rsidR="00040FB1" w:rsidRDefault="00040FB1" w:rsidP="00040FB1">
      <w:pPr>
        <w:spacing w:line="360" w:lineRule="auto"/>
        <w:jc w:val="both"/>
        <w:rPr>
          <w:rFonts w:ascii="Times" w:hAnsi="Times"/>
          <w:color w:val="000000" w:themeColor="text1"/>
          <w:lang w:val="en-US"/>
        </w:rPr>
      </w:pPr>
    </w:p>
    <w:p w14:paraId="3EC83D16" w14:textId="77777777" w:rsidR="00454271" w:rsidRPr="00040FB1" w:rsidRDefault="00460B3F" w:rsidP="00040FB1">
      <w:pPr>
        <w:spacing w:line="360" w:lineRule="auto"/>
        <w:jc w:val="both"/>
        <w:rPr>
          <w:rFonts w:ascii="Times" w:hAnsi="Times"/>
          <w:color w:val="000000" w:themeColor="text1"/>
          <w:lang w:val="en-US"/>
        </w:rPr>
      </w:pPr>
      <w:r w:rsidRPr="00630E54">
        <w:rPr>
          <w:rFonts w:ascii="Times" w:hAnsi="Times"/>
          <w:color w:val="000000" w:themeColor="text1"/>
        </w:rPr>
        <w:t xml:space="preserve">The </w:t>
      </w:r>
      <w:r w:rsidR="00012BF2" w:rsidRPr="00630E54">
        <w:rPr>
          <w:rFonts w:ascii="Times" w:hAnsi="Times"/>
          <w:color w:val="000000" w:themeColor="text1"/>
        </w:rPr>
        <w:t>first, the ‘</w:t>
      </w:r>
      <w:r w:rsidRPr="00630E54">
        <w:rPr>
          <w:rFonts w:ascii="Times" w:hAnsi="Times"/>
          <w:color w:val="000000" w:themeColor="text1"/>
        </w:rPr>
        <w:t>narrow comparator</w:t>
      </w:r>
      <w:r w:rsidR="00012BF2" w:rsidRPr="00630E54">
        <w:rPr>
          <w:rFonts w:ascii="Times" w:hAnsi="Times"/>
          <w:color w:val="000000" w:themeColor="text1"/>
        </w:rPr>
        <w:t>’ would compare</w:t>
      </w:r>
      <w:r w:rsidR="00F5067B" w:rsidRPr="00630E54">
        <w:rPr>
          <w:rFonts w:ascii="Times" w:hAnsi="Times"/>
          <w:color w:val="000000" w:themeColor="text1"/>
        </w:rPr>
        <w:t xml:space="preserve"> Achatzi to employees ‘</w:t>
      </w:r>
      <w:r w:rsidR="00520A7E" w:rsidRPr="00630E54">
        <w:rPr>
          <w:rFonts w:ascii="Times" w:hAnsi="Times"/>
          <w:color w:val="000000" w:themeColor="text1"/>
        </w:rPr>
        <w:t>for whom Good Friday is the most important religious festival of the year</w:t>
      </w:r>
      <w:r w:rsidR="00F5067B" w:rsidRPr="00630E54">
        <w:rPr>
          <w:rFonts w:ascii="Times" w:hAnsi="Times"/>
          <w:color w:val="000000" w:themeColor="text1"/>
        </w:rPr>
        <w:t>’.</w:t>
      </w:r>
      <w:r w:rsidR="00BB38F4" w:rsidRPr="00630E54">
        <w:rPr>
          <w:rStyle w:val="FootnoteReference"/>
          <w:rFonts w:ascii="Times" w:hAnsi="Times"/>
          <w:color w:val="000000" w:themeColor="text1"/>
        </w:rPr>
        <w:footnoteReference w:id="8"/>
      </w:r>
      <w:r w:rsidR="00802953" w:rsidRPr="00630E54">
        <w:rPr>
          <w:rFonts w:ascii="Times" w:hAnsi="Times"/>
          <w:color w:val="000000" w:themeColor="text1"/>
        </w:rPr>
        <w:t xml:space="preserve"> </w:t>
      </w:r>
      <w:r w:rsidR="00E4474B" w:rsidRPr="00630E54">
        <w:rPr>
          <w:rFonts w:ascii="Times" w:hAnsi="Times"/>
          <w:color w:val="000000" w:themeColor="text1"/>
        </w:rPr>
        <w:t xml:space="preserve">On that basis he would not be in a </w:t>
      </w:r>
      <w:r w:rsidR="00520A7E" w:rsidRPr="00630E54">
        <w:rPr>
          <w:rFonts w:ascii="Times" w:hAnsi="Times"/>
          <w:color w:val="000000" w:themeColor="text1"/>
        </w:rPr>
        <w:t xml:space="preserve">similar situation </w:t>
      </w:r>
      <w:r w:rsidR="00E4474B" w:rsidRPr="00630E54">
        <w:rPr>
          <w:rFonts w:ascii="Times" w:hAnsi="Times"/>
          <w:color w:val="000000" w:themeColor="text1"/>
        </w:rPr>
        <w:t>and</w:t>
      </w:r>
      <w:r w:rsidR="00630E54">
        <w:rPr>
          <w:rFonts w:ascii="Times" w:hAnsi="Times"/>
          <w:color w:val="000000" w:themeColor="text1"/>
        </w:rPr>
        <w:t>,</w:t>
      </w:r>
      <w:r w:rsidR="00E4474B" w:rsidRPr="00630E54">
        <w:rPr>
          <w:rFonts w:ascii="Times" w:hAnsi="Times"/>
          <w:color w:val="000000" w:themeColor="text1"/>
        </w:rPr>
        <w:t xml:space="preserve"> given that different situatio</w:t>
      </w:r>
      <w:r w:rsidR="00E50AD5" w:rsidRPr="00630E54">
        <w:rPr>
          <w:rFonts w:ascii="Times" w:hAnsi="Times"/>
          <w:color w:val="000000" w:themeColor="text1"/>
        </w:rPr>
        <w:t>ns must be treated differently, this would</w:t>
      </w:r>
      <w:r w:rsidR="00E4474B" w:rsidRPr="00630E54">
        <w:rPr>
          <w:rFonts w:ascii="Times" w:hAnsi="Times"/>
          <w:color w:val="000000" w:themeColor="text1"/>
        </w:rPr>
        <w:t xml:space="preserve"> </w:t>
      </w:r>
      <w:r w:rsidR="00E50AD5" w:rsidRPr="00630E54">
        <w:rPr>
          <w:rFonts w:ascii="Times" w:hAnsi="Times"/>
          <w:color w:val="000000" w:themeColor="text1"/>
        </w:rPr>
        <w:t>mean there was no discrimination</w:t>
      </w:r>
      <w:r w:rsidR="00E4474B" w:rsidRPr="00630E54">
        <w:rPr>
          <w:rFonts w:ascii="Times" w:hAnsi="Times"/>
          <w:color w:val="000000" w:themeColor="text1"/>
        </w:rPr>
        <w:t>. This was essentially the position of the Austrian government.</w:t>
      </w:r>
      <w:r w:rsidR="00E50AD5" w:rsidRPr="00630E54">
        <w:rPr>
          <w:rFonts w:ascii="Times" w:hAnsi="Times"/>
          <w:color w:val="000000" w:themeColor="text1"/>
          <w:lang w:val="en-US"/>
        </w:rPr>
        <w:t xml:space="preserve"> </w:t>
      </w:r>
      <w:r w:rsidR="00BB38F4" w:rsidRPr="00630E54">
        <w:rPr>
          <w:rFonts w:ascii="Times" w:eastAsia="Times New Roman" w:hAnsi="Times"/>
          <w:color w:val="000000" w:themeColor="text1"/>
          <w:shd w:val="clear" w:color="auto" w:fill="FFFFFF"/>
        </w:rPr>
        <w:t>However, the problem</w:t>
      </w:r>
      <w:r w:rsidR="0065087F" w:rsidRPr="00630E54">
        <w:rPr>
          <w:rFonts w:ascii="Times" w:eastAsia="Times New Roman" w:hAnsi="Times"/>
          <w:color w:val="000000" w:themeColor="text1"/>
          <w:shd w:val="clear" w:color="auto" w:fill="FFFFFF"/>
        </w:rPr>
        <w:t xml:space="preserve"> with making the comparator</w:t>
      </w:r>
      <w:r w:rsidR="00E4474B" w:rsidRPr="00630E54">
        <w:rPr>
          <w:rFonts w:ascii="Times" w:eastAsia="Times New Roman" w:hAnsi="Times"/>
          <w:color w:val="000000" w:themeColor="text1"/>
          <w:shd w:val="clear" w:color="auto" w:fill="FFFFFF"/>
        </w:rPr>
        <w:t xml:space="preserve"> this narrow </w:t>
      </w:r>
      <w:r w:rsidR="00F618FE" w:rsidRPr="00630E54">
        <w:rPr>
          <w:rFonts w:ascii="Times" w:eastAsia="Times New Roman" w:hAnsi="Times"/>
          <w:color w:val="000000" w:themeColor="text1"/>
          <w:shd w:val="clear" w:color="auto" w:fill="FFFFFF"/>
        </w:rPr>
        <w:t xml:space="preserve">is that </w:t>
      </w:r>
      <w:r w:rsidR="005B201C" w:rsidRPr="00630E54">
        <w:rPr>
          <w:rFonts w:ascii="Times" w:eastAsia="Times New Roman" w:hAnsi="Times"/>
          <w:color w:val="000000" w:themeColor="text1"/>
          <w:shd w:val="clear" w:color="auto" w:fill="FFFFFF"/>
        </w:rPr>
        <w:t xml:space="preserve">the importance of </w:t>
      </w:r>
      <w:r w:rsidR="00F618FE" w:rsidRPr="00630E54">
        <w:rPr>
          <w:rFonts w:ascii="Times" w:eastAsia="Times New Roman" w:hAnsi="Times"/>
          <w:color w:val="000000" w:themeColor="text1"/>
          <w:shd w:val="clear" w:color="auto" w:fill="FFFFFF"/>
        </w:rPr>
        <w:t xml:space="preserve">Good Friday becomes the </w:t>
      </w:r>
      <w:r w:rsidR="00454271">
        <w:rPr>
          <w:rFonts w:ascii="Times" w:eastAsia="Times New Roman" w:hAnsi="Times"/>
          <w:color w:val="000000" w:themeColor="text1"/>
          <w:shd w:val="clear" w:color="auto" w:fill="FFFFFF"/>
        </w:rPr>
        <w:t>overriding</w:t>
      </w:r>
      <w:r w:rsidR="00F618FE" w:rsidRPr="00630E54">
        <w:rPr>
          <w:rFonts w:ascii="Times" w:eastAsia="Times New Roman" w:hAnsi="Times"/>
          <w:color w:val="000000" w:themeColor="text1"/>
          <w:shd w:val="clear" w:color="auto" w:fill="FFFFFF"/>
        </w:rPr>
        <w:t xml:space="preserve"> factor</w:t>
      </w:r>
      <w:r w:rsidR="00454271">
        <w:rPr>
          <w:rFonts w:ascii="Times" w:eastAsia="Times New Roman" w:hAnsi="Times"/>
          <w:color w:val="000000" w:themeColor="text1"/>
          <w:shd w:val="clear" w:color="auto" w:fill="FFFFFF"/>
        </w:rPr>
        <w:t xml:space="preserve">. This is </w:t>
      </w:r>
      <w:r w:rsidR="00630E54">
        <w:rPr>
          <w:rFonts w:ascii="Times" w:eastAsia="Times New Roman" w:hAnsi="Times"/>
          <w:color w:val="000000" w:themeColor="text1"/>
          <w:shd w:val="clear" w:color="auto" w:fill="FFFFFF"/>
        </w:rPr>
        <w:t>unprincipled</w:t>
      </w:r>
      <w:r w:rsidR="00454271">
        <w:rPr>
          <w:rFonts w:ascii="Times" w:eastAsia="Times New Roman" w:hAnsi="Times"/>
          <w:color w:val="000000" w:themeColor="text1"/>
          <w:shd w:val="clear" w:color="auto" w:fill="FFFFFF"/>
        </w:rPr>
        <w:t xml:space="preserve"> because</w:t>
      </w:r>
      <w:r w:rsidR="0065087F" w:rsidRPr="00630E54">
        <w:rPr>
          <w:rFonts w:ascii="Times" w:eastAsia="Times New Roman" w:hAnsi="Times"/>
          <w:color w:val="000000" w:themeColor="text1"/>
          <w:shd w:val="clear" w:color="auto" w:fill="FFFFFF"/>
        </w:rPr>
        <w:t xml:space="preserve"> it is not wholly different in nature</w:t>
      </w:r>
      <w:r w:rsidR="00E50AD5" w:rsidRPr="00630E54">
        <w:rPr>
          <w:rFonts w:ascii="Times" w:eastAsia="Times New Roman" w:hAnsi="Times"/>
          <w:color w:val="000000" w:themeColor="text1"/>
          <w:shd w:val="clear" w:color="auto" w:fill="FFFFFF"/>
        </w:rPr>
        <w:t xml:space="preserve"> </w:t>
      </w:r>
      <w:r w:rsidR="0065087F" w:rsidRPr="00630E54">
        <w:rPr>
          <w:rFonts w:ascii="Times" w:eastAsia="Times New Roman" w:hAnsi="Times"/>
          <w:color w:val="000000" w:themeColor="text1"/>
          <w:shd w:val="clear" w:color="auto" w:fill="FFFFFF"/>
        </w:rPr>
        <w:t>from oth</w:t>
      </w:r>
      <w:r w:rsidR="00630E54">
        <w:rPr>
          <w:rFonts w:ascii="Times" w:eastAsia="Times New Roman" w:hAnsi="Times"/>
          <w:color w:val="000000" w:themeColor="text1"/>
          <w:shd w:val="clear" w:color="auto" w:fill="FFFFFF"/>
        </w:rPr>
        <w:t>er religious festival</w:t>
      </w:r>
      <w:r w:rsidR="002C7937">
        <w:rPr>
          <w:rFonts w:ascii="Times" w:eastAsia="Times New Roman" w:hAnsi="Times"/>
          <w:color w:val="000000" w:themeColor="text1"/>
          <w:shd w:val="clear" w:color="auto" w:fill="FFFFFF"/>
        </w:rPr>
        <w:t>s. It therefore singles out one religious minority, Protestants, and even then not all Protestants,</w:t>
      </w:r>
      <w:r w:rsidR="00454271">
        <w:rPr>
          <w:rFonts w:ascii="Times" w:eastAsia="Times New Roman" w:hAnsi="Times"/>
          <w:color w:val="000000" w:themeColor="text1"/>
          <w:shd w:val="clear" w:color="auto" w:fill="FFFFFF"/>
        </w:rPr>
        <w:t xml:space="preserve"> for unjustifiable preferential treatment</w:t>
      </w:r>
      <w:r w:rsidR="002C7937">
        <w:rPr>
          <w:rFonts w:ascii="Times" w:eastAsia="Times New Roman" w:hAnsi="Times"/>
          <w:color w:val="000000" w:themeColor="text1"/>
          <w:shd w:val="clear" w:color="auto" w:fill="FFFFFF"/>
        </w:rPr>
        <w:t xml:space="preserve">. </w:t>
      </w:r>
    </w:p>
    <w:p w14:paraId="22DC5A26" w14:textId="77777777" w:rsidR="00454271" w:rsidRDefault="00454271" w:rsidP="005B201C">
      <w:pPr>
        <w:spacing w:line="360" w:lineRule="auto"/>
        <w:jc w:val="both"/>
        <w:rPr>
          <w:rFonts w:ascii="Times" w:eastAsia="Times New Roman" w:hAnsi="Times"/>
          <w:color w:val="000000" w:themeColor="text1"/>
          <w:shd w:val="clear" w:color="auto" w:fill="FFFFFF"/>
        </w:rPr>
      </w:pPr>
    </w:p>
    <w:p w14:paraId="7A7B1F85" w14:textId="77777777" w:rsidR="003557BD" w:rsidRPr="00630E54" w:rsidRDefault="0065087F" w:rsidP="005B201C">
      <w:pPr>
        <w:spacing w:line="360" w:lineRule="auto"/>
        <w:jc w:val="both"/>
        <w:rPr>
          <w:rFonts w:ascii="Times" w:hAnsi="Times"/>
          <w:color w:val="000000" w:themeColor="text1"/>
          <w:lang w:val="en-US"/>
        </w:rPr>
      </w:pPr>
      <w:r w:rsidRPr="00630E54">
        <w:rPr>
          <w:rFonts w:ascii="Times" w:eastAsia="Times New Roman" w:hAnsi="Times"/>
          <w:color w:val="000000" w:themeColor="text1"/>
          <w:shd w:val="clear" w:color="auto" w:fill="FFFFFF"/>
        </w:rPr>
        <w:t>Alternatively, the comparator</w:t>
      </w:r>
      <w:r w:rsidR="002C7937">
        <w:rPr>
          <w:rFonts w:ascii="Times" w:eastAsia="Times New Roman" w:hAnsi="Times"/>
          <w:color w:val="000000" w:themeColor="text1"/>
          <w:shd w:val="clear" w:color="auto" w:fill="FFFFFF"/>
        </w:rPr>
        <w:t xml:space="preserve"> should be</w:t>
      </w:r>
      <w:r w:rsidR="005B201C" w:rsidRPr="00630E54">
        <w:rPr>
          <w:rFonts w:ascii="Times" w:eastAsia="Times New Roman" w:hAnsi="Times"/>
          <w:color w:val="000000" w:themeColor="text1"/>
          <w:shd w:val="clear" w:color="auto" w:fill="FFFFFF"/>
        </w:rPr>
        <w:t xml:space="preserve"> wider</w:t>
      </w:r>
      <w:r w:rsidR="000D03B6" w:rsidRPr="00630E54">
        <w:rPr>
          <w:rFonts w:ascii="Times" w:eastAsia="Times New Roman" w:hAnsi="Times"/>
          <w:color w:val="000000" w:themeColor="text1"/>
          <w:shd w:val="clear" w:color="auto" w:fill="FFFFFF"/>
        </w:rPr>
        <w:t>, comparing</w:t>
      </w:r>
      <w:r w:rsidR="005B201C" w:rsidRPr="00630E54">
        <w:rPr>
          <w:rFonts w:ascii="Times" w:eastAsia="Times New Roman" w:hAnsi="Times"/>
          <w:color w:val="000000" w:themeColor="text1"/>
          <w:shd w:val="clear" w:color="auto" w:fill="FFFFFF"/>
        </w:rPr>
        <w:t xml:space="preserve"> Achatzi </w:t>
      </w:r>
      <w:r w:rsidR="003557BD" w:rsidRPr="00630E54">
        <w:rPr>
          <w:rFonts w:ascii="Times" w:eastAsia="Times New Roman" w:hAnsi="Times"/>
          <w:color w:val="000000" w:themeColor="text1"/>
          <w:shd w:val="clear" w:color="auto" w:fill="FFFFFF"/>
        </w:rPr>
        <w:t>to all religious groups that have important religious festivals which are not included in the existi</w:t>
      </w:r>
      <w:r w:rsidR="000D03B6" w:rsidRPr="00630E54">
        <w:rPr>
          <w:rFonts w:ascii="Times" w:eastAsia="Times New Roman" w:hAnsi="Times"/>
          <w:color w:val="000000" w:themeColor="text1"/>
          <w:shd w:val="clear" w:color="auto" w:fill="FFFFFF"/>
        </w:rPr>
        <w:t>ng public holidays:</w:t>
      </w:r>
      <w:r w:rsidR="005B201C" w:rsidRPr="00630E54">
        <w:rPr>
          <w:rFonts w:ascii="Times" w:eastAsia="Times New Roman" w:hAnsi="Times"/>
          <w:color w:val="000000" w:themeColor="text1"/>
          <w:shd w:val="clear" w:color="auto" w:fill="FFFFFF"/>
        </w:rPr>
        <w:t xml:space="preserve"> ‘the intermediate comparator’</w:t>
      </w:r>
      <w:r w:rsidR="000D03B6" w:rsidRPr="00630E54">
        <w:rPr>
          <w:rFonts w:ascii="Times" w:eastAsia="Times New Roman" w:hAnsi="Times"/>
          <w:color w:val="000000" w:themeColor="text1"/>
          <w:shd w:val="clear" w:color="auto" w:fill="FFFFFF"/>
        </w:rPr>
        <w:t xml:space="preserve"> in the AG’s characterisation</w:t>
      </w:r>
      <w:r w:rsidR="005B201C" w:rsidRPr="00630E54">
        <w:rPr>
          <w:rFonts w:ascii="Times" w:eastAsia="Times New Roman" w:hAnsi="Times"/>
          <w:color w:val="000000" w:themeColor="text1"/>
          <w:shd w:val="clear" w:color="auto" w:fill="FFFFFF"/>
        </w:rPr>
        <w:t xml:space="preserve">. </w:t>
      </w:r>
      <w:r w:rsidR="006819E6" w:rsidRPr="00630E54">
        <w:rPr>
          <w:rFonts w:ascii="Times" w:hAnsi="Times"/>
          <w:color w:val="000000" w:themeColor="text1"/>
        </w:rPr>
        <w:t>This was essentially the position of the Commission who had argued that</w:t>
      </w:r>
      <w:r w:rsidR="00E804AF" w:rsidRPr="00630E54">
        <w:rPr>
          <w:rFonts w:ascii="Times" w:hAnsi="Times"/>
          <w:color w:val="000000" w:themeColor="text1"/>
        </w:rPr>
        <w:t xml:space="preserve"> there was no discrimination between the </w:t>
      </w:r>
      <w:r w:rsidR="00E804AF" w:rsidRPr="00630E54">
        <w:rPr>
          <w:rFonts w:ascii="Times" w:hAnsi="Times"/>
          <w:i/>
          <w:color w:val="000000" w:themeColor="text1"/>
        </w:rPr>
        <w:t xml:space="preserve">applicant </w:t>
      </w:r>
      <w:r w:rsidR="00327EE0" w:rsidRPr="00630E54">
        <w:rPr>
          <w:rFonts w:ascii="Times" w:hAnsi="Times"/>
          <w:color w:val="000000" w:themeColor="text1"/>
        </w:rPr>
        <w:t xml:space="preserve">(who it </w:t>
      </w:r>
      <w:r w:rsidR="00E804AF" w:rsidRPr="00630E54">
        <w:rPr>
          <w:rFonts w:ascii="Times" w:hAnsi="Times"/>
          <w:color w:val="000000" w:themeColor="text1"/>
        </w:rPr>
        <w:t>assumed to be an atheist) and the member</w:t>
      </w:r>
      <w:r w:rsidR="00327EE0" w:rsidRPr="00630E54">
        <w:rPr>
          <w:rFonts w:ascii="Times" w:hAnsi="Times"/>
          <w:color w:val="000000" w:themeColor="text1"/>
        </w:rPr>
        <w:t>s</w:t>
      </w:r>
      <w:r w:rsidR="00E804AF" w:rsidRPr="00630E54">
        <w:rPr>
          <w:rFonts w:ascii="Times" w:hAnsi="Times"/>
          <w:color w:val="000000" w:themeColor="text1"/>
        </w:rPr>
        <w:t xml:space="preserve"> of the four churches</w:t>
      </w:r>
      <w:r w:rsidR="00327EE0" w:rsidRPr="00630E54">
        <w:rPr>
          <w:rFonts w:ascii="Times" w:hAnsi="Times"/>
          <w:color w:val="000000" w:themeColor="text1"/>
        </w:rPr>
        <w:t xml:space="preserve">, </w:t>
      </w:r>
      <w:r w:rsidR="00E804AF" w:rsidRPr="00630E54">
        <w:rPr>
          <w:rFonts w:ascii="Times" w:hAnsi="Times"/>
          <w:color w:val="000000" w:themeColor="text1"/>
        </w:rPr>
        <w:t xml:space="preserve">but that </w:t>
      </w:r>
      <w:r w:rsidR="00327EE0" w:rsidRPr="00630E54">
        <w:rPr>
          <w:rFonts w:ascii="Times" w:hAnsi="Times"/>
          <w:color w:val="000000" w:themeColor="text1"/>
        </w:rPr>
        <w:t xml:space="preserve">there may be for others who have a religious festival not recognised by the law. It proposed resolving this discrimination by reading the law to give a </w:t>
      </w:r>
      <w:r w:rsidR="006819E6" w:rsidRPr="00630E54">
        <w:rPr>
          <w:rFonts w:ascii="Times" w:hAnsi="Times"/>
          <w:color w:val="000000" w:themeColor="text1"/>
        </w:rPr>
        <w:t>day which everyone could use for</w:t>
      </w:r>
      <w:r w:rsidR="00327EE0" w:rsidRPr="00630E54">
        <w:rPr>
          <w:rFonts w:ascii="Times" w:hAnsi="Times"/>
          <w:color w:val="000000" w:themeColor="text1"/>
        </w:rPr>
        <w:t xml:space="preserve"> an</w:t>
      </w:r>
      <w:r w:rsidR="006819E6" w:rsidRPr="00630E54">
        <w:rPr>
          <w:rFonts w:ascii="Times" w:hAnsi="Times"/>
          <w:color w:val="000000" w:themeColor="text1"/>
        </w:rPr>
        <w:t xml:space="preserve"> </w:t>
      </w:r>
      <w:r w:rsidR="00327EE0" w:rsidRPr="00630E54">
        <w:rPr>
          <w:rFonts w:ascii="Times" w:hAnsi="Times"/>
          <w:color w:val="000000" w:themeColor="text1"/>
        </w:rPr>
        <w:t>important religious holiday</w:t>
      </w:r>
      <w:r w:rsidR="006819E6" w:rsidRPr="00630E54">
        <w:rPr>
          <w:rFonts w:ascii="Times" w:hAnsi="Times"/>
          <w:color w:val="000000" w:themeColor="text1"/>
        </w:rPr>
        <w:t xml:space="preserve"> </w:t>
      </w:r>
      <w:r w:rsidR="00327EE0" w:rsidRPr="00630E54">
        <w:rPr>
          <w:rFonts w:ascii="Times" w:hAnsi="Times"/>
          <w:color w:val="000000" w:themeColor="text1"/>
        </w:rPr>
        <w:t>whatever this</w:t>
      </w:r>
      <w:r w:rsidR="006819E6" w:rsidRPr="00630E54">
        <w:rPr>
          <w:rFonts w:ascii="Times" w:hAnsi="Times"/>
          <w:color w:val="000000" w:themeColor="text1"/>
        </w:rPr>
        <w:t xml:space="preserve"> may be. </w:t>
      </w:r>
      <w:r w:rsidR="00BD7552" w:rsidRPr="00630E54">
        <w:rPr>
          <w:rFonts w:ascii="Times" w:hAnsi="Times"/>
          <w:color w:val="000000" w:themeColor="text1"/>
        </w:rPr>
        <w:t xml:space="preserve">Whether or not </w:t>
      </w:r>
      <w:r w:rsidR="00327EE0" w:rsidRPr="00630E54">
        <w:rPr>
          <w:rFonts w:ascii="Times" w:hAnsi="Times"/>
          <w:color w:val="000000" w:themeColor="text1"/>
        </w:rPr>
        <w:t xml:space="preserve">Achatzi was in </w:t>
      </w:r>
      <w:r w:rsidR="00BD7552" w:rsidRPr="00630E54">
        <w:rPr>
          <w:rFonts w:ascii="Times" w:hAnsi="Times"/>
          <w:color w:val="000000" w:themeColor="text1"/>
        </w:rPr>
        <w:t xml:space="preserve">a similar situation to the members of the four churches </w:t>
      </w:r>
      <w:r w:rsidR="00EC3495" w:rsidRPr="00630E54">
        <w:rPr>
          <w:rFonts w:ascii="Times" w:hAnsi="Times"/>
          <w:color w:val="000000" w:themeColor="text1"/>
        </w:rPr>
        <w:t>would</w:t>
      </w:r>
      <w:r w:rsidR="00327EE0" w:rsidRPr="00630E54">
        <w:rPr>
          <w:rFonts w:ascii="Times" w:hAnsi="Times"/>
          <w:color w:val="000000" w:themeColor="text1"/>
        </w:rPr>
        <w:t xml:space="preserve"> depend on his religious beliefs and would be </w:t>
      </w:r>
      <w:r w:rsidR="00EC3495" w:rsidRPr="00630E54">
        <w:rPr>
          <w:rFonts w:ascii="Times" w:hAnsi="Times"/>
          <w:color w:val="000000" w:themeColor="text1"/>
        </w:rPr>
        <w:t>a matter for the national court.</w:t>
      </w:r>
      <w:r w:rsidR="005B201C" w:rsidRPr="00630E54">
        <w:rPr>
          <w:rFonts w:ascii="Times" w:hAnsi="Times"/>
          <w:color w:val="000000" w:themeColor="text1"/>
        </w:rPr>
        <w:t xml:space="preserve"> </w:t>
      </w:r>
    </w:p>
    <w:p w14:paraId="6075289A" w14:textId="77777777" w:rsidR="00EC3495" w:rsidRPr="00630E54" w:rsidRDefault="00EC3495" w:rsidP="00EC3495">
      <w:pPr>
        <w:rPr>
          <w:rFonts w:ascii="Times" w:eastAsia="Times New Roman" w:hAnsi="Times"/>
          <w:color w:val="000000" w:themeColor="text1"/>
          <w:shd w:val="clear" w:color="auto" w:fill="FFFFFF"/>
        </w:rPr>
      </w:pPr>
    </w:p>
    <w:p w14:paraId="09A37C62" w14:textId="77777777" w:rsidR="00721C52" w:rsidRPr="00630E54" w:rsidRDefault="00EC3495" w:rsidP="00630E54">
      <w:pPr>
        <w:spacing w:line="360" w:lineRule="auto"/>
        <w:jc w:val="both"/>
        <w:rPr>
          <w:rFonts w:ascii="Times" w:eastAsia="Times New Roman" w:hAnsi="Times"/>
          <w:color w:val="000000" w:themeColor="text1"/>
          <w:shd w:val="clear" w:color="auto" w:fill="FFFFFF"/>
        </w:rPr>
      </w:pPr>
      <w:r w:rsidRPr="00630E54">
        <w:rPr>
          <w:rFonts w:ascii="Times" w:eastAsia="Times New Roman" w:hAnsi="Times"/>
          <w:color w:val="000000" w:themeColor="text1"/>
          <w:shd w:val="clear" w:color="auto" w:fill="FFFFFF"/>
        </w:rPr>
        <w:t xml:space="preserve">Both of these comparators were </w:t>
      </w:r>
      <w:r w:rsidR="002C7937">
        <w:rPr>
          <w:rFonts w:ascii="Times" w:eastAsia="Times New Roman" w:hAnsi="Times"/>
          <w:color w:val="000000" w:themeColor="text1"/>
          <w:shd w:val="clear" w:color="auto" w:fill="FFFFFF"/>
        </w:rPr>
        <w:t xml:space="preserve">clearly </w:t>
      </w:r>
      <w:r w:rsidRPr="00630E54">
        <w:rPr>
          <w:rFonts w:ascii="Times" w:eastAsia="Times New Roman" w:hAnsi="Times"/>
          <w:color w:val="000000" w:themeColor="text1"/>
          <w:shd w:val="clear" w:color="auto" w:fill="FFFFFF"/>
        </w:rPr>
        <w:t>inapt though</w:t>
      </w:r>
      <w:r w:rsidR="005B201C" w:rsidRPr="00630E54">
        <w:rPr>
          <w:rFonts w:ascii="Times" w:eastAsia="Times New Roman" w:hAnsi="Times"/>
          <w:color w:val="000000" w:themeColor="text1"/>
          <w:shd w:val="clear" w:color="auto" w:fill="FFFFFF"/>
        </w:rPr>
        <w:t xml:space="preserve"> given the exact nature of the law.</w:t>
      </w:r>
      <w:r w:rsidRPr="00630E54">
        <w:rPr>
          <w:rFonts w:ascii="Times" w:eastAsia="Times New Roman" w:hAnsi="Times"/>
          <w:color w:val="000000" w:themeColor="text1"/>
          <w:shd w:val="clear" w:color="auto" w:fill="FFFFFF"/>
        </w:rPr>
        <w:t xml:space="preserve"> </w:t>
      </w:r>
      <w:r w:rsidR="005B201C" w:rsidRPr="00630E54">
        <w:rPr>
          <w:rFonts w:ascii="Times" w:eastAsia="Times New Roman" w:hAnsi="Times"/>
          <w:color w:val="000000" w:themeColor="text1"/>
          <w:shd w:val="clear" w:color="auto" w:fill="FFFFFF"/>
        </w:rPr>
        <w:t>R</w:t>
      </w:r>
      <w:r w:rsidRPr="00630E54">
        <w:rPr>
          <w:rFonts w:ascii="Times" w:eastAsia="Times New Roman" w:hAnsi="Times"/>
          <w:color w:val="000000" w:themeColor="text1"/>
          <w:shd w:val="clear" w:color="auto" w:fill="FFFFFF"/>
        </w:rPr>
        <w:t xml:space="preserve">ather than </w:t>
      </w:r>
      <w:r w:rsidR="00BF457F" w:rsidRPr="00630E54">
        <w:rPr>
          <w:rFonts w:ascii="Times" w:eastAsia="Times New Roman" w:hAnsi="Times"/>
          <w:color w:val="000000" w:themeColor="text1"/>
          <w:shd w:val="clear" w:color="auto" w:fill="FFFFFF"/>
        </w:rPr>
        <w:t xml:space="preserve">protect the right to worship on Good Friday the law actually encouraged </w:t>
      </w:r>
      <w:r w:rsidR="005B201C" w:rsidRPr="00630E54">
        <w:rPr>
          <w:rFonts w:ascii="Times" w:eastAsia="Times New Roman" w:hAnsi="Times"/>
          <w:color w:val="000000" w:themeColor="text1"/>
          <w:shd w:val="clear" w:color="auto" w:fill="FFFFFF"/>
        </w:rPr>
        <w:t xml:space="preserve">religious </w:t>
      </w:r>
      <w:r w:rsidR="00BF457F" w:rsidRPr="00630E54">
        <w:rPr>
          <w:rFonts w:ascii="Times" w:eastAsia="Times New Roman" w:hAnsi="Times"/>
          <w:color w:val="000000" w:themeColor="text1"/>
          <w:shd w:val="clear" w:color="auto" w:fill="FFFFFF"/>
        </w:rPr>
        <w:t>employees to work because</w:t>
      </w:r>
      <w:r w:rsidR="005B201C" w:rsidRPr="00630E54">
        <w:rPr>
          <w:rFonts w:ascii="Times" w:eastAsia="Times New Roman" w:hAnsi="Times"/>
          <w:color w:val="000000" w:themeColor="text1"/>
          <w:shd w:val="clear" w:color="auto" w:fill="FFFFFF"/>
        </w:rPr>
        <w:t xml:space="preserve"> </w:t>
      </w:r>
      <w:r w:rsidR="00327EE0" w:rsidRPr="00630E54">
        <w:rPr>
          <w:rFonts w:ascii="Times" w:eastAsia="Times New Roman" w:hAnsi="Times"/>
          <w:color w:val="000000" w:themeColor="text1"/>
          <w:shd w:val="clear" w:color="auto" w:fill="FFFFFF"/>
        </w:rPr>
        <w:t>they would receive</w:t>
      </w:r>
      <w:r w:rsidR="005B201C" w:rsidRPr="00630E54">
        <w:rPr>
          <w:rFonts w:ascii="Times" w:eastAsia="Times New Roman" w:hAnsi="Times"/>
          <w:color w:val="000000" w:themeColor="text1"/>
          <w:shd w:val="clear" w:color="auto" w:fill="FFFFFF"/>
        </w:rPr>
        <w:t xml:space="preserve"> double pay</w:t>
      </w:r>
      <w:r w:rsidR="00D03C23" w:rsidRPr="00630E54">
        <w:rPr>
          <w:rFonts w:ascii="Times" w:eastAsia="Times New Roman" w:hAnsi="Times"/>
          <w:color w:val="000000" w:themeColor="text1"/>
          <w:shd w:val="clear" w:color="auto" w:fill="FFFFFF"/>
        </w:rPr>
        <w:t xml:space="preserve">. Given this, </w:t>
      </w:r>
      <w:r w:rsidR="00327EE0" w:rsidRPr="00630E54">
        <w:rPr>
          <w:rFonts w:ascii="Times" w:eastAsia="Times New Roman" w:hAnsi="Times"/>
          <w:color w:val="000000" w:themeColor="text1"/>
          <w:shd w:val="clear" w:color="auto" w:fill="FFFFFF"/>
        </w:rPr>
        <w:t>t</w:t>
      </w:r>
      <w:r w:rsidR="0003274C" w:rsidRPr="00630E54">
        <w:rPr>
          <w:rFonts w:ascii="Times" w:eastAsia="Times New Roman" w:hAnsi="Times"/>
          <w:color w:val="000000" w:themeColor="text1"/>
          <w:shd w:val="clear" w:color="auto" w:fill="FFFFFF"/>
        </w:rPr>
        <w:t xml:space="preserve">he Court therefore found the </w:t>
      </w:r>
      <w:r w:rsidR="005B201C" w:rsidRPr="00630E54">
        <w:rPr>
          <w:rFonts w:ascii="Times" w:eastAsia="Times New Roman" w:hAnsi="Times"/>
          <w:color w:val="000000" w:themeColor="text1"/>
          <w:shd w:val="clear" w:color="auto" w:fill="FFFFFF"/>
        </w:rPr>
        <w:t xml:space="preserve">appropriate </w:t>
      </w:r>
      <w:r w:rsidR="0003274C" w:rsidRPr="00630E54">
        <w:rPr>
          <w:rFonts w:ascii="Times" w:eastAsia="Times New Roman" w:hAnsi="Times"/>
          <w:color w:val="000000" w:themeColor="text1"/>
          <w:shd w:val="clear" w:color="auto" w:fill="FFFFFF"/>
        </w:rPr>
        <w:t>comparator</w:t>
      </w:r>
      <w:r w:rsidR="005B201C" w:rsidRPr="00630E54">
        <w:rPr>
          <w:rFonts w:ascii="Times" w:eastAsia="Times New Roman" w:hAnsi="Times"/>
          <w:color w:val="000000" w:themeColor="text1"/>
          <w:shd w:val="clear" w:color="auto" w:fill="FFFFFF"/>
        </w:rPr>
        <w:t xml:space="preserve"> </w:t>
      </w:r>
      <w:r w:rsidR="0003274C" w:rsidRPr="00630E54">
        <w:rPr>
          <w:rFonts w:ascii="Times" w:eastAsia="Times New Roman" w:hAnsi="Times"/>
          <w:color w:val="000000" w:themeColor="text1"/>
          <w:shd w:val="clear" w:color="auto" w:fill="FFFFFF"/>
        </w:rPr>
        <w:t>to be</w:t>
      </w:r>
      <w:r w:rsidR="00D03C23" w:rsidRPr="00630E54">
        <w:rPr>
          <w:rFonts w:ascii="Times" w:eastAsia="Times New Roman" w:hAnsi="Times"/>
          <w:color w:val="000000" w:themeColor="text1"/>
          <w:shd w:val="clear" w:color="auto" w:fill="FFFFFF"/>
        </w:rPr>
        <w:t xml:space="preserve"> what the AG defined as the ‘broad comparator’</w:t>
      </w:r>
      <w:r w:rsidR="002C7937">
        <w:rPr>
          <w:rFonts w:ascii="Times" w:eastAsia="Times New Roman" w:hAnsi="Times"/>
          <w:color w:val="000000" w:themeColor="text1"/>
          <w:shd w:val="clear" w:color="auto" w:fill="FFFFFF"/>
        </w:rPr>
        <w:t>.</w:t>
      </w:r>
      <w:r w:rsidR="00D03C23" w:rsidRPr="00630E54">
        <w:rPr>
          <w:rFonts w:ascii="Times" w:eastAsia="Times New Roman" w:hAnsi="Times"/>
          <w:color w:val="000000" w:themeColor="text1"/>
          <w:shd w:val="clear" w:color="auto" w:fill="FFFFFF"/>
        </w:rPr>
        <w:t xml:space="preserve"> </w:t>
      </w:r>
      <w:r w:rsidR="002C7937">
        <w:rPr>
          <w:rFonts w:ascii="Times" w:eastAsia="Times New Roman" w:hAnsi="Times"/>
          <w:color w:val="000000" w:themeColor="text1"/>
          <w:shd w:val="clear" w:color="auto" w:fill="FFFFFF"/>
        </w:rPr>
        <w:t xml:space="preserve">This </w:t>
      </w:r>
      <w:r w:rsidR="00B222FA" w:rsidRPr="00630E54">
        <w:rPr>
          <w:rFonts w:ascii="Times" w:eastAsia="Times New Roman" w:hAnsi="Times"/>
          <w:color w:val="000000" w:themeColor="text1"/>
          <w:shd w:val="clear" w:color="auto" w:fill="FFFFFF"/>
        </w:rPr>
        <w:t xml:space="preserve">compared </w:t>
      </w:r>
      <w:r w:rsidR="007833CE">
        <w:rPr>
          <w:rFonts w:ascii="Times" w:eastAsia="Times New Roman" w:hAnsi="Times"/>
          <w:color w:val="000000" w:themeColor="text1"/>
          <w:shd w:val="clear" w:color="auto" w:fill="FFFFFF"/>
        </w:rPr>
        <w:t xml:space="preserve">all other employees </w:t>
      </w:r>
      <w:r w:rsidR="00B222FA" w:rsidRPr="00630E54">
        <w:rPr>
          <w:rFonts w:ascii="Times" w:eastAsia="Times New Roman" w:hAnsi="Times"/>
          <w:color w:val="000000" w:themeColor="text1"/>
          <w:shd w:val="clear" w:color="auto" w:fill="FFFFFF"/>
        </w:rPr>
        <w:t>against</w:t>
      </w:r>
      <w:r w:rsidR="00D03C23" w:rsidRPr="00630E54">
        <w:rPr>
          <w:rFonts w:ascii="Times" w:eastAsia="Times New Roman" w:hAnsi="Times"/>
          <w:color w:val="000000" w:themeColor="text1"/>
          <w:shd w:val="clear" w:color="auto" w:fill="FFFFFF"/>
        </w:rPr>
        <w:t xml:space="preserve"> </w:t>
      </w:r>
      <w:r w:rsidR="00B222FA" w:rsidRPr="00630E54">
        <w:rPr>
          <w:rFonts w:ascii="Times" w:eastAsia="Times New Roman" w:hAnsi="Times"/>
          <w:color w:val="000000" w:themeColor="text1"/>
          <w:shd w:val="clear" w:color="auto" w:fill="FFFFFF"/>
        </w:rPr>
        <w:t>me</w:t>
      </w:r>
      <w:r w:rsidR="00D03C23" w:rsidRPr="00630E54">
        <w:rPr>
          <w:rFonts w:ascii="Times" w:eastAsia="Times New Roman" w:hAnsi="Times"/>
          <w:color w:val="000000" w:themeColor="text1"/>
          <w:shd w:val="clear" w:color="auto" w:fill="FFFFFF"/>
        </w:rPr>
        <w:t>mbers of the four ch</w:t>
      </w:r>
      <w:r w:rsidR="00B222FA" w:rsidRPr="00630E54">
        <w:rPr>
          <w:rFonts w:ascii="Times" w:eastAsia="Times New Roman" w:hAnsi="Times"/>
          <w:color w:val="000000" w:themeColor="text1"/>
          <w:shd w:val="clear" w:color="auto" w:fill="FFFFFF"/>
        </w:rPr>
        <w:t xml:space="preserve">urches working on Good Friday: they would receive the extra payment, </w:t>
      </w:r>
      <w:r w:rsidR="00B75E1A">
        <w:rPr>
          <w:rFonts w:ascii="Times" w:eastAsia="Times New Roman" w:hAnsi="Times"/>
          <w:color w:val="000000" w:themeColor="text1"/>
          <w:shd w:val="clear" w:color="auto" w:fill="FFFFFF"/>
        </w:rPr>
        <w:t>others</w:t>
      </w:r>
      <w:r w:rsidR="00B222FA" w:rsidRPr="00630E54">
        <w:rPr>
          <w:rFonts w:ascii="Times" w:eastAsia="Times New Roman" w:hAnsi="Times"/>
          <w:color w:val="000000" w:themeColor="text1"/>
          <w:shd w:val="clear" w:color="auto" w:fill="FFFFFF"/>
        </w:rPr>
        <w:t xml:space="preserve"> would not. </w:t>
      </w:r>
      <w:r w:rsidR="00520531" w:rsidRPr="00630E54">
        <w:rPr>
          <w:rFonts w:ascii="Times" w:hAnsi="Times"/>
          <w:color w:val="000000" w:themeColor="text1"/>
          <w:lang w:val="en-US"/>
        </w:rPr>
        <w:t>Of importance was that t</w:t>
      </w:r>
      <w:r w:rsidR="00721C52" w:rsidRPr="00630E54">
        <w:rPr>
          <w:rFonts w:ascii="Times" w:hAnsi="Times"/>
          <w:color w:val="000000" w:themeColor="text1"/>
          <w:lang w:val="en-US"/>
        </w:rPr>
        <w:t>here was no requirement that the employee fulfil any religious duty that day</w:t>
      </w:r>
      <w:r w:rsidR="00520531" w:rsidRPr="00630E54">
        <w:rPr>
          <w:rFonts w:ascii="Times" w:hAnsi="Times"/>
          <w:color w:val="000000" w:themeColor="text1"/>
          <w:lang w:val="en-US"/>
        </w:rPr>
        <w:t xml:space="preserve"> or even believe themselves to be </w:t>
      </w:r>
      <w:r w:rsidR="00860478" w:rsidRPr="00630E54">
        <w:rPr>
          <w:rFonts w:ascii="Times" w:hAnsi="Times"/>
          <w:color w:val="000000" w:themeColor="text1"/>
          <w:lang w:val="en-US"/>
        </w:rPr>
        <w:t xml:space="preserve">under </w:t>
      </w:r>
      <w:r w:rsidR="0046629A" w:rsidRPr="00630E54">
        <w:rPr>
          <w:rFonts w:ascii="Times" w:hAnsi="Times"/>
          <w:color w:val="000000" w:themeColor="text1"/>
          <w:lang w:val="en-US"/>
        </w:rPr>
        <w:t xml:space="preserve">a </w:t>
      </w:r>
      <w:r w:rsidR="00860478" w:rsidRPr="00630E54">
        <w:rPr>
          <w:rFonts w:ascii="Times" w:hAnsi="Times"/>
          <w:color w:val="000000" w:themeColor="text1"/>
          <w:lang w:val="en-US"/>
        </w:rPr>
        <w:t>religious obligation to do. All that was required</w:t>
      </w:r>
      <w:r w:rsidR="00721C52" w:rsidRPr="00630E54">
        <w:rPr>
          <w:rFonts w:ascii="Times" w:hAnsi="Times"/>
          <w:color w:val="000000" w:themeColor="text1"/>
          <w:lang w:val="en-US"/>
        </w:rPr>
        <w:t xml:space="preserve"> </w:t>
      </w:r>
      <w:r w:rsidR="00860478" w:rsidRPr="00630E54">
        <w:rPr>
          <w:rFonts w:ascii="Times" w:hAnsi="Times"/>
          <w:color w:val="000000" w:themeColor="text1"/>
          <w:lang w:val="en-US"/>
        </w:rPr>
        <w:t>was</w:t>
      </w:r>
      <w:r w:rsidR="00721C52" w:rsidRPr="00630E54">
        <w:rPr>
          <w:rFonts w:ascii="Times" w:hAnsi="Times"/>
          <w:color w:val="000000" w:themeColor="text1"/>
          <w:lang w:val="en-US"/>
        </w:rPr>
        <w:t xml:space="preserve"> that the employee must formally be a member of that religious community. </w:t>
      </w:r>
      <w:r w:rsidR="00860478" w:rsidRPr="00630E54">
        <w:rPr>
          <w:rFonts w:ascii="Times" w:hAnsi="Times"/>
          <w:color w:val="000000" w:themeColor="text1"/>
          <w:lang w:val="en-US"/>
        </w:rPr>
        <w:t xml:space="preserve">Since it was therefore </w:t>
      </w:r>
      <w:r w:rsidR="00F234A4" w:rsidRPr="00630E54">
        <w:rPr>
          <w:rFonts w:ascii="Times" w:hAnsi="Times"/>
          <w:color w:val="000000" w:themeColor="text1"/>
          <w:lang w:val="en-US"/>
        </w:rPr>
        <w:t xml:space="preserve">no different from any other rest or </w:t>
      </w:r>
      <w:r w:rsidR="00721C52" w:rsidRPr="00630E54">
        <w:rPr>
          <w:rFonts w:ascii="Times" w:hAnsi="Times"/>
          <w:color w:val="000000" w:themeColor="text1"/>
          <w:lang w:val="en-US"/>
        </w:rPr>
        <w:t>leisure day</w:t>
      </w:r>
      <w:r w:rsidR="00BE112A" w:rsidRPr="00630E54">
        <w:rPr>
          <w:rFonts w:ascii="Times" w:hAnsi="Times"/>
          <w:color w:val="000000" w:themeColor="text1"/>
          <w:lang w:val="en-US"/>
        </w:rPr>
        <w:t xml:space="preserve"> for these employees</w:t>
      </w:r>
      <w:r w:rsidR="00F234A4" w:rsidRPr="00630E54">
        <w:rPr>
          <w:rFonts w:ascii="Times" w:hAnsi="Times"/>
          <w:color w:val="000000" w:themeColor="text1"/>
          <w:lang w:val="en-US"/>
        </w:rPr>
        <w:t xml:space="preserve">, </w:t>
      </w:r>
      <w:r w:rsidR="00BE112A" w:rsidRPr="00630E54">
        <w:rPr>
          <w:rFonts w:ascii="Times" w:hAnsi="Times"/>
          <w:color w:val="000000" w:themeColor="text1"/>
          <w:lang w:val="en-US"/>
        </w:rPr>
        <w:t xml:space="preserve">the law </w:t>
      </w:r>
      <w:r w:rsidR="00062DDD" w:rsidRPr="00630E54">
        <w:rPr>
          <w:rFonts w:ascii="Times" w:hAnsi="Times"/>
          <w:color w:val="000000" w:themeColor="text1"/>
          <w:lang w:val="en-US"/>
        </w:rPr>
        <w:t>h</w:t>
      </w:r>
      <w:r w:rsidR="00721C52" w:rsidRPr="00630E54">
        <w:rPr>
          <w:rFonts w:ascii="Times" w:hAnsi="Times"/>
          <w:color w:val="000000" w:themeColor="text1"/>
          <w:lang w:val="en-US"/>
        </w:rPr>
        <w:t>ad the effect of treating comparab</w:t>
      </w:r>
      <w:r w:rsidR="0046629A" w:rsidRPr="00630E54">
        <w:rPr>
          <w:rFonts w:ascii="Times" w:hAnsi="Times"/>
          <w:color w:val="000000" w:themeColor="text1"/>
          <w:lang w:val="en-US"/>
        </w:rPr>
        <w:t>le situations differently and</w:t>
      </w:r>
      <w:r w:rsidR="00721C52" w:rsidRPr="00630E54">
        <w:rPr>
          <w:rFonts w:ascii="Times" w:hAnsi="Times"/>
          <w:color w:val="000000" w:themeColor="text1"/>
          <w:lang w:val="en-US"/>
        </w:rPr>
        <w:t xml:space="preserve"> </w:t>
      </w:r>
      <w:r w:rsidR="00062DDD" w:rsidRPr="00630E54">
        <w:rPr>
          <w:rFonts w:ascii="Times" w:hAnsi="Times"/>
          <w:color w:val="000000" w:themeColor="text1"/>
          <w:lang w:val="en-US"/>
        </w:rPr>
        <w:t xml:space="preserve">so </w:t>
      </w:r>
      <w:r w:rsidR="00721C52" w:rsidRPr="00630E54">
        <w:rPr>
          <w:rFonts w:ascii="Times" w:hAnsi="Times"/>
          <w:color w:val="000000" w:themeColor="text1"/>
          <w:lang w:val="en-US"/>
        </w:rPr>
        <w:t xml:space="preserve">amounted to direct discrimination. </w:t>
      </w:r>
    </w:p>
    <w:p w14:paraId="5FE7664F" w14:textId="77777777" w:rsidR="00721C52" w:rsidRPr="00630E54" w:rsidRDefault="00721C52" w:rsidP="00B46D6A">
      <w:pPr>
        <w:spacing w:line="360" w:lineRule="auto"/>
        <w:jc w:val="both"/>
        <w:rPr>
          <w:rFonts w:ascii="Times" w:hAnsi="Times"/>
          <w:color w:val="000000" w:themeColor="text1"/>
          <w:lang w:val="en-US"/>
        </w:rPr>
      </w:pPr>
    </w:p>
    <w:p w14:paraId="4B4CD311" w14:textId="77777777" w:rsidR="009D4822" w:rsidRPr="00630E54" w:rsidRDefault="00D03C23" w:rsidP="00B46D6A">
      <w:pPr>
        <w:spacing w:line="360" w:lineRule="auto"/>
        <w:jc w:val="both"/>
        <w:rPr>
          <w:rFonts w:ascii="Times" w:hAnsi="Times"/>
          <w:color w:val="000000" w:themeColor="text1"/>
          <w:lang w:val="en-US"/>
        </w:rPr>
      </w:pPr>
      <w:r w:rsidRPr="00630E54">
        <w:rPr>
          <w:rFonts w:ascii="Times" w:hAnsi="Times"/>
          <w:color w:val="000000" w:themeColor="text1"/>
          <w:lang w:val="en-US"/>
        </w:rPr>
        <w:t xml:space="preserve">It is </w:t>
      </w:r>
      <w:r w:rsidR="009D4822" w:rsidRPr="00630E54">
        <w:rPr>
          <w:rFonts w:ascii="Times" w:hAnsi="Times"/>
          <w:color w:val="000000" w:themeColor="text1"/>
          <w:lang w:val="en-US"/>
        </w:rPr>
        <w:t>a more difficult</w:t>
      </w:r>
      <w:r w:rsidRPr="00630E54">
        <w:rPr>
          <w:rFonts w:ascii="Times" w:hAnsi="Times"/>
          <w:color w:val="000000" w:themeColor="text1"/>
          <w:lang w:val="en-US"/>
        </w:rPr>
        <w:t xml:space="preserve"> question whether the result would have been the same if the law had only given an unpaid day off to members of the four Churches</w:t>
      </w:r>
      <w:r w:rsidR="00840F35" w:rsidRPr="00630E54">
        <w:rPr>
          <w:rFonts w:ascii="Times" w:hAnsi="Times"/>
          <w:color w:val="000000" w:themeColor="text1"/>
          <w:lang w:val="en-US"/>
        </w:rPr>
        <w:t xml:space="preserve"> and therefore</w:t>
      </w:r>
      <w:r w:rsidR="00454271">
        <w:rPr>
          <w:rFonts w:ascii="Times" w:hAnsi="Times"/>
          <w:color w:val="000000" w:themeColor="text1"/>
          <w:lang w:val="en-US"/>
        </w:rPr>
        <w:t xml:space="preserve"> gave no f</w:t>
      </w:r>
      <w:r w:rsidR="00086D40" w:rsidRPr="00630E54">
        <w:rPr>
          <w:rFonts w:ascii="Times" w:hAnsi="Times"/>
          <w:color w:val="000000" w:themeColor="text1"/>
          <w:lang w:val="en-US"/>
        </w:rPr>
        <w:t>inancial benefit</w:t>
      </w:r>
      <w:r w:rsidRPr="00630E54">
        <w:rPr>
          <w:rFonts w:ascii="Times" w:hAnsi="Times"/>
          <w:color w:val="000000" w:themeColor="text1"/>
          <w:lang w:val="en-US"/>
        </w:rPr>
        <w:t xml:space="preserve">. </w:t>
      </w:r>
      <w:r w:rsidR="00C31818" w:rsidRPr="00630E54">
        <w:rPr>
          <w:rFonts w:ascii="Times" w:hAnsi="Times"/>
          <w:color w:val="000000" w:themeColor="text1"/>
          <w:lang w:val="en-US"/>
        </w:rPr>
        <w:t xml:space="preserve">The argument here would be that employees of other religious beliefs would not need a day off to practice their religion on that day. Assuming that Achatzi was not a member of a religion who either wanted Good Friday off </w:t>
      </w:r>
      <w:r w:rsidR="00C31818" w:rsidRPr="00630E54">
        <w:rPr>
          <w:rFonts w:ascii="Times" w:hAnsi="Times"/>
          <w:i/>
          <w:color w:val="000000" w:themeColor="text1"/>
          <w:lang w:val="en-US"/>
        </w:rPr>
        <w:t xml:space="preserve">or </w:t>
      </w:r>
      <w:r w:rsidR="00C31818" w:rsidRPr="00630E54">
        <w:rPr>
          <w:rFonts w:ascii="Times" w:hAnsi="Times"/>
          <w:color w:val="000000" w:themeColor="text1"/>
          <w:lang w:val="en-US"/>
        </w:rPr>
        <w:t xml:space="preserve">another day </w:t>
      </w:r>
      <w:r w:rsidR="00783C1C" w:rsidRPr="00630E54">
        <w:rPr>
          <w:rFonts w:ascii="Times" w:hAnsi="Times"/>
          <w:color w:val="000000" w:themeColor="text1"/>
          <w:lang w:val="en-US"/>
        </w:rPr>
        <w:t>not given by the law</w:t>
      </w:r>
      <w:r w:rsidR="00040FB1">
        <w:rPr>
          <w:rFonts w:ascii="Times" w:hAnsi="Times"/>
          <w:color w:val="000000" w:themeColor="text1"/>
          <w:lang w:val="en-US"/>
        </w:rPr>
        <w:t xml:space="preserve"> for religious celebration or to perform religious rites</w:t>
      </w:r>
      <w:r w:rsidR="00783C1C" w:rsidRPr="00630E54">
        <w:rPr>
          <w:rFonts w:ascii="Times" w:hAnsi="Times"/>
          <w:color w:val="000000" w:themeColor="text1"/>
          <w:lang w:val="en-US"/>
        </w:rPr>
        <w:t xml:space="preserve">, there is an argument his situation </w:t>
      </w:r>
      <w:r w:rsidR="009D4822" w:rsidRPr="00630E54">
        <w:rPr>
          <w:rFonts w:ascii="Times" w:hAnsi="Times"/>
          <w:color w:val="000000" w:themeColor="text1"/>
          <w:lang w:val="en-US"/>
        </w:rPr>
        <w:t>would</w:t>
      </w:r>
      <w:r w:rsidR="00783C1C" w:rsidRPr="00630E54">
        <w:rPr>
          <w:rFonts w:ascii="Times" w:hAnsi="Times"/>
          <w:color w:val="000000" w:themeColor="text1"/>
          <w:lang w:val="en-US"/>
        </w:rPr>
        <w:t xml:space="preserve"> not </w:t>
      </w:r>
      <w:r w:rsidR="009D4822" w:rsidRPr="00630E54">
        <w:rPr>
          <w:rFonts w:ascii="Times" w:hAnsi="Times"/>
          <w:color w:val="000000" w:themeColor="text1"/>
          <w:lang w:val="en-US"/>
        </w:rPr>
        <w:t xml:space="preserve">be </w:t>
      </w:r>
      <w:r w:rsidR="00783C1C" w:rsidRPr="00630E54">
        <w:rPr>
          <w:rFonts w:ascii="Times" w:hAnsi="Times"/>
          <w:color w:val="000000" w:themeColor="text1"/>
          <w:lang w:val="en-US"/>
        </w:rPr>
        <w:t xml:space="preserve">comparable. </w:t>
      </w:r>
      <w:r w:rsidR="009D4822" w:rsidRPr="00630E54">
        <w:rPr>
          <w:rFonts w:ascii="Times" w:hAnsi="Times"/>
          <w:color w:val="000000" w:themeColor="text1"/>
          <w:lang w:val="en-US"/>
        </w:rPr>
        <w:t>However, this would still be discriminatory because the unpaid day off was not connected to any specific religious need: all that was required was formal membership of the church</w:t>
      </w:r>
      <w:r w:rsidR="00605B11" w:rsidRPr="00630E54">
        <w:rPr>
          <w:rFonts w:ascii="Times" w:hAnsi="Times"/>
          <w:color w:val="000000" w:themeColor="text1"/>
          <w:lang w:val="en-US"/>
        </w:rPr>
        <w:t>.</w:t>
      </w:r>
      <w:r w:rsidR="000D25DD" w:rsidRPr="00630E54">
        <w:rPr>
          <w:rStyle w:val="FootnoteReference"/>
          <w:rFonts w:ascii="Times" w:hAnsi="Times"/>
          <w:color w:val="000000" w:themeColor="text1"/>
          <w:lang w:val="en-US"/>
        </w:rPr>
        <w:footnoteReference w:id="9"/>
      </w:r>
      <w:r w:rsidR="00605B11" w:rsidRPr="00630E54">
        <w:rPr>
          <w:rFonts w:ascii="Times" w:hAnsi="Times"/>
          <w:color w:val="000000" w:themeColor="text1"/>
          <w:lang w:val="en-US"/>
        </w:rPr>
        <w:t xml:space="preserve"> </w:t>
      </w:r>
      <w:r w:rsidR="009C09F8" w:rsidRPr="00630E54">
        <w:rPr>
          <w:rFonts w:ascii="Times" w:hAnsi="Times"/>
          <w:color w:val="000000" w:themeColor="text1"/>
          <w:lang w:val="en-US"/>
        </w:rPr>
        <w:t>Achatzi would</w:t>
      </w:r>
      <w:r w:rsidR="00D055FB" w:rsidRPr="00630E54">
        <w:rPr>
          <w:rFonts w:ascii="Times" w:hAnsi="Times"/>
          <w:color w:val="000000" w:themeColor="text1"/>
          <w:lang w:val="en-US"/>
        </w:rPr>
        <w:t xml:space="preserve"> still</w:t>
      </w:r>
      <w:r w:rsidR="009C09F8" w:rsidRPr="00630E54">
        <w:rPr>
          <w:rFonts w:ascii="Times" w:hAnsi="Times"/>
          <w:color w:val="000000" w:themeColor="text1"/>
          <w:lang w:val="en-US"/>
        </w:rPr>
        <w:t xml:space="preserve"> be in a comparable situation to an employee who was a formal member but who treated it as any other rest/leisure day. </w:t>
      </w:r>
      <w:r w:rsidR="00605B11" w:rsidRPr="00630E54">
        <w:rPr>
          <w:rFonts w:ascii="Times" w:hAnsi="Times"/>
          <w:color w:val="000000" w:themeColor="text1"/>
          <w:lang w:val="en-US"/>
        </w:rPr>
        <w:t>By contras</w:t>
      </w:r>
      <w:r w:rsidR="009C09F8" w:rsidRPr="00630E54">
        <w:rPr>
          <w:rFonts w:ascii="Times" w:hAnsi="Times"/>
          <w:color w:val="000000" w:themeColor="text1"/>
          <w:lang w:val="en-US"/>
        </w:rPr>
        <w:t xml:space="preserve">t an employee who </w:t>
      </w:r>
      <w:r w:rsidR="00605B11" w:rsidRPr="00630E54">
        <w:rPr>
          <w:rFonts w:ascii="Times" w:hAnsi="Times"/>
          <w:color w:val="000000" w:themeColor="text1"/>
          <w:lang w:val="en-US"/>
        </w:rPr>
        <w:t>wished to observe Good Friday b</w:t>
      </w:r>
      <w:r w:rsidR="00D055FB" w:rsidRPr="00630E54">
        <w:rPr>
          <w:rFonts w:ascii="Times" w:hAnsi="Times"/>
          <w:color w:val="000000" w:themeColor="text1"/>
          <w:lang w:val="en-US"/>
        </w:rPr>
        <w:t>ut who was not a member of the</w:t>
      </w:r>
      <w:r w:rsidR="00605B11" w:rsidRPr="00630E54">
        <w:rPr>
          <w:rFonts w:ascii="Times" w:hAnsi="Times"/>
          <w:color w:val="000000" w:themeColor="text1"/>
          <w:lang w:val="en-US"/>
        </w:rPr>
        <w:t xml:space="preserve"> specified churches would not have </w:t>
      </w:r>
      <w:r w:rsidR="009C09F8" w:rsidRPr="00630E54">
        <w:rPr>
          <w:rFonts w:ascii="Times" w:hAnsi="Times"/>
          <w:color w:val="000000" w:themeColor="text1"/>
          <w:lang w:val="en-US"/>
        </w:rPr>
        <w:t xml:space="preserve">the right to </w:t>
      </w:r>
      <w:r w:rsidR="00A135D3" w:rsidRPr="00630E54">
        <w:rPr>
          <w:rFonts w:ascii="Times" w:hAnsi="Times"/>
          <w:color w:val="000000" w:themeColor="text1"/>
          <w:lang w:val="en-US"/>
        </w:rPr>
        <w:t>a day off.</w:t>
      </w:r>
      <w:r w:rsidR="00782D82">
        <w:rPr>
          <w:rFonts w:ascii="Times" w:hAnsi="Times"/>
          <w:color w:val="000000" w:themeColor="text1"/>
          <w:lang w:val="en-US"/>
        </w:rPr>
        <w:t xml:space="preserve"> The law would still be both under and over inclusive. </w:t>
      </w:r>
    </w:p>
    <w:p w14:paraId="5D4A225E" w14:textId="77777777" w:rsidR="00D03C23" w:rsidRPr="00630E54" w:rsidRDefault="00D03C23" w:rsidP="00B46D6A">
      <w:pPr>
        <w:spacing w:line="360" w:lineRule="auto"/>
        <w:jc w:val="both"/>
        <w:rPr>
          <w:rFonts w:ascii="Times" w:hAnsi="Times"/>
          <w:color w:val="000000" w:themeColor="text1"/>
          <w:lang w:val="en-US"/>
        </w:rPr>
      </w:pPr>
    </w:p>
    <w:p w14:paraId="00155F45" w14:textId="77777777" w:rsidR="00B524D4" w:rsidRPr="00630E54" w:rsidRDefault="00A135D3" w:rsidP="00B46D6A">
      <w:pPr>
        <w:spacing w:line="360" w:lineRule="auto"/>
        <w:jc w:val="both"/>
        <w:rPr>
          <w:rFonts w:ascii="Times" w:hAnsi="Times"/>
          <w:color w:val="000000" w:themeColor="text1"/>
          <w:lang w:val="en-US"/>
        </w:rPr>
      </w:pPr>
      <w:r w:rsidRPr="00630E54">
        <w:rPr>
          <w:rFonts w:ascii="Times" w:hAnsi="Times"/>
          <w:color w:val="000000" w:themeColor="text1"/>
          <w:lang w:val="en-US"/>
        </w:rPr>
        <w:t>Ha</w:t>
      </w:r>
      <w:r w:rsidR="00EB36C9" w:rsidRPr="00630E54">
        <w:rPr>
          <w:rFonts w:ascii="Times" w:hAnsi="Times"/>
          <w:color w:val="000000" w:themeColor="text1"/>
          <w:lang w:val="en-US"/>
        </w:rPr>
        <w:t>ving decided that Acht</w:t>
      </w:r>
      <w:r w:rsidR="00454271">
        <w:rPr>
          <w:rFonts w:ascii="Times" w:hAnsi="Times"/>
          <w:color w:val="000000" w:themeColor="text1"/>
          <w:lang w:val="en-US"/>
        </w:rPr>
        <w:t>azi’s situation was comparable, t</w:t>
      </w:r>
      <w:r w:rsidR="00F234A4" w:rsidRPr="00630E54">
        <w:rPr>
          <w:rFonts w:ascii="Times" w:hAnsi="Times"/>
          <w:color w:val="000000" w:themeColor="text1"/>
          <w:lang w:val="en-US"/>
        </w:rPr>
        <w:t xml:space="preserve">he Court went on to consider </w:t>
      </w:r>
      <w:r w:rsidR="008A411A" w:rsidRPr="00630E54">
        <w:rPr>
          <w:rFonts w:ascii="Times" w:hAnsi="Times"/>
          <w:color w:val="000000" w:themeColor="text1"/>
          <w:lang w:val="en-US"/>
        </w:rPr>
        <w:t>whether this</w:t>
      </w:r>
      <w:r w:rsidR="00F234A4" w:rsidRPr="00630E54">
        <w:rPr>
          <w:rFonts w:ascii="Times" w:hAnsi="Times"/>
          <w:color w:val="000000" w:themeColor="text1"/>
          <w:lang w:val="en-US"/>
        </w:rPr>
        <w:t xml:space="preserve"> difference in treatment</w:t>
      </w:r>
      <w:r w:rsidR="008A411A" w:rsidRPr="00630E54">
        <w:rPr>
          <w:rFonts w:ascii="Times" w:hAnsi="Times"/>
          <w:color w:val="000000" w:themeColor="text1"/>
          <w:lang w:val="en-US"/>
        </w:rPr>
        <w:t xml:space="preserve"> was justified</w:t>
      </w:r>
      <w:r w:rsidR="009B1FC0" w:rsidRPr="00630E54">
        <w:rPr>
          <w:rFonts w:ascii="Times" w:hAnsi="Times"/>
          <w:color w:val="000000" w:themeColor="text1"/>
          <w:lang w:val="en-US"/>
        </w:rPr>
        <w:t xml:space="preserve"> either because </w:t>
      </w:r>
      <w:r w:rsidR="00062DDD" w:rsidRPr="00630E54">
        <w:rPr>
          <w:rFonts w:ascii="Times" w:hAnsi="Times"/>
          <w:color w:val="000000" w:themeColor="text1"/>
          <w:lang w:val="en-US"/>
        </w:rPr>
        <w:t>it</w:t>
      </w:r>
      <w:r w:rsidR="009B1FC0" w:rsidRPr="00630E54">
        <w:rPr>
          <w:rFonts w:ascii="Times" w:hAnsi="Times"/>
          <w:color w:val="000000" w:themeColor="text1"/>
          <w:lang w:val="en-US"/>
        </w:rPr>
        <w:t xml:space="preserve"> amounted </w:t>
      </w:r>
      <w:r w:rsidR="0046629A" w:rsidRPr="00630E54">
        <w:rPr>
          <w:rFonts w:ascii="Times" w:hAnsi="Times"/>
          <w:color w:val="000000" w:themeColor="text1"/>
          <w:lang w:val="en-US"/>
        </w:rPr>
        <w:t>to a measure under national law</w:t>
      </w:r>
      <w:r w:rsidR="009B1FC0" w:rsidRPr="00630E54">
        <w:rPr>
          <w:rFonts w:ascii="Times" w:hAnsi="Times"/>
          <w:color w:val="000000" w:themeColor="text1"/>
          <w:lang w:val="en-US"/>
        </w:rPr>
        <w:t xml:space="preserve"> which in a democratic society is necessary</w:t>
      </w:r>
      <w:r w:rsidR="00BE112A" w:rsidRPr="00630E54">
        <w:rPr>
          <w:rFonts w:ascii="Times" w:hAnsi="Times"/>
          <w:color w:val="000000" w:themeColor="text1"/>
          <w:lang w:val="en-US"/>
        </w:rPr>
        <w:t xml:space="preserve"> </w:t>
      </w:r>
      <w:r w:rsidR="009B1FC0" w:rsidRPr="00630E54">
        <w:rPr>
          <w:rFonts w:ascii="Times" w:hAnsi="Times"/>
          <w:color w:val="000000" w:themeColor="text1"/>
          <w:lang w:val="en-US"/>
        </w:rPr>
        <w:t xml:space="preserve">for the protection of the </w:t>
      </w:r>
      <w:r w:rsidR="00CB2085" w:rsidRPr="00630E54">
        <w:rPr>
          <w:rFonts w:ascii="Times" w:hAnsi="Times"/>
          <w:color w:val="000000" w:themeColor="text1"/>
          <w:lang w:val="en-US"/>
        </w:rPr>
        <w:t>rights and freedoms of others</w:t>
      </w:r>
      <w:r w:rsidR="00BE112A" w:rsidRPr="00630E54">
        <w:rPr>
          <w:rFonts w:ascii="Times" w:hAnsi="Times"/>
          <w:color w:val="000000" w:themeColor="text1"/>
          <w:lang w:val="en-US"/>
        </w:rPr>
        <w:t>,</w:t>
      </w:r>
      <w:r w:rsidR="00062DDD" w:rsidRPr="00630E54">
        <w:rPr>
          <w:rFonts w:ascii="Times" w:hAnsi="Times"/>
          <w:color w:val="000000" w:themeColor="text1"/>
          <w:lang w:val="en-US"/>
        </w:rPr>
        <w:t xml:space="preserve"> under Art 2(5) of the D</w:t>
      </w:r>
      <w:r w:rsidR="00CB2085" w:rsidRPr="00630E54">
        <w:rPr>
          <w:rFonts w:ascii="Times" w:hAnsi="Times"/>
          <w:color w:val="000000" w:themeColor="text1"/>
          <w:lang w:val="en-US"/>
        </w:rPr>
        <w:t>irective</w:t>
      </w:r>
      <w:r w:rsidR="0046629A" w:rsidRPr="00630E54">
        <w:rPr>
          <w:rFonts w:ascii="Times" w:hAnsi="Times"/>
          <w:color w:val="000000" w:themeColor="text1"/>
          <w:lang w:val="en-US"/>
        </w:rPr>
        <w:t xml:space="preserve">, or </w:t>
      </w:r>
      <w:r w:rsidR="00F4569E" w:rsidRPr="00630E54">
        <w:rPr>
          <w:rFonts w:ascii="Times" w:hAnsi="Times"/>
          <w:color w:val="000000" w:themeColor="text1"/>
          <w:lang w:val="en-US"/>
        </w:rPr>
        <w:t xml:space="preserve">because it amounted to </w:t>
      </w:r>
      <w:r w:rsidR="00B524D4" w:rsidRPr="00630E54">
        <w:rPr>
          <w:rFonts w:ascii="Times" w:hAnsi="Times"/>
          <w:color w:val="000000" w:themeColor="text1"/>
          <w:lang w:val="en-US"/>
        </w:rPr>
        <w:t xml:space="preserve">positive action </w:t>
      </w:r>
      <w:r w:rsidR="00F4569E" w:rsidRPr="00630E54">
        <w:rPr>
          <w:rFonts w:ascii="Times" w:hAnsi="Times"/>
          <w:color w:val="000000" w:themeColor="text1"/>
          <w:lang w:val="en-US"/>
        </w:rPr>
        <w:t xml:space="preserve">under Art 7(1). This permits </w:t>
      </w:r>
      <w:r w:rsidR="00B524D4" w:rsidRPr="00630E54">
        <w:rPr>
          <w:rFonts w:ascii="Times" w:hAnsi="Times"/>
          <w:color w:val="000000" w:themeColor="text1"/>
          <w:lang w:val="en-US"/>
        </w:rPr>
        <w:t>measures</w:t>
      </w:r>
      <w:r w:rsidR="00F4569E" w:rsidRPr="00630E54">
        <w:rPr>
          <w:rFonts w:ascii="Times" w:hAnsi="Times"/>
          <w:color w:val="000000" w:themeColor="text1"/>
          <w:lang w:val="en-US"/>
        </w:rPr>
        <w:t xml:space="preserve"> which</w:t>
      </w:r>
      <w:r w:rsidR="00B524D4" w:rsidRPr="00630E54">
        <w:rPr>
          <w:rFonts w:ascii="Times" w:hAnsi="Times"/>
          <w:color w:val="000000" w:themeColor="text1"/>
          <w:lang w:val="en-US"/>
        </w:rPr>
        <w:t xml:space="preserve"> are designed to </w:t>
      </w:r>
      <w:r w:rsidR="00DB6D6D" w:rsidRPr="00630E54">
        <w:rPr>
          <w:rFonts w:ascii="Times" w:hAnsi="Times"/>
          <w:color w:val="000000" w:themeColor="text1"/>
          <w:lang w:val="en-US"/>
        </w:rPr>
        <w:t>prevent or compensate for disadvantages</w:t>
      </w:r>
      <w:r w:rsidR="00B524D4" w:rsidRPr="00630E54">
        <w:rPr>
          <w:rFonts w:ascii="Times" w:hAnsi="Times"/>
          <w:color w:val="000000" w:themeColor="text1"/>
          <w:lang w:val="en-US"/>
        </w:rPr>
        <w:t xml:space="preserve"> on any of the grounds referred to in the Directive</w:t>
      </w:r>
      <w:r w:rsidR="008A411A" w:rsidRPr="00630E54">
        <w:rPr>
          <w:rFonts w:ascii="Times" w:hAnsi="Times"/>
          <w:color w:val="000000" w:themeColor="text1"/>
          <w:lang w:val="en-US"/>
        </w:rPr>
        <w:t xml:space="preserve">. </w:t>
      </w:r>
    </w:p>
    <w:p w14:paraId="4EF49BDA" w14:textId="77777777" w:rsidR="00B524D4" w:rsidRPr="00630E54" w:rsidRDefault="00B524D4" w:rsidP="00B46D6A">
      <w:pPr>
        <w:spacing w:line="360" w:lineRule="auto"/>
        <w:jc w:val="both"/>
        <w:rPr>
          <w:rFonts w:ascii="Times" w:hAnsi="Times"/>
          <w:color w:val="000000" w:themeColor="text1"/>
          <w:lang w:val="en-US"/>
        </w:rPr>
      </w:pPr>
    </w:p>
    <w:p w14:paraId="190BE679" w14:textId="77777777" w:rsidR="008B0418" w:rsidRPr="00630E54" w:rsidRDefault="00D055FB" w:rsidP="00B46D6A">
      <w:pPr>
        <w:spacing w:line="360" w:lineRule="auto"/>
        <w:jc w:val="both"/>
        <w:rPr>
          <w:rFonts w:ascii="Times" w:hAnsi="Times"/>
          <w:color w:val="000000" w:themeColor="text1"/>
          <w:lang w:val="en-US"/>
        </w:rPr>
      </w:pPr>
      <w:r w:rsidRPr="00630E54">
        <w:rPr>
          <w:rFonts w:ascii="Times" w:hAnsi="Times"/>
          <w:color w:val="000000" w:themeColor="text1"/>
          <w:lang w:val="en-US"/>
        </w:rPr>
        <w:t xml:space="preserve">Once prima facie discrimination had been found, </w:t>
      </w:r>
      <w:r w:rsidR="00F4569E" w:rsidRPr="00630E54">
        <w:rPr>
          <w:rFonts w:ascii="Times" w:hAnsi="Times"/>
          <w:color w:val="000000" w:themeColor="text1"/>
          <w:lang w:val="en-US"/>
        </w:rPr>
        <w:t>Austria argued that the law</w:t>
      </w:r>
      <w:r w:rsidR="00EA4DAA" w:rsidRPr="00630E54">
        <w:rPr>
          <w:rFonts w:ascii="Times" w:hAnsi="Times"/>
          <w:color w:val="000000" w:themeColor="text1"/>
          <w:lang w:val="en-US"/>
        </w:rPr>
        <w:t xml:space="preserve"> was justified because of the importance of that day for th</w:t>
      </w:r>
      <w:r w:rsidR="00F4569E" w:rsidRPr="00630E54">
        <w:rPr>
          <w:rFonts w:ascii="Times" w:hAnsi="Times"/>
          <w:color w:val="000000" w:themeColor="text1"/>
          <w:lang w:val="en-US"/>
        </w:rPr>
        <w:t xml:space="preserve">e specified </w:t>
      </w:r>
      <w:r w:rsidR="00EA4DAA" w:rsidRPr="00630E54">
        <w:rPr>
          <w:rFonts w:ascii="Times" w:hAnsi="Times"/>
          <w:color w:val="000000" w:themeColor="text1"/>
          <w:lang w:val="en-US"/>
        </w:rPr>
        <w:t>religious communities</w:t>
      </w:r>
      <w:r w:rsidR="008A411A" w:rsidRPr="00630E54">
        <w:rPr>
          <w:rFonts w:ascii="Times" w:hAnsi="Times"/>
          <w:color w:val="000000" w:themeColor="text1"/>
          <w:lang w:val="en-US"/>
        </w:rPr>
        <w:t xml:space="preserve"> </w:t>
      </w:r>
      <w:r w:rsidR="00BE2AA2" w:rsidRPr="00630E54">
        <w:rPr>
          <w:rFonts w:ascii="Times" w:hAnsi="Times"/>
          <w:color w:val="000000" w:themeColor="text1"/>
          <w:lang w:val="en-US"/>
        </w:rPr>
        <w:t xml:space="preserve">and therefore it </w:t>
      </w:r>
      <w:r w:rsidR="008A411A" w:rsidRPr="00630E54">
        <w:rPr>
          <w:rFonts w:ascii="Times" w:hAnsi="Times"/>
          <w:color w:val="000000" w:themeColor="text1"/>
          <w:lang w:val="en-US"/>
        </w:rPr>
        <w:t xml:space="preserve">protected </w:t>
      </w:r>
      <w:r w:rsidR="00721C52" w:rsidRPr="00630E54">
        <w:rPr>
          <w:rFonts w:ascii="Times" w:hAnsi="Times"/>
          <w:color w:val="000000" w:themeColor="text1"/>
          <w:lang w:val="en-US"/>
        </w:rPr>
        <w:t>the rights of religious minorities</w:t>
      </w:r>
      <w:r w:rsidR="00F5638F" w:rsidRPr="00630E54">
        <w:rPr>
          <w:rFonts w:ascii="Times" w:hAnsi="Times"/>
          <w:color w:val="000000" w:themeColor="text1"/>
          <w:lang w:val="en-US"/>
        </w:rPr>
        <w:t xml:space="preserve"> in a society where the majority of the population was Roman Catholic.</w:t>
      </w:r>
      <w:r w:rsidR="001548DA" w:rsidRPr="00630E54">
        <w:rPr>
          <w:rStyle w:val="FootnoteReference"/>
          <w:rFonts w:ascii="Times" w:hAnsi="Times"/>
          <w:color w:val="000000" w:themeColor="text1"/>
          <w:lang w:val="en-US"/>
        </w:rPr>
        <w:footnoteReference w:id="10"/>
      </w:r>
      <w:r w:rsidR="00F234A4" w:rsidRPr="00630E54">
        <w:rPr>
          <w:rFonts w:ascii="Times" w:hAnsi="Times"/>
          <w:color w:val="000000" w:themeColor="text1"/>
          <w:lang w:val="en-US"/>
        </w:rPr>
        <w:t xml:space="preserve"> However, the CJEU pointed to the k</w:t>
      </w:r>
      <w:r w:rsidR="008B0418" w:rsidRPr="00630E54">
        <w:rPr>
          <w:rFonts w:ascii="Times" w:hAnsi="Times"/>
          <w:color w:val="000000" w:themeColor="text1"/>
          <w:lang w:val="en-US"/>
        </w:rPr>
        <w:t xml:space="preserve">ey principle that exceptions </w:t>
      </w:r>
      <w:r w:rsidR="00BF3AE6" w:rsidRPr="00630E54">
        <w:rPr>
          <w:rFonts w:ascii="Times" w:hAnsi="Times"/>
          <w:color w:val="000000" w:themeColor="text1"/>
          <w:lang w:val="en-US"/>
        </w:rPr>
        <w:t xml:space="preserve">to the principle of non-discrimination </w:t>
      </w:r>
      <w:r w:rsidR="00584A37" w:rsidRPr="00630E54">
        <w:rPr>
          <w:rFonts w:ascii="Times" w:hAnsi="Times"/>
          <w:color w:val="000000" w:themeColor="text1"/>
          <w:lang w:val="en-US"/>
        </w:rPr>
        <w:t>must be interpreted strictly.</w:t>
      </w:r>
      <w:r w:rsidR="001B27EB" w:rsidRPr="00630E54">
        <w:rPr>
          <w:rFonts w:ascii="Times" w:hAnsi="Times"/>
          <w:color w:val="000000" w:themeColor="text1"/>
          <w:lang w:val="en-US"/>
        </w:rPr>
        <w:t xml:space="preserve"> </w:t>
      </w:r>
      <w:r w:rsidR="00BF3AE6" w:rsidRPr="00630E54">
        <w:rPr>
          <w:rFonts w:ascii="Times" w:hAnsi="Times"/>
          <w:color w:val="000000" w:themeColor="text1"/>
          <w:lang w:val="en-US"/>
        </w:rPr>
        <w:t>Whilst freedom of religion wa</w:t>
      </w:r>
      <w:r w:rsidR="001B27EB" w:rsidRPr="00630E54">
        <w:rPr>
          <w:rFonts w:ascii="Times" w:hAnsi="Times"/>
          <w:color w:val="000000" w:themeColor="text1"/>
          <w:lang w:val="en-US"/>
        </w:rPr>
        <w:t>s one of the fundamental rights a</w:t>
      </w:r>
      <w:r w:rsidR="00BF3AE6" w:rsidRPr="00630E54">
        <w:rPr>
          <w:rFonts w:ascii="Times" w:hAnsi="Times"/>
          <w:color w:val="000000" w:themeColor="text1"/>
          <w:lang w:val="en-US"/>
        </w:rPr>
        <w:t>nd freedoms protected by EU law and so</w:t>
      </w:r>
      <w:r w:rsidR="00584A37" w:rsidRPr="00630E54">
        <w:rPr>
          <w:rFonts w:ascii="Times" w:hAnsi="Times"/>
          <w:color w:val="000000" w:themeColor="text1"/>
          <w:lang w:val="en-US"/>
        </w:rPr>
        <w:t xml:space="preserve"> </w:t>
      </w:r>
      <w:r w:rsidR="00BF3AE6" w:rsidRPr="00630E54">
        <w:rPr>
          <w:rFonts w:ascii="Times" w:hAnsi="Times"/>
          <w:color w:val="000000" w:themeColor="text1"/>
          <w:lang w:val="en-US"/>
        </w:rPr>
        <w:t>the o</w:t>
      </w:r>
      <w:r w:rsidR="00584A37" w:rsidRPr="00630E54">
        <w:rPr>
          <w:rFonts w:ascii="Times" w:hAnsi="Times"/>
          <w:color w:val="000000" w:themeColor="text1"/>
          <w:lang w:val="en-US"/>
        </w:rPr>
        <w:t>bjective of protecting the manifestati</w:t>
      </w:r>
      <w:r w:rsidR="001B27EB" w:rsidRPr="00630E54">
        <w:rPr>
          <w:rFonts w:ascii="Times" w:hAnsi="Times"/>
          <w:color w:val="000000" w:themeColor="text1"/>
          <w:lang w:val="en-US"/>
        </w:rPr>
        <w:t>on of religi</w:t>
      </w:r>
      <w:r w:rsidR="00BF3AE6" w:rsidRPr="00630E54">
        <w:rPr>
          <w:rFonts w:ascii="Times" w:hAnsi="Times"/>
          <w:color w:val="000000" w:themeColor="text1"/>
          <w:lang w:val="en-US"/>
        </w:rPr>
        <w:t xml:space="preserve">ous faith in public </w:t>
      </w:r>
      <w:r w:rsidR="00F5638F" w:rsidRPr="00630E54">
        <w:rPr>
          <w:rFonts w:ascii="Times" w:hAnsi="Times"/>
          <w:color w:val="000000" w:themeColor="text1"/>
          <w:lang w:val="en-US"/>
        </w:rPr>
        <w:t xml:space="preserve">was </w:t>
      </w:r>
      <w:r w:rsidR="00BF3AE6" w:rsidRPr="00630E54">
        <w:rPr>
          <w:rFonts w:ascii="Times" w:hAnsi="Times"/>
          <w:color w:val="000000" w:themeColor="text1"/>
          <w:lang w:val="en-US"/>
        </w:rPr>
        <w:t xml:space="preserve">legitimate, the law </w:t>
      </w:r>
      <w:r w:rsidR="002A5FCC" w:rsidRPr="00630E54">
        <w:rPr>
          <w:rFonts w:ascii="Times" w:hAnsi="Times"/>
          <w:color w:val="000000" w:themeColor="text1"/>
          <w:lang w:val="en-US"/>
        </w:rPr>
        <w:t xml:space="preserve">was not necessary. </w:t>
      </w:r>
      <w:r w:rsidR="005062A3" w:rsidRPr="00630E54">
        <w:rPr>
          <w:rFonts w:ascii="Times" w:hAnsi="Times"/>
          <w:color w:val="000000" w:themeColor="text1"/>
          <w:lang w:val="en-US"/>
        </w:rPr>
        <w:t xml:space="preserve">It violated the principle of proportionality. It was not permissible </w:t>
      </w:r>
      <w:r w:rsidR="001160B3" w:rsidRPr="00630E54">
        <w:rPr>
          <w:rFonts w:ascii="Times" w:hAnsi="Times"/>
          <w:color w:val="000000" w:themeColor="text1"/>
          <w:lang w:val="en-US"/>
        </w:rPr>
        <w:t>positive</w:t>
      </w:r>
      <w:r w:rsidR="005062A3" w:rsidRPr="00630E54">
        <w:rPr>
          <w:rFonts w:ascii="Times" w:hAnsi="Times"/>
          <w:color w:val="000000" w:themeColor="text1"/>
          <w:lang w:val="en-US"/>
        </w:rPr>
        <w:t xml:space="preserve"> action because a</w:t>
      </w:r>
      <w:r w:rsidR="00BF3AE6" w:rsidRPr="00630E54">
        <w:rPr>
          <w:rFonts w:ascii="Times" w:hAnsi="Times"/>
          <w:color w:val="000000" w:themeColor="text1"/>
          <w:lang w:val="en-US"/>
        </w:rPr>
        <w:t>ny exception</w:t>
      </w:r>
      <w:r w:rsidR="00920A7B" w:rsidRPr="00630E54">
        <w:rPr>
          <w:rFonts w:ascii="Times" w:hAnsi="Times"/>
          <w:color w:val="000000" w:themeColor="text1"/>
          <w:lang w:val="en-US"/>
        </w:rPr>
        <w:t xml:space="preserve"> on that basis</w:t>
      </w:r>
      <w:r w:rsidR="00BF3AE6" w:rsidRPr="00630E54">
        <w:rPr>
          <w:rFonts w:ascii="Times" w:hAnsi="Times"/>
          <w:color w:val="000000" w:themeColor="text1"/>
          <w:lang w:val="en-US"/>
        </w:rPr>
        <w:t xml:space="preserve"> had to be ‘specifically and exclusively designed to authorise measures which… are in fact intended to eliminate or reduce actual instances of inequality’</w:t>
      </w:r>
      <w:r w:rsidR="00F5638F" w:rsidRPr="00630E54">
        <w:rPr>
          <w:rStyle w:val="FootnoteReference"/>
          <w:rFonts w:ascii="Times" w:hAnsi="Times"/>
          <w:color w:val="000000" w:themeColor="text1"/>
          <w:lang w:val="en-US"/>
        </w:rPr>
        <w:footnoteReference w:id="11"/>
      </w:r>
      <w:r w:rsidR="00866904" w:rsidRPr="00630E54">
        <w:rPr>
          <w:rFonts w:ascii="Times" w:hAnsi="Times"/>
          <w:color w:val="000000" w:themeColor="text1"/>
          <w:lang w:val="en-US"/>
        </w:rPr>
        <w:t xml:space="preserve"> and this did not.</w:t>
      </w:r>
      <w:r w:rsidR="00414D16" w:rsidRPr="00630E54">
        <w:rPr>
          <w:rFonts w:ascii="Times" w:hAnsi="Times"/>
          <w:color w:val="000000" w:themeColor="text1"/>
          <w:lang w:val="en-US"/>
        </w:rPr>
        <w:t xml:space="preserve"> </w:t>
      </w:r>
      <w:r w:rsidR="00EB36C9" w:rsidRPr="00630E54">
        <w:rPr>
          <w:rFonts w:ascii="Times" w:hAnsi="Times"/>
          <w:color w:val="000000" w:themeColor="text1"/>
          <w:lang w:val="en-US"/>
        </w:rPr>
        <w:t>Although there have been some signs that it is becoming more widely understood,</w:t>
      </w:r>
      <w:r w:rsidR="00EB36C9" w:rsidRPr="00454271">
        <w:rPr>
          <w:rStyle w:val="FootnoteReference"/>
          <w:rFonts w:ascii="Times" w:hAnsi="Times"/>
          <w:color w:val="000000" w:themeColor="text1"/>
          <w:lang w:val="en-US"/>
        </w:rPr>
        <w:footnoteReference w:id="12"/>
      </w:r>
      <w:r w:rsidR="00EB36C9" w:rsidRPr="00454271">
        <w:rPr>
          <w:rFonts w:ascii="Times" w:hAnsi="Times"/>
          <w:color w:val="000000" w:themeColor="text1"/>
          <w:lang w:val="en-US"/>
        </w:rPr>
        <w:t xml:space="preserve"> </w:t>
      </w:r>
      <w:r w:rsidR="00EB36C9" w:rsidRPr="00630E54">
        <w:rPr>
          <w:rFonts w:ascii="Times" w:hAnsi="Times"/>
          <w:color w:val="000000" w:themeColor="text1"/>
          <w:lang w:val="en-US"/>
        </w:rPr>
        <w:t>p</w:t>
      </w:r>
      <w:r w:rsidR="00414D16" w:rsidRPr="00630E54">
        <w:rPr>
          <w:rFonts w:ascii="Times" w:hAnsi="Times"/>
          <w:color w:val="000000" w:themeColor="text1"/>
          <w:lang w:val="en-US"/>
        </w:rPr>
        <w:t xml:space="preserve">ositive action reminds a tightly </w:t>
      </w:r>
      <w:r w:rsidR="00CE1346" w:rsidRPr="00630E54">
        <w:rPr>
          <w:rFonts w:ascii="Times" w:hAnsi="Times"/>
          <w:color w:val="000000" w:themeColor="text1"/>
          <w:lang w:val="en-US"/>
        </w:rPr>
        <w:t>permitted concept within EU law.</w:t>
      </w:r>
      <w:r w:rsidR="00CE1346" w:rsidRPr="00630E54">
        <w:rPr>
          <w:rStyle w:val="FootnoteReference"/>
          <w:rFonts w:ascii="Times" w:hAnsi="Times"/>
          <w:color w:val="000000" w:themeColor="text1"/>
          <w:lang w:val="en-US"/>
        </w:rPr>
        <w:footnoteReference w:id="13"/>
      </w:r>
      <w:r w:rsidR="00866904" w:rsidRPr="00630E54">
        <w:rPr>
          <w:rFonts w:ascii="Times" w:hAnsi="Times"/>
          <w:color w:val="000000" w:themeColor="text1"/>
          <w:lang w:val="en-US"/>
        </w:rPr>
        <w:t xml:space="preserve"> There were other relevant national laws designed to protect employees’ freedom of religion</w:t>
      </w:r>
      <w:r w:rsidR="002F299D" w:rsidRPr="00630E54">
        <w:rPr>
          <w:rFonts w:ascii="Times" w:hAnsi="Times"/>
          <w:color w:val="000000" w:themeColor="text1"/>
          <w:lang w:val="en-US"/>
        </w:rPr>
        <w:t xml:space="preserve"> if absence on Good Friday was desired </w:t>
      </w:r>
      <w:r w:rsidR="001160B3" w:rsidRPr="00630E54">
        <w:rPr>
          <w:rFonts w:ascii="Times" w:hAnsi="Times"/>
          <w:color w:val="000000" w:themeColor="text1"/>
          <w:lang w:val="en-US"/>
        </w:rPr>
        <w:t>for religious reason</w:t>
      </w:r>
      <w:r w:rsidR="00062DDD" w:rsidRPr="00630E54">
        <w:rPr>
          <w:rFonts w:ascii="Times" w:hAnsi="Times"/>
          <w:color w:val="000000" w:themeColor="text1"/>
          <w:lang w:val="en-US"/>
        </w:rPr>
        <w:t>s</w:t>
      </w:r>
      <w:r w:rsidR="001160B3" w:rsidRPr="00630E54">
        <w:rPr>
          <w:rFonts w:ascii="Times" w:hAnsi="Times"/>
          <w:color w:val="000000" w:themeColor="text1"/>
          <w:lang w:val="en-US"/>
        </w:rPr>
        <w:t xml:space="preserve"> since</w:t>
      </w:r>
      <w:r w:rsidR="00920A7B" w:rsidRPr="00630E54">
        <w:rPr>
          <w:rFonts w:ascii="Times" w:hAnsi="Times"/>
          <w:color w:val="000000" w:themeColor="text1"/>
          <w:lang w:val="en-US"/>
        </w:rPr>
        <w:t xml:space="preserve"> all</w:t>
      </w:r>
      <w:r w:rsidR="001160B3" w:rsidRPr="00630E54">
        <w:rPr>
          <w:rFonts w:ascii="Times" w:hAnsi="Times"/>
          <w:color w:val="000000" w:themeColor="text1"/>
          <w:lang w:val="en-US"/>
        </w:rPr>
        <w:t xml:space="preserve"> e</w:t>
      </w:r>
      <w:r w:rsidR="002A5FCC" w:rsidRPr="00630E54">
        <w:rPr>
          <w:rFonts w:ascii="Times" w:hAnsi="Times"/>
          <w:color w:val="000000" w:themeColor="text1"/>
          <w:lang w:val="en-US"/>
        </w:rPr>
        <w:t xml:space="preserve">mployees </w:t>
      </w:r>
      <w:r w:rsidR="00062DDD" w:rsidRPr="00630E54">
        <w:rPr>
          <w:rFonts w:ascii="Times" w:hAnsi="Times"/>
          <w:color w:val="000000" w:themeColor="text1"/>
          <w:lang w:val="en-US"/>
        </w:rPr>
        <w:t xml:space="preserve">could claim a </w:t>
      </w:r>
      <w:r w:rsidR="002A5FCC" w:rsidRPr="00630E54">
        <w:rPr>
          <w:rFonts w:ascii="Times" w:hAnsi="Times"/>
          <w:color w:val="000000" w:themeColor="text1"/>
          <w:lang w:val="en-US"/>
        </w:rPr>
        <w:t xml:space="preserve">right to be absent from their work </w:t>
      </w:r>
      <w:r w:rsidR="00CE5BB3" w:rsidRPr="00630E54">
        <w:rPr>
          <w:rFonts w:ascii="Times" w:hAnsi="Times"/>
          <w:color w:val="000000" w:themeColor="text1"/>
          <w:lang w:val="en-US"/>
        </w:rPr>
        <w:t>f</w:t>
      </w:r>
      <w:r w:rsidR="002A5FCC" w:rsidRPr="00630E54">
        <w:rPr>
          <w:rFonts w:ascii="Times" w:hAnsi="Times"/>
          <w:color w:val="000000" w:themeColor="text1"/>
          <w:lang w:val="en-US"/>
        </w:rPr>
        <w:t>or the amount of time necessary to perform certain religious rites.</w:t>
      </w:r>
      <w:r w:rsidR="00A0044B" w:rsidRPr="00630E54">
        <w:rPr>
          <w:rFonts w:ascii="Times" w:hAnsi="Times"/>
          <w:color w:val="000000" w:themeColor="text1"/>
          <w:lang w:val="en-US"/>
        </w:rPr>
        <w:t xml:space="preserve"> </w:t>
      </w:r>
      <w:r w:rsidR="00FD15F7" w:rsidRPr="00630E54">
        <w:rPr>
          <w:rFonts w:ascii="Times" w:hAnsi="Times"/>
          <w:color w:val="000000" w:themeColor="text1"/>
          <w:lang w:val="en-US"/>
        </w:rPr>
        <w:t xml:space="preserve">The law could therefore not be justified. </w:t>
      </w:r>
    </w:p>
    <w:p w14:paraId="78955CC3" w14:textId="77777777" w:rsidR="00257AF0" w:rsidRPr="00630E54" w:rsidRDefault="00257AF0" w:rsidP="00B46D6A">
      <w:pPr>
        <w:pStyle w:val="ListParagraph"/>
        <w:spacing w:line="360" w:lineRule="auto"/>
        <w:jc w:val="both"/>
        <w:rPr>
          <w:rFonts w:ascii="Times" w:hAnsi="Times" w:cs="Times New Roman"/>
          <w:color w:val="000000" w:themeColor="text1"/>
          <w:lang w:val="en-US"/>
        </w:rPr>
      </w:pPr>
    </w:p>
    <w:p w14:paraId="15149682" w14:textId="77777777" w:rsidR="004B6021" w:rsidRPr="00630E54" w:rsidRDefault="00FD15F7" w:rsidP="00B46D6A">
      <w:pPr>
        <w:pStyle w:val="ListParagraph"/>
        <w:spacing w:line="360" w:lineRule="auto"/>
        <w:jc w:val="both"/>
        <w:rPr>
          <w:rFonts w:ascii="Times" w:hAnsi="Times" w:cs="Times New Roman"/>
          <w:i/>
          <w:color w:val="000000" w:themeColor="text1"/>
          <w:lang w:val="en-US"/>
        </w:rPr>
      </w:pPr>
      <w:r w:rsidRPr="00630E54">
        <w:rPr>
          <w:rFonts w:ascii="Times" w:hAnsi="Times" w:cs="Times New Roman"/>
          <w:i/>
          <w:color w:val="000000" w:themeColor="text1"/>
          <w:lang w:val="en-US"/>
        </w:rPr>
        <w:t xml:space="preserve">b) </w:t>
      </w:r>
      <w:r w:rsidR="00257AF0" w:rsidRPr="00630E54">
        <w:rPr>
          <w:rFonts w:ascii="Times" w:hAnsi="Times" w:cs="Times New Roman"/>
          <w:i/>
          <w:color w:val="000000" w:themeColor="text1"/>
          <w:lang w:val="en-US"/>
        </w:rPr>
        <w:t>What should the consequence be?</w:t>
      </w:r>
    </w:p>
    <w:p w14:paraId="51DEC1D5" w14:textId="77777777" w:rsidR="00257AF0" w:rsidRPr="00630E54" w:rsidRDefault="00257AF0" w:rsidP="00B46D6A">
      <w:pPr>
        <w:pStyle w:val="ListParagraph"/>
        <w:spacing w:line="360" w:lineRule="auto"/>
        <w:jc w:val="both"/>
        <w:rPr>
          <w:rFonts w:ascii="Times" w:hAnsi="Times" w:cs="Times New Roman"/>
          <w:color w:val="000000" w:themeColor="text1"/>
          <w:lang w:val="en-US"/>
        </w:rPr>
      </w:pPr>
    </w:p>
    <w:p w14:paraId="69BEE297" w14:textId="77777777" w:rsidR="00A408F6" w:rsidRPr="00630E54" w:rsidRDefault="00E7419E" w:rsidP="00B46D6A">
      <w:pPr>
        <w:spacing w:line="360" w:lineRule="auto"/>
        <w:jc w:val="both"/>
        <w:rPr>
          <w:rFonts w:ascii="Times" w:hAnsi="Times"/>
          <w:color w:val="000000" w:themeColor="text1"/>
          <w:lang w:val="en-US"/>
        </w:rPr>
      </w:pPr>
      <w:r w:rsidRPr="00630E54">
        <w:rPr>
          <w:rFonts w:ascii="Times" w:hAnsi="Times"/>
          <w:color w:val="000000" w:themeColor="text1"/>
          <w:lang w:val="en-US"/>
        </w:rPr>
        <w:t xml:space="preserve">The Austrian law therefore </w:t>
      </w:r>
      <w:r w:rsidR="000F61B3" w:rsidRPr="00630E54">
        <w:rPr>
          <w:rFonts w:ascii="Times" w:hAnsi="Times"/>
          <w:color w:val="000000" w:themeColor="text1"/>
          <w:lang w:val="en-US"/>
        </w:rPr>
        <w:t>violated the Directive.</w:t>
      </w:r>
      <w:r w:rsidR="00CE5BB3" w:rsidRPr="00630E54">
        <w:rPr>
          <w:rFonts w:ascii="Times" w:hAnsi="Times"/>
          <w:color w:val="000000" w:themeColor="text1"/>
          <w:lang w:val="en-US"/>
        </w:rPr>
        <w:t xml:space="preserve"> </w:t>
      </w:r>
      <w:r w:rsidR="00A408F6" w:rsidRPr="00630E54">
        <w:rPr>
          <w:rFonts w:ascii="Times" w:hAnsi="Times"/>
          <w:color w:val="000000" w:themeColor="text1"/>
          <w:lang w:val="en-US"/>
        </w:rPr>
        <w:t>That much was clear.</w:t>
      </w:r>
      <w:r w:rsidR="000F61B3" w:rsidRPr="00630E54">
        <w:rPr>
          <w:rFonts w:ascii="Times" w:hAnsi="Times"/>
          <w:color w:val="000000" w:themeColor="text1"/>
          <w:lang w:val="en-US"/>
        </w:rPr>
        <w:t xml:space="preserve"> </w:t>
      </w:r>
      <w:r w:rsidR="00FD15F7" w:rsidRPr="00630E54">
        <w:rPr>
          <w:rFonts w:ascii="Times" w:hAnsi="Times"/>
          <w:color w:val="000000" w:themeColor="text1"/>
          <w:lang w:val="en-US"/>
        </w:rPr>
        <w:t xml:space="preserve">It was also clear that </w:t>
      </w:r>
      <w:r w:rsidR="0092542B" w:rsidRPr="00630E54">
        <w:rPr>
          <w:rFonts w:ascii="Times" w:hAnsi="Times"/>
          <w:color w:val="000000" w:themeColor="text1"/>
          <w:lang w:val="en-US"/>
        </w:rPr>
        <w:t>the state</w:t>
      </w:r>
      <w:r w:rsidR="00FD15F7" w:rsidRPr="00630E54">
        <w:rPr>
          <w:rFonts w:ascii="Times" w:hAnsi="Times"/>
          <w:color w:val="000000" w:themeColor="text1"/>
          <w:lang w:val="en-US"/>
        </w:rPr>
        <w:t xml:space="preserve"> was under an obligation</w:t>
      </w:r>
      <w:r w:rsidR="0092542B" w:rsidRPr="00630E54">
        <w:rPr>
          <w:rFonts w:ascii="Times" w:hAnsi="Times"/>
          <w:color w:val="000000" w:themeColor="text1"/>
          <w:lang w:val="en-US"/>
        </w:rPr>
        <w:t xml:space="preserve"> to </w:t>
      </w:r>
      <w:r w:rsidR="00FD15F7" w:rsidRPr="00630E54">
        <w:rPr>
          <w:rFonts w:ascii="Times" w:hAnsi="Times"/>
          <w:color w:val="000000" w:themeColor="text1"/>
          <w:lang w:val="en-US"/>
        </w:rPr>
        <w:t xml:space="preserve">remove the discrimination in whatever way it wished. </w:t>
      </w:r>
      <w:r w:rsidR="000F61B3" w:rsidRPr="00630E54">
        <w:rPr>
          <w:rFonts w:ascii="Times" w:hAnsi="Times"/>
          <w:color w:val="000000" w:themeColor="text1"/>
          <w:lang w:val="en-US"/>
        </w:rPr>
        <w:t>However,</w:t>
      </w:r>
      <w:r w:rsidR="00A408F6" w:rsidRPr="00630E54">
        <w:rPr>
          <w:rFonts w:ascii="Times" w:hAnsi="Times"/>
          <w:color w:val="000000" w:themeColor="text1"/>
          <w:lang w:val="en-US"/>
        </w:rPr>
        <w:t xml:space="preserve"> </w:t>
      </w:r>
      <w:r w:rsidR="00FD15F7" w:rsidRPr="00630E54">
        <w:rPr>
          <w:rFonts w:ascii="Times" w:hAnsi="Times"/>
          <w:color w:val="000000" w:themeColor="text1"/>
          <w:lang w:val="en-US"/>
        </w:rPr>
        <w:t>the question</w:t>
      </w:r>
      <w:r w:rsidR="00062DDD" w:rsidRPr="00630E54">
        <w:rPr>
          <w:rFonts w:ascii="Times" w:hAnsi="Times"/>
          <w:color w:val="000000" w:themeColor="text1"/>
          <w:lang w:val="en-US"/>
        </w:rPr>
        <w:t xml:space="preserve"> of whether this allowed Ach</w:t>
      </w:r>
      <w:r w:rsidR="00FD15F7" w:rsidRPr="00630E54">
        <w:rPr>
          <w:rFonts w:ascii="Times" w:hAnsi="Times"/>
          <w:color w:val="000000" w:themeColor="text1"/>
          <w:lang w:val="en-US"/>
        </w:rPr>
        <w:t>a</w:t>
      </w:r>
      <w:r w:rsidR="00062DDD" w:rsidRPr="00630E54">
        <w:rPr>
          <w:rFonts w:ascii="Times" w:hAnsi="Times"/>
          <w:color w:val="000000" w:themeColor="text1"/>
          <w:lang w:val="en-US"/>
        </w:rPr>
        <w:t>t</w:t>
      </w:r>
      <w:r w:rsidR="00FD15F7" w:rsidRPr="00630E54">
        <w:rPr>
          <w:rFonts w:ascii="Times" w:hAnsi="Times"/>
          <w:color w:val="000000" w:themeColor="text1"/>
          <w:lang w:val="en-US"/>
        </w:rPr>
        <w:t xml:space="preserve">zi to claim holiday pay against his employer for the past violations and whether he </w:t>
      </w:r>
      <w:r w:rsidR="00A408F6" w:rsidRPr="00630E54">
        <w:rPr>
          <w:rFonts w:ascii="Times" w:hAnsi="Times"/>
          <w:color w:val="000000" w:themeColor="text1"/>
          <w:lang w:val="en-US"/>
        </w:rPr>
        <w:t>and similarly placed employees</w:t>
      </w:r>
      <w:r w:rsidR="00FD15F7" w:rsidRPr="00630E54">
        <w:rPr>
          <w:rFonts w:ascii="Times" w:hAnsi="Times"/>
          <w:color w:val="000000" w:themeColor="text1"/>
          <w:lang w:val="en-US"/>
        </w:rPr>
        <w:t xml:space="preserve"> were entitled to this in future until the law was changed was far more complex</w:t>
      </w:r>
      <w:r w:rsidR="00A408F6" w:rsidRPr="00630E54">
        <w:rPr>
          <w:rFonts w:ascii="Times" w:hAnsi="Times"/>
          <w:color w:val="000000" w:themeColor="text1"/>
          <w:lang w:val="en-US"/>
        </w:rPr>
        <w:t>.</w:t>
      </w:r>
      <w:r w:rsidR="000F61B3" w:rsidRPr="00630E54">
        <w:rPr>
          <w:rFonts w:ascii="Times" w:hAnsi="Times"/>
          <w:color w:val="000000" w:themeColor="text1"/>
          <w:lang w:val="en-US"/>
        </w:rPr>
        <w:t xml:space="preserve"> </w:t>
      </w:r>
      <w:r w:rsidR="001160B3" w:rsidRPr="00630E54">
        <w:rPr>
          <w:rFonts w:ascii="Times" w:hAnsi="Times"/>
          <w:color w:val="000000" w:themeColor="text1"/>
          <w:lang w:val="en-US"/>
        </w:rPr>
        <w:t xml:space="preserve">The referring court made it clear that there was no way for the ARG to be interpreted to make it compatible with the Directive. </w:t>
      </w:r>
      <w:r w:rsidR="00062DDD" w:rsidRPr="00630E54">
        <w:rPr>
          <w:rFonts w:ascii="Times" w:hAnsi="Times"/>
          <w:color w:val="000000" w:themeColor="text1"/>
          <w:lang w:val="en-US"/>
        </w:rPr>
        <w:t>Ach</w:t>
      </w:r>
      <w:r w:rsidR="000F61B3" w:rsidRPr="00630E54">
        <w:rPr>
          <w:rFonts w:ascii="Times" w:hAnsi="Times"/>
          <w:color w:val="000000" w:themeColor="text1"/>
          <w:lang w:val="en-US"/>
        </w:rPr>
        <w:t>a</w:t>
      </w:r>
      <w:r w:rsidR="00062DDD" w:rsidRPr="00630E54">
        <w:rPr>
          <w:rFonts w:ascii="Times" w:hAnsi="Times"/>
          <w:color w:val="000000" w:themeColor="text1"/>
          <w:lang w:val="en-US"/>
        </w:rPr>
        <w:t>t</w:t>
      </w:r>
      <w:r w:rsidR="000F61B3" w:rsidRPr="00630E54">
        <w:rPr>
          <w:rFonts w:ascii="Times" w:hAnsi="Times"/>
          <w:color w:val="000000" w:themeColor="text1"/>
          <w:lang w:val="en-US"/>
        </w:rPr>
        <w:t>zi worked for a private</w:t>
      </w:r>
      <w:r w:rsidR="001160B3" w:rsidRPr="00630E54">
        <w:rPr>
          <w:rFonts w:ascii="Times" w:hAnsi="Times"/>
          <w:color w:val="000000" w:themeColor="text1"/>
          <w:lang w:val="en-US"/>
        </w:rPr>
        <w:t>, not public, employer.</w:t>
      </w:r>
      <w:r w:rsidR="00A408F6" w:rsidRPr="00630E54">
        <w:rPr>
          <w:rFonts w:ascii="Times" w:hAnsi="Times"/>
          <w:color w:val="000000" w:themeColor="text1"/>
          <w:lang w:val="en-US"/>
        </w:rPr>
        <w:t xml:space="preserve"> </w:t>
      </w:r>
      <w:r w:rsidR="001160B3" w:rsidRPr="00630E54">
        <w:rPr>
          <w:rFonts w:ascii="Times" w:hAnsi="Times"/>
          <w:color w:val="000000" w:themeColor="text1"/>
          <w:lang w:val="en-US"/>
        </w:rPr>
        <w:t>I</w:t>
      </w:r>
      <w:r w:rsidR="000F61B3" w:rsidRPr="00630E54">
        <w:rPr>
          <w:rFonts w:ascii="Times" w:hAnsi="Times"/>
          <w:color w:val="000000" w:themeColor="text1"/>
          <w:lang w:val="en-US"/>
        </w:rPr>
        <w:t xml:space="preserve">t is a </w:t>
      </w:r>
      <w:r w:rsidR="002761D7" w:rsidRPr="00630E54">
        <w:rPr>
          <w:rFonts w:ascii="Times" w:hAnsi="Times"/>
          <w:color w:val="000000" w:themeColor="text1"/>
          <w:lang w:val="en-US"/>
        </w:rPr>
        <w:t xml:space="preserve">settled principle of EU Law that directives </w:t>
      </w:r>
      <w:r w:rsidR="00CE5BB3" w:rsidRPr="00630E54">
        <w:rPr>
          <w:rFonts w:ascii="Times" w:hAnsi="Times"/>
          <w:color w:val="000000" w:themeColor="text1"/>
          <w:lang w:val="en-US"/>
        </w:rPr>
        <w:t>are not directly applicable and do not have horizontal direct</w:t>
      </w:r>
      <w:r w:rsidR="00A408F6" w:rsidRPr="00630E54">
        <w:rPr>
          <w:rFonts w:ascii="Times" w:hAnsi="Times"/>
          <w:color w:val="000000" w:themeColor="text1"/>
          <w:lang w:val="en-US"/>
        </w:rPr>
        <w:t xml:space="preserve"> effect and </w:t>
      </w:r>
      <w:r w:rsidR="0048146A" w:rsidRPr="00630E54">
        <w:rPr>
          <w:rFonts w:ascii="Times" w:hAnsi="Times"/>
          <w:color w:val="000000" w:themeColor="text1"/>
          <w:lang w:val="en-US"/>
        </w:rPr>
        <w:t xml:space="preserve">therefore cannot be relied </w:t>
      </w:r>
      <w:r w:rsidR="00257AF0" w:rsidRPr="00630E54">
        <w:rPr>
          <w:rFonts w:ascii="Times" w:hAnsi="Times"/>
          <w:color w:val="000000" w:themeColor="text1"/>
          <w:lang w:val="en-US"/>
        </w:rPr>
        <w:t>on agains</w:t>
      </w:r>
      <w:r w:rsidR="00FD15F7" w:rsidRPr="00630E54">
        <w:rPr>
          <w:rFonts w:ascii="Times" w:hAnsi="Times"/>
          <w:color w:val="000000" w:themeColor="text1"/>
          <w:lang w:val="en-US"/>
        </w:rPr>
        <w:t xml:space="preserve">t another </w:t>
      </w:r>
      <w:r w:rsidR="00257AF0" w:rsidRPr="00630E54">
        <w:rPr>
          <w:rFonts w:ascii="Times" w:hAnsi="Times"/>
          <w:color w:val="000000" w:themeColor="text1"/>
          <w:lang w:val="en-US"/>
        </w:rPr>
        <w:t>individual.</w:t>
      </w:r>
      <w:r w:rsidR="00C0439E" w:rsidRPr="00630E54">
        <w:rPr>
          <w:rStyle w:val="FootnoteReference"/>
          <w:rFonts w:ascii="Times" w:hAnsi="Times"/>
          <w:color w:val="000000" w:themeColor="text1"/>
          <w:lang w:val="en-US"/>
        </w:rPr>
        <w:footnoteReference w:id="14"/>
      </w:r>
      <w:r w:rsidR="00257AF0" w:rsidRPr="00630E54">
        <w:rPr>
          <w:rFonts w:ascii="Times" w:hAnsi="Times"/>
          <w:color w:val="000000" w:themeColor="text1"/>
          <w:lang w:val="en-US"/>
        </w:rPr>
        <w:t xml:space="preserve"> </w:t>
      </w:r>
      <w:r w:rsidR="00A408F6" w:rsidRPr="00630E54">
        <w:rPr>
          <w:rFonts w:ascii="Times" w:hAnsi="Times"/>
          <w:color w:val="000000" w:themeColor="text1"/>
          <w:lang w:val="en-US"/>
        </w:rPr>
        <w:t>Nevertheless</w:t>
      </w:r>
      <w:r w:rsidR="00556929" w:rsidRPr="00630E54">
        <w:rPr>
          <w:rFonts w:ascii="Times" w:hAnsi="Times"/>
          <w:color w:val="000000" w:themeColor="text1"/>
          <w:lang w:val="en-US"/>
        </w:rPr>
        <w:t xml:space="preserve">, </w:t>
      </w:r>
      <w:r w:rsidR="00FD15F7" w:rsidRPr="00630E54">
        <w:rPr>
          <w:rFonts w:ascii="Times" w:hAnsi="Times"/>
          <w:color w:val="000000" w:themeColor="text1"/>
          <w:lang w:val="en-US"/>
        </w:rPr>
        <w:t>relying on its previous case law</w:t>
      </w:r>
      <w:r w:rsidR="002F299D" w:rsidRPr="00630E54">
        <w:rPr>
          <w:rFonts w:ascii="Times" w:hAnsi="Times"/>
          <w:color w:val="000000" w:themeColor="text1"/>
          <w:lang w:val="en-US"/>
        </w:rPr>
        <w:t>,</w:t>
      </w:r>
      <w:r w:rsidR="00FD15F7" w:rsidRPr="00630E54">
        <w:rPr>
          <w:rFonts w:ascii="Times" w:hAnsi="Times"/>
          <w:color w:val="000000" w:themeColor="text1"/>
          <w:lang w:val="en-US"/>
        </w:rPr>
        <w:t xml:space="preserve"> </w:t>
      </w:r>
      <w:r w:rsidR="00B524D4" w:rsidRPr="00630E54">
        <w:rPr>
          <w:rFonts w:ascii="Times" w:hAnsi="Times"/>
          <w:color w:val="000000" w:themeColor="text1"/>
          <w:lang w:val="en-US"/>
        </w:rPr>
        <w:t>the Court</w:t>
      </w:r>
      <w:r w:rsidR="00A408F6" w:rsidRPr="00630E54">
        <w:rPr>
          <w:rFonts w:ascii="Times" w:hAnsi="Times"/>
          <w:color w:val="000000" w:themeColor="text1"/>
          <w:lang w:val="en-US"/>
        </w:rPr>
        <w:t xml:space="preserve"> still </w:t>
      </w:r>
      <w:r w:rsidR="00B524D4" w:rsidRPr="00630E54">
        <w:rPr>
          <w:rFonts w:ascii="Times" w:hAnsi="Times"/>
          <w:color w:val="000000" w:themeColor="text1"/>
          <w:lang w:val="en-US"/>
        </w:rPr>
        <w:t>held</w:t>
      </w:r>
      <w:r w:rsidR="002F299D" w:rsidRPr="00630E54">
        <w:rPr>
          <w:rFonts w:ascii="Times" w:hAnsi="Times"/>
          <w:color w:val="000000" w:themeColor="text1"/>
          <w:lang w:val="en-US"/>
        </w:rPr>
        <w:t xml:space="preserve"> that</w:t>
      </w:r>
      <w:r w:rsidR="00062DDD" w:rsidRPr="00630E54">
        <w:rPr>
          <w:rFonts w:ascii="Times" w:hAnsi="Times"/>
          <w:color w:val="000000" w:themeColor="text1"/>
          <w:lang w:val="en-US"/>
        </w:rPr>
        <w:t xml:space="preserve"> Ach</w:t>
      </w:r>
      <w:r w:rsidR="00A408F6" w:rsidRPr="00630E54">
        <w:rPr>
          <w:rFonts w:ascii="Times" w:hAnsi="Times"/>
          <w:color w:val="000000" w:themeColor="text1"/>
          <w:lang w:val="en-US"/>
        </w:rPr>
        <w:t>a</w:t>
      </w:r>
      <w:r w:rsidR="00062DDD" w:rsidRPr="00630E54">
        <w:rPr>
          <w:rFonts w:ascii="Times" w:hAnsi="Times"/>
          <w:color w:val="000000" w:themeColor="text1"/>
          <w:lang w:val="en-US"/>
        </w:rPr>
        <w:t>t</w:t>
      </w:r>
      <w:r w:rsidR="00A408F6" w:rsidRPr="00630E54">
        <w:rPr>
          <w:rFonts w:ascii="Times" w:hAnsi="Times"/>
          <w:color w:val="000000" w:themeColor="text1"/>
          <w:lang w:val="en-US"/>
        </w:rPr>
        <w:t xml:space="preserve">zi was entitled to the extra payment </w:t>
      </w:r>
      <w:r w:rsidR="00FD15F7" w:rsidRPr="00630E54">
        <w:rPr>
          <w:rFonts w:ascii="Times" w:hAnsi="Times"/>
          <w:color w:val="000000" w:themeColor="text1"/>
          <w:lang w:val="en-US"/>
        </w:rPr>
        <w:t>from his employer.</w:t>
      </w:r>
    </w:p>
    <w:p w14:paraId="5B07AF5E" w14:textId="77777777" w:rsidR="00A408F6" w:rsidRPr="00630E54" w:rsidRDefault="00A408F6" w:rsidP="00B46D6A">
      <w:pPr>
        <w:spacing w:line="360" w:lineRule="auto"/>
        <w:jc w:val="both"/>
        <w:rPr>
          <w:rFonts w:ascii="Times" w:hAnsi="Times"/>
          <w:color w:val="000000" w:themeColor="text1"/>
          <w:lang w:val="en-US"/>
        </w:rPr>
      </w:pPr>
    </w:p>
    <w:p w14:paraId="50DF944C" w14:textId="77777777" w:rsidR="00803568" w:rsidRPr="00630E54" w:rsidRDefault="00FD15F7" w:rsidP="00B46D6A">
      <w:pPr>
        <w:spacing w:line="360" w:lineRule="auto"/>
        <w:jc w:val="both"/>
        <w:rPr>
          <w:rFonts w:ascii="Times" w:eastAsia="Times New Roman" w:hAnsi="Times"/>
          <w:color w:val="000000" w:themeColor="text1"/>
        </w:rPr>
      </w:pPr>
      <w:r w:rsidRPr="00630E54">
        <w:rPr>
          <w:rFonts w:ascii="Times" w:hAnsi="Times"/>
          <w:color w:val="000000" w:themeColor="text1"/>
          <w:lang w:val="en-US"/>
        </w:rPr>
        <w:t xml:space="preserve">The first of these </w:t>
      </w:r>
      <w:r w:rsidR="001160B3" w:rsidRPr="00630E54">
        <w:rPr>
          <w:rFonts w:ascii="Times" w:hAnsi="Times"/>
          <w:color w:val="000000" w:themeColor="text1"/>
          <w:lang w:val="en-US"/>
        </w:rPr>
        <w:t xml:space="preserve">cases </w:t>
      </w:r>
      <w:r w:rsidRPr="00630E54">
        <w:rPr>
          <w:rFonts w:ascii="Times" w:hAnsi="Times"/>
          <w:color w:val="000000" w:themeColor="text1"/>
          <w:lang w:val="en-US"/>
        </w:rPr>
        <w:t>was</w:t>
      </w:r>
      <w:r w:rsidR="00A408F6" w:rsidRPr="00630E54">
        <w:rPr>
          <w:rFonts w:ascii="Times" w:hAnsi="Times"/>
          <w:color w:val="000000" w:themeColor="text1"/>
          <w:lang w:val="en-US"/>
        </w:rPr>
        <w:t xml:space="preserve"> </w:t>
      </w:r>
      <w:r w:rsidR="00A408F6" w:rsidRPr="00630E54">
        <w:rPr>
          <w:rFonts w:ascii="Times" w:hAnsi="Times"/>
          <w:i/>
          <w:color w:val="000000" w:themeColor="text1"/>
          <w:lang w:val="en-US"/>
        </w:rPr>
        <w:t>Mangold</w:t>
      </w:r>
      <w:r w:rsidR="007A7056" w:rsidRPr="00630E54">
        <w:rPr>
          <w:rFonts w:ascii="Times" w:hAnsi="Times"/>
          <w:i/>
          <w:color w:val="000000" w:themeColor="text1"/>
          <w:lang w:val="en-US"/>
        </w:rPr>
        <w:t xml:space="preserve"> v Helm</w:t>
      </w:r>
      <w:r w:rsidRPr="00630E54">
        <w:rPr>
          <w:rFonts w:ascii="Times" w:hAnsi="Times"/>
          <w:i/>
          <w:color w:val="000000" w:themeColor="text1"/>
          <w:lang w:val="en-US"/>
        </w:rPr>
        <w:t>,</w:t>
      </w:r>
      <w:r w:rsidRPr="00630E54">
        <w:rPr>
          <w:rStyle w:val="FootnoteReference"/>
          <w:rFonts w:ascii="Times" w:hAnsi="Times"/>
          <w:color w:val="000000" w:themeColor="text1"/>
          <w:lang w:val="en-US"/>
        </w:rPr>
        <w:footnoteReference w:id="15"/>
      </w:r>
      <w:r w:rsidR="00B3360D" w:rsidRPr="00630E54">
        <w:rPr>
          <w:rFonts w:ascii="Times" w:hAnsi="Times"/>
          <w:i/>
          <w:color w:val="000000" w:themeColor="text1"/>
          <w:lang w:val="en-US"/>
        </w:rPr>
        <w:t xml:space="preserve"> </w:t>
      </w:r>
      <w:r w:rsidR="00B3360D" w:rsidRPr="00630E54">
        <w:rPr>
          <w:rFonts w:ascii="Times" w:hAnsi="Times"/>
          <w:color w:val="000000" w:themeColor="text1"/>
          <w:lang w:val="en-US"/>
        </w:rPr>
        <w:t xml:space="preserve">decided </w:t>
      </w:r>
      <w:r w:rsidR="00D826EE" w:rsidRPr="00630E54">
        <w:rPr>
          <w:rFonts w:ascii="Times" w:hAnsi="Times"/>
          <w:color w:val="000000" w:themeColor="text1"/>
          <w:lang w:val="en-US"/>
        </w:rPr>
        <w:t>in 2005, where</w:t>
      </w:r>
      <w:r w:rsidR="00A408F6" w:rsidRPr="00630E54">
        <w:rPr>
          <w:rFonts w:ascii="Times" w:hAnsi="Times"/>
          <w:i/>
          <w:color w:val="000000" w:themeColor="text1"/>
          <w:lang w:val="en-US"/>
        </w:rPr>
        <w:t xml:space="preserve"> </w:t>
      </w:r>
      <w:r w:rsidR="00A408F6" w:rsidRPr="00630E54">
        <w:rPr>
          <w:rFonts w:ascii="Times" w:hAnsi="Times"/>
          <w:color w:val="000000" w:themeColor="text1"/>
          <w:lang w:val="en-US"/>
        </w:rPr>
        <w:t>the Court had held that</w:t>
      </w:r>
      <w:r w:rsidR="004207E0" w:rsidRPr="00630E54">
        <w:rPr>
          <w:rFonts w:ascii="Times" w:hAnsi="Times"/>
          <w:color w:val="000000" w:themeColor="text1"/>
          <w:lang w:val="en-US"/>
        </w:rPr>
        <w:t xml:space="preserve"> the prohibition of discrimination</w:t>
      </w:r>
      <w:r w:rsidR="00BE4813" w:rsidRPr="00630E54">
        <w:rPr>
          <w:rFonts w:ascii="Times" w:hAnsi="Times"/>
          <w:color w:val="000000" w:themeColor="text1"/>
          <w:lang w:val="en-US"/>
        </w:rPr>
        <w:t xml:space="preserve"> on the grounds of age</w:t>
      </w:r>
      <w:r w:rsidR="004207E0" w:rsidRPr="00630E54">
        <w:rPr>
          <w:rFonts w:ascii="Times" w:hAnsi="Times"/>
          <w:color w:val="000000" w:themeColor="text1"/>
          <w:lang w:val="en-US"/>
        </w:rPr>
        <w:t xml:space="preserve"> is a general principle of EU law and</w:t>
      </w:r>
      <w:r w:rsidR="00D85197" w:rsidRPr="00630E54">
        <w:rPr>
          <w:rFonts w:ascii="Times" w:hAnsi="Times"/>
          <w:color w:val="000000" w:themeColor="text1"/>
          <w:lang w:val="en-US"/>
        </w:rPr>
        <w:t xml:space="preserve"> as</w:t>
      </w:r>
      <w:r w:rsidR="004207E0" w:rsidRPr="00630E54">
        <w:rPr>
          <w:rFonts w:ascii="Times" w:hAnsi="Times"/>
          <w:color w:val="000000" w:themeColor="text1"/>
          <w:lang w:val="en-US"/>
        </w:rPr>
        <w:t xml:space="preserve"> </w:t>
      </w:r>
      <w:r w:rsidR="00BE4813" w:rsidRPr="00630E54">
        <w:rPr>
          <w:rFonts w:ascii="Times" w:hAnsi="Times"/>
          <w:color w:val="000000" w:themeColor="text1"/>
          <w:lang w:val="en-US"/>
        </w:rPr>
        <w:t xml:space="preserve">such </w:t>
      </w:r>
      <w:r w:rsidR="004207E0" w:rsidRPr="00630E54">
        <w:rPr>
          <w:rFonts w:ascii="Times" w:hAnsi="Times"/>
          <w:color w:val="000000" w:themeColor="text1"/>
          <w:lang w:val="en-US"/>
        </w:rPr>
        <w:t>is directly applicable</w:t>
      </w:r>
      <w:r w:rsidR="00A408F6" w:rsidRPr="00630E54">
        <w:rPr>
          <w:rFonts w:ascii="Times" w:hAnsi="Times"/>
          <w:color w:val="000000" w:themeColor="text1"/>
          <w:lang w:val="en-US"/>
        </w:rPr>
        <w:t>.</w:t>
      </w:r>
      <w:r w:rsidR="0092542B" w:rsidRPr="00630E54">
        <w:rPr>
          <w:rFonts w:ascii="Times" w:hAnsi="Times"/>
          <w:color w:val="000000" w:themeColor="text1"/>
          <w:lang w:val="en-US"/>
        </w:rPr>
        <w:t xml:space="preserve"> </w:t>
      </w:r>
      <w:r w:rsidR="001160B3" w:rsidRPr="00630E54">
        <w:rPr>
          <w:rFonts w:ascii="Times" w:hAnsi="Times"/>
          <w:color w:val="000000" w:themeColor="text1"/>
          <w:lang w:val="en-US"/>
        </w:rPr>
        <w:t>As its name suggested, the Framework Directive</w:t>
      </w:r>
      <w:r w:rsidR="00D826EE" w:rsidRPr="00630E54">
        <w:rPr>
          <w:rFonts w:ascii="Times" w:hAnsi="Times"/>
          <w:color w:val="000000" w:themeColor="text1"/>
          <w:lang w:val="en-US"/>
        </w:rPr>
        <w:t xml:space="preserve"> was considered to merely lay down a general framework for combating discrimination rather than itself establishing the principle of equal treatment</w:t>
      </w:r>
      <w:r w:rsidR="00803568" w:rsidRPr="00630E54">
        <w:rPr>
          <w:rFonts w:ascii="Times" w:hAnsi="Times"/>
          <w:color w:val="000000" w:themeColor="text1"/>
          <w:lang w:val="en-US"/>
        </w:rPr>
        <w:t xml:space="preserve">. </w:t>
      </w:r>
      <w:r w:rsidR="00062DDD" w:rsidRPr="00630E54">
        <w:rPr>
          <w:rFonts w:ascii="Times" w:hAnsi="Times"/>
          <w:color w:val="000000" w:themeColor="text1"/>
          <w:lang w:val="en-US"/>
        </w:rPr>
        <w:t xml:space="preserve">This allowed Mangold to bring a claim of age discrimination even where the deadline for transposing the Directive into national law had not passed and such a right was not yet given by German law.  </w:t>
      </w:r>
      <w:r w:rsidR="00062DDD" w:rsidRPr="00630E54">
        <w:rPr>
          <w:rFonts w:ascii="Times" w:eastAsia="Times New Roman" w:hAnsi="Times"/>
          <w:color w:val="000000" w:themeColor="text1"/>
          <w:shd w:val="clear" w:color="auto" w:fill="FFFFFF"/>
        </w:rPr>
        <w:t>T</w:t>
      </w:r>
      <w:r w:rsidR="009238E5" w:rsidRPr="00630E54">
        <w:rPr>
          <w:rFonts w:ascii="Times" w:eastAsia="Times New Roman" w:hAnsi="Times"/>
          <w:color w:val="000000" w:themeColor="text1"/>
          <w:shd w:val="clear" w:color="auto" w:fill="FFFFFF"/>
        </w:rPr>
        <w:t xml:space="preserve">he national court </w:t>
      </w:r>
      <w:r w:rsidR="001160B3" w:rsidRPr="00630E54">
        <w:rPr>
          <w:rFonts w:ascii="Times" w:eastAsia="Times New Roman" w:hAnsi="Times"/>
          <w:color w:val="000000" w:themeColor="text1"/>
          <w:shd w:val="clear" w:color="auto" w:fill="FFFFFF"/>
        </w:rPr>
        <w:t>was required to</w:t>
      </w:r>
      <w:r w:rsidR="009238E5" w:rsidRPr="00630E54">
        <w:rPr>
          <w:rFonts w:ascii="Times" w:eastAsia="Times New Roman" w:hAnsi="Times"/>
          <w:color w:val="000000" w:themeColor="text1"/>
          <w:shd w:val="clear" w:color="auto" w:fill="FFFFFF"/>
        </w:rPr>
        <w:t xml:space="preserve"> ‘disapply’</w:t>
      </w:r>
      <w:r w:rsidR="00803568" w:rsidRPr="00630E54">
        <w:rPr>
          <w:rFonts w:ascii="Times" w:eastAsia="Times New Roman" w:hAnsi="Times"/>
          <w:color w:val="000000" w:themeColor="text1"/>
          <w:shd w:val="clear" w:color="auto" w:fill="FFFFFF"/>
        </w:rPr>
        <w:t xml:space="preserve"> conflicting</w:t>
      </w:r>
      <w:r w:rsidR="009238E5" w:rsidRPr="00630E54">
        <w:rPr>
          <w:rFonts w:ascii="Times" w:eastAsia="Times New Roman" w:hAnsi="Times"/>
          <w:color w:val="000000" w:themeColor="text1"/>
          <w:shd w:val="clear" w:color="auto" w:fill="FFFFFF"/>
        </w:rPr>
        <w:t xml:space="preserve"> provisions of national law to the extent they conflicted with the </w:t>
      </w:r>
      <w:r w:rsidR="009238E5" w:rsidRPr="00630E54">
        <w:rPr>
          <w:rFonts w:ascii="Times" w:eastAsia="Times New Roman" w:hAnsi="Times"/>
          <w:i/>
          <w:iCs/>
          <w:color w:val="000000" w:themeColor="text1"/>
          <w:shd w:val="clear" w:color="auto" w:fill="FFFFFF"/>
        </w:rPr>
        <w:t>general principle</w:t>
      </w:r>
      <w:r w:rsidR="00803568" w:rsidRPr="00630E54">
        <w:rPr>
          <w:rFonts w:ascii="Times" w:eastAsia="Times New Roman" w:hAnsi="Times"/>
          <w:i/>
          <w:iCs/>
          <w:color w:val="000000" w:themeColor="text1"/>
          <w:shd w:val="clear" w:color="auto" w:fill="FFFFFF"/>
        </w:rPr>
        <w:t xml:space="preserve"> </w:t>
      </w:r>
      <w:r w:rsidR="00803568" w:rsidRPr="00630E54">
        <w:rPr>
          <w:rFonts w:ascii="Times" w:eastAsia="Times New Roman" w:hAnsi="Times"/>
          <w:iCs/>
          <w:color w:val="000000" w:themeColor="text1"/>
          <w:shd w:val="clear" w:color="auto" w:fill="FFFFFF"/>
        </w:rPr>
        <w:t>of non discrimination</w:t>
      </w:r>
      <w:r w:rsidR="009238E5" w:rsidRPr="00630E54">
        <w:rPr>
          <w:rFonts w:ascii="Times" w:eastAsia="Times New Roman" w:hAnsi="Times"/>
          <w:color w:val="000000" w:themeColor="text1"/>
          <w:shd w:val="clear" w:color="auto" w:fill="FFFFFF"/>
        </w:rPr>
        <w:t>.</w:t>
      </w:r>
      <w:r w:rsidR="00D357FC" w:rsidRPr="00630E54">
        <w:rPr>
          <w:rFonts w:ascii="Times" w:eastAsia="Times New Roman" w:hAnsi="Times"/>
          <w:color w:val="000000" w:themeColor="text1"/>
          <w:shd w:val="clear" w:color="auto" w:fill="FFFFFF"/>
        </w:rPr>
        <w:t xml:space="preserve"> This approach was confirmed in </w:t>
      </w:r>
      <w:r w:rsidR="00D357FC" w:rsidRPr="00630E54">
        <w:rPr>
          <w:rFonts w:ascii="Times" w:eastAsia="Times New Roman" w:hAnsi="Times"/>
          <w:i/>
          <w:color w:val="000000" w:themeColor="text1"/>
          <w:shd w:val="clear" w:color="auto" w:fill="FFFFFF"/>
        </w:rPr>
        <w:t>K</w:t>
      </w:r>
      <w:r w:rsidR="00FB4B4C" w:rsidRPr="00630E54">
        <w:rPr>
          <w:rFonts w:ascii="Times" w:eastAsia="Times New Roman" w:hAnsi="Times"/>
          <w:i/>
          <w:color w:val="000000" w:themeColor="text1"/>
          <w:shd w:val="clear" w:color="auto" w:fill="FFFFFF"/>
        </w:rPr>
        <w:t>ü</w:t>
      </w:r>
      <w:r w:rsidR="00D357FC" w:rsidRPr="00630E54">
        <w:rPr>
          <w:rFonts w:ascii="Times" w:eastAsia="Times New Roman" w:hAnsi="Times"/>
          <w:i/>
          <w:color w:val="000000" w:themeColor="text1"/>
          <w:shd w:val="clear" w:color="auto" w:fill="FFFFFF"/>
        </w:rPr>
        <w:t>c</w:t>
      </w:r>
      <w:r w:rsidR="00FB4B4C" w:rsidRPr="00630E54">
        <w:rPr>
          <w:rFonts w:ascii="Times" w:eastAsia="Times New Roman" w:hAnsi="Times"/>
          <w:i/>
          <w:color w:val="000000" w:themeColor="text1"/>
          <w:shd w:val="clear" w:color="auto" w:fill="FFFFFF"/>
        </w:rPr>
        <w:t>ü</w:t>
      </w:r>
      <w:r w:rsidR="00D357FC" w:rsidRPr="00630E54">
        <w:rPr>
          <w:rFonts w:ascii="Times" w:eastAsia="Times New Roman" w:hAnsi="Times"/>
          <w:i/>
          <w:color w:val="000000" w:themeColor="text1"/>
          <w:shd w:val="clear" w:color="auto" w:fill="FFFFFF"/>
        </w:rPr>
        <w:t>kdeveci.</w:t>
      </w:r>
      <w:r w:rsidR="00D316AE" w:rsidRPr="00630E54">
        <w:rPr>
          <w:rStyle w:val="FootnoteReference"/>
          <w:rFonts w:ascii="Times" w:eastAsia="Times New Roman" w:hAnsi="Times"/>
          <w:color w:val="000000" w:themeColor="text1"/>
          <w:shd w:val="clear" w:color="auto" w:fill="FFFFFF"/>
        </w:rPr>
        <w:footnoteReference w:id="16"/>
      </w:r>
      <w:r w:rsidR="00D357FC" w:rsidRPr="00630E54">
        <w:rPr>
          <w:rFonts w:ascii="Times" w:eastAsia="Times New Roman" w:hAnsi="Times"/>
          <w:color w:val="000000" w:themeColor="text1"/>
          <w:shd w:val="clear" w:color="auto" w:fill="FFFFFF"/>
        </w:rPr>
        <w:t xml:space="preserve"> </w:t>
      </w:r>
      <w:r w:rsidR="009238E5" w:rsidRPr="00630E54">
        <w:rPr>
          <w:rFonts w:ascii="Times" w:eastAsia="Times New Roman" w:hAnsi="Times"/>
          <w:color w:val="000000" w:themeColor="text1"/>
          <w:shd w:val="clear" w:color="auto" w:fill="FFFFFF"/>
        </w:rPr>
        <w:t> </w:t>
      </w:r>
      <w:r w:rsidR="00803568" w:rsidRPr="00630E54">
        <w:rPr>
          <w:rFonts w:ascii="Times" w:hAnsi="Times"/>
          <w:color w:val="000000" w:themeColor="text1"/>
          <w:lang w:val="en-US"/>
        </w:rPr>
        <w:t xml:space="preserve"> </w:t>
      </w:r>
    </w:p>
    <w:p w14:paraId="2C48F7B6" w14:textId="77777777" w:rsidR="00222124" w:rsidRPr="00630E54" w:rsidRDefault="00222124" w:rsidP="00B46D6A">
      <w:pPr>
        <w:spacing w:line="360" w:lineRule="auto"/>
        <w:jc w:val="both"/>
        <w:rPr>
          <w:rFonts w:ascii="Times" w:hAnsi="Times"/>
          <w:color w:val="000000" w:themeColor="text1"/>
          <w:lang w:val="en-US"/>
        </w:rPr>
      </w:pPr>
    </w:p>
    <w:p w14:paraId="0653BB44" w14:textId="77777777" w:rsidR="00AB5391" w:rsidRPr="00630E54" w:rsidRDefault="004A4952" w:rsidP="00B46D6A">
      <w:pPr>
        <w:spacing w:line="360" w:lineRule="auto"/>
        <w:jc w:val="both"/>
        <w:rPr>
          <w:rFonts w:ascii="Times" w:eastAsia="Times New Roman" w:hAnsi="Times"/>
          <w:color w:val="000000" w:themeColor="text1"/>
        </w:rPr>
      </w:pPr>
      <w:r w:rsidRPr="00630E54">
        <w:rPr>
          <w:rFonts w:ascii="Times" w:hAnsi="Times"/>
          <w:color w:val="000000" w:themeColor="text1"/>
          <w:lang w:val="en-US"/>
        </w:rPr>
        <w:t>More recently</w:t>
      </w:r>
      <w:r w:rsidR="00A11F5E" w:rsidRPr="00630E54">
        <w:rPr>
          <w:rFonts w:ascii="Times" w:hAnsi="Times"/>
          <w:color w:val="000000" w:themeColor="text1"/>
          <w:lang w:val="en-US"/>
        </w:rPr>
        <w:t xml:space="preserve"> in </w:t>
      </w:r>
      <w:r w:rsidR="00222124" w:rsidRPr="00630E54">
        <w:rPr>
          <w:rFonts w:ascii="Times" w:hAnsi="Times"/>
          <w:i/>
          <w:color w:val="000000" w:themeColor="text1"/>
          <w:lang w:val="en-US"/>
        </w:rPr>
        <w:t>Bauer</w:t>
      </w:r>
      <w:r w:rsidR="00A11F5E" w:rsidRPr="00630E54">
        <w:rPr>
          <w:rFonts w:ascii="Times" w:hAnsi="Times"/>
          <w:color w:val="000000" w:themeColor="text1"/>
          <w:lang w:val="en-US"/>
        </w:rPr>
        <w:t>,</w:t>
      </w:r>
      <w:r w:rsidR="00A11F5E" w:rsidRPr="00630E54">
        <w:rPr>
          <w:rStyle w:val="FootnoteReference"/>
          <w:rFonts w:ascii="Times" w:hAnsi="Times"/>
          <w:color w:val="000000" w:themeColor="text1"/>
          <w:lang w:val="en-US"/>
        </w:rPr>
        <w:footnoteReference w:id="17"/>
      </w:r>
      <w:r w:rsidR="00A11F5E" w:rsidRPr="00630E54">
        <w:rPr>
          <w:rFonts w:ascii="Times" w:hAnsi="Times"/>
          <w:color w:val="000000" w:themeColor="text1"/>
          <w:lang w:val="en-US"/>
        </w:rPr>
        <w:t xml:space="preserve"> decided in 2018, the</w:t>
      </w:r>
      <w:r w:rsidR="0091608D" w:rsidRPr="00630E54">
        <w:rPr>
          <w:rFonts w:ascii="Times" w:hAnsi="Times"/>
          <w:color w:val="000000" w:themeColor="text1"/>
          <w:lang w:val="en-US"/>
        </w:rPr>
        <w:t xml:space="preserve"> CJEU held that most of the Charter of Fundamental Rights and Freedoms is horizontally applicable on the </w:t>
      </w:r>
      <w:r w:rsidR="00D15E21" w:rsidRPr="00630E54">
        <w:rPr>
          <w:rFonts w:ascii="Times" w:hAnsi="Times"/>
          <w:color w:val="000000" w:themeColor="text1"/>
          <w:lang w:val="en-US"/>
        </w:rPr>
        <w:t>similar</w:t>
      </w:r>
      <w:r w:rsidR="0091608D" w:rsidRPr="00630E54">
        <w:rPr>
          <w:rFonts w:ascii="Times" w:hAnsi="Times"/>
          <w:color w:val="000000" w:themeColor="text1"/>
          <w:lang w:val="en-US"/>
        </w:rPr>
        <w:t xml:space="preserve"> basis that it </w:t>
      </w:r>
      <w:r w:rsidR="00D15E21" w:rsidRPr="00630E54">
        <w:rPr>
          <w:rFonts w:ascii="Times" w:hAnsi="Times"/>
          <w:color w:val="000000" w:themeColor="text1"/>
          <w:lang w:val="en-US"/>
        </w:rPr>
        <w:t>does not itself establish the protection of fundamental r</w:t>
      </w:r>
      <w:r w:rsidR="00C7095F" w:rsidRPr="00630E54">
        <w:rPr>
          <w:rFonts w:ascii="Times" w:hAnsi="Times"/>
          <w:color w:val="000000" w:themeColor="text1"/>
          <w:lang w:val="en-US"/>
        </w:rPr>
        <w:t xml:space="preserve">ights within the EU, but </w:t>
      </w:r>
      <w:r w:rsidRPr="00630E54">
        <w:rPr>
          <w:rFonts w:ascii="Times" w:hAnsi="Times"/>
          <w:color w:val="000000" w:themeColor="text1"/>
          <w:lang w:val="en-US"/>
        </w:rPr>
        <w:t>rather</w:t>
      </w:r>
      <w:r w:rsidR="001160B3" w:rsidRPr="00630E54">
        <w:rPr>
          <w:rFonts w:ascii="Times" w:hAnsi="Times"/>
          <w:color w:val="000000" w:themeColor="text1"/>
          <w:lang w:val="en-US"/>
        </w:rPr>
        <w:t xml:space="preserve"> </w:t>
      </w:r>
      <w:r w:rsidR="00C7095F" w:rsidRPr="00630E54">
        <w:rPr>
          <w:rFonts w:ascii="Times" w:hAnsi="Times"/>
          <w:color w:val="000000" w:themeColor="text1"/>
          <w:lang w:val="en-US"/>
        </w:rPr>
        <w:t xml:space="preserve">many of the provisions merely describe </w:t>
      </w:r>
      <w:r w:rsidR="001160B3" w:rsidRPr="00630E54">
        <w:rPr>
          <w:rFonts w:ascii="Times" w:hAnsi="Times"/>
          <w:color w:val="000000" w:themeColor="text1"/>
          <w:lang w:val="en-US"/>
        </w:rPr>
        <w:t>general underlying</w:t>
      </w:r>
      <w:r w:rsidR="00C7095F" w:rsidRPr="00630E54">
        <w:rPr>
          <w:rFonts w:ascii="Times" w:hAnsi="Times"/>
          <w:color w:val="000000" w:themeColor="text1"/>
          <w:lang w:val="en-US"/>
        </w:rPr>
        <w:t xml:space="preserve"> principles of the EU. </w:t>
      </w:r>
      <w:r w:rsidR="00D15E21" w:rsidRPr="00630E54">
        <w:rPr>
          <w:rFonts w:ascii="Times" w:hAnsi="Times"/>
          <w:color w:val="000000" w:themeColor="text1"/>
          <w:lang w:val="en-US"/>
        </w:rPr>
        <w:t xml:space="preserve"> </w:t>
      </w:r>
      <w:r w:rsidR="00C7095F" w:rsidRPr="00630E54">
        <w:rPr>
          <w:rFonts w:ascii="Times" w:hAnsi="Times"/>
          <w:color w:val="000000" w:themeColor="text1"/>
          <w:lang w:val="en-US"/>
        </w:rPr>
        <w:t xml:space="preserve">This was so even though Art 51 of the Charter states that </w:t>
      </w:r>
      <w:r w:rsidR="003E41D8" w:rsidRPr="00630E54">
        <w:rPr>
          <w:rFonts w:ascii="Times" w:hAnsi="Times"/>
          <w:color w:val="000000" w:themeColor="text1"/>
          <w:lang w:val="en-US"/>
        </w:rPr>
        <w:t>it does not extend the field of application of EU law or give any fu</w:t>
      </w:r>
      <w:r w:rsidR="00920A7B" w:rsidRPr="00630E54">
        <w:rPr>
          <w:rFonts w:ascii="Times" w:hAnsi="Times"/>
          <w:color w:val="000000" w:themeColor="text1"/>
          <w:lang w:val="en-US"/>
        </w:rPr>
        <w:t>rther powers to EU institutions. T</w:t>
      </w:r>
      <w:r w:rsidR="003E41D8" w:rsidRPr="00630E54">
        <w:rPr>
          <w:rFonts w:ascii="Times" w:hAnsi="Times"/>
          <w:color w:val="000000" w:themeColor="text1"/>
          <w:lang w:val="en-US"/>
        </w:rPr>
        <w:t>he CJEU h</w:t>
      </w:r>
      <w:r w:rsidR="00920A7B" w:rsidRPr="00630E54">
        <w:rPr>
          <w:rFonts w:ascii="Times" w:hAnsi="Times"/>
          <w:color w:val="000000" w:themeColor="text1"/>
          <w:lang w:val="en-US"/>
        </w:rPr>
        <w:t>eld</w:t>
      </w:r>
      <w:r w:rsidR="003E41D8" w:rsidRPr="00630E54">
        <w:rPr>
          <w:rFonts w:ascii="Times" w:hAnsi="Times"/>
          <w:color w:val="000000" w:themeColor="text1"/>
          <w:lang w:val="en-US"/>
        </w:rPr>
        <w:t xml:space="preserve"> that this did not address the question whether individuals could</w:t>
      </w:r>
      <w:r w:rsidR="00AB5391" w:rsidRPr="00630E54">
        <w:rPr>
          <w:rFonts w:ascii="Times" w:hAnsi="Times"/>
          <w:color w:val="000000" w:themeColor="text1"/>
        </w:rPr>
        <w:t xml:space="preserve"> be directly required to comply with certain provisions of </w:t>
      </w:r>
      <w:r w:rsidR="007716A7" w:rsidRPr="00630E54">
        <w:rPr>
          <w:rFonts w:ascii="Times" w:hAnsi="Times"/>
          <w:color w:val="000000" w:themeColor="text1"/>
        </w:rPr>
        <w:t>it</w:t>
      </w:r>
      <w:r w:rsidR="00AB5391" w:rsidRPr="00630E54">
        <w:rPr>
          <w:rFonts w:ascii="Times" w:hAnsi="Times"/>
          <w:color w:val="000000" w:themeColor="text1"/>
        </w:rPr>
        <w:t>.</w:t>
      </w:r>
      <w:r w:rsidR="00BF4F6F" w:rsidRPr="00630E54">
        <w:rPr>
          <w:rStyle w:val="FootnoteReference"/>
          <w:rFonts w:ascii="Times" w:hAnsi="Times"/>
          <w:color w:val="000000" w:themeColor="text1"/>
        </w:rPr>
        <w:footnoteReference w:id="18"/>
      </w:r>
      <w:r w:rsidR="001160B3" w:rsidRPr="00630E54">
        <w:rPr>
          <w:rFonts w:ascii="Times" w:eastAsia="Times New Roman" w:hAnsi="Times"/>
          <w:color w:val="000000" w:themeColor="text1"/>
          <w:shd w:val="clear" w:color="auto" w:fill="FFFFFF"/>
        </w:rPr>
        <w:t xml:space="preserve"> T</w:t>
      </w:r>
      <w:r w:rsidR="001160B3" w:rsidRPr="00630E54">
        <w:rPr>
          <w:rFonts w:ascii="Times" w:hAnsi="Times"/>
          <w:color w:val="000000" w:themeColor="text1"/>
          <w:lang w:val="en-US"/>
        </w:rPr>
        <w:t xml:space="preserve">his idea was applied to discrimination on the grounds of religion or belief in </w:t>
      </w:r>
      <w:r w:rsidR="001160B3" w:rsidRPr="00630E54">
        <w:rPr>
          <w:rFonts w:ascii="Times" w:hAnsi="Times"/>
          <w:i/>
          <w:color w:val="000000" w:themeColor="text1"/>
          <w:lang w:val="en-US"/>
        </w:rPr>
        <w:t>Egenberger</w:t>
      </w:r>
      <w:r w:rsidR="001160B3" w:rsidRPr="00630E54">
        <w:rPr>
          <w:rStyle w:val="FootnoteReference"/>
          <w:rFonts w:ascii="Times" w:hAnsi="Times"/>
          <w:color w:val="000000" w:themeColor="text1"/>
          <w:lang w:val="en-US"/>
        </w:rPr>
        <w:footnoteReference w:id="19"/>
      </w:r>
      <w:r w:rsidR="001160B3" w:rsidRPr="00630E54">
        <w:rPr>
          <w:rFonts w:ascii="Times" w:hAnsi="Times"/>
          <w:i/>
          <w:color w:val="000000" w:themeColor="text1"/>
          <w:lang w:val="en-US"/>
        </w:rPr>
        <w:t xml:space="preserve"> </w:t>
      </w:r>
      <w:r w:rsidR="001160B3" w:rsidRPr="00630E54">
        <w:rPr>
          <w:rFonts w:ascii="Times" w:hAnsi="Times"/>
          <w:color w:val="000000" w:themeColor="text1"/>
          <w:lang w:val="en-US"/>
        </w:rPr>
        <w:t>and</w:t>
      </w:r>
      <w:r w:rsidR="007716A7" w:rsidRPr="00630E54">
        <w:rPr>
          <w:rFonts w:ascii="Times" w:hAnsi="Times"/>
          <w:i/>
          <w:color w:val="000000" w:themeColor="text1"/>
          <w:lang w:val="en-US"/>
        </w:rPr>
        <w:t xml:space="preserve"> IR.</w:t>
      </w:r>
      <w:r w:rsidR="001160B3" w:rsidRPr="00630E54">
        <w:rPr>
          <w:rStyle w:val="FootnoteReference"/>
          <w:rFonts w:ascii="Times" w:hAnsi="Times"/>
          <w:color w:val="000000" w:themeColor="text1"/>
          <w:lang w:val="en-US"/>
        </w:rPr>
        <w:footnoteReference w:id="20"/>
      </w:r>
      <w:r w:rsidR="001160B3" w:rsidRPr="00630E54">
        <w:rPr>
          <w:rFonts w:ascii="Times" w:hAnsi="Times"/>
          <w:i/>
          <w:color w:val="000000" w:themeColor="text1"/>
          <w:lang w:val="en-US"/>
        </w:rPr>
        <w:t xml:space="preserve"> </w:t>
      </w:r>
      <w:r w:rsidR="007716A7" w:rsidRPr="00630E54">
        <w:rPr>
          <w:rFonts w:ascii="Times" w:hAnsi="Times"/>
          <w:color w:val="000000" w:themeColor="text1"/>
          <w:lang w:val="en-US"/>
        </w:rPr>
        <w:t xml:space="preserve">These cases </w:t>
      </w:r>
      <w:r w:rsidR="001160B3" w:rsidRPr="00630E54">
        <w:rPr>
          <w:rFonts w:ascii="Times" w:hAnsi="Times"/>
          <w:color w:val="000000" w:themeColor="text1"/>
          <w:lang w:val="en-US"/>
        </w:rPr>
        <w:t xml:space="preserve">held that </w:t>
      </w:r>
      <w:r w:rsidR="001160B3" w:rsidRPr="00630E54">
        <w:rPr>
          <w:rFonts w:ascii="Times" w:eastAsia="Times New Roman" w:hAnsi="Times"/>
          <w:color w:val="000000" w:themeColor="text1"/>
          <w:shd w:val="clear" w:color="auto" w:fill="FFFFFF"/>
        </w:rPr>
        <w:t xml:space="preserve">Article 21(1) of the Charter may therefore be ‘relied on’ in combination with the Framework Directive </w:t>
      </w:r>
      <w:r w:rsidR="007716A7" w:rsidRPr="00630E54">
        <w:rPr>
          <w:rFonts w:ascii="Times" w:eastAsia="Times New Roman" w:hAnsi="Times"/>
          <w:color w:val="000000" w:themeColor="text1"/>
          <w:shd w:val="clear" w:color="auto" w:fill="FFFFFF"/>
        </w:rPr>
        <w:t>allowing horizontal claims</w:t>
      </w:r>
      <w:r w:rsidR="001160B3" w:rsidRPr="00630E54">
        <w:rPr>
          <w:rFonts w:ascii="Times" w:eastAsia="Times New Roman" w:hAnsi="Times"/>
          <w:color w:val="000000" w:themeColor="text1"/>
          <w:shd w:val="clear" w:color="auto" w:fill="FFFFFF"/>
        </w:rPr>
        <w:t xml:space="preserve">. </w:t>
      </w:r>
    </w:p>
    <w:p w14:paraId="5543D161" w14:textId="77777777" w:rsidR="002E4091" w:rsidRPr="00630E54" w:rsidRDefault="002E4091" w:rsidP="00B46D6A">
      <w:pPr>
        <w:spacing w:line="360" w:lineRule="auto"/>
        <w:jc w:val="both"/>
        <w:rPr>
          <w:rFonts w:ascii="Times" w:eastAsia="Times New Roman" w:hAnsi="Times"/>
          <w:color w:val="000000" w:themeColor="text1"/>
        </w:rPr>
      </w:pPr>
    </w:p>
    <w:p w14:paraId="25C4607D" w14:textId="77777777" w:rsidR="00AE1AEC" w:rsidRPr="00630E54" w:rsidRDefault="00816DAD" w:rsidP="004A4952">
      <w:pPr>
        <w:spacing w:line="360" w:lineRule="auto"/>
        <w:jc w:val="both"/>
        <w:rPr>
          <w:rFonts w:ascii="Times" w:hAnsi="Times"/>
          <w:color w:val="000000" w:themeColor="text1"/>
          <w:lang w:val="en-US"/>
        </w:rPr>
      </w:pPr>
      <w:r w:rsidRPr="00630E54">
        <w:rPr>
          <w:rFonts w:ascii="Times" w:hAnsi="Times"/>
          <w:color w:val="000000" w:themeColor="text1"/>
          <w:lang w:val="en-US"/>
        </w:rPr>
        <w:t xml:space="preserve">The right of non-discrimination could therefore be applied horizontally in </w:t>
      </w:r>
      <w:r w:rsidR="007716A7" w:rsidRPr="00630E54">
        <w:rPr>
          <w:rFonts w:ascii="Times" w:hAnsi="Times"/>
          <w:i/>
          <w:color w:val="000000" w:themeColor="text1"/>
          <w:lang w:val="en-US"/>
        </w:rPr>
        <w:t>Ach</w:t>
      </w:r>
      <w:r w:rsidRPr="00630E54">
        <w:rPr>
          <w:rFonts w:ascii="Times" w:hAnsi="Times"/>
          <w:i/>
          <w:color w:val="000000" w:themeColor="text1"/>
          <w:lang w:val="en-US"/>
        </w:rPr>
        <w:t>a</w:t>
      </w:r>
      <w:r w:rsidR="007716A7" w:rsidRPr="00630E54">
        <w:rPr>
          <w:rFonts w:ascii="Times" w:hAnsi="Times"/>
          <w:i/>
          <w:color w:val="000000" w:themeColor="text1"/>
          <w:lang w:val="en-US"/>
        </w:rPr>
        <w:t>t</w:t>
      </w:r>
      <w:r w:rsidRPr="00630E54">
        <w:rPr>
          <w:rFonts w:ascii="Times" w:hAnsi="Times"/>
          <w:i/>
          <w:color w:val="000000" w:themeColor="text1"/>
          <w:lang w:val="en-US"/>
        </w:rPr>
        <w:t>zi</w:t>
      </w:r>
      <w:r w:rsidRPr="00630E54">
        <w:rPr>
          <w:rFonts w:ascii="Times" w:hAnsi="Times"/>
          <w:color w:val="000000" w:themeColor="text1"/>
          <w:lang w:val="en-US"/>
        </w:rPr>
        <w:t>, but</w:t>
      </w:r>
      <w:r w:rsidR="00920A7B" w:rsidRPr="00630E54">
        <w:rPr>
          <w:rFonts w:ascii="Times" w:hAnsi="Times"/>
          <w:color w:val="000000" w:themeColor="text1"/>
          <w:lang w:val="en-US"/>
        </w:rPr>
        <w:t xml:space="preserve"> this left</w:t>
      </w:r>
      <w:r w:rsidRPr="00630E54">
        <w:rPr>
          <w:rFonts w:ascii="Times" w:hAnsi="Times"/>
          <w:color w:val="000000" w:themeColor="text1"/>
          <w:lang w:val="en-US"/>
        </w:rPr>
        <w:t xml:space="preserve"> </w:t>
      </w:r>
      <w:r w:rsidR="007716A7" w:rsidRPr="00630E54">
        <w:rPr>
          <w:rFonts w:ascii="Times" w:hAnsi="Times"/>
          <w:color w:val="000000" w:themeColor="text1"/>
          <w:lang w:val="en-US"/>
        </w:rPr>
        <w:t xml:space="preserve">the question </w:t>
      </w:r>
      <w:r w:rsidR="00920A7B" w:rsidRPr="00630E54">
        <w:rPr>
          <w:rFonts w:ascii="Times" w:hAnsi="Times"/>
          <w:color w:val="000000" w:themeColor="text1"/>
          <w:lang w:val="en-US"/>
        </w:rPr>
        <w:t xml:space="preserve">of </w:t>
      </w:r>
      <w:r w:rsidR="007716A7" w:rsidRPr="00630E54">
        <w:rPr>
          <w:rFonts w:ascii="Times" w:hAnsi="Times"/>
          <w:color w:val="000000" w:themeColor="text1"/>
          <w:lang w:val="en-US"/>
        </w:rPr>
        <w:t>what the remedy should be. F</w:t>
      </w:r>
      <w:r w:rsidR="00AD22F8" w:rsidRPr="00630E54">
        <w:rPr>
          <w:rFonts w:ascii="Times" w:hAnsi="Times"/>
          <w:color w:val="000000" w:themeColor="text1"/>
          <w:lang w:val="en-US"/>
        </w:rPr>
        <w:t>ollowing th</w:t>
      </w:r>
      <w:r w:rsidR="0092542B" w:rsidRPr="00630E54">
        <w:rPr>
          <w:rFonts w:ascii="Times" w:hAnsi="Times"/>
          <w:color w:val="000000" w:themeColor="text1"/>
          <w:lang w:val="en-US"/>
        </w:rPr>
        <w:t>e</w:t>
      </w:r>
      <w:r w:rsidR="00AD22F8" w:rsidRPr="00630E54">
        <w:rPr>
          <w:rFonts w:ascii="Times" w:hAnsi="Times"/>
          <w:color w:val="000000" w:themeColor="text1"/>
          <w:lang w:val="en-US"/>
        </w:rPr>
        <w:t xml:space="preserve"> approach</w:t>
      </w:r>
      <w:r w:rsidR="0092542B" w:rsidRPr="00630E54">
        <w:rPr>
          <w:rFonts w:ascii="Times" w:hAnsi="Times"/>
          <w:color w:val="000000" w:themeColor="text1"/>
          <w:lang w:val="en-US"/>
        </w:rPr>
        <w:t xml:space="preserve"> taken</w:t>
      </w:r>
      <w:r w:rsidR="00AD22F8" w:rsidRPr="00630E54">
        <w:rPr>
          <w:rFonts w:ascii="Times" w:hAnsi="Times"/>
          <w:color w:val="000000" w:themeColor="text1"/>
          <w:lang w:val="en-US"/>
        </w:rPr>
        <w:t xml:space="preserve"> in</w:t>
      </w:r>
      <w:r w:rsidRPr="00630E54">
        <w:rPr>
          <w:rFonts w:ascii="Times" w:hAnsi="Times"/>
          <w:color w:val="000000" w:themeColor="text1"/>
          <w:lang w:val="en-US"/>
        </w:rPr>
        <w:t xml:space="preserve"> the </w:t>
      </w:r>
      <w:r w:rsidR="004A4952" w:rsidRPr="00630E54">
        <w:rPr>
          <w:rFonts w:ascii="Times" w:hAnsi="Times"/>
          <w:color w:val="000000" w:themeColor="text1"/>
          <w:lang w:val="en-US"/>
        </w:rPr>
        <w:t xml:space="preserve">earlier </w:t>
      </w:r>
      <w:r w:rsidR="0092542B" w:rsidRPr="00630E54">
        <w:rPr>
          <w:rFonts w:ascii="Times" w:hAnsi="Times"/>
          <w:color w:val="000000" w:themeColor="text1"/>
          <w:lang w:val="en-US"/>
        </w:rPr>
        <w:t>cases</w:t>
      </w:r>
      <w:r w:rsidR="00AD22F8" w:rsidRPr="00630E54">
        <w:rPr>
          <w:rFonts w:ascii="Times" w:hAnsi="Times"/>
          <w:color w:val="000000" w:themeColor="text1"/>
          <w:lang w:val="en-US"/>
        </w:rPr>
        <w:t xml:space="preserve">, the </w:t>
      </w:r>
      <w:r w:rsidR="001D6B1A" w:rsidRPr="00630E54">
        <w:rPr>
          <w:rFonts w:ascii="Times" w:hAnsi="Times"/>
          <w:color w:val="000000" w:themeColor="text1"/>
          <w:lang w:val="en-US"/>
        </w:rPr>
        <w:t xml:space="preserve">role of the </w:t>
      </w:r>
      <w:r w:rsidR="00AD22F8" w:rsidRPr="00630E54">
        <w:rPr>
          <w:rFonts w:ascii="Times" w:hAnsi="Times"/>
          <w:color w:val="000000" w:themeColor="text1"/>
          <w:lang w:val="en-US"/>
        </w:rPr>
        <w:t>court</w:t>
      </w:r>
      <w:r w:rsidR="003E41D8" w:rsidRPr="00630E54">
        <w:rPr>
          <w:rFonts w:ascii="Times" w:hAnsi="Times"/>
          <w:color w:val="000000" w:themeColor="text1"/>
          <w:lang w:val="en-US"/>
        </w:rPr>
        <w:t xml:space="preserve"> </w:t>
      </w:r>
      <w:r w:rsidR="001D6B1A" w:rsidRPr="00630E54">
        <w:rPr>
          <w:rFonts w:ascii="Times" w:hAnsi="Times"/>
          <w:color w:val="000000" w:themeColor="text1"/>
          <w:lang w:val="en-US"/>
        </w:rPr>
        <w:t>was not to apply the Directive itself, but</w:t>
      </w:r>
      <w:r w:rsidR="00AD22F8" w:rsidRPr="00630E54">
        <w:rPr>
          <w:rFonts w:ascii="Times" w:hAnsi="Times"/>
          <w:color w:val="000000" w:themeColor="text1"/>
          <w:lang w:val="en-US"/>
        </w:rPr>
        <w:t xml:space="preserve"> </w:t>
      </w:r>
      <w:r w:rsidR="001D6B1A" w:rsidRPr="00630E54">
        <w:rPr>
          <w:rFonts w:ascii="Times" w:hAnsi="Times"/>
          <w:color w:val="000000" w:themeColor="text1"/>
          <w:lang w:val="en-US"/>
        </w:rPr>
        <w:t>t</w:t>
      </w:r>
      <w:r w:rsidR="00AD22F8" w:rsidRPr="00630E54">
        <w:rPr>
          <w:rFonts w:ascii="Times" w:hAnsi="Times"/>
          <w:color w:val="000000" w:themeColor="text1"/>
          <w:lang w:val="en-US"/>
        </w:rPr>
        <w:t>o ‘disapply’</w:t>
      </w:r>
      <w:r w:rsidR="003A6D4C" w:rsidRPr="00630E54">
        <w:rPr>
          <w:rFonts w:ascii="Times" w:hAnsi="Times"/>
          <w:color w:val="000000" w:themeColor="text1"/>
          <w:lang w:val="en-US"/>
        </w:rPr>
        <w:t xml:space="preserve"> the</w:t>
      </w:r>
      <w:r w:rsidRPr="00630E54">
        <w:rPr>
          <w:rFonts w:ascii="Times" w:hAnsi="Times"/>
          <w:color w:val="000000" w:themeColor="text1"/>
          <w:lang w:val="en-US"/>
        </w:rPr>
        <w:t xml:space="preserve"> offending</w:t>
      </w:r>
      <w:r w:rsidR="003A6D4C" w:rsidRPr="00630E54">
        <w:rPr>
          <w:rFonts w:ascii="Times" w:hAnsi="Times"/>
          <w:color w:val="000000" w:themeColor="text1"/>
          <w:lang w:val="en-US"/>
        </w:rPr>
        <w:t xml:space="preserve"> national law. </w:t>
      </w:r>
      <w:r w:rsidR="00AD22F8" w:rsidRPr="00630E54">
        <w:rPr>
          <w:rFonts w:ascii="Times" w:hAnsi="Times"/>
          <w:color w:val="000000" w:themeColor="text1"/>
          <w:lang w:val="en-US"/>
        </w:rPr>
        <w:t>The question was what this meant here specifically: did it mean that the offending discriminatory aspect had to</w:t>
      </w:r>
      <w:r w:rsidR="001D6B1A" w:rsidRPr="00630E54">
        <w:rPr>
          <w:rFonts w:ascii="Times" w:hAnsi="Times"/>
          <w:color w:val="000000" w:themeColor="text1"/>
          <w:lang w:val="en-US"/>
        </w:rPr>
        <w:t xml:space="preserve"> be</w:t>
      </w:r>
      <w:r w:rsidR="00AD22F8" w:rsidRPr="00630E54">
        <w:rPr>
          <w:rFonts w:ascii="Times" w:hAnsi="Times"/>
          <w:color w:val="000000" w:themeColor="text1"/>
          <w:lang w:val="en-US"/>
        </w:rPr>
        <w:t xml:space="preserve"> removed by removing the extra holiday for members of the specified church</w:t>
      </w:r>
      <w:r w:rsidR="004A4952" w:rsidRPr="00630E54">
        <w:rPr>
          <w:rFonts w:ascii="Times" w:hAnsi="Times"/>
          <w:color w:val="000000" w:themeColor="text1"/>
          <w:lang w:val="en-US"/>
        </w:rPr>
        <w:t xml:space="preserve">; </w:t>
      </w:r>
      <w:r w:rsidR="00AD22F8" w:rsidRPr="00630E54">
        <w:rPr>
          <w:rFonts w:ascii="Times" w:hAnsi="Times"/>
          <w:color w:val="000000" w:themeColor="text1"/>
          <w:lang w:val="en-US"/>
        </w:rPr>
        <w:t xml:space="preserve">or did employers have to give all </w:t>
      </w:r>
      <w:r w:rsidR="001D6B1A" w:rsidRPr="00630E54">
        <w:rPr>
          <w:rFonts w:ascii="Times" w:hAnsi="Times"/>
          <w:color w:val="000000" w:themeColor="text1"/>
          <w:lang w:val="en-US"/>
        </w:rPr>
        <w:t>employers</w:t>
      </w:r>
      <w:r w:rsidR="00AD22F8" w:rsidRPr="00630E54">
        <w:rPr>
          <w:rFonts w:ascii="Times" w:hAnsi="Times"/>
          <w:color w:val="000000" w:themeColor="text1"/>
          <w:lang w:val="en-US"/>
        </w:rPr>
        <w:t xml:space="preserve"> the day off or public holiday</w:t>
      </w:r>
      <w:r w:rsidR="001D6B1A" w:rsidRPr="00630E54">
        <w:rPr>
          <w:rFonts w:ascii="Times" w:hAnsi="Times"/>
          <w:color w:val="000000" w:themeColor="text1"/>
          <w:lang w:val="en-US"/>
        </w:rPr>
        <w:t xml:space="preserve"> pay</w:t>
      </w:r>
      <w:r w:rsidR="00AD22F8" w:rsidRPr="00630E54">
        <w:rPr>
          <w:rFonts w:ascii="Times" w:hAnsi="Times"/>
          <w:color w:val="000000" w:themeColor="text1"/>
          <w:lang w:val="en-US"/>
        </w:rPr>
        <w:t xml:space="preserve"> i</w:t>
      </w:r>
      <w:r w:rsidR="00D66AEA" w:rsidRPr="00630E54">
        <w:rPr>
          <w:rFonts w:ascii="Times" w:hAnsi="Times"/>
          <w:color w:val="000000" w:themeColor="text1"/>
          <w:lang w:val="en-US"/>
        </w:rPr>
        <w:t>n lieu</w:t>
      </w:r>
      <w:r w:rsidR="004A4952" w:rsidRPr="00630E54">
        <w:rPr>
          <w:rFonts w:ascii="Times" w:hAnsi="Times"/>
          <w:color w:val="000000" w:themeColor="text1"/>
          <w:lang w:val="en-US"/>
        </w:rPr>
        <w:t>;</w:t>
      </w:r>
      <w:r w:rsidR="001D6B1A" w:rsidRPr="00630E54">
        <w:rPr>
          <w:rFonts w:ascii="Times" w:hAnsi="Times"/>
          <w:color w:val="000000" w:themeColor="text1"/>
          <w:lang w:val="en-US"/>
        </w:rPr>
        <w:t xml:space="preserve"> or</w:t>
      </w:r>
      <w:r w:rsidR="00D66AEA" w:rsidRPr="00630E54">
        <w:rPr>
          <w:rFonts w:ascii="Times" w:hAnsi="Times"/>
          <w:color w:val="000000" w:themeColor="text1"/>
          <w:lang w:val="en-US"/>
        </w:rPr>
        <w:t xml:space="preserve"> even</w:t>
      </w:r>
      <w:r w:rsidR="001D6B1A" w:rsidRPr="00630E54">
        <w:rPr>
          <w:rFonts w:ascii="Times" w:hAnsi="Times"/>
          <w:color w:val="000000" w:themeColor="text1"/>
          <w:lang w:val="en-US"/>
        </w:rPr>
        <w:t>,</w:t>
      </w:r>
      <w:r w:rsidR="00D66AEA" w:rsidRPr="00630E54">
        <w:rPr>
          <w:rFonts w:ascii="Times" w:hAnsi="Times"/>
          <w:color w:val="000000" w:themeColor="text1"/>
          <w:lang w:val="en-US"/>
        </w:rPr>
        <w:t xml:space="preserve"> as the Commission suggested</w:t>
      </w:r>
      <w:r w:rsidR="001D6B1A" w:rsidRPr="00630E54">
        <w:rPr>
          <w:rFonts w:ascii="Times" w:hAnsi="Times"/>
          <w:color w:val="000000" w:themeColor="text1"/>
          <w:lang w:val="en-US"/>
        </w:rPr>
        <w:t>,</w:t>
      </w:r>
      <w:r w:rsidR="00D66AEA" w:rsidRPr="00630E54">
        <w:rPr>
          <w:rFonts w:ascii="Times" w:hAnsi="Times"/>
          <w:color w:val="000000" w:themeColor="text1"/>
          <w:lang w:val="en-US"/>
        </w:rPr>
        <w:t xml:space="preserve"> </w:t>
      </w:r>
      <w:r w:rsidRPr="00630E54">
        <w:rPr>
          <w:rFonts w:ascii="Times" w:hAnsi="Times"/>
          <w:color w:val="000000" w:themeColor="text1"/>
          <w:lang w:val="en-US"/>
        </w:rPr>
        <w:t xml:space="preserve">did the discrimination have to be resolved </w:t>
      </w:r>
      <w:r w:rsidR="00D66AEA" w:rsidRPr="00630E54">
        <w:rPr>
          <w:rFonts w:ascii="Times" w:hAnsi="Times"/>
          <w:color w:val="000000" w:themeColor="text1"/>
          <w:lang w:val="en-US"/>
        </w:rPr>
        <w:t xml:space="preserve">by giving all employees a paid day off to celebrate a ‘particularly important’ religious event on a date to be chosen by </w:t>
      </w:r>
      <w:r w:rsidRPr="00630E54">
        <w:rPr>
          <w:rFonts w:ascii="Times" w:hAnsi="Times"/>
          <w:color w:val="000000" w:themeColor="text1"/>
          <w:lang w:val="en-US"/>
        </w:rPr>
        <w:t>them</w:t>
      </w:r>
      <w:r w:rsidR="001D6B1A" w:rsidRPr="00630E54">
        <w:rPr>
          <w:rFonts w:ascii="Times" w:hAnsi="Times"/>
          <w:color w:val="000000" w:themeColor="text1"/>
          <w:lang w:val="en-US"/>
        </w:rPr>
        <w:t xml:space="preserve">? </w:t>
      </w:r>
      <w:r w:rsidRPr="00630E54">
        <w:rPr>
          <w:rFonts w:ascii="Times" w:hAnsi="Times"/>
          <w:color w:val="000000" w:themeColor="text1"/>
          <w:lang w:val="en-US"/>
        </w:rPr>
        <w:t>Glossing rather quickly over these issues, t</w:t>
      </w:r>
      <w:r w:rsidR="001D6B1A" w:rsidRPr="00630E54">
        <w:rPr>
          <w:rFonts w:ascii="Times" w:hAnsi="Times"/>
          <w:color w:val="000000" w:themeColor="text1"/>
          <w:lang w:val="en-US"/>
        </w:rPr>
        <w:t>he Court held that</w:t>
      </w:r>
      <w:r w:rsidR="004A4952" w:rsidRPr="00630E54">
        <w:rPr>
          <w:rFonts w:ascii="Times" w:hAnsi="Times"/>
          <w:color w:val="000000" w:themeColor="text1"/>
          <w:lang w:val="en-US"/>
        </w:rPr>
        <w:t>,</w:t>
      </w:r>
      <w:r w:rsidR="001D6B1A" w:rsidRPr="00630E54">
        <w:rPr>
          <w:rFonts w:ascii="Times" w:hAnsi="Times"/>
          <w:color w:val="000000" w:themeColor="text1"/>
          <w:lang w:val="en-US"/>
        </w:rPr>
        <w:t xml:space="preserve"> ‘observance of the principle of equality can be ensured only by granting to persons within the disadvantaged category the same </w:t>
      </w:r>
      <w:r w:rsidRPr="00630E54">
        <w:rPr>
          <w:rFonts w:ascii="Times" w:hAnsi="Times"/>
          <w:color w:val="000000" w:themeColor="text1"/>
          <w:lang w:val="en-US"/>
        </w:rPr>
        <w:t>advantages</w:t>
      </w:r>
      <w:r w:rsidR="001D6B1A" w:rsidRPr="00630E54">
        <w:rPr>
          <w:rFonts w:ascii="Times" w:hAnsi="Times"/>
          <w:color w:val="000000" w:themeColor="text1"/>
          <w:lang w:val="en-US"/>
        </w:rPr>
        <w:t xml:space="preserve"> as those enjoyed by persons within the favoured category’</w:t>
      </w:r>
      <w:r w:rsidR="004A4952" w:rsidRPr="00630E54">
        <w:rPr>
          <w:rFonts w:ascii="Times" w:hAnsi="Times"/>
          <w:color w:val="000000" w:themeColor="text1"/>
          <w:lang w:val="en-US"/>
        </w:rPr>
        <w:t>.</w:t>
      </w:r>
      <w:r w:rsidR="007716A7" w:rsidRPr="00630E54">
        <w:rPr>
          <w:rStyle w:val="FootnoteReference"/>
          <w:rFonts w:ascii="Times" w:hAnsi="Times"/>
          <w:color w:val="000000" w:themeColor="text1"/>
          <w:lang w:val="en-US"/>
        </w:rPr>
        <w:footnoteReference w:id="21"/>
      </w:r>
      <w:r w:rsidR="004A4952" w:rsidRPr="00630E54">
        <w:rPr>
          <w:rFonts w:ascii="Times" w:hAnsi="Times"/>
          <w:color w:val="000000" w:themeColor="text1"/>
          <w:lang w:val="en-US"/>
        </w:rPr>
        <w:t xml:space="preserve"> Thus,</w:t>
      </w:r>
      <w:r w:rsidR="00582075" w:rsidRPr="00630E54">
        <w:rPr>
          <w:rFonts w:ascii="Times" w:hAnsi="Times"/>
          <w:color w:val="000000" w:themeColor="text1"/>
          <w:lang w:val="en-US"/>
        </w:rPr>
        <w:t xml:space="preserve"> </w:t>
      </w:r>
      <w:r w:rsidR="001D6B1A" w:rsidRPr="00630E54">
        <w:rPr>
          <w:rFonts w:ascii="Times" w:hAnsi="Times"/>
          <w:color w:val="000000" w:themeColor="text1"/>
          <w:lang w:val="en-US"/>
        </w:rPr>
        <w:t>all employees should receive a day off or extra pay in lieu</w:t>
      </w:r>
      <w:r w:rsidR="00FE0C2B">
        <w:rPr>
          <w:rFonts w:ascii="Times" w:hAnsi="Times"/>
          <w:color w:val="000000" w:themeColor="text1"/>
          <w:lang w:val="en-US"/>
        </w:rPr>
        <w:t xml:space="preserve"> as long as they had informed their employer prior to Good Friday that they did not wish to work then.</w:t>
      </w:r>
    </w:p>
    <w:p w14:paraId="79B6649D" w14:textId="77777777" w:rsidR="00257AF0" w:rsidRPr="00630E54" w:rsidRDefault="00257AF0" w:rsidP="000164C9">
      <w:pPr>
        <w:spacing w:line="360" w:lineRule="auto"/>
        <w:jc w:val="both"/>
        <w:rPr>
          <w:rFonts w:ascii="Times" w:hAnsi="Times"/>
          <w:color w:val="000000" w:themeColor="text1"/>
          <w:lang w:val="en-US"/>
        </w:rPr>
      </w:pPr>
    </w:p>
    <w:p w14:paraId="653EC6A1" w14:textId="77777777" w:rsidR="00FF3814" w:rsidRPr="00630E54" w:rsidRDefault="00FF3814" w:rsidP="00B46D6A">
      <w:pPr>
        <w:pStyle w:val="ListParagraph"/>
        <w:numPr>
          <w:ilvl w:val="0"/>
          <w:numId w:val="1"/>
        </w:numPr>
        <w:spacing w:line="360" w:lineRule="auto"/>
        <w:jc w:val="both"/>
        <w:rPr>
          <w:rFonts w:ascii="Times" w:hAnsi="Times" w:cs="Times New Roman"/>
          <w:b/>
          <w:color w:val="000000" w:themeColor="text1"/>
          <w:lang w:val="en-US"/>
        </w:rPr>
      </w:pPr>
      <w:r w:rsidRPr="00630E54">
        <w:rPr>
          <w:rFonts w:ascii="Times" w:hAnsi="Times" w:cs="Times New Roman"/>
          <w:b/>
          <w:color w:val="000000" w:themeColor="text1"/>
          <w:lang w:val="en-US"/>
        </w:rPr>
        <w:t>Analysis</w:t>
      </w:r>
    </w:p>
    <w:p w14:paraId="34570866" w14:textId="77777777" w:rsidR="00E06877" w:rsidRPr="00630E54" w:rsidRDefault="00E06877" w:rsidP="00E06877">
      <w:pPr>
        <w:pStyle w:val="ListParagraph"/>
        <w:spacing w:line="360" w:lineRule="auto"/>
        <w:jc w:val="both"/>
        <w:rPr>
          <w:rFonts w:ascii="Times" w:hAnsi="Times" w:cs="Times New Roman"/>
          <w:b/>
          <w:color w:val="000000" w:themeColor="text1"/>
          <w:lang w:val="en-US"/>
        </w:rPr>
      </w:pPr>
    </w:p>
    <w:p w14:paraId="09E9F8D7" w14:textId="77777777" w:rsidR="009503A2" w:rsidRPr="00630E54" w:rsidRDefault="00E06877" w:rsidP="00252448">
      <w:pPr>
        <w:spacing w:line="360" w:lineRule="auto"/>
        <w:jc w:val="both"/>
        <w:rPr>
          <w:rFonts w:ascii="Times" w:eastAsia="Times New Roman" w:hAnsi="Times"/>
          <w:color w:val="000000" w:themeColor="text1"/>
        </w:rPr>
      </w:pPr>
      <w:r w:rsidRPr="00630E54">
        <w:rPr>
          <w:rFonts w:ascii="Times" w:hAnsi="Times"/>
          <w:color w:val="000000" w:themeColor="text1"/>
          <w:lang w:val="en-US"/>
        </w:rPr>
        <w:t>As the Advocate General rather acerbically noted in his Opinion, ‘</w:t>
      </w:r>
      <w:r w:rsidRPr="00630E54">
        <w:rPr>
          <w:rFonts w:ascii="Times" w:eastAsia="Times New Roman" w:hAnsi="Times"/>
          <w:color w:val="000000" w:themeColor="text1"/>
          <w:shd w:val="clear" w:color="auto" w:fill="FFFFFF"/>
        </w:rPr>
        <w:t>it is difficult to see how being paid double one’s wages for </w:t>
      </w:r>
      <w:r w:rsidRPr="00630E54">
        <w:rPr>
          <w:rFonts w:ascii="Times" w:eastAsia="Times New Roman" w:hAnsi="Times"/>
          <w:i/>
          <w:iCs/>
          <w:color w:val="000000" w:themeColor="text1"/>
          <w:shd w:val="clear" w:color="auto" w:fill="FFFFFF"/>
        </w:rPr>
        <w:t>not worshipping</w:t>
      </w:r>
      <w:r w:rsidRPr="00630E54">
        <w:rPr>
          <w:rFonts w:ascii="Times" w:eastAsia="Times New Roman" w:hAnsi="Times"/>
          <w:color w:val="000000" w:themeColor="text1"/>
          <w:shd w:val="clear" w:color="auto" w:fill="FFFFFF"/>
        </w:rPr>
        <w:t> on Good Friday is appropriate for achieving the aim of protecting the (even selectively awarded) freedom of religion and worship</w:t>
      </w:r>
      <w:r w:rsidRPr="00630E54">
        <w:rPr>
          <w:rFonts w:ascii="Times" w:eastAsia="Times New Roman" w:hAnsi="Times"/>
          <w:color w:val="000000" w:themeColor="text1"/>
        </w:rPr>
        <w:t>’.</w:t>
      </w:r>
      <w:r w:rsidRPr="00630E54">
        <w:rPr>
          <w:rStyle w:val="FootnoteReference"/>
          <w:rFonts w:ascii="Times" w:eastAsia="Times New Roman" w:hAnsi="Times"/>
          <w:color w:val="000000" w:themeColor="text1"/>
        </w:rPr>
        <w:footnoteReference w:id="22"/>
      </w:r>
      <w:r w:rsidRPr="00630E54">
        <w:rPr>
          <w:rFonts w:ascii="Times" w:eastAsia="Times New Roman" w:hAnsi="Times"/>
          <w:color w:val="000000" w:themeColor="text1"/>
        </w:rPr>
        <w:t xml:space="preserve"> </w:t>
      </w:r>
      <w:r w:rsidR="00711496" w:rsidRPr="00630E54">
        <w:rPr>
          <w:rFonts w:ascii="Times" w:eastAsia="Times New Roman" w:hAnsi="Times"/>
          <w:color w:val="000000" w:themeColor="text1"/>
        </w:rPr>
        <w:t>As McCrea explains, the Court’s analysis is rooted in concerns over individual equality and shows dislike of laws that confer a ‘blanket privilege’ on some religious groups.</w:t>
      </w:r>
      <w:r w:rsidR="000164C9" w:rsidRPr="00630E54">
        <w:rPr>
          <w:rStyle w:val="FootnoteReference"/>
          <w:rFonts w:ascii="Times" w:eastAsia="Times New Roman" w:hAnsi="Times"/>
          <w:color w:val="000000" w:themeColor="text1"/>
        </w:rPr>
        <w:footnoteReference w:id="23"/>
      </w:r>
      <w:r w:rsidR="00711496" w:rsidRPr="00630E54">
        <w:rPr>
          <w:rFonts w:ascii="Times" w:eastAsia="Times New Roman" w:hAnsi="Times"/>
          <w:color w:val="000000" w:themeColor="text1"/>
        </w:rPr>
        <w:t xml:space="preserve">  </w:t>
      </w:r>
      <w:r w:rsidRPr="00630E54">
        <w:rPr>
          <w:rFonts w:ascii="Times" w:eastAsia="Times New Roman" w:hAnsi="Times"/>
          <w:color w:val="000000" w:themeColor="text1"/>
        </w:rPr>
        <w:t>The Austrian law was a clear example of some religious communities being privileged purely because at some point they had the political power to press for a particular right in response to the social-political situation they found themselves in at the time.</w:t>
      </w:r>
      <w:r w:rsidRPr="00630E54">
        <w:rPr>
          <w:rStyle w:val="FootnoteReference"/>
          <w:rFonts w:ascii="Times" w:eastAsia="Times New Roman" w:hAnsi="Times"/>
          <w:color w:val="000000" w:themeColor="text1"/>
        </w:rPr>
        <w:footnoteReference w:id="24"/>
      </w:r>
      <w:r w:rsidRPr="00630E54">
        <w:rPr>
          <w:rFonts w:ascii="Times" w:eastAsia="Times New Roman" w:hAnsi="Times"/>
          <w:color w:val="000000" w:themeColor="text1"/>
        </w:rPr>
        <w:t xml:space="preserve"> It could not withstand the scrutiny that the proportionality enquiry brings, with its focus on means and ends,</w:t>
      </w:r>
      <w:r w:rsidR="00510223" w:rsidRPr="00630E54">
        <w:rPr>
          <w:rStyle w:val="FootnoteReference"/>
          <w:rFonts w:ascii="Times" w:eastAsia="Times New Roman" w:hAnsi="Times"/>
          <w:color w:val="000000" w:themeColor="text1"/>
        </w:rPr>
        <w:footnoteReference w:id="25"/>
      </w:r>
      <w:r w:rsidRPr="00630E54">
        <w:rPr>
          <w:rFonts w:ascii="Times" w:eastAsia="Times New Roman" w:hAnsi="Times"/>
          <w:color w:val="000000" w:themeColor="text1"/>
        </w:rPr>
        <w:t xml:space="preserve"> and any attempts to defend it as a measure increasing religious freedom were doomed to fail. This is the kind of situation which shows the benefit of review by a supranational court which looks at these issues afresh, without seeing it through a </w:t>
      </w:r>
      <w:r w:rsidR="000508F7" w:rsidRPr="00630E54">
        <w:rPr>
          <w:rFonts w:ascii="Times" w:eastAsia="Times New Roman" w:hAnsi="Times"/>
          <w:color w:val="000000" w:themeColor="text1"/>
        </w:rPr>
        <w:t>historically</w:t>
      </w:r>
      <w:r w:rsidRPr="00630E54">
        <w:rPr>
          <w:rFonts w:ascii="Times" w:eastAsia="Times New Roman" w:hAnsi="Times"/>
          <w:color w:val="000000" w:themeColor="text1"/>
        </w:rPr>
        <w:t xml:space="preserve"> influenced national framework.  </w:t>
      </w:r>
    </w:p>
    <w:p w14:paraId="6FFC0407" w14:textId="77777777" w:rsidR="00E06877" w:rsidRPr="00630E54" w:rsidRDefault="00E06877" w:rsidP="00252448">
      <w:pPr>
        <w:spacing w:line="360" w:lineRule="auto"/>
        <w:jc w:val="both"/>
        <w:rPr>
          <w:rFonts w:ascii="Times" w:eastAsia="Times New Roman" w:hAnsi="Times"/>
          <w:color w:val="000000" w:themeColor="text1"/>
        </w:rPr>
      </w:pPr>
    </w:p>
    <w:p w14:paraId="32337C07" w14:textId="77777777" w:rsidR="003E72A5" w:rsidRPr="00630E54" w:rsidRDefault="00862742" w:rsidP="00252448">
      <w:pPr>
        <w:spacing w:line="360" w:lineRule="auto"/>
        <w:jc w:val="both"/>
        <w:rPr>
          <w:rFonts w:ascii="Times" w:hAnsi="Times"/>
          <w:color w:val="000000" w:themeColor="text1"/>
          <w:lang w:val="en-US"/>
        </w:rPr>
      </w:pPr>
      <w:r w:rsidRPr="00630E54">
        <w:rPr>
          <w:rFonts w:ascii="Times" w:hAnsi="Times"/>
          <w:color w:val="000000" w:themeColor="text1"/>
          <w:lang w:val="en-US"/>
        </w:rPr>
        <w:t>Despite the straightforwardness of the conclusion, the case is significant in a number of ways. Firstly, d</w:t>
      </w:r>
      <w:r w:rsidR="009503A2" w:rsidRPr="00630E54">
        <w:rPr>
          <w:rFonts w:ascii="Times" w:hAnsi="Times"/>
          <w:color w:val="000000" w:themeColor="text1"/>
          <w:lang w:val="en-US"/>
        </w:rPr>
        <w:t>espite religion or belief discrimination being prohibited by the Framework Directive since</w:t>
      </w:r>
      <w:r w:rsidR="006667F8" w:rsidRPr="00630E54">
        <w:rPr>
          <w:rFonts w:ascii="Times" w:hAnsi="Times"/>
          <w:color w:val="000000" w:themeColor="text1"/>
          <w:lang w:val="en-US"/>
        </w:rPr>
        <w:t xml:space="preserve"> 2003 </w:t>
      </w:r>
      <w:r w:rsidR="009503A2" w:rsidRPr="00630E54">
        <w:rPr>
          <w:rFonts w:ascii="Times" w:hAnsi="Times"/>
          <w:color w:val="000000" w:themeColor="text1"/>
          <w:lang w:val="en-US"/>
        </w:rPr>
        <w:t>this is one of very</w:t>
      </w:r>
      <w:r w:rsidR="00803568" w:rsidRPr="00630E54">
        <w:rPr>
          <w:rFonts w:ascii="Times" w:hAnsi="Times"/>
          <w:color w:val="000000" w:themeColor="text1"/>
          <w:lang w:val="en-US"/>
        </w:rPr>
        <w:t xml:space="preserve"> few</w:t>
      </w:r>
      <w:r w:rsidR="009503A2" w:rsidRPr="00630E54">
        <w:rPr>
          <w:rFonts w:ascii="Times" w:hAnsi="Times"/>
          <w:color w:val="000000" w:themeColor="text1"/>
          <w:lang w:val="en-US"/>
        </w:rPr>
        <w:t xml:space="preserve"> cases on religion or belief discrimination the CJEU has heard. The first was </w:t>
      </w:r>
      <w:r w:rsidR="009503A2" w:rsidRPr="00630E54">
        <w:rPr>
          <w:rFonts w:ascii="Times" w:hAnsi="Times"/>
          <w:i/>
          <w:color w:val="000000" w:themeColor="text1"/>
          <w:lang w:val="en-US"/>
        </w:rPr>
        <w:t>Achbita</w:t>
      </w:r>
      <w:r w:rsidR="009503A2" w:rsidRPr="00630E54">
        <w:rPr>
          <w:rStyle w:val="FootnoteReference"/>
          <w:rFonts w:ascii="Times" w:hAnsi="Times"/>
          <w:color w:val="000000" w:themeColor="text1"/>
          <w:lang w:val="en-US"/>
        </w:rPr>
        <w:footnoteReference w:id="26"/>
      </w:r>
      <w:r w:rsidR="009503A2" w:rsidRPr="00630E54">
        <w:rPr>
          <w:rFonts w:ascii="Times" w:hAnsi="Times"/>
          <w:color w:val="000000" w:themeColor="text1"/>
          <w:lang w:val="en-US"/>
        </w:rPr>
        <w:t xml:space="preserve"> and </w:t>
      </w:r>
      <w:r w:rsidR="009503A2" w:rsidRPr="00630E54">
        <w:rPr>
          <w:rFonts w:ascii="Times" w:hAnsi="Times"/>
          <w:i/>
          <w:color w:val="000000" w:themeColor="text1"/>
          <w:lang w:val="en-US"/>
        </w:rPr>
        <w:t>Bougnaoui</w:t>
      </w:r>
      <w:r w:rsidR="009503A2" w:rsidRPr="00630E54">
        <w:rPr>
          <w:rStyle w:val="FootnoteReference"/>
          <w:rFonts w:ascii="Times" w:hAnsi="Times"/>
          <w:color w:val="000000" w:themeColor="text1"/>
          <w:lang w:val="en-US"/>
        </w:rPr>
        <w:footnoteReference w:id="27"/>
      </w:r>
      <w:r w:rsidR="009503A2" w:rsidRPr="00630E54">
        <w:rPr>
          <w:rFonts w:ascii="Times" w:hAnsi="Times"/>
          <w:color w:val="000000" w:themeColor="text1"/>
          <w:lang w:val="en-US"/>
        </w:rPr>
        <w:t xml:space="preserve"> in 2017 and their conclusion </w:t>
      </w:r>
      <w:r w:rsidR="00170FD6" w:rsidRPr="00630E54">
        <w:rPr>
          <w:rFonts w:ascii="Times" w:hAnsi="Times"/>
          <w:color w:val="000000" w:themeColor="text1"/>
          <w:lang w:val="en-US"/>
        </w:rPr>
        <w:t xml:space="preserve">that a policy of </w:t>
      </w:r>
      <w:r w:rsidR="00170FD6" w:rsidRPr="00630E54">
        <w:rPr>
          <w:rFonts w:ascii="Times" w:eastAsia="Times New Roman" w:hAnsi="Times"/>
          <w:iCs/>
          <w:color w:val="000000"/>
          <w:spacing w:val="3"/>
        </w:rPr>
        <w:t xml:space="preserve">political, philosophical or religious neutrality by an employer, as demonstrated by refusing to allow a Muslim employee who interacts with customers to wear a headscarf </w:t>
      </w:r>
      <w:r w:rsidR="00426375" w:rsidRPr="00630E54">
        <w:rPr>
          <w:rFonts w:ascii="Times" w:eastAsia="Times New Roman" w:hAnsi="Times"/>
          <w:iCs/>
          <w:color w:val="000000"/>
          <w:spacing w:val="3"/>
        </w:rPr>
        <w:t>was</w:t>
      </w:r>
      <w:r w:rsidR="00170FD6" w:rsidRPr="00630E54">
        <w:rPr>
          <w:rFonts w:ascii="Times" w:eastAsia="Times New Roman" w:hAnsi="Times"/>
          <w:iCs/>
          <w:color w:val="000000"/>
          <w:spacing w:val="3"/>
        </w:rPr>
        <w:t xml:space="preserve"> considere</w:t>
      </w:r>
      <w:r w:rsidR="00040FB1">
        <w:rPr>
          <w:rFonts w:ascii="Times" w:eastAsia="Times New Roman" w:hAnsi="Times"/>
          <w:iCs/>
          <w:color w:val="000000"/>
          <w:spacing w:val="3"/>
        </w:rPr>
        <w:t>d legitimate, even where there wa</w:t>
      </w:r>
      <w:r w:rsidR="00170FD6" w:rsidRPr="00630E54">
        <w:rPr>
          <w:rFonts w:ascii="Times" w:eastAsia="Times New Roman" w:hAnsi="Times"/>
          <w:iCs/>
          <w:color w:val="000000"/>
          <w:spacing w:val="3"/>
        </w:rPr>
        <w:t xml:space="preserve">s a strong </w:t>
      </w:r>
      <w:r w:rsidR="003E72A5" w:rsidRPr="00630E54">
        <w:rPr>
          <w:rFonts w:ascii="Times" w:eastAsia="Times New Roman" w:hAnsi="Times"/>
          <w:iCs/>
          <w:color w:val="000000"/>
          <w:spacing w:val="3"/>
        </w:rPr>
        <w:t>hint</w:t>
      </w:r>
      <w:r w:rsidR="00170FD6" w:rsidRPr="00630E54">
        <w:rPr>
          <w:rFonts w:ascii="Times" w:eastAsia="Times New Roman" w:hAnsi="Times"/>
          <w:iCs/>
          <w:color w:val="000000"/>
          <w:spacing w:val="3"/>
        </w:rPr>
        <w:t xml:space="preserve"> that this </w:t>
      </w:r>
      <w:r w:rsidR="003E72A5" w:rsidRPr="00630E54">
        <w:rPr>
          <w:rFonts w:ascii="Times" w:eastAsia="Times New Roman" w:hAnsi="Times"/>
          <w:iCs/>
          <w:color w:val="000000"/>
          <w:spacing w:val="3"/>
        </w:rPr>
        <w:t>policy was adopted only because clients or customers</w:t>
      </w:r>
      <w:r w:rsidR="00170FD6" w:rsidRPr="00630E54">
        <w:rPr>
          <w:rFonts w:ascii="Times" w:eastAsia="Times New Roman" w:hAnsi="Times"/>
          <w:iCs/>
          <w:color w:val="000000"/>
          <w:spacing w:val="3"/>
        </w:rPr>
        <w:t xml:space="preserve"> </w:t>
      </w:r>
      <w:r w:rsidR="003E72A5" w:rsidRPr="00630E54">
        <w:rPr>
          <w:rFonts w:ascii="Times" w:eastAsia="Times New Roman" w:hAnsi="Times"/>
          <w:iCs/>
          <w:color w:val="000000"/>
          <w:spacing w:val="3"/>
        </w:rPr>
        <w:t xml:space="preserve">disapproved of </w:t>
      </w:r>
      <w:r w:rsidR="00170FD6" w:rsidRPr="00630E54">
        <w:rPr>
          <w:rFonts w:ascii="Times" w:eastAsia="Times New Roman" w:hAnsi="Times"/>
          <w:iCs/>
          <w:color w:val="000000"/>
          <w:spacing w:val="3"/>
        </w:rPr>
        <w:t>the headscarf</w:t>
      </w:r>
      <w:r w:rsidR="00170FD6" w:rsidRPr="00630E54">
        <w:rPr>
          <w:rFonts w:ascii="Times" w:eastAsia="Times New Roman" w:hAnsi="Times"/>
        </w:rPr>
        <w:t xml:space="preserve"> </w:t>
      </w:r>
      <w:r w:rsidR="009503A2" w:rsidRPr="00630E54">
        <w:rPr>
          <w:rFonts w:ascii="Times" w:hAnsi="Times"/>
          <w:color w:val="000000" w:themeColor="text1"/>
          <w:lang w:val="en-US"/>
        </w:rPr>
        <w:t>did not demonstrate a particularly sympathetic approach to the problems potentially faced by religious minorities.</w:t>
      </w:r>
      <w:r w:rsidR="00462B8E" w:rsidRPr="00630E54">
        <w:rPr>
          <w:rStyle w:val="FootnoteReference"/>
          <w:rFonts w:ascii="Times" w:hAnsi="Times"/>
          <w:color w:val="000000" w:themeColor="text1"/>
          <w:lang w:val="en-US"/>
        </w:rPr>
        <w:footnoteReference w:id="28"/>
      </w:r>
      <w:r w:rsidR="009503A2" w:rsidRPr="00630E54">
        <w:rPr>
          <w:rFonts w:ascii="Times" w:hAnsi="Times"/>
          <w:color w:val="000000" w:themeColor="text1"/>
          <w:lang w:val="en-US"/>
        </w:rPr>
        <w:t xml:space="preserve"> The Court’s approach </w:t>
      </w:r>
      <w:r w:rsidR="003E72A5" w:rsidRPr="00630E54">
        <w:rPr>
          <w:rFonts w:ascii="Times" w:hAnsi="Times"/>
          <w:color w:val="000000" w:themeColor="text1"/>
          <w:lang w:val="en-US"/>
        </w:rPr>
        <w:t xml:space="preserve">in </w:t>
      </w:r>
      <w:r w:rsidR="003E72A5" w:rsidRPr="00630E54">
        <w:rPr>
          <w:rFonts w:ascii="Times" w:hAnsi="Times"/>
          <w:i/>
          <w:color w:val="000000" w:themeColor="text1"/>
          <w:lang w:val="en-US"/>
        </w:rPr>
        <w:t>Acha</w:t>
      </w:r>
      <w:r w:rsidR="00252448" w:rsidRPr="00630E54">
        <w:rPr>
          <w:rFonts w:ascii="Times" w:hAnsi="Times"/>
          <w:i/>
          <w:color w:val="000000" w:themeColor="text1"/>
          <w:lang w:val="en-US"/>
        </w:rPr>
        <w:t>t</w:t>
      </w:r>
      <w:r w:rsidR="003E72A5" w:rsidRPr="00630E54">
        <w:rPr>
          <w:rFonts w:ascii="Times" w:hAnsi="Times"/>
          <w:i/>
          <w:color w:val="000000" w:themeColor="text1"/>
          <w:lang w:val="en-US"/>
        </w:rPr>
        <w:t>zi</w:t>
      </w:r>
      <w:r w:rsidR="003E72A5" w:rsidRPr="00630E54">
        <w:rPr>
          <w:rFonts w:ascii="Times" w:hAnsi="Times"/>
          <w:color w:val="000000" w:themeColor="text1"/>
          <w:lang w:val="en-US"/>
        </w:rPr>
        <w:t xml:space="preserve"> </w:t>
      </w:r>
      <w:r w:rsidR="009503A2" w:rsidRPr="00630E54">
        <w:rPr>
          <w:rFonts w:ascii="Times" w:hAnsi="Times"/>
          <w:color w:val="000000" w:themeColor="text1"/>
          <w:lang w:val="en-US"/>
        </w:rPr>
        <w:t xml:space="preserve">does </w:t>
      </w:r>
      <w:r w:rsidR="007716A7" w:rsidRPr="00630E54">
        <w:rPr>
          <w:rFonts w:ascii="Times" w:hAnsi="Times"/>
          <w:color w:val="000000" w:themeColor="text1"/>
          <w:lang w:val="en-US"/>
        </w:rPr>
        <w:t xml:space="preserve">at least </w:t>
      </w:r>
      <w:r w:rsidR="009503A2" w:rsidRPr="00630E54">
        <w:rPr>
          <w:rFonts w:ascii="Times" w:hAnsi="Times"/>
          <w:color w:val="000000" w:themeColor="text1"/>
          <w:lang w:val="en-US"/>
        </w:rPr>
        <w:t xml:space="preserve">accept that national policies may be religiously discriminatory and </w:t>
      </w:r>
      <w:r w:rsidR="007716A7" w:rsidRPr="00630E54">
        <w:rPr>
          <w:rFonts w:ascii="Times" w:hAnsi="Times"/>
          <w:color w:val="000000" w:themeColor="text1"/>
          <w:lang w:val="en-US"/>
        </w:rPr>
        <w:t xml:space="preserve">need to </w:t>
      </w:r>
      <w:r w:rsidR="009503A2" w:rsidRPr="00630E54">
        <w:rPr>
          <w:rFonts w:ascii="Times" w:hAnsi="Times"/>
          <w:color w:val="000000" w:themeColor="text1"/>
          <w:lang w:val="en-US"/>
        </w:rPr>
        <w:t xml:space="preserve">be scrutinised carefully for discriminatory effects. </w:t>
      </w:r>
    </w:p>
    <w:p w14:paraId="7C29D934" w14:textId="77777777" w:rsidR="003E72A5" w:rsidRPr="00630E54" w:rsidRDefault="003E72A5" w:rsidP="00252448">
      <w:pPr>
        <w:spacing w:line="360" w:lineRule="auto"/>
        <w:jc w:val="both"/>
        <w:rPr>
          <w:rFonts w:ascii="Times" w:hAnsi="Times"/>
          <w:color w:val="000000" w:themeColor="text1"/>
          <w:lang w:val="en-US"/>
        </w:rPr>
      </w:pPr>
    </w:p>
    <w:p w14:paraId="6C7E96B9" w14:textId="77777777" w:rsidR="009503A2" w:rsidRPr="00630E54" w:rsidRDefault="009503A2" w:rsidP="00252448">
      <w:pPr>
        <w:spacing w:line="360" w:lineRule="auto"/>
        <w:jc w:val="both"/>
        <w:rPr>
          <w:rFonts w:ascii="Times" w:eastAsia="Times New Roman" w:hAnsi="Times"/>
        </w:rPr>
      </w:pPr>
      <w:r w:rsidRPr="00630E54">
        <w:rPr>
          <w:rFonts w:ascii="Times" w:hAnsi="Times"/>
          <w:color w:val="000000" w:themeColor="text1"/>
          <w:lang w:val="en-US"/>
        </w:rPr>
        <w:t>This</w:t>
      </w:r>
      <w:r w:rsidR="00E06877" w:rsidRPr="00630E54">
        <w:rPr>
          <w:rFonts w:ascii="Times" w:hAnsi="Times"/>
          <w:color w:val="000000" w:themeColor="text1"/>
          <w:lang w:val="en-US"/>
        </w:rPr>
        <w:t xml:space="preserve"> slow</w:t>
      </w:r>
      <w:r w:rsidRPr="00630E54">
        <w:rPr>
          <w:rFonts w:ascii="Times" w:hAnsi="Times"/>
          <w:color w:val="000000" w:themeColor="text1"/>
          <w:lang w:val="en-US"/>
        </w:rPr>
        <w:t xml:space="preserve"> development of a coherent </w:t>
      </w:r>
      <w:r w:rsidR="00E06877" w:rsidRPr="00630E54">
        <w:rPr>
          <w:rFonts w:ascii="Times" w:hAnsi="Times"/>
          <w:color w:val="000000" w:themeColor="text1"/>
          <w:lang w:val="en-US"/>
        </w:rPr>
        <w:t>jurisprudence</w:t>
      </w:r>
      <w:r w:rsidRPr="00630E54">
        <w:rPr>
          <w:rFonts w:ascii="Times" w:hAnsi="Times"/>
          <w:color w:val="000000" w:themeColor="text1"/>
          <w:lang w:val="en-US"/>
        </w:rPr>
        <w:t xml:space="preserve"> mirrors the earlier process that </w:t>
      </w:r>
      <w:r w:rsidR="00E06877" w:rsidRPr="00630E54">
        <w:rPr>
          <w:rFonts w:ascii="Times" w:hAnsi="Times"/>
          <w:color w:val="000000" w:themeColor="text1"/>
          <w:lang w:val="en-US"/>
        </w:rPr>
        <w:t xml:space="preserve">took </w:t>
      </w:r>
      <w:r w:rsidRPr="00630E54">
        <w:rPr>
          <w:rFonts w:ascii="Times" w:hAnsi="Times"/>
          <w:color w:val="000000" w:themeColor="text1"/>
          <w:lang w:val="en-US"/>
        </w:rPr>
        <w:t>place in the EC</w:t>
      </w:r>
      <w:r w:rsidR="00E06877" w:rsidRPr="00630E54">
        <w:rPr>
          <w:rFonts w:ascii="Times" w:hAnsi="Times"/>
          <w:color w:val="000000" w:themeColor="text1"/>
          <w:lang w:val="en-US"/>
        </w:rPr>
        <w:t>t</w:t>
      </w:r>
      <w:r w:rsidRPr="00630E54">
        <w:rPr>
          <w:rFonts w:ascii="Times" w:hAnsi="Times"/>
          <w:color w:val="000000" w:themeColor="text1"/>
          <w:lang w:val="en-US"/>
        </w:rPr>
        <w:t>HR</w:t>
      </w:r>
      <w:r w:rsidR="003E72A5" w:rsidRPr="00630E54">
        <w:rPr>
          <w:rFonts w:ascii="Times" w:hAnsi="Times"/>
          <w:color w:val="000000" w:themeColor="text1"/>
          <w:lang w:val="en-US"/>
        </w:rPr>
        <w:t xml:space="preserve"> concerning Art 9 ECHR</w:t>
      </w:r>
      <w:r w:rsidR="00E06877" w:rsidRPr="00630E54">
        <w:rPr>
          <w:rFonts w:ascii="Times" w:hAnsi="Times"/>
          <w:color w:val="000000" w:themeColor="text1"/>
          <w:lang w:val="en-US"/>
        </w:rPr>
        <w:t>. The ECtHR</w:t>
      </w:r>
      <w:r w:rsidRPr="00630E54">
        <w:rPr>
          <w:rFonts w:ascii="Times" w:hAnsi="Times"/>
          <w:color w:val="000000" w:themeColor="text1"/>
          <w:lang w:val="en-US"/>
        </w:rPr>
        <w:t xml:space="preserve"> did not consider Art 9 until </w:t>
      </w:r>
      <w:r w:rsidRPr="00630E54">
        <w:rPr>
          <w:rFonts w:ascii="Times" w:hAnsi="Times"/>
          <w:i/>
          <w:color w:val="000000" w:themeColor="text1"/>
          <w:lang w:val="en-US"/>
        </w:rPr>
        <w:t>Kokkinakis v Greece</w:t>
      </w:r>
      <w:r w:rsidR="00E06877" w:rsidRPr="00630E54">
        <w:rPr>
          <w:rStyle w:val="FootnoteReference"/>
          <w:rFonts w:ascii="Times" w:hAnsi="Times"/>
          <w:color w:val="000000" w:themeColor="text1"/>
          <w:lang w:val="en-US"/>
        </w:rPr>
        <w:footnoteReference w:id="29"/>
      </w:r>
      <w:r w:rsidRPr="00630E54">
        <w:rPr>
          <w:rFonts w:ascii="Times" w:hAnsi="Times"/>
          <w:color w:val="000000" w:themeColor="text1"/>
          <w:lang w:val="en-US"/>
        </w:rPr>
        <w:t xml:space="preserve"> </w:t>
      </w:r>
      <w:r w:rsidR="00E06877" w:rsidRPr="00630E54">
        <w:rPr>
          <w:rFonts w:ascii="Times" w:hAnsi="Times"/>
          <w:color w:val="000000" w:themeColor="text1"/>
          <w:lang w:val="en-US"/>
        </w:rPr>
        <w:t xml:space="preserve">in 1993 </w:t>
      </w:r>
      <w:r w:rsidRPr="00630E54">
        <w:rPr>
          <w:rFonts w:ascii="Times" w:hAnsi="Times"/>
          <w:color w:val="000000" w:themeColor="text1"/>
          <w:lang w:val="en-US"/>
        </w:rPr>
        <w:t xml:space="preserve">and </w:t>
      </w:r>
      <w:r w:rsidR="00E06877" w:rsidRPr="00630E54">
        <w:rPr>
          <w:rFonts w:ascii="Times" w:hAnsi="Times"/>
          <w:color w:val="000000" w:themeColor="text1"/>
          <w:lang w:val="en-US"/>
        </w:rPr>
        <w:t xml:space="preserve">the Court </w:t>
      </w:r>
      <w:r w:rsidRPr="00630E54">
        <w:rPr>
          <w:rFonts w:ascii="Times" w:hAnsi="Times"/>
          <w:color w:val="000000" w:themeColor="text1"/>
          <w:lang w:val="en-US"/>
        </w:rPr>
        <w:t xml:space="preserve">did not fully consider religious discrimination rights within employment until </w:t>
      </w:r>
      <w:r w:rsidRPr="00630E54">
        <w:rPr>
          <w:rFonts w:ascii="Times" w:hAnsi="Times"/>
          <w:i/>
          <w:color w:val="000000" w:themeColor="text1"/>
          <w:lang w:val="en-US"/>
        </w:rPr>
        <w:t>Eweida v UK</w:t>
      </w:r>
      <w:r w:rsidR="00E06877" w:rsidRPr="00630E54">
        <w:rPr>
          <w:rStyle w:val="FootnoteReference"/>
          <w:rFonts w:ascii="Times" w:hAnsi="Times"/>
          <w:color w:val="000000" w:themeColor="text1"/>
          <w:lang w:val="en-US"/>
        </w:rPr>
        <w:footnoteReference w:id="30"/>
      </w:r>
      <w:r w:rsidR="00170FD6" w:rsidRPr="00630E54">
        <w:rPr>
          <w:rFonts w:ascii="Times" w:hAnsi="Times"/>
          <w:i/>
          <w:color w:val="000000" w:themeColor="text1"/>
          <w:lang w:val="en-US"/>
        </w:rPr>
        <w:t xml:space="preserve"> </w:t>
      </w:r>
      <w:r w:rsidR="00E06877" w:rsidRPr="00630E54">
        <w:rPr>
          <w:rFonts w:ascii="Times" w:hAnsi="Times"/>
          <w:color w:val="000000" w:themeColor="text1"/>
          <w:lang w:val="en-US"/>
        </w:rPr>
        <w:t xml:space="preserve">in 2013. </w:t>
      </w:r>
      <w:r w:rsidR="00E06877" w:rsidRPr="00630E54">
        <w:rPr>
          <w:rFonts w:ascii="Times" w:hAnsi="Times"/>
          <w:i/>
          <w:color w:val="000000" w:themeColor="text1"/>
          <w:lang w:val="en-US"/>
        </w:rPr>
        <w:t>Acha</w:t>
      </w:r>
      <w:r w:rsidR="003C33A6" w:rsidRPr="00630E54">
        <w:rPr>
          <w:rFonts w:ascii="Times" w:hAnsi="Times"/>
          <w:i/>
          <w:color w:val="000000" w:themeColor="text1"/>
          <w:lang w:val="en-US"/>
        </w:rPr>
        <w:t>t</w:t>
      </w:r>
      <w:r w:rsidR="00E06877" w:rsidRPr="00630E54">
        <w:rPr>
          <w:rFonts w:ascii="Times" w:hAnsi="Times"/>
          <w:i/>
          <w:color w:val="000000" w:themeColor="text1"/>
          <w:lang w:val="en-US"/>
        </w:rPr>
        <w:t>zi</w:t>
      </w:r>
      <w:r w:rsidRPr="00630E54">
        <w:rPr>
          <w:rFonts w:ascii="Times" w:hAnsi="Times"/>
          <w:i/>
          <w:color w:val="000000" w:themeColor="text1"/>
          <w:lang w:val="en-US"/>
        </w:rPr>
        <w:t xml:space="preserve"> </w:t>
      </w:r>
      <w:r w:rsidRPr="00630E54">
        <w:rPr>
          <w:rFonts w:ascii="Times" w:hAnsi="Times"/>
          <w:color w:val="000000" w:themeColor="text1"/>
          <w:lang w:val="en-US"/>
        </w:rPr>
        <w:t xml:space="preserve">may herald a growth in CJEU cases in this area and </w:t>
      </w:r>
      <w:r w:rsidR="00E06877" w:rsidRPr="00630E54">
        <w:rPr>
          <w:rFonts w:ascii="Times" w:hAnsi="Times"/>
          <w:color w:val="000000" w:themeColor="text1"/>
          <w:lang w:val="en-US"/>
        </w:rPr>
        <w:t>a</w:t>
      </w:r>
      <w:r w:rsidR="003C33A6" w:rsidRPr="00630E54">
        <w:rPr>
          <w:rFonts w:ascii="Times" w:hAnsi="Times"/>
          <w:color w:val="000000" w:themeColor="text1"/>
          <w:lang w:val="en-US"/>
        </w:rPr>
        <w:t xml:space="preserve"> </w:t>
      </w:r>
      <w:r w:rsidRPr="00630E54">
        <w:rPr>
          <w:rFonts w:ascii="Times" w:hAnsi="Times"/>
          <w:color w:val="000000" w:themeColor="text1"/>
          <w:lang w:val="en-US"/>
        </w:rPr>
        <w:t>move to the CJEU from the ECHR in terms of the court of choice for applicants seeking to enforce non-discrimination</w:t>
      </w:r>
      <w:r w:rsidR="00E06877" w:rsidRPr="00630E54">
        <w:rPr>
          <w:rFonts w:ascii="Times" w:hAnsi="Times"/>
          <w:color w:val="000000" w:themeColor="text1"/>
          <w:lang w:val="en-US"/>
        </w:rPr>
        <w:t xml:space="preserve"> and religious freedom rights</w:t>
      </w:r>
      <w:r w:rsidRPr="00630E54">
        <w:rPr>
          <w:rFonts w:ascii="Times" w:hAnsi="Times"/>
          <w:color w:val="000000" w:themeColor="text1"/>
          <w:lang w:val="en-US"/>
        </w:rPr>
        <w:t xml:space="preserve">. </w:t>
      </w:r>
      <w:r w:rsidR="00E06877" w:rsidRPr="00630E54">
        <w:rPr>
          <w:rFonts w:ascii="Times" w:hAnsi="Times"/>
          <w:color w:val="000000" w:themeColor="text1"/>
          <w:lang w:val="en-US"/>
        </w:rPr>
        <w:t>I</w:t>
      </w:r>
      <w:r w:rsidRPr="00630E54">
        <w:rPr>
          <w:rFonts w:ascii="Times" w:hAnsi="Times"/>
          <w:color w:val="000000" w:themeColor="text1"/>
          <w:lang w:val="en-US"/>
        </w:rPr>
        <w:t xml:space="preserve">t is </w:t>
      </w:r>
      <w:r w:rsidR="00E06877" w:rsidRPr="00630E54">
        <w:rPr>
          <w:rFonts w:ascii="Times" w:hAnsi="Times"/>
          <w:color w:val="000000" w:themeColor="text1"/>
          <w:lang w:val="en-US"/>
        </w:rPr>
        <w:t xml:space="preserve">perhaps </w:t>
      </w:r>
      <w:r w:rsidRPr="00630E54">
        <w:rPr>
          <w:rFonts w:ascii="Times" w:hAnsi="Times"/>
          <w:color w:val="000000" w:themeColor="text1"/>
          <w:lang w:val="en-US"/>
        </w:rPr>
        <w:t xml:space="preserve">surprising that </w:t>
      </w:r>
      <w:r w:rsidR="00E06877" w:rsidRPr="00630E54">
        <w:rPr>
          <w:rFonts w:ascii="Times" w:hAnsi="Times"/>
          <w:color w:val="000000" w:themeColor="text1"/>
          <w:lang w:val="en-US"/>
        </w:rPr>
        <w:t xml:space="preserve">until very recently </w:t>
      </w:r>
      <w:r w:rsidR="007716A7" w:rsidRPr="00630E54">
        <w:rPr>
          <w:rFonts w:ascii="Times" w:hAnsi="Times"/>
          <w:color w:val="000000" w:themeColor="text1"/>
          <w:lang w:val="en-US"/>
        </w:rPr>
        <w:t>UK litigants at least have not litigated their cases under EU law rather than the ECHR and the Human Rights Act 1998 and that litigants generally</w:t>
      </w:r>
      <w:r w:rsidR="00E06877" w:rsidRPr="00630E54">
        <w:rPr>
          <w:rFonts w:ascii="Times" w:hAnsi="Times"/>
          <w:color w:val="000000" w:themeColor="text1"/>
          <w:lang w:val="en-US"/>
        </w:rPr>
        <w:t xml:space="preserve"> have not tried to bring cases in the CJEU</w:t>
      </w:r>
      <w:r w:rsidR="00454271">
        <w:rPr>
          <w:rFonts w:ascii="Times" w:hAnsi="Times"/>
          <w:color w:val="000000" w:themeColor="text1"/>
          <w:lang w:val="en-US"/>
        </w:rPr>
        <w:t xml:space="preserve"> </w:t>
      </w:r>
      <w:r w:rsidR="00E06877" w:rsidRPr="00630E54">
        <w:rPr>
          <w:rFonts w:ascii="Times" w:hAnsi="Times"/>
          <w:color w:val="000000" w:themeColor="text1"/>
          <w:lang w:val="en-US"/>
        </w:rPr>
        <w:t>given</w:t>
      </w:r>
      <w:r w:rsidRPr="00630E54">
        <w:rPr>
          <w:rFonts w:ascii="Times" w:hAnsi="Times"/>
          <w:color w:val="000000" w:themeColor="text1"/>
          <w:lang w:val="en-US"/>
        </w:rPr>
        <w:t xml:space="preserve"> </w:t>
      </w:r>
      <w:r w:rsidR="00E06877" w:rsidRPr="00630E54">
        <w:rPr>
          <w:rFonts w:ascii="Times" w:hAnsi="Times"/>
          <w:color w:val="000000" w:themeColor="text1"/>
          <w:lang w:val="en-US"/>
        </w:rPr>
        <w:t>its</w:t>
      </w:r>
      <w:r w:rsidRPr="00630E54">
        <w:rPr>
          <w:rFonts w:ascii="Times" w:hAnsi="Times"/>
          <w:color w:val="000000" w:themeColor="text1"/>
          <w:lang w:val="en-US"/>
        </w:rPr>
        <w:t xml:space="preserve"> better enforcement mechanisms and </w:t>
      </w:r>
      <w:r w:rsidR="00920A7B" w:rsidRPr="00630E54">
        <w:rPr>
          <w:rFonts w:ascii="Times" w:hAnsi="Times"/>
          <w:color w:val="000000" w:themeColor="text1"/>
          <w:lang w:val="en-US"/>
        </w:rPr>
        <w:t>the fact that</w:t>
      </w:r>
      <w:r w:rsidR="00E06877" w:rsidRPr="00630E54">
        <w:rPr>
          <w:rFonts w:ascii="Times" w:hAnsi="Times"/>
          <w:color w:val="000000" w:themeColor="text1"/>
          <w:lang w:val="en-US"/>
        </w:rPr>
        <w:t xml:space="preserve"> it does not have a </w:t>
      </w:r>
      <w:r w:rsidRPr="00630E54">
        <w:rPr>
          <w:rFonts w:ascii="Times" w:hAnsi="Times"/>
          <w:color w:val="000000" w:themeColor="text1"/>
          <w:lang w:val="en-US"/>
        </w:rPr>
        <w:t>principle of the margin of appreciation</w:t>
      </w:r>
      <w:r w:rsidR="00E06877" w:rsidRPr="00630E54">
        <w:rPr>
          <w:rFonts w:ascii="Times" w:hAnsi="Times"/>
          <w:color w:val="000000" w:themeColor="text1"/>
          <w:lang w:val="en-US"/>
        </w:rPr>
        <w:t>, although of course there is no right of individual petition to the CJEU as there is to the ECtHR.</w:t>
      </w:r>
      <w:r w:rsidR="00454271" w:rsidRPr="00454271">
        <w:rPr>
          <w:rStyle w:val="FootnoteReference"/>
          <w:rFonts w:ascii="Times" w:hAnsi="Times"/>
          <w:color w:val="000000" w:themeColor="text1"/>
          <w:lang w:val="en-US"/>
        </w:rPr>
        <w:t xml:space="preserve"> </w:t>
      </w:r>
      <w:r w:rsidR="00454271" w:rsidRPr="00630E54">
        <w:rPr>
          <w:rStyle w:val="FootnoteReference"/>
          <w:rFonts w:ascii="Times" w:hAnsi="Times"/>
          <w:color w:val="000000" w:themeColor="text1"/>
          <w:lang w:val="en-US"/>
        </w:rPr>
        <w:footnoteReference w:id="31"/>
      </w:r>
      <w:r w:rsidR="00454271" w:rsidRPr="00630E54">
        <w:rPr>
          <w:rFonts w:ascii="Times" w:hAnsi="Times"/>
          <w:color w:val="000000" w:themeColor="text1"/>
          <w:lang w:val="en-US"/>
        </w:rPr>
        <w:t xml:space="preserve"> </w:t>
      </w:r>
      <w:r w:rsidRPr="00630E54">
        <w:rPr>
          <w:rFonts w:ascii="Times" w:hAnsi="Times"/>
          <w:color w:val="000000" w:themeColor="text1"/>
          <w:lang w:val="en-US"/>
        </w:rPr>
        <w:t>Ironically</w:t>
      </w:r>
      <w:r w:rsidR="00E06877" w:rsidRPr="00630E54">
        <w:rPr>
          <w:rFonts w:ascii="Times" w:hAnsi="Times"/>
          <w:color w:val="000000" w:themeColor="text1"/>
          <w:lang w:val="en-US"/>
        </w:rPr>
        <w:t xml:space="preserve"> for the UK,</w:t>
      </w:r>
      <w:r w:rsidRPr="00630E54">
        <w:rPr>
          <w:rFonts w:ascii="Times" w:hAnsi="Times"/>
          <w:color w:val="000000" w:themeColor="text1"/>
          <w:lang w:val="en-US"/>
        </w:rPr>
        <w:t xml:space="preserve"> this </w:t>
      </w:r>
      <w:r w:rsidR="00E06877" w:rsidRPr="00630E54">
        <w:rPr>
          <w:rFonts w:ascii="Times" w:hAnsi="Times"/>
          <w:color w:val="000000" w:themeColor="text1"/>
          <w:lang w:val="en-US"/>
        </w:rPr>
        <w:t xml:space="preserve">process </w:t>
      </w:r>
      <w:r w:rsidRPr="00630E54">
        <w:rPr>
          <w:rFonts w:ascii="Times" w:hAnsi="Times"/>
          <w:color w:val="000000" w:themeColor="text1"/>
          <w:lang w:val="en-US"/>
        </w:rPr>
        <w:t>is happening at just at the point (at the time of writing) that the UK is about to withdraw from EU and therefore individuals will no longer be able to benefit from</w:t>
      </w:r>
      <w:r w:rsidR="00862742" w:rsidRPr="00630E54">
        <w:rPr>
          <w:rFonts w:ascii="Times" w:hAnsi="Times"/>
          <w:color w:val="000000" w:themeColor="text1"/>
          <w:lang w:val="en-US"/>
        </w:rPr>
        <w:t xml:space="preserve"> this</w:t>
      </w:r>
      <w:r w:rsidRPr="00630E54">
        <w:rPr>
          <w:rFonts w:ascii="Times" w:hAnsi="Times"/>
          <w:color w:val="000000" w:themeColor="text1"/>
          <w:lang w:val="en-US"/>
        </w:rPr>
        <w:t xml:space="preserve">. </w:t>
      </w:r>
    </w:p>
    <w:p w14:paraId="4F693AB5" w14:textId="77777777" w:rsidR="00DF39DE" w:rsidRPr="00630E54" w:rsidRDefault="00DF39DE" w:rsidP="00B46D6A">
      <w:pPr>
        <w:spacing w:line="360" w:lineRule="auto"/>
        <w:jc w:val="both"/>
        <w:rPr>
          <w:rFonts w:ascii="Times" w:eastAsia="Times New Roman" w:hAnsi="Times"/>
          <w:color w:val="000000" w:themeColor="text1"/>
        </w:rPr>
      </w:pPr>
    </w:p>
    <w:p w14:paraId="12FE0334" w14:textId="77777777" w:rsidR="008804F1" w:rsidRDefault="00862742" w:rsidP="00B46D6A">
      <w:pPr>
        <w:spacing w:line="360" w:lineRule="auto"/>
        <w:jc w:val="both"/>
        <w:rPr>
          <w:rFonts w:ascii="Times" w:hAnsi="Times"/>
          <w:color w:val="000000" w:themeColor="text1"/>
          <w:lang w:val="en-US"/>
        </w:rPr>
      </w:pPr>
      <w:r w:rsidRPr="00630E54">
        <w:rPr>
          <w:rFonts w:ascii="Times" w:hAnsi="Times"/>
          <w:color w:val="000000" w:themeColor="text1"/>
          <w:lang w:val="en-US"/>
        </w:rPr>
        <w:t xml:space="preserve">Secondly, </w:t>
      </w:r>
      <w:r w:rsidR="0095733D" w:rsidRPr="00630E54">
        <w:rPr>
          <w:rFonts w:ascii="Times" w:hAnsi="Times"/>
          <w:color w:val="000000" w:themeColor="text1"/>
          <w:lang w:val="en-US"/>
        </w:rPr>
        <w:t>t</w:t>
      </w:r>
      <w:r w:rsidR="00DF39DE" w:rsidRPr="00630E54">
        <w:rPr>
          <w:rFonts w:ascii="Times" w:hAnsi="Times"/>
          <w:color w:val="000000" w:themeColor="text1"/>
          <w:lang w:val="en-US"/>
        </w:rPr>
        <w:t xml:space="preserve">he case hints at a bigger problem which the Court did not have to consider. In most European states many public holidays are built around Christian festivals and therefore </w:t>
      </w:r>
      <w:r w:rsidR="0095733D" w:rsidRPr="00630E54">
        <w:rPr>
          <w:rFonts w:ascii="Times" w:hAnsi="Times"/>
          <w:color w:val="000000" w:themeColor="text1"/>
          <w:lang w:val="en-US"/>
        </w:rPr>
        <w:t>may disadvantage</w:t>
      </w:r>
      <w:r w:rsidR="00DF39DE" w:rsidRPr="00630E54">
        <w:rPr>
          <w:rFonts w:ascii="Times" w:hAnsi="Times"/>
          <w:color w:val="000000" w:themeColor="text1"/>
          <w:lang w:val="en-US"/>
        </w:rPr>
        <w:t xml:space="preserve"> religious minorities. </w:t>
      </w:r>
      <w:r w:rsidR="004D2942">
        <w:rPr>
          <w:rFonts w:ascii="Times" w:hAnsi="Times"/>
          <w:color w:val="000000" w:themeColor="text1"/>
          <w:lang w:val="en-US"/>
        </w:rPr>
        <w:t>Even if, which is unclear,</w:t>
      </w:r>
      <w:r w:rsidR="004D2942">
        <w:rPr>
          <w:rStyle w:val="FootnoteReference"/>
          <w:rFonts w:ascii="Times" w:hAnsi="Times"/>
          <w:color w:val="000000" w:themeColor="text1"/>
          <w:lang w:val="en-US"/>
        </w:rPr>
        <w:footnoteReference w:id="32"/>
      </w:r>
      <w:r w:rsidR="004D2942">
        <w:rPr>
          <w:rFonts w:ascii="Times" w:hAnsi="Times"/>
          <w:color w:val="000000" w:themeColor="text1"/>
          <w:lang w:val="en-US"/>
        </w:rPr>
        <w:t xml:space="preserve"> </w:t>
      </w:r>
      <w:r w:rsidR="00DF39DE" w:rsidRPr="00630E54">
        <w:rPr>
          <w:rFonts w:ascii="Times" w:hAnsi="Times"/>
          <w:color w:val="000000" w:themeColor="text1"/>
          <w:lang w:val="en-US"/>
        </w:rPr>
        <w:t>Austrian law d</w:t>
      </w:r>
      <w:r w:rsidR="004D2942">
        <w:rPr>
          <w:rFonts w:ascii="Times" w:hAnsi="Times"/>
          <w:color w:val="000000" w:themeColor="text1"/>
          <w:lang w:val="en-US"/>
        </w:rPr>
        <w:t xml:space="preserve">oes give employees the </w:t>
      </w:r>
      <w:r w:rsidR="00DF39DE" w:rsidRPr="00630E54">
        <w:rPr>
          <w:rFonts w:ascii="Times" w:hAnsi="Times"/>
          <w:color w:val="000000" w:themeColor="text1"/>
          <w:lang w:val="en-US"/>
        </w:rPr>
        <w:t>right to request time off to perform religious rites</w:t>
      </w:r>
      <w:r w:rsidR="004D2942">
        <w:rPr>
          <w:rFonts w:ascii="Times" w:hAnsi="Times"/>
          <w:color w:val="000000" w:themeColor="text1"/>
          <w:lang w:val="en-US"/>
        </w:rPr>
        <w:t xml:space="preserve"> as part of the ‘duty of care’ to employees</w:t>
      </w:r>
      <w:r w:rsidR="00DF39DE" w:rsidRPr="00630E54">
        <w:rPr>
          <w:rFonts w:ascii="Times" w:hAnsi="Times"/>
          <w:color w:val="000000" w:themeColor="text1"/>
          <w:lang w:val="en-US"/>
        </w:rPr>
        <w:t xml:space="preserve"> this ignores the social and cultural aspects of religious celebrations. As Ronan McCrea noted, this appears to suggest that an employee could get time off to go to mosque on Eid, but not the whole day off to celebrate with family, whereas of course a Christian employee will get the whole of Christmas Day without having to ask specifically for it.</w:t>
      </w:r>
      <w:r w:rsidR="0095733D" w:rsidRPr="00630E54">
        <w:rPr>
          <w:rStyle w:val="FootnoteReference"/>
          <w:rFonts w:ascii="Times" w:hAnsi="Times"/>
          <w:color w:val="000000" w:themeColor="text1"/>
          <w:lang w:val="en-US"/>
        </w:rPr>
        <w:footnoteReference w:id="33"/>
      </w:r>
      <w:r w:rsidR="00DF39DE" w:rsidRPr="00630E54">
        <w:rPr>
          <w:rFonts w:ascii="Times" w:hAnsi="Times"/>
          <w:color w:val="000000" w:themeColor="text1"/>
          <w:lang w:val="en-US"/>
        </w:rPr>
        <w:t xml:space="preserve"> </w:t>
      </w:r>
      <w:r w:rsidR="0095733D" w:rsidRPr="00630E54">
        <w:rPr>
          <w:rFonts w:ascii="Times" w:hAnsi="Times"/>
          <w:color w:val="000000" w:themeColor="text1"/>
          <w:lang w:val="en-US"/>
        </w:rPr>
        <w:t>It is not clear how far the Court would</w:t>
      </w:r>
      <w:r w:rsidR="00911C84">
        <w:rPr>
          <w:rFonts w:ascii="Times" w:hAnsi="Times"/>
          <w:color w:val="000000" w:themeColor="text1"/>
          <w:lang w:val="en-US"/>
        </w:rPr>
        <w:t xml:space="preserve"> or should</w:t>
      </w:r>
      <w:r w:rsidR="0095733D" w:rsidRPr="00630E54">
        <w:rPr>
          <w:rFonts w:ascii="Times" w:hAnsi="Times"/>
          <w:color w:val="000000" w:themeColor="text1"/>
          <w:lang w:val="en-US"/>
        </w:rPr>
        <w:t xml:space="preserve"> go to rearrange these historical and cultural practices.</w:t>
      </w:r>
    </w:p>
    <w:p w14:paraId="35CDA660" w14:textId="77777777" w:rsidR="000A6209" w:rsidRDefault="000A6209" w:rsidP="00B46D6A">
      <w:pPr>
        <w:spacing w:line="360" w:lineRule="auto"/>
        <w:jc w:val="both"/>
        <w:rPr>
          <w:rFonts w:ascii="Times" w:hAnsi="Times"/>
          <w:color w:val="000000" w:themeColor="text1"/>
          <w:lang w:val="en-US"/>
        </w:rPr>
      </w:pPr>
    </w:p>
    <w:p w14:paraId="2D748B77" w14:textId="79941FDA" w:rsidR="000A6209" w:rsidRPr="000A6209" w:rsidRDefault="000A6209" w:rsidP="000A6209">
      <w:pPr>
        <w:pStyle w:val="p1"/>
        <w:spacing w:line="360" w:lineRule="auto"/>
        <w:jc w:val="both"/>
        <w:rPr>
          <w:rFonts w:ascii="Times" w:hAnsi="Times"/>
          <w:sz w:val="24"/>
          <w:szCs w:val="24"/>
        </w:rPr>
      </w:pPr>
      <w:r>
        <w:rPr>
          <w:rFonts w:ascii="Times" w:hAnsi="Times"/>
          <w:color w:val="000000" w:themeColor="text1"/>
          <w:sz w:val="24"/>
          <w:szCs w:val="24"/>
          <w:lang w:val="en-US"/>
        </w:rPr>
        <w:t xml:space="preserve">Ultimately, </w:t>
      </w:r>
      <w:r w:rsidRPr="00630E54">
        <w:rPr>
          <w:rFonts w:ascii="Times" w:hAnsi="Times"/>
          <w:color w:val="000000" w:themeColor="text1"/>
          <w:sz w:val="24"/>
          <w:szCs w:val="24"/>
          <w:lang w:val="en-US"/>
        </w:rPr>
        <w:t>at least 11 different answers</w:t>
      </w:r>
      <w:r w:rsidRPr="00630E54">
        <w:rPr>
          <w:rStyle w:val="FootnoteReference"/>
          <w:rFonts w:ascii="Times" w:hAnsi="Times"/>
          <w:color w:val="000000" w:themeColor="text1"/>
          <w:sz w:val="24"/>
          <w:szCs w:val="24"/>
          <w:lang w:val="en-US"/>
        </w:rPr>
        <w:footnoteReference w:id="34"/>
      </w:r>
      <w:r w:rsidRPr="00630E54">
        <w:rPr>
          <w:rFonts w:ascii="Times" w:hAnsi="Times"/>
          <w:color w:val="000000" w:themeColor="text1"/>
          <w:sz w:val="24"/>
          <w:szCs w:val="24"/>
          <w:lang w:val="en-US"/>
        </w:rPr>
        <w:t xml:space="preserve"> were proposed </w:t>
      </w:r>
      <w:r>
        <w:rPr>
          <w:rFonts w:ascii="Times" w:hAnsi="Times"/>
          <w:color w:val="000000" w:themeColor="text1"/>
          <w:sz w:val="24"/>
          <w:szCs w:val="24"/>
          <w:lang w:val="en-US"/>
        </w:rPr>
        <w:t xml:space="preserve">by Austria </w:t>
      </w:r>
      <w:r w:rsidRPr="00630E54">
        <w:rPr>
          <w:rFonts w:ascii="Times" w:hAnsi="Times"/>
          <w:color w:val="000000" w:themeColor="text1"/>
          <w:sz w:val="24"/>
          <w:szCs w:val="24"/>
          <w:lang w:val="en-US"/>
        </w:rPr>
        <w:t xml:space="preserve">to find a legally and politically acceptable answer to </w:t>
      </w:r>
      <w:r>
        <w:rPr>
          <w:rFonts w:ascii="Times" w:hAnsi="Times"/>
          <w:color w:val="000000" w:themeColor="text1"/>
          <w:sz w:val="24"/>
          <w:szCs w:val="24"/>
          <w:lang w:val="en-US"/>
        </w:rPr>
        <w:t>remove the discrimination</w:t>
      </w:r>
      <w:r w:rsidRPr="00630E54">
        <w:rPr>
          <w:rFonts w:ascii="Times" w:hAnsi="Times"/>
          <w:color w:val="000000" w:themeColor="text1"/>
          <w:sz w:val="24"/>
          <w:szCs w:val="24"/>
          <w:lang w:val="en-US"/>
        </w:rPr>
        <w:t>, including, in a proposal which absolutely no-one seemed to support, a half holiday for all starting at 2pm on Good Friday.</w:t>
      </w:r>
      <w:r w:rsidRPr="00630E54">
        <w:rPr>
          <w:rStyle w:val="FootnoteReference"/>
          <w:rFonts w:ascii="Times" w:hAnsi="Times"/>
          <w:color w:val="000000" w:themeColor="text1"/>
          <w:sz w:val="24"/>
          <w:szCs w:val="24"/>
          <w:lang w:val="en-US"/>
        </w:rPr>
        <w:footnoteReference w:id="35"/>
      </w:r>
      <w:r w:rsidRPr="00630E54">
        <w:rPr>
          <w:rFonts w:ascii="Times" w:hAnsi="Times"/>
          <w:color w:val="000000" w:themeColor="text1"/>
          <w:sz w:val="24"/>
          <w:szCs w:val="24"/>
          <w:lang w:val="en-US"/>
        </w:rPr>
        <w:t xml:space="preserve"> The legislator chose to repeal </w:t>
      </w:r>
      <w:r w:rsidRPr="00630E54">
        <w:rPr>
          <w:rFonts w:ascii="Times" w:hAnsi="Times"/>
          <w:sz w:val="24"/>
          <w:szCs w:val="24"/>
        </w:rPr>
        <w:t xml:space="preserve">paragraph 7(3) </w:t>
      </w:r>
      <w:r>
        <w:rPr>
          <w:rFonts w:ascii="Times" w:hAnsi="Times"/>
          <w:sz w:val="24"/>
          <w:szCs w:val="24"/>
        </w:rPr>
        <w:t xml:space="preserve">ARG </w:t>
      </w:r>
      <w:r w:rsidRPr="00630E54">
        <w:rPr>
          <w:rFonts w:ascii="Times" w:hAnsi="Times"/>
          <w:sz w:val="24"/>
          <w:szCs w:val="24"/>
        </w:rPr>
        <w:t>completely and introduced a new provision</w:t>
      </w:r>
      <w:r w:rsidR="001212C2">
        <w:rPr>
          <w:rFonts w:ascii="Times" w:hAnsi="Times"/>
          <w:sz w:val="24"/>
          <w:szCs w:val="24"/>
        </w:rPr>
        <w:t>:</w:t>
      </w:r>
      <w:r w:rsidRPr="00630E54">
        <w:rPr>
          <w:rFonts w:ascii="Times" w:hAnsi="Times"/>
          <w:sz w:val="24"/>
          <w:szCs w:val="24"/>
        </w:rPr>
        <w:t xml:space="preserve"> paragraph 7(a) ARG. This allows employees to claim one day a year as a ‘personal holiday’, which </w:t>
      </w:r>
      <w:r w:rsidR="001A613A">
        <w:rPr>
          <w:rFonts w:ascii="Times" w:hAnsi="Times"/>
          <w:sz w:val="24"/>
          <w:szCs w:val="24"/>
        </w:rPr>
        <w:t>can</w:t>
      </w:r>
      <w:r w:rsidR="001A613A" w:rsidRPr="00630E54">
        <w:rPr>
          <w:rFonts w:ascii="Times" w:hAnsi="Times"/>
          <w:sz w:val="24"/>
          <w:szCs w:val="24"/>
        </w:rPr>
        <w:t xml:space="preserve"> </w:t>
      </w:r>
      <w:r w:rsidRPr="00630E54">
        <w:rPr>
          <w:rFonts w:ascii="Times" w:hAnsi="Times"/>
          <w:sz w:val="24"/>
          <w:szCs w:val="24"/>
        </w:rPr>
        <w:t xml:space="preserve">be used to celebrate religious festivals but </w:t>
      </w:r>
      <w:r w:rsidR="001A613A">
        <w:rPr>
          <w:rFonts w:ascii="Times" w:hAnsi="Times"/>
          <w:sz w:val="24"/>
          <w:szCs w:val="24"/>
        </w:rPr>
        <w:t>does</w:t>
      </w:r>
      <w:r w:rsidR="001A613A" w:rsidRPr="00630E54">
        <w:rPr>
          <w:rFonts w:ascii="Times" w:hAnsi="Times"/>
          <w:sz w:val="24"/>
          <w:szCs w:val="24"/>
        </w:rPr>
        <w:t xml:space="preserve"> </w:t>
      </w:r>
      <w:r w:rsidRPr="00630E54">
        <w:rPr>
          <w:rFonts w:ascii="Times" w:hAnsi="Times"/>
          <w:sz w:val="24"/>
          <w:szCs w:val="24"/>
        </w:rPr>
        <w:t xml:space="preserve">not have to be. However, this is not an additional paid holiday, but is deducted from the employees’ usual paid </w:t>
      </w:r>
      <w:r>
        <w:rPr>
          <w:rFonts w:ascii="Times" w:hAnsi="Times"/>
          <w:sz w:val="24"/>
          <w:szCs w:val="24"/>
        </w:rPr>
        <w:t xml:space="preserve">holiday leave quota. </w:t>
      </w:r>
      <w:r w:rsidRPr="00630E54">
        <w:rPr>
          <w:rFonts w:ascii="Times" w:hAnsi="Times"/>
          <w:sz w:val="24"/>
          <w:szCs w:val="24"/>
        </w:rPr>
        <w:t xml:space="preserve">Alternatively, if an employee chooses to work then they can claim extra holiday pay in addition to their usual pay. </w:t>
      </w:r>
      <w:r>
        <w:rPr>
          <w:rFonts w:ascii="Times" w:hAnsi="Times"/>
          <w:sz w:val="24"/>
          <w:szCs w:val="24"/>
        </w:rPr>
        <w:t xml:space="preserve">It is therefore not a particularly generous right and unsurprisingly was very unpopular with the </w:t>
      </w:r>
      <w:r w:rsidR="001212C2">
        <w:rPr>
          <w:rFonts w:ascii="Times" w:hAnsi="Times"/>
          <w:sz w:val="24"/>
          <w:szCs w:val="24"/>
        </w:rPr>
        <w:t xml:space="preserve">four </w:t>
      </w:r>
      <w:r>
        <w:rPr>
          <w:rFonts w:ascii="Times" w:hAnsi="Times"/>
          <w:sz w:val="24"/>
          <w:szCs w:val="24"/>
        </w:rPr>
        <w:t xml:space="preserve">churches. </w:t>
      </w:r>
    </w:p>
    <w:p w14:paraId="6B171EDB" w14:textId="77777777" w:rsidR="00F22402" w:rsidRPr="00630E54" w:rsidRDefault="00F22402" w:rsidP="00B46D6A">
      <w:pPr>
        <w:spacing w:line="360" w:lineRule="auto"/>
        <w:jc w:val="both"/>
        <w:rPr>
          <w:rFonts w:ascii="Times" w:eastAsia="Times New Roman" w:hAnsi="Times"/>
          <w:color w:val="000000" w:themeColor="text1"/>
        </w:rPr>
      </w:pPr>
    </w:p>
    <w:p w14:paraId="7107B476" w14:textId="77777777" w:rsidR="00CE0643" w:rsidRPr="00630E54" w:rsidRDefault="00482144" w:rsidP="00B46D6A">
      <w:pPr>
        <w:spacing w:line="360" w:lineRule="auto"/>
        <w:jc w:val="both"/>
        <w:rPr>
          <w:rFonts w:ascii="Times" w:hAnsi="Times"/>
          <w:color w:val="000000" w:themeColor="text1"/>
          <w:lang w:val="en-US"/>
        </w:rPr>
      </w:pPr>
      <w:r w:rsidRPr="00630E54">
        <w:rPr>
          <w:rFonts w:ascii="Times" w:hAnsi="Times"/>
          <w:color w:val="000000" w:themeColor="text1"/>
          <w:lang w:val="en-US"/>
        </w:rPr>
        <w:t>The most significant aspect of the case thou</w:t>
      </w:r>
      <w:r w:rsidR="00840B56" w:rsidRPr="00630E54">
        <w:rPr>
          <w:rFonts w:ascii="Times" w:hAnsi="Times"/>
          <w:color w:val="000000" w:themeColor="text1"/>
          <w:lang w:val="en-US"/>
        </w:rPr>
        <w:t>gh relates to the direct effect</w:t>
      </w:r>
      <w:r w:rsidR="009E238A" w:rsidRPr="00630E54">
        <w:rPr>
          <w:rFonts w:ascii="Times" w:hAnsi="Times"/>
          <w:color w:val="000000" w:themeColor="text1"/>
          <w:lang w:val="en-US"/>
        </w:rPr>
        <w:t xml:space="preserve"> of the Di</w:t>
      </w:r>
      <w:r w:rsidR="003C33A6" w:rsidRPr="00630E54">
        <w:rPr>
          <w:rFonts w:ascii="Times" w:hAnsi="Times"/>
          <w:color w:val="000000" w:themeColor="text1"/>
          <w:lang w:val="en-US"/>
        </w:rPr>
        <w:t>rective. In holding that Ach</w:t>
      </w:r>
      <w:r w:rsidR="009E238A" w:rsidRPr="00630E54">
        <w:rPr>
          <w:rFonts w:ascii="Times" w:hAnsi="Times"/>
          <w:color w:val="000000" w:themeColor="text1"/>
          <w:lang w:val="en-US"/>
        </w:rPr>
        <w:t>a</w:t>
      </w:r>
      <w:r w:rsidR="003C33A6" w:rsidRPr="00630E54">
        <w:rPr>
          <w:rFonts w:ascii="Times" w:hAnsi="Times"/>
          <w:color w:val="000000" w:themeColor="text1"/>
          <w:lang w:val="en-US"/>
        </w:rPr>
        <w:t>t</w:t>
      </w:r>
      <w:r w:rsidR="009E238A" w:rsidRPr="00630E54">
        <w:rPr>
          <w:rFonts w:ascii="Times" w:hAnsi="Times"/>
          <w:color w:val="000000" w:themeColor="text1"/>
          <w:lang w:val="en-US"/>
        </w:rPr>
        <w:t xml:space="preserve">zi was entitled to claim holiday pay against his employer, the Court disagreed with the </w:t>
      </w:r>
      <w:r w:rsidR="00500E8A" w:rsidRPr="00630E54">
        <w:rPr>
          <w:rFonts w:ascii="Times" w:hAnsi="Times"/>
          <w:color w:val="000000" w:themeColor="text1"/>
          <w:lang w:val="en-US"/>
        </w:rPr>
        <w:t>Advocate General</w:t>
      </w:r>
      <w:r w:rsidR="004F7B1B" w:rsidRPr="00630E54">
        <w:rPr>
          <w:rFonts w:ascii="Times" w:hAnsi="Times"/>
          <w:color w:val="000000" w:themeColor="text1"/>
          <w:lang w:val="en-US"/>
        </w:rPr>
        <w:t>’s Opinion. He</w:t>
      </w:r>
      <w:r w:rsidR="00500E8A" w:rsidRPr="00630E54">
        <w:rPr>
          <w:rFonts w:ascii="Times" w:hAnsi="Times"/>
          <w:color w:val="000000" w:themeColor="text1"/>
          <w:lang w:val="en-US"/>
        </w:rPr>
        <w:t xml:space="preserve"> had asserted the orthodox p</w:t>
      </w:r>
      <w:r w:rsidR="00CE0643" w:rsidRPr="00630E54">
        <w:rPr>
          <w:rFonts w:ascii="Times" w:hAnsi="Times"/>
          <w:color w:val="000000" w:themeColor="text1"/>
          <w:lang w:val="en-US"/>
        </w:rPr>
        <w:t>osition that as a Directive, the Framework Directive wa</w:t>
      </w:r>
      <w:r w:rsidR="00500E8A" w:rsidRPr="00630E54">
        <w:rPr>
          <w:rFonts w:ascii="Times" w:hAnsi="Times"/>
          <w:color w:val="000000" w:themeColor="text1"/>
          <w:lang w:val="en-US"/>
        </w:rPr>
        <w:t>s not capable of giving rise to obligatio</w:t>
      </w:r>
      <w:r w:rsidR="003C33A6" w:rsidRPr="00630E54">
        <w:rPr>
          <w:rFonts w:ascii="Times" w:hAnsi="Times"/>
          <w:color w:val="000000" w:themeColor="text1"/>
          <w:lang w:val="en-US"/>
        </w:rPr>
        <w:t>ns on individuals and so Ach</w:t>
      </w:r>
      <w:r w:rsidR="00500E8A" w:rsidRPr="00630E54">
        <w:rPr>
          <w:rFonts w:ascii="Times" w:hAnsi="Times"/>
          <w:color w:val="000000" w:themeColor="text1"/>
          <w:lang w:val="en-US"/>
        </w:rPr>
        <w:t>a</w:t>
      </w:r>
      <w:r w:rsidR="003C33A6" w:rsidRPr="00630E54">
        <w:rPr>
          <w:rFonts w:ascii="Times" w:hAnsi="Times"/>
          <w:color w:val="000000" w:themeColor="text1"/>
          <w:lang w:val="en-US"/>
        </w:rPr>
        <w:t>t</w:t>
      </w:r>
      <w:r w:rsidR="00500E8A" w:rsidRPr="00630E54">
        <w:rPr>
          <w:rFonts w:ascii="Times" w:hAnsi="Times"/>
          <w:color w:val="000000" w:themeColor="text1"/>
          <w:lang w:val="en-US"/>
        </w:rPr>
        <w:t xml:space="preserve">zi’s only remedy would be a </w:t>
      </w:r>
      <w:r w:rsidR="00500E8A" w:rsidRPr="00630E54">
        <w:rPr>
          <w:rFonts w:ascii="Times" w:hAnsi="Times"/>
          <w:i/>
          <w:color w:val="000000" w:themeColor="text1"/>
          <w:lang w:val="en-US"/>
        </w:rPr>
        <w:t>Francovich</w:t>
      </w:r>
      <w:r w:rsidR="00862742" w:rsidRPr="00630E54">
        <w:rPr>
          <w:rStyle w:val="FootnoteReference"/>
          <w:rFonts w:ascii="Times" w:hAnsi="Times"/>
          <w:color w:val="000000" w:themeColor="text1"/>
          <w:lang w:val="en-US"/>
        </w:rPr>
        <w:footnoteReference w:id="36"/>
      </w:r>
      <w:r w:rsidR="00500E8A" w:rsidRPr="00630E54">
        <w:rPr>
          <w:rFonts w:ascii="Times" w:hAnsi="Times"/>
          <w:color w:val="000000" w:themeColor="text1"/>
          <w:lang w:val="en-US"/>
        </w:rPr>
        <w:t xml:space="preserve"> type claim for damages against the state for failure to correct</w:t>
      </w:r>
      <w:r w:rsidR="00CE0643" w:rsidRPr="00630E54">
        <w:rPr>
          <w:rFonts w:ascii="Times" w:hAnsi="Times"/>
          <w:color w:val="000000" w:themeColor="text1"/>
          <w:lang w:val="en-US"/>
        </w:rPr>
        <w:t>ly</w:t>
      </w:r>
      <w:r w:rsidR="00500E8A" w:rsidRPr="00630E54">
        <w:rPr>
          <w:rFonts w:ascii="Times" w:hAnsi="Times"/>
          <w:color w:val="000000" w:themeColor="text1"/>
          <w:lang w:val="en-US"/>
        </w:rPr>
        <w:t xml:space="preserve"> </w:t>
      </w:r>
      <w:r w:rsidR="00CE0643" w:rsidRPr="00630E54">
        <w:rPr>
          <w:rFonts w:ascii="Times" w:hAnsi="Times"/>
          <w:color w:val="000000" w:themeColor="text1"/>
          <w:lang w:val="en-US"/>
        </w:rPr>
        <w:t>t</w:t>
      </w:r>
      <w:r w:rsidR="00500E8A" w:rsidRPr="00630E54">
        <w:rPr>
          <w:rFonts w:ascii="Times" w:hAnsi="Times"/>
          <w:color w:val="000000" w:themeColor="text1"/>
          <w:lang w:val="en-US"/>
        </w:rPr>
        <w:t>ranspose a Directive. The Court was</w:t>
      </w:r>
      <w:r w:rsidR="00CE0643" w:rsidRPr="00630E54">
        <w:rPr>
          <w:rFonts w:ascii="Times" w:hAnsi="Times"/>
          <w:color w:val="000000" w:themeColor="text1"/>
          <w:lang w:val="en-US"/>
        </w:rPr>
        <w:t xml:space="preserve"> clearly</w:t>
      </w:r>
      <w:r w:rsidR="00500E8A" w:rsidRPr="00630E54">
        <w:rPr>
          <w:rFonts w:ascii="Times" w:hAnsi="Times"/>
          <w:color w:val="000000" w:themeColor="text1"/>
          <w:lang w:val="en-US"/>
        </w:rPr>
        <w:t xml:space="preserve"> driven by its desire to give protection to individuals</w:t>
      </w:r>
      <w:r w:rsidR="00CE0643" w:rsidRPr="00630E54">
        <w:rPr>
          <w:rFonts w:ascii="Times" w:hAnsi="Times"/>
          <w:color w:val="000000" w:themeColor="text1"/>
          <w:lang w:val="en-US"/>
        </w:rPr>
        <w:t xml:space="preserve"> where there had been obvious and unfair discrimination</w:t>
      </w:r>
      <w:r w:rsidR="00500E8A" w:rsidRPr="00630E54">
        <w:rPr>
          <w:rFonts w:ascii="Times" w:hAnsi="Times"/>
          <w:color w:val="000000" w:themeColor="text1"/>
          <w:lang w:val="en-US"/>
        </w:rPr>
        <w:t xml:space="preserve">. But as AG Bobek </w:t>
      </w:r>
      <w:r w:rsidR="00CE0643" w:rsidRPr="00630E54">
        <w:rPr>
          <w:rFonts w:ascii="Times" w:hAnsi="Times"/>
          <w:color w:val="000000" w:themeColor="text1"/>
          <w:lang w:val="en-US"/>
        </w:rPr>
        <w:t>pointed</w:t>
      </w:r>
      <w:r w:rsidR="00500E8A" w:rsidRPr="00630E54">
        <w:rPr>
          <w:rFonts w:ascii="Times" w:hAnsi="Times"/>
          <w:color w:val="000000" w:themeColor="text1"/>
          <w:lang w:val="en-US"/>
        </w:rPr>
        <w:t xml:space="preserve"> out, it is not clear that this should mean that</w:t>
      </w:r>
      <w:r w:rsidR="00CE0643" w:rsidRPr="00630E54">
        <w:rPr>
          <w:rFonts w:ascii="Times" w:hAnsi="Times"/>
          <w:color w:val="000000" w:themeColor="text1"/>
          <w:lang w:val="en-US"/>
        </w:rPr>
        <w:t xml:space="preserve"> this </w:t>
      </w:r>
      <w:r w:rsidR="003E72A5" w:rsidRPr="00630E54">
        <w:rPr>
          <w:rFonts w:ascii="Times" w:hAnsi="Times"/>
          <w:color w:val="000000" w:themeColor="text1"/>
          <w:lang w:val="en-US"/>
        </w:rPr>
        <w:t>i</w:t>
      </w:r>
      <w:r w:rsidR="00500E8A" w:rsidRPr="00630E54">
        <w:rPr>
          <w:rFonts w:ascii="Times" w:hAnsi="Times"/>
          <w:color w:val="000000" w:themeColor="text1"/>
          <w:lang w:val="en-US"/>
        </w:rPr>
        <w:t xml:space="preserve">s for a private employer to rectify. </w:t>
      </w:r>
      <w:r w:rsidR="00CE0643" w:rsidRPr="00630E54">
        <w:rPr>
          <w:rFonts w:ascii="Times" w:hAnsi="Times"/>
          <w:color w:val="000000" w:themeColor="text1"/>
          <w:lang w:val="en-US"/>
        </w:rPr>
        <w:t xml:space="preserve">There was </w:t>
      </w:r>
      <w:r w:rsidR="00500E8A" w:rsidRPr="00630E54">
        <w:rPr>
          <w:rFonts w:ascii="Times" w:hAnsi="Times"/>
          <w:color w:val="000000" w:themeColor="text1"/>
          <w:lang w:val="en-US"/>
        </w:rPr>
        <w:t>no genuine discretion or independent decision by the employer. It simply applied bindin</w:t>
      </w:r>
      <w:r w:rsidR="00CE0643" w:rsidRPr="00630E54">
        <w:rPr>
          <w:rFonts w:ascii="Times" w:hAnsi="Times"/>
          <w:color w:val="000000" w:themeColor="text1"/>
          <w:lang w:val="en-US"/>
        </w:rPr>
        <w:t>g</w:t>
      </w:r>
      <w:r w:rsidR="00500E8A" w:rsidRPr="00630E54">
        <w:rPr>
          <w:rFonts w:ascii="Times" w:hAnsi="Times"/>
          <w:color w:val="000000" w:themeColor="text1"/>
          <w:lang w:val="en-US"/>
        </w:rPr>
        <w:t xml:space="preserve"> legislation. </w:t>
      </w:r>
      <w:r w:rsidR="00CE0643" w:rsidRPr="00630E54">
        <w:rPr>
          <w:rFonts w:ascii="Times" w:hAnsi="Times"/>
          <w:color w:val="000000" w:themeColor="text1"/>
          <w:lang w:val="en-US"/>
        </w:rPr>
        <w:t>The fault could not be attributable to it, only the State</w:t>
      </w:r>
      <w:r w:rsidR="00500E8A" w:rsidRPr="00630E54">
        <w:rPr>
          <w:rFonts w:ascii="Times" w:hAnsi="Times"/>
          <w:color w:val="000000" w:themeColor="text1"/>
          <w:lang w:val="en-US"/>
        </w:rPr>
        <w:t>.</w:t>
      </w:r>
      <w:r w:rsidR="00CE0643" w:rsidRPr="00630E54">
        <w:rPr>
          <w:rFonts w:ascii="Times" w:hAnsi="Times"/>
          <w:color w:val="000000" w:themeColor="text1"/>
          <w:lang w:val="en-US"/>
        </w:rPr>
        <w:t xml:space="preserve"> The employer also received no be</w:t>
      </w:r>
      <w:r w:rsidR="00500E8A" w:rsidRPr="00630E54">
        <w:rPr>
          <w:rFonts w:ascii="Times" w:hAnsi="Times"/>
          <w:color w:val="000000" w:themeColor="text1"/>
          <w:lang w:val="en-US"/>
        </w:rPr>
        <w:t xml:space="preserve">nefit </w:t>
      </w:r>
      <w:r w:rsidR="00CE0643" w:rsidRPr="00630E54">
        <w:rPr>
          <w:rFonts w:ascii="Times" w:hAnsi="Times"/>
          <w:color w:val="000000" w:themeColor="text1"/>
          <w:lang w:val="en-US"/>
        </w:rPr>
        <w:t>from being required to give the</w:t>
      </w:r>
      <w:r w:rsidR="00500E8A" w:rsidRPr="00630E54">
        <w:rPr>
          <w:rFonts w:ascii="Times" w:hAnsi="Times"/>
          <w:color w:val="000000" w:themeColor="text1"/>
          <w:lang w:val="en-US"/>
        </w:rPr>
        <w:t xml:space="preserve"> day off to members of </w:t>
      </w:r>
      <w:r w:rsidR="00CE0643" w:rsidRPr="00630E54">
        <w:rPr>
          <w:rFonts w:ascii="Times" w:hAnsi="Times"/>
          <w:color w:val="000000" w:themeColor="text1"/>
          <w:lang w:val="en-US"/>
        </w:rPr>
        <w:t xml:space="preserve">the </w:t>
      </w:r>
      <w:r w:rsidR="00500E8A" w:rsidRPr="00630E54">
        <w:rPr>
          <w:rFonts w:ascii="Times" w:hAnsi="Times"/>
          <w:color w:val="000000" w:themeColor="text1"/>
          <w:lang w:val="en-US"/>
        </w:rPr>
        <w:t>specified religion</w:t>
      </w:r>
      <w:r w:rsidR="00CE0643" w:rsidRPr="00630E54">
        <w:rPr>
          <w:rFonts w:ascii="Times" w:hAnsi="Times"/>
          <w:color w:val="000000" w:themeColor="text1"/>
          <w:lang w:val="en-US"/>
        </w:rPr>
        <w:t>s</w:t>
      </w:r>
      <w:r w:rsidR="00500E8A" w:rsidRPr="00630E54">
        <w:rPr>
          <w:rFonts w:ascii="Times" w:hAnsi="Times"/>
          <w:color w:val="000000" w:themeColor="text1"/>
          <w:lang w:val="en-US"/>
        </w:rPr>
        <w:t>.</w:t>
      </w:r>
      <w:r w:rsidR="00CE0643" w:rsidRPr="00630E54">
        <w:rPr>
          <w:rFonts w:ascii="Times" w:hAnsi="Times"/>
          <w:color w:val="000000" w:themeColor="text1"/>
          <w:lang w:val="en-US"/>
        </w:rPr>
        <w:t xml:space="preserve"> In some situations it would also be hard to say that an employer had discriminated at all, given that </w:t>
      </w:r>
      <w:r w:rsidR="00500E8A" w:rsidRPr="00630E54">
        <w:rPr>
          <w:rFonts w:ascii="Times" w:hAnsi="Times"/>
          <w:color w:val="000000" w:themeColor="text1"/>
          <w:lang w:val="en-US"/>
        </w:rPr>
        <w:t xml:space="preserve">many employers would presumably not have </w:t>
      </w:r>
      <w:r w:rsidR="00CE0643" w:rsidRPr="00630E54">
        <w:rPr>
          <w:rFonts w:ascii="Times" w:hAnsi="Times"/>
          <w:color w:val="000000" w:themeColor="text1"/>
          <w:lang w:val="en-US"/>
        </w:rPr>
        <w:t xml:space="preserve">had </w:t>
      </w:r>
      <w:r w:rsidR="00500E8A" w:rsidRPr="00630E54">
        <w:rPr>
          <w:rFonts w:ascii="Times" w:hAnsi="Times"/>
          <w:color w:val="000000" w:themeColor="text1"/>
          <w:lang w:val="en-US"/>
        </w:rPr>
        <w:t xml:space="preserve">any employees </w:t>
      </w:r>
      <w:r w:rsidR="00CE0643" w:rsidRPr="00630E54">
        <w:rPr>
          <w:rFonts w:ascii="Times" w:hAnsi="Times"/>
          <w:color w:val="000000" w:themeColor="text1"/>
          <w:lang w:val="en-US"/>
        </w:rPr>
        <w:t xml:space="preserve">at all </w:t>
      </w:r>
      <w:r w:rsidR="00500E8A" w:rsidRPr="00630E54">
        <w:rPr>
          <w:rFonts w:ascii="Times" w:hAnsi="Times"/>
          <w:color w:val="000000" w:themeColor="text1"/>
          <w:lang w:val="en-US"/>
        </w:rPr>
        <w:t xml:space="preserve">from the specified </w:t>
      </w:r>
      <w:r w:rsidR="00C01C9C">
        <w:rPr>
          <w:rFonts w:ascii="Times" w:hAnsi="Times"/>
          <w:color w:val="000000" w:themeColor="text1"/>
          <w:lang w:val="en-US"/>
        </w:rPr>
        <w:t>churches</w:t>
      </w:r>
      <w:r w:rsidR="00CE0643" w:rsidRPr="00630E54">
        <w:rPr>
          <w:rFonts w:ascii="Times" w:hAnsi="Times"/>
          <w:color w:val="000000" w:themeColor="text1"/>
          <w:lang w:val="en-US"/>
        </w:rPr>
        <w:t xml:space="preserve"> and therefore would have treated all its employees the same.</w:t>
      </w:r>
    </w:p>
    <w:p w14:paraId="4FA30B47" w14:textId="77777777" w:rsidR="00CE0643" w:rsidRPr="00630E54" w:rsidRDefault="00CE0643" w:rsidP="00B46D6A">
      <w:pPr>
        <w:spacing w:line="360" w:lineRule="auto"/>
        <w:jc w:val="both"/>
        <w:rPr>
          <w:rFonts w:ascii="Times" w:hAnsi="Times"/>
          <w:color w:val="000000" w:themeColor="text1"/>
          <w:lang w:val="en-US"/>
        </w:rPr>
      </w:pPr>
    </w:p>
    <w:p w14:paraId="3CF478BC" w14:textId="77777777" w:rsidR="003E72A5" w:rsidRPr="00630E54" w:rsidRDefault="00CE0643" w:rsidP="00B46D6A">
      <w:pPr>
        <w:spacing w:line="360" w:lineRule="auto"/>
        <w:jc w:val="both"/>
        <w:rPr>
          <w:rFonts w:ascii="Times" w:hAnsi="Times"/>
          <w:color w:val="000000" w:themeColor="text1"/>
          <w:lang w:val="en-US"/>
        </w:rPr>
      </w:pPr>
      <w:r w:rsidRPr="00630E54">
        <w:rPr>
          <w:rFonts w:ascii="Times" w:hAnsi="Times"/>
          <w:color w:val="000000" w:themeColor="text1"/>
          <w:lang w:val="en-US"/>
        </w:rPr>
        <w:t xml:space="preserve">Even </w:t>
      </w:r>
      <w:r w:rsidR="00540E7C" w:rsidRPr="00630E54">
        <w:rPr>
          <w:rFonts w:ascii="Times" w:hAnsi="Times"/>
          <w:color w:val="000000" w:themeColor="text1"/>
          <w:lang w:val="en-US"/>
        </w:rPr>
        <w:t xml:space="preserve">if it were accepted that </w:t>
      </w:r>
      <w:r w:rsidR="00AD79A9" w:rsidRPr="00630E54">
        <w:rPr>
          <w:rFonts w:ascii="Times" w:hAnsi="Times"/>
          <w:color w:val="000000" w:themeColor="text1"/>
          <w:lang w:val="en-US"/>
        </w:rPr>
        <w:t>the principle of non-discrimination underlying the Directive could be applied horizontally,</w:t>
      </w:r>
      <w:r w:rsidR="0064103E" w:rsidRPr="00630E54">
        <w:rPr>
          <w:rFonts w:ascii="Times" w:hAnsi="Times"/>
          <w:color w:val="000000" w:themeColor="text1"/>
          <w:lang w:val="en-US"/>
        </w:rPr>
        <w:t xml:space="preserve"> there was fu</w:t>
      </w:r>
      <w:r w:rsidR="00D146BD" w:rsidRPr="00630E54">
        <w:rPr>
          <w:rFonts w:ascii="Times" w:hAnsi="Times"/>
          <w:color w:val="000000" w:themeColor="text1"/>
          <w:lang w:val="en-US"/>
        </w:rPr>
        <w:t>rther work for the Court to do to reach its desired result. The conflict between the mandatory principle of non-discrimination and the national law meant that the conflicting</w:t>
      </w:r>
      <w:r w:rsidR="00862742" w:rsidRPr="00630E54">
        <w:rPr>
          <w:rFonts w:ascii="Times" w:hAnsi="Times"/>
          <w:color w:val="000000" w:themeColor="text1"/>
          <w:lang w:val="en-US"/>
        </w:rPr>
        <w:t xml:space="preserve"> law had to be ‘disapplied’ but i</w:t>
      </w:r>
      <w:r w:rsidR="00712408" w:rsidRPr="00630E54">
        <w:rPr>
          <w:rFonts w:ascii="Times" w:hAnsi="Times"/>
          <w:color w:val="000000" w:themeColor="text1"/>
          <w:lang w:val="en-US"/>
        </w:rPr>
        <w:t>t is not</w:t>
      </w:r>
      <w:r w:rsidR="00862742" w:rsidRPr="00630E54">
        <w:rPr>
          <w:rFonts w:ascii="Times" w:hAnsi="Times"/>
          <w:color w:val="000000" w:themeColor="text1"/>
          <w:lang w:val="en-US"/>
        </w:rPr>
        <w:t xml:space="preserve"> immediately</w:t>
      </w:r>
      <w:r w:rsidR="00712408" w:rsidRPr="00630E54">
        <w:rPr>
          <w:rFonts w:ascii="Times" w:hAnsi="Times"/>
          <w:color w:val="000000" w:themeColor="text1"/>
          <w:lang w:val="en-US"/>
        </w:rPr>
        <w:t xml:space="preserve"> obvious what </w:t>
      </w:r>
      <w:r w:rsidR="00862742" w:rsidRPr="00630E54">
        <w:rPr>
          <w:rFonts w:ascii="Times" w:hAnsi="Times"/>
          <w:color w:val="000000" w:themeColor="text1"/>
          <w:lang w:val="en-US"/>
        </w:rPr>
        <w:t>that meant</w:t>
      </w:r>
      <w:r w:rsidR="00712408" w:rsidRPr="00630E54">
        <w:rPr>
          <w:rFonts w:ascii="Times" w:hAnsi="Times"/>
          <w:color w:val="000000" w:themeColor="text1"/>
          <w:lang w:val="en-US"/>
        </w:rPr>
        <w:t xml:space="preserve">. </w:t>
      </w:r>
      <w:r w:rsidR="00862742" w:rsidRPr="00630E54">
        <w:rPr>
          <w:rFonts w:ascii="Times" w:hAnsi="Times"/>
          <w:color w:val="000000" w:themeColor="text1"/>
          <w:lang w:val="en-US"/>
        </w:rPr>
        <w:t>Did it</w:t>
      </w:r>
      <w:r w:rsidR="00EE799B" w:rsidRPr="00630E54">
        <w:rPr>
          <w:rFonts w:ascii="Times" w:hAnsi="Times"/>
          <w:color w:val="000000" w:themeColor="text1"/>
          <w:lang w:val="en-US"/>
        </w:rPr>
        <w:t xml:space="preserve"> mean that no-one should have the extra holiday or that everyone should?</w:t>
      </w:r>
      <w:r w:rsidR="00500E8A" w:rsidRPr="00630E54">
        <w:rPr>
          <w:rFonts w:ascii="Times" w:hAnsi="Times"/>
          <w:color w:val="000000" w:themeColor="text1"/>
          <w:lang w:val="en-US"/>
        </w:rPr>
        <w:t xml:space="preserve"> </w:t>
      </w:r>
      <w:r w:rsidR="00EE799B" w:rsidRPr="00630E54">
        <w:rPr>
          <w:rFonts w:ascii="Times" w:hAnsi="Times"/>
          <w:color w:val="000000" w:themeColor="text1"/>
          <w:lang w:val="en-US"/>
        </w:rPr>
        <w:t>It is h</w:t>
      </w:r>
      <w:r w:rsidR="00500E8A" w:rsidRPr="00630E54">
        <w:rPr>
          <w:rFonts w:ascii="Times" w:hAnsi="Times"/>
          <w:color w:val="000000" w:themeColor="text1"/>
          <w:lang w:val="en-US"/>
        </w:rPr>
        <w:t xml:space="preserve">ard to </w:t>
      </w:r>
      <w:r w:rsidR="00712408" w:rsidRPr="00630E54">
        <w:rPr>
          <w:rFonts w:ascii="Times" w:hAnsi="Times"/>
          <w:color w:val="000000" w:themeColor="text1"/>
          <w:lang w:val="en-US"/>
        </w:rPr>
        <w:t xml:space="preserve">how </w:t>
      </w:r>
      <w:r w:rsidR="00500E8A" w:rsidRPr="00630E54">
        <w:rPr>
          <w:rFonts w:ascii="Times" w:hAnsi="Times"/>
          <w:color w:val="000000" w:themeColor="text1"/>
          <w:lang w:val="en-US"/>
        </w:rPr>
        <w:t xml:space="preserve">see </w:t>
      </w:r>
      <w:r w:rsidR="007716A7" w:rsidRPr="00630E54">
        <w:rPr>
          <w:rFonts w:ascii="Times" w:hAnsi="Times"/>
          <w:color w:val="000000" w:themeColor="text1"/>
          <w:lang w:val="en-US"/>
        </w:rPr>
        <w:t>giving Mr Ach</w:t>
      </w:r>
      <w:r w:rsidR="00EE799B" w:rsidRPr="00630E54">
        <w:rPr>
          <w:rFonts w:ascii="Times" w:hAnsi="Times"/>
          <w:color w:val="000000" w:themeColor="text1"/>
          <w:lang w:val="en-US"/>
        </w:rPr>
        <w:t>a</w:t>
      </w:r>
      <w:r w:rsidR="007716A7" w:rsidRPr="00630E54">
        <w:rPr>
          <w:rFonts w:ascii="Times" w:hAnsi="Times"/>
          <w:color w:val="000000" w:themeColor="text1"/>
          <w:lang w:val="en-US"/>
        </w:rPr>
        <w:t>t</w:t>
      </w:r>
      <w:r w:rsidR="00EE799B" w:rsidRPr="00630E54">
        <w:rPr>
          <w:rFonts w:ascii="Times" w:hAnsi="Times"/>
          <w:color w:val="000000" w:themeColor="text1"/>
          <w:lang w:val="en-US"/>
        </w:rPr>
        <w:t xml:space="preserve">zi and similarly placed employees extra holiday pay is </w:t>
      </w:r>
      <w:r w:rsidR="00500E8A" w:rsidRPr="00630E54">
        <w:rPr>
          <w:rFonts w:ascii="Times" w:hAnsi="Times"/>
          <w:color w:val="000000" w:themeColor="text1"/>
          <w:lang w:val="en-US"/>
        </w:rPr>
        <w:t xml:space="preserve">‘disapplying’ national law rather than </w:t>
      </w:r>
      <w:r w:rsidR="00EE799B" w:rsidRPr="00630E54">
        <w:rPr>
          <w:rFonts w:ascii="Times" w:hAnsi="Times"/>
          <w:color w:val="000000" w:themeColor="text1"/>
          <w:lang w:val="en-US"/>
        </w:rPr>
        <w:t xml:space="preserve">simply </w:t>
      </w:r>
      <w:r w:rsidR="00500E8A" w:rsidRPr="00630E54">
        <w:rPr>
          <w:rFonts w:ascii="Times" w:hAnsi="Times"/>
          <w:color w:val="000000" w:themeColor="text1"/>
          <w:lang w:val="en-US"/>
        </w:rPr>
        <w:t xml:space="preserve">applying the Directive. </w:t>
      </w:r>
    </w:p>
    <w:p w14:paraId="09C8AB41" w14:textId="77777777" w:rsidR="003E72A5" w:rsidRPr="00630E54" w:rsidRDefault="003E72A5" w:rsidP="00B46D6A">
      <w:pPr>
        <w:spacing w:line="360" w:lineRule="auto"/>
        <w:jc w:val="both"/>
        <w:rPr>
          <w:rFonts w:ascii="Times" w:hAnsi="Times"/>
          <w:color w:val="000000" w:themeColor="text1"/>
          <w:lang w:val="en-US"/>
        </w:rPr>
      </w:pPr>
    </w:p>
    <w:p w14:paraId="725E7FC0" w14:textId="77777777" w:rsidR="00500E8A" w:rsidRPr="00630E54" w:rsidRDefault="00EE799B" w:rsidP="00B46D6A">
      <w:pPr>
        <w:spacing w:line="360" w:lineRule="auto"/>
        <w:jc w:val="both"/>
        <w:rPr>
          <w:rFonts w:ascii="Times" w:hAnsi="Times"/>
          <w:color w:val="000000" w:themeColor="text1"/>
          <w:lang w:val="en-US"/>
        </w:rPr>
      </w:pPr>
      <w:r w:rsidRPr="00630E54">
        <w:rPr>
          <w:rFonts w:ascii="Times" w:hAnsi="Times"/>
          <w:color w:val="000000" w:themeColor="text1"/>
          <w:lang w:val="en-US"/>
        </w:rPr>
        <w:t>As AG</w:t>
      </w:r>
      <w:r w:rsidR="00CE0643" w:rsidRPr="00630E54">
        <w:rPr>
          <w:rFonts w:ascii="Times" w:hAnsi="Times"/>
          <w:color w:val="000000" w:themeColor="text1"/>
          <w:lang w:val="en-US"/>
        </w:rPr>
        <w:t xml:space="preserve"> Bobek </w:t>
      </w:r>
      <w:r w:rsidRPr="00630E54">
        <w:rPr>
          <w:rFonts w:ascii="Times" w:hAnsi="Times"/>
          <w:color w:val="000000" w:themeColor="text1"/>
          <w:lang w:val="en-US"/>
        </w:rPr>
        <w:t xml:space="preserve">stated, </w:t>
      </w:r>
      <w:r w:rsidR="00CE0643" w:rsidRPr="00630E54">
        <w:rPr>
          <w:rFonts w:ascii="Times" w:hAnsi="Times"/>
          <w:color w:val="000000" w:themeColor="text1"/>
          <w:lang w:val="en-US"/>
        </w:rPr>
        <w:t>‘the persistence in formally denying horizontal direct effect to directives while moving heaven and earth to ensure that that restriction has no practical consequence whatsoever, such as importing the content of a directive into a Charter provision, appears increasingly questionable’</w:t>
      </w:r>
      <w:r w:rsidR="00712408" w:rsidRPr="00630E54">
        <w:rPr>
          <w:rFonts w:ascii="Times" w:hAnsi="Times"/>
          <w:color w:val="000000" w:themeColor="text1"/>
          <w:lang w:val="en-US"/>
        </w:rPr>
        <w:t>.</w:t>
      </w:r>
      <w:r w:rsidR="00712408" w:rsidRPr="00630E54">
        <w:rPr>
          <w:rStyle w:val="FootnoteReference"/>
          <w:rFonts w:ascii="Times" w:hAnsi="Times"/>
          <w:color w:val="000000" w:themeColor="text1"/>
          <w:lang w:val="en-US"/>
        </w:rPr>
        <w:footnoteReference w:id="37"/>
      </w:r>
      <w:r w:rsidR="00CE0643" w:rsidRPr="00630E54">
        <w:rPr>
          <w:rFonts w:ascii="Times" w:hAnsi="Times"/>
          <w:color w:val="000000" w:themeColor="text1"/>
          <w:lang w:val="en-US"/>
        </w:rPr>
        <w:t xml:space="preserve"> </w:t>
      </w:r>
      <w:r w:rsidR="00D357FC" w:rsidRPr="00630E54">
        <w:rPr>
          <w:rFonts w:ascii="Times" w:hAnsi="Times"/>
          <w:color w:val="000000" w:themeColor="text1"/>
          <w:lang w:val="en-US"/>
        </w:rPr>
        <w:t xml:space="preserve">This echoes earlier criticism of </w:t>
      </w:r>
      <w:r w:rsidR="00D357FC" w:rsidRPr="00630E54">
        <w:rPr>
          <w:rFonts w:ascii="Times" w:hAnsi="Times"/>
          <w:i/>
          <w:color w:val="000000" w:themeColor="text1"/>
          <w:lang w:val="en-US"/>
        </w:rPr>
        <w:t>Mangold</w:t>
      </w:r>
      <w:r w:rsidR="00D357FC" w:rsidRPr="00630E54">
        <w:rPr>
          <w:rFonts w:ascii="Times" w:hAnsi="Times"/>
          <w:color w:val="000000" w:themeColor="text1"/>
          <w:lang w:val="en-US"/>
        </w:rPr>
        <w:t xml:space="preserve"> in various Advocates General’s Opinions in </w:t>
      </w:r>
      <w:r w:rsidR="00D357FC" w:rsidRPr="00630E54">
        <w:rPr>
          <w:rFonts w:ascii="Times" w:hAnsi="Times"/>
          <w:i/>
          <w:color w:val="000000" w:themeColor="text1"/>
          <w:lang w:val="en-US"/>
        </w:rPr>
        <w:t>Chacón Navas,</w:t>
      </w:r>
      <w:r w:rsidR="00D357FC" w:rsidRPr="00630E54">
        <w:rPr>
          <w:rStyle w:val="FootnoteReference"/>
          <w:rFonts w:ascii="Times" w:hAnsi="Times"/>
          <w:color w:val="000000" w:themeColor="text1"/>
          <w:lang w:val="en-US"/>
        </w:rPr>
        <w:footnoteReference w:id="38"/>
      </w:r>
      <w:r w:rsidR="00D357FC" w:rsidRPr="00630E54">
        <w:rPr>
          <w:rFonts w:ascii="Times" w:hAnsi="Times"/>
          <w:color w:val="000000" w:themeColor="text1"/>
          <w:lang w:val="en-US"/>
        </w:rPr>
        <w:t xml:space="preserve"> </w:t>
      </w:r>
      <w:r w:rsidR="00D357FC" w:rsidRPr="00630E54">
        <w:rPr>
          <w:rFonts w:ascii="Times" w:hAnsi="Times"/>
          <w:i/>
          <w:color w:val="000000" w:themeColor="text1"/>
          <w:lang w:val="en-US"/>
        </w:rPr>
        <w:t>Lindorfer</w:t>
      </w:r>
      <w:r w:rsidR="00D357FC" w:rsidRPr="00630E54">
        <w:rPr>
          <w:rStyle w:val="FootnoteReference"/>
          <w:rFonts w:ascii="Times" w:hAnsi="Times"/>
          <w:color w:val="000000" w:themeColor="text1"/>
          <w:lang w:val="en-US"/>
        </w:rPr>
        <w:footnoteReference w:id="39"/>
      </w:r>
      <w:r w:rsidR="00D357FC" w:rsidRPr="00630E54">
        <w:rPr>
          <w:rFonts w:ascii="Times" w:hAnsi="Times"/>
          <w:color w:val="000000" w:themeColor="text1"/>
          <w:lang w:val="en-US"/>
        </w:rPr>
        <w:t xml:space="preserve"> </w:t>
      </w:r>
      <w:r w:rsidR="00D357FC" w:rsidRPr="00630E54">
        <w:rPr>
          <w:rFonts w:ascii="Times" w:hAnsi="Times"/>
          <w:i/>
          <w:color w:val="000000" w:themeColor="text1"/>
          <w:lang w:val="en-US"/>
        </w:rPr>
        <w:t>and Palacios de Villa</w:t>
      </w:r>
      <w:r w:rsidR="00D357FC" w:rsidRPr="00630E54">
        <w:rPr>
          <w:rStyle w:val="FootnoteReference"/>
          <w:rFonts w:ascii="Times" w:hAnsi="Times"/>
          <w:color w:val="000000" w:themeColor="text1"/>
          <w:lang w:val="en-US"/>
        </w:rPr>
        <w:footnoteReference w:id="40"/>
      </w:r>
      <w:r w:rsidR="00862742" w:rsidRPr="00630E54">
        <w:rPr>
          <w:rFonts w:ascii="Times" w:hAnsi="Times"/>
          <w:i/>
          <w:color w:val="000000" w:themeColor="text1"/>
          <w:lang w:val="en-US"/>
        </w:rPr>
        <w:t xml:space="preserve"> </w:t>
      </w:r>
      <w:r w:rsidR="00862742" w:rsidRPr="00630E54">
        <w:rPr>
          <w:rFonts w:ascii="Times" w:hAnsi="Times"/>
          <w:color w:val="000000" w:themeColor="text1"/>
          <w:lang w:val="en-US"/>
        </w:rPr>
        <w:t>and academic criticism of it and related case law as ‘novel and overreaching’ which ‘thwarts’ the intention of the EU legislature.</w:t>
      </w:r>
      <w:r w:rsidR="00862742" w:rsidRPr="00630E54">
        <w:rPr>
          <w:rStyle w:val="FootnoteReference"/>
          <w:rFonts w:ascii="Times" w:hAnsi="Times"/>
          <w:color w:val="000000" w:themeColor="text1"/>
          <w:lang w:val="en-US"/>
        </w:rPr>
        <w:footnoteReference w:id="41"/>
      </w:r>
      <w:r w:rsidR="00862742" w:rsidRPr="00630E54">
        <w:rPr>
          <w:rFonts w:ascii="Times" w:hAnsi="Times"/>
          <w:color w:val="000000" w:themeColor="text1"/>
          <w:lang w:val="en-US"/>
        </w:rPr>
        <w:t xml:space="preserve"> This</w:t>
      </w:r>
      <w:r w:rsidR="00920A7B" w:rsidRPr="00630E54">
        <w:rPr>
          <w:rFonts w:ascii="Times" w:hAnsi="Times"/>
          <w:color w:val="000000" w:themeColor="text1"/>
          <w:lang w:val="en-US"/>
        </w:rPr>
        <w:t xml:space="preserve"> approach</w:t>
      </w:r>
      <w:r w:rsidR="007716A7" w:rsidRPr="00630E54">
        <w:rPr>
          <w:rFonts w:ascii="Times" w:hAnsi="Times"/>
          <w:color w:val="000000" w:themeColor="text1"/>
          <w:lang w:val="en-US"/>
        </w:rPr>
        <w:t xml:space="preserve"> has led to</w:t>
      </w:r>
      <w:r w:rsidR="00862742" w:rsidRPr="00630E54">
        <w:rPr>
          <w:rFonts w:ascii="Times" w:hAnsi="Times"/>
          <w:color w:val="000000" w:themeColor="text1"/>
          <w:lang w:val="en-US"/>
        </w:rPr>
        <w:t xml:space="preserve"> incoherence and lack of definitive boundaries</w:t>
      </w:r>
      <w:r w:rsidR="007716A7" w:rsidRPr="00630E54">
        <w:rPr>
          <w:rFonts w:ascii="Times" w:hAnsi="Times"/>
          <w:color w:val="000000" w:themeColor="text1"/>
          <w:lang w:val="en-US"/>
        </w:rPr>
        <w:t>.</w:t>
      </w:r>
      <w:r w:rsidR="00862742" w:rsidRPr="00630E54">
        <w:rPr>
          <w:rFonts w:ascii="Times" w:hAnsi="Times"/>
          <w:color w:val="000000" w:themeColor="text1"/>
          <w:lang w:val="en-US"/>
        </w:rPr>
        <w:t xml:space="preserve"> </w:t>
      </w:r>
      <w:r w:rsidR="007716A7" w:rsidRPr="00630E54">
        <w:rPr>
          <w:rFonts w:ascii="Times" w:hAnsi="Times"/>
          <w:color w:val="000000" w:themeColor="text1"/>
          <w:lang w:val="en-US"/>
        </w:rPr>
        <w:t>E</w:t>
      </w:r>
      <w:r w:rsidR="00500E8A" w:rsidRPr="00630E54">
        <w:rPr>
          <w:rFonts w:ascii="Times" w:hAnsi="Times"/>
          <w:color w:val="000000" w:themeColor="text1"/>
          <w:lang w:val="en-US"/>
        </w:rPr>
        <w:t>ither the court should jettison its previously firmly held commitment</w:t>
      </w:r>
      <w:r w:rsidR="000C67E6" w:rsidRPr="00630E54">
        <w:rPr>
          <w:rFonts w:ascii="Times" w:hAnsi="Times"/>
          <w:color w:val="000000" w:themeColor="text1"/>
          <w:lang w:val="en-US"/>
        </w:rPr>
        <w:t xml:space="preserve"> to the non-horizontal</w:t>
      </w:r>
      <w:r w:rsidR="00500E8A" w:rsidRPr="00630E54">
        <w:rPr>
          <w:rFonts w:ascii="Times" w:hAnsi="Times"/>
          <w:color w:val="000000" w:themeColor="text1"/>
          <w:lang w:val="en-US"/>
        </w:rPr>
        <w:t xml:space="preserve"> effectiveness of Directive, at considerable cost to the constitutional barriers preventing this, or it should accept that in some situations the only cause of action available </w:t>
      </w:r>
      <w:r w:rsidR="007F0196" w:rsidRPr="00630E54">
        <w:rPr>
          <w:rFonts w:ascii="Times" w:hAnsi="Times"/>
          <w:color w:val="000000" w:themeColor="text1"/>
          <w:lang w:val="en-US"/>
        </w:rPr>
        <w:t>may be for a damages claim against the state.</w:t>
      </w:r>
    </w:p>
    <w:p w14:paraId="2E57F039" w14:textId="77777777" w:rsidR="00A8771B" w:rsidRPr="00630E54" w:rsidRDefault="00A8771B" w:rsidP="00B46D6A">
      <w:pPr>
        <w:spacing w:line="360" w:lineRule="auto"/>
        <w:jc w:val="both"/>
        <w:rPr>
          <w:rFonts w:ascii="Times" w:hAnsi="Times"/>
          <w:color w:val="000000" w:themeColor="text1"/>
          <w:lang w:val="en-US"/>
        </w:rPr>
      </w:pPr>
    </w:p>
    <w:p w14:paraId="7EA77DC4" w14:textId="77777777" w:rsidR="009E238A" w:rsidRPr="00630E54" w:rsidRDefault="00712408" w:rsidP="00B46D6A">
      <w:pPr>
        <w:pStyle w:val="ListParagraph"/>
        <w:numPr>
          <w:ilvl w:val="0"/>
          <w:numId w:val="1"/>
        </w:numPr>
        <w:spacing w:line="360" w:lineRule="auto"/>
        <w:jc w:val="both"/>
        <w:rPr>
          <w:rFonts w:ascii="Times" w:hAnsi="Times" w:cs="Times New Roman"/>
          <w:b/>
          <w:color w:val="000000" w:themeColor="text1"/>
          <w:lang w:val="en-US"/>
        </w:rPr>
      </w:pPr>
      <w:r w:rsidRPr="00630E54">
        <w:rPr>
          <w:rFonts w:ascii="Times" w:hAnsi="Times" w:cs="Times New Roman"/>
          <w:b/>
          <w:color w:val="000000" w:themeColor="text1"/>
          <w:lang w:val="en-US"/>
        </w:rPr>
        <w:t>Conclusion</w:t>
      </w:r>
    </w:p>
    <w:p w14:paraId="7A90B7D8" w14:textId="77777777" w:rsidR="007F6612" w:rsidRPr="00630E54" w:rsidRDefault="007F6612" w:rsidP="00B46D6A">
      <w:pPr>
        <w:pStyle w:val="ListParagraph"/>
        <w:spacing w:line="360" w:lineRule="auto"/>
        <w:jc w:val="both"/>
        <w:rPr>
          <w:rFonts w:ascii="Times" w:hAnsi="Times" w:cs="Times New Roman"/>
          <w:b/>
          <w:color w:val="000000" w:themeColor="text1"/>
          <w:lang w:val="en-US"/>
        </w:rPr>
      </w:pPr>
    </w:p>
    <w:p w14:paraId="1CE9CC30" w14:textId="77777777" w:rsidR="009E238A" w:rsidRPr="00630E54" w:rsidRDefault="000C67E6" w:rsidP="00B46D6A">
      <w:pPr>
        <w:spacing w:line="360" w:lineRule="auto"/>
        <w:jc w:val="both"/>
        <w:rPr>
          <w:rFonts w:ascii="Times" w:hAnsi="Times"/>
          <w:color w:val="000000" w:themeColor="text1"/>
          <w:lang w:val="en-US"/>
        </w:rPr>
      </w:pPr>
      <w:r w:rsidRPr="00630E54">
        <w:rPr>
          <w:rFonts w:ascii="Times" w:hAnsi="Times"/>
          <w:color w:val="000000" w:themeColor="text1"/>
          <w:lang w:val="en-US"/>
        </w:rPr>
        <w:t>To give extra holiday or pay in lieu purely because an employee is formally a member of a particular religion</w:t>
      </w:r>
      <w:r w:rsidR="003678B9" w:rsidRPr="00630E54">
        <w:rPr>
          <w:rFonts w:ascii="Times" w:hAnsi="Times"/>
          <w:color w:val="000000" w:themeColor="text1"/>
          <w:lang w:val="en-US"/>
        </w:rPr>
        <w:t xml:space="preserve">, </w:t>
      </w:r>
      <w:r w:rsidRPr="00630E54">
        <w:rPr>
          <w:rFonts w:ascii="Times" w:hAnsi="Times"/>
          <w:color w:val="000000" w:themeColor="text1"/>
          <w:lang w:val="en-US"/>
        </w:rPr>
        <w:t xml:space="preserve">whether or not they actually wish to perform any religious </w:t>
      </w:r>
      <w:r w:rsidR="003678B9" w:rsidRPr="00630E54">
        <w:rPr>
          <w:rFonts w:ascii="Times" w:hAnsi="Times"/>
          <w:color w:val="000000" w:themeColor="text1"/>
          <w:lang w:val="en-US"/>
        </w:rPr>
        <w:t>rites</w:t>
      </w:r>
      <w:r w:rsidRPr="00630E54">
        <w:rPr>
          <w:rFonts w:ascii="Times" w:hAnsi="Times"/>
          <w:color w:val="000000" w:themeColor="text1"/>
          <w:lang w:val="en-US"/>
        </w:rPr>
        <w:t xml:space="preserve"> </w:t>
      </w:r>
      <w:r w:rsidR="003678B9" w:rsidRPr="00630E54">
        <w:rPr>
          <w:rFonts w:ascii="Times" w:hAnsi="Times"/>
          <w:color w:val="000000" w:themeColor="text1"/>
          <w:lang w:val="en-US"/>
        </w:rPr>
        <w:t xml:space="preserve">and when this is not a day of </w:t>
      </w:r>
      <w:r w:rsidR="00862742" w:rsidRPr="00630E54">
        <w:rPr>
          <w:rFonts w:ascii="Times" w:hAnsi="Times"/>
          <w:color w:val="000000" w:themeColor="text1"/>
          <w:lang w:val="en-US"/>
        </w:rPr>
        <w:t>cultural/</w:t>
      </w:r>
      <w:r w:rsidR="003678B9" w:rsidRPr="00630E54">
        <w:rPr>
          <w:rFonts w:ascii="Times" w:hAnsi="Times"/>
          <w:color w:val="000000" w:themeColor="text1"/>
          <w:lang w:val="en-US"/>
        </w:rPr>
        <w:t xml:space="preserve">religious celebration, </w:t>
      </w:r>
      <w:r w:rsidRPr="00630E54">
        <w:rPr>
          <w:rFonts w:ascii="Times" w:hAnsi="Times"/>
          <w:color w:val="000000" w:themeColor="text1"/>
          <w:lang w:val="en-US"/>
        </w:rPr>
        <w:t>clearly is</w:t>
      </w:r>
      <w:r w:rsidR="003678B9" w:rsidRPr="00630E54">
        <w:rPr>
          <w:rFonts w:ascii="Times" w:hAnsi="Times"/>
          <w:color w:val="000000" w:themeColor="text1"/>
          <w:lang w:val="en-US"/>
        </w:rPr>
        <w:t xml:space="preserve"> discriminatory towards non members and the Court rightly recognised this.</w:t>
      </w:r>
      <w:r w:rsidR="005101DA" w:rsidRPr="00630E54">
        <w:rPr>
          <w:rFonts w:ascii="Times" w:hAnsi="Times"/>
          <w:color w:val="000000" w:themeColor="text1"/>
          <w:lang w:val="en-US"/>
        </w:rPr>
        <w:t xml:space="preserve"> In doing so it builds up the Court’s corpus of case law</w:t>
      </w:r>
      <w:r w:rsidR="003678B9" w:rsidRPr="00630E54">
        <w:rPr>
          <w:rFonts w:ascii="Times" w:hAnsi="Times"/>
          <w:color w:val="000000" w:themeColor="text1"/>
          <w:lang w:val="en-US"/>
        </w:rPr>
        <w:t xml:space="preserve"> </w:t>
      </w:r>
      <w:r w:rsidR="005101DA" w:rsidRPr="00630E54">
        <w:rPr>
          <w:rFonts w:ascii="Times" w:hAnsi="Times"/>
          <w:color w:val="000000" w:themeColor="text1"/>
          <w:lang w:val="en-US"/>
        </w:rPr>
        <w:t>on religious discrimination. Its</w:t>
      </w:r>
      <w:r w:rsidR="00862742" w:rsidRPr="00630E54">
        <w:rPr>
          <w:rFonts w:ascii="Times" w:hAnsi="Times"/>
          <w:color w:val="000000" w:themeColor="text1"/>
          <w:lang w:val="en-US"/>
        </w:rPr>
        <w:t xml:space="preserve"> primary</w:t>
      </w:r>
      <w:r w:rsidR="005101DA" w:rsidRPr="00630E54">
        <w:rPr>
          <w:rFonts w:ascii="Times" w:hAnsi="Times"/>
          <w:color w:val="000000" w:themeColor="text1"/>
          <w:lang w:val="en-US"/>
        </w:rPr>
        <w:t xml:space="preserve"> significance lies outside this though in considering the horizontal effectiveness of Directives and the Charter. If</w:t>
      </w:r>
      <w:r w:rsidR="00D357FC" w:rsidRPr="00630E54">
        <w:rPr>
          <w:rFonts w:ascii="Times" w:hAnsi="Times"/>
          <w:color w:val="000000" w:themeColor="text1"/>
          <w:lang w:val="en-US"/>
        </w:rPr>
        <w:t xml:space="preserve"> </w:t>
      </w:r>
      <w:r w:rsidR="003D1F6A" w:rsidRPr="00630E54">
        <w:rPr>
          <w:rFonts w:ascii="Times" w:hAnsi="Times"/>
          <w:i/>
          <w:color w:val="000000" w:themeColor="text1"/>
          <w:lang w:val="en-US"/>
        </w:rPr>
        <w:t>Egenberger</w:t>
      </w:r>
      <w:r w:rsidR="005101DA" w:rsidRPr="00630E54">
        <w:rPr>
          <w:rFonts w:ascii="Times" w:hAnsi="Times"/>
          <w:color w:val="000000" w:themeColor="text1"/>
          <w:lang w:val="en-US"/>
        </w:rPr>
        <w:t xml:space="preserve"> is </w:t>
      </w:r>
      <w:r w:rsidR="005101DA" w:rsidRPr="00630E54">
        <w:rPr>
          <w:rFonts w:ascii="Times" w:hAnsi="Times"/>
          <w:i/>
          <w:color w:val="000000" w:themeColor="text1"/>
          <w:lang w:val="en-US"/>
        </w:rPr>
        <w:t xml:space="preserve">Mangold </w:t>
      </w:r>
      <w:r w:rsidR="005101DA" w:rsidRPr="00630E54">
        <w:rPr>
          <w:rFonts w:ascii="Times" w:hAnsi="Times"/>
          <w:color w:val="000000" w:themeColor="text1"/>
          <w:lang w:val="en-US"/>
        </w:rPr>
        <w:t>revisited,</w:t>
      </w:r>
      <w:r w:rsidR="005101DA" w:rsidRPr="00630E54">
        <w:rPr>
          <w:rStyle w:val="FootnoteReference"/>
          <w:rFonts w:ascii="Times" w:hAnsi="Times"/>
          <w:color w:val="000000" w:themeColor="text1"/>
          <w:lang w:val="en-US"/>
        </w:rPr>
        <w:footnoteReference w:id="42"/>
      </w:r>
      <w:r w:rsidR="005101DA" w:rsidRPr="00630E54">
        <w:rPr>
          <w:rFonts w:ascii="Times" w:hAnsi="Times"/>
          <w:color w:val="000000" w:themeColor="text1"/>
          <w:lang w:val="en-US"/>
        </w:rPr>
        <w:t xml:space="preserve"> then this must make Ac</w:t>
      </w:r>
      <w:r w:rsidR="003D1F6A" w:rsidRPr="00630E54">
        <w:rPr>
          <w:rFonts w:ascii="Times" w:hAnsi="Times"/>
          <w:color w:val="000000" w:themeColor="text1"/>
          <w:lang w:val="en-US"/>
        </w:rPr>
        <w:t>h</w:t>
      </w:r>
      <w:r w:rsidR="00F507C9" w:rsidRPr="00630E54">
        <w:rPr>
          <w:rFonts w:ascii="Times" w:hAnsi="Times"/>
          <w:color w:val="000000" w:themeColor="text1"/>
          <w:lang w:val="en-US"/>
        </w:rPr>
        <w:t>a</w:t>
      </w:r>
      <w:r w:rsidR="003D1F6A" w:rsidRPr="00630E54">
        <w:rPr>
          <w:rFonts w:ascii="Times" w:hAnsi="Times"/>
          <w:color w:val="000000" w:themeColor="text1"/>
          <w:lang w:val="en-US"/>
        </w:rPr>
        <w:t>t</w:t>
      </w:r>
      <w:r w:rsidR="00F507C9" w:rsidRPr="00630E54">
        <w:rPr>
          <w:rFonts w:ascii="Times" w:hAnsi="Times"/>
          <w:color w:val="000000" w:themeColor="text1"/>
          <w:lang w:val="en-US"/>
        </w:rPr>
        <w:t>zi</w:t>
      </w:r>
      <w:r w:rsidR="005101DA" w:rsidRPr="00630E54">
        <w:rPr>
          <w:rFonts w:ascii="Times" w:hAnsi="Times"/>
          <w:color w:val="000000" w:themeColor="text1"/>
          <w:lang w:val="en-US"/>
        </w:rPr>
        <w:t xml:space="preserve"> </w:t>
      </w:r>
      <w:r w:rsidR="005101DA" w:rsidRPr="00630E54">
        <w:rPr>
          <w:rFonts w:ascii="Times" w:hAnsi="Times"/>
          <w:i/>
          <w:color w:val="000000" w:themeColor="text1"/>
          <w:lang w:val="en-US"/>
        </w:rPr>
        <w:t xml:space="preserve">Mangold </w:t>
      </w:r>
      <w:r w:rsidR="005101DA" w:rsidRPr="00630E54">
        <w:rPr>
          <w:rFonts w:ascii="Times" w:hAnsi="Times"/>
          <w:color w:val="000000" w:themeColor="text1"/>
          <w:lang w:val="en-US"/>
        </w:rPr>
        <w:t xml:space="preserve">revisited, revisited. It is surely not the Court’s last word on the matter. </w:t>
      </w:r>
    </w:p>
    <w:p w14:paraId="504B0482" w14:textId="77777777" w:rsidR="00C04AA1" w:rsidRPr="00630E54" w:rsidRDefault="00C04AA1" w:rsidP="00B46D6A">
      <w:pPr>
        <w:spacing w:line="360" w:lineRule="auto"/>
        <w:jc w:val="both"/>
        <w:rPr>
          <w:rFonts w:ascii="Times" w:eastAsia="Times New Roman" w:hAnsi="Times"/>
          <w:color w:val="000000" w:themeColor="text1"/>
          <w:shd w:val="clear" w:color="auto" w:fill="FFFFFF"/>
        </w:rPr>
      </w:pPr>
    </w:p>
    <w:p w14:paraId="68F8DC78" w14:textId="77777777" w:rsidR="00C04AA1" w:rsidRPr="00630E54" w:rsidRDefault="00C04AA1" w:rsidP="00B46D6A">
      <w:pPr>
        <w:spacing w:line="360" w:lineRule="auto"/>
        <w:jc w:val="both"/>
        <w:rPr>
          <w:rFonts w:ascii="Times" w:eastAsia="Times New Roman" w:hAnsi="Times"/>
          <w:color w:val="000000" w:themeColor="text1"/>
        </w:rPr>
      </w:pPr>
    </w:p>
    <w:p w14:paraId="2E2EE15B" w14:textId="77777777" w:rsidR="00FE5670" w:rsidRPr="00630E54" w:rsidRDefault="00FE5670" w:rsidP="00B46D6A">
      <w:pPr>
        <w:pStyle w:val="ListParagraph"/>
        <w:spacing w:line="360" w:lineRule="auto"/>
        <w:jc w:val="both"/>
        <w:rPr>
          <w:rFonts w:ascii="Times" w:eastAsia="Times New Roman" w:hAnsi="Times" w:cs="Times New Roman"/>
          <w:color w:val="000000" w:themeColor="text1"/>
          <w:shd w:val="clear" w:color="auto" w:fill="FFFFFF"/>
        </w:rPr>
      </w:pPr>
    </w:p>
    <w:sectPr w:rsidR="00FE5670" w:rsidRPr="00630E54" w:rsidSect="004933DA">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61496" w14:textId="77777777" w:rsidR="00A35EAC" w:rsidRDefault="00A35EAC" w:rsidP="00695704">
      <w:r>
        <w:separator/>
      </w:r>
    </w:p>
  </w:endnote>
  <w:endnote w:type="continuationSeparator" w:id="0">
    <w:p w14:paraId="330F1B81" w14:textId="77777777" w:rsidR="00A35EAC" w:rsidRDefault="00A35EAC" w:rsidP="0069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324722"/>
      <w:docPartObj>
        <w:docPartGallery w:val="Page Numbers (Bottom of Page)"/>
        <w:docPartUnique/>
      </w:docPartObj>
    </w:sdtPr>
    <w:sdtEndPr>
      <w:rPr>
        <w:noProof/>
      </w:rPr>
    </w:sdtEndPr>
    <w:sdtContent>
      <w:p w14:paraId="32A10784" w14:textId="3C59C2C3" w:rsidR="00920A7B" w:rsidRDefault="00920A7B">
        <w:pPr>
          <w:pStyle w:val="Footer"/>
          <w:jc w:val="right"/>
        </w:pPr>
        <w:r>
          <w:fldChar w:fldCharType="begin"/>
        </w:r>
        <w:r>
          <w:instrText xml:space="preserve"> PAGE   \* MERGEFORMAT </w:instrText>
        </w:r>
        <w:r>
          <w:fldChar w:fldCharType="separate"/>
        </w:r>
        <w:r w:rsidR="006D6CC4">
          <w:rPr>
            <w:noProof/>
          </w:rPr>
          <w:t>1</w:t>
        </w:r>
        <w:r>
          <w:rPr>
            <w:noProof/>
          </w:rPr>
          <w:fldChar w:fldCharType="end"/>
        </w:r>
      </w:p>
    </w:sdtContent>
  </w:sdt>
  <w:p w14:paraId="66AA17BC" w14:textId="77777777" w:rsidR="00920A7B" w:rsidRDefault="00920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85999" w14:textId="77777777" w:rsidR="00A35EAC" w:rsidRDefault="00A35EAC" w:rsidP="00695704">
      <w:r>
        <w:separator/>
      </w:r>
    </w:p>
  </w:footnote>
  <w:footnote w:type="continuationSeparator" w:id="0">
    <w:p w14:paraId="11380ECB" w14:textId="77777777" w:rsidR="00A35EAC" w:rsidRDefault="00A35EAC" w:rsidP="00695704">
      <w:r>
        <w:continuationSeparator/>
      </w:r>
    </w:p>
  </w:footnote>
  <w:footnote w:id="1">
    <w:p w14:paraId="1B0BAA97" w14:textId="77777777" w:rsidR="00CE0D4F" w:rsidRPr="00CC56EB" w:rsidRDefault="00CE0D4F"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F05F3D" w:rsidRPr="00CC56EB">
        <w:rPr>
          <w:rStyle w:val="st1"/>
          <w:sz w:val="20"/>
          <w:szCs w:val="20"/>
        </w:rPr>
        <w:t>Case C-193/17</w:t>
      </w:r>
      <w:r w:rsidR="007A7056" w:rsidRPr="00CC56EB">
        <w:rPr>
          <w:rStyle w:val="st1"/>
          <w:sz w:val="20"/>
          <w:szCs w:val="20"/>
        </w:rPr>
        <w:t>, ‘</w:t>
      </w:r>
      <w:r w:rsidR="007A7056" w:rsidRPr="00CC56EB">
        <w:rPr>
          <w:rStyle w:val="st1"/>
          <w:i/>
          <w:sz w:val="20"/>
          <w:szCs w:val="20"/>
        </w:rPr>
        <w:t>Achatzi</w:t>
      </w:r>
      <w:r w:rsidR="007A7056" w:rsidRPr="00CC56EB">
        <w:rPr>
          <w:rStyle w:val="st1"/>
          <w:sz w:val="20"/>
          <w:szCs w:val="20"/>
        </w:rPr>
        <w:t>’</w:t>
      </w:r>
      <w:r w:rsidR="00920A7B" w:rsidRPr="00CC56EB">
        <w:rPr>
          <w:rStyle w:val="st1"/>
          <w:sz w:val="20"/>
          <w:szCs w:val="20"/>
        </w:rPr>
        <w:t>.</w:t>
      </w:r>
    </w:p>
  </w:footnote>
  <w:footnote w:id="2">
    <w:p w14:paraId="299C26D1" w14:textId="77777777" w:rsidR="00CE0D4F" w:rsidRPr="00CC56EB" w:rsidRDefault="00CE0D4F"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3E72A5" w:rsidRPr="00CC56EB">
        <w:rPr>
          <w:sz w:val="20"/>
          <w:szCs w:val="20"/>
        </w:rPr>
        <w:t xml:space="preserve">In UK courts: </w:t>
      </w:r>
      <w:r w:rsidR="00F15583" w:rsidRPr="00CC56EB">
        <w:rPr>
          <w:i/>
          <w:sz w:val="20"/>
          <w:szCs w:val="20"/>
        </w:rPr>
        <w:t>Mba v London Borough of Merton</w:t>
      </w:r>
      <w:r w:rsidR="00F05F3D" w:rsidRPr="00CC56EB">
        <w:rPr>
          <w:color w:val="222222"/>
          <w:sz w:val="20"/>
          <w:szCs w:val="20"/>
        </w:rPr>
        <w:t xml:space="preserve"> </w:t>
      </w:r>
      <w:r w:rsidR="00F05F3D" w:rsidRPr="00CC56EB">
        <w:rPr>
          <w:rStyle w:val="ilfuvd"/>
          <w:color w:val="222222"/>
          <w:sz w:val="20"/>
          <w:szCs w:val="20"/>
        </w:rPr>
        <w:t>[2013] EWCA Civ 1562;</w:t>
      </w:r>
      <w:r w:rsidR="00ED018E" w:rsidRPr="00CC56EB">
        <w:rPr>
          <w:i/>
          <w:sz w:val="20"/>
          <w:szCs w:val="20"/>
        </w:rPr>
        <w:t xml:space="preserve"> Gareddu v London Underground Ltd</w:t>
      </w:r>
      <w:r w:rsidR="00F05F3D" w:rsidRPr="00CC56EB">
        <w:rPr>
          <w:i/>
          <w:sz w:val="20"/>
          <w:szCs w:val="20"/>
        </w:rPr>
        <w:t xml:space="preserve"> </w:t>
      </w:r>
      <w:r w:rsidR="00F05F3D" w:rsidRPr="00CC56EB">
        <w:rPr>
          <w:rStyle w:val="st1"/>
          <w:sz w:val="20"/>
          <w:szCs w:val="20"/>
        </w:rPr>
        <w:t>UKEAT/0086/16/DM</w:t>
      </w:r>
      <w:r w:rsidR="003E72A5" w:rsidRPr="00CC56EB">
        <w:rPr>
          <w:sz w:val="20"/>
          <w:szCs w:val="20"/>
        </w:rPr>
        <w:t xml:space="preserve">. In the ECtHR: </w:t>
      </w:r>
      <w:r w:rsidR="00F05F3D" w:rsidRPr="00CC56EB">
        <w:rPr>
          <w:sz w:val="20"/>
          <w:szCs w:val="20"/>
        </w:rPr>
        <w:t xml:space="preserve"> </w:t>
      </w:r>
      <w:r w:rsidR="001212C2" w:rsidRPr="00CC56EB">
        <w:rPr>
          <w:i/>
          <w:sz w:val="20"/>
          <w:szCs w:val="20"/>
        </w:rPr>
        <w:t>Ahmad  v UK</w:t>
      </w:r>
      <w:r w:rsidR="001212C2" w:rsidRPr="00CC56EB">
        <w:rPr>
          <w:sz w:val="20"/>
          <w:szCs w:val="20"/>
        </w:rPr>
        <w:t xml:space="preserve"> EComHR 12 March 1981, App. No. 8160/78; </w:t>
      </w:r>
      <w:r w:rsidR="00F05F3D" w:rsidRPr="00CC56EB">
        <w:rPr>
          <w:i/>
          <w:sz w:val="20"/>
          <w:szCs w:val="20"/>
        </w:rPr>
        <w:t xml:space="preserve">Kosteski v The Former Yugoslav Republic of Macedonia </w:t>
      </w:r>
      <w:r w:rsidR="00F05F3D" w:rsidRPr="00CC56EB">
        <w:rPr>
          <w:sz w:val="20"/>
          <w:szCs w:val="20"/>
        </w:rPr>
        <w:t>(2007) 45 EHRR 3</w:t>
      </w:r>
      <w:r w:rsidR="00920A7B" w:rsidRPr="00CC56EB">
        <w:rPr>
          <w:sz w:val="20"/>
          <w:szCs w:val="20"/>
        </w:rPr>
        <w:t>.</w:t>
      </w:r>
      <w:r w:rsidR="00D37EE8" w:rsidRPr="00CC56EB">
        <w:rPr>
          <w:sz w:val="20"/>
          <w:szCs w:val="20"/>
        </w:rPr>
        <w:t xml:space="preserve"> See for discussion, </w:t>
      </w:r>
      <w:r w:rsidR="007B055E" w:rsidRPr="00CC56EB">
        <w:rPr>
          <w:sz w:val="20"/>
          <w:szCs w:val="20"/>
        </w:rPr>
        <w:t>E</w:t>
      </w:r>
      <w:r w:rsidR="00CC56EB" w:rsidRPr="00CC56EB">
        <w:rPr>
          <w:sz w:val="20"/>
          <w:szCs w:val="20"/>
        </w:rPr>
        <w:t>.</w:t>
      </w:r>
      <w:r w:rsidR="007B055E" w:rsidRPr="00CC56EB">
        <w:rPr>
          <w:sz w:val="20"/>
          <w:szCs w:val="20"/>
        </w:rPr>
        <w:t xml:space="preserve"> Griffiths, ‘The “Reasonable Accommodation</w:t>
      </w:r>
      <w:r w:rsidR="00FD2643">
        <w:rPr>
          <w:sz w:val="20"/>
          <w:szCs w:val="20"/>
        </w:rPr>
        <w:t>”</w:t>
      </w:r>
      <w:r w:rsidR="007B055E" w:rsidRPr="00CC56EB">
        <w:rPr>
          <w:sz w:val="20"/>
          <w:szCs w:val="20"/>
        </w:rPr>
        <w:t xml:space="preserve"> of Religion: Is this a Better Way of</w:t>
      </w:r>
      <w:r w:rsidR="00460383" w:rsidRPr="00CC56EB">
        <w:rPr>
          <w:sz w:val="20"/>
          <w:szCs w:val="20"/>
        </w:rPr>
        <w:t xml:space="preserve"> </w:t>
      </w:r>
      <w:r w:rsidR="007B055E" w:rsidRPr="00CC56EB">
        <w:rPr>
          <w:sz w:val="20"/>
          <w:szCs w:val="20"/>
        </w:rPr>
        <w:t>Advancing Equality in Cases of Religious Discrimination’ (2016) 16 IJDL 161</w:t>
      </w:r>
      <w:r w:rsidR="00460383" w:rsidRPr="00CC56EB">
        <w:rPr>
          <w:sz w:val="20"/>
          <w:szCs w:val="20"/>
        </w:rPr>
        <w:t>; P. Smith ‘Towards the Reasonable Accommodation of Religious Freedom</w:t>
      </w:r>
      <w:r w:rsidR="005566C8" w:rsidRPr="00CC56EB">
        <w:rPr>
          <w:sz w:val="20"/>
          <w:szCs w:val="20"/>
        </w:rPr>
        <w:t>’</w:t>
      </w:r>
      <w:r w:rsidR="00460383" w:rsidRPr="00CC56EB">
        <w:rPr>
          <w:sz w:val="20"/>
          <w:szCs w:val="20"/>
        </w:rPr>
        <w:t xml:space="preserve"> (2014) Denning L</w:t>
      </w:r>
      <w:r w:rsidR="00040FB1">
        <w:rPr>
          <w:sz w:val="20"/>
          <w:szCs w:val="20"/>
        </w:rPr>
        <w:t>J</w:t>
      </w:r>
      <w:r w:rsidR="00460383" w:rsidRPr="00CC56EB">
        <w:rPr>
          <w:sz w:val="20"/>
          <w:szCs w:val="20"/>
        </w:rPr>
        <w:t xml:space="preserve"> 281.</w:t>
      </w:r>
    </w:p>
  </w:footnote>
  <w:footnote w:id="3">
    <w:p w14:paraId="6689F019" w14:textId="77777777" w:rsidR="00D26625" w:rsidRPr="00CC56EB" w:rsidRDefault="00D26625"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7A7056" w:rsidRPr="00CC56EB">
        <w:rPr>
          <w:color w:val="000000" w:themeColor="text1"/>
          <w:sz w:val="20"/>
          <w:szCs w:val="20"/>
          <w:lang w:val="en-US"/>
        </w:rPr>
        <w:t>Council Directive 2000/78/EC Art 2(2)(a)</w:t>
      </w:r>
      <w:r w:rsidR="00062DDD" w:rsidRPr="00CC56EB">
        <w:rPr>
          <w:color w:val="000000" w:themeColor="text1"/>
          <w:sz w:val="20"/>
          <w:szCs w:val="20"/>
          <w:lang w:val="en-US"/>
        </w:rPr>
        <w:t>.</w:t>
      </w:r>
    </w:p>
  </w:footnote>
  <w:footnote w:id="4">
    <w:p w14:paraId="54CCD68F" w14:textId="77777777" w:rsidR="000B27F5" w:rsidRPr="00CC56EB" w:rsidRDefault="000B27F5" w:rsidP="007069C6">
      <w:pPr>
        <w:pStyle w:val="Heading2"/>
        <w:spacing w:before="0" w:beforeAutospacing="0" w:after="0" w:afterAutospacing="0"/>
        <w:contextualSpacing/>
        <w:rPr>
          <w:rFonts w:eastAsia="Times New Roman"/>
          <w:color w:val="1C1D1E"/>
          <w:sz w:val="20"/>
          <w:szCs w:val="20"/>
        </w:rPr>
      </w:pPr>
      <w:r w:rsidRPr="00CC56EB">
        <w:rPr>
          <w:rStyle w:val="FootnoteReference"/>
          <w:sz w:val="20"/>
          <w:szCs w:val="20"/>
        </w:rPr>
        <w:footnoteRef/>
      </w:r>
      <w:r w:rsidRPr="00CC56EB">
        <w:rPr>
          <w:sz w:val="20"/>
          <w:szCs w:val="20"/>
        </w:rPr>
        <w:t xml:space="preserve"> </w:t>
      </w:r>
      <w:r w:rsidR="007A7056" w:rsidRPr="00CC56EB">
        <w:rPr>
          <w:b w:val="0"/>
          <w:color w:val="000000" w:themeColor="text1"/>
          <w:sz w:val="20"/>
          <w:szCs w:val="20"/>
          <w:lang w:val="en-US"/>
        </w:rPr>
        <w:t>Council Directive 2000/78/EC Art 7</w:t>
      </w:r>
      <w:r w:rsidR="00062DDD" w:rsidRPr="00CC56EB">
        <w:rPr>
          <w:b w:val="0"/>
          <w:color w:val="000000" w:themeColor="text1"/>
          <w:sz w:val="20"/>
          <w:szCs w:val="20"/>
          <w:lang w:val="en-US"/>
        </w:rPr>
        <w:t>.</w:t>
      </w:r>
    </w:p>
  </w:footnote>
  <w:footnote w:id="5">
    <w:p w14:paraId="514FFFDE" w14:textId="77777777" w:rsidR="00CE0D4F" w:rsidRPr="00CC56EB" w:rsidRDefault="00CE0D4F"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062DDD" w:rsidRPr="00CC56EB">
        <w:rPr>
          <w:i/>
          <w:sz w:val="20"/>
          <w:szCs w:val="20"/>
        </w:rPr>
        <w:t>Ach</w:t>
      </w:r>
      <w:r w:rsidR="007A7056" w:rsidRPr="00CC56EB">
        <w:rPr>
          <w:i/>
          <w:sz w:val="20"/>
          <w:szCs w:val="20"/>
        </w:rPr>
        <w:t>a</w:t>
      </w:r>
      <w:r w:rsidR="00062DDD" w:rsidRPr="00CC56EB">
        <w:rPr>
          <w:i/>
          <w:sz w:val="20"/>
          <w:szCs w:val="20"/>
        </w:rPr>
        <w:t>t</w:t>
      </w:r>
      <w:r w:rsidR="007A7056" w:rsidRPr="00CC56EB">
        <w:rPr>
          <w:i/>
          <w:sz w:val="20"/>
          <w:szCs w:val="20"/>
        </w:rPr>
        <w:t>z</w:t>
      </w:r>
      <w:r w:rsidR="00062DDD" w:rsidRPr="00CC56EB">
        <w:rPr>
          <w:i/>
          <w:sz w:val="20"/>
          <w:szCs w:val="20"/>
        </w:rPr>
        <w:t>i</w:t>
      </w:r>
      <w:r w:rsidR="007A7056" w:rsidRPr="00CC56EB">
        <w:rPr>
          <w:sz w:val="20"/>
          <w:szCs w:val="20"/>
        </w:rPr>
        <w:t xml:space="preserve"> para 28</w:t>
      </w:r>
      <w:r w:rsidR="00062DDD" w:rsidRPr="00CC56EB">
        <w:rPr>
          <w:sz w:val="20"/>
          <w:szCs w:val="20"/>
        </w:rPr>
        <w:t>.</w:t>
      </w:r>
    </w:p>
  </w:footnote>
  <w:footnote w:id="6">
    <w:p w14:paraId="0517D246" w14:textId="77777777" w:rsidR="00B222FA" w:rsidRPr="00C01C9C" w:rsidRDefault="00B222FA"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Pr="00CC56EB">
        <w:rPr>
          <w:i/>
          <w:sz w:val="20"/>
          <w:szCs w:val="20"/>
          <w:lang w:val="en-US"/>
        </w:rPr>
        <w:t xml:space="preserve">CHEZ Razpredelenie Bulgaria </w:t>
      </w:r>
      <w:r w:rsidRPr="00C01C9C">
        <w:rPr>
          <w:sz w:val="20"/>
          <w:szCs w:val="20"/>
          <w:lang w:val="en-US"/>
        </w:rPr>
        <w:t xml:space="preserve">C83-14 </w:t>
      </w:r>
    </w:p>
  </w:footnote>
  <w:footnote w:id="7">
    <w:p w14:paraId="7DEA8D1C" w14:textId="77777777" w:rsidR="00040FB1" w:rsidRPr="00CC56EB" w:rsidRDefault="00040FB1" w:rsidP="00040FB1">
      <w:pPr>
        <w:pStyle w:val="FootnoteText"/>
        <w:contextualSpacing/>
        <w:rPr>
          <w:sz w:val="20"/>
          <w:szCs w:val="20"/>
          <w:lang w:val="en-US"/>
        </w:rPr>
      </w:pPr>
      <w:r w:rsidRPr="00CC56EB">
        <w:rPr>
          <w:rStyle w:val="FootnoteReference"/>
          <w:sz w:val="20"/>
          <w:szCs w:val="20"/>
        </w:rPr>
        <w:footnoteRef/>
      </w:r>
      <w:r w:rsidRPr="00CC56EB">
        <w:rPr>
          <w:sz w:val="20"/>
          <w:szCs w:val="20"/>
        </w:rPr>
        <w:t xml:space="preserve"> Advocate General Bobek’s Opinion </w:t>
      </w:r>
      <w:r w:rsidRPr="00CC56EB">
        <w:rPr>
          <w:i/>
          <w:sz w:val="20"/>
          <w:szCs w:val="20"/>
        </w:rPr>
        <w:t>Achatzi</w:t>
      </w:r>
      <w:r>
        <w:rPr>
          <w:i/>
          <w:sz w:val="20"/>
          <w:szCs w:val="20"/>
        </w:rPr>
        <w:t>,</w:t>
      </w:r>
      <w:r w:rsidRPr="00CC56EB">
        <w:rPr>
          <w:i/>
          <w:sz w:val="20"/>
          <w:szCs w:val="20"/>
        </w:rPr>
        <w:t xml:space="preserve"> </w:t>
      </w:r>
      <w:r w:rsidRPr="00CC56EB">
        <w:rPr>
          <w:sz w:val="20"/>
          <w:szCs w:val="20"/>
        </w:rPr>
        <w:t>paras 55-87</w:t>
      </w:r>
    </w:p>
  </w:footnote>
  <w:footnote w:id="8">
    <w:p w14:paraId="2A346887" w14:textId="34540C9B" w:rsidR="00BB38F4" w:rsidRPr="00CC56EB" w:rsidRDefault="00BB38F4">
      <w:pPr>
        <w:pStyle w:val="FootnoteText"/>
        <w:rPr>
          <w:sz w:val="20"/>
          <w:szCs w:val="20"/>
          <w:lang w:val="en-US"/>
        </w:rPr>
      </w:pPr>
      <w:r w:rsidRPr="00CC56EB">
        <w:rPr>
          <w:rStyle w:val="FootnoteReference"/>
          <w:sz w:val="20"/>
          <w:szCs w:val="20"/>
        </w:rPr>
        <w:footnoteRef/>
      </w:r>
      <w:r w:rsidR="00483BDD" w:rsidRPr="00CC56EB">
        <w:rPr>
          <w:sz w:val="20"/>
          <w:szCs w:val="20"/>
        </w:rPr>
        <w:t xml:space="preserve"> </w:t>
      </w:r>
      <w:r w:rsidR="00CC56EB">
        <w:rPr>
          <w:sz w:val="20"/>
          <w:szCs w:val="20"/>
        </w:rPr>
        <w:t xml:space="preserve">AG Bobek’s Opinion </w:t>
      </w:r>
      <w:r w:rsidR="00454271">
        <w:rPr>
          <w:sz w:val="20"/>
          <w:szCs w:val="20"/>
        </w:rPr>
        <w:t>p</w:t>
      </w:r>
      <w:r w:rsidR="00483BDD" w:rsidRPr="00CC56EB">
        <w:rPr>
          <w:sz w:val="20"/>
          <w:szCs w:val="20"/>
        </w:rPr>
        <w:t>ara 56.</w:t>
      </w:r>
      <w:r w:rsidRPr="00CC56EB">
        <w:rPr>
          <w:sz w:val="20"/>
          <w:szCs w:val="20"/>
        </w:rPr>
        <w:t xml:space="preserve"> </w:t>
      </w:r>
      <w:r w:rsidR="00ED7F00" w:rsidRPr="00CC56EB">
        <w:rPr>
          <w:sz w:val="20"/>
          <w:szCs w:val="20"/>
        </w:rPr>
        <w:t>This is a slightly odd way of characterising Good Friday</w:t>
      </w:r>
      <w:r w:rsidR="00D81667">
        <w:rPr>
          <w:sz w:val="20"/>
          <w:szCs w:val="20"/>
        </w:rPr>
        <w:t>,</w:t>
      </w:r>
      <w:r w:rsidR="00ED7F00" w:rsidRPr="00CC56EB">
        <w:rPr>
          <w:sz w:val="20"/>
          <w:szCs w:val="20"/>
        </w:rPr>
        <w:t xml:space="preserve"> even taken at its highest, since presumably Easter must be more significant</w:t>
      </w:r>
      <w:r w:rsidR="00D81667">
        <w:rPr>
          <w:sz w:val="20"/>
          <w:szCs w:val="20"/>
        </w:rPr>
        <w:t xml:space="preserve"> to many Christians</w:t>
      </w:r>
      <w:r w:rsidR="00ED7F00" w:rsidRPr="00CC56EB">
        <w:rPr>
          <w:sz w:val="20"/>
          <w:szCs w:val="20"/>
        </w:rPr>
        <w:t>.</w:t>
      </w:r>
    </w:p>
  </w:footnote>
  <w:footnote w:id="9">
    <w:p w14:paraId="379AD889" w14:textId="4296EEEC" w:rsidR="000D25DD" w:rsidRPr="00CC56EB" w:rsidRDefault="000D25DD"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Pr="00CC56EB">
        <w:rPr>
          <w:sz w:val="20"/>
          <w:szCs w:val="20"/>
          <w:lang w:val="en-US"/>
        </w:rPr>
        <w:t xml:space="preserve">This argument is though open to criticism that it ignores the social and cultural aspects of religious holidays rather than the purely religious as detailed below. </w:t>
      </w:r>
    </w:p>
  </w:footnote>
  <w:footnote w:id="10">
    <w:p w14:paraId="4A71E346" w14:textId="77777777" w:rsidR="001548DA" w:rsidRPr="00CC56EB" w:rsidRDefault="001548DA" w:rsidP="00483BDD">
      <w:pPr>
        <w:contextualSpacing/>
        <w:rPr>
          <w:rFonts w:eastAsia="Times New Roman"/>
          <w:sz w:val="20"/>
          <w:szCs w:val="20"/>
        </w:rPr>
      </w:pPr>
      <w:r w:rsidRPr="00C01C9C">
        <w:rPr>
          <w:rStyle w:val="FootnoteReference"/>
          <w:sz w:val="20"/>
          <w:szCs w:val="20"/>
        </w:rPr>
        <w:footnoteRef/>
      </w:r>
      <w:r w:rsidRPr="00C01C9C">
        <w:rPr>
          <w:sz w:val="20"/>
          <w:szCs w:val="20"/>
        </w:rPr>
        <w:t xml:space="preserve"> The other state holidays were: </w:t>
      </w:r>
      <w:r w:rsidRPr="00C01C9C">
        <w:rPr>
          <w:rFonts w:eastAsia="Times New Roman"/>
          <w:sz w:val="20"/>
          <w:szCs w:val="20"/>
          <w:shd w:val="clear" w:color="auto" w:fill="FFFFFF"/>
        </w:rPr>
        <w:t xml:space="preserve">1 January (New Year’s Day), 6 January (Epiphany), Easter Monday, 1 May (State Holiday), Ascension Day, Whit Monday, Corpus Christi, 15 August (Assumption of the Virgin Mary), 26 October (National Day), 1 November (All Saints’ Day), 8 December (Immaculate Conception), 25 December (Christmas Day) and 26 December (St. Stephen’s Day). As is evident, most of these have a strong connection to the Roman Catholic faith. </w:t>
      </w:r>
    </w:p>
  </w:footnote>
  <w:footnote w:id="11">
    <w:p w14:paraId="0E28D6AA" w14:textId="77777777" w:rsidR="00CE0D4F" w:rsidRPr="00CC56EB" w:rsidRDefault="00CE0D4F"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7A7056" w:rsidRPr="00CC56EB">
        <w:rPr>
          <w:i/>
          <w:sz w:val="20"/>
          <w:szCs w:val="20"/>
        </w:rPr>
        <w:t>Achatzi</w:t>
      </w:r>
      <w:r w:rsidR="00062DDD" w:rsidRPr="00CC56EB">
        <w:rPr>
          <w:i/>
          <w:sz w:val="20"/>
          <w:szCs w:val="20"/>
        </w:rPr>
        <w:t>,</w:t>
      </w:r>
      <w:r w:rsidR="007A7056" w:rsidRPr="00CC56EB">
        <w:rPr>
          <w:i/>
          <w:sz w:val="20"/>
          <w:szCs w:val="20"/>
        </w:rPr>
        <w:t xml:space="preserve"> </w:t>
      </w:r>
      <w:r w:rsidR="007A7056" w:rsidRPr="00CC56EB">
        <w:rPr>
          <w:sz w:val="20"/>
          <w:szCs w:val="20"/>
        </w:rPr>
        <w:t>para 64</w:t>
      </w:r>
      <w:r w:rsidR="00062DDD" w:rsidRPr="00CC56EB">
        <w:rPr>
          <w:sz w:val="20"/>
          <w:szCs w:val="20"/>
        </w:rPr>
        <w:t>.</w:t>
      </w:r>
    </w:p>
  </w:footnote>
  <w:footnote w:id="12">
    <w:p w14:paraId="4FBFF041" w14:textId="471498CB" w:rsidR="00EB36C9" w:rsidRPr="005858DF" w:rsidRDefault="00EB36C9" w:rsidP="003837C0">
      <w:pPr>
        <w:contextualSpacing/>
        <w:rPr>
          <w:rFonts w:eastAsia="Times New Roman"/>
        </w:rPr>
      </w:pPr>
      <w:r w:rsidRPr="00CC56EB">
        <w:rPr>
          <w:rStyle w:val="FootnoteReference"/>
          <w:sz w:val="20"/>
          <w:szCs w:val="20"/>
        </w:rPr>
        <w:footnoteRef/>
      </w:r>
      <w:r w:rsidR="00454271">
        <w:rPr>
          <w:rFonts w:eastAsia="Times New Roman"/>
          <w:sz w:val="20"/>
          <w:szCs w:val="20"/>
          <w:shd w:val="clear" w:color="auto" w:fill="FFFFFF"/>
        </w:rPr>
        <w:t xml:space="preserve"> </w:t>
      </w:r>
      <w:r w:rsidR="003837C0" w:rsidRPr="00CC56EB">
        <w:rPr>
          <w:rFonts w:eastAsia="Times New Roman"/>
          <w:sz w:val="20"/>
          <w:szCs w:val="20"/>
          <w:shd w:val="clear" w:color="auto" w:fill="FFFFFF"/>
        </w:rPr>
        <w:t>Case C-476/99</w:t>
      </w:r>
      <w:r w:rsidR="003837C0">
        <w:rPr>
          <w:rFonts w:eastAsia="Times New Roman"/>
          <w:sz w:val="20"/>
          <w:szCs w:val="20"/>
          <w:shd w:val="clear" w:color="auto" w:fill="FFFFFF"/>
        </w:rPr>
        <w:t xml:space="preserve"> </w:t>
      </w:r>
      <w:r w:rsidR="002F7F42" w:rsidRPr="00CC56EB">
        <w:rPr>
          <w:rStyle w:val="Emphasis"/>
          <w:rFonts w:eastAsia="Times New Roman"/>
          <w:bCs/>
          <w:iCs w:val="0"/>
          <w:sz w:val="20"/>
          <w:szCs w:val="20"/>
        </w:rPr>
        <w:t>Lommers</w:t>
      </w:r>
      <w:r w:rsidR="002F7F42" w:rsidRPr="00CC56EB">
        <w:rPr>
          <w:rStyle w:val="apple-converted-space"/>
          <w:rFonts w:eastAsia="Times New Roman"/>
          <w:sz w:val="20"/>
          <w:szCs w:val="20"/>
          <w:shd w:val="clear" w:color="auto" w:fill="FFFFFF"/>
        </w:rPr>
        <w:t> </w:t>
      </w:r>
      <w:r w:rsidR="00CC56EB" w:rsidRPr="00CC56EB">
        <w:rPr>
          <w:rFonts w:eastAsia="Times New Roman"/>
          <w:i/>
          <w:sz w:val="20"/>
          <w:szCs w:val="20"/>
          <w:shd w:val="clear" w:color="auto" w:fill="FFFFFF"/>
        </w:rPr>
        <w:t>v</w:t>
      </w:r>
      <w:r w:rsidR="002F7F42" w:rsidRPr="00CC56EB">
        <w:rPr>
          <w:rFonts w:eastAsia="Times New Roman"/>
          <w:i/>
          <w:sz w:val="20"/>
          <w:szCs w:val="20"/>
          <w:shd w:val="clear" w:color="auto" w:fill="FFFFFF"/>
        </w:rPr>
        <w:t xml:space="preserve"> Minister van Landbouw, Natuurbeheer en Visserij</w:t>
      </w:r>
      <w:r w:rsidR="002F7F42" w:rsidRPr="00CC56EB">
        <w:rPr>
          <w:rStyle w:val="apple-converted-space"/>
          <w:rFonts w:eastAsia="Times New Roman"/>
          <w:sz w:val="20"/>
          <w:szCs w:val="20"/>
          <w:shd w:val="clear" w:color="auto" w:fill="FFFFFF"/>
        </w:rPr>
        <w:t> </w:t>
      </w:r>
      <w:r w:rsidR="003837C0">
        <w:rPr>
          <w:rStyle w:val="apple-converted-space"/>
          <w:rFonts w:ascii="Arial" w:eastAsia="Times New Roman" w:hAnsi="Arial" w:cs="Arial"/>
          <w:color w:val="545454"/>
          <w:shd w:val="clear" w:color="auto" w:fill="FFFFFF"/>
        </w:rPr>
        <w:t> </w:t>
      </w:r>
      <w:r w:rsidR="003837C0" w:rsidRPr="003837C0">
        <w:rPr>
          <w:rFonts w:ascii="Times" w:eastAsia="Times New Roman" w:hAnsi="Times" w:cs="Arial"/>
          <w:color w:val="545454"/>
          <w:sz w:val="20"/>
          <w:szCs w:val="20"/>
          <w:shd w:val="clear" w:color="auto" w:fill="FFFFFF"/>
        </w:rPr>
        <w:t>[2002] ECR I-2891</w:t>
      </w:r>
    </w:p>
  </w:footnote>
  <w:footnote w:id="13">
    <w:p w14:paraId="1170C5CF" w14:textId="518DF463" w:rsidR="00CE1346" w:rsidRPr="008312E6" w:rsidRDefault="00CE1346" w:rsidP="00CC56EB">
      <w:pPr>
        <w:pStyle w:val="Heading1"/>
        <w:spacing w:before="0"/>
        <w:rPr>
          <w:rFonts w:ascii="Times New Roman" w:eastAsia="Times New Roman" w:hAnsi="Times New Roman" w:cs="Times New Roman"/>
          <w:color w:val="auto"/>
          <w:sz w:val="20"/>
          <w:szCs w:val="20"/>
        </w:rPr>
      </w:pPr>
      <w:r w:rsidRPr="00CC56EB">
        <w:rPr>
          <w:rStyle w:val="FootnoteReference"/>
          <w:rFonts w:ascii="Times New Roman" w:hAnsi="Times New Roman" w:cs="Times New Roman"/>
          <w:sz w:val="20"/>
          <w:szCs w:val="20"/>
        </w:rPr>
        <w:footnoteRef/>
      </w:r>
      <w:r w:rsidRPr="00CC56EB">
        <w:rPr>
          <w:rFonts w:ascii="Times New Roman" w:hAnsi="Times New Roman" w:cs="Times New Roman"/>
          <w:sz w:val="20"/>
          <w:szCs w:val="20"/>
        </w:rPr>
        <w:t xml:space="preserve"> </w:t>
      </w:r>
      <w:r w:rsidR="00EB36C9" w:rsidRPr="008312E6">
        <w:rPr>
          <w:rFonts w:ascii="Times New Roman" w:hAnsi="Times New Roman" w:cs="Times New Roman"/>
          <w:color w:val="000000" w:themeColor="text1"/>
          <w:sz w:val="20"/>
          <w:szCs w:val="20"/>
          <w:lang w:val="en-US"/>
        </w:rPr>
        <w:t>See for discussion, M. Bell and L. Waddington, ‘Exploring the Boundaries of Positive Action Under EU Law: A Search for Conceptu</w:t>
      </w:r>
      <w:r w:rsidR="00CC56EB" w:rsidRPr="008312E6">
        <w:rPr>
          <w:rFonts w:ascii="Times New Roman" w:hAnsi="Times New Roman" w:cs="Times New Roman"/>
          <w:color w:val="000000" w:themeColor="text1"/>
          <w:sz w:val="20"/>
          <w:szCs w:val="20"/>
          <w:lang w:val="en-US"/>
        </w:rPr>
        <w:t>al Clarity’ (2011) 48 CMLR 1503;</w:t>
      </w:r>
      <w:r w:rsidR="00EB36C9" w:rsidRPr="008312E6">
        <w:rPr>
          <w:rFonts w:ascii="Times New Roman" w:hAnsi="Times New Roman" w:cs="Times New Roman"/>
          <w:color w:val="000000" w:themeColor="text1"/>
          <w:sz w:val="20"/>
          <w:szCs w:val="20"/>
          <w:lang w:val="en-US"/>
        </w:rPr>
        <w:t xml:space="preserve"> </w:t>
      </w:r>
      <w:r w:rsidR="008312E6" w:rsidRPr="008312E6">
        <w:rPr>
          <w:rFonts w:ascii="Times New Roman" w:hAnsi="Times New Roman" w:cs="Times New Roman"/>
          <w:color w:val="000000" w:themeColor="text1"/>
          <w:sz w:val="20"/>
          <w:szCs w:val="20"/>
          <w:lang w:val="en-US"/>
        </w:rPr>
        <w:t xml:space="preserve">C. O’Cinneide, ‘Positive Action and the Limits of Existing Law </w:t>
      </w:r>
      <w:r w:rsidR="008312E6" w:rsidRPr="008312E6">
        <w:rPr>
          <w:rFonts w:ascii="Times New Roman" w:eastAsia="Times New Roman" w:hAnsi="Times New Roman" w:cs="Times New Roman"/>
          <w:bCs/>
          <w:color w:val="111111"/>
          <w:sz w:val="20"/>
          <w:szCs w:val="20"/>
        </w:rPr>
        <w:t xml:space="preserve">(2006) 13 </w:t>
      </w:r>
      <w:r w:rsidR="008312E6" w:rsidRPr="008312E6">
        <w:rPr>
          <w:rStyle w:val="Hyperlink"/>
          <w:rFonts w:ascii="Times New Roman" w:eastAsia="Times New Roman" w:hAnsi="Times New Roman" w:cs="Times New Roman"/>
          <w:color w:val="auto"/>
          <w:sz w:val="20"/>
          <w:szCs w:val="20"/>
          <w:u w:val="none"/>
          <w:bdr w:val="none" w:sz="0" w:space="0" w:color="auto" w:frame="1"/>
        </w:rPr>
        <w:t xml:space="preserve">Maastricht Journal of European and Comparative </w:t>
      </w:r>
      <w:r w:rsidR="00D81667">
        <w:rPr>
          <w:rStyle w:val="Hyperlink"/>
          <w:rFonts w:ascii="Times New Roman" w:eastAsia="Times New Roman" w:hAnsi="Times New Roman" w:cs="Times New Roman"/>
          <w:color w:val="auto"/>
          <w:sz w:val="20"/>
          <w:szCs w:val="20"/>
          <w:u w:val="none"/>
          <w:bdr w:val="none" w:sz="0" w:space="0" w:color="auto" w:frame="1"/>
        </w:rPr>
        <w:t>L</w:t>
      </w:r>
      <w:r w:rsidR="008312E6" w:rsidRPr="008312E6">
        <w:rPr>
          <w:rStyle w:val="Hyperlink"/>
          <w:rFonts w:ascii="Times New Roman" w:eastAsia="Times New Roman" w:hAnsi="Times New Roman" w:cs="Times New Roman"/>
          <w:color w:val="auto"/>
          <w:sz w:val="20"/>
          <w:szCs w:val="20"/>
          <w:u w:val="none"/>
          <w:bdr w:val="none" w:sz="0" w:space="0" w:color="auto" w:frame="1"/>
        </w:rPr>
        <w:t>aw</w:t>
      </w:r>
      <w:r w:rsidR="008312E6" w:rsidRPr="008312E6">
        <w:rPr>
          <w:rStyle w:val="apple-converted-space"/>
          <w:rFonts w:ascii="Times New Roman" w:eastAsia="Times New Roman" w:hAnsi="Times New Roman" w:cs="Times New Roman"/>
          <w:color w:val="auto"/>
          <w:sz w:val="20"/>
          <w:szCs w:val="20"/>
        </w:rPr>
        <w:t> </w:t>
      </w:r>
      <w:r w:rsidR="008312E6" w:rsidRPr="008312E6">
        <w:rPr>
          <w:rFonts w:ascii="Times New Roman" w:eastAsia="Times New Roman" w:hAnsi="Times New Roman" w:cs="Times New Roman"/>
          <w:color w:val="auto"/>
          <w:sz w:val="20"/>
          <w:szCs w:val="20"/>
        </w:rPr>
        <w:t xml:space="preserve">351; </w:t>
      </w:r>
      <w:r w:rsidR="00CC56EB" w:rsidRPr="008312E6">
        <w:rPr>
          <w:rFonts w:ascii="Times New Roman" w:hAnsi="Times New Roman" w:cs="Times New Roman"/>
          <w:color w:val="000000" w:themeColor="text1"/>
          <w:sz w:val="20"/>
          <w:szCs w:val="20"/>
          <w:lang w:val="en-US"/>
        </w:rPr>
        <w:t xml:space="preserve">D. </w:t>
      </w:r>
      <w:r w:rsidR="00EB36C9" w:rsidRPr="008312E6">
        <w:rPr>
          <w:rFonts w:ascii="Times New Roman" w:hAnsi="Times New Roman" w:cs="Times New Roman"/>
          <w:color w:val="000000" w:themeColor="text1"/>
          <w:sz w:val="20"/>
          <w:szCs w:val="20"/>
          <w:lang w:val="en-US"/>
        </w:rPr>
        <w:t>Caruso, ‘Limits of the Classic Method: Positive Action in the European Union</w:t>
      </w:r>
      <w:r w:rsidR="0024504C" w:rsidRPr="008312E6">
        <w:rPr>
          <w:rFonts w:ascii="Times New Roman" w:hAnsi="Times New Roman" w:cs="Times New Roman"/>
          <w:b/>
          <w:color w:val="000000" w:themeColor="text1"/>
          <w:sz w:val="20"/>
          <w:szCs w:val="20"/>
          <w:lang w:val="en-US"/>
        </w:rPr>
        <w:t xml:space="preserve"> </w:t>
      </w:r>
      <w:r w:rsidR="0024504C" w:rsidRPr="008312E6">
        <w:rPr>
          <w:rFonts w:ascii="Times New Roman" w:eastAsia="Times New Roman" w:hAnsi="Times New Roman" w:cs="Times New Roman"/>
          <w:color w:val="auto"/>
          <w:sz w:val="20"/>
          <w:szCs w:val="20"/>
          <w:shd w:val="clear" w:color="auto" w:fill="FFFFFF"/>
        </w:rPr>
        <w:t>after the New Equality Directives</w:t>
      </w:r>
      <w:r w:rsidR="00CC56EB" w:rsidRPr="008312E6">
        <w:rPr>
          <w:rFonts w:ascii="Times New Roman" w:eastAsia="Times New Roman" w:hAnsi="Times New Roman" w:cs="Times New Roman"/>
          <w:sz w:val="20"/>
          <w:szCs w:val="20"/>
          <w:shd w:val="clear" w:color="auto" w:fill="FFFFFF"/>
        </w:rPr>
        <w:t>’</w:t>
      </w:r>
      <w:r w:rsidR="00CC56EB" w:rsidRPr="008312E6">
        <w:rPr>
          <w:rFonts w:ascii="Times New Roman" w:eastAsia="Times New Roman" w:hAnsi="Times New Roman" w:cs="Times New Roman"/>
          <w:color w:val="505050"/>
          <w:sz w:val="20"/>
          <w:szCs w:val="20"/>
          <w:shd w:val="clear" w:color="auto" w:fill="FFFFFF"/>
        </w:rPr>
        <w:t xml:space="preserve"> </w:t>
      </w:r>
      <w:r w:rsidR="00CC56EB" w:rsidRPr="008312E6">
        <w:rPr>
          <w:rFonts w:ascii="Times New Roman" w:eastAsia="Times New Roman" w:hAnsi="Times New Roman" w:cs="Times New Roman"/>
          <w:color w:val="auto"/>
          <w:sz w:val="20"/>
          <w:szCs w:val="20"/>
          <w:shd w:val="clear" w:color="auto" w:fill="FFFFFF"/>
        </w:rPr>
        <w:t>(2003)</w:t>
      </w:r>
      <w:r w:rsidR="0024504C" w:rsidRPr="008312E6">
        <w:rPr>
          <w:rFonts w:ascii="Times New Roman" w:eastAsia="Times New Roman" w:hAnsi="Times New Roman" w:cs="Times New Roman"/>
          <w:color w:val="auto"/>
          <w:sz w:val="20"/>
          <w:szCs w:val="20"/>
          <w:shd w:val="clear" w:color="auto" w:fill="FFFFFF"/>
        </w:rPr>
        <w:t xml:space="preserve"> </w:t>
      </w:r>
      <w:r w:rsidR="00CC56EB" w:rsidRPr="008312E6">
        <w:rPr>
          <w:rFonts w:ascii="Times New Roman" w:eastAsia="Times New Roman" w:hAnsi="Times New Roman" w:cs="Times New Roman"/>
          <w:color w:val="auto"/>
          <w:sz w:val="20"/>
          <w:szCs w:val="20"/>
          <w:shd w:val="clear" w:color="auto" w:fill="FFFFFF"/>
        </w:rPr>
        <w:t xml:space="preserve">44 </w:t>
      </w:r>
      <w:r w:rsidR="0024504C" w:rsidRPr="008312E6">
        <w:rPr>
          <w:rFonts w:ascii="Times New Roman" w:eastAsia="Times New Roman" w:hAnsi="Times New Roman" w:cs="Times New Roman"/>
          <w:color w:val="auto"/>
          <w:sz w:val="20"/>
          <w:szCs w:val="20"/>
          <w:shd w:val="clear" w:color="auto" w:fill="FFFFFF"/>
        </w:rPr>
        <w:t xml:space="preserve">Harvard International Law </w:t>
      </w:r>
      <w:r w:rsidR="00CC56EB" w:rsidRPr="008312E6">
        <w:rPr>
          <w:rFonts w:ascii="Times New Roman" w:eastAsia="Times New Roman" w:hAnsi="Times New Roman" w:cs="Times New Roman"/>
          <w:color w:val="auto"/>
          <w:sz w:val="20"/>
          <w:szCs w:val="20"/>
          <w:shd w:val="clear" w:color="auto" w:fill="FFFFFF"/>
        </w:rPr>
        <w:t>Journal 3</w:t>
      </w:r>
      <w:r w:rsidR="008312E6">
        <w:rPr>
          <w:rFonts w:ascii="Times New Roman" w:eastAsia="Times New Roman" w:hAnsi="Times New Roman" w:cs="Times New Roman"/>
          <w:color w:val="auto"/>
          <w:sz w:val="20"/>
          <w:szCs w:val="20"/>
          <w:shd w:val="clear" w:color="auto" w:fill="FFFFFF"/>
        </w:rPr>
        <w:t>31.</w:t>
      </w:r>
    </w:p>
  </w:footnote>
  <w:footnote w:id="14">
    <w:p w14:paraId="2E6141A9" w14:textId="77777777" w:rsidR="00C0439E" w:rsidRPr="008312E6" w:rsidRDefault="00C0439E" w:rsidP="0024504C">
      <w:pPr>
        <w:rPr>
          <w:rFonts w:eastAsia="Times New Roman"/>
          <w:i/>
          <w:sz w:val="20"/>
          <w:szCs w:val="20"/>
        </w:rPr>
      </w:pPr>
      <w:r w:rsidRPr="00CC56EB">
        <w:rPr>
          <w:rStyle w:val="FootnoteReference"/>
          <w:sz w:val="20"/>
          <w:szCs w:val="20"/>
        </w:rPr>
        <w:footnoteRef/>
      </w:r>
      <w:r w:rsidRPr="00CC56EB">
        <w:rPr>
          <w:sz w:val="20"/>
          <w:szCs w:val="20"/>
        </w:rPr>
        <w:t xml:space="preserve"> </w:t>
      </w:r>
      <w:r w:rsidR="0024504C" w:rsidRPr="008312E6">
        <w:rPr>
          <w:rFonts w:eastAsia="Times New Roman"/>
          <w:sz w:val="20"/>
          <w:szCs w:val="20"/>
          <w:shd w:val="clear" w:color="auto" w:fill="FFFFFF"/>
        </w:rPr>
        <w:t xml:space="preserve">Case 152/84 </w:t>
      </w:r>
      <w:r w:rsidR="0024504C" w:rsidRPr="008312E6">
        <w:rPr>
          <w:rFonts w:eastAsia="Times New Roman"/>
          <w:i/>
          <w:sz w:val="20"/>
          <w:szCs w:val="20"/>
          <w:shd w:val="clear" w:color="auto" w:fill="FFFFFF"/>
        </w:rPr>
        <w:t xml:space="preserve">Marshall v Southampton and South-West Hampshire Area Health Authority </w:t>
      </w:r>
      <w:r w:rsidR="0024504C" w:rsidRPr="008312E6">
        <w:rPr>
          <w:rFonts w:eastAsia="Times New Roman"/>
          <w:sz w:val="20"/>
          <w:szCs w:val="20"/>
          <w:shd w:val="clear" w:color="auto" w:fill="FFFFFF"/>
        </w:rPr>
        <w:t>[1986] ECR 723</w:t>
      </w:r>
    </w:p>
  </w:footnote>
  <w:footnote w:id="15">
    <w:p w14:paraId="6420B15B" w14:textId="77777777" w:rsidR="00CE0D4F" w:rsidRPr="00CC56EB" w:rsidRDefault="00CE0D4F" w:rsidP="007069C6">
      <w:pPr>
        <w:pStyle w:val="FootnoteText"/>
        <w:contextualSpacing/>
        <w:rPr>
          <w:sz w:val="20"/>
          <w:szCs w:val="20"/>
          <w:lang w:val="en-US"/>
        </w:rPr>
      </w:pPr>
      <w:r w:rsidRPr="008312E6">
        <w:rPr>
          <w:rStyle w:val="FootnoteReference"/>
          <w:sz w:val="20"/>
          <w:szCs w:val="20"/>
        </w:rPr>
        <w:footnoteRef/>
      </w:r>
      <w:r w:rsidRPr="008312E6">
        <w:rPr>
          <w:sz w:val="20"/>
          <w:szCs w:val="20"/>
        </w:rPr>
        <w:t xml:space="preserve"> </w:t>
      </w:r>
      <w:r w:rsidR="007A7056" w:rsidRPr="008312E6">
        <w:rPr>
          <w:sz w:val="20"/>
          <w:szCs w:val="20"/>
        </w:rPr>
        <w:t>Case C-144/04, [2005] ECR I-9981</w:t>
      </w:r>
      <w:r w:rsidR="00062DDD" w:rsidRPr="00CC56EB">
        <w:rPr>
          <w:sz w:val="20"/>
          <w:szCs w:val="20"/>
        </w:rPr>
        <w:t>.</w:t>
      </w:r>
    </w:p>
  </w:footnote>
  <w:footnote w:id="16">
    <w:p w14:paraId="5540DC67" w14:textId="73C6C0BE" w:rsidR="00D316AE" w:rsidRPr="00CC56EB" w:rsidRDefault="00D316AE"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3837C0">
        <w:rPr>
          <w:sz w:val="20"/>
          <w:szCs w:val="20"/>
        </w:rPr>
        <w:t>Case C-555/07</w:t>
      </w:r>
      <w:r w:rsidR="003837C0" w:rsidRPr="00CC56EB">
        <w:rPr>
          <w:sz w:val="20"/>
          <w:szCs w:val="20"/>
        </w:rPr>
        <w:t xml:space="preserve"> </w:t>
      </w:r>
      <w:r w:rsidR="00FB4B4C" w:rsidRPr="00CC56EB">
        <w:rPr>
          <w:i/>
          <w:sz w:val="20"/>
          <w:szCs w:val="20"/>
        </w:rPr>
        <w:t>Kucukdeveci v Swedex GmbH &amp; Co KG</w:t>
      </w:r>
      <w:r w:rsidR="006810E9">
        <w:rPr>
          <w:i/>
          <w:sz w:val="20"/>
          <w:szCs w:val="20"/>
        </w:rPr>
        <w:t xml:space="preserve"> </w:t>
      </w:r>
      <w:r w:rsidR="006810E9">
        <w:rPr>
          <w:sz w:val="20"/>
          <w:szCs w:val="20"/>
        </w:rPr>
        <w:t>[2010] 2 CMLR 33</w:t>
      </w:r>
      <w:r w:rsidR="00FB4B4C" w:rsidRPr="00CC56EB">
        <w:rPr>
          <w:sz w:val="20"/>
          <w:szCs w:val="20"/>
        </w:rPr>
        <w:t xml:space="preserve"> </w:t>
      </w:r>
    </w:p>
  </w:footnote>
  <w:footnote w:id="17">
    <w:p w14:paraId="34544E49" w14:textId="0461F264" w:rsidR="00CE0D4F" w:rsidRPr="00CC56EB" w:rsidRDefault="00CE0D4F" w:rsidP="007069C6">
      <w:pPr>
        <w:pStyle w:val="Heading2"/>
        <w:shd w:val="clear" w:color="auto" w:fill="FFFFFF"/>
        <w:spacing w:before="0" w:beforeAutospacing="0" w:after="0" w:afterAutospacing="0"/>
        <w:contextualSpacing/>
        <w:rPr>
          <w:b w:val="0"/>
          <w:sz w:val="20"/>
          <w:szCs w:val="20"/>
        </w:rPr>
      </w:pPr>
      <w:r w:rsidRPr="00CC56EB">
        <w:rPr>
          <w:rStyle w:val="FootnoteReference"/>
          <w:b w:val="0"/>
          <w:sz w:val="20"/>
          <w:szCs w:val="20"/>
        </w:rPr>
        <w:footnoteRef/>
      </w:r>
      <w:r w:rsidRPr="00CC56EB">
        <w:rPr>
          <w:b w:val="0"/>
          <w:sz w:val="20"/>
          <w:szCs w:val="20"/>
        </w:rPr>
        <w:t xml:space="preserve"> </w:t>
      </w:r>
      <w:r w:rsidR="003837C0">
        <w:rPr>
          <w:b w:val="0"/>
          <w:sz w:val="20"/>
          <w:szCs w:val="20"/>
        </w:rPr>
        <w:t>Case C-569/16</w:t>
      </w:r>
      <w:r w:rsidR="003837C0" w:rsidRPr="00CC56EB">
        <w:rPr>
          <w:b w:val="0"/>
          <w:sz w:val="20"/>
          <w:szCs w:val="20"/>
        </w:rPr>
        <w:t xml:space="preserve"> </w:t>
      </w:r>
      <w:r w:rsidR="00FB4B4C" w:rsidRPr="00CC56EB">
        <w:rPr>
          <w:b w:val="0"/>
          <w:i/>
          <w:sz w:val="20"/>
          <w:szCs w:val="20"/>
        </w:rPr>
        <w:t>Stadt Wuppertal v Bauer</w:t>
      </w:r>
      <w:r w:rsidR="008312E6">
        <w:rPr>
          <w:b w:val="0"/>
          <w:sz w:val="20"/>
          <w:szCs w:val="20"/>
        </w:rPr>
        <w:t xml:space="preserve"> </w:t>
      </w:r>
      <w:r w:rsidR="006810E9">
        <w:rPr>
          <w:b w:val="0"/>
          <w:sz w:val="20"/>
          <w:szCs w:val="20"/>
        </w:rPr>
        <w:t>[2019] 1 CMLR 36</w:t>
      </w:r>
    </w:p>
  </w:footnote>
  <w:footnote w:id="18">
    <w:p w14:paraId="214C0B75" w14:textId="77777777" w:rsidR="00BF4F6F" w:rsidRPr="00CC56EB" w:rsidRDefault="00BF4F6F" w:rsidP="007069C6">
      <w:pPr>
        <w:pStyle w:val="Heading2"/>
        <w:spacing w:before="0" w:beforeAutospacing="0" w:after="0" w:afterAutospacing="0"/>
        <w:contextualSpacing/>
        <w:rPr>
          <w:rFonts w:eastAsia="Times New Roman"/>
          <w:b w:val="0"/>
          <w:color w:val="000000"/>
          <w:sz w:val="20"/>
          <w:szCs w:val="20"/>
        </w:rPr>
      </w:pPr>
      <w:r w:rsidRPr="00CC56EB">
        <w:rPr>
          <w:rStyle w:val="FootnoteReference"/>
          <w:b w:val="0"/>
          <w:sz w:val="20"/>
          <w:szCs w:val="20"/>
        </w:rPr>
        <w:footnoteRef/>
      </w:r>
      <w:r w:rsidR="00B46D6A" w:rsidRPr="00CC56EB">
        <w:rPr>
          <w:b w:val="0"/>
          <w:sz w:val="20"/>
          <w:szCs w:val="20"/>
        </w:rPr>
        <w:t xml:space="preserve"> K. Von Papp, </w:t>
      </w:r>
      <w:r w:rsidR="00FB4B4C" w:rsidRPr="00CC56EB">
        <w:rPr>
          <w:b w:val="0"/>
          <w:sz w:val="20"/>
          <w:szCs w:val="20"/>
        </w:rPr>
        <w:t>‘</w:t>
      </w:r>
      <w:r w:rsidR="00FB4B4C" w:rsidRPr="00CC56EB">
        <w:rPr>
          <w:rFonts w:eastAsia="Times New Roman"/>
          <w:b w:val="0"/>
          <w:color w:val="000000"/>
          <w:sz w:val="20"/>
          <w:szCs w:val="20"/>
        </w:rPr>
        <w:t>A Federal Question Doctrine for EU Fundamental Rights Law: Making Sense of A</w:t>
      </w:r>
      <w:r w:rsidRPr="00CC56EB">
        <w:rPr>
          <w:rFonts w:eastAsia="Times New Roman"/>
          <w:b w:val="0"/>
          <w:color w:val="000000"/>
          <w:sz w:val="20"/>
          <w:szCs w:val="20"/>
        </w:rPr>
        <w:t>rticles 51 and 53 of the Charter of Fundamental Rights</w:t>
      </w:r>
      <w:r w:rsidR="00FB4B4C" w:rsidRPr="00CC56EB">
        <w:rPr>
          <w:rFonts w:eastAsia="Times New Roman"/>
          <w:b w:val="0"/>
          <w:color w:val="000000"/>
          <w:sz w:val="20"/>
          <w:szCs w:val="20"/>
        </w:rPr>
        <w:t>’ (2018) 43 E.L.</w:t>
      </w:r>
      <w:r w:rsidR="007716A7" w:rsidRPr="00CC56EB">
        <w:rPr>
          <w:rFonts w:eastAsia="Times New Roman"/>
          <w:b w:val="0"/>
          <w:color w:val="000000"/>
          <w:sz w:val="20"/>
          <w:szCs w:val="20"/>
        </w:rPr>
        <w:t xml:space="preserve"> </w:t>
      </w:r>
      <w:r w:rsidR="00FB4B4C" w:rsidRPr="00CC56EB">
        <w:rPr>
          <w:rFonts w:eastAsia="Times New Roman"/>
          <w:b w:val="0"/>
          <w:color w:val="000000"/>
          <w:sz w:val="20"/>
          <w:szCs w:val="20"/>
        </w:rPr>
        <w:t>Rev 511</w:t>
      </w:r>
    </w:p>
  </w:footnote>
  <w:footnote w:id="19">
    <w:p w14:paraId="7D603F2C" w14:textId="05BECE2E" w:rsidR="001160B3" w:rsidRPr="00CC56EB" w:rsidRDefault="001160B3" w:rsidP="007069C6">
      <w:pPr>
        <w:pStyle w:val="Heading1"/>
        <w:spacing w:before="0"/>
        <w:contextualSpacing/>
        <w:rPr>
          <w:rFonts w:ascii="Times New Roman" w:eastAsia="Times New Roman" w:hAnsi="Times New Roman" w:cs="Times New Roman"/>
          <w:color w:val="333333"/>
          <w:sz w:val="20"/>
          <w:szCs w:val="20"/>
        </w:rPr>
      </w:pPr>
      <w:r w:rsidRPr="00CC56EB">
        <w:rPr>
          <w:rStyle w:val="FootnoteReference"/>
          <w:rFonts w:ascii="Times New Roman" w:hAnsi="Times New Roman" w:cs="Times New Roman"/>
          <w:color w:val="auto"/>
          <w:sz w:val="20"/>
          <w:szCs w:val="20"/>
        </w:rPr>
        <w:footnoteRef/>
      </w:r>
      <w:r w:rsidR="00252448" w:rsidRPr="00CC56EB">
        <w:rPr>
          <w:rFonts w:ascii="Times New Roman" w:hAnsi="Times New Roman" w:cs="Times New Roman"/>
          <w:i/>
          <w:color w:val="auto"/>
          <w:sz w:val="20"/>
          <w:szCs w:val="20"/>
        </w:rPr>
        <w:t>Egenberger v Evangelisches Werk fur Diakonie und Entwicklung eV</w:t>
      </w:r>
      <w:r w:rsidR="00454271">
        <w:rPr>
          <w:rFonts w:ascii="Times New Roman" w:hAnsi="Times New Roman" w:cs="Times New Roman"/>
          <w:color w:val="auto"/>
          <w:sz w:val="20"/>
          <w:szCs w:val="20"/>
        </w:rPr>
        <w:t xml:space="preserve"> Case C-414/16</w:t>
      </w:r>
      <w:r w:rsidR="007716A7" w:rsidRPr="00CC56EB">
        <w:rPr>
          <w:rFonts w:ascii="Times New Roman" w:hAnsi="Times New Roman" w:cs="Times New Roman"/>
          <w:sz w:val="20"/>
          <w:szCs w:val="20"/>
        </w:rPr>
        <w:t xml:space="preserve">. </w:t>
      </w:r>
      <w:r w:rsidRPr="00CC56EB">
        <w:rPr>
          <w:rFonts w:ascii="Times New Roman" w:hAnsi="Times New Roman" w:cs="Times New Roman"/>
          <w:color w:val="auto"/>
          <w:sz w:val="20"/>
          <w:szCs w:val="20"/>
        </w:rPr>
        <w:t xml:space="preserve">See for discussion </w:t>
      </w:r>
      <w:r w:rsidR="00FB4B4C" w:rsidRPr="00CC56EB">
        <w:rPr>
          <w:rFonts w:ascii="Times New Roman" w:hAnsi="Times New Roman" w:cs="Times New Roman"/>
          <w:color w:val="auto"/>
          <w:sz w:val="20"/>
          <w:szCs w:val="20"/>
        </w:rPr>
        <w:t>A. Ciacchi, ‘</w:t>
      </w:r>
      <w:r w:rsidRPr="00CC56EB">
        <w:rPr>
          <w:rFonts w:ascii="Times New Roman" w:eastAsia="Times New Roman" w:hAnsi="Times New Roman" w:cs="Times New Roman"/>
          <w:color w:val="auto"/>
          <w:sz w:val="20"/>
          <w:szCs w:val="20"/>
        </w:rPr>
        <w:t xml:space="preserve">Egenberger and Comparative Law: A Victory of the Direct Horizontal Effect of </w:t>
      </w:r>
      <w:r w:rsidRPr="00CC56EB">
        <w:rPr>
          <w:rFonts w:ascii="Times New Roman" w:eastAsia="Times New Roman" w:hAnsi="Times New Roman" w:cs="Times New Roman"/>
          <w:color w:val="333333"/>
          <w:sz w:val="20"/>
          <w:szCs w:val="20"/>
        </w:rPr>
        <w:t>Fundamental Rights</w:t>
      </w:r>
      <w:r w:rsidR="00FB4B4C" w:rsidRPr="00CC56EB">
        <w:rPr>
          <w:rFonts w:ascii="Times New Roman" w:eastAsia="Times New Roman" w:hAnsi="Times New Roman" w:cs="Times New Roman"/>
          <w:color w:val="333333"/>
          <w:sz w:val="20"/>
          <w:szCs w:val="20"/>
        </w:rPr>
        <w:t xml:space="preserve">’ </w:t>
      </w:r>
      <w:r w:rsidR="00FB4B4C" w:rsidRPr="00CC56EB">
        <w:rPr>
          <w:rFonts w:ascii="Times New Roman" w:eastAsia="Times New Roman" w:hAnsi="Times New Roman" w:cs="Times New Roman"/>
          <w:color w:val="auto"/>
          <w:sz w:val="20"/>
          <w:szCs w:val="20"/>
        </w:rPr>
        <w:t>(2018) 5 EJCL 207</w:t>
      </w:r>
      <w:r w:rsidRPr="00CC56EB">
        <w:rPr>
          <w:rFonts w:ascii="Times New Roman" w:hAnsi="Times New Roman" w:cs="Times New Roman"/>
          <w:color w:val="auto"/>
          <w:sz w:val="20"/>
          <w:szCs w:val="20"/>
        </w:rPr>
        <w:t xml:space="preserve">; </w:t>
      </w:r>
      <w:r w:rsidR="00FB4B4C" w:rsidRPr="00CC56EB">
        <w:rPr>
          <w:rFonts w:ascii="Times New Roman" w:hAnsi="Times New Roman" w:cs="Times New Roman"/>
          <w:color w:val="auto"/>
          <w:sz w:val="20"/>
          <w:szCs w:val="20"/>
        </w:rPr>
        <w:t>L. Lourenço,</w:t>
      </w:r>
      <w:r w:rsidR="007716A7" w:rsidRPr="00CC56EB">
        <w:rPr>
          <w:rFonts w:ascii="Times New Roman" w:hAnsi="Times New Roman" w:cs="Times New Roman"/>
          <w:color w:val="auto"/>
          <w:sz w:val="20"/>
          <w:szCs w:val="20"/>
        </w:rPr>
        <w:t xml:space="preserve"> </w:t>
      </w:r>
      <w:r w:rsidR="00FB4B4C" w:rsidRPr="00CC56EB">
        <w:rPr>
          <w:rFonts w:ascii="Times New Roman" w:hAnsi="Times New Roman" w:cs="Times New Roman"/>
          <w:color w:val="auto"/>
          <w:sz w:val="20"/>
          <w:szCs w:val="20"/>
        </w:rPr>
        <w:t>‘</w:t>
      </w:r>
      <w:r w:rsidR="00FB4B4C" w:rsidRPr="00CC56EB">
        <w:rPr>
          <w:rFonts w:ascii="Times New Roman" w:eastAsia="Times New Roman" w:hAnsi="Times New Roman" w:cs="Times New Roman"/>
          <w:color w:val="auto"/>
          <w:sz w:val="20"/>
          <w:szCs w:val="20"/>
        </w:rPr>
        <w:t>Religion, Discrimination and the EU General P</w:t>
      </w:r>
      <w:r w:rsidRPr="00CC56EB">
        <w:rPr>
          <w:rFonts w:ascii="Times New Roman" w:eastAsia="Times New Roman" w:hAnsi="Times New Roman" w:cs="Times New Roman"/>
          <w:color w:val="auto"/>
          <w:sz w:val="20"/>
          <w:szCs w:val="20"/>
        </w:rPr>
        <w:t xml:space="preserve">rinciples' </w:t>
      </w:r>
      <w:r w:rsidR="00FB4B4C" w:rsidRPr="00CC56EB">
        <w:rPr>
          <w:rFonts w:ascii="Times New Roman" w:eastAsia="Times New Roman" w:hAnsi="Times New Roman" w:cs="Times New Roman"/>
          <w:color w:val="auto"/>
          <w:sz w:val="20"/>
          <w:szCs w:val="20"/>
        </w:rPr>
        <w:t>G</w:t>
      </w:r>
      <w:r w:rsidRPr="00CC56EB">
        <w:rPr>
          <w:rFonts w:ascii="Times New Roman" w:eastAsia="Times New Roman" w:hAnsi="Times New Roman" w:cs="Times New Roman"/>
          <w:color w:val="auto"/>
          <w:sz w:val="20"/>
          <w:szCs w:val="20"/>
        </w:rPr>
        <w:t xml:space="preserve">ospel: </w:t>
      </w:r>
      <w:r w:rsidRPr="00CC56EB">
        <w:rPr>
          <w:rFonts w:ascii="Times New Roman" w:eastAsia="Times New Roman" w:hAnsi="Times New Roman" w:cs="Times New Roman"/>
          <w:i/>
          <w:color w:val="000000"/>
          <w:sz w:val="20"/>
          <w:szCs w:val="20"/>
        </w:rPr>
        <w:t>Egenberger</w:t>
      </w:r>
      <w:r w:rsidR="00252448" w:rsidRPr="00CC56EB">
        <w:rPr>
          <w:rFonts w:ascii="Times New Roman" w:eastAsia="Times New Roman" w:hAnsi="Times New Roman" w:cs="Times New Roman"/>
          <w:color w:val="000000"/>
          <w:sz w:val="20"/>
          <w:szCs w:val="20"/>
        </w:rPr>
        <w:t xml:space="preserve">’ </w:t>
      </w:r>
      <w:r w:rsidR="00157494">
        <w:rPr>
          <w:rFonts w:ascii="Times New Roman" w:eastAsia="Times New Roman" w:hAnsi="Times New Roman" w:cs="Times New Roman"/>
          <w:color w:val="000000"/>
          <w:sz w:val="20"/>
          <w:szCs w:val="20"/>
        </w:rPr>
        <w:t>[</w:t>
      </w:r>
      <w:r w:rsidR="00252448" w:rsidRPr="00CC56EB">
        <w:rPr>
          <w:rFonts w:ascii="Times New Roman" w:eastAsia="Times New Roman" w:hAnsi="Times New Roman" w:cs="Times New Roman"/>
          <w:color w:val="000000"/>
          <w:sz w:val="20"/>
          <w:szCs w:val="20"/>
        </w:rPr>
        <w:t>2019</w:t>
      </w:r>
      <w:r w:rsidR="00157494">
        <w:rPr>
          <w:rFonts w:ascii="Times New Roman" w:eastAsia="Times New Roman" w:hAnsi="Times New Roman" w:cs="Times New Roman"/>
          <w:color w:val="000000"/>
          <w:sz w:val="20"/>
          <w:szCs w:val="20"/>
        </w:rPr>
        <w:t>]</w:t>
      </w:r>
      <w:r w:rsidR="00252448" w:rsidRPr="00CC56EB">
        <w:rPr>
          <w:rFonts w:ascii="Times New Roman" w:eastAsia="Times New Roman" w:hAnsi="Times New Roman" w:cs="Times New Roman"/>
          <w:color w:val="000000"/>
          <w:sz w:val="20"/>
          <w:szCs w:val="20"/>
        </w:rPr>
        <w:t xml:space="preserve"> 56 CMLR 193</w:t>
      </w:r>
      <w:r w:rsidR="007716A7" w:rsidRPr="00CC56EB">
        <w:rPr>
          <w:rFonts w:ascii="Times New Roman" w:eastAsia="Times New Roman" w:hAnsi="Times New Roman" w:cs="Times New Roman"/>
          <w:color w:val="000000"/>
          <w:sz w:val="20"/>
          <w:szCs w:val="20"/>
        </w:rPr>
        <w:t>.</w:t>
      </w:r>
    </w:p>
  </w:footnote>
  <w:footnote w:id="20">
    <w:p w14:paraId="7064799C" w14:textId="3C9C8CB1" w:rsidR="001160B3" w:rsidRPr="00CC56EB" w:rsidRDefault="001160B3"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6810E9">
        <w:rPr>
          <w:sz w:val="20"/>
          <w:szCs w:val="20"/>
        </w:rPr>
        <w:t xml:space="preserve">Case C-68/17 </w:t>
      </w:r>
      <w:r w:rsidR="00252448" w:rsidRPr="00CC56EB">
        <w:rPr>
          <w:i/>
          <w:sz w:val="20"/>
          <w:szCs w:val="20"/>
        </w:rPr>
        <w:t>IR v JQ</w:t>
      </w:r>
      <w:r w:rsidR="00252448" w:rsidRPr="00CC56EB">
        <w:rPr>
          <w:sz w:val="20"/>
          <w:szCs w:val="20"/>
        </w:rPr>
        <w:t xml:space="preserve"> </w:t>
      </w:r>
      <w:r w:rsidR="00157494">
        <w:rPr>
          <w:sz w:val="20"/>
          <w:szCs w:val="20"/>
        </w:rPr>
        <w:t>[2019] 1 CMLR 16</w:t>
      </w:r>
    </w:p>
  </w:footnote>
  <w:footnote w:id="21">
    <w:p w14:paraId="599A54F9" w14:textId="77777777" w:rsidR="007716A7" w:rsidRPr="00CC56EB" w:rsidRDefault="007716A7" w:rsidP="007069C6">
      <w:pPr>
        <w:pStyle w:val="FootnoteText"/>
        <w:contextualSpacing/>
        <w:rPr>
          <w:sz w:val="20"/>
          <w:szCs w:val="20"/>
        </w:rPr>
      </w:pPr>
      <w:r w:rsidRPr="00CC56EB">
        <w:rPr>
          <w:rStyle w:val="FootnoteReference"/>
          <w:sz w:val="20"/>
          <w:szCs w:val="20"/>
        </w:rPr>
        <w:footnoteRef/>
      </w:r>
      <w:r w:rsidRPr="00CC56EB">
        <w:rPr>
          <w:sz w:val="20"/>
          <w:szCs w:val="20"/>
        </w:rPr>
        <w:t xml:space="preserve"> </w:t>
      </w:r>
      <w:r w:rsidRPr="00CC56EB">
        <w:rPr>
          <w:i/>
          <w:sz w:val="20"/>
          <w:szCs w:val="20"/>
        </w:rPr>
        <w:t xml:space="preserve">Achatzi </w:t>
      </w:r>
      <w:r w:rsidRPr="00CC56EB">
        <w:rPr>
          <w:sz w:val="20"/>
          <w:szCs w:val="20"/>
        </w:rPr>
        <w:t>para 79.</w:t>
      </w:r>
    </w:p>
  </w:footnote>
  <w:footnote w:id="22">
    <w:p w14:paraId="10BAC5AD" w14:textId="77777777" w:rsidR="00E06877" w:rsidRPr="00CC56EB" w:rsidRDefault="00E06877"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252448" w:rsidRPr="00CC56EB">
        <w:rPr>
          <w:sz w:val="20"/>
          <w:szCs w:val="20"/>
        </w:rPr>
        <w:t xml:space="preserve">Opinion of </w:t>
      </w:r>
      <w:r w:rsidR="00454271">
        <w:rPr>
          <w:sz w:val="20"/>
          <w:szCs w:val="20"/>
        </w:rPr>
        <w:t>AG</w:t>
      </w:r>
      <w:r w:rsidR="00252448" w:rsidRPr="00CC56EB">
        <w:rPr>
          <w:sz w:val="20"/>
          <w:szCs w:val="20"/>
        </w:rPr>
        <w:t xml:space="preserve"> Bobek para 100</w:t>
      </w:r>
    </w:p>
  </w:footnote>
  <w:footnote w:id="23">
    <w:p w14:paraId="683E42EE" w14:textId="06DC8862" w:rsidR="000164C9" w:rsidRPr="00CC56EB" w:rsidRDefault="000164C9" w:rsidP="00040FB1">
      <w:pPr>
        <w:widowControl w:val="0"/>
        <w:contextualSpacing/>
        <w:rPr>
          <w:rFonts w:eastAsia="Times New Roman"/>
          <w:sz w:val="20"/>
          <w:szCs w:val="20"/>
        </w:rPr>
      </w:pPr>
      <w:r w:rsidRPr="00CC56EB">
        <w:rPr>
          <w:rStyle w:val="FootnoteReference"/>
          <w:sz w:val="20"/>
          <w:szCs w:val="20"/>
        </w:rPr>
        <w:footnoteRef/>
      </w:r>
      <w:r w:rsidRPr="00CC56EB">
        <w:rPr>
          <w:sz w:val="20"/>
          <w:szCs w:val="20"/>
        </w:rPr>
        <w:t xml:space="preserve"> </w:t>
      </w:r>
      <w:r w:rsidR="009B1F88" w:rsidRPr="00CC56EB">
        <w:rPr>
          <w:sz w:val="20"/>
          <w:szCs w:val="20"/>
        </w:rPr>
        <w:t xml:space="preserve">R. McCrea ‘You’re All Individuals! The CJEU Rules on Special Status for Minority Religious Groups’ EU Law Analysis Blog. </w:t>
      </w:r>
      <w:r w:rsidR="001A613A">
        <w:rPr>
          <w:sz w:val="20"/>
          <w:szCs w:val="20"/>
        </w:rPr>
        <w:t>&lt;</w:t>
      </w:r>
      <w:r w:rsidR="009B1F88" w:rsidRPr="00AB4462">
        <w:rPr>
          <w:rStyle w:val="Hyperlink"/>
          <w:sz w:val="20"/>
          <w:szCs w:val="20"/>
        </w:rPr>
        <w:t>http://eulawanalysis.blogspot.com/2019/01/youre-all-individuals-cjeu-rules-on.html</w:t>
      </w:r>
      <w:r w:rsidR="001A613A">
        <w:rPr>
          <w:rStyle w:val="Hyperlink"/>
          <w:sz w:val="20"/>
          <w:szCs w:val="20"/>
        </w:rPr>
        <w:t>.</w:t>
      </w:r>
      <w:r w:rsidR="001A613A" w:rsidRPr="00AB4462" w:rsidDel="001A613A">
        <w:rPr>
          <w:rStyle w:val="Hyperlink"/>
          <w:sz w:val="20"/>
          <w:szCs w:val="20"/>
        </w:rPr>
        <w:t xml:space="preserve"> </w:t>
      </w:r>
      <w:r w:rsidR="001A613A">
        <w:rPr>
          <w:sz w:val="20"/>
          <w:szCs w:val="20"/>
        </w:rPr>
        <w:t>a</w:t>
      </w:r>
      <w:r w:rsidR="009B1F88">
        <w:rPr>
          <w:sz w:val="20"/>
          <w:szCs w:val="20"/>
        </w:rPr>
        <w:t>ccessed 23</w:t>
      </w:r>
      <w:r w:rsidR="001A613A">
        <w:rPr>
          <w:sz w:val="20"/>
          <w:szCs w:val="20"/>
        </w:rPr>
        <w:t xml:space="preserve"> May 20</w:t>
      </w:r>
      <w:r w:rsidR="009B1F88">
        <w:rPr>
          <w:sz w:val="20"/>
          <w:szCs w:val="20"/>
        </w:rPr>
        <w:t xml:space="preserve">19) </w:t>
      </w:r>
      <w:r w:rsidR="002F7DBC" w:rsidRPr="00CC56EB">
        <w:rPr>
          <w:sz w:val="20"/>
          <w:szCs w:val="20"/>
          <w:lang w:val="en-US"/>
        </w:rPr>
        <w:t xml:space="preserve">This has been a particular problem </w:t>
      </w:r>
      <w:r w:rsidR="00040FB1">
        <w:rPr>
          <w:sz w:val="20"/>
          <w:szCs w:val="20"/>
          <w:lang w:val="en-US"/>
        </w:rPr>
        <w:t>where</w:t>
      </w:r>
      <w:r w:rsidR="00E90D4F" w:rsidRPr="00CC56EB">
        <w:rPr>
          <w:sz w:val="20"/>
          <w:szCs w:val="20"/>
          <w:lang w:val="en-US"/>
        </w:rPr>
        <w:t xml:space="preserve"> legal </w:t>
      </w:r>
      <w:r w:rsidR="007D3B71" w:rsidRPr="00CC56EB">
        <w:rPr>
          <w:sz w:val="20"/>
          <w:szCs w:val="20"/>
          <w:lang w:val="en-US"/>
        </w:rPr>
        <w:t>recognition gives specific rights to religious or other bodies and has been dealt with by</w:t>
      </w:r>
      <w:r w:rsidR="00AB4462">
        <w:rPr>
          <w:sz w:val="20"/>
          <w:szCs w:val="20"/>
          <w:lang w:val="en-US"/>
        </w:rPr>
        <w:t xml:space="preserve"> the ECtHR on several occasions:</w:t>
      </w:r>
      <w:r w:rsidR="007D3B71" w:rsidRPr="00CC56EB">
        <w:rPr>
          <w:sz w:val="20"/>
          <w:szCs w:val="20"/>
          <w:lang w:val="en-US"/>
        </w:rPr>
        <w:t xml:space="preserve"> See </w:t>
      </w:r>
      <w:r w:rsidR="00040FB1">
        <w:rPr>
          <w:i/>
          <w:sz w:val="20"/>
          <w:szCs w:val="20"/>
        </w:rPr>
        <w:t>Ásatrúarfélagið v</w:t>
      </w:r>
      <w:r w:rsidR="005D3A6D" w:rsidRPr="00AB4462">
        <w:rPr>
          <w:i/>
          <w:sz w:val="20"/>
          <w:szCs w:val="20"/>
        </w:rPr>
        <w:t xml:space="preserve"> Iceland</w:t>
      </w:r>
      <w:r w:rsidR="00AB4462" w:rsidRPr="00AB4462">
        <w:rPr>
          <w:sz w:val="20"/>
          <w:szCs w:val="20"/>
        </w:rPr>
        <w:t xml:space="preserve"> (App No. 22897/08);  </w:t>
      </w:r>
      <w:r w:rsidR="00040FB1">
        <w:rPr>
          <w:i/>
          <w:sz w:val="20"/>
          <w:szCs w:val="20"/>
        </w:rPr>
        <w:t>Darby v</w:t>
      </w:r>
      <w:r w:rsidR="005D3A6D" w:rsidRPr="00AB4462">
        <w:rPr>
          <w:i/>
          <w:sz w:val="20"/>
          <w:szCs w:val="20"/>
        </w:rPr>
        <w:t xml:space="preserve"> Sweden</w:t>
      </w:r>
      <w:r w:rsidR="00AB4462" w:rsidRPr="00AB4462">
        <w:rPr>
          <w:sz w:val="20"/>
          <w:szCs w:val="20"/>
        </w:rPr>
        <w:t xml:space="preserve"> (1991) 13 EHRR 774; </w:t>
      </w:r>
      <w:r w:rsidR="00AB4462" w:rsidRPr="00AB4462">
        <w:rPr>
          <w:i/>
          <w:sz w:val="20"/>
          <w:szCs w:val="20"/>
        </w:rPr>
        <w:t>Dogan v Turkey</w:t>
      </w:r>
      <w:r w:rsidR="00AB4462" w:rsidRPr="00AB4462">
        <w:rPr>
          <w:sz w:val="20"/>
          <w:szCs w:val="20"/>
        </w:rPr>
        <w:t xml:space="preserve"> (2017) 64 EHRR</w:t>
      </w:r>
      <w:r w:rsidR="00AB4462">
        <w:rPr>
          <w:sz w:val="20"/>
          <w:szCs w:val="20"/>
        </w:rPr>
        <w:t xml:space="preserve"> 5</w:t>
      </w:r>
      <w:r w:rsidR="00040FB1">
        <w:rPr>
          <w:sz w:val="20"/>
          <w:szCs w:val="20"/>
        </w:rPr>
        <w:t xml:space="preserve">: </w:t>
      </w:r>
      <w:r w:rsidR="009D2BDF" w:rsidRPr="00AB4462">
        <w:rPr>
          <w:i/>
          <w:sz w:val="20"/>
          <w:szCs w:val="20"/>
        </w:rPr>
        <w:t>Religionsgemeinschaft der Zeugen Jehovas and Others v</w:t>
      </w:r>
      <w:r w:rsidR="00040FB1">
        <w:rPr>
          <w:i/>
          <w:sz w:val="20"/>
          <w:szCs w:val="20"/>
        </w:rPr>
        <w:t xml:space="preserve"> </w:t>
      </w:r>
      <w:r w:rsidR="009D2BDF" w:rsidRPr="00AB4462">
        <w:rPr>
          <w:i/>
          <w:sz w:val="20"/>
          <w:szCs w:val="20"/>
        </w:rPr>
        <w:t>Austria</w:t>
      </w:r>
      <w:r w:rsidR="00AB4462" w:rsidRPr="00AB4462">
        <w:rPr>
          <w:i/>
          <w:sz w:val="20"/>
          <w:szCs w:val="20"/>
        </w:rPr>
        <w:t xml:space="preserve"> </w:t>
      </w:r>
      <w:r w:rsidR="00AB4462" w:rsidRPr="00AB4462">
        <w:rPr>
          <w:sz w:val="20"/>
          <w:szCs w:val="20"/>
        </w:rPr>
        <w:t>(2009) 48 EHRR 17</w:t>
      </w:r>
      <w:r w:rsidR="007069C6" w:rsidRPr="00AB4462">
        <w:rPr>
          <w:sz w:val="20"/>
          <w:szCs w:val="20"/>
        </w:rPr>
        <w:t>.</w:t>
      </w:r>
      <w:r w:rsidR="007069C6" w:rsidRPr="00CC56EB">
        <w:rPr>
          <w:sz w:val="20"/>
          <w:szCs w:val="20"/>
        </w:rPr>
        <w:t xml:space="preserve"> Se</w:t>
      </w:r>
      <w:r w:rsidR="0009570E" w:rsidRPr="00CC56EB">
        <w:rPr>
          <w:sz w:val="20"/>
          <w:szCs w:val="20"/>
        </w:rPr>
        <w:t>e</w:t>
      </w:r>
      <w:r w:rsidR="007069C6" w:rsidRPr="00CC56EB">
        <w:rPr>
          <w:sz w:val="20"/>
          <w:szCs w:val="20"/>
        </w:rPr>
        <w:t xml:space="preserve"> </w:t>
      </w:r>
      <w:r w:rsidR="00AB4462">
        <w:rPr>
          <w:sz w:val="20"/>
          <w:szCs w:val="20"/>
        </w:rPr>
        <w:t xml:space="preserve">generally </w:t>
      </w:r>
      <w:r w:rsidR="007069C6" w:rsidRPr="00CC56EB">
        <w:rPr>
          <w:rFonts w:eastAsia="Times New Roman"/>
          <w:color w:val="1C2D3D"/>
          <w:sz w:val="20"/>
          <w:szCs w:val="20"/>
          <w:shd w:val="clear" w:color="auto" w:fill="FFFFFF"/>
        </w:rPr>
        <w:t>F</w:t>
      </w:r>
      <w:r w:rsidR="00AB4462">
        <w:rPr>
          <w:rFonts w:eastAsia="Times New Roman"/>
          <w:color w:val="1C2D3D"/>
          <w:sz w:val="20"/>
          <w:szCs w:val="20"/>
          <w:shd w:val="clear" w:color="auto" w:fill="FFFFFF"/>
        </w:rPr>
        <w:t>.</w:t>
      </w:r>
      <w:r w:rsidR="007069C6" w:rsidRPr="00CC56EB">
        <w:rPr>
          <w:rFonts w:eastAsia="Times New Roman"/>
          <w:color w:val="1C2D3D"/>
          <w:sz w:val="20"/>
          <w:szCs w:val="20"/>
          <w:shd w:val="clear" w:color="auto" w:fill="FFFFFF"/>
        </w:rPr>
        <w:t xml:space="preserve"> </w:t>
      </w:r>
      <w:r w:rsidR="007069C6" w:rsidRPr="00AB4462">
        <w:rPr>
          <w:rFonts w:eastAsia="Times New Roman"/>
          <w:sz w:val="20"/>
          <w:szCs w:val="20"/>
          <w:shd w:val="clear" w:color="auto" w:fill="FFFFFF"/>
        </w:rPr>
        <w:t>Tulkens, 'The European Convention on Human Rights and Church-State Relations Pluralism vs. Pluralism' (2009) 30(6) Cardozo L Rev 2575</w:t>
      </w:r>
      <w:r w:rsidR="00D81667">
        <w:rPr>
          <w:rFonts w:eastAsia="Times New Roman"/>
          <w:sz w:val="20"/>
          <w:szCs w:val="20"/>
          <w:shd w:val="clear" w:color="auto" w:fill="FFFFFF"/>
        </w:rPr>
        <w:t>.</w:t>
      </w:r>
    </w:p>
  </w:footnote>
  <w:footnote w:id="24">
    <w:p w14:paraId="379A906F" w14:textId="77777777" w:rsidR="00E06877" w:rsidRPr="00CC56EB" w:rsidRDefault="00E06877"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Pr="00CC56EB">
        <w:rPr>
          <w:sz w:val="20"/>
          <w:szCs w:val="20"/>
          <w:lang w:val="en-US"/>
        </w:rPr>
        <w:t>The right dated from the 1950s.</w:t>
      </w:r>
    </w:p>
  </w:footnote>
  <w:footnote w:id="25">
    <w:p w14:paraId="3FA3C259" w14:textId="77777777" w:rsidR="00510223" w:rsidRPr="00CC56EB" w:rsidRDefault="00510223"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9B538D">
        <w:rPr>
          <w:sz w:val="20"/>
          <w:szCs w:val="20"/>
        </w:rPr>
        <w:t xml:space="preserve">See R. </w:t>
      </w:r>
      <w:r w:rsidR="00BC7573" w:rsidRPr="00CC56EB">
        <w:rPr>
          <w:sz w:val="20"/>
          <w:szCs w:val="20"/>
          <w:lang w:val="en-US"/>
        </w:rPr>
        <w:t>Alexy</w:t>
      </w:r>
      <w:r w:rsidR="009B538D">
        <w:rPr>
          <w:sz w:val="20"/>
          <w:szCs w:val="20"/>
          <w:lang w:val="en-US"/>
        </w:rPr>
        <w:t xml:space="preserve">, </w:t>
      </w:r>
      <w:r w:rsidR="009B538D" w:rsidRPr="009B538D">
        <w:rPr>
          <w:i/>
          <w:sz w:val="20"/>
          <w:szCs w:val="20"/>
          <w:lang w:val="en"/>
        </w:rPr>
        <w:t>A Theory of Constitutional Rights</w:t>
      </w:r>
      <w:r w:rsidR="009B538D" w:rsidRPr="009B538D">
        <w:rPr>
          <w:sz w:val="20"/>
          <w:szCs w:val="20"/>
          <w:lang w:val="en"/>
        </w:rPr>
        <w:t xml:space="preserve"> (Oxford University Press, 2002)</w:t>
      </w:r>
      <w:r w:rsidR="009B538D">
        <w:rPr>
          <w:sz w:val="20"/>
          <w:szCs w:val="20"/>
          <w:lang w:val="en-US"/>
        </w:rPr>
        <w:t xml:space="preserve">; </w:t>
      </w:r>
      <w:r w:rsidR="006B6341" w:rsidRPr="00CC56EB">
        <w:rPr>
          <w:sz w:val="20"/>
          <w:szCs w:val="20"/>
          <w:lang w:val="en-US"/>
        </w:rPr>
        <w:t>M. Pearson</w:t>
      </w:r>
      <w:r w:rsidR="009B538D">
        <w:rPr>
          <w:sz w:val="20"/>
          <w:szCs w:val="20"/>
          <w:lang w:val="en-US"/>
        </w:rPr>
        <w:t>,</w:t>
      </w:r>
      <w:r w:rsidR="00BC7573">
        <w:rPr>
          <w:sz w:val="20"/>
          <w:szCs w:val="20"/>
          <w:lang w:val="en-US"/>
        </w:rPr>
        <w:t xml:space="preserve"> </w:t>
      </w:r>
      <w:r w:rsidR="00BC7573">
        <w:rPr>
          <w:i/>
          <w:sz w:val="20"/>
          <w:szCs w:val="20"/>
          <w:lang w:val="en-US"/>
        </w:rPr>
        <w:t xml:space="preserve">Proportionality, Equality Laws, and Religion: Conflicts in England, Canada and the USA </w:t>
      </w:r>
      <w:r w:rsidR="00BC7573">
        <w:rPr>
          <w:sz w:val="20"/>
          <w:szCs w:val="20"/>
          <w:lang w:val="en-US"/>
        </w:rPr>
        <w:t>(Routledge, 2018) Ch 5</w:t>
      </w:r>
      <w:r w:rsidR="00454271">
        <w:rPr>
          <w:sz w:val="20"/>
          <w:szCs w:val="20"/>
          <w:lang w:val="en-US"/>
        </w:rPr>
        <w:t>.</w:t>
      </w:r>
      <w:r w:rsidR="00BC7573">
        <w:rPr>
          <w:sz w:val="20"/>
          <w:szCs w:val="20"/>
          <w:lang w:val="en-US"/>
        </w:rPr>
        <w:t xml:space="preserve"> </w:t>
      </w:r>
    </w:p>
  </w:footnote>
  <w:footnote w:id="26">
    <w:p w14:paraId="0863A9E0" w14:textId="2F327C3A" w:rsidR="009503A2" w:rsidRPr="00CC56EB" w:rsidRDefault="009503A2" w:rsidP="007069C6">
      <w:pPr>
        <w:pStyle w:val="Heading2"/>
        <w:shd w:val="clear" w:color="auto" w:fill="FFFFFF"/>
        <w:spacing w:before="0" w:beforeAutospacing="0" w:after="0" w:afterAutospacing="0"/>
        <w:contextualSpacing/>
        <w:rPr>
          <w:b w:val="0"/>
          <w:sz w:val="20"/>
          <w:szCs w:val="20"/>
        </w:rPr>
      </w:pPr>
      <w:r w:rsidRPr="00CC56EB">
        <w:rPr>
          <w:rStyle w:val="FootnoteReference"/>
          <w:b w:val="0"/>
          <w:sz w:val="20"/>
          <w:szCs w:val="20"/>
        </w:rPr>
        <w:footnoteRef/>
      </w:r>
      <w:r w:rsidRPr="00CC56EB">
        <w:rPr>
          <w:b w:val="0"/>
          <w:sz w:val="20"/>
          <w:szCs w:val="20"/>
        </w:rPr>
        <w:t xml:space="preserve"> </w:t>
      </w:r>
      <w:r w:rsidR="000F08C5">
        <w:rPr>
          <w:b w:val="0"/>
          <w:sz w:val="20"/>
          <w:szCs w:val="20"/>
        </w:rPr>
        <w:t>Case C-157/15</w:t>
      </w:r>
      <w:r w:rsidR="000F08C5" w:rsidRPr="00CC56EB">
        <w:rPr>
          <w:b w:val="0"/>
          <w:sz w:val="20"/>
          <w:szCs w:val="20"/>
        </w:rPr>
        <w:t xml:space="preserve"> </w:t>
      </w:r>
      <w:r w:rsidR="00252448" w:rsidRPr="00CC56EB">
        <w:rPr>
          <w:b w:val="0"/>
          <w:i/>
          <w:sz w:val="20"/>
          <w:szCs w:val="20"/>
        </w:rPr>
        <w:t>Achbita v G4S Secure Solutions NV</w:t>
      </w:r>
      <w:r w:rsidR="00BC7573">
        <w:rPr>
          <w:b w:val="0"/>
          <w:sz w:val="20"/>
          <w:szCs w:val="20"/>
        </w:rPr>
        <w:t xml:space="preserve"> </w:t>
      </w:r>
      <w:r w:rsidR="002D7812">
        <w:rPr>
          <w:b w:val="0"/>
          <w:sz w:val="20"/>
          <w:szCs w:val="20"/>
        </w:rPr>
        <w:t>[2017] 3 CMLR 21</w:t>
      </w:r>
    </w:p>
  </w:footnote>
  <w:footnote w:id="27">
    <w:p w14:paraId="7278AC2C" w14:textId="3ED477F7" w:rsidR="009503A2" w:rsidRPr="00CC56EB" w:rsidRDefault="009503A2"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0F08C5">
        <w:rPr>
          <w:sz w:val="20"/>
          <w:szCs w:val="20"/>
        </w:rPr>
        <w:t>Case C-188/15</w:t>
      </w:r>
      <w:r w:rsidR="002D7812">
        <w:rPr>
          <w:sz w:val="20"/>
          <w:szCs w:val="20"/>
        </w:rPr>
        <w:t xml:space="preserve"> </w:t>
      </w:r>
      <w:r w:rsidR="00252448" w:rsidRPr="00CC56EB">
        <w:rPr>
          <w:i/>
          <w:sz w:val="20"/>
          <w:szCs w:val="20"/>
        </w:rPr>
        <w:t>Bougnaoui v Micropole SA</w:t>
      </w:r>
      <w:r w:rsidR="00252448" w:rsidRPr="00CC56EB">
        <w:rPr>
          <w:sz w:val="20"/>
          <w:szCs w:val="20"/>
        </w:rPr>
        <w:t xml:space="preserve"> </w:t>
      </w:r>
      <w:r w:rsidR="002D7812">
        <w:rPr>
          <w:sz w:val="20"/>
          <w:szCs w:val="20"/>
        </w:rPr>
        <w:t>[2017] 3 CMLR 22</w:t>
      </w:r>
    </w:p>
  </w:footnote>
  <w:footnote w:id="28">
    <w:p w14:paraId="1A71FDDC" w14:textId="77777777" w:rsidR="00462B8E" w:rsidRPr="00CC56EB" w:rsidRDefault="00462B8E" w:rsidP="007069C6">
      <w:pPr>
        <w:pStyle w:val="FootnoteText"/>
        <w:contextualSpacing/>
        <w:rPr>
          <w:b/>
          <w:sz w:val="20"/>
          <w:szCs w:val="20"/>
          <w:lang w:val="en-US"/>
        </w:rPr>
      </w:pPr>
      <w:r w:rsidRPr="00CC56EB">
        <w:rPr>
          <w:rStyle w:val="FootnoteReference"/>
          <w:sz w:val="20"/>
          <w:szCs w:val="20"/>
        </w:rPr>
        <w:footnoteRef/>
      </w:r>
      <w:r w:rsidRPr="00CC56EB">
        <w:rPr>
          <w:sz w:val="20"/>
          <w:szCs w:val="20"/>
        </w:rPr>
        <w:t xml:space="preserve"> </w:t>
      </w:r>
      <w:r w:rsidR="00252448" w:rsidRPr="00CC56EB">
        <w:rPr>
          <w:sz w:val="20"/>
          <w:szCs w:val="20"/>
          <w:lang w:val="en-US"/>
        </w:rPr>
        <w:t xml:space="preserve">See </w:t>
      </w:r>
      <w:r w:rsidR="00D24A80" w:rsidRPr="00CC56EB">
        <w:rPr>
          <w:sz w:val="20"/>
          <w:szCs w:val="20"/>
          <w:lang w:val="en-US"/>
        </w:rPr>
        <w:t xml:space="preserve">A. Hambler, ‘Neutrality and Workplace Restrictions on Headscarves and Religious Dress: Lessons from Achbita and Bougnaoui’ (2018) 47 ILJ 149; </w:t>
      </w:r>
      <w:r w:rsidR="000B7861" w:rsidRPr="00CC56EB">
        <w:rPr>
          <w:sz w:val="20"/>
          <w:szCs w:val="20"/>
          <w:lang w:val="en-US"/>
        </w:rPr>
        <w:t xml:space="preserve">E. Howard, ‘Islamic Headscarves and the CJEU: </w:t>
      </w:r>
      <w:r w:rsidR="000B7861" w:rsidRPr="00CC56EB">
        <w:rPr>
          <w:i/>
          <w:sz w:val="20"/>
          <w:szCs w:val="20"/>
          <w:lang w:val="en-US"/>
        </w:rPr>
        <w:t xml:space="preserve">Achbita </w:t>
      </w:r>
      <w:r w:rsidR="000B7861" w:rsidRPr="00CC56EB">
        <w:rPr>
          <w:sz w:val="20"/>
          <w:szCs w:val="20"/>
          <w:lang w:val="en-US"/>
        </w:rPr>
        <w:t xml:space="preserve">and </w:t>
      </w:r>
      <w:r w:rsidR="000B7861" w:rsidRPr="00CC56EB">
        <w:rPr>
          <w:i/>
          <w:sz w:val="20"/>
          <w:szCs w:val="20"/>
          <w:lang w:val="en-US"/>
        </w:rPr>
        <w:t xml:space="preserve">Bougnaoui’ </w:t>
      </w:r>
      <w:r w:rsidR="000B7861" w:rsidRPr="00CC56EB">
        <w:rPr>
          <w:sz w:val="20"/>
          <w:szCs w:val="20"/>
          <w:lang w:val="en-US"/>
        </w:rPr>
        <w:t xml:space="preserve">(2017) </w:t>
      </w:r>
      <w:r w:rsidR="00002285" w:rsidRPr="00CC56EB">
        <w:rPr>
          <w:sz w:val="20"/>
          <w:szCs w:val="20"/>
          <w:lang w:val="en-US"/>
        </w:rPr>
        <w:t xml:space="preserve">24 </w:t>
      </w:r>
      <w:r w:rsidR="008312E6">
        <w:rPr>
          <w:sz w:val="20"/>
          <w:szCs w:val="20"/>
          <w:lang w:val="en-US"/>
        </w:rPr>
        <w:t xml:space="preserve">Maastricht J Eur &amp; Comp L 348; </w:t>
      </w:r>
      <w:r w:rsidR="00252448" w:rsidRPr="00CC56EB">
        <w:rPr>
          <w:sz w:val="20"/>
          <w:szCs w:val="20"/>
          <w:lang w:val="en-US"/>
        </w:rPr>
        <w:t xml:space="preserve">L. Vickers, </w:t>
      </w:r>
      <w:r w:rsidR="00252448" w:rsidRPr="00CC56EB">
        <w:rPr>
          <w:b/>
          <w:sz w:val="20"/>
          <w:szCs w:val="20"/>
          <w:lang w:val="en-US"/>
        </w:rPr>
        <w:t>‘</w:t>
      </w:r>
      <w:r w:rsidR="007716A7" w:rsidRPr="00CC56EB">
        <w:rPr>
          <w:rStyle w:val="Strong"/>
          <w:b w:val="0"/>
          <w:sz w:val="20"/>
          <w:szCs w:val="20"/>
        </w:rPr>
        <w:t>Achbita and Bougnaoui: One Step Forward and Two Steps Back for R</w:t>
      </w:r>
      <w:r w:rsidR="00252448" w:rsidRPr="00CC56EB">
        <w:rPr>
          <w:rStyle w:val="Strong"/>
          <w:b w:val="0"/>
          <w:sz w:val="20"/>
          <w:szCs w:val="20"/>
        </w:rPr>
        <w:t>elig</w:t>
      </w:r>
      <w:r w:rsidR="007716A7" w:rsidRPr="00CC56EB">
        <w:rPr>
          <w:rStyle w:val="Strong"/>
          <w:b w:val="0"/>
          <w:sz w:val="20"/>
          <w:szCs w:val="20"/>
        </w:rPr>
        <w:t>ious Diversity in the W</w:t>
      </w:r>
      <w:r w:rsidR="00252448" w:rsidRPr="00CC56EB">
        <w:rPr>
          <w:rStyle w:val="Strong"/>
          <w:b w:val="0"/>
          <w:sz w:val="20"/>
          <w:szCs w:val="20"/>
        </w:rPr>
        <w:t xml:space="preserve">orkplace’ (2017) 8 ELLJ 232; J. Weiler, ‘Je Suis Achbita!’ (2017) 28 EJIL 989 </w:t>
      </w:r>
    </w:p>
  </w:footnote>
  <w:footnote w:id="29">
    <w:p w14:paraId="2224ADBA" w14:textId="77777777" w:rsidR="00E06877" w:rsidRPr="00CC56EB" w:rsidRDefault="00E06877"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hyperlink r:id="rId1" w:history="1">
        <w:r w:rsidR="00454271">
          <w:rPr>
            <w:sz w:val="20"/>
            <w:szCs w:val="20"/>
          </w:rPr>
          <w:t>(1994) 17 EHRR</w:t>
        </w:r>
        <w:r w:rsidR="00252448" w:rsidRPr="00CC56EB">
          <w:rPr>
            <w:sz w:val="20"/>
            <w:szCs w:val="20"/>
          </w:rPr>
          <w:t xml:space="preserve"> 397</w:t>
        </w:r>
      </w:hyperlink>
    </w:p>
  </w:footnote>
  <w:footnote w:id="30">
    <w:p w14:paraId="74297303" w14:textId="77777777" w:rsidR="00E06877" w:rsidRPr="00CC56EB" w:rsidRDefault="00E06877"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454271">
        <w:rPr>
          <w:sz w:val="20"/>
          <w:szCs w:val="20"/>
        </w:rPr>
        <w:t>(2013) 57 EHRR</w:t>
      </w:r>
      <w:r w:rsidR="00252448" w:rsidRPr="00CC56EB">
        <w:rPr>
          <w:sz w:val="20"/>
          <w:szCs w:val="20"/>
        </w:rPr>
        <w:t xml:space="preserve"> 8</w:t>
      </w:r>
    </w:p>
  </w:footnote>
  <w:footnote w:id="31">
    <w:p w14:paraId="752E2E00" w14:textId="77777777" w:rsidR="00454271" w:rsidRPr="00CC56EB" w:rsidRDefault="00454271" w:rsidP="00454271">
      <w:pPr>
        <w:pStyle w:val="FootnoteText"/>
        <w:contextualSpacing/>
        <w:rPr>
          <w:i/>
          <w:sz w:val="20"/>
          <w:szCs w:val="20"/>
        </w:rPr>
      </w:pPr>
      <w:r w:rsidRPr="00CC56EB">
        <w:rPr>
          <w:rStyle w:val="FootnoteReference"/>
          <w:sz w:val="20"/>
          <w:szCs w:val="20"/>
        </w:rPr>
        <w:footnoteRef/>
      </w:r>
      <w:r w:rsidRPr="00CC56EB">
        <w:rPr>
          <w:sz w:val="20"/>
          <w:szCs w:val="20"/>
        </w:rPr>
        <w:t xml:space="preserve"> See S. Morano-Foadi and L. Vickers, </w:t>
      </w:r>
      <w:r w:rsidRPr="00CC56EB">
        <w:rPr>
          <w:i/>
          <w:sz w:val="20"/>
          <w:szCs w:val="20"/>
        </w:rPr>
        <w:t xml:space="preserve">Fundamental Rights in the EU: A Matter for Two Courts </w:t>
      </w:r>
      <w:r w:rsidRPr="00CC56EB">
        <w:rPr>
          <w:sz w:val="20"/>
          <w:szCs w:val="20"/>
        </w:rPr>
        <w:t>(Hart Publishing: Oxford, 2015).</w:t>
      </w:r>
      <w:r w:rsidRPr="00CC56EB">
        <w:rPr>
          <w:i/>
          <w:sz w:val="20"/>
          <w:szCs w:val="20"/>
        </w:rPr>
        <w:t xml:space="preserve"> </w:t>
      </w:r>
    </w:p>
  </w:footnote>
  <w:footnote w:id="32">
    <w:p w14:paraId="07A7B635" w14:textId="77777777" w:rsidR="004D2942" w:rsidRPr="00CC56EB" w:rsidRDefault="004D2942" w:rsidP="004D2942">
      <w:pPr>
        <w:pStyle w:val="FootnoteText"/>
        <w:rPr>
          <w:sz w:val="20"/>
          <w:szCs w:val="20"/>
        </w:rPr>
      </w:pPr>
      <w:r w:rsidRPr="00CC56EB">
        <w:rPr>
          <w:rStyle w:val="FootnoteReference"/>
          <w:sz w:val="20"/>
          <w:szCs w:val="20"/>
        </w:rPr>
        <w:footnoteRef/>
      </w:r>
      <w:r w:rsidRPr="00CC56EB">
        <w:rPr>
          <w:sz w:val="20"/>
          <w:szCs w:val="20"/>
        </w:rPr>
        <w:t xml:space="preserve"> There is some discrepancy between the </w:t>
      </w:r>
      <w:r w:rsidR="001D21F5" w:rsidRPr="00CC56EB">
        <w:rPr>
          <w:sz w:val="20"/>
          <w:szCs w:val="20"/>
        </w:rPr>
        <w:t xml:space="preserve">referring court’s view that </w:t>
      </w:r>
      <w:r w:rsidR="00911C84" w:rsidRPr="00CC56EB">
        <w:rPr>
          <w:sz w:val="20"/>
          <w:szCs w:val="20"/>
        </w:rPr>
        <w:t xml:space="preserve">this is ‘dependent on the goodwill of their employer’ </w:t>
      </w:r>
      <w:r w:rsidR="00454271">
        <w:rPr>
          <w:sz w:val="20"/>
          <w:szCs w:val="20"/>
        </w:rPr>
        <w:t>(</w:t>
      </w:r>
      <w:r w:rsidR="00911C84" w:rsidRPr="00CC56EB">
        <w:rPr>
          <w:i/>
          <w:sz w:val="20"/>
          <w:szCs w:val="20"/>
        </w:rPr>
        <w:t xml:space="preserve">Achatzi </w:t>
      </w:r>
      <w:r w:rsidR="00911C84" w:rsidRPr="00454271">
        <w:rPr>
          <w:sz w:val="20"/>
          <w:szCs w:val="20"/>
        </w:rPr>
        <w:t>para 20</w:t>
      </w:r>
      <w:r w:rsidR="00454271" w:rsidRPr="00454271">
        <w:rPr>
          <w:sz w:val="20"/>
          <w:szCs w:val="20"/>
        </w:rPr>
        <w:t>)</w:t>
      </w:r>
      <w:r w:rsidR="00911C84" w:rsidRPr="00CC56EB">
        <w:rPr>
          <w:i/>
          <w:sz w:val="20"/>
          <w:szCs w:val="20"/>
        </w:rPr>
        <w:t xml:space="preserve"> </w:t>
      </w:r>
      <w:r w:rsidR="00911C84" w:rsidRPr="00CC56EB">
        <w:rPr>
          <w:sz w:val="20"/>
          <w:szCs w:val="20"/>
        </w:rPr>
        <w:t>and the CJEU’s statement that ‘as the Austrian Government confirmed during the hearing before the Court, provision is made in Austrian law, for employees… to celebrate a religious festival... by the imposition of a duty of care on employers vis-a</w:t>
      </w:r>
      <w:r w:rsidR="00454271">
        <w:rPr>
          <w:sz w:val="20"/>
          <w:szCs w:val="20"/>
        </w:rPr>
        <w:t>-</w:t>
      </w:r>
      <w:r w:rsidR="00911C84" w:rsidRPr="00CC56EB">
        <w:rPr>
          <w:sz w:val="20"/>
          <w:szCs w:val="20"/>
        </w:rPr>
        <w:t xml:space="preserve">vis their employees’ </w:t>
      </w:r>
      <w:r w:rsidR="00454271">
        <w:rPr>
          <w:sz w:val="20"/>
          <w:szCs w:val="20"/>
        </w:rPr>
        <w:t>(</w:t>
      </w:r>
      <w:r w:rsidR="00911C84" w:rsidRPr="00CC56EB">
        <w:rPr>
          <w:i/>
          <w:sz w:val="20"/>
          <w:szCs w:val="20"/>
        </w:rPr>
        <w:t>Achatzi</w:t>
      </w:r>
      <w:r w:rsidR="00454271">
        <w:rPr>
          <w:i/>
          <w:sz w:val="20"/>
          <w:szCs w:val="20"/>
        </w:rPr>
        <w:t xml:space="preserve"> </w:t>
      </w:r>
      <w:r w:rsidR="00454271" w:rsidRPr="00454271">
        <w:rPr>
          <w:sz w:val="20"/>
          <w:szCs w:val="20"/>
        </w:rPr>
        <w:t>para 60)</w:t>
      </w:r>
      <w:r w:rsidR="00454271">
        <w:rPr>
          <w:sz w:val="20"/>
          <w:szCs w:val="20"/>
        </w:rPr>
        <w:t>.</w:t>
      </w:r>
      <w:r w:rsidR="00911C84" w:rsidRPr="00CC56EB">
        <w:rPr>
          <w:i/>
          <w:sz w:val="20"/>
          <w:szCs w:val="20"/>
        </w:rPr>
        <w:t xml:space="preserve"> </w:t>
      </w:r>
    </w:p>
  </w:footnote>
  <w:footnote w:id="33">
    <w:p w14:paraId="4805BAA3" w14:textId="77777777" w:rsidR="0095733D" w:rsidRPr="00CC56EB" w:rsidRDefault="0095733D"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9B538D">
        <w:rPr>
          <w:sz w:val="20"/>
          <w:szCs w:val="20"/>
        </w:rPr>
        <w:t xml:space="preserve">McCrea n23. </w:t>
      </w:r>
      <w:r w:rsidR="003C33A6" w:rsidRPr="00CC56EB">
        <w:rPr>
          <w:sz w:val="20"/>
          <w:szCs w:val="20"/>
        </w:rPr>
        <w:t>See also R. Gavison and N. Perez, ‘Days of Rest in Multicultural Societies: Private, Public, Separate?’ in P. Cane, C. Evans and Z. Robinson eds,</w:t>
      </w:r>
      <w:r w:rsidR="003C33A6" w:rsidRPr="00CC56EB">
        <w:rPr>
          <w:i/>
          <w:sz w:val="20"/>
          <w:szCs w:val="20"/>
        </w:rPr>
        <w:t xml:space="preserve"> Law and Religion in Theoretical and Historical Context </w:t>
      </w:r>
      <w:r w:rsidR="003C33A6" w:rsidRPr="00CC56EB">
        <w:rPr>
          <w:sz w:val="20"/>
          <w:szCs w:val="20"/>
        </w:rPr>
        <w:t>(Cambridge University Press</w:t>
      </w:r>
      <w:r w:rsidR="009B538D">
        <w:rPr>
          <w:sz w:val="20"/>
          <w:szCs w:val="20"/>
        </w:rPr>
        <w:t>,</w:t>
      </w:r>
      <w:r w:rsidR="003C33A6" w:rsidRPr="00CC56EB">
        <w:rPr>
          <w:sz w:val="20"/>
          <w:szCs w:val="20"/>
        </w:rPr>
        <w:t xml:space="preserve"> 2008)</w:t>
      </w:r>
      <w:r w:rsidR="007716A7" w:rsidRPr="00CC56EB">
        <w:rPr>
          <w:sz w:val="20"/>
          <w:szCs w:val="20"/>
        </w:rPr>
        <w:t>.</w:t>
      </w:r>
      <w:r w:rsidR="003C33A6" w:rsidRPr="00CC56EB">
        <w:rPr>
          <w:sz w:val="20"/>
          <w:szCs w:val="20"/>
        </w:rPr>
        <w:t xml:space="preserve"> </w:t>
      </w:r>
    </w:p>
  </w:footnote>
  <w:footnote w:id="34">
    <w:p w14:paraId="1ED5DF93" w14:textId="2227D269" w:rsidR="000A6209" w:rsidRPr="00CC56EB" w:rsidRDefault="000A6209" w:rsidP="000A6209">
      <w:pPr>
        <w:contextualSpacing/>
        <w:rPr>
          <w:rFonts w:eastAsia="Times New Roman"/>
          <w:sz w:val="20"/>
          <w:szCs w:val="20"/>
        </w:rPr>
      </w:pPr>
      <w:r w:rsidRPr="00CC56EB">
        <w:rPr>
          <w:rStyle w:val="FootnoteReference"/>
          <w:sz w:val="20"/>
          <w:szCs w:val="20"/>
        </w:rPr>
        <w:footnoteRef/>
      </w:r>
      <w:r w:rsidRPr="00CC56EB">
        <w:rPr>
          <w:sz w:val="20"/>
          <w:szCs w:val="20"/>
        </w:rPr>
        <w:t xml:space="preserve"> Di</w:t>
      </w:r>
      <w:r w:rsidRPr="00CC56EB">
        <w:rPr>
          <w:rFonts w:eastAsia="Times New Roman"/>
          <w:color w:val="000000"/>
          <w:sz w:val="20"/>
          <w:szCs w:val="20"/>
          <w:shd w:val="clear" w:color="auto" w:fill="FFFFFF"/>
        </w:rPr>
        <w:t xml:space="preserve">ana Niksova, “CJEU: Austrian Good Friday legislation constitutes direct discrimination on the grounds of religion” (OxHRH Blog, 27 March 2019) </w:t>
      </w:r>
      <w:r w:rsidR="001A613A">
        <w:rPr>
          <w:rFonts w:eastAsia="Times New Roman"/>
          <w:color w:val="000000"/>
          <w:sz w:val="20"/>
          <w:szCs w:val="20"/>
          <w:shd w:val="clear" w:color="auto" w:fill="FFFFFF"/>
        </w:rPr>
        <w:t>&lt;</w:t>
      </w:r>
      <w:hyperlink r:id="rId2" w:history="1">
        <w:r w:rsidR="009B538D" w:rsidRPr="00A4680D">
          <w:rPr>
            <w:rStyle w:val="Hyperlink"/>
            <w:rFonts w:eastAsia="Times New Roman"/>
            <w:sz w:val="20"/>
            <w:szCs w:val="20"/>
            <w:shd w:val="clear" w:color="auto" w:fill="FFFFFF"/>
          </w:rPr>
          <w:t>http://ohrh.law.ox.ac.uk/CJEU:austrian-good-friday-legislation-constitutes-direct-discrimination-on-the-grounds-of-religion</w:t>
        </w:r>
      </w:hyperlink>
      <w:r w:rsidR="001A613A">
        <w:rPr>
          <w:rStyle w:val="Hyperlink"/>
          <w:rFonts w:eastAsia="Times New Roman"/>
          <w:sz w:val="20"/>
          <w:szCs w:val="20"/>
          <w:shd w:val="clear" w:color="auto" w:fill="FFFFFF"/>
        </w:rPr>
        <w:t>&gt;</w:t>
      </w:r>
      <w:r w:rsidR="009B538D">
        <w:rPr>
          <w:rFonts w:eastAsia="Times New Roman"/>
          <w:color w:val="000000"/>
          <w:sz w:val="20"/>
          <w:szCs w:val="20"/>
          <w:shd w:val="clear" w:color="auto" w:fill="FFFFFF"/>
        </w:rPr>
        <w:t xml:space="preserve">  accessed 23</w:t>
      </w:r>
      <w:r w:rsidR="001A613A">
        <w:rPr>
          <w:rFonts w:eastAsia="Times New Roman"/>
          <w:color w:val="000000"/>
          <w:sz w:val="20"/>
          <w:szCs w:val="20"/>
          <w:shd w:val="clear" w:color="auto" w:fill="FFFFFF"/>
        </w:rPr>
        <w:t xml:space="preserve"> May 20</w:t>
      </w:r>
      <w:r w:rsidR="009B538D">
        <w:rPr>
          <w:rFonts w:eastAsia="Times New Roman"/>
          <w:color w:val="000000"/>
          <w:sz w:val="20"/>
          <w:szCs w:val="20"/>
          <w:shd w:val="clear" w:color="auto" w:fill="FFFFFF"/>
        </w:rPr>
        <w:t>19</w:t>
      </w:r>
      <w:r w:rsidR="001A613A">
        <w:rPr>
          <w:rFonts w:eastAsia="Times New Roman"/>
          <w:color w:val="000000"/>
          <w:sz w:val="20"/>
          <w:szCs w:val="20"/>
          <w:shd w:val="clear" w:color="auto" w:fill="FFFFFF"/>
        </w:rPr>
        <w:t>.</w:t>
      </w:r>
    </w:p>
  </w:footnote>
  <w:footnote w:id="35">
    <w:p w14:paraId="0DEED483" w14:textId="492B5C26" w:rsidR="000A6209" w:rsidRPr="00CC56EB" w:rsidRDefault="000A6209" w:rsidP="000A6209">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9B538D">
        <w:rPr>
          <w:sz w:val="20"/>
          <w:szCs w:val="20"/>
        </w:rPr>
        <w:t xml:space="preserve">‘Austrian </w:t>
      </w:r>
      <w:r w:rsidR="005567FC">
        <w:rPr>
          <w:sz w:val="20"/>
          <w:szCs w:val="20"/>
        </w:rPr>
        <w:t xml:space="preserve">Fume Over Proposed Half Holiday’ </w:t>
      </w:r>
      <w:hyperlink r:id="rId3" w:history="1">
        <w:r w:rsidRPr="00CC56EB">
          <w:rPr>
            <w:rStyle w:val="Hyperlink"/>
            <w:sz w:val="20"/>
            <w:szCs w:val="20"/>
          </w:rPr>
          <w:t>https://www.thelocal.at/20190223/austrians-fume-over-proposed-half-day-holiday</w:t>
        </w:r>
      </w:hyperlink>
      <w:r w:rsidR="005567FC">
        <w:rPr>
          <w:sz w:val="20"/>
          <w:szCs w:val="20"/>
        </w:rPr>
        <w:t xml:space="preserve"> </w:t>
      </w:r>
      <w:r w:rsidR="00454271">
        <w:rPr>
          <w:sz w:val="20"/>
          <w:szCs w:val="20"/>
        </w:rPr>
        <w:t xml:space="preserve">(The Local, 23 Feb 2019); </w:t>
      </w:r>
      <w:r w:rsidR="005567FC">
        <w:rPr>
          <w:sz w:val="20"/>
          <w:szCs w:val="20"/>
        </w:rPr>
        <w:t xml:space="preserve">‘Austria’s Easter holiday fudge draws criticism’ (Reuters, 19 Feb 2019) </w:t>
      </w:r>
      <w:r w:rsidR="001A613A">
        <w:rPr>
          <w:sz w:val="20"/>
          <w:szCs w:val="20"/>
        </w:rPr>
        <w:t>&lt;</w:t>
      </w:r>
      <w:r w:rsidRPr="00CC56EB">
        <w:rPr>
          <w:sz w:val="20"/>
          <w:szCs w:val="20"/>
        </w:rPr>
        <w:t>https://uk.reuters.com/article/uk-eu-austria-holiday/austrias-easter-holiday-fudge-draws-criticism-idUKKCN1Q829U</w:t>
      </w:r>
      <w:r w:rsidR="001A613A">
        <w:rPr>
          <w:sz w:val="20"/>
          <w:szCs w:val="20"/>
        </w:rPr>
        <w:t>&gt;</w:t>
      </w:r>
      <w:r w:rsidR="005567FC">
        <w:rPr>
          <w:sz w:val="20"/>
          <w:szCs w:val="20"/>
        </w:rPr>
        <w:t xml:space="preserve"> accessed 23</w:t>
      </w:r>
      <w:r w:rsidR="001A613A">
        <w:rPr>
          <w:sz w:val="20"/>
          <w:szCs w:val="20"/>
        </w:rPr>
        <w:t>May 20</w:t>
      </w:r>
      <w:r w:rsidR="005567FC">
        <w:rPr>
          <w:sz w:val="20"/>
          <w:szCs w:val="20"/>
        </w:rPr>
        <w:t>19</w:t>
      </w:r>
      <w:r w:rsidR="00C01C9C">
        <w:rPr>
          <w:sz w:val="20"/>
          <w:szCs w:val="20"/>
        </w:rPr>
        <w:t>.</w:t>
      </w:r>
    </w:p>
  </w:footnote>
  <w:footnote w:id="36">
    <w:p w14:paraId="1E5B4B5B" w14:textId="4AFCCC4E" w:rsidR="00862742" w:rsidRPr="00CC56EB" w:rsidRDefault="00862742"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2D7812">
        <w:rPr>
          <w:sz w:val="20"/>
          <w:szCs w:val="20"/>
        </w:rPr>
        <w:t xml:space="preserve">Case </w:t>
      </w:r>
      <w:r w:rsidR="002D7812" w:rsidRPr="00CC56EB">
        <w:rPr>
          <w:sz w:val="20"/>
          <w:szCs w:val="20"/>
        </w:rPr>
        <w:t>C-6/90</w:t>
      </w:r>
      <w:r w:rsidR="002D7812">
        <w:rPr>
          <w:sz w:val="20"/>
          <w:szCs w:val="20"/>
        </w:rPr>
        <w:t xml:space="preserve"> </w:t>
      </w:r>
      <w:r w:rsidR="003D1F6A" w:rsidRPr="00CC56EB">
        <w:rPr>
          <w:i/>
          <w:sz w:val="20"/>
          <w:szCs w:val="20"/>
        </w:rPr>
        <w:t xml:space="preserve">Francovich v Italy </w:t>
      </w:r>
      <w:r w:rsidR="002D7812">
        <w:rPr>
          <w:sz w:val="20"/>
          <w:szCs w:val="20"/>
        </w:rPr>
        <w:t>[1995] ECR I-3843</w:t>
      </w:r>
    </w:p>
  </w:footnote>
  <w:footnote w:id="37">
    <w:p w14:paraId="2F66AA84" w14:textId="77777777" w:rsidR="00712408" w:rsidRPr="00CC56EB" w:rsidRDefault="00712408" w:rsidP="007069C6">
      <w:pPr>
        <w:contextualSpacing/>
        <w:rPr>
          <w:rFonts w:eastAsia="Times New Roman"/>
          <w:color w:val="000000"/>
          <w:sz w:val="20"/>
          <w:szCs w:val="20"/>
          <w:shd w:val="clear" w:color="auto" w:fill="FFFFFF"/>
        </w:rPr>
      </w:pPr>
      <w:r w:rsidRPr="00CC56EB">
        <w:rPr>
          <w:rStyle w:val="FootnoteReference"/>
          <w:sz w:val="20"/>
          <w:szCs w:val="20"/>
        </w:rPr>
        <w:footnoteRef/>
      </w:r>
      <w:r w:rsidRPr="00CC56EB">
        <w:rPr>
          <w:sz w:val="20"/>
          <w:szCs w:val="20"/>
        </w:rPr>
        <w:t xml:space="preserve"> </w:t>
      </w:r>
      <w:r w:rsidR="003D1F6A" w:rsidRPr="00CC56EB">
        <w:rPr>
          <w:sz w:val="20"/>
          <w:szCs w:val="20"/>
        </w:rPr>
        <w:t xml:space="preserve">AG Bobek’s Opinion, </w:t>
      </w:r>
      <w:r w:rsidR="003D1F6A" w:rsidRPr="00CC56EB">
        <w:rPr>
          <w:sz w:val="20"/>
          <w:szCs w:val="20"/>
          <w:lang w:val="en-US"/>
        </w:rPr>
        <w:t>para 145</w:t>
      </w:r>
      <w:r w:rsidR="007716A7" w:rsidRPr="00CC56EB">
        <w:rPr>
          <w:sz w:val="20"/>
          <w:szCs w:val="20"/>
          <w:lang w:val="en-US"/>
        </w:rPr>
        <w:t>.</w:t>
      </w:r>
      <w:r w:rsidR="00D357FC" w:rsidRPr="00CC56EB">
        <w:rPr>
          <w:sz w:val="20"/>
          <w:szCs w:val="20"/>
          <w:lang w:val="en-US"/>
        </w:rPr>
        <w:t xml:space="preserve"> </w:t>
      </w:r>
    </w:p>
  </w:footnote>
  <w:footnote w:id="38">
    <w:p w14:paraId="10A8563C" w14:textId="77777777" w:rsidR="00D357FC" w:rsidRPr="00CC56EB" w:rsidRDefault="00D357FC"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003D1F6A" w:rsidRPr="00CC56EB">
        <w:rPr>
          <w:i/>
          <w:sz w:val="20"/>
          <w:szCs w:val="20"/>
        </w:rPr>
        <w:t>Chacon Navas v Eurest Colectividades SA</w:t>
      </w:r>
      <w:r w:rsidR="005567FC">
        <w:rPr>
          <w:sz w:val="20"/>
          <w:szCs w:val="20"/>
        </w:rPr>
        <w:t xml:space="preserve"> Case C-13/05</w:t>
      </w:r>
      <w:r w:rsidR="003D1F6A" w:rsidRPr="00CC56EB">
        <w:rPr>
          <w:sz w:val="20"/>
          <w:szCs w:val="20"/>
        </w:rPr>
        <w:t xml:space="preserve">. </w:t>
      </w:r>
      <w:r w:rsidRPr="00CC56EB">
        <w:rPr>
          <w:sz w:val="20"/>
          <w:szCs w:val="20"/>
        </w:rPr>
        <w:t>See T. Papadopaulos, ‘</w:t>
      </w:r>
      <w:r w:rsidR="003D1F6A" w:rsidRPr="00CC56EB">
        <w:rPr>
          <w:sz w:val="20"/>
          <w:szCs w:val="20"/>
        </w:rPr>
        <w:t>Criticising the H</w:t>
      </w:r>
      <w:r w:rsidRPr="00CC56EB">
        <w:rPr>
          <w:sz w:val="20"/>
          <w:szCs w:val="20"/>
        </w:rPr>
        <w:t xml:space="preserve">orizontal </w:t>
      </w:r>
      <w:r w:rsidR="003D1F6A" w:rsidRPr="00CC56EB">
        <w:rPr>
          <w:sz w:val="20"/>
          <w:szCs w:val="20"/>
        </w:rPr>
        <w:t>Direct E</w:t>
      </w:r>
      <w:r w:rsidRPr="00CC56EB">
        <w:rPr>
          <w:sz w:val="20"/>
          <w:szCs w:val="20"/>
        </w:rPr>
        <w:t>ffect of the EU General Principle of Equality, (2011) 4 E</w:t>
      </w:r>
      <w:r w:rsidR="003D1F6A" w:rsidRPr="00CC56EB">
        <w:rPr>
          <w:sz w:val="20"/>
          <w:szCs w:val="20"/>
        </w:rPr>
        <w:t>.</w:t>
      </w:r>
      <w:r w:rsidRPr="00CC56EB">
        <w:rPr>
          <w:sz w:val="20"/>
          <w:szCs w:val="20"/>
        </w:rPr>
        <w:t>H</w:t>
      </w:r>
      <w:r w:rsidR="003D1F6A" w:rsidRPr="00CC56EB">
        <w:rPr>
          <w:sz w:val="20"/>
          <w:szCs w:val="20"/>
        </w:rPr>
        <w:t>.</w:t>
      </w:r>
      <w:r w:rsidRPr="00CC56EB">
        <w:rPr>
          <w:sz w:val="20"/>
          <w:szCs w:val="20"/>
        </w:rPr>
        <w:t>R</w:t>
      </w:r>
      <w:r w:rsidR="003D1F6A" w:rsidRPr="00CC56EB">
        <w:rPr>
          <w:sz w:val="20"/>
          <w:szCs w:val="20"/>
        </w:rPr>
        <w:t>.</w:t>
      </w:r>
      <w:r w:rsidRPr="00CC56EB">
        <w:rPr>
          <w:sz w:val="20"/>
          <w:szCs w:val="20"/>
        </w:rPr>
        <w:t>L</w:t>
      </w:r>
      <w:r w:rsidR="003D1F6A" w:rsidRPr="00CC56EB">
        <w:rPr>
          <w:sz w:val="20"/>
          <w:szCs w:val="20"/>
        </w:rPr>
        <w:t>.</w:t>
      </w:r>
      <w:r w:rsidRPr="00CC56EB">
        <w:rPr>
          <w:sz w:val="20"/>
          <w:szCs w:val="20"/>
        </w:rPr>
        <w:t>R</w:t>
      </w:r>
      <w:r w:rsidR="003D1F6A" w:rsidRPr="00CC56EB">
        <w:rPr>
          <w:sz w:val="20"/>
          <w:szCs w:val="20"/>
        </w:rPr>
        <w:t>.</w:t>
      </w:r>
      <w:r w:rsidRPr="00CC56EB">
        <w:rPr>
          <w:sz w:val="20"/>
          <w:szCs w:val="20"/>
        </w:rPr>
        <w:t xml:space="preserve"> 438.</w:t>
      </w:r>
    </w:p>
  </w:footnote>
  <w:footnote w:id="39">
    <w:p w14:paraId="2500EBD4" w14:textId="77777777" w:rsidR="00D357FC" w:rsidRPr="00CC56EB" w:rsidRDefault="00D357FC" w:rsidP="007069C6">
      <w:pPr>
        <w:pStyle w:val="Heading2"/>
        <w:shd w:val="clear" w:color="auto" w:fill="FFFFFF"/>
        <w:spacing w:before="0" w:beforeAutospacing="0" w:after="0" w:afterAutospacing="0"/>
        <w:contextualSpacing/>
        <w:rPr>
          <w:sz w:val="20"/>
          <w:szCs w:val="20"/>
        </w:rPr>
      </w:pPr>
      <w:r w:rsidRPr="00CC56EB">
        <w:rPr>
          <w:rStyle w:val="FootnoteReference"/>
          <w:b w:val="0"/>
          <w:sz w:val="20"/>
          <w:szCs w:val="20"/>
        </w:rPr>
        <w:footnoteRef/>
      </w:r>
      <w:r w:rsidRPr="00CC56EB">
        <w:rPr>
          <w:b w:val="0"/>
          <w:sz w:val="20"/>
          <w:szCs w:val="20"/>
        </w:rPr>
        <w:t xml:space="preserve"> </w:t>
      </w:r>
      <w:r w:rsidR="003D1F6A" w:rsidRPr="00CC56EB">
        <w:rPr>
          <w:b w:val="0"/>
          <w:i/>
          <w:sz w:val="20"/>
          <w:szCs w:val="20"/>
        </w:rPr>
        <w:t>Lindorfer v</w:t>
      </w:r>
      <w:r w:rsidR="005567FC">
        <w:rPr>
          <w:b w:val="0"/>
          <w:i/>
          <w:sz w:val="20"/>
          <w:szCs w:val="20"/>
        </w:rPr>
        <w:t xml:space="preserve"> Council of the European Union Case C-227/04</w:t>
      </w:r>
      <w:r w:rsidR="007716A7" w:rsidRPr="00CC56EB">
        <w:rPr>
          <w:b w:val="0"/>
          <w:i/>
          <w:sz w:val="20"/>
          <w:szCs w:val="20"/>
        </w:rPr>
        <w:t>.</w:t>
      </w:r>
      <w:r w:rsidR="003D1F6A" w:rsidRPr="00CC56EB">
        <w:rPr>
          <w:sz w:val="20"/>
          <w:szCs w:val="20"/>
        </w:rPr>
        <w:t xml:space="preserve"> </w:t>
      </w:r>
    </w:p>
  </w:footnote>
  <w:footnote w:id="40">
    <w:p w14:paraId="2F63E80D" w14:textId="77777777" w:rsidR="00D357FC" w:rsidRPr="00CC56EB" w:rsidRDefault="00D357FC" w:rsidP="007069C6">
      <w:pPr>
        <w:pStyle w:val="FootnoteText"/>
        <w:contextualSpacing/>
        <w:rPr>
          <w:i/>
          <w:sz w:val="20"/>
          <w:szCs w:val="20"/>
          <w:lang w:val="en-US"/>
        </w:rPr>
      </w:pPr>
      <w:r w:rsidRPr="00CC56EB">
        <w:rPr>
          <w:rStyle w:val="FootnoteReference"/>
          <w:sz w:val="20"/>
          <w:szCs w:val="20"/>
        </w:rPr>
        <w:footnoteRef/>
      </w:r>
      <w:r w:rsidRPr="00CC56EB">
        <w:rPr>
          <w:sz w:val="20"/>
          <w:szCs w:val="20"/>
        </w:rPr>
        <w:t xml:space="preserve"> </w:t>
      </w:r>
      <w:r w:rsidR="003D1F6A" w:rsidRPr="00CC56EB">
        <w:rPr>
          <w:i/>
          <w:sz w:val="20"/>
          <w:szCs w:val="20"/>
        </w:rPr>
        <w:t>Palacios de la Villa v Cortefiel Servicios</w:t>
      </w:r>
      <w:r w:rsidR="005567FC">
        <w:rPr>
          <w:i/>
          <w:sz w:val="20"/>
          <w:szCs w:val="20"/>
        </w:rPr>
        <w:t xml:space="preserve"> SA Case C-411/05</w:t>
      </w:r>
      <w:r w:rsidR="007716A7" w:rsidRPr="00CC56EB">
        <w:rPr>
          <w:i/>
          <w:sz w:val="20"/>
          <w:szCs w:val="20"/>
        </w:rPr>
        <w:t>.</w:t>
      </w:r>
    </w:p>
  </w:footnote>
  <w:footnote w:id="41">
    <w:p w14:paraId="26CA11DE" w14:textId="77777777" w:rsidR="00862742" w:rsidRPr="00CC56EB" w:rsidRDefault="00862742" w:rsidP="007069C6">
      <w:pPr>
        <w:pStyle w:val="FootnoteText"/>
        <w:contextualSpacing/>
        <w:rPr>
          <w:sz w:val="20"/>
          <w:szCs w:val="20"/>
          <w:lang w:val="en-US"/>
        </w:rPr>
      </w:pPr>
      <w:r w:rsidRPr="00CC56EB">
        <w:rPr>
          <w:rStyle w:val="FootnoteReference"/>
          <w:sz w:val="20"/>
          <w:szCs w:val="20"/>
        </w:rPr>
        <w:footnoteRef/>
      </w:r>
      <w:r w:rsidRPr="00CC56EB">
        <w:rPr>
          <w:sz w:val="20"/>
          <w:szCs w:val="20"/>
        </w:rPr>
        <w:t xml:space="preserve"> </w:t>
      </w:r>
      <w:r w:rsidRPr="00CC56EB">
        <w:rPr>
          <w:rFonts w:eastAsia="Times New Roman"/>
          <w:color w:val="000000"/>
          <w:sz w:val="20"/>
          <w:szCs w:val="20"/>
          <w:shd w:val="clear" w:color="auto" w:fill="FFFFFF"/>
        </w:rPr>
        <w:t>M. De Mol, "The Novel Approach of the CJEU on the Horizontal Direct Effect of the EU Principle of Non-Discrimination: (Unbridled) Expansionism of EU Law?',</w:t>
      </w:r>
      <w:r w:rsidR="003D1F6A" w:rsidRPr="00CC56EB">
        <w:rPr>
          <w:rFonts w:eastAsia="Times New Roman"/>
          <w:color w:val="000000"/>
          <w:sz w:val="20"/>
          <w:szCs w:val="20"/>
          <w:shd w:val="clear" w:color="auto" w:fill="FFFFFF"/>
        </w:rPr>
        <w:t xml:space="preserve"> (2011)</w:t>
      </w:r>
      <w:r w:rsidRPr="00CC56EB">
        <w:rPr>
          <w:rFonts w:eastAsia="Times New Roman"/>
          <w:color w:val="000000"/>
          <w:sz w:val="20"/>
          <w:szCs w:val="20"/>
          <w:shd w:val="clear" w:color="auto" w:fill="FFFFFF"/>
        </w:rPr>
        <w:t xml:space="preserve"> </w:t>
      </w:r>
      <w:r w:rsidRPr="00FD2643">
        <w:rPr>
          <w:rFonts w:eastAsia="Times New Roman"/>
          <w:i/>
          <w:color w:val="000000"/>
          <w:sz w:val="20"/>
          <w:szCs w:val="20"/>
          <w:shd w:val="clear" w:color="auto" w:fill="FFFFFF"/>
        </w:rPr>
        <w:t>18</w:t>
      </w:r>
      <w:r w:rsidRPr="00FD2643">
        <w:rPr>
          <w:rStyle w:val="apple-converted-space"/>
          <w:rFonts w:eastAsia="Times New Roman"/>
          <w:i/>
          <w:color w:val="000000"/>
          <w:sz w:val="20"/>
          <w:szCs w:val="20"/>
          <w:shd w:val="clear" w:color="auto" w:fill="FFFFFF"/>
        </w:rPr>
        <w:t> </w:t>
      </w:r>
      <w:r w:rsidRPr="00FD2643">
        <w:rPr>
          <w:rStyle w:val="Emphasis"/>
          <w:rFonts w:eastAsia="Times New Roman"/>
          <w:i w:val="0"/>
          <w:color w:val="000000"/>
          <w:sz w:val="20"/>
          <w:szCs w:val="20"/>
        </w:rPr>
        <w:t>Maastricht Journal of European and Comparative Law</w:t>
      </w:r>
      <w:r w:rsidRPr="00FD2643">
        <w:rPr>
          <w:rStyle w:val="apple-converted-space"/>
          <w:rFonts w:eastAsia="Times New Roman"/>
          <w:i/>
          <w:color w:val="000000"/>
          <w:sz w:val="20"/>
          <w:szCs w:val="20"/>
          <w:shd w:val="clear" w:color="auto" w:fill="FFFFFF"/>
        </w:rPr>
        <w:t> </w:t>
      </w:r>
      <w:r w:rsidRPr="00CC56EB">
        <w:rPr>
          <w:rFonts w:eastAsia="Times New Roman"/>
          <w:color w:val="000000"/>
          <w:sz w:val="20"/>
          <w:szCs w:val="20"/>
          <w:shd w:val="clear" w:color="auto" w:fill="FFFFFF"/>
        </w:rPr>
        <w:t>109.</w:t>
      </w:r>
      <w:r w:rsidRPr="00CC56EB">
        <w:rPr>
          <w:sz w:val="20"/>
          <w:szCs w:val="20"/>
          <w:lang w:val="en-US"/>
        </w:rPr>
        <w:t xml:space="preserve"> Although see for a more favourable comment on possibility of horizontal direct effect of Directives, </w:t>
      </w:r>
      <w:r w:rsidR="00FD2643">
        <w:rPr>
          <w:rFonts w:eastAsia="Times New Roman"/>
          <w:color w:val="000000"/>
          <w:sz w:val="20"/>
          <w:szCs w:val="20"/>
          <w:shd w:val="clear" w:color="auto" w:fill="FFFFFF"/>
        </w:rPr>
        <w:t>D. Schiek, ‘</w:t>
      </w:r>
      <w:r w:rsidRPr="00CC56EB">
        <w:rPr>
          <w:rFonts w:eastAsia="Times New Roman"/>
          <w:color w:val="000000"/>
          <w:sz w:val="20"/>
          <w:szCs w:val="20"/>
          <w:shd w:val="clear" w:color="auto" w:fill="FFFFFF"/>
        </w:rPr>
        <w:t>The ECJ Decision in</w:t>
      </w:r>
      <w:r w:rsidRPr="00CC56EB">
        <w:rPr>
          <w:rStyle w:val="apple-converted-space"/>
          <w:rFonts w:eastAsia="Times New Roman"/>
          <w:color w:val="000000"/>
          <w:sz w:val="20"/>
          <w:szCs w:val="20"/>
          <w:shd w:val="clear" w:color="auto" w:fill="FFFFFF"/>
        </w:rPr>
        <w:t> </w:t>
      </w:r>
      <w:r w:rsidR="003D1F6A" w:rsidRPr="00CC56EB">
        <w:rPr>
          <w:rStyle w:val="apple-converted-space"/>
          <w:rFonts w:eastAsia="Times New Roman"/>
          <w:i/>
          <w:color w:val="000000"/>
          <w:sz w:val="20"/>
          <w:szCs w:val="20"/>
          <w:shd w:val="clear" w:color="auto" w:fill="FFFFFF"/>
        </w:rPr>
        <w:t>Mangold</w:t>
      </w:r>
      <w:r w:rsidRPr="00CC56EB">
        <w:rPr>
          <w:rFonts w:eastAsia="Times New Roman"/>
          <w:i/>
          <w:color w:val="000000"/>
          <w:sz w:val="20"/>
          <w:szCs w:val="20"/>
          <w:shd w:val="clear" w:color="auto" w:fill="FFFFFF"/>
        </w:rPr>
        <w:t>:</w:t>
      </w:r>
      <w:r w:rsidRPr="00CC56EB">
        <w:rPr>
          <w:rFonts w:eastAsia="Times New Roman"/>
          <w:color w:val="000000"/>
          <w:sz w:val="20"/>
          <w:szCs w:val="20"/>
          <w:shd w:val="clear" w:color="auto" w:fill="FFFFFF"/>
        </w:rPr>
        <w:t xml:space="preserve"> A Further Twist on Effects of Directives and Constitutional Relevance of Community Equality Legislation', </w:t>
      </w:r>
      <w:r w:rsidR="003D1F6A" w:rsidRPr="00CC56EB">
        <w:rPr>
          <w:rFonts w:eastAsia="Times New Roman"/>
          <w:color w:val="000000"/>
          <w:sz w:val="20"/>
          <w:szCs w:val="20"/>
          <w:shd w:val="clear" w:color="auto" w:fill="FFFFFF"/>
        </w:rPr>
        <w:t>(2006)</w:t>
      </w:r>
      <w:r w:rsidRPr="00CC56EB">
        <w:rPr>
          <w:rStyle w:val="apple-converted-space"/>
          <w:rFonts w:eastAsia="Times New Roman"/>
          <w:color w:val="000000"/>
          <w:sz w:val="20"/>
          <w:szCs w:val="20"/>
          <w:shd w:val="clear" w:color="auto" w:fill="FFFFFF"/>
        </w:rPr>
        <w:t> </w:t>
      </w:r>
      <w:r w:rsidR="003D1F6A" w:rsidRPr="00CC56EB">
        <w:rPr>
          <w:rFonts w:eastAsia="Times New Roman"/>
          <w:color w:val="000000"/>
          <w:sz w:val="20"/>
          <w:szCs w:val="20"/>
          <w:shd w:val="clear" w:color="auto" w:fill="FFFFFF"/>
        </w:rPr>
        <w:t xml:space="preserve">35 </w:t>
      </w:r>
      <w:r w:rsidR="00A91555" w:rsidRPr="00CC56EB">
        <w:rPr>
          <w:rFonts w:eastAsia="Times New Roman"/>
          <w:color w:val="000000"/>
          <w:sz w:val="20"/>
          <w:szCs w:val="20"/>
          <w:shd w:val="clear" w:color="auto" w:fill="FFFFFF"/>
        </w:rPr>
        <w:t xml:space="preserve">I.LJ. </w:t>
      </w:r>
      <w:r w:rsidRPr="00CC56EB">
        <w:rPr>
          <w:rFonts w:eastAsia="Times New Roman"/>
          <w:color w:val="000000"/>
          <w:sz w:val="20"/>
          <w:szCs w:val="20"/>
          <w:shd w:val="clear" w:color="auto" w:fill="FFFFFF"/>
        </w:rPr>
        <w:t>329</w:t>
      </w:r>
      <w:r w:rsidR="007716A7" w:rsidRPr="00CC56EB">
        <w:rPr>
          <w:rFonts w:eastAsia="Times New Roman"/>
          <w:color w:val="000000"/>
          <w:sz w:val="20"/>
          <w:szCs w:val="20"/>
          <w:shd w:val="clear" w:color="auto" w:fill="FFFFFF"/>
        </w:rPr>
        <w:t>.</w:t>
      </w:r>
    </w:p>
  </w:footnote>
  <w:footnote w:id="42">
    <w:p w14:paraId="311C2EA4" w14:textId="77777777" w:rsidR="002E59C1" w:rsidRPr="00CC56EB" w:rsidRDefault="005101DA" w:rsidP="007069C6">
      <w:pPr>
        <w:pStyle w:val="Heading2"/>
        <w:spacing w:before="0" w:beforeAutospacing="0" w:after="0" w:afterAutospacing="0"/>
        <w:contextualSpacing/>
        <w:rPr>
          <w:rFonts w:eastAsia="Times New Roman"/>
          <w:b w:val="0"/>
          <w:color w:val="000000"/>
          <w:sz w:val="20"/>
          <w:szCs w:val="20"/>
        </w:rPr>
      </w:pPr>
      <w:r w:rsidRPr="00CC56EB">
        <w:rPr>
          <w:rStyle w:val="FootnoteReference"/>
          <w:b w:val="0"/>
          <w:sz w:val="20"/>
          <w:szCs w:val="20"/>
        </w:rPr>
        <w:footnoteRef/>
      </w:r>
      <w:r w:rsidRPr="00CC56EB">
        <w:rPr>
          <w:b w:val="0"/>
          <w:sz w:val="20"/>
          <w:szCs w:val="20"/>
        </w:rPr>
        <w:t xml:space="preserve"> </w:t>
      </w:r>
      <w:r w:rsidR="003D1F6A" w:rsidRPr="00CC56EB">
        <w:rPr>
          <w:b w:val="0"/>
          <w:sz w:val="20"/>
          <w:szCs w:val="20"/>
        </w:rPr>
        <w:t>C. O’Mara, ‘</w:t>
      </w:r>
      <w:r w:rsidR="002E59C1" w:rsidRPr="00CC56EB">
        <w:rPr>
          <w:rFonts w:eastAsia="Times New Roman"/>
          <w:b w:val="0"/>
          <w:color w:val="000000"/>
          <w:sz w:val="20"/>
          <w:szCs w:val="20"/>
        </w:rPr>
        <w:t xml:space="preserve">Horizontal </w:t>
      </w:r>
      <w:r w:rsidR="007716A7" w:rsidRPr="00CC56EB">
        <w:rPr>
          <w:rFonts w:eastAsia="Times New Roman"/>
          <w:b w:val="0"/>
          <w:color w:val="000000"/>
          <w:sz w:val="20"/>
          <w:szCs w:val="20"/>
        </w:rPr>
        <w:t>E</w:t>
      </w:r>
      <w:r w:rsidR="002E59C1" w:rsidRPr="00CC56EB">
        <w:rPr>
          <w:rFonts w:eastAsia="Times New Roman"/>
          <w:b w:val="0"/>
          <w:color w:val="000000"/>
          <w:sz w:val="20"/>
          <w:szCs w:val="20"/>
        </w:rPr>
        <w:t xml:space="preserve">nforcement of </w:t>
      </w:r>
      <w:r w:rsidR="007716A7" w:rsidRPr="00CC56EB">
        <w:rPr>
          <w:rFonts w:eastAsia="Times New Roman"/>
          <w:b w:val="0"/>
          <w:color w:val="000000"/>
          <w:sz w:val="20"/>
          <w:szCs w:val="20"/>
        </w:rPr>
        <w:t>General Principles of EU E</w:t>
      </w:r>
      <w:r w:rsidR="002E59C1" w:rsidRPr="00CC56EB">
        <w:rPr>
          <w:rFonts w:eastAsia="Times New Roman"/>
          <w:b w:val="0"/>
          <w:color w:val="000000"/>
          <w:sz w:val="20"/>
          <w:szCs w:val="20"/>
        </w:rPr>
        <w:t xml:space="preserve">mployment </w:t>
      </w:r>
      <w:r w:rsidR="007716A7" w:rsidRPr="00CC56EB">
        <w:rPr>
          <w:rFonts w:eastAsia="Times New Roman"/>
          <w:b w:val="0"/>
          <w:color w:val="000000"/>
          <w:sz w:val="20"/>
          <w:szCs w:val="20"/>
        </w:rPr>
        <w:t>E</w:t>
      </w:r>
      <w:r w:rsidR="002E59C1" w:rsidRPr="00CC56EB">
        <w:rPr>
          <w:rFonts w:eastAsia="Times New Roman"/>
          <w:b w:val="0"/>
          <w:color w:val="000000"/>
          <w:sz w:val="20"/>
          <w:szCs w:val="20"/>
        </w:rPr>
        <w:t xml:space="preserve">quality </w:t>
      </w:r>
      <w:r w:rsidR="007716A7" w:rsidRPr="00CC56EB">
        <w:rPr>
          <w:rFonts w:eastAsia="Times New Roman"/>
          <w:b w:val="0"/>
          <w:color w:val="000000"/>
          <w:sz w:val="20"/>
          <w:szCs w:val="20"/>
        </w:rPr>
        <w:t>L</w:t>
      </w:r>
      <w:r w:rsidR="002E59C1" w:rsidRPr="00CC56EB">
        <w:rPr>
          <w:rFonts w:eastAsia="Times New Roman"/>
          <w:b w:val="0"/>
          <w:color w:val="000000"/>
          <w:sz w:val="20"/>
          <w:szCs w:val="20"/>
        </w:rPr>
        <w:t xml:space="preserve">aw - </w:t>
      </w:r>
      <w:r w:rsidR="002E59C1" w:rsidRPr="00CC56EB">
        <w:rPr>
          <w:rFonts w:eastAsia="Times New Roman"/>
          <w:b w:val="0"/>
          <w:i/>
          <w:color w:val="000000"/>
          <w:sz w:val="20"/>
          <w:szCs w:val="20"/>
        </w:rPr>
        <w:t xml:space="preserve">Mangold </w:t>
      </w:r>
      <w:r w:rsidR="007716A7" w:rsidRPr="00CC56EB">
        <w:rPr>
          <w:rFonts w:eastAsia="Times New Roman"/>
          <w:b w:val="0"/>
          <w:color w:val="000000"/>
          <w:sz w:val="20"/>
          <w:szCs w:val="20"/>
        </w:rPr>
        <w:t>R</w:t>
      </w:r>
      <w:r w:rsidR="002E59C1" w:rsidRPr="00CC56EB">
        <w:rPr>
          <w:rFonts w:eastAsia="Times New Roman"/>
          <w:b w:val="0"/>
          <w:color w:val="000000"/>
          <w:sz w:val="20"/>
          <w:szCs w:val="20"/>
        </w:rPr>
        <w:t>evisited</w:t>
      </w:r>
      <w:r w:rsidR="003D1F6A" w:rsidRPr="00CC56EB">
        <w:rPr>
          <w:rFonts w:eastAsia="Times New Roman"/>
          <w:b w:val="0"/>
          <w:color w:val="000000"/>
          <w:sz w:val="20"/>
          <w:szCs w:val="20"/>
        </w:rPr>
        <w:t>’ (2018) 15 IELJ 91.</w:t>
      </w:r>
    </w:p>
    <w:p w14:paraId="21361DE0" w14:textId="77777777" w:rsidR="005101DA" w:rsidRPr="00CC56EB" w:rsidRDefault="005101DA" w:rsidP="007069C6">
      <w:pPr>
        <w:pStyle w:val="FootnoteText"/>
        <w:contextualSpacing/>
        <w:rPr>
          <w:sz w:val="20"/>
          <w:szCs w:val="20"/>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7"/>
      <w:gridCol w:w="3007"/>
      <w:gridCol w:w="3007"/>
    </w:tblGrid>
    <w:tr w:rsidR="45B69544" w14:paraId="4FC18022" w14:textId="77777777" w:rsidTr="45B69544">
      <w:tc>
        <w:tcPr>
          <w:tcW w:w="3007" w:type="dxa"/>
        </w:tcPr>
        <w:p w14:paraId="4399B237" w14:textId="77777777" w:rsidR="45B69544" w:rsidRDefault="45B69544" w:rsidP="45B69544">
          <w:pPr>
            <w:pStyle w:val="Header"/>
            <w:ind w:left="-115"/>
          </w:pPr>
        </w:p>
      </w:tc>
      <w:tc>
        <w:tcPr>
          <w:tcW w:w="3007" w:type="dxa"/>
        </w:tcPr>
        <w:p w14:paraId="7A56CEA1" w14:textId="77777777" w:rsidR="45B69544" w:rsidRDefault="45B69544" w:rsidP="45B69544">
          <w:pPr>
            <w:pStyle w:val="Header"/>
            <w:jc w:val="center"/>
          </w:pPr>
        </w:p>
      </w:tc>
      <w:tc>
        <w:tcPr>
          <w:tcW w:w="3007" w:type="dxa"/>
        </w:tcPr>
        <w:p w14:paraId="6F41F0D8" w14:textId="77777777" w:rsidR="45B69544" w:rsidRDefault="45B69544" w:rsidP="45B69544">
          <w:pPr>
            <w:pStyle w:val="Header"/>
            <w:ind w:right="-115"/>
            <w:jc w:val="right"/>
          </w:pPr>
        </w:p>
      </w:tc>
    </w:tr>
  </w:tbl>
  <w:p w14:paraId="4D5D8752" w14:textId="77777777" w:rsidR="45B69544" w:rsidRDefault="45B69544" w:rsidP="45B695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A6A07"/>
    <w:multiLevelType w:val="multilevel"/>
    <w:tmpl w:val="B56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03AD1"/>
    <w:multiLevelType w:val="hybridMultilevel"/>
    <w:tmpl w:val="7312F200"/>
    <w:lvl w:ilvl="0" w:tplc="F244C51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64B71"/>
    <w:multiLevelType w:val="hybridMultilevel"/>
    <w:tmpl w:val="471EA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02E4D"/>
    <w:multiLevelType w:val="hybridMultilevel"/>
    <w:tmpl w:val="C4FEBFCE"/>
    <w:lvl w:ilvl="0" w:tplc="B66867F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7506E0E"/>
    <w:multiLevelType w:val="hybridMultilevel"/>
    <w:tmpl w:val="ABCC4A10"/>
    <w:lvl w:ilvl="0" w:tplc="89C841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4B51B3"/>
    <w:multiLevelType w:val="hybridMultilevel"/>
    <w:tmpl w:val="2AD0E72E"/>
    <w:lvl w:ilvl="0" w:tplc="59E07D80">
      <w:start w:val="1"/>
      <w:numFmt w:val="decimal"/>
      <w:lvlText w:val="%1."/>
      <w:lvlJc w:val="left"/>
      <w:pPr>
        <w:ind w:left="720" w:hanging="360"/>
      </w:pPr>
      <w:rPr>
        <w:rFonts w:ascii="Verdana" w:hAnsi="Verdana"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14"/>
    <w:rsid w:val="00002285"/>
    <w:rsid w:val="00012BF2"/>
    <w:rsid w:val="000134FF"/>
    <w:rsid w:val="0001594F"/>
    <w:rsid w:val="000164C9"/>
    <w:rsid w:val="00020B1E"/>
    <w:rsid w:val="0002201B"/>
    <w:rsid w:val="0003274C"/>
    <w:rsid w:val="00032B8F"/>
    <w:rsid w:val="00040FB1"/>
    <w:rsid w:val="00041AF7"/>
    <w:rsid w:val="000508F7"/>
    <w:rsid w:val="00062DDD"/>
    <w:rsid w:val="000640EC"/>
    <w:rsid w:val="00066F7D"/>
    <w:rsid w:val="000720FF"/>
    <w:rsid w:val="000803E0"/>
    <w:rsid w:val="00086D40"/>
    <w:rsid w:val="000904CC"/>
    <w:rsid w:val="000940BB"/>
    <w:rsid w:val="0009570E"/>
    <w:rsid w:val="00096F73"/>
    <w:rsid w:val="000A6209"/>
    <w:rsid w:val="000B27F5"/>
    <w:rsid w:val="000B7861"/>
    <w:rsid w:val="000C67E6"/>
    <w:rsid w:val="000D03B6"/>
    <w:rsid w:val="000D25DD"/>
    <w:rsid w:val="000D4837"/>
    <w:rsid w:val="000F08C5"/>
    <w:rsid w:val="000F61B3"/>
    <w:rsid w:val="00107164"/>
    <w:rsid w:val="00114718"/>
    <w:rsid w:val="001160B3"/>
    <w:rsid w:val="001161DA"/>
    <w:rsid w:val="001212C2"/>
    <w:rsid w:val="001219C0"/>
    <w:rsid w:val="00145C5A"/>
    <w:rsid w:val="00153AFF"/>
    <w:rsid w:val="001548DA"/>
    <w:rsid w:val="00157494"/>
    <w:rsid w:val="00170FD6"/>
    <w:rsid w:val="0017618B"/>
    <w:rsid w:val="00177474"/>
    <w:rsid w:val="00185251"/>
    <w:rsid w:val="0019108B"/>
    <w:rsid w:val="001A613A"/>
    <w:rsid w:val="001B27EB"/>
    <w:rsid w:val="001D21F5"/>
    <w:rsid w:val="001D6B1A"/>
    <w:rsid w:val="001E655D"/>
    <w:rsid w:val="001F6E6F"/>
    <w:rsid w:val="00201FC1"/>
    <w:rsid w:val="00205A8C"/>
    <w:rsid w:val="002203CD"/>
    <w:rsid w:val="00220C36"/>
    <w:rsid w:val="00222124"/>
    <w:rsid w:val="00226E66"/>
    <w:rsid w:val="002432FD"/>
    <w:rsid w:val="0024504C"/>
    <w:rsid w:val="00252448"/>
    <w:rsid w:val="00255891"/>
    <w:rsid w:val="00257AF0"/>
    <w:rsid w:val="0026680A"/>
    <w:rsid w:val="002761D7"/>
    <w:rsid w:val="00282EA7"/>
    <w:rsid w:val="00287EE1"/>
    <w:rsid w:val="00291D85"/>
    <w:rsid w:val="002A5FCC"/>
    <w:rsid w:val="002B1A89"/>
    <w:rsid w:val="002B3978"/>
    <w:rsid w:val="002C1D2E"/>
    <w:rsid w:val="002C7937"/>
    <w:rsid w:val="002D7812"/>
    <w:rsid w:val="002E4091"/>
    <w:rsid w:val="002E59C1"/>
    <w:rsid w:val="002F1FCE"/>
    <w:rsid w:val="002F299D"/>
    <w:rsid w:val="002F7DBC"/>
    <w:rsid w:val="002F7F42"/>
    <w:rsid w:val="00315DF7"/>
    <w:rsid w:val="00327566"/>
    <w:rsid w:val="00327EE0"/>
    <w:rsid w:val="0033248C"/>
    <w:rsid w:val="00334741"/>
    <w:rsid w:val="00354120"/>
    <w:rsid w:val="003557BD"/>
    <w:rsid w:val="0035652F"/>
    <w:rsid w:val="00364BBB"/>
    <w:rsid w:val="003678B9"/>
    <w:rsid w:val="00374F5B"/>
    <w:rsid w:val="003837C0"/>
    <w:rsid w:val="003A6D4C"/>
    <w:rsid w:val="003B3557"/>
    <w:rsid w:val="003C1071"/>
    <w:rsid w:val="003C24ED"/>
    <w:rsid w:val="003C33A6"/>
    <w:rsid w:val="003D1F6A"/>
    <w:rsid w:val="003D7838"/>
    <w:rsid w:val="003E41D8"/>
    <w:rsid w:val="003E72A5"/>
    <w:rsid w:val="003F4D4C"/>
    <w:rsid w:val="00412D72"/>
    <w:rsid w:val="00414D16"/>
    <w:rsid w:val="004207E0"/>
    <w:rsid w:val="0042239F"/>
    <w:rsid w:val="004234F7"/>
    <w:rsid w:val="00424514"/>
    <w:rsid w:val="00426375"/>
    <w:rsid w:val="00435038"/>
    <w:rsid w:val="00436661"/>
    <w:rsid w:val="00446943"/>
    <w:rsid w:val="00446E0D"/>
    <w:rsid w:val="00454271"/>
    <w:rsid w:val="0045523B"/>
    <w:rsid w:val="00456721"/>
    <w:rsid w:val="00460383"/>
    <w:rsid w:val="00460B3F"/>
    <w:rsid w:val="00462B8E"/>
    <w:rsid w:val="00463BFA"/>
    <w:rsid w:val="0046629A"/>
    <w:rsid w:val="0048146A"/>
    <w:rsid w:val="00482144"/>
    <w:rsid w:val="00483BDD"/>
    <w:rsid w:val="0048436E"/>
    <w:rsid w:val="004933DA"/>
    <w:rsid w:val="0049407C"/>
    <w:rsid w:val="00494B14"/>
    <w:rsid w:val="004A4952"/>
    <w:rsid w:val="004B6021"/>
    <w:rsid w:val="004B7534"/>
    <w:rsid w:val="004B79F2"/>
    <w:rsid w:val="004D2942"/>
    <w:rsid w:val="004F2E42"/>
    <w:rsid w:val="004F7B1B"/>
    <w:rsid w:val="00500E8A"/>
    <w:rsid w:val="005027E5"/>
    <w:rsid w:val="005062A3"/>
    <w:rsid w:val="005101DA"/>
    <w:rsid w:val="00510223"/>
    <w:rsid w:val="005115EA"/>
    <w:rsid w:val="00517D38"/>
    <w:rsid w:val="00520531"/>
    <w:rsid w:val="00520A7E"/>
    <w:rsid w:val="00540E7C"/>
    <w:rsid w:val="00543EF4"/>
    <w:rsid w:val="0054499E"/>
    <w:rsid w:val="00554018"/>
    <w:rsid w:val="0055401F"/>
    <w:rsid w:val="005566C8"/>
    <w:rsid w:val="005567FC"/>
    <w:rsid w:val="00556929"/>
    <w:rsid w:val="00563FDB"/>
    <w:rsid w:val="005641EA"/>
    <w:rsid w:val="00572614"/>
    <w:rsid w:val="00582075"/>
    <w:rsid w:val="00584A37"/>
    <w:rsid w:val="005858DF"/>
    <w:rsid w:val="00585DFE"/>
    <w:rsid w:val="005A7431"/>
    <w:rsid w:val="005B143D"/>
    <w:rsid w:val="005B201C"/>
    <w:rsid w:val="005C1014"/>
    <w:rsid w:val="005D3A6D"/>
    <w:rsid w:val="005E3F32"/>
    <w:rsid w:val="005E60E6"/>
    <w:rsid w:val="005F64A9"/>
    <w:rsid w:val="00605B11"/>
    <w:rsid w:val="00606A82"/>
    <w:rsid w:val="00630E54"/>
    <w:rsid w:val="006373ED"/>
    <w:rsid w:val="0064103E"/>
    <w:rsid w:val="0065087F"/>
    <w:rsid w:val="006667F8"/>
    <w:rsid w:val="00666EB7"/>
    <w:rsid w:val="00674AE1"/>
    <w:rsid w:val="006810E9"/>
    <w:rsid w:val="006819E6"/>
    <w:rsid w:val="00695704"/>
    <w:rsid w:val="00697767"/>
    <w:rsid w:val="006A4995"/>
    <w:rsid w:val="006B6341"/>
    <w:rsid w:val="006D6CC4"/>
    <w:rsid w:val="007069C6"/>
    <w:rsid w:val="00711496"/>
    <w:rsid w:val="00712408"/>
    <w:rsid w:val="0072080F"/>
    <w:rsid w:val="00721C52"/>
    <w:rsid w:val="007316B2"/>
    <w:rsid w:val="0074005B"/>
    <w:rsid w:val="00742BAF"/>
    <w:rsid w:val="00750E7E"/>
    <w:rsid w:val="00760AD5"/>
    <w:rsid w:val="007716A4"/>
    <w:rsid w:val="007716A7"/>
    <w:rsid w:val="007758B5"/>
    <w:rsid w:val="00777BC3"/>
    <w:rsid w:val="00782D82"/>
    <w:rsid w:val="0078325A"/>
    <w:rsid w:val="007833CE"/>
    <w:rsid w:val="00783C1C"/>
    <w:rsid w:val="00787E30"/>
    <w:rsid w:val="007910A0"/>
    <w:rsid w:val="007A7056"/>
    <w:rsid w:val="007B055E"/>
    <w:rsid w:val="007B2F65"/>
    <w:rsid w:val="007D3B71"/>
    <w:rsid w:val="007E5B44"/>
    <w:rsid w:val="007F0196"/>
    <w:rsid w:val="007F2E0C"/>
    <w:rsid w:val="007F6612"/>
    <w:rsid w:val="00802953"/>
    <w:rsid w:val="00803568"/>
    <w:rsid w:val="00816DAD"/>
    <w:rsid w:val="00822D13"/>
    <w:rsid w:val="0082321D"/>
    <w:rsid w:val="008312E6"/>
    <w:rsid w:val="00840B56"/>
    <w:rsid w:val="00840F35"/>
    <w:rsid w:val="00860478"/>
    <w:rsid w:val="00862742"/>
    <w:rsid w:val="00866904"/>
    <w:rsid w:val="00866C83"/>
    <w:rsid w:val="00873B44"/>
    <w:rsid w:val="008804F1"/>
    <w:rsid w:val="008920B9"/>
    <w:rsid w:val="008A2312"/>
    <w:rsid w:val="008A411A"/>
    <w:rsid w:val="008B0418"/>
    <w:rsid w:val="008C42BC"/>
    <w:rsid w:val="008D69F7"/>
    <w:rsid w:val="008E12AD"/>
    <w:rsid w:val="008E5301"/>
    <w:rsid w:val="008E72BE"/>
    <w:rsid w:val="00901822"/>
    <w:rsid w:val="009058E6"/>
    <w:rsid w:val="00911C84"/>
    <w:rsid w:val="0091608D"/>
    <w:rsid w:val="00920A7B"/>
    <w:rsid w:val="009238E5"/>
    <w:rsid w:val="0092542B"/>
    <w:rsid w:val="00934812"/>
    <w:rsid w:val="009406EB"/>
    <w:rsid w:val="00941A52"/>
    <w:rsid w:val="00942E82"/>
    <w:rsid w:val="009503A2"/>
    <w:rsid w:val="0095733D"/>
    <w:rsid w:val="00964417"/>
    <w:rsid w:val="00972D0A"/>
    <w:rsid w:val="00975191"/>
    <w:rsid w:val="00986B6D"/>
    <w:rsid w:val="009B1F88"/>
    <w:rsid w:val="009B1FC0"/>
    <w:rsid w:val="009B538D"/>
    <w:rsid w:val="009C09F8"/>
    <w:rsid w:val="009D2BDF"/>
    <w:rsid w:val="009D4822"/>
    <w:rsid w:val="009D563D"/>
    <w:rsid w:val="009E238A"/>
    <w:rsid w:val="009F6729"/>
    <w:rsid w:val="00A0044B"/>
    <w:rsid w:val="00A0477C"/>
    <w:rsid w:val="00A04785"/>
    <w:rsid w:val="00A11F5E"/>
    <w:rsid w:val="00A12699"/>
    <w:rsid w:val="00A135D3"/>
    <w:rsid w:val="00A245C6"/>
    <w:rsid w:val="00A24766"/>
    <w:rsid w:val="00A2666D"/>
    <w:rsid w:val="00A34DA0"/>
    <w:rsid w:val="00A35EAC"/>
    <w:rsid w:val="00A37999"/>
    <w:rsid w:val="00A408F6"/>
    <w:rsid w:val="00A4096A"/>
    <w:rsid w:val="00A4165A"/>
    <w:rsid w:val="00A718F9"/>
    <w:rsid w:val="00A8771B"/>
    <w:rsid w:val="00A91555"/>
    <w:rsid w:val="00A97674"/>
    <w:rsid w:val="00AA29EA"/>
    <w:rsid w:val="00AB0477"/>
    <w:rsid w:val="00AB4462"/>
    <w:rsid w:val="00AB5391"/>
    <w:rsid w:val="00AC664C"/>
    <w:rsid w:val="00AD22F8"/>
    <w:rsid w:val="00AD2D94"/>
    <w:rsid w:val="00AD30DA"/>
    <w:rsid w:val="00AD79A9"/>
    <w:rsid w:val="00AE1AEC"/>
    <w:rsid w:val="00AF717D"/>
    <w:rsid w:val="00B10AA9"/>
    <w:rsid w:val="00B222FA"/>
    <w:rsid w:val="00B3360D"/>
    <w:rsid w:val="00B344E0"/>
    <w:rsid w:val="00B46D6A"/>
    <w:rsid w:val="00B46F1D"/>
    <w:rsid w:val="00B524D4"/>
    <w:rsid w:val="00B679B8"/>
    <w:rsid w:val="00B70477"/>
    <w:rsid w:val="00B72C6C"/>
    <w:rsid w:val="00B75A64"/>
    <w:rsid w:val="00B75E1A"/>
    <w:rsid w:val="00B9599C"/>
    <w:rsid w:val="00B95D97"/>
    <w:rsid w:val="00BB2C0E"/>
    <w:rsid w:val="00BB38F4"/>
    <w:rsid w:val="00BC7573"/>
    <w:rsid w:val="00BD7552"/>
    <w:rsid w:val="00BE112A"/>
    <w:rsid w:val="00BE2AA2"/>
    <w:rsid w:val="00BE4813"/>
    <w:rsid w:val="00BF24F7"/>
    <w:rsid w:val="00BF3AE6"/>
    <w:rsid w:val="00BF457F"/>
    <w:rsid w:val="00BF4F6F"/>
    <w:rsid w:val="00C01C9C"/>
    <w:rsid w:val="00C0439E"/>
    <w:rsid w:val="00C04AA1"/>
    <w:rsid w:val="00C31818"/>
    <w:rsid w:val="00C31DCC"/>
    <w:rsid w:val="00C35741"/>
    <w:rsid w:val="00C54185"/>
    <w:rsid w:val="00C7095F"/>
    <w:rsid w:val="00C91B60"/>
    <w:rsid w:val="00CA6147"/>
    <w:rsid w:val="00CB2085"/>
    <w:rsid w:val="00CB2B2B"/>
    <w:rsid w:val="00CB2C35"/>
    <w:rsid w:val="00CB49B9"/>
    <w:rsid w:val="00CC56EB"/>
    <w:rsid w:val="00CE0643"/>
    <w:rsid w:val="00CE0D4F"/>
    <w:rsid w:val="00CE1346"/>
    <w:rsid w:val="00CE5BB3"/>
    <w:rsid w:val="00CE73EF"/>
    <w:rsid w:val="00CE7926"/>
    <w:rsid w:val="00D03C23"/>
    <w:rsid w:val="00D055FB"/>
    <w:rsid w:val="00D1427A"/>
    <w:rsid w:val="00D146BD"/>
    <w:rsid w:val="00D15E21"/>
    <w:rsid w:val="00D21FB6"/>
    <w:rsid w:val="00D24A80"/>
    <w:rsid w:val="00D26625"/>
    <w:rsid w:val="00D30D7E"/>
    <w:rsid w:val="00D316AE"/>
    <w:rsid w:val="00D357FC"/>
    <w:rsid w:val="00D37EE8"/>
    <w:rsid w:val="00D417B5"/>
    <w:rsid w:val="00D66AEA"/>
    <w:rsid w:val="00D66B28"/>
    <w:rsid w:val="00D72663"/>
    <w:rsid w:val="00D81667"/>
    <w:rsid w:val="00D826EE"/>
    <w:rsid w:val="00D828D9"/>
    <w:rsid w:val="00D85197"/>
    <w:rsid w:val="00DA1BE5"/>
    <w:rsid w:val="00DA1EBE"/>
    <w:rsid w:val="00DB262E"/>
    <w:rsid w:val="00DB6D6D"/>
    <w:rsid w:val="00DC26E0"/>
    <w:rsid w:val="00DC3EA3"/>
    <w:rsid w:val="00DD3098"/>
    <w:rsid w:val="00DF28B2"/>
    <w:rsid w:val="00DF39DE"/>
    <w:rsid w:val="00E06877"/>
    <w:rsid w:val="00E12DC0"/>
    <w:rsid w:val="00E32105"/>
    <w:rsid w:val="00E4474B"/>
    <w:rsid w:val="00E44D69"/>
    <w:rsid w:val="00E50AD5"/>
    <w:rsid w:val="00E52072"/>
    <w:rsid w:val="00E723FE"/>
    <w:rsid w:val="00E7419E"/>
    <w:rsid w:val="00E804AF"/>
    <w:rsid w:val="00E90D4F"/>
    <w:rsid w:val="00EA106E"/>
    <w:rsid w:val="00EA4DAA"/>
    <w:rsid w:val="00EA76C3"/>
    <w:rsid w:val="00EB36C9"/>
    <w:rsid w:val="00EC047F"/>
    <w:rsid w:val="00EC3495"/>
    <w:rsid w:val="00ED018E"/>
    <w:rsid w:val="00ED7F00"/>
    <w:rsid w:val="00EE799B"/>
    <w:rsid w:val="00EF4FCA"/>
    <w:rsid w:val="00EF7524"/>
    <w:rsid w:val="00F00B1B"/>
    <w:rsid w:val="00F05F3D"/>
    <w:rsid w:val="00F15583"/>
    <w:rsid w:val="00F217E5"/>
    <w:rsid w:val="00F22402"/>
    <w:rsid w:val="00F234A4"/>
    <w:rsid w:val="00F267E8"/>
    <w:rsid w:val="00F345A4"/>
    <w:rsid w:val="00F42F30"/>
    <w:rsid w:val="00F4569E"/>
    <w:rsid w:val="00F5067B"/>
    <w:rsid w:val="00F507C9"/>
    <w:rsid w:val="00F5638F"/>
    <w:rsid w:val="00F618FE"/>
    <w:rsid w:val="00F7262E"/>
    <w:rsid w:val="00F72A7B"/>
    <w:rsid w:val="00F95487"/>
    <w:rsid w:val="00F9746E"/>
    <w:rsid w:val="00FA6FCD"/>
    <w:rsid w:val="00FB0265"/>
    <w:rsid w:val="00FB2D5F"/>
    <w:rsid w:val="00FB4B4C"/>
    <w:rsid w:val="00FD15F7"/>
    <w:rsid w:val="00FD2643"/>
    <w:rsid w:val="00FD494B"/>
    <w:rsid w:val="00FE0C2B"/>
    <w:rsid w:val="00FE5670"/>
    <w:rsid w:val="00FF3814"/>
    <w:rsid w:val="00FF6E66"/>
    <w:rsid w:val="45B695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55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73"/>
    <w:rPr>
      <w:rFonts w:ascii="Times New Roman" w:hAnsi="Times New Roman" w:cs="Times New Roman"/>
      <w:lang w:eastAsia="en-GB"/>
    </w:rPr>
  </w:style>
  <w:style w:type="paragraph" w:styleId="Heading1">
    <w:name w:val="heading 1"/>
    <w:basedOn w:val="Normal"/>
    <w:next w:val="Normal"/>
    <w:link w:val="Heading1Char"/>
    <w:uiPriority w:val="9"/>
    <w:qFormat/>
    <w:rsid w:val="00FE56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59C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14"/>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B10AA9"/>
    <w:rPr>
      <w:color w:val="0563C1" w:themeColor="hyperlink"/>
      <w:u w:val="single"/>
    </w:rPr>
  </w:style>
  <w:style w:type="character" w:styleId="FollowedHyperlink">
    <w:name w:val="FollowedHyperlink"/>
    <w:basedOn w:val="DefaultParagraphFont"/>
    <w:uiPriority w:val="99"/>
    <w:semiHidden/>
    <w:unhideWhenUsed/>
    <w:rsid w:val="00222124"/>
    <w:rPr>
      <w:color w:val="954F72" w:themeColor="followedHyperlink"/>
      <w:u w:val="single"/>
    </w:rPr>
  </w:style>
  <w:style w:type="paragraph" w:styleId="NormalWeb">
    <w:name w:val="Normal (Web)"/>
    <w:basedOn w:val="Normal"/>
    <w:uiPriority w:val="99"/>
    <w:unhideWhenUsed/>
    <w:rsid w:val="00AB5391"/>
    <w:pPr>
      <w:spacing w:before="100" w:beforeAutospacing="1" w:after="100" w:afterAutospacing="1"/>
    </w:pPr>
  </w:style>
  <w:style w:type="paragraph" w:styleId="FootnoteText">
    <w:name w:val="footnote text"/>
    <w:basedOn w:val="Normal"/>
    <w:link w:val="FootnoteTextChar"/>
    <w:uiPriority w:val="99"/>
    <w:unhideWhenUsed/>
    <w:rsid w:val="00695704"/>
  </w:style>
  <w:style w:type="character" w:customStyle="1" w:styleId="FootnoteTextChar">
    <w:name w:val="Footnote Text Char"/>
    <w:basedOn w:val="DefaultParagraphFont"/>
    <w:link w:val="FootnoteText"/>
    <w:uiPriority w:val="99"/>
    <w:rsid w:val="00695704"/>
    <w:rPr>
      <w:rFonts w:ascii="Times New Roman" w:hAnsi="Times New Roman" w:cs="Times New Roman"/>
      <w:lang w:eastAsia="en-GB"/>
    </w:rPr>
  </w:style>
  <w:style w:type="character" w:styleId="FootnoteReference">
    <w:name w:val="footnote reference"/>
    <w:basedOn w:val="DefaultParagraphFont"/>
    <w:uiPriority w:val="99"/>
    <w:unhideWhenUsed/>
    <w:rsid w:val="00695704"/>
    <w:rPr>
      <w:vertAlign w:val="superscript"/>
    </w:rPr>
  </w:style>
  <w:style w:type="character" w:customStyle="1" w:styleId="apple-converted-space">
    <w:name w:val="apple-converted-space"/>
    <w:basedOn w:val="DefaultParagraphFont"/>
    <w:rsid w:val="00255891"/>
  </w:style>
  <w:style w:type="character" w:styleId="CommentReference">
    <w:name w:val="annotation reference"/>
    <w:basedOn w:val="DefaultParagraphFont"/>
    <w:uiPriority w:val="99"/>
    <w:semiHidden/>
    <w:unhideWhenUsed/>
    <w:rsid w:val="00942E82"/>
    <w:rPr>
      <w:sz w:val="18"/>
      <w:szCs w:val="18"/>
    </w:rPr>
  </w:style>
  <w:style w:type="paragraph" w:styleId="CommentText">
    <w:name w:val="annotation text"/>
    <w:basedOn w:val="Normal"/>
    <w:link w:val="CommentTextChar"/>
    <w:uiPriority w:val="99"/>
    <w:semiHidden/>
    <w:unhideWhenUsed/>
    <w:rsid w:val="00942E82"/>
  </w:style>
  <w:style w:type="character" w:customStyle="1" w:styleId="CommentTextChar">
    <w:name w:val="Comment Text Char"/>
    <w:basedOn w:val="DefaultParagraphFont"/>
    <w:link w:val="CommentText"/>
    <w:uiPriority w:val="99"/>
    <w:semiHidden/>
    <w:rsid w:val="00942E82"/>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942E82"/>
    <w:rPr>
      <w:b/>
      <w:bCs/>
      <w:sz w:val="20"/>
      <w:szCs w:val="20"/>
    </w:rPr>
  </w:style>
  <w:style w:type="character" w:customStyle="1" w:styleId="CommentSubjectChar">
    <w:name w:val="Comment Subject Char"/>
    <w:basedOn w:val="CommentTextChar"/>
    <w:link w:val="CommentSubject"/>
    <w:uiPriority w:val="99"/>
    <w:semiHidden/>
    <w:rsid w:val="00942E82"/>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E82"/>
    <w:rPr>
      <w:sz w:val="18"/>
      <w:szCs w:val="18"/>
    </w:rPr>
  </w:style>
  <w:style w:type="character" w:customStyle="1" w:styleId="BalloonTextChar">
    <w:name w:val="Balloon Text Char"/>
    <w:basedOn w:val="DefaultParagraphFont"/>
    <w:link w:val="BalloonText"/>
    <w:uiPriority w:val="99"/>
    <w:semiHidden/>
    <w:rsid w:val="00942E82"/>
    <w:rPr>
      <w:rFonts w:ascii="Times New Roman" w:hAnsi="Times New Roman" w:cs="Times New Roman"/>
      <w:sz w:val="18"/>
      <w:szCs w:val="18"/>
      <w:lang w:eastAsia="en-GB"/>
    </w:rPr>
  </w:style>
  <w:style w:type="character" w:customStyle="1" w:styleId="searchterm">
    <w:name w:val="searchterm"/>
    <w:basedOn w:val="DefaultParagraphFont"/>
    <w:rsid w:val="00EF4FCA"/>
  </w:style>
  <w:style w:type="character" w:styleId="Emphasis">
    <w:name w:val="Emphasis"/>
    <w:basedOn w:val="DefaultParagraphFont"/>
    <w:uiPriority w:val="20"/>
    <w:qFormat/>
    <w:rsid w:val="00EF4FCA"/>
    <w:rPr>
      <w:i/>
      <w:iCs/>
    </w:rPr>
  </w:style>
  <w:style w:type="character" w:customStyle="1" w:styleId="Heading2Char">
    <w:name w:val="Heading 2 Char"/>
    <w:basedOn w:val="DefaultParagraphFont"/>
    <w:link w:val="Heading2"/>
    <w:uiPriority w:val="9"/>
    <w:rsid w:val="002E59C1"/>
    <w:rPr>
      <w:rFonts w:ascii="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FE5670"/>
    <w:rPr>
      <w:rFonts w:asciiTheme="majorHAnsi" w:eastAsiaTheme="majorEastAsia" w:hAnsiTheme="majorHAnsi" w:cstheme="majorBidi"/>
      <w:color w:val="2F5496" w:themeColor="accent1" w:themeShade="BF"/>
      <w:sz w:val="32"/>
      <w:szCs w:val="32"/>
      <w:lang w:eastAsia="en-GB"/>
    </w:rPr>
  </w:style>
  <w:style w:type="paragraph" w:customStyle="1" w:styleId="descript">
    <w:name w:val="descript"/>
    <w:basedOn w:val="Normal"/>
    <w:rsid w:val="00FE5670"/>
    <w:pPr>
      <w:spacing w:before="100" w:beforeAutospacing="1" w:after="100" w:afterAutospacing="1"/>
    </w:pPr>
  </w:style>
  <w:style w:type="character" w:customStyle="1" w:styleId="st1">
    <w:name w:val="st1"/>
    <w:basedOn w:val="DefaultParagraphFont"/>
    <w:rsid w:val="00F05F3D"/>
  </w:style>
  <w:style w:type="character" w:customStyle="1" w:styleId="ilfuvd">
    <w:name w:val="ilfuvd"/>
    <w:basedOn w:val="DefaultParagraphFont"/>
    <w:rsid w:val="00F05F3D"/>
  </w:style>
  <w:style w:type="character" w:styleId="Strong">
    <w:name w:val="Strong"/>
    <w:basedOn w:val="DefaultParagraphFont"/>
    <w:uiPriority w:val="22"/>
    <w:qFormat/>
    <w:rsid w:val="00252448"/>
    <w:rPr>
      <w:b/>
      <w:bCs/>
    </w:rPr>
  </w:style>
  <w:style w:type="paragraph" w:styleId="Header">
    <w:name w:val="header"/>
    <w:basedOn w:val="Normal"/>
    <w:link w:val="HeaderChar"/>
    <w:uiPriority w:val="99"/>
    <w:unhideWhenUsed/>
    <w:rsid w:val="00920A7B"/>
    <w:pPr>
      <w:tabs>
        <w:tab w:val="center" w:pos="4513"/>
        <w:tab w:val="right" w:pos="9026"/>
      </w:tabs>
    </w:pPr>
  </w:style>
  <w:style w:type="character" w:customStyle="1" w:styleId="HeaderChar">
    <w:name w:val="Header Char"/>
    <w:basedOn w:val="DefaultParagraphFont"/>
    <w:link w:val="Header"/>
    <w:uiPriority w:val="99"/>
    <w:rsid w:val="00920A7B"/>
    <w:rPr>
      <w:rFonts w:ascii="Times New Roman" w:hAnsi="Times New Roman" w:cs="Times New Roman"/>
      <w:lang w:eastAsia="en-GB"/>
    </w:rPr>
  </w:style>
  <w:style w:type="paragraph" w:styleId="Footer">
    <w:name w:val="footer"/>
    <w:basedOn w:val="Normal"/>
    <w:link w:val="FooterChar"/>
    <w:uiPriority w:val="99"/>
    <w:unhideWhenUsed/>
    <w:rsid w:val="00920A7B"/>
    <w:pPr>
      <w:tabs>
        <w:tab w:val="center" w:pos="4513"/>
        <w:tab w:val="right" w:pos="9026"/>
      </w:tabs>
    </w:pPr>
  </w:style>
  <w:style w:type="character" w:customStyle="1" w:styleId="FooterChar">
    <w:name w:val="Footer Char"/>
    <w:basedOn w:val="DefaultParagraphFont"/>
    <w:link w:val="Footer"/>
    <w:uiPriority w:val="99"/>
    <w:rsid w:val="00920A7B"/>
    <w:rPr>
      <w:rFonts w:ascii="Times New Roman" w:hAnsi="Times New Roman" w:cs="Times New Roman"/>
      <w:lang w:eastAsia="en-GB"/>
    </w:rPr>
  </w:style>
  <w:style w:type="paragraph" w:customStyle="1" w:styleId="c09marge0avecretrait">
    <w:name w:val="c09marge0avecretrait"/>
    <w:basedOn w:val="Normal"/>
    <w:rsid w:val="00520A7E"/>
    <w:pPr>
      <w:spacing w:before="100" w:beforeAutospacing="1" w:after="100" w:afterAutospacing="1"/>
    </w:pPr>
  </w:style>
  <w:style w:type="paragraph" w:customStyle="1" w:styleId="c01pointaltn">
    <w:name w:val="c01pointaltn"/>
    <w:basedOn w:val="Normal"/>
    <w:rsid w:val="002432FD"/>
    <w:pPr>
      <w:spacing w:before="100" w:beforeAutospacing="1" w:after="100" w:afterAutospacing="1"/>
    </w:pPr>
  </w:style>
  <w:style w:type="paragraph" w:customStyle="1" w:styleId="p1">
    <w:name w:val="p1"/>
    <w:basedOn w:val="Normal"/>
    <w:rsid w:val="005E60E6"/>
    <w:rPr>
      <w:rFonts w:ascii="Helvetica" w:hAnsi="Helvetica"/>
      <w:sz w:val="18"/>
      <w:szCs w:val="18"/>
    </w:rPr>
  </w:style>
  <w:style w:type="character" w:customStyle="1" w:styleId="s1">
    <w:name w:val="s1"/>
    <w:basedOn w:val="DefaultParagraphFont"/>
    <w:rsid w:val="00B679B8"/>
    <w:rPr>
      <w:rFonts w:ascii="Helvetica" w:hAnsi="Helvetica" w:hint="default"/>
      <w:sz w:val="12"/>
      <w:szCs w:val="12"/>
    </w:rPr>
  </w:style>
  <w:style w:type="character" w:customStyle="1" w:styleId="firstword">
    <w:name w:val="firstword"/>
    <w:basedOn w:val="DefaultParagraphFont"/>
    <w:rsid w:val="008D69F7"/>
  </w:style>
  <w:style w:type="paragraph" w:styleId="EndnoteText">
    <w:name w:val="endnote text"/>
    <w:basedOn w:val="Normal"/>
    <w:link w:val="EndnoteTextChar"/>
    <w:uiPriority w:val="99"/>
    <w:unhideWhenUsed/>
    <w:rsid w:val="001548DA"/>
  </w:style>
  <w:style w:type="character" w:customStyle="1" w:styleId="EndnoteTextChar">
    <w:name w:val="Endnote Text Char"/>
    <w:basedOn w:val="DefaultParagraphFont"/>
    <w:link w:val="EndnoteText"/>
    <w:uiPriority w:val="99"/>
    <w:rsid w:val="001548DA"/>
    <w:rPr>
      <w:rFonts w:ascii="Times New Roman" w:hAnsi="Times New Roman" w:cs="Times New Roman"/>
      <w:lang w:eastAsia="en-GB"/>
    </w:rPr>
  </w:style>
  <w:style w:type="character" w:styleId="EndnoteReference">
    <w:name w:val="endnote reference"/>
    <w:basedOn w:val="DefaultParagraphFont"/>
    <w:uiPriority w:val="99"/>
    <w:unhideWhenUsed/>
    <w:rsid w:val="001548DA"/>
    <w:rPr>
      <w:vertAlign w:val="superscript"/>
    </w:rPr>
  </w:style>
  <w:style w:type="character" w:customStyle="1" w:styleId="publication-metatype">
    <w:name w:val="publication-meta__type"/>
    <w:basedOn w:val="DefaultParagraphFont"/>
    <w:rsid w:val="0024504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1123">
      <w:bodyDiv w:val="1"/>
      <w:marLeft w:val="0"/>
      <w:marRight w:val="0"/>
      <w:marTop w:val="0"/>
      <w:marBottom w:val="0"/>
      <w:divBdr>
        <w:top w:val="none" w:sz="0" w:space="0" w:color="auto"/>
        <w:left w:val="none" w:sz="0" w:space="0" w:color="auto"/>
        <w:bottom w:val="none" w:sz="0" w:space="0" w:color="auto"/>
        <w:right w:val="none" w:sz="0" w:space="0" w:color="auto"/>
      </w:divBdr>
    </w:div>
    <w:div w:id="57167918">
      <w:bodyDiv w:val="1"/>
      <w:marLeft w:val="0"/>
      <w:marRight w:val="0"/>
      <w:marTop w:val="0"/>
      <w:marBottom w:val="0"/>
      <w:divBdr>
        <w:top w:val="none" w:sz="0" w:space="0" w:color="auto"/>
        <w:left w:val="none" w:sz="0" w:space="0" w:color="auto"/>
        <w:bottom w:val="none" w:sz="0" w:space="0" w:color="auto"/>
        <w:right w:val="none" w:sz="0" w:space="0" w:color="auto"/>
      </w:divBdr>
      <w:divsChild>
        <w:div w:id="1890258942">
          <w:marLeft w:val="0"/>
          <w:marRight w:val="0"/>
          <w:marTop w:val="0"/>
          <w:marBottom w:val="0"/>
          <w:divBdr>
            <w:top w:val="none" w:sz="0" w:space="0" w:color="auto"/>
            <w:left w:val="none" w:sz="0" w:space="0" w:color="auto"/>
            <w:bottom w:val="none" w:sz="0" w:space="0" w:color="auto"/>
            <w:right w:val="none" w:sz="0" w:space="0" w:color="auto"/>
          </w:divBdr>
          <w:divsChild>
            <w:div w:id="2061787492">
              <w:marLeft w:val="0"/>
              <w:marRight w:val="0"/>
              <w:marTop w:val="0"/>
              <w:marBottom w:val="0"/>
              <w:divBdr>
                <w:top w:val="none" w:sz="0" w:space="0" w:color="auto"/>
                <w:left w:val="none" w:sz="0" w:space="0" w:color="auto"/>
                <w:bottom w:val="none" w:sz="0" w:space="0" w:color="auto"/>
                <w:right w:val="none" w:sz="0" w:space="0" w:color="auto"/>
              </w:divBdr>
              <w:divsChild>
                <w:div w:id="19189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3114">
      <w:bodyDiv w:val="1"/>
      <w:marLeft w:val="0"/>
      <w:marRight w:val="0"/>
      <w:marTop w:val="0"/>
      <w:marBottom w:val="0"/>
      <w:divBdr>
        <w:top w:val="none" w:sz="0" w:space="0" w:color="auto"/>
        <w:left w:val="none" w:sz="0" w:space="0" w:color="auto"/>
        <w:bottom w:val="none" w:sz="0" w:space="0" w:color="auto"/>
        <w:right w:val="none" w:sz="0" w:space="0" w:color="auto"/>
      </w:divBdr>
    </w:div>
    <w:div w:id="136845207">
      <w:bodyDiv w:val="1"/>
      <w:marLeft w:val="0"/>
      <w:marRight w:val="0"/>
      <w:marTop w:val="0"/>
      <w:marBottom w:val="0"/>
      <w:divBdr>
        <w:top w:val="none" w:sz="0" w:space="0" w:color="auto"/>
        <w:left w:val="none" w:sz="0" w:space="0" w:color="auto"/>
        <w:bottom w:val="none" w:sz="0" w:space="0" w:color="auto"/>
        <w:right w:val="none" w:sz="0" w:space="0" w:color="auto"/>
      </w:divBdr>
    </w:div>
    <w:div w:id="140653895">
      <w:bodyDiv w:val="1"/>
      <w:marLeft w:val="0"/>
      <w:marRight w:val="0"/>
      <w:marTop w:val="0"/>
      <w:marBottom w:val="0"/>
      <w:divBdr>
        <w:top w:val="none" w:sz="0" w:space="0" w:color="auto"/>
        <w:left w:val="none" w:sz="0" w:space="0" w:color="auto"/>
        <w:bottom w:val="none" w:sz="0" w:space="0" w:color="auto"/>
        <w:right w:val="none" w:sz="0" w:space="0" w:color="auto"/>
      </w:divBdr>
    </w:div>
    <w:div w:id="160776033">
      <w:bodyDiv w:val="1"/>
      <w:marLeft w:val="0"/>
      <w:marRight w:val="0"/>
      <w:marTop w:val="0"/>
      <w:marBottom w:val="0"/>
      <w:divBdr>
        <w:top w:val="none" w:sz="0" w:space="0" w:color="auto"/>
        <w:left w:val="none" w:sz="0" w:space="0" w:color="auto"/>
        <w:bottom w:val="none" w:sz="0" w:space="0" w:color="auto"/>
        <w:right w:val="none" w:sz="0" w:space="0" w:color="auto"/>
      </w:divBdr>
    </w:div>
    <w:div w:id="271203242">
      <w:bodyDiv w:val="1"/>
      <w:marLeft w:val="0"/>
      <w:marRight w:val="0"/>
      <w:marTop w:val="0"/>
      <w:marBottom w:val="0"/>
      <w:divBdr>
        <w:top w:val="none" w:sz="0" w:space="0" w:color="auto"/>
        <w:left w:val="none" w:sz="0" w:space="0" w:color="auto"/>
        <w:bottom w:val="none" w:sz="0" w:space="0" w:color="auto"/>
        <w:right w:val="none" w:sz="0" w:space="0" w:color="auto"/>
      </w:divBdr>
    </w:div>
    <w:div w:id="294532327">
      <w:bodyDiv w:val="1"/>
      <w:marLeft w:val="0"/>
      <w:marRight w:val="0"/>
      <w:marTop w:val="0"/>
      <w:marBottom w:val="0"/>
      <w:divBdr>
        <w:top w:val="none" w:sz="0" w:space="0" w:color="auto"/>
        <w:left w:val="none" w:sz="0" w:space="0" w:color="auto"/>
        <w:bottom w:val="none" w:sz="0" w:space="0" w:color="auto"/>
        <w:right w:val="none" w:sz="0" w:space="0" w:color="auto"/>
      </w:divBdr>
    </w:div>
    <w:div w:id="337663195">
      <w:bodyDiv w:val="1"/>
      <w:marLeft w:val="0"/>
      <w:marRight w:val="0"/>
      <w:marTop w:val="0"/>
      <w:marBottom w:val="0"/>
      <w:divBdr>
        <w:top w:val="none" w:sz="0" w:space="0" w:color="auto"/>
        <w:left w:val="none" w:sz="0" w:space="0" w:color="auto"/>
        <w:bottom w:val="none" w:sz="0" w:space="0" w:color="auto"/>
        <w:right w:val="none" w:sz="0" w:space="0" w:color="auto"/>
      </w:divBdr>
    </w:div>
    <w:div w:id="394738911">
      <w:bodyDiv w:val="1"/>
      <w:marLeft w:val="375"/>
      <w:marRight w:val="375"/>
      <w:marTop w:val="75"/>
      <w:marBottom w:val="75"/>
      <w:divBdr>
        <w:top w:val="none" w:sz="0" w:space="0" w:color="auto"/>
        <w:left w:val="none" w:sz="0" w:space="0" w:color="auto"/>
        <w:bottom w:val="none" w:sz="0" w:space="0" w:color="auto"/>
        <w:right w:val="none" w:sz="0" w:space="0" w:color="auto"/>
      </w:divBdr>
      <w:divsChild>
        <w:div w:id="2101484950">
          <w:marLeft w:val="0"/>
          <w:marRight w:val="0"/>
          <w:marTop w:val="0"/>
          <w:marBottom w:val="60"/>
          <w:divBdr>
            <w:top w:val="none" w:sz="0" w:space="0" w:color="auto"/>
            <w:left w:val="none" w:sz="0" w:space="0" w:color="auto"/>
            <w:bottom w:val="none" w:sz="0" w:space="0" w:color="auto"/>
            <w:right w:val="none" w:sz="0" w:space="0" w:color="auto"/>
          </w:divBdr>
          <w:divsChild>
            <w:div w:id="1915387432">
              <w:marLeft w:val="180"/>
              <w:marRight w:val="180"/>
              <w:marTop w:val="30"/>
              <w:marBottom w:val="0"/>
              <w:divBdr>
                <w:top w:val="none" w:sz="0" w:space="0" w:color="auto"/>
                <w:left w:val="none" w:sz="0" w:space="0" w:color="auto"/>
                <w:bottom w:val="none" w:sz="0" w:space="0" w:color="auto"/>
                <w:right w:val="none" w:sz="0" w:space="0" w:color="auto"/>
              </w:divBdr>
              <w:divsChild>
                <w:div w:id="628705338">
                  <w:marLeft w:val="0"/>
                  <w:marRight w:val="0"/>
                  <w:marTop w:val="0"/>
                  <w:marBottom w:val="0"/>
                  <w:divBdr>
                    <w:top w:val="none" w:sz="0" w:space="0" w:color="auto"/>
                    <w:left w:val="none" w:sz="0" w:space="0" w:color="auto"/>
                    <w:bottom w:val="none" w:sz="0" w:space="0" w:color="auto"/>
                    <w:right w:val="none" w:sz="0" w:space="0" w:color="auto"/>
                  </w:divBdr>
                  <w:divsChild>
                    <w:div w:id="183326684">
                      <w:marLeft w:val="3600"/>
                      <w:marRight w:val="0"/>
                      <w:marTop w:val="0"/>
                      <w:marBottom w:val="0"/>
                      <w:divBdr>
                        <w:top w:val="none" w:sz="0" w:space="0" w:color="auto"/>
                        <w:left w:val="none" w:sz="0" w:space="0" w:color="auto"/>
                        <w:bottom w:val="none" w:sz="0" w:space="0" w:color="auto"/>
                        <w:right w:val="none" w:sz="0" w:space="0" w:color="auto"/>
                      </w:divBdr>
                      <w:divsChild>
                        <w:div w:id="1055473255">
                          <w:marLeft w:val="0"/>
                          <w:marRight w:val="0"/>
                          <w:marTop w:val="0"/>
                          <w:marBottom w:val="0"/>
                          <w:divBdr>
                            <w:top w:val="none" w:sz="0" w:space="0" w:color="auto"/>
                            <w:left w:val="none" w:sz="0" w:space="0" w:color="auto"/>
                            <w:bottom w:val="none" w:sz="0" w:space="0" w:color="auto"/>
                            <w:right w:val="none" w:sz="0" w:space="0" w:color="auto"/>
                          </w:divBdr>
                          <w:divsChild>
                            <w:div w:id="99304387">
                              <w:marLeft w:val="300"/>
                              <w:marRight w:val="0"/>
                              <w:marTop w:val="0"/>
                              <w:marBottom w:val="0"/>
                              <w:divBdr>
                                <w:top w:val="none" w:sz="0" w:space="0" w:color="auto"/>
                                <w:left w:val="none" w:sz="0" w:space="0" w:color="auto"/>
                                <w:bottom w:val="none" w:sz="0" w:space="0" w:color="auto"/>
                                <w:right w:val="none" w:sz="0" w:space="0" w:color="auto"/>
                              </w:divBdr>
                              <w:divsChild>
                                <w:div w:id="1511868084">
                                  <w:marLeft w:val="0"/>
                                  <w:marRight w:val="0"/>
                                  <w:marTop w:val="0"/>
                                  <w:marBottom w:val="0"/>
                                  <w:divBdr>
                                    <w:top w:val="none" w:sz="0" w:space="0" w:color="auto"/>
                                    <w:left w:val="none" w:sz="0" w:space="0" w:color="auto"/>
                                    <w:bottom w:val="none" w:sz="0" w:space="0" w:color="auto"/>
                                    <w:right w:val="none" w:sz="0" w:space="0" w:color="auto"/>
                                  </w:divBdr>
                                  <w:divsChild>
                                    <w:div w:id="2090421122">
                                      <w:marLeft w:val="0"/>
                                      <w:marRight w:val="480"/>
                                      <w:marTop w:val="480"/>
                                      <w:marBottom w:val="480"/>
                                      <w:divBdr>
                                        <w:top w:val="none" w:sz="0" w:space="0" w:color="auto"/>
                                        <w:left w:val="none" w:sz="0" w:space="0" w:color="auto"/>
                                        <w:bottom w:val="none" w:sz="0" w:space="0" w:color="auto"/>
                                        <w:right w:val="none" w:sz="0" w:space="0" w:color="auto"/>
                                      </w:divBdr>
                                      <w:divsChild>
                                        <w:div w:id="153237336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58871">
      <w:bodyDiv w:val="1"/>
      <w:marLeft w:val="0"/>
      <w:marRight w:val="0"/>
      <w:marTop w:val="0"/>
      <w:marBottom w:val="0"/>
      <w:divBdr>
        <w:top w:val="none" w:sz="0" w:space="0" w:color="auto"/>
        <w:left w:val="none" w:sz="0" w:space="0" w:color="auto"/>
        <w:bottom w:val="none" w:sz="0" w:space="0" w:color="auto"/>
        <w:right w:val="none" w:sz="0" w:space="0" w:color="auto"/>
      </w:divBdr>
    </w:div>
    <w:div w:id="489954101">
      <w:bodyDiv w:val="1"/>
      <w:marLeft w:val="0"/>
      <w:marRight w:val="0"/>
      <w:marTop w:val="0"/>
      <w:marBottom w:val="0"/>
      <w:divBdr>
        <w:top w:val="none" w:sz="0" w:space="0" w:color="auto"/>
        <w:left w:val="none" w:sz="0" w:space="0" w:color="auto"/>
        <w:bottom w:val="none" w:sz="0" w:space="0" w:color="auto"/>
        <w:right w:val="none" w:sz="0" w:space="0" w:color="auto"/>
      </w:divBdr>
    </w:div>
    <w:div w:id="545458889">
      <w:bodyDiv w:val="1"/>
      <w:marLeft w:val="0"/>
      <w:marRight w:val="0"/>
      <w:marTop w:val="0"/>
      <w:marBottom w:val="0"/>
      <w:divBdr>
        <w:top w:val="none" w:sz="0" w:space="0" w:color="auto"/>
        <w:left w:val="none" w:sz="0" w:space="0" w:color="auto"/>
        <w:bottom w:val="none" w:sz="0" w:space="0" w:color="auto"/>
        <w:right w:val="none" w:sz="0" w:space="0" w:color="auto"/>
      </w:divBdr>
    </w:div>
    <w:div w:id="559485659">
      <w:bodyDiv w:val="1"/>
      <w:marLeft w:val="0"/>
      <w:marRight w:val="0"/>
      <w:marTop w:val="0"/>
      <w:marBottom w:val="0"/>
      <w:divBdr>
        <w:top w:val="none" w:sz="0" w:space="0" w:color="auto"/>
        <w:left w:val="none" w:sz="0" w:space="0" w:color="auto"/>
        <w:bottom w:val="none" w:sz="0" w:space="0" w:color="auto"/>
        <w:right w:val="none" w:sz="0" w:space="0" w:color="auto"/>
      </w:divBdr>
    </w:div>
    <w:div w:id="565916999">
      <w:bodyDiv w:val="1"/>
      <w:marLeft w:val="0"/>
      <w:marRight w:val="0"/>
      <w:marTop w:val="0"/>
      <w:marBottom w:val="0"/>
      <w:divBdr>
        <w:top w:val="none" w:sz="0" w:space="0" w:color="auto"/>
        <w:left w:val="none" w:sz="0" w:space="0" w:color="auto"/>
        <w:bottom w:val="none" w:sz="0" w:space="0" w:color="auto"/>
        <w:right w:val="none" w:sz="0" w:space="0" w:color="auto"/>
      </w:divBdr>
    </w:div>
    <w:div w:id="623737362">
      <w:bodyDiv w:val="1"/>
      <w:marLeft w:val="0"/>
      <w:marRight w:val="0"/>
      <w:marTop w:val="0"/>
      <w:marBottom w:val="0"/>
      <w:divBdr>
        <w:top w:val="none" w:sz="0" w:space="0" w:color="auto"/>
        <w:left w:val="none" w:sz="0" w:space="0" w:color="auto"/>
        <w:bottom w:val="none" w:sz="0" w:space="0" w:color="auto"/>
        <w:right w:val="none" w:sz="0" w:space="0" w:color="auto"/>
      </w:divBdr>
    </w:div>
    <w:div w:id="728695910">
      <w:bodyDiv w:val="1"/>
      <w:marLeft w:val="0"/>
      <w:marRight w:val="0"/>
      <w:marTop w:val="0"/>
      <w:marBottom w:val="0"/>
      <w:divBdr>
        <w:top w:val="none" w:sz="0" w:space="0" w:color="auto"/>
        <w:left w:val="none" w:sz="0" w:space="0" w:color="auto"/>
        <w:bottom w:val="none" w:sz="0" w:space="0" w:color="auto"/>
        <w:right w:val="none" w:sz="0" w:space="0" w:color="auto"/>
      </w:divBdr>
    </w:div>
    <w:div w:id="735398771">
      <w:bodyDiv w:val="1"/>
      <w:marLeft w:val="0"/>
      <w:marRight w:val="0"/>
      <w:marTop w:val="0"/>
      <w:marBottom w:val="0"/>
      <w:divBdr>
        <w:top w:val="none" w:sz="0" w:space="0" w:color="auto"/>
        <w:left w:val="none" w:sz="0" w:space="0" w:color="auto"/>
        <w:bottom w:val="none" w:sz="0" w:space="0" w:color="auto"/>
        <w:right w:val="none" w:sz="0" w:space="0" w:color="auto"/>
      </w:divBdr>
    </w:div>
    <w:div w:id="781799379">
      <w:bodyDiv w:val="1"/>
      <w:marLeft w:val="0"/>
      <w:marRight w:val="0"/>
      <w:marTop w:val="0"/>
      <w:marBottom w:val="0"/>
      <w:divBdr>
        <w:top w:val="none" w:sz="0" w:space="0" w:color="auto"/>
        <w:left w:val="none" w:sz="0" w:space="0" w:color="auto"/>
        <w:bottom w:val="none" w:sz="0" w:space="0" w:color="auto"/>
        <w:right w:val="none" w:sz="0" w:space="0" w:color="auto"/>
      </w:divBdr>
    </w:div>
    <w:div w:id="807011777">
      <w:bodyDiv w:val="1"/>
      <w:marLeft w:val="0"/>
      <w:marRight w:val="0"/>
      <w:marTop w:val="0"/>
      <w:marBottom w:val="0"/>
      <w:divBdr>
        <w:top w:val="none" w:sz="0" w:space="0" w:color="auto"/>
        <w:left w:val="none" w:sz="0" w:space="0" w:color="auto"/>
        <w:bottom w:val="none" w:sz="0" w:space="0" w:color="auto"/>
        <w:right w:val="none" w:sz="0" w:space="0" w:color="auto"/>
      </w:divBdr>
    </w:div>
    <w:div w:id="832184035">
      <w:bodyDiv w:val="1"/>
      <w:marLeft w:val="0"/>
      <w:marRight w:val="0"/>
      <w:marTop w:val="0"/>
      <w:marBottom w:val="0"/>
      <w:divBdr>
        <w:top w:val="none" w:sz="0" w:space="0" w:color="auto"/>
        <w:left w:val="none" w:sz="0" w:space="0" w:color="auto"/>
        <w:bottom w:val="none" w:sz="0" w:space="0" w:color="auto"/>
        <w:right w:val="none" w:sz="0" w:space="0" w:color="auto"/>
      </w:divBdr>
    </w:div>
    <w:div w:id="856775566">
      <w:bodyDiv w:val="1"/>
      <w:marLeft w:val="0"/>
      <w:marRight w:val="0"/>
      <w:marTop w:val="0"/>
      <w:marBottom w:val="0"/>
      <w:divBdr>
        <w:top w:val="none" w:sz="0" w:space="0" w:color="auto"/>
        <w:left w:val="none" w:sz="0" w:space="0" w:color="auto"/>
        <w:bottom w:val="none" w:sz="0" w:space="0" w:color="auto"/>
        <w:right w:val="none" w:sz="0" w:space="0" w:color="auto"/>
      </w:divBdr>
    </w:div>
    <w:div w:id="905839440">
      <w:bodyDiv w:val="1"/>
      <w:marLeft w:val="0"/>
      <w:marRight w:val="0"/>
      <w:marTop w:val="0"/>
      <w:marBottom w:val="0"/>
      <w:divBdr>
        <w:top w:val="none" w:sz="0" w:space="0" w:color="auto"/>
        <w:left w:val="none" w:sz="0" w:space="0" w:color="auto"/>
        <w:bottom w:val="none" w:sz="0" w:space="0" w:color="auto"/>
        <w:right w:val="none" w:sz="0" w:space="0" w:color="auto"/>
      </w:divBdr>
    </w:div>
    <w:div w:id="918563747">
      <w:bodyDiv w:val="1"/>
      <w:marLeft w:val="0"/>
      <w:marRight w:val="0"/>
      <w:marTop w:val="0"/>
      <w:marBottom w:val="0"/>
      <w:divBdr>
        <w:top w:val="none" w:sz="0" w:space="0" w:color="auto"/>
        <w:left w:val="none" w:sz="0" w:space="0" w:color="auto"/>
        <w:bottom w:val="none" w:sz="0" w:space="0" w:color="auto"/>
        <w:right w:val="none" w:sz="0" w:space="0" w:color="auto"/>
      </w:divBdr>
    </w:div>
    <w:div w:id="980962217">
      <w:bodyDiv w:val="1"/>
      <w:marLeft w:val="0"/>
      <w:marRight w:val="0"/>
      <w:marTop w:val="0"/>
      <w:marBottom w:val="0"/>
      <w:divBdr>
        <w:top w:val="none" w:sz="0" w:space="0" w:color="auto"/>
        <w:left w:val="none" w:sz="0" w:space="0" w:color="auto"/>
        <w:bottom w:val="none" w:sz="0" w:space="0" w:color="auto"/>
        <w:right w:val="none" w:sz="0" w:space="0" w:color="auto"/>
      </w:divBdr>
    </w:div>
    <w:div w:id="996228608">
      <w:bodyDiv w:val="1"/>
      <w:marLeft w:val="0"/>
      <w:marRight w:val="0"/>
      <w:marTop w:val="0"/>
      <w:marBottom w:val="0"/>
      <w:divBdr>
        <w:top w:val="none" w:sz="0" w:space="0" w:color="auto"/>
        <w:left w:val="none" w:sz="0" w:space="0" w:color="auto"/>
        <w:bottom w:val="none" w:sz="0" w:space="0" w:color="auto"/>
        <w:right w:val="none" w:sz="0" w:space="0" w:color="auto"/>
      </w:divBdr>
    </w:div>
    <w:div w:id="1105733047">
      <w:bodyDiv w:val="1"/>
      <w:marLeft w:val="0"/>
      <w:marRight w:val="0"/>
      <w:marTop w:val="0"/>
      <w:marBottom w:val="0"/>
      <w:divBdr>
        <w:top w:val="none" w:sz="0" w:space="0" w:color="auto"/>
        <w:left w:val="none" w:sz="0" w:space="0" w:color="auto"/>
        <w:bottom w:val="none" w:sz="0" w:space="0" w:color="auto"/>
        <w:right w:val="none" w:sz="0" w:space="0" w:color="auto"/>
      </w:divBdr>
    </w:div>
    <w:div w:id="1144541670">
      <w:bodyDiv w:val="1"/>
      <w:marLeft w:val="0"/>
      <w:marRight w:val="0"/>
      <w:marTop w:val="0"/>
      <w:marBottom w:val="0"/>
      <w:divBdr>
        <w:top w:val="none" w:sz="0" w:space="0" w:color="auto"/>
        <w:left w:val="none" w:sz="0" w:space="0" w:color="auto"/>
        <w:bottom w:val="none" w:sz="0" w:space="0" w:color="auto"/>
        <w:right w:val="none" w:sz="0" w:space="0" w:color="auto"/>
      </w:divBdr>
    </w:div>
    <w:div w:id="1315337769">
      <w:bodyDiv w:val="1"/>
      <w:marLeft w:val="0"/>
      <w:marRight w:val="0"/>
      <w:marTop w:val="0"/>
      <w:marBottom w:val="0"/>
      <w:divBdr>
        <w:top w:val="none" w:sz="0" w:space="0" w:color="auto"/>
        <w:left w:val="none" w:sz="0" w:space="0" w:color="auto"/>
        <w:bottom w:val="none" w:sz="0" w:space="0" w:color="auto"/>
        <w:right w:val="none" w:sz="0" w:space="0" w:color="auto"/>
      </w:divBdr>
    </w:div>
    <w:div w:id="1333873063">
      <w:bodyDiv w:val="1"/>
      <w:marLeft w:val="0"/>
      <w:marRight w:val="0"/>
      <w:marTop w:val="0"/>
      <w:marBottom w:val="0"/>
      <w:divBdr>
        <w:top w:val="none" w:sz="0" w:space="0" w:color="auto"/>
        <w:left w:val="none" w:sz="0" w:space="0" w:color="auto"/>
        <w:bottom w:val="none" w:sz="0" w:space="0" w:color="auto"/>
        <w:right w:val="none" w:sz="0" w:space="0" w:color="auto"/>
      </w:divBdr>
    </w:div>
    <w:div w:id="1334602024">
      <w:bodyDiv w:val="1"/>
      <w:marLeft w:val="0"/>
      <w:marRight w:val="0"/>
      <w:marTop w:val="0"/>
      <w:marBottom w:val="0"/>
      <w:divBdr>
        <w:top w:val="none" w:sz="0" w:space="0" w:color="auto"/>
        <w:left w:val="none" w:sz="0" w:space="0" w:color="auto"/>
        <w:bottom w:val="none" w:sz="0" w:space="0" w:color="auto"/>
        <w:right w:val="none" w:sz="0" w:space="0" w:color="auto"/>
      </w:divBdr>
    </w:div>
    <w:div w:id="1340504361">
      <w:bodyDiv w:val="1"/>
      <w:marLeft w:val="0"/>
      <w:marRight w:val="0"/>
      <w:marTop w:val="0"/>
      <w:marBottom w:val="0"/>
      <w:divBdr>
        <w:top w:val="none" w:sz="0" w:space="0" w:color="auto"/>
        <w:left w:val="none" w:sz="0" w:space="0" w:color="auto"/>
        <w:bottom w:val="none" w:sz="0" w:space="0" w:color="auto"/>
        <w:right w:val="none" w:sz="0" w:space="0" w:color="auto"/>
      </w:divBdr>
    </w:div>
    <w:div w:id="1373388042">
      <w:bodyDiv w:val="1"/>
      <w:marLeft w:val="0"/>
      <w:marRight w:val="0"/>
      <w:marTop w:val="0"/>
      <w:marBottom w:val="0"/>
      <w:divBdr>
        <w:top w:val="none" w:sz="0" w:space="0" w:color="auto"/>
        <w:left w:val="none" w:sz="0" w:space="0" w:color="auto"/>
        <w:bottom w:val="none" w:sz="0" w:space="0" w:color="auto"/>
        <w:right w:val="none" w:sz="0" w:space="0" w:color="auto"/>
      </w:divBdr>
    </w:div>
    <w:div w:id="1510292188">
      <w:bodyDiv w:val="1"/>
      <w:marLeft w:val="0"/>
      <w:marRight w:val="0"/>
      <w:marTop w:val="0"/>
      <w:marBottom w:val="0"/>
      <w:divBdr>
        <w:top w:val="none" w:sz="0" w:space="0" w:color="auto"/>
        <w:left w:val="none" w:sz="0" w:space="0" w:color="auto"/>
        <w:bottom w:val="none" w:sz="0" w:space="0" w:color="auto"/>
        <w:right w:val="none" w:sz="0" w:space="0" w:color="auto"/>
      </w:divBdr>
      <w:divsChild>
        <w:div w:id="1350719783">
          <w:marLeft w:val="0"/>
          <w:marRight w:val="0"/>
          <w:marTop w:val="0"/>
          <w:marBottom w:val="300"/>
          <w:divBdr>
            <w:top w:val="none" w:sz="0" w:space="0" w:color="auto"/>
            <w:left w:val="none" w:sz="0" w:space="0" w:color="auto"/>
            <w:bottom w:val="none" w:sz="0" w:space="0" w:color="auto"/>
            <w:right w:val="none" w:sz="0" w:space="0" w:color="auto"/>
          </w:divBdr>
          <w:divsChild>
            <w:div w:id="1329212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054233">
      <w:bodyDiv w:val="1"/>
      <w:marLeft w:val="0"/>
      <w:marRight w:val="0"/>
      <w:marTop w:val="0"/>
      <w:marBottom w:val="0"/>
      <w:divBdr>
        <w:top w:val="none" w:sz="0" w:space="0" w:color="auto"/>
        <w:left w:val="none" w:sz="0" w:space="0" w:color="auto"/>
        <w:bottom w:val="none" w:sz="0" w:space="0" w:color="auto"/>
        <w:right w:val="none" w:sz="0" w:space="0" w:color="auto"/>
      </w:divBdr>
      <w:divsChild>
        <w:div w:id="1623001011">
          <w:marLeft w:val="0"/>
          <w:marRight w:val="0"/>
          <w:marTop w:val="0"/>
          <w:marBottom w:val="0"/>
          <w:divBdr>
            <w:top w:val="none" w:sz="0" w:space="0" w:color="auto"/>
            <w:left w:val="none" w:sz="0" w:space="0" w:color="auto"/>
            <w:bottom w:val="none" w:sz="0" w:space="0" w:color="auto"/>
            <w:right w:val="none" w:sz="0" w:space="0" w:color="auto"/>
          </w:divBdr>
          <w:divsChild>
            <w:div w:id="2009208252">
              <w:marLeft w:val="0"/>
              <w:marRight w:val="0"/>
              <w:marTop w:val="0"/>
              <w:marBottom w:val="0"/>
              <w:divBdr>
                <w:top w:val="none" w:sz="0" w:space="0" w:color="auto"/>
                <w:left w:val="none" w:sz="0" w:space="0" w:color="auto"/>
                <w:bottom w:val="none" w:sz="0" w:space="0" w:color="auto"/>
                <w:right w:val="none" w:sz="0" w:space="0" w:color="auto"/>
              </w:divBdr>
              <w:divsChild>
                <w:div w:id="3686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28404">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375"/>
      <w:marRight w:val="375"/>
      <w:marTop w:val="75"/>
      <w:marBottom w:val="75"/>
      <w:divBdr>
        <w:top w:val="none" w:sz="0" w:space="0" w:color="auto"/>
        <w:left w:val="none" w:sz="0" w:space="0" w:color="auto"/>
        <w:bottom w:val="none" w:sz="0" w:space="0" w:color="auto"/>
        <w:right w:val="none" w:sz="0" w:space="0" w:color="auto"/>
      </w:divBdr>
      <w:divsChild>
        <w:div w:id="756906692">
          <w:marLeft w:val="0"/>
          <w:marRight w:val="0"/>
          <w:marTop w:val="0"/>
          <w:marBottom w:val="60"/>
          <w:divBdr>
            <w:top w:val="none" w:sz="0" w:space="0" w:color="auto"/>
            <w:left w:val="none" w:sz="0" w:space="0" w:color="auto"/>
            <w:bottom w:val="none" w:sz="0" w:space="0" w:color="auto"/>
            <w:right w:val="none" w:sz="0" w:space="0" w:color="auto"/>
          </w:divBdr>
          <w:divsChild>
            <w:div w:id="2025739738">
              <w:marLeft w:val="180"/>
              <w:marRight w:val="180"/>
              <w:marTop w:val="30"/>
              <w:marBottom w:val="0"/>
              <w:divBdr>
                <w:top w:val="none" w:sz="0" w:space="0" w:color="auto"/>
                <w:left w:val="none" w:sz="0" w:space="0" w:color="auto"/>
                <w:bottom w:val="none" w:sz="0" w:space="0" w:color="auto"/>
                <w:right w:val="none" w:sz="0" w:space="0" w:color="auto"/>
              </w:divBdr>
              <w:divsChild>
                <w:div w:id="1821844075">
                  <w:marLeft w:val="0"/>
                  <w:marRight w:val="0"/>
                  <w:marTop w:val="0"/>
                  <w:marBottom w:val="0"/>
                  <w:divBdr>
                    <w:top w:val="none" w:sz="0" w:space="0" w:color="auto"/>
                    <w:left w:val="none" w:sz="0" w:space="0" w:color="auto"/>
                    <w:bottom w:val="none" w:sz="0" w:space="0" w:color="auto"/>
                    <w:right w:val="none" w:sz="0" w:space="0" w:color="auto"/>
                  </w:divBdr>
                  <w:divsChild>
                    <w:div w:id="1448308183">
                      <w:marLeft w:val="3600"/>
                      <w:marRight w:val="0"/>
                      <w:marTop w:val="0"/>
                      <w:marBottom w:val="0"/>
                      <w:divBdr>
                        <w:top w:val="none" w:sz="0" w:space="0" w:color="auto"/>
                        <w:left w:val="none" w:sz="0" w:space="0" w:color="auto"/>
                        <w:bottom w:val="none" w:sz="0" w:space="0" w:color="auto"/>
                        <w:right w:val="none" w:sz="0" w:space="0" w:color="auto"/>
                      </w:divBdr>
                      <w:divsChild>
                        <w:div w:id="1929657864">
                          <w:marLeft w:val="0"/>
                          <w:marRight w:val="0"/>
                          <w:marTop w:val="0"/>
                          <w:marBottom w:val="0"/>
                          <w:divBdr>
                            <w:top w:val="none" w:sz="0" w:space="0" w:color="auto"/>
                            <w:left w:val="none" w:sz="0" w:space="0" w:color="auto"/>
                            <w:bottom w:val="none" w:sz="0" w:space="0" w:color="auto"/>
                            <w:right w:val="none" w:sz="0" w:space="0" w:color="auto"/>
                          </w:divBdr>
                          <w:divsChild>
                            <w:div w:id="1921327536">
                              <w:marLeft w:val="300"/>
                              <w:marRight w:val="0"/>
                              <w:marTop w:val="0"/>
                              <w:marBottom w:val="0"/>
                              <w:divBdr>
                                <w:top w:val="none" w:sz="0" w:space="0" w:color="auto"/>
                                <w:left w:val="none" w:sz="0" w:space="0" w:color="auto"/>
                                <w:bottom w:val="none" w:sz="0" w:space="0" w:color="auto"/>
                                <w:right w:val="none" w:sz="0" w:space="0" w:color="auto"/>
                              </w:divBdr>
                              <w:divsChild>
                                <w:div w:id="828669040">
                                  <w:marLeft w:val="0"/>
                                  <w:marRight w:val="0"/>
                                  <w:marTop w:val="0"/>
                                  <w:marBottom w:val="0"/>
                                  <w:divBdr>
                                    <w:top w:val="none" w:sz="0" w:space="0" w:color="auto"/>
                                    <w:left w:val="none" w:sz="0" w:space="0" w:color="auto"/>
                                    <w:bottom w:val="none" w:sz="0" w:space="0" w:color="auto"/>
                                    <w:right w:val="none" w:sz="0" w:space="0" w:color="auto"/>
                                  </w:divBdr>
                                  <w:divsChild>
                                    <w:div w:id="10764234">
                                      <w:marLeft w:val="0"/>
                                      <w:marRight w:val="480"/>
                                      <w:marTop w:val="480"/>
                                      <w:marBottom w:val="480"/>
                                      <w:divBdr>
                                        <w:top w:val="none" w:sz="0" w:space="0" w:color="auto"/>
                                        <w:left w:val="none" w:sz="0" w:space="0" w:color="auto"/>
                                        <w:bottom w:val="none" w:sz="0" w:space="0" w:color="auto"/>
                                        <w:right w:val="none" w:sz="0" w:space="0" w:color="auto"/>
                                      </w:divBdr>
                                      <w:divsChild>
                                        <w:div w:id="176010337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10521">
      <w:bodyDiv w:val="1"/>
      <w:marLeft w:val="0"/>
      <w:marRight w:val="0"/>
      <w:marTop w:val="0"/>
      <w:marBottom w:val="0"/>
      <w:divBdr>
        <w:top w:val="none" w:sz="0" w:space="0" w:color="auto"/>
        <w:left w:val="none" w:sz="0" w:space="0" w:color="auto"/>
        <w:bottom w:val="none" w:sz="0" w:space="0" w:color="auto"/>
        <w:right w:val="none" w:sz="0" w:space="0" w:color="auto"/>
      </w:divBdr>
    </w:div>
    <w:div w:id="1735467008">
      <w:bodyDiv w:val="1"/>
      <w:marLeft w:val="375"/>
      <w:marRight w:val="375"/>
      <w:marTop w:val="75"/>
      <w:marBottom w:val="75"/>
      <w:divBdr>
        <w:top w:val="none" w:sz="0" w:space="0" w:color="auto"/>
        <w:left w:val="none" w:sz="0" w:space="0" w:color="auto"/>
        <w:bottom w:val="none" w:sz="0" w:space="0" w:color="auto"/>
        <w:right w:val="none" w:sz="0" w:space="0" w:color="auto"/>
      </w:divBdr>
      <w:divsChild>
        <w:div w:id="351614642">
          <w:marLeft w:val="0"/>
          <w:marRight w:val="0"/>
          <w:marTop w:val="0"/>
          <w:marBottom w:val="60"/>
          <w:divBdr>
            <w:top w:val="none" w:sz="0" w:space="0" w:color="auto"/>
            <w:left w:val="none" w:sz="0" w:space="0" w:color="auto"/>
            <w:bottom w:val="none" w:sz="0" w:space="0" w:color="auto"/>
            <w:right w:val="none" w:sz="0" w:space="0" w:color="auto"/>
          </w:divBdr>
          <w:divsChild>
            <w:div w:id="761993765">
              <w:marLeft w:val="180"/>
              <w:marRight w:val="180"/>
              <w:marTop w:val="30"/>
              <w:marBottom w:val="0"/>
              <w:divBdr>
                <w:top w:val="none" w:sz="0" w:space="0" w:color="auto"/>
                <w:left w:val="none" w:sz="0" w:space="0" w:color="auto"/>
                <w:bottom w:val="none" w:sz="0" w:space="0" w:color="auto"/>
                <w:right w:val="none" w:sz="0" w:space="0" w:color="auto"/>
              </w:divBdr>
              <w:divsChild>
                <w:div w:id="135101800">
                  <w:marLeft w:val="0"/>
                  <w:marRight w:val="0"/>
                  <w:marTop w:val="0"/>
                  <w:marBottom w:val="0"/>
                  <w:divBdr>
                    <w:top w:val="none" w:sz="0" w:space="0" w:color="auto"/>
                    <w:left w:val="none" w:sz="0" w:space="0" w:color="auto"/>
                    <w:bottom w:val="none" w:sz="0" w:space="0" w:color="auto"/>
                    <w:right w:val="none" w:sz="0" w:space="0" w:color="auto"/>
                  </w:divBdr>
                  <w:divsChild>
                    <w:div w:id="1826243272">
                      <w:marLeft w:val="3600"/>
                      <w:marRight w:val="0"/>
                      <w:marTop w:val="0"/>
                      <w:marBottom w:val="0"/>
                      <w:divBdr>
                        <w:top w:val="none" w:sz="0" w:space="0" w:color="auto"/>
                        <w:left w:val="none" w:sz="0" w:space="0" w:color="auto"/>
                        <w:bottom w:val="none" w:sz="0" w:space="0" w:color="auto"/>
                        <w:right w:val="none" w:sz="0" w:space="0" w:color="auto"/>
                      </w:divBdr>
                      <w:divsChild>
                        <w:div w:id="1079401628">
                          <w:marLeft w:val="0"/>
                          <w:marRight w:val="0"/>
                          <w:marTop w:val="0"/>
                          <w:marBottom w:val="0"/>
                          <w:divBdr>
                            <w:top w:val="none" w:sz="0" w:space="0" w:color="auto"/>
                            <w:left w:val="none" w:sz="0" w:space="0" w:color="auto"/>
                            <w:bottom w:val="none" w:sz="0" w:space="0" w:color="auto"/>
                            <w:right w:val="none" w:sz="0" w:space="0" w:color="auto"/>
                          </w:divBdr>
                          <w:divsChild>
                            <w:div w:id="879171350">
                              <w:marLeft w:val="300"/>
                              <w:marRight w:val="0"/>
                              <w:marTop w:val="0"/>
                              <w:marBottom w:val="0"/>
                              <w:divBdr>
                                <w:top w:val="none" w:sz="0" w:space="0" w:color="auto"/>
                                <w:left w:val="none" w:sz="0" w:space="0" w:color="auto"/>
                                <w:bottom w:val="none" w:sz="0" w:space="0" w:color="auto"/>
                                <w:right w:val="none" w:sz="0" w:space="0" w:color="auto"/>
                              </w:divBdr>
                              <w:divsChild>
                                <w:div w:id="1655792822">
                                  <w:marLeft w:val="0"/>
                                  <w:marRight w:val="0"/>
                                  <w:marTop w:val="0"/>
                                  <w:marBottom w:val="0"/>
                                  <w:divBdr>
                                    <w:top w:val="none" w:sz="0" w:space="0" w:color="auto"/>
                                    <w:left w:val="none" w:sz="0" w:space="0" w:color="auto"/>
                                    <w:bottom w:val="none" w:sz="0" w:space="0" w:color="auto"/>
                                    <w:right w:val="none" w:sz="0" w:space="0" w:color="auto"/>
                                  </w:divBdr>
                                  <w:divsChild>
                                    <w:div w:id="758214840">
                                      <w:marLeft w:val="0"/>
                                      <w:marRight w:val="480"/>
                                      <w:marTop w:val="480"/>
                                      <w:marBottom w:val="480"/>
                                      <w:divBdr>
                                        <w:top w:val="none" w:sz="0" w:space="0" w:color="auto"/>
                                        <w:left w:val="none" w:sz="0" w:space="0" w:color="auto"/>
                                        <w:bottom w:val="none" w:sz="0" w:space="0" w:color="auto"/>
                                        <w:right w:val="none" w:sz="0" w:space="0" w:color="auto"/>
                                      </w:divBdr>
                                      <w:divsChild>
                                        <w:div w:id="1991710576">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168195">
      <w:bodyDiv w:val="1"/>
      <w:marLeft w:val="0"/>
      <w:marRight w:val="0"/>
      <w:marTop w:val="0"/>
      <w:marBottom w:val="0"/>
      <w:divBdr>
        <w:top w:val="none" w:sz="0" w:space="0" w:color="auto"/>
        <w:left w:val="none" w:sz="0" w:space="0" w:color="auto"/>
        <w:bottom w:val="none" w:sz="0" w:space="0" w:color="auto"/>
        <w:right w:val="none" w:sz="0" w:space="0" w:color="auto"/>
      </w:divBdr>
    </w:div>
    <w:div w:id="1860583746">
      <w:bodyDiv w:val="1"/>
      <w:marLeft w:val="0"/>
      <w:marRight w:val="0"/>
      <w:marTop w:val="0"/>
      <w:marBottom w:val="0"/>
      <w:divBdr>
        <w:top w:val="none" w:sz="0" w:space="0" w:color="auto"/>
        <w:left w:val="none" w:sz="0" w:space="0" w:color="auto"/>
        <w:bottom w:val="none" w:sz="0" w:space="0" w:color="auto"/>
        <w:right w:val="none" w:sz="0" w:space="0" w:color="auto"/>
      </w:divBdr>
    </w:div>
    <w:div w:id="1862549746">
      <w:bodyDiv w:val="1"/>
      <w:marLeft w:val="0"/>
      <w:marRight w:val="0"/>
      <w:marTop w:val="0"/>
      <w:marBottom w:val="0"/>
      <w:divBdr>
        <w:top w:val="none" w:sz="0" w:space="0" w:color="auto"/>
        <w:left w:val="none" w:sz="0" w:space="0" w:color="auto"/>
        <w:bottom w:val="none" w:sz="0" w:space="0" w:color="auto"/>
        <w:right w:val="none" w:sz="0" w:space="0" w:color="auto"/>
      </w:divBdr>
    </w:div>
    <w:div w:id="1881361918">
      <w:bodyDiv w:val="1"/>
      <w:marLeft w:val="0"/>
      <w:marRight w:val="0"/>
      <w:marTop w:val="0"/>
      <w:marBottom w:val="0"/>
      <w:divBdr>
        <w:top w:val="none" w:sz="0" w:space="0" w:color="auto"/>
        <w:left w:val="none" w:sz="0" w:space="0" w:color="auto"/>
        <w:bottom w:val="none" w:sz="0" w:space="0" w:color="auto"/>
        <w:right w:val="none" w:sz="0" w:space="0" w:color="auto"/>
      </w:divBdr>
    </w:div>
    <w:div w:id="1927231553">
      <w:bodyDiv w:val="1"/>
      <w:marLeft w:val="0"/>
      <w:marRight w:val="0"/>
      <w:marTop w:val="0"/>
      <w:marBottom w:val="0"/>
      <w:divBdr>
        <w:top w:val="none" w:sz="0" w:space="0" w:color="auto"/>
        <w:left w:val="none" w:sz="0" w:space="0" w:color="auto"/>
        <w:bottom w:val="none" w:sz="0" w:space="0" w:color="auto"/>
        <w:right w:val="none" w:sz="0" w:space="0" w:color="auto"/>
      </w:divBdr>
    </w:div>
    <w:div w:id="1932857154">
      <w:bodyDiv w:val="1"/>
      <w:marLeft w:val="0"/>
      <w:marRight w:val="0"/>
      <w:marTop w:val="0"/>
      <w:marBottom w:val="0"/>
      <w:divBdr>
        <w:top w:val="none" w:sz="0" w:space="0" w:color="auto"/>
        <w:left w:val="none" w:sz="0" w:space="0" w:color="auto"/>
        <w:bottom w:val="none" w:sz="0" w:space="0" w:color="auto"/>
        <w:right w:val="none" w:sz="0" w:space="0" w:color="auto"/>
      </w:divBdr>
    </w:div>
    <w:div w:id="1975942060">
      <w:bodyDiv w:val="1"/>
      <w:marLeft w:val="0"/>
      <w:marRight w:val="0"/>
      <w:marTop w:val="0"/>
      <w:marBottom w:val="0"/>
      <w:divBdr>
        <w:top w:val="none" w:sz="0" w:space="0" w:color="auto"/>
        <w:left w:val="none" w:sz="0" w:space="0" w:color="auto"/>
        <w:bottom w:val="none" w:sz="0" w:space="0" w:color="auto"/>
        <w:right w:val="none" w:sz="0" w:space="0" w:color="auto"/>
      </w:divBdr>
    </w:div>
    <w:div w:id="2082167530">
      <w:bodyDiv w:val="1"/>
      <w:marLeft w:val="0"/>
      <w:marRight w:val="0"/>
      <w:marTop w:val="0"/>
      <w:marBottom w:val="0"/>
      <w:divBdr>
        <w:top w:val="none" w:sz="0" w:space="0" w:color="auto"/>
        <w:left w:val="none" w:sz="0" w:space="0" w:color="auto"/>
        <w:bottom w:val="none" w:sz="0" w:space="0" w:color="auto"/>
        <w:right w:val="none" w:sz="0" w:space="0" w:color="auto"/>
      </w:divBdr>
    </w:div>
    <w:div w:id="2133283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elocal.at/20190223/austrians-fume-over-proposed-half-day-holiday" TargetMode="External"/><Relationship Id="rId2" Type="http://schemas.openxmlformats.org/officeDocument/2006/relationships/hyperlink" Target="http://ohrh.law.ox.ac.uk/CJEU:austrian-good-friday-legislation-constitutes-direct-discrimination-on-the-grounds-of-religion" TargetMode="External"/><Relationship Id="rId1" Type="http://schemas.openxmlformats.org/officeDocument/2006/relationships/hyperlink" Target="https://login.westlaw.co.uk/maf/wluk/app/document?&amp;suppsrguid=i0ad6ada6000001695c9d901db130e196&amp;docguid=ID5206B21E42711DA8FC2A0F0355337E9&amp;hitguid=ID5206B20E42711DA8FC2A0F0355337E9&amp;rank=1&amp;spos=1&amp;epos=1&amp;td=1&amp;crumb-action=append&amp;context=38&amp;resolvein=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558AF3-C07B-4C9C-9E07-1772EF0C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3570</Words>
  <Characters>20355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M.R.</dc:creator>
  <cp:keywords/>
  <dc:description/>
  <cp:lastModifiedBy>Edwards L.</cp:lastModifiedBy>
  <cp:revision>2</cp:revision>
  <cp:lastPrinted>2019-05-24T09:45:00Z</cp:lastPrinted>
  <dcterms:created xsi:type="dcterms:W3CDTF">2019-07-18T12:35:00Z</dcterms:created>
  <dcterms:modified xsi:type="dcterms:W3CDTF">2019-07-18T12:35:00Z</dcterms:modified>
</cp:coreProperties>
</file>