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6B3DA" w14:textId="77777777" w:rsidR="00957200" w:rsidRPr="00CA2B00" w:rsidRDefault="00957200" w:rsidP="002108EC">
      <w:pPr>
        <w:pStyle w:val="Firstline"/>
      </w:pPr>
      <w:r w:rsidRPr="00CA2B00">
        <w:t>Short title running head: Bronchiolitis o</w:t>
      </w:r>
      <w:r w:rsidR="009F0C2E">
        <w:t>b</w:t>
      </w:r>
      <w:r w:rsidRPr="00CA2B00">
        <w:t>literans as long-term sequela of SJS/TEN in children</w:t>
      </w:r>
    </w:p>
    <w:p w14:paraId="2CDE9746" w14:textId="77777777" w:rsidR="00957200" w:rsidRPr="002108EC" w:rsidRDefault="00957200" w:rsidP="002108EC">
      <w:pPr>
        <w:pStyle w:val="Firstline"/>
      </w:pPr>
      <w:r w:rsidRPr="007E5EFA">
        <w:rPr>
          <w:i/>
        </w:rPr>
        <w:t xml:space="preserve">Authors running head: E. L. Seccombe </w:t>
      </w:r>
      <w:r w:rsidRPr="002108EC">
        <w:t>et al.</w:t>
      </w:r>
    </w:p>
    <w:p w14:paraId="725E338A" w14:textId="77777777" w:rsidR="00957200" w:rsidRPr="002108EC" w:rsidRDefault="00957200" w:rsidP="002108EC">
      <w:pPr>
        <w:pStyle w:val="Firstline"/>
      </w:pPr>
      <w:r w:rsidRPr="007E5EFA">
        <w:rPr>
          <w:i/>
        </w:rPr>
        <w:t>Running section head</w:t>
      </w:r>
      <w:r w:rsidRPr="002108EC">
        <w:t>: Clinical dermatology</w:t>
      </w:r>
    </w:p>
    <w:p w14:paraId="22EC308B" w14:textId="77777777" w:rsidR="00957200" w:rsidRPr="007E5EFA" w:rsidRDefault="00957200" w:rsidP="002108EC">
      <w:pPr>
        <w:pStyle w:val="Firstline"/>
        <w:rPr>
          <w:i/>
        </w:rPr>
      </w:pPr>
      <w:r w:rsidRPr="007E5EFA">
        <w:rPr>
          <w:i/>
        </w:rPr>
        <w:t>Correspondence:</w:t>
      </w:r>
      <w:r>
        <w:rPr>
          <w:i/>
        </w:rPr>
        <w:t xml:space="preserve"> </w:t>
      </w:r>
      <w:r w:rsidRPr="00A65311">
        <w:t xml:space="preserve">Dr Ella Seccombe, </w:t>
      </w:r>
      <w:r w:rsidRPr="002108EC">
        <w:t xml:space="preserve">Department of Dermatology, University Hospital Southampton NHS Foundation Trust, Southampton, </w:t>
      </w:r>
      <w:r>
        <w:t xml:space="preserve">SO16 6YD, </w:t>
      </w:r>
      <w:r w:rsidRPr="002108EC">
        <w:t>Hampshire, UK</w:t>
      </w:r>
    </w:p>
    <w:p w14:paraId="5A0EFE44" w14:textId="77777777" w:rsidR="00957200" w:rsidRPr="002108EC" w:rsidRDefault="00957200" w:rsidP="002108EC">
      <w:pPr>
        <w:pStyle w:val="Firstline"/>
      </w:pPr>
      <w:r w:rsidRPr="002108EC">
        <w:t>E-mail: ellaseccombe@gmail.com</w:t>
      </w:r>
    </w:p>
    <w:p w14:paraId="0C3D5245" w14:textId="77777777" w:rsidR="00957200" w:rsidRPr="002108EC" w:rsidRDefault="00957200" w:rsidP="002108EC">
      <w:pPr>
        <w:pStyle w:val="Firstline"/>
      </w:pPr>
      <w:r w:rsidRPr="002108EC">
        <w:t>Conflict of interest: the authors declare that they have no conflicts of interest.</w:t>
      </w:r>
    </w:p>
    <w:p w14:paraId="2789D332" w14:textId="77777777" w:rsidR="00957200" w:rsidRPr="002108EC" w:rsidRDefault="00957200" w:rsidP="002108EC">
      <w:pPr>
        <w:pStyle w:val="Firstline"/>
      </w:pPr>
      <w:r w:rsidRPr="002108EC">
        <w:t>Accepted for publication 20 March 2019</w:t>
      </w:r>
    </w:p>
    <w:p w14:paraId="6D77EC7E" w14:textId="77777777" w:rsidR="00957200" w:rsidRPr="002108EC" w:rsidRDefault="00957200" w:rsidP="002108EC">
      <w:pPr>
        <w:pStyle w:val="Firstline"/>
      </w:pPr>
      <w:r w:rsidRPr="002108EC">
        <w:t>Clinical dermatology • Concise report</w:t>
      </w:r>
    </w:p>
    <w:p w14:paraId="2CB89AFB" w14:textId="77777777" w:rsidR="00957200" w:rsidRPr="002108EC" w:rsidRDefault="00957200" w:rsidP="002108EC">
      <w:pPr>
        <w:pStyle w:val="Firstline"/>
      </w:pPr>
    </w:p>
    <w:p w14:paraId="411E56BE" w14:textId="77777777" w:rsidR="00957200" w:rsidRPr="002108EC" w:rsidRDefault="00957200" w:rsidP="002108EC">
      <w:pPr>
        <w:pStyle w:val="Firstline"/>
      </w:pPr>
      <w:r w:rsidRPr="002108EC">
        <w:t>ORCID ID:</w:t>
      </w:r>
    </w:p>
    <w:p w14:paraId="43F27C68" w14:textId="77777777" w:rsidR="00957200" w:rsidRPr="002108EC" w:rsidRDefault="00957200" w:rsidP="002108EC">
      <w:pPr>
        <w:pStyle w:val="Firstline"/>
      </w:pPr>
      <w:r w:rsidRPr="002108EC">
        <w:t xml:space="preserve">M. Lacouture: </w:t>
      </w:r>
      <w:bookmarkStart w:id="0" w:name="ref270973255"/>
      <w:bookmarkEnd w:id="0"/>
      <w:r w:rsidRPr="002108EC">
        <w:t>https://orcid.org/0000-0002-4818-3710</w:t>
      </w:r>
    </w:p>
    <w:p w14:paraId="489B8343" w14:textId="77777777" w:rsidR="00957200" w:rsidRPr="002108EC" w:rsidRDefault="00957200" w:rsidP="002108EC">
      <w:pPr>
        <w:pStyle w:val="Title"/>
      </w:pPr>
      <w:r w:rsidRPr="002108EC">
        <w:t>Send to authors</w:t>
      </w:r>
    </w:p>
    <w:p w14:paraId="1107873F" w14:textId="77777777" w:rsidR="00957200" w:rsidRPr="002108EC" w:rsidRDefault="00957200" w:rsidP="002108EC">
      <w:pPr>
        <w:pStyle w:val="Title"/>
      </w:pPr>
      <w:r w:rsidRPr="002108EC">
        <w:t xml:space="preserve">Bronchiolitis obliterans as </w:t>
      </w:r>
      <w:r>
        <w:t xml:space="preserve">a </w:t>
      </w:r>
      <w:r w:rsidRPr="002108EC">
        <w:t>long-term sequela of Stevens–Johnson syndrome and toxic epidermal necrolysis in children</w:t>
      </w:r>
    </w:p>
    <w:p w14:paraId="68DC308F" w14:textId="77777777" w:rsidR="00957200" w:rsidRPr="002108EC" w:rsidRDefault="00957200" w:rsidP="002108EC">
      <w:pPr>
        <w:pStyle w:val="Authors"/>
        <w:rPr>
          <w:vertAlign w:val="superscript"/>
        </w:rPr>
      </w:pPr>
      <w:r w:rsidRPr="002108EC">
        <w:t>E. L. Seccombe,</w:t>
      </w:r>
      <w:r w:rsidRPr="002108EC">
        <w:rPr>
          <w:vertAlign w:val="superscript"/>
        </w:rPr>
        <w:t>1</w:t>
      </w:r>
      <w:r w:rsidRPr="002108EC">
        <w:t xml:space="preserve"> M. Ardern-Jones,</w:t>
      </w:r>
      <w:r w:rsidRPr="002108EC">
        <w:rPr>
          <w:vertAlign w:val="superscript"/>
        </w:rPr>
        <w:t>1</w:t>
      </w:r>
      <w:r w:rsidRPr="002108EC">
        <w:t xml:space="preserve"> W. Walker,</w:t>
      </w:r>
      <w:r w:rsidRPr="002108EC">
        <w:rPr>
          <w:vertAlign w:val="superscript"/>
        </w:rPr>
        <w:t>2</w:t>
      </w:r>
      <w:r w:rsidRPr="002108EC">
        <w:t xml:space="preserve"> S. Austin,</w:t>
      </w:r>
      <w:r w:rsidRPr="002108EC">
        <w:rPr>
          <w:vertAlign w:val="superscript"/>
        </w:rPr>
        <w:t>3</w:t>
      </w:r>
      <w:r w:rsidRPr="002108EC">
        <w:t xml:space="preserve"> S. Taibjee,</w:t>
      </w:r>
      <w:r w:rsidRPr="002108EC">
        <w:rPr>
          <w:vertAlign w:val="superscript"/>
        </w:rPr>
        <w:t>3</w:t>
      </w:r>
      <w:r w:rsidRPr="002108EC">
        <w:t xml:space="preserve"> S. Williams,</w:t>
      </w:r>
      <w:r w:rsidRPr="002108EC">
        <w:rPr>
          <w:vertAlign w:val="superscript"/>
        </w:rPr>
        <w:t>4</w:t>
      </w:r>
      <w:r w:rsidRPr="002108EC">
        <w:t xml:space="preserve"> P. Hossain</w:t>
      </w:r>
      <w:r>
        <w:t>,</w:t>
      </w:r>
      <w:r w:rsidRPr="002108EC">
        <w:rPr>
          <w:vertAlign w:val="superscript"/>
        </w:rPr>
        <w:t>5</w:t>
      </w:r>
      <w:r w:rsidRPr="002108EC">
        <w:t xml:space="preserve"> </w:t>
      </w:r>
      <w:r>
        <w:t xml:space="preserve">D. </w:t>
      </w:r>
      <w:bookmarkStart w:id="1" w:name="_GoBack"/>
      <w:bookmarkEnd w:id="1"/>
      <w:r>
        <w:t>Shenoy</w:t>
      </w:r>
      <w:r>
        <w:rPr>
          <w:vertAlign w:val="superscript"/>
        </w:rPr>
        <w:t>3</w:t>
      </w:r>
      <w:r>
        <w:t xml:space="preserve"> </w:t>
      </w:r>
      <w:r w:rsidRPr="002108EC">
        <w:t>and A. Fityan</w:t>
      </w:r>
      <w:r w:rsidRPr="002108EC">
        <w:rPr>
          <w:vertAlign w:val="superscript"/>
        </w:rPr>
        <w:t>1</w:t>
      </w:r>
    </w:p>
    <w:p w14:paraId="623FD263" w14:textId="77777777" w:rsidR="00957200" w:rsidRPr="002108EC" w:rsidRDefault="00957200" w:rsidP="002108EC">
      <w:pPr>
        <w:pStyle w:val="BodyText"/>
      </w:pPr>
    </w:p>
    <w:p w14:paraId="45770425" w14:textId="77777777" w:rsidR="00957200" w:rsidRPr="002108EC" w:rsidRDefault="00957200" w:rsidP="002108EC">
      <w:pPr>
        <w:pStyle w:val="Address"/>
      </w:pPr>
      <w:r w:rsidRPr="002108EC">
        <w:rPr>
          <w:vertAlign w:val="superscript"/>
        </w:rPr>
        <w:t>1</w:t>
      </w:r>
      <w:r w:rsidRPr="002108EC">
        <w:t xml:space="preserve">Department of Dermatology, </w:t>
      </w:r>
      <w:r w:rsidRPr="002108EC">
        <w:rPr>
          <w:vertAlign w:val="superscript"/>
        </w:rPr>
        <w:t>2</w:t>
      </w:r>
      <w:r w:rsidRPr="002108EC">
        <w:t xml:space="preserve">Paediatric Respiratory Department, </w:t>
      </w:r>
      <w:r w:rsidRPr="002108EC">
        <w:rPr>
          <w:vertAlign w:val="superscript"/>
        </w:rPr>
        <w:t>4</w:t>
      </w:r>
      <w:r w:rsidRPr="002108EC">
        <w:t xml:space="preserve">Department of Paediatrics and </w:t>
      </w:r>
      <w:r w:rsidRPr="002108EC">
        <w:rPr>
          <w:vertAlign w:val="superscript"/>
        </w:rPr>
        <w:t>5</w:t>
      </w:r>
      <w:r w:rsidRPr="002108EC">
        <w:t xml:space="preserve">Department of Ophthalmology, University Hospital Southampton NHS Foundation Trust, Southampton, Hampshire, UK; and </w:t>
      </w:r>
      <w:r w:rsidRPr="002108EC">
        <w:rPr>
          <w:vertAlign w:val="superscript"/>
        </w:rPr>
        <w:t>3</w:t>
      </w:r>
      <w:r w:rsidRPr="002108EC">
        <w:t>Department of Dermatology, Dorset County Hospital NHS Foundation Trust, Dorchester, Dorset, UK</w:t>
      </w:r>
    </w:p>
    <w:p w14:paraId="01E6D3AA" w14:textId="77777777" w:rsidR="00957200" w:rsidRPr="002108EC" w:rsidRDefault="00957200" w:rsidP="002108EC">
      <w:pPr>
        <w:pStyle w:val="Heading1"/>
      </w:pPr>
      <w:r w:rsidRPr="002108EC">
        <w:t>Summary</w:t>
      </w:r>
    </w:p>
    <w:p w14:paraId="0F52DA88" w14:textId="77777777" w:rsidR="00957200" w:rsidRPr="009877C0" w:rsidRDefault="00957200" w:rsidP="002108EC">
      <w:pPr>
        <w:pStyle w:val="Summary"/>
      </w:pPr>
      <w:r w:rsidRPr="002108EC">
        <w:t>Toxic epidermal necrolysis (TEN) and Stevens</w:t>
      </w:r>
      <w:r w:rsidRPr="002108EC">
        <w:rPr>
          <w:rFonts w:cs="Arial"/>
        </w:rPr>
        <w:t>–</w:t>
      </w:r>
      <w:r w:rsidRPr="002108EC">
        <w:t xml:space="preserve">Johnson </w:t>
      </w:r>
      <w:r>
        <w:t xml:space="preserve">syndrome </w:t>
      </w:r>
      <w:r w:rsidRPr="002108EC">
        <w:t xml:space="preserve">(SJS) are characterized by widespread skin and mucosal </w:t>
      </w:r>
      <w:r>
        <w:t xml:space="preserve">blistering and </w:t>
      </w:r>
      <w:r w:rsidRPr="002108EC">
        <w:t>necrosis. The triggers and long-term sequelae</w:t>
      </w:r>
      <w:r>
        <w:t xml:space="preserve"> in children may</w:t>
      </w:r>
      <w:r w:rsidRPr="002108EC">
        <w:t xml:space="preserve"> differ </w:t>
      </w:r>
      <w:r>
        <w:t xml:space="preserve">from </w:t>
      </w:r>
      <w:r w:rsidRPr="002108EC">
        <w:t>those reported for adults. Bronchiolitis obliterans (BO) is a</w:t>
      </w:r>
      <w:r>
        <w:t>n uncommon complication, with only 15 previously reported cases, but can lead to</w:t>
      </w:r>
      <w:r w:rsidRPr="002108EC">
        <w:t xml:space="preserve"> significant long-term morbidity</w:t>
      </w:r>
      <w:r>
        <w:t>, requiring lung transplantation in some cases</w:t>
      </w:r>
      <w:r w:rsidRPr="002108EC">
        <w:t>. We report t</w:t>
      </w:r>
      <w:r>
        <w:t xml:space="preserve">hree children with </w:t>
      </w:r>
      <w:r w:rsidRPr="002108EC">
        <w:t>nondrug-related SJS (</w:t>
      </w:r>
      <w:r w:rsidRPr="002108EC">
        <w:rPr>
          <w:i/>
        </w:rPr>
        <w:t>n</w:t>
      </w:r>
      <w:r w:rsidRPr="002108EC">
        <w:t> = 1) TEN (</w:t>
      </w:r>
      <w:r w:rsidRPr="002108EC">
        <w:rPr>
          <w:i/>
        </w:rPr>
        <w:t>n</w:t>
      </w:r>
      <w:r w:rsidRPr="002108EC">
        <w:t xml:space="preserve"> = 2) </w:t>
      </w:r>
      <w:r>
        <w:t xml:space="preserve">who developed </w:t>
      </w:r>
      <w:r w:rsidRPr="002108EC">
        <w:t xml:space="preserve">BO. Two were treated with intravenous immunoglobulin therapy (2–2.4 g/kg) and all three survived. </w:t>
      </w:r>
      <w:r w:rsidRPr="009877C0">
        <w:t>We highlight salient learning points from our cases</w:t>
      </w:r>
      <w:r>
        <w:t xml:space="preserve"> and</w:t>
      </w:r>
      <w:r w:rsidRPr="009877C0">
        <w:t xml:space="preserve"> potential pitfalls in diagnosis of BO</w:t>
      </w:r>
      <w:r>
        <w:t>,</w:t>
      </w:r>
      <w:r w:rsidRPr="009877C0">
        <w:t xml:space="preserve"> including delayed onset, and</w:t>
      </w:r>
      <w:r>
        <w:t xml:space="preserve"> we also</w:t>
      </w:r>
      <w:r w:rsidRPr="009877C0">
        <w:t xml:space="preserve"> review the literature.</w:t>
      </w:r>
    </w:p>
    <w:p w14:paraId="7896489B" w14:textId="77777777" w:rsidR="00957200" w:rsidRPr="002108EC" w:rsidRDefault="00957200" w:rsidP="002108EC">
      <w:pPr>
        <w:pStyle w:val="Firstline"/>
      </w:pPr>
    </w:p>
    <w:p w14:paraId="386C51CD" w14:textId="77777777" w:rsidR="00957200" w:rsidRPr="002108EC" w:rsidRDefault="00957200" w:rsidP="002108EC">
      <w:pPr>
        <w:pStyle w:val="Firstline"/>
      </w:pPr>
    </w:p>
    <w:p w14:paraId="2E8B0A1A" w14:textId="77777777" w:rsidR="00957200" w:rsidRPr="002108EC" w:rsidRDefault="00957200" w:rsidP="002108EC">
      <w:pPr>
        <w:pStyle w:val="Firstline"/>
      </w:pPr>
      <w:r>
        <w:t>Stevens–</w:t>
      </w:r>
      <w:r w:rsidRPr="002108EC">
        <w:t>Johnson Syndrome (SJS) and toxic epidermal necrolysis (TEN) are rare, potentially life-thr</w:t>
      </w:r>
      <w:r>
        <w:t>eatening conditions; characteri</w:t>
      </w:r>
      <w:r w:rsidRPr="002108EC">
        <w:t xml:space="preserve">zed by widespread skin and mucosal necrosis. </w:t>
      </w:r>
      <w:r w:rsidRPr="004F6812">
        <w:rPr>
          <w:rFonts w:cs="Arial"/>
        </w:rPr>
        <w:t xml:space="preserve">SJS is defined as </w:t>
      </w:r>
      <w:r>
        <w:rPr>
          <w:rFonts w:cs="Arial"/>
        </w:rPr>
        <w:t>&lt; </w:t>
      </w:r>
      <w:r w:rsidRPr="004F6812">
        <w:rPr>
          <w:rFonts w:cs="Arial"/>
        </w:rPr>
        <w:t>10% body surface area (BSA) detachment</w:t>
      </w:r>
      <w:r>
        <w:rPr>
          <w:rFonts w:cs="Arial"/>
        </w:rPr>
        <w:t>,</w:t>
      </w:r>
      <w:r w:rsidRPr="004F6812">
        <w:rPr>
          <w:rFonts w:cs="Arial"/>
        </w:rPr>
        <w:t xml:space="preserve"> SJS</w:t>
      </w:r>
      <w:r>
        <w:rPr>
          <w:rFonts w:cs="Arial"/>
        </w:rPr>
        <w:t>–</w:t>
      </w:r>
      <w:r w:rsidRPr="004F6812">
        <w:rPr>
          <w:rFonts w:cs="Arial"/>
        </w:rPr>
        <w:t>TEN overlap</w:t>
      </w:r>
      <w:r>
        <w:rPr>
          <w:rFonts w:cs="Arial"/>
        </w:rPr>
        <w:t xml:space="preserve"> as</w:t>
      </w:r>
      <w:r w:rsidRPr="004F6812">
        <w:rPr>
          <w:rFonts w:cs="Arial"/>
        </w:rPr>
        <w:t xml:space="preserve"> 10</w:t>
      </w:r>
      <w:r>
        <w:rPr>
          <w:rFonts w:cs="Arial"/>
        </w:rPr>
        <w:t>–</w:t>
      </w:r>
      <w:r w:rsidRPr="004F6812">
        <w:rPr>
          <w:rFonts w:cs="Arial"/>
        </w:rPr>
        <w:t xml:space="preserve">30% BSA detachment and TEN </w:t>
      </w:r>
      <w:r>
        <w:rPr>
          <w:rFonts w:cs="Arial"/>
        </w:rPr>
        <w:t>as &gt; </w:t>
      </w:r>
      <w:r w:rsidRPr="004F6812">
        <w:rPr>
          <w:rFonts w:cs="Arial"/>
        </w:rPr>
        <w:t>30% detachment.</w:t>
      </w:r>
      <w:r w:rsidRPr="004F6812">
        <w:rPr>
          <w:rFonts w:cs="Arial"/>
          <w:vertAlign w:val="superscript"/>
        </w:rPr>
        <w:t>1</w:t>
      </w:r>
      <w:r>
        <w:rPr>
          <w:rFonts w:cs="Arial"/>
        </w:rPr>
        <w:t xml:space="preserve"> </w:t>
      </w:r>
      <w:r w:rsidRPr="002108EC">
        <w:t>The</w:t>
      </w:r>
      <w:r>
        <w:t xml:space="preserve"> reported</w:t>
      </w:r>
      <w:r w:rsidRPr="002108EC">
        <w:t xml:space="preserve"> incidence is lower in children than adults: 5.3 vs. 9.3, 0.8 vs. 1.9 and 0.4 vs. 1.6 cases per million</w:t>
      </w:r>
      <w:r>
        <w:t xml:space="preserve"> per year</w:t>
      </w:r>
      <w:r w:rsidRPr="002108EC">
        <w:t xml:space="preserve"> for SJS, SJS</w:t>
      </w:r>
      <w:r w:rsidRPr="002108EC">
        <w:rPr>
          <w:rFonts w:cs="Arial"/>
        </w:rPr>
        <w:t>–</w:t>
      </w:r>
      <w:r w:rsidRPr="002108EC">
        <w:t>TEN and TEN, respectively, in the USA.</w:t>
      </w:r>
      <w:r>
        <w:rPr>
          <w:vertAlign w:val="superscript"/>
        </w:rPr>
        <w:t>2,3</w:t>
      </w:r>
      <w:r w:rsidRPr="002108EC">
        <w:t xml:space="preserve"> Medication</w:t>
      </w:r>
      <w:r>
        <w:t>s are</w:t>
      </w:r>
      <w:r w:rsidRPr="002108EC">
        <w:t xml:space="preserve"> usually culpable, although infection</w:t>
      </w:r>
      <w:r>
        <w:t>s</w:t>
      </w:r>
      <w:r w:rsidRPr="002108EC">
        <w:t xml:space="preserve"> may be </w:t>
      </w:r>
      <w:r>
        <w:t>implicated</w:t>
      </w:r>
      <w:r w:rsidRPr="002108EC">
        <w:t>, particularly in children.</w:t>
      </w:r>
      <w:r>
        <w:rPr>
          <w:vertAlign w:val="superscript"/>
        </w:rPr>
        <w:t>4</w:t>
      </w:r>
      <w:r w:rsidRPr="002108EC">
        <w:t xml:space="preserve"> Mortality in childhood is reportedly 0% (SJS), 4% (SJS-TEN) and 16% (TEN),</w:t>
      </w:r>
      <w:r>
        <w:rPr>
          <w:vertAlign w:val="superscript"/>
        </w:rPr>
        <w:t>2</w:t>
      </w:r>
      <w:r w:rsidRPr="002108EC">
        <w:t xml:space="preserve"> with deaths most frequently due to sepsis and organ failure.</w:t>
      </w:r>
      <w:r>
        <w:rPr>
          <w:vertAlign w:val="superscript"/>
        </w:rPr>
        <w:t>2</w:t>
      </w:r>
      <w:r w:rsidRPr="002108EC">
        <w:t xml:space="preserve"> However, similarly to adults, increased mortality is noted with higher degrees of epidermal detachment: 60–70% body surface area (BSA) involvement </w:t>
      </w:r>
      <w:r>
        <w:t xml:space="preserve">was associated with </w:t>
      </w:r>
      <w:r w:rsidRPr="002108EC">
        <w:t>37.5% mortality in one study.</w:t>
      </w:r>
      <w:r w:rsidRPr="002108EC">
        <w:rPr>
          <w:vertAlign w:val="superscript"/>
        </w:rPr>
        <w:t>4</w:t>
      </w:r>
      <w:r w:rsidRPr="002108EC">
        <w:t xml:space="preserve"> </w:t>
      </w:r>
      <w:r w:rsidR="009F0C2E">
        <w:t>I</w:t>
      </w:r>
      <w:r w:rsidRPr="004F6812">
        <w:rPr>
          <w:rFonts w:cs="Arial"/>
        </w:rPr>
        <w:t>ntravenous immunoglobulin (IVIG), ciclosporin and/or systemic corticosteroids have been used despite the relative lack of evidence, as summari</w:t>
      </w:r>
      <w:r>
        <w:rPr>
          <w:rFonts w:cs="Arial"/>
        </w:rPr>
        <w:t>z</w:t>
      </w:r>
      <w:r w:rsidRPr="004F6812">
        <w:rPr>
          <w:rFonts w:cs="Arial"/>
        </w:rPr>
        <w:t>ed in recent guidelines.</w:t>
      </w:r>
      <w:r w:rsidRPr="004F6812">
        <w:rPr>
          <w:rFonts w:cs="Arial"/>
          <w:vertAlign w:val="superscript"/>
        </w:rPr>
        <w:t>6</w:t>
      </w:r>
      <w:r>
        <w:rPr>
          <w:rFonts w:cs="Arial"/>
        </w:rPr>
        <w:t xml:space="preserve"> </w:t>
      </w:r>
      <w:r w:rsidRPr="002108EC">
        <w:t>Bronchiolitis obliterans (BO) is a rarely reported complication</w:t>
      </w:r>
      <w:r>
        <w:t>,</w:t>
      </w:r>
      <w:r w:rsidRPr="002108EC">
        <w:t xml:space="preserve"> but when present</w:t>
      </w:r>
      <w:r>
        <w:t>,</w:t>
      </w:r>
      <w:r w:rsidRPr="002108EC">
        <w:t xml:space="preserve"> is associated with significant long-term morbidity. We report three </w:t>
      </w:r>
      <w:r>
        <w:t>children with</w:t>
      </w:r>
      <w:r w:rsidRPr="002108EC">
        <w:t xml:space="preserve"> nondrug-related SJS/TEN </w:t>
      </w:r>
      <w:r>
        <w:t>who developed</w:t>
      </w:r>
      <w:r w:rsidRPr="002108EC">
        <w:t xml:space="preserve"> BO.</w:t>
      </w:r>
    </w:p>
    <w:p w14:paraId="270F5F1D" w14:textId="77777777" w:rsidR="00957200" w:rsidRPr="002108EC" w:rsidRDefault="00957200" w:rsidP="002108EC">
      <w:pPr>
        <w:pStyle w:val="Heading1"/>
      </w:pPr>
      <w:r w:rsidRPr="002108EC">
        <w:t>Report</w:t>
      </w:r>
    </w:p>
    <w:p w14:paraId="13C0A2F2" w14:textId="77777777" w:rsidR="00957200" w:rsidRDefault="00957200" w:rsidP="002108EC">
      <w:pPr>
        <w:pStyle w:val="Firstline"/>
        <w:rPr>
          <w:rFonts w:cs="Arial"/>
        </w:rPr>
      </w:pPr>
      <w:r w:rsidRPr="002108EC">
        <w:t xml:space="preserve">Patient 1 was a previously well 5-year-old boy who presented with a 2-day history of an erythematous </w:t>
      </w:r>
      <w:r w:rsidRPr="002108EC">
        <w:lastRenderedPageBreak/>
        <w:t xml:space="preserve">maculopapular rash in association with fever and coryza. </w:t>
      </w:r>
      <w:r w:rsidRPr="004F6812">
        <w:rPr>
          <w:rFonts w:cs="Arial"/>
        </w:rPr>
        <w:t>Overall</w:t>
      </w:r>
      <w:r>
        <w:rPr>
          <w:rFonts w:cs="Arial"/>
        </w:rPr>
        <w:t>,</w:t>
      </w:r>
      <w:r w:rsidRPr="004F6812">
        <w:rPr>
          <w:rFonts w:cs="Arial"/>
        </w:rPr>
        <w:t xml:space="preserve"> the skin changes involved </w:t>
      </w:r>
      <w:r w:rsidRPr="002108EC">
        <w:t xml:space="preserve">95% BSA, with 40% epidermal detachment. </w:t>
      </w:r>
      <w:r>
        <w:t>There were additional b</w:t>
      </w:r>
      <w:r w:rsidRPr="002108EC">
        <w:t>ilateral conjunctival defects</w:t>
      </w:r>
      <w:r>
        <w:t xml:space="preserve"> </w:t>
      </w:r>
      <w:r w:rsidRPr="004F6812">
        <w:rPr>
          <w:rFonts w:cs="Arial"/>
        </w:rPr>
        <w:t>with confluent superficial punctate epithelial erosions of the cornea.</w:t>
      </w:r>
      <w:r>
        <w:rPr>
          <w:rFonts w:cs="Arial"/>
        </w:rPr>
        <w:t xml:space="preserve"> </w:t>
      </w:r>
      <w:r w:rsidRPr="004F6812">
        <w:rPr>
          <w:rFonts w:cs="Arial"/>
        </w:rPr>
        <w:t>He had severe oral and upper airway ulceration with sloughing.</w:t>
      </w:r>
      <w:r>
        <w:rPr>
          <w:rFonts w:cs="Arial"/>
        </w:rPr>
        <w:t xml:space="preserve"> </w:t>
      </w:r>
      <w:r w:rsidRPr="004F6812">
        <w:rPr>
          <w:rFonts w:cs="Arial"/>
        </w:rPr>
        <w:t xml:space="preserve">Subsequent development of stridor necessitated intubation. </w:t>
      </w:r>
    </w:p>
    <w:p w14:paraId="6037D55C" w14:textId="77777777" w:rsidR="00957200" w:rsidRDefault="00957200" w:rsidP="0081372A">
      <w:pPr>
        <w:pStyle w:val="BodyText"/>
      </w:pPr>
      <w:r>
        <w:rPr>
          <w:rFonts w:cs="Arial"/>
        </w:rPr>
        <w:t>Histological examination of a skin biopsy confirmed</w:t>
      </w:r>
      <w:r w:rsidRPr="002108EC">
        <w:t xml:space="preserve"> TEN, w</w:t>
      </w:r>
      <w:r>
        <w:t xml:space="preserve">ith negative </w:t>
      </w:r>
      <w:r w:rsidRPr="002108EC">
        <w:t>direct immunofluorescence</w:t>
      </w:r>
      <w:r>
        <w:t>.</w:t>
      </w:r>
      <w:r w:rsidRPr="002108EC">
        <w:t xml:space="preserve"> </w:t>
      </w:r>
      <w:r>
        <w:t xml:space="preserve">Chest radiography was unremarkable. </w:t>
      </w:r>
      <w:r w:rsidRPr="002108EC">
        <w:t>Bronchoscopy showed ulceration at the base</w:t>
      </w:r>
      <w:r>
        <w:t xml:space="preserve"> of insertion of</w:t>
      </w:r>
      <w:r w:rsidRPr="002108EC">
        <w:t xml:space="preserve"> the endotracheal tube. </w:t>
      </w:r>
      <w:r w:rsidRPr="002108EC">
        <w:rPr>
          <w:i/>
        </w:rPr>
        <w:t>Pseudomonas aeruginosa</w:t>
      </w:r>
      <w:r w:rsidRPr="002108EC">
        <w:t xml:space="preserve"> was cultured from bronchoalveolar lavage (BAL) and </w:t>
      </w:r>
      <w:r w:rsidRPr="00237B6E">
        <w:t>adenovirus, rhinovirus and enterovirus</w:t>
      </w:r>
      <w:r w:rsidRPr="002108EC">
        <w:t xml:space="preserve"> from nasopharyngeal aspirate (NPA). </w:t>
      </w:r>
      <w:r w:rsidRPr="002108EC">
        <w:rPr>
          <w:i/>
        </w:rPr>
        <w:t>Mycoplasma</w:t>
      </w:r>
      <w:r w:rsidRPr="002108EC">
        <w:t xml:space="preserve"> IgG titre was</w:t>
      </w:r>
      <w:r>
        <w:t xml:space="preserve"> 1 : 320 (</w:t>
      </w:r>
      <w:r w:rsidRPr="002108EC">
        <w:t>weakly positive</w:t>
      </w:r>
      <w:r>
        <w:t>)</w:t>
      </w:r>
      <w:r w:rsidRPr="002108EC">
        <w:t xml:space="preserve">. The patient received IVIg 2 g/kg over 2 days. Skin re-epithelialization occurred within 3 weeks. Conjunctival inflammation </w:t>
      </w:r>
      <w:r w:rsidRPr="004F6812">
        <w:rPr>
          <w:rFonts w:cs="Arial"/>
        </w:rPr>
        <w:t xml:space="preserve">progressed with increasing </w:t>
      </w:r>
      <w:r>
        <w:rPr>
          <w:rFonts w:cs="Arial"/>
        </w:rPr>
        <w:t>cicatrisation</w:t>
      </w:r>
      <w:r>
        <w:t>. The patient required four sets of amniotic membrane transplant (AMT)</w:t>
      </w:r>
      <w:r w:rsidRPr="002108EC">
        <w:t xml:space="preserve"> </w:t>
      </w:r>
      <w:r>
        <w:t xml:space="preserve">for the </w:t>
      </w:r>
      <w:r w:rsidRPr="004F6812">
        <w:rPr>
          <w:rFonts w:cs="Arial"/>
        </w:rPr>
        <w:t>corneal epithelial defects and multiple skin debridements under anaesthesia. He subsequently received pulsed IV methylprednisolone</w:t>
      </w:r>
      <w:r w:rsidRPr="002108EC">
        <w:t xml:space="preserve"> and mycophenolate mofe</w:t>
      </w:r>
      <w:r>
        <w:t>t</w:t>
      </w:r>
      <w:r w:rsidRPr="002108EC">
        <w:t>il</w:t>
      </w:r>
      <w:r w:rsidRPr="004F6812">
        <w:rPr>
          <w:rFonts w:cs="Arial"/>
        </w:rPr>
        <w:t xml:space="preserve"> </w:t>
      </w:r>
      <w:r>
        <w:rPr>
          <w:rFonts w:cs="Arial"/>
        </w:rPr>
        <w:t xml:space="preserve">(MMF) </w:t>
      </w:r>
      <w:r w:rsidRPr="004F6812">
        <w:rPr>
          <w:rFonts w:cs="Arial"/>
        </w:rPr>
        <w:t>(20</w:t>
      </w:r>
      <w:r>
        <w:rPr>
          <w:rFonts w:cs="Arial"/>
        </w:rPr>
        <w:t> </w:t>
      </w:r>
      <w:r w:rsidRPr="004F6812">
        <w:rPr>
          <w:rFonts w:cs="Arial"/>
        </w:rPr>
        <w:t>mg/kg/day</w:t>
      </w:r>
      <w:r w:rsidRPr="0081372A">
        <w:t xml:space="preserve"> </w:t>
      </w:r>
      <w:r w:rsidRPr="004F6812">
        <w:rPr>
          <w:rFonts w:cs="Arial"/>
        </w:rPr>
        <w:t>for 3</w:t>
      </w:r>
      <w:r>
        <w:rPr>
          <w:rFonts w:cs="Arial"/>
        </w:rPr>
        <w:t> </w:t>
      </w:r>
      <w:r w:rsidRPr="004F6812">
        <w:rPr>
          <w:rFonts w:cs="Arial"/>
        </w:rPr>
        <w:t>days), then oral prednisolone (2.25</w:t>
      </w:r>
      <w:r>
        <w:rPr>
          <w:rFonts w:cs="Arial"/>
        </w:rPr>
        <w:t> </w:t>
      </w:r>
      <w:r w:rsidRPr="004F6812">
        <w:rPr>
          <w:rFonts w:cs="Arial"/>
        </w:rPr>
        <w:t>mg/kg/day prednisolone for 1</w:t>
      </w:r>
      <w:r>
        <w:rPr>
          <w:rFonts w:cs="Arial"/>
        </w:rPr>
        <w:t> </w:t>
      </w:r>
      <w:r w:rsidRPr="004F6812">
        <w:rPr>
          <w:rFonts w:cs="Arial"/>
        </w:rPr>
        <w:t>month</w:t>
      </w:r>
      <w:r>
        <w:rPr>
          <w:rFonts w:cs="Arial"/>
        </w:rPr>
        <w:t>,</w:t>
      </w:r>
      <w:r w:rsidRPr="004F6812">
        <w:rPr>
          <w:rFonts w:cs="Arial"/>
        </w:rPr>
        <w:t xml:space="preserve"> which was gradually weaned over 3</w:t>
      </w:r>
      <w:r>
        <w:rPr>
          <w:rFonts w:cs="Arial"/>
        </w:rPr>
        <w:t> </w:t>
      </w:r>
      <w:r w:rsidRPr="004F6812">
        <w:rPr>
          <w:rFonts w:cs="Arial"/>
        </w:rPr>
        <w:t xml:space="preserve">months), alongside </w:t>
      </w:r>
      <w:r>
        <w:rPr>
          <w:rFonts w:cs="Arial"/>
        </w:rPr>
        <w:t>MMF</w:t>
      </w:r>
      <w:r w:rsidRPr="004F6812">
        <w:rPr>
          <w:rFonts w:cs="Arial"/>
        </w:rPr>
        <w:t xml:space="preserve"> 600</w:t>
      </w:r>
      <w:r>
        <w:rPr>
          <w:rFonts w:cs="Arial"/>
        </w:rPr>
        <w:t> </w:t>
      </w:r>
      <w:r w:rsidRPr="004F6812">
        <w:rPr>
          <w:rFonts w:cs="Arial"/>
        </w:rPr>
        <w:t>mg/m</w:t>
      </w:r>
      <w:r w:rsidRPr="00AA468A">
        <w:rPr>
          <w:rFonts w:cs="Arial"/>
          <w:vertAlign w:val="superscript"/>
        </w:rPr>
        <w:t>2</w:t>
      </w:r>
      <w:r w:rsidRPr="004F6812">
        <w:rPr>
          <w:rFonts w:cs="Arial"/>
        </w:rPr>
        <w:t>/day and ciclosporin eye drops to reduce ocular inflammation</w:t>
      </w:r>
      <w:r>
        <w:rPr>
          <w:rFonts w:cs="Arial"/>
        </w:rPr>
        <w:t>. He</w:t>
      </w:r>
      <w:r w:rsidRPr="002108EC">
        <w:t xml:space="preserve"> is currently awaiting a corneal stem cell transplant. </w:t>
      </w:r>
    </w:p>
    <w:p w14:paraId="59011425" w14:textId="77777777" w:rsidR="00957200" w:rsidRPr="00AA468A" w:rsidRDefault="00957200" w:rsidP="00AA468A">
      <w:pPr>
        <w:pStyle w:val="BodyText"/>
      </w:pPr>
      <w:r w:rsidRPr="002108EC">
        <w:t xml:space="preserve">Five months </w:t>
      </w:r>
      <w:r>
        <w:t>later,</w:t>
      </w:r>
      <w:r w:rsidRPr="002108EC">
        <w:t xml:space="preserve"> he developed exertional dyspnoea and a nonproductive cough. Spirometry showed a </w:t>
      </w:r>
      <w:r w:rsidRPr="004F6812">
        <w:rPr>
          <w:rFonts w:cs="Arial"/>
        </w:rPr>
        <w:t xml:space="preserve">showed a significant </w:t>
      </w:r>
      <w:r>
        <w:rPr>
          <w:rFonts w:cs="Arial"/>
        </w:rPr>
        <w:t>non</w:t>
      </w:r>
      <w:r w:rsidRPr="004F6812">
        <w:rPr>
          <w:rFonts w:cs="Arial"/>
        </w:rPr>
        <w:t>r</w:t>
      </w:r>
      <w:r>
        <w:rPr>
          <w:rFonts w:cs="Arial"/>
        </w:rPr>
        <w:t>eversible obstructive picture [</w:t>
      </w:r>
      <w:r w:rsidRPr="002108EC">
        <w:t>reduced forced expiratory volume in 1 second (FEV</w:t>
      </w:r>
      <w:r w:rsidRPr="002108EC">
        <w:rPr>
          <w:vertAlign w:val="subscript"/>
        </w:rPr>
        <w:t>1</w:t>
      </w:r>
      <w:r>
        <w:t>) was</w:t>
      </w:r>
      <w:r w:rsidRPr="002108EC">
        <w:t xml:space="preserve"> 29% predicted</w:t>
      </w:r>
      <w:r>
        <w:t>,</w:t>
      </w:r>
      <w:r w:rsidRPr="002108EC">
        <w:t xml:space="preserve"> forced vital capacity</w:t>
      </w:r>
      <w:r>
        <w:t xml:space="preserve"> (FVC)</w:t>
      </w:r>
      <w:r w:rsidRPr="002108EC">
        <w:t xml:space="preserve"> </w:t>
      </w:r>
      <w:r>
        <w:t>was</w:t>
      </w:r>
      <w:r w:rsidRPr="002108EC">
        <w:t xml:space="preserve"> 55% predicted, </w:t>
      </w:r>
      <w:r>
        <w:t>and no</w:t>
      </w:r>
      <w:r w:rsidRPr="002108EC">
        <w:t xml:space="preserve"> reversibility </w:t>
      </w:r>
      <w:r w:rsidRPr="004F6812">
        <w:rPr>
          <w:rFonts w:cs="Arial"/>
        </w:rPr>
        <w:t>w</w:t>
      </w:r>
      <w:r>
        <w:rPr>
          <w:rFonts w:cs="Arial"/>
        </w:rPr>
        <w:t>as seen with inhaled salbutamol]</w:t>
      </w:r>
      <w:r w:rsidRPr="002108EC">
        <w:t xml:space="preserve">. </w:t>
      </w:r>
      <w:r w:rsidRPr="00AA468A">
        <w:t>Chest X-ray showed mild bronchial wall thickening in the right middle lobe</w:t>
      </w:r>
      <w:r>
        <w:t xml:space="preserve">. </w:t>
      </w:r>
      <w:r w:rsidRPr="002108EC">
        <w:t>High-resolution computed tomography</w:t>
      </w:r>
      <w:r>
        <w:t xml:space="preserve"> of the chest</w:t>
      </w:r>
      <w:r w:rsidRPr="002108EC">
        <w:t xml:space="preserve"> (HRCT) </w:t>
      </w:r>
      <w:r>
        <w:t>showed</w:t>
      </w:r>
      <w:r w:rsidRPr="002108EC">
        <w:t xml:space="preserve"> mosaic perfusion and air trapping on expiratory films</w:t>
      </w:r>
      <w:r>
        <w:t>, characteristic of BO</w:t>
      </w:r>
      <w:r w:rsidRPr="002108EC">
        <w:t xml:space="preserve"> (Fig. 1). Treatment with</w:t>
      </w:r>
      <w:r>
        <w:t xml:space="preserve"> </w:t>
      </w:r>
      <w:r w:rsidRPr="004F6812">
        <w:rPr>
          <w:rFonts w:cs="Arial"/>
        </w:rPr>
        <w:t>fluticasone proprionate, oscillating positive expiratory pressure (PEP) physiotherapy</w:t>
      </w:r>
      <w:r>
        <w:rPr>
          <w:rFonts w:cs="Arial"/>
        </w:rPr>
        <w:t xml:space="preserve">, </w:t>
      </w:r>
      <w:r w:rsidRPr="002108EC">
        <w:t xml:space="preserve">azithromycin prophylaxis (200 mg daily, 3 times/week) </w:t>
      </w:r>
      <w:r>
        <w:t>and</w:t>
      </w:r>
      <w:r w:rsidRPr="002108EC">
        <w:t xml:space="preserve"> rescue courses of oral </w:t>
      </w:r>
      <w:r w:rsidRPr="004F6812">
        <w:rPr>
          <w:rFonts w:cs="Arial"/>
        </w:rPr>
        <w:t>amoxicillin/clavulanic acid</w:t>
      </w:r>
      <w:r w:rsidRPr="002108EC">
        <w:t xml:space="preserve"> for infective exacerbations ameliorated pulmonary function. After 1 year, FEV</w:t>
      </w:r>
      <w:r w:rsidRPr="002108EC">
        <w:rPr>
          <w:vertAlign w:val="subscript"/>
        </w:rPr>
        <w:t xml:space="preserve">1 </w:t>
      </w:r>
      <w:r w:rsidRPr="002108EC">
        <w:t>was 71% predicted.</w:t>
      </w:r>
    </w:p>
    <w:p w14:paraId="196EB499" w14:textId="77777777" w:rsidR="00957200" w:rsidRDefault="00957200" w:rsidP="002108EC">
      <w:pPr>
        <w:pStyle w:val="BodyText"/>
      </w:pPr>
      <w:r w:rsidRPr="002108EC">
        <w:t>Patient 2 was a</w:t>
      </w:r>
      <w:r>
        <w:t xml:space="preserve"> previously well</w:t>
      </w:r>
      <w:r w:rsidRPr="002108EC">
        <w:t xml:space="preserve"> 5-year-old boy who had a sore throat and fever for 11 days before developing a diffuse erythematous rash, which became bullous over 24 h. There was 26% skin detachment</w:t>
      </w:r>
      <w:r>
        <w:t xml:space="preserve"> noted</w:t>
      </w:r>
      <w:r w:rsidRPr="002108EC">
        <w:t>, with prominent oral ulceration and conjunctival injection. TEN was subsequently confirmed histologically</w:t>
      </w:r>
      <w:r>
        <w:t xml:space="preserve"> </w:t>
      </w:r>
      <w:r w:rsidRPr="004F6812">
        <w:rPr>
          <w:rFonts w:cs="Arial"/>
        </w:rPr>
        <w:t>on skin biopsy</w:t>
      </w:r>
      <w:r>
        <w:rPr>
          <w:rFonts w:cs="Arial"/>
        </w:rPr>
        <w:t>,</w:t>
      </w:r>
      <w:r w:rsidRPr="004F6812">
        <w:rPr>
          <w:rFonts w:cs="Arial"/>
        </w:rPr>
        <w:t xml:space="preserve"> with negative direct immunofluorescence</w:t>
      </w:r>
      <w:r w:rsidRPr="002108EC">
        <w:t xml:space="preserve">. IVIg was commenced (total 2.4 g/kg over 3 days). </w:t>
      </w:r>
      <w:r>
        <w:t>NPA detected a</w:t>
      </w:r>
      <w:r w:rsidRPr="002108EC">
        <w:t>denovirus</w:t>
      </w:r>
      <w:r>
        <w:t>.</w:t>
      </w:r>
    </w:p>
    <w:p w14:paraId="47130D4D" w14:textId="77777777" w:rsidR="00957200" w:rsidRPr="002108EC" w:rsidRDefault="00957200" w:rsidP="002108EC">
      <w:pPr>
        <w:pStyle w:val="BodyText"/>
      </w:pPr>
      <w:r>
        <w:t>T</w:t>
      </w:r>
      <w:r w:rsidRPr="002108EC">
        <w:t>he skin re-epithelialized</w:t>
      </w:r>
      <w:r>
        <w:t xml:space="preserve"> by day 26</w:t>
      </w:r>
      <w:r w:rsidRPr="002108EC">
        <w:t xml:space="preserve">. </w:t>
      </w:r>
      <w:r>
        <w:t>Two</w:t>
      </w:r>
      <w:r w:rsidRPr="002108EC">
        <w:t xml:space="preserve"> weeks after discharge, the patient developed exertional dyspnoea. HRCT showed bilateral air trapping and vascular paucity</w:t>
      </w:r>
      <w:r>
        <w:t>,</w:t>
      </w:r>
      <w:r w:rsidRPr="002108EC">
        <w:t xml:space="preserve"> suggestive of BO. FEV</w:t>
      </w:r>
      <w:r w:rsidRPr="002108EC">
        <w:rPr>
          <w:vertAlign w:val="subscript"/>
        </w:rPr>
        <w:t>1</w:t>
      </w:r>
      <w:r w:rsidRPr="002108EC">
        <w:t xml:space="preserve"> and FVC were 48% and 66% predicted, respectively, without reversibility. Oral prednisolone 2 mg/kg daily</w:t>
      </w:r>
      <w:r>
        <w:t xml:space="preserve"> for 2 weeks</w:t>
      </w:r>
      <w:r w:rsidRPr="002108EC">
        <w:t xml:space="preserve"> did not improve the symptoms. Management continued with anti-inflammatory strategies</w:t>
      </w:r>
      <w:r>
        <w:t xml:space="preserve">, including </w:t>
      </w:r>
      <w:r w:rsidRPr="002108EC">
        <w:t>azithromycin 200 mg 3</w:t>
      </w:r>
      <w:r>
        <w:t> </w:t>
      </w:r>
      <w:r w:rsidRPr="002108EC">
        <w:t>times/week as prophylaxis</w:t>
      </w:r>
      <w:r>
        <w:t xml:space="preserve"> and</w:t>
      </w:r>
      <w:r w:rsidRPr="002108EC">
        <w:t xml:space="preserve"> inhaled corticosteroids</w:t>
      </w:r>
      <w:r>
        <w:t>, along</w:t>
      </w:r>
      <w:r w:rsidR="009F0C2E">
        <w:t>s</w:t>
      </w:r>
      <w:r>
        <w:t>i</w:t>
      </w:r>
      <w:r w:rsidR="009F0C2E">
        <w:t>d</w:t>
      </w:r>
      <w:r>
        <w:t>e</w:t>
      </w:r>
      <w:r w:rsidRPr="002108EC">
        <w:t xml:space="preserve"> regular </w:t>
      </w:r>
      <w:r>
        <w:t>PEP</w:t>
      </w:r>
      <w:r w:rsidRPr="002108EC">
        <w:t xml:space="preserve"> physiotherapy. </w:t>
      </w:r>
    </w:p>
    <w:p w14:paraId="40F213E5" w14:textId="77777777" w:rsidR="00957200" w:rsidRDefault="00957200" w:rsidP="002108EC">
      <w:pPr>
        <w:pStyle w:val="BodyText"/>
      </w:pPr>
      <w:r w:rsidRPr="002108EC">
        <w:t>Patient 3 was a previously well 14-year-old girl, who developed cutaneous blistering, severe oral mucosal ulceration and eye pain 1 week after developing a sore throat and cough. She had multiple targetoid lesion</w:t>
      </w:r>
      <w:r>
        <w:t>s, including at</w:t>
      </w:r>
      <w:r w:rsidRPr="002108EC">
        <w:t xml:space="preserve"> acral sites, with 5% epidermal detachment</w:t>
      </w:r>
      <w:r w:rsidRPr="004F6812">
        <w:rPr>
          <w:rFonts w:cs="Arial"/>
        </w:rPr>
        <w:t xml:space="preserve"> with overlapping features</w:t>
      </w:r>
      <w:r>
        <w:rPr>
          <w:rFonts w:cs="Arial"/>
        </w:rPr>
        <w:t xml:space="preserve"> of SJS and erythema multiforme</w:t>
      </w:r>
      <w:r w:rsidRPr="002108EC">
        <w:t xml:space="preserve">. </w:t>
      </w:r>
      <w:r w:rsidRPr="004F6812">
        <w:rPr>
          <w:rFonts w:cs="Arial"/>
        </w:rPr>
        <w:t xml:space="preserve">Chest </w:t>
      </w:r>
      <w:r>
        <w:rPr>
          <w:rFonts w:cs="Arial"/>
        </w:rPr>
        <w:t>radiography</w:t>
      </w:r>
      <w:r w:rsidRPr="004F6812">
        <w:rPr>
          <w:rFonts w:cs="Arial"/>
        </w:rPr>
        <w:t xml:space="preserve"> during admission was unremarkable.</w:t>
      </w:r>
      <w:r>
        <w:rPr>
          <w:rFonts w:cs="Arial"/>
        </w:rPr>
        <w:t xml:space="preserve"> The patient</w:t>
      </w:r>
      <w:r w:rsidRPr="004F6812">
        <w:rPr>
          <w:rFonts w:cs="Arial"/>
        </w:rPr>
        <w:t xml:space="preserve"> was treated with intravenous ceftriaxone, ac</w:t>
      </w:r>
      <w:r>
        <w:rPr>
          <w:rFonts w:cs="Arial"/>
        </w:rPr>
        <w:t>i</w:t>
      </w:r>
      <w:r w:rsidRPr="004F6812">
        <w:rPr>
          <w:rFonts w:cs="Arial"/>
        </w:rPr>
        <w:t>clovir and oral azithromycin. Her skin and mouth rapidly improved within 7</w:t>
      </w:r>
      <w:r>
        <w:rPr>
          <w:rFonts w:cs="Arial"/>
        </w:rPr>
        <w:t> </w:t>
      </w:r>
      <w:r w:rsidRPr="004F6812">
        <w:rPr>
          <w:rFonts w:cs="Arial"/>
        </w:rPr>
        <w:t xml:space="preserve">days. Blepharitis was treated with dexamethasone eye drops and chloramphenicol ointment </w:t>
      </w:r>
      <w:r>
        <w:rPr>
          <w:rFonts w:cs="Arial"/>
        </w:rPr>
        <w:t>four</w:t>
      </w:r>
      <w:r w:rsidRPr="004F6812">
        <w:rPr>
          <w:rFonts w:cs="Arial"/>
        </w:rPr>
        <w:t xml:space="preserve"> times daily</w:t>
      </w:r>
      <w:r>
        <w:rPr>
          <w:rFonts w:cs="Arial"/>
        </w:rPr>
        <w:t xml:space="preserve">. </w:t>
      </w:r>
      <w:r w:rsidRPr="002108EC">
        <w:rPr>
          <w:i/>
        </w:rPr>
        <w:t>Mycoplasma</w:t>
      </w:r>
      <w:r>
        <w:t xml:space="preserve"> </w:t>
      </w:r>
      <w:r w:rsidRPr="00DD795E">
        <w:rPr>
          <w:i/>
        </w:rPr>
        <w:t>pneumoniae</w:t>
      </w:r>
      <w:r>
        <w:t xml:space="preserve"> serology</w:t>
      </w:r>
      <w:r w:rsidRPr="002108EC">
        <w:t xml:space="preserve"> was </w:t>
      </w:r>
      <w:r>
        <w:t xml:space="preserve">subsequently </w:t>
      </w:r>
      <w:r w:rsidRPr="002108EC">
        <w:t>positive (complement fixation test titre &gt; 64</w:t>
      </w:r>
      <w:r>
        <w:t>, agglutination test &gt; 1280</w:t>
      </w:r>
      <w:r w:rsidRPr="002108EC">
        <w:t xml:space="preserve">). </w:t>
      </w:r>
    </w:p>
    <w:p w14:paraId="21F218A0" w14:textId="77777777" w:rsidR="00957200" w:rsidRPr="00DD795E" w:rsidRDefault="00957200" w:rsidP="002108EC">
      <w:pPr>
        <w:pStyle w:val="BodyText"/>
      </w:pPr>
      <w:r>
        <w:t>At review 4 </w:t>
      </w:r>
      <w:r w:rsidRPr="002108EC">
        <w:t xml:space="preserve">weeks </w:t>
      </w:r>
      <w:r>
        <w:t>later,</w:t>
      </w:r>
      <w:r w:rsidRPr="002108EC">
        <w:t xml:space="preserve"> the patient reported breathlessness on exertion and wheeze. </w:t>
      </w:r>
      <w:r w:rsidRPr="004F6812">
        <w:rPr>
          <w:rFonts w:cs="Arial"/>
        </w:rPr>
        <w:t>Spir</w:t>
      </w:r>
      <w:r>
        <w:rPr>
          <w:rFonts w:cs="Arial"/>
        </w:rPr>
        <w:t>ometry showed a significant non</w:t>
      </w:r>
      <w:r w:rsidRPr="004F6812">
        <w:rPr>
          <w:rFonts w:cs="Arial"/>
        </w:rPr>
        <w:t>reversible obstructive picture</w:t>
      </w:r>
      <w:r>
        <w:rPr>
          <w:rFonts w:cs="Arial"/>
        </w:rPr>
        <w:t xml:space="preserve"> (</w:t>
      </w:r>
      <w:r w:rsidRPr="002108EC">
        <w:t>FEV</w:t>
      </w:r>
      <w:r w:rsidRPr="002108EC">
        <w:rPr>
          <w:vertAlign w:val="subscript"/>
        </w:rPr>
        <w:t>1</w:t>
      </w:r>
      <w:r w:rsidRPr="002108EC">
        <w:t xml:space="preserve"> was 25% predicted without reversibility) and HRCT confirmed BO. </w:t>
      </w:r>
      <w:r>
        <w:t>In view of the severe symptoms, further t</w:t>
      </w:r>
      <w:r w:rsidRPr="002108EC">
        <w:t xml:space="preserve">reatment </w:t>
      </w:r>
      <w:r>
        <w:t xml:space="preserve">included IV </w:t>
      </w:r>
      <w:r w:rsidRPr="002108EC">
        <w:t>methylprednisolone</w:t>
      </w:r>
      <w:r>
        <w:t xml:space="preserve"> </w:t>
      </w:r>
      <w:r w:rsidRPr="002108EC">
        <w:t xml:space="preserve">10 mg/kg </w:t>
      </w:r>
      <w:r>
        <w:t xml:space="preserve">for </w:t>
      </w:r>
      <w:r w:rsidRPr="002108EC">
        <w:t>3 </w:t>
      </w:r>
      <w:r>
        <w:t xml:space="preserve">consecutive days per </w:t>
      </w:r>
      <w:r w:rsidRPr="002108EC">
        <w:t xml:space="preserve">month for 6 months in addition to azithromycin, inhaled </w:t>
      </w:r>
      <w:r>
        <w:t>ciclesonide</w:t>
      </w:r>
      <w:r w:rsidRPr="002108EC">
        <w:t xml:space="preserve"> and </w:t>
      </w:r>
      <w:r>
        <w:t xml:space="preserve">PEP </w:t>
      </w:r>
      <w:r w:rsidRPr="002108EC">
        <w:t xml:space="preserve">physiotherapy. </w:t>
      </w:r>
      <w:r>
        <w:t>At 6 months after starting treatment, there was</w:t>
      </w:r>
      <w:r w:rsidRPr="002108EC">
        <w:t xml:space="preserve"> minimal improvement in FEV</w:t>
      </w:r>
      <w:r w:rsidRPr="002108EC">
        <w:rPr>
          <w:vertAlign w:val="subscript"/>
        </w:rPr>
        <w:t>1</w:t>
      </w:r>
      <w:r w:rsidRPr="002108EC">
        <w:t>, which was 33% predicted</w:t>
      </w:r>
      <w:r>
        <w:t xml:space="preserve">. </w:t>
      </w:r>
      <w:r w:rsidRPr="00DD795E">
        <w:t>She also remains und</w:t>
      </w:r>
      <w:r>
        <w:t>er O</w:t>
      </w:r>
      <w:r w:rsidRPr="00DD795E">
        <w:t>phthalmology follow-up with persistent m</w:t>
      </w:r>
      <w:r>
        <w:t>eibomian gland dysfunction, sub</w:t>
      </w:r>
      <w:r w:rsidRPr="00DD795E">
        <w:t>tarsal scarring and papillary conjunctivitis, requiring long-term sodium hyaluronate eye lubrication.</w:t>
      </w:r>
    </w:p>
    <w:p w14:paraId="5FA78332" w14:textId="77777777" w:rsidR="00957200" w:rsidRDefault="00957200" w:rsidP="002108EC">
      <w:pPr>
        <w:pStyle w:val="BodyText"/>
        <w:rPr>
          <w:rFonts w:cs="Arial"/>
        </w:rPr>
      </w:pPr>
      <w:r w:rsidRPr="002108EC">
        <w:t xml:space="preserve">BO is an uncommon fibrosing chronic lung disease, </w:t>
      </w:r>
      <w:r w:rsidRPr="004F6812">
        <w:rPr>
          <w:rFonts w:cs="Arial"/>
        </w:rPr>
        <w:t>which occurs following a severe lower respiratory tract insult leading to narrowing and/or obliteration of the small airways</w:t>
      </w:r>
      <w:r w:rsidRPr="004F6812">
        <w:rPr>
          <w:rFonts w:cs="Arial"/>
          <w:vertAlign w:val="superscript"/>
        </w:rPr>
        <w:t>7</w:t>
      </w:r>
      <w:r w:rsidRPr="004F6812">
        <w:rPr>
          <w:rFonts w:cs="Arial"/>
        </w:rPr>
        <w:t>. It is characteri</w:t>
      </w:r>
      <w:r>
        <w:rPr>
          <w:rFonts w:cs="Arial"/>
        </w:rPr>
        <w:t>z</w:t>
      </w:r>
      <w:r w:rsidRPr="004F6812">
        <w:rPr>
          <w:rFonts w:cs="Arial"/>
        </w:rPr>
        <w:t>ed clinically by tachypnoea, crack</w:t>
      </w:r>
      <w:r>
        <w:rPr>
          <w:rFonts w:cs="Arial"/>
        </w:rPr>
        <w:t>les, wheezing, increased antero</w:t>
      </w:r>
      <w:r w:rsidRPr="004F6812">
        <w:rPr>
          <w:rFonts w:cs="Arial"/>
        </w:rPr>
        <w:t>posterior chest diameter and hypoxaemia.</w:t>
      </w:r>
      <w:r w:rsidRPr="004F6812">
        <w:rPr>
          <w:rFonts w:cs="Arial"/>
          <w:vertAlign w:val="superscript"/>
        </w:rPr>
        <w:t>8</w:t>
      </w:r>
      <w:r>
        <w:rPr>
          <w:rFonts w:cs="Arial"/>
        </w:rPr>
        <w:t xml:space="preserve"> </w:t>
      </w:r>
      <w:r w:rsidRPr="004F6812">
        <w:rPr>
          <w:rFonts w:cs="Arial"/>
        </w:rPr>
        <w:t>Pulmonary function tests typically show varying degrees of obstruction with a limited response to bronchodilators.</w:t>
      </w:r>
      <w:r>
        <w:rPr>
          <w:rFonts w:cs="Arial"/>
        </w:rPr>
        <w:t xml:space="preserve"> </w:t>
      </w:r>
      <w:r w:rsidRPr="004F6812">
        <w:rPr>
          <w:rFonts w:cs="Arial"/>
        </w:rPr>
        <w:t xml:space="preserve">Chest </w:t>
      </w:r>
      <w:r>
        <w:rPr>
          <w:rFonts w:cs="Arial"/>
        </w:rPr>
        <w:t>radiography is non</w:t>
      </w:r>
      <w:r w:rsidRPr="004F6812">
        <w:rPr>
          <w:rFonts w:cs="Arial"/>
        </w:rPr>
        <w:t>specific but possible changes include hyperexpansion, gas trapping and peribronchial thickening.</w:t>
      </w:r>
      <w:r>
        <w:rPr>
          <w:rFonts w:cs="Arial"/>
        </w:rPr>
        <w:t xml:space="preserve"> </w:t>
      </w:r>
      <w:r w:rsidRPr="004F6812">
        <w:rPr>
          <w:rFonts w:cs="Arial"/>
        </w:rPr>
        <w:t>HRCT is generally diagnostic, demonstrating mosaic perfusion, vascular attenuation and central bronchiectasis.</w:t>
      </w:r>
      <w:r w:rsidRPr="004F6812">
        <w:rPr>
          <w:rFonts w:cs="Arial"/>
          <w:vertAlign w:val="superscript"/>
        </w:rPr>
        <w:t>8</w:t>
      </w:r>
    </w:p>
    <w:p w14:paraId="38610389" w14:textId="77777777" w:rsidR="00957200" w:rsidRPr="004F6812" w:rsidRDefault="00957200" w:rsidP="00DD795E">
      <w:pPr>
        <w:pStyle w:val="BodyText"/>
      </w:pPr>
      <w:r w:rsidRPr="004F6812">
        <w:t xml:space="preserve">The pathogenesis of BO is not fully understood but may include bronchial injury from primary blistering lesions, secondary lung infection or a type III immune mechanism. </w:t>
      </w:r>
      <w:r w:rsidRPr="004F6812">
        <w:rPr>
          <w:vertAlign w:val="superscript"/>
        </w:rPr>
        <w:t>8</w:t>
      </w:r>
    </w:p>
    <w:p w14:paraId="7CD16799" w14:textId="77777777" w:rsidR="00957200" w:rsidRPr="004F6812" w:rsidRDefault="00957200" w:rsidP="00DD795E">
      <w:pPr>
        <w:pStyle w:val="BodyText"/>
      </w:pPr>
      <w:r w:rsidRPr="004F6812">
        <w:lastRenderedPageBreak/>
        <w:t>BO is a well-defined complication of heart/lung, lung and bone marrow transplant.</w:t>
      </w:r>
      <w:r>
        <w:t xml:space="preserve"> </w:t>
      </w:r>
      <w:r w:rsidRPr="004F6812">
        <w:t>The commonest cause for BO in immunocompetent children is severe lower respiratory tract infection</w:t>
      </w:r>
      <w:r>
        <w:t xml:space="preserve"> (LRTI)</w:t>
      </w:r>
      <w:r w:rsidRPr="004F6812">
        <w:t xml:space="preserve">, of which </w:t>
      </w:r>
      <w:r>
        <w:t>a</w:t>
      </w:r>
      <w:r w:rsidRPr="004F6812">
        <w:t>denovirus is the most commonly documented cause worldwide</w:t>
      </w:r>
      <w:r w:rsidRPr="004F6812">
        <w:rPr>
          <w:vertAlign w:val="superscript"/>
        </w:rPr>
        <w:t>9</w:t>
      </w:r>
      <w:r w:rsidRPr="004F6812">
        <w:t>. It is only rarely reported after SJS or TEN.</w:t>
      </w:r>
      <w:r>
        <w:t xml:space="preserve"> </w:t>
      </w:r>
      <w:r w:rsidRPr="00DD795E">
        <w:rPr>
          <w:i/>
        </w:rPr>
        <w:t>M. pneumoniae</w:t>
      </w:r>
      <w:r w:rsidRPr="004F6812">
        <w:t xml:space="preserve"> has also been associated with the development of BO.</w:t>
      </w:r>
      <w:r w:rsidRPr="004F6812">
        <w:rPr>
          <w:vertAlign w:val="superscript"/>
        </w:rPr>
        <w:t>7</w:t>
      </w:r>
      <w:r w:rsidRPr="004F6812">
        <w:t xml:space="preserve"> Evidence of both </w:t>
      </w:r>
      <w:r>
        <w:t>a</w:t>
      </w:r>
      <w:r w:rsidRPr="004F6812">
        <w:t xml:space="preserve">denovirus and </w:t>
      </w:r>
      <w:r w:rsidRPr="00DD795E">
        <w:rPr>
          <w:i/>
        </w:rPr>
        <w:t>Mycoplasma</w:t>
      </w:r>
      <w:r>
        <w:t xml:space="preserve"> were identified in two</w:t>
      </w:r>
      <w:r w:rsidRPr="004F6812">
        <w:t xml:space="preserve"> of our patients</w:t>
      </w:r>
      <w:r>
        <w:t>,</w:t>
      </w:r>
      <w:r w:rsidRPr="004F6812">
        <w:t xml:space="preserve"> and not tested in the third. The presence of adenovirus in the setting of SJS/TEN may hypothetically increase the risk of BO, therefore testing at diagnosis could be useful</w:t>
      </w:r>
      <w:r>
        <w:t>,</w:t>
      </w:r>
      <w:r w:rsidRPr="004F6812">
        <w:t xml:space="preserve"> but a formal study examining this potential link is needed.</w:t>
      </w:r>
    </w:p>
    <w:p w14:paraId="088047B4" w14:textId="77777777" w:rsidR="00957200" w:rsidRDefault="00957200" w:rsidP="00DD795E">
      <w:pPr>
        <w:pStyle w:val="BodyText"/>
      </w:pPr>
      <w:r w:rsidRPr="004F6812">
        <w:t>BO is a rare disease and</w:t>
      </w:r>
      <w:r>
        <w:t xml:space="preserve"> thus</w:t>
      </w:r>
      <w:r w:rsidRPr="004F6812">
        <w:t xml:space="preserve"> randomi</w:t>
      </w:r>
      <w:r>
        <w:t>z</w:t>
      </w:r>
      <w:r w:rsidRPr="004F6812">
        <w:t>ed controlled trials of treatments have not been performed, even fo</w:t>
      </w:r>
      <w:r>
        <w:t>r the more common post</w:t>
      </w:r>
      <w:r w:rsidRPr="004F6812">
        <w:t>infectious group.</w:t>
      </w:r>
      <w:r>
        <w:t xml:space="preserve"> </w:t>
      </w:r>
      <w:r w:rsidRPr="004F6812">
        <w:t>Empirical treatment recomm</w:t>
      </w:r>
      <w:r>
        <w:t>endations from a review of post</w:t>
      </w:r>
      <w:r w:rsidRPr="004F6812">
        <w:t>infectious BO in children include</w:t>
      </w:r>
      <w:r>
        <w:t>d</w:t>
      </w:r>
      <w:r w:rsidRPr="004F6812">
        <w:t xml:space="preserve"> inhaled corticosteroids, bronchodilators, rescue antibiotics to treat acute infection</w:t>
      </w:r>
      <w:r>
        <w:t>,</w:t>
      </w:r>
      <w:r w:rsidRPr="004F6812">
        <w:t xml:space="preserve"> and azithromycin for its anti-inflammatory and immunomodulatory properties.</w:t>
      </w:r>
      <w:r w:rsidRPr="004F6812">
        <w:rPr>
          <w:vertAlign w:val="superscript"/>
        </w:rPr>
        <w:t>10</w:t>
      </w:r>
      <w:r>
        <w:t xml:space="preserve"> </w:t>
      </w:r>
      <w:r w:rsidRPr="004F6812">
        <w:t xml:space="preserve">All </w:t>
      </w:r>
      <w:r>
        <w:t>three of our patients</w:t>
      </w:r>
      <w:r w:rsidRPr="004F6812">
        <w:t xml:space="preserve"> received azithromycin and demonstrated stable or improved lung function. </w:t>
      </w:r>
    </w:p>
    <w:p w14:paraId="3C4B8641" w14:textId="77777777" w:rsidR="00957200" w:rsidRPr="004F6812" w:rsidRDefault="00957200" w:rsidP="00DD795E">
      <w:pPr>
        <w:pStyle w:val="BodyText"/>
      </w:pPr>
      <w:r w:rsidRPr="004F6812">
        <w:t>The use of systemic corticosteroids in the management of BO is contentious.</w:t>
      </w:r>
      <w:r>
        <w:t xml:space="preserve"> One case report of post</w:t>
      </w:r>
      <w:r w:rsidRPr="004F6812">
        <w:t>infectious BO demonstrated improved lung function with pulsed corticosteroids</w:t>
      </w:r>
      <w:r>
        <w:t>,</w:t>
      </w:r>
      <w:r w:rsidRPr="004F6812">
        <w:t xml:space="preserve"> but most </w:t>
      </w:r>
      <w:r>
        <w:t xml:space="preserve"> of the </w:t>
      </w:r>
      <w:r w:rsidRPr="004F6812">
        <w:t>benefit was lost by 4</w:t>
      </w:r>
      <w:r>
        <w:t> </w:t>
      </w:r>
      <w:r w:rsidRPr="004F6812">
        <w:t>months</w:t>
      </w:r>
      <w:r>
        <w:t>,</w:t>
      </w:r>
      <w:r w:rsidRPr="004F6812">
        <w:t xml:space="preserve"> suggesting</w:t>
      </w:r>
      <w:r>
        <w:t xml:space="preserve"> that long-</w:t>
      </w:r>
      <w:r w:rsidRPr="004F6812">
        <w:t>term immunosuppression may be needed.</w:t>
      </w:r>
      <w:r w:rsidRPr="004F6812">
        <w:rPr>
          <w:vertAlign w:val="superscript"/>
        </w:rPr>
        <w:t>11</w:t>
      </w:r>
      <w:r>
        <w:t xml:space="preserve"> </w:t>
      </w:r>
      <w:r w:rsidRPr="004F6812">
        <w:t xml:space="preserve">No clear benefit was identified in our patients receiving systemic therapy early in the course of their disease; </w:t>
      </w:r>
      <w:r>
        <w:t>Patient 1 (IVIG initiated by d</w:t>
      </w:r>
      <w:r w:rsidRPr="004F6812">
        <w:t>ermatologists</w:t>
      </w:r>
      <w:r>
        <w:t xml:space="preserve">, and </w:t>
      </w:r>
      <w:r w:rsidRPr="004F6812">
        <w:t>sy</w:t>
      </w:r>
      <w:r>
        <w:t xml:space="preserve">stemic corticosteroids and MMF </w:t>
      </w:r>
      <w:r w:rsidRPr="004F6812">
        <w:t xml:space="preserve">initiated by </w:t>
      </w:r>
      <w:r>
        <w:t>ophthalmologists</w:t>
      </w:r>
      <w:r w:rsidRPr="004F6812">
        <w:t>) and</w:t>
      </w:r>
      <w:r>
        <w:t xml:space="preserve"> Patient 2 (IVIG initiated by de</w:t>
      </w:r>
      <w:r w:rsidRPr="004F6812">
        <w:t>rmatologists).</w:t>
      </w:r>
      <w:r>
        <w:t xml:space="preserve"> Of note, P</w:t>
      </w:r>
      <w:r w:rsidRPr="004F6812">
        <w:t>atient 3 did not receive systemic immunosuppressive or immunomodulatory therapy in the acute phase but developed the most severe symptoms of BO.</w:t>
      </w:r>
      <w:r>
        <w:t xml:space="preserve"> </w:t>
      </w:r>
      <w:r w:rsidRPr="004F6812">
        <w:t>It is unclear whether early intervention would have</w:t>
      </w:r>
      <w:r>
        <w:t xml:space="preserve"> affected the</w:t>
      </w:r>
      <w:r w:rsidRPr="004F6812">
        <w:t xml:space="preserve"> development of BO and firm conclusions </w:t>
      </w:r>
      <w:r>
        <w:t xml:space="preserve">cannot be drawn </w:t>
      </w:r>
      <w:r w:rsidRPr="004F6812">
        <w:t>from such small patient numbers.</w:t>
      </w:r>
      <w:r>
        <w:t xml:space="preserve"> </w:t>
      </w:r>
    </w:p>
    <w:p w14:paraId="386A387E" w14:textId="77777777" w:rsidR="00957200" w:rsidRPr="004F6812" w:rsidRDefault="00957200" w:rsidP="00DD795E">
      <w:pPr>
        <w:pStyle w:val="BodyText"/>
      </w:pPr>
      <w:r w:rsidRPr="004F6812">
        <w:t>Our</w:t>
      </w:r>
      <w:r w:rsidRPr="004F6812">
        <w:rPr>
          <w:lang w:val="en-US"/>
        </w:rPr>
        <w:t xml:space="preserve"> literature review (MEDLINE database) identified</w:t>
      </w:r>
      <w:r w:rsidRPr="004F6812">
        <w:t xml:space="preserve"> only 15 described cases of BO in SJS and TEN in children</w:t>
      </w:r>
      <w:r>
        <w:t xml:space="preserve"> (summariz</w:t>
      </w:r>
      <w:r w:rsidRPr="004F6812">
        <w:t>ed in Table 1</w:t>
      </w:r>
      <w:r>
        <w:t>)</w:t>
      </w:r>
      <w:r w:rsidRPr="004F6812">
        <w:t>.</w:t>
      </w:r>
      <w:r>
        <w:t xml:space="preserve"> </w:t>
      </w:r>
      <w:r w:rsidRPr="004F6812">
        <w:t>In the published cases of BO following SJS/TEN, only 6 of 15 had a drug implicated. We speculate that infection may have been a trigger for SJS and TEN in the remainder; adenovirus was negative in one case but not mentioned in the rest.</w:t>
      </w:r>
      <w:r>
        <w:t xml:space="preserve"> </w:t>
      </w:r>
      <w:r w:rsidRPr="004F6812">
        <w:t xml:space="preserve">The characteristics of our cases were comparable to </w:t>
      </w:r>
      <w:r>
        <w:t xml:space="preserve">those in </w:t>
      </w:r>
      <w:r w:rsidRPr="004F6812">
        <w:t>other reports</w:t>
      </w:r>
      <w:r>
        <w:t>: a</w:t>
      </w:r>
      <w:r w:rsidRPr="004F6812">
        <w:t>ge of onset ranged from 5</w:t>
      </w:r>
      <w:r>
        <w:t xml:space="preserve"> to </w:t>
      </w:r>
      <w:r w:rsidRPr="004F6812">
        <w:t>14</w:t>
      </w:r>
      <w:r>
        <w:t> </w:t>
      </w:r>
      <w:r w:rsidRPr="004F6812">
        <w:t>years</w:t>
      </w:r>
      <w:r>
        <w:t>, and m</w:t>
      </w:r>
      <w:r w:rsidRPr="004F6812">
        <w:t>ean time to onset of respiratory symptoms following initial presentation with SJS</w:t>
      </w:r>
      <w:r>
        <w:t>/</w:t>
      </w:r>
      <w:r w:rsidRPr="004F6812">
        <w:t>TEN</w:t>
      </w:r>
      <w:r>
        <w:t xml:space="preserve"> ranged from</w:t>
      </w:r>
      <w:r w:rsidRPr="004F6812">
        <w:t xml:space="preserve"> 5 days to 5 months. There were no reports of pre-existing lung disease. One of our patients </w:t>
      </w:r>
      <w:r>
        <w:t xml:space="preserve">(Patient 1) </w:t>
      </w:r>
      <w:r w:rsidRPr="004F6812">
        <w:t>had a very late onset of respiratory symptoms 5</w:t>
      </w:r>
      <w:r>
        <w:t> </w:t>
      </w:r>
      <w:r w:rsidRPr="004F6812">
        <w:t xml:space="preserve">months following </w:t>
      </w:r>
      <w:r>
        <w:t xml:space="preserve">the </w:t>
      </w:r>
      <w:r w:rsidRPr="004F6812">
        <w:t>initial presentation with TEN. In general,</w:t>
      </w:r>
      <w:r>
        <w:t xml:space="preserve"> based on the review of the published cases,</w:t>
      </w:r>
      <w:r w:rsidRPr="004F6812">
        <w:t xml:space="preserve"> the onset appears to be variable. This highlights that BO may develop insidiously, long after the initial mucocutaneous lesions have healed, emphasi</w:t>
      </w:r>
      <w:r>
        <w:t>z</w:t>
      </w:r>
      <w:r w:rsidRPr="004F6812">
        <w:t xml:space="preserve">ing the need for close follow-up. Parents of affected children should be advised to be vigilant for symptoms of breathlessness. </w:t>
      </w:r>
    </w:p>
    <w:p w14:paraId="5E05FB2F" w14:textId="77777777" w:rsidR="00957200" w:rsidRPr="004F6812" w:rsidRDefault="00957200" w:rsidP="00DD795E">
      <w:pPr>
        <w:pStyle w:val="BodyText"/>
      </w:pPr>
      <w:r w:rsidRPr="004F6812">
        <w:t>Post-SJS and TEN, BO may be progressive</w:t>
      </w:r>
      <w:r>
        <w:t>; five</w:t>
      </w:r>
      <w:r w:rsidRPr="004F6812">
        <w:t xml:space="preserve"> of the published cases required lung transplantation, with </w:t>
      </w:r>
      <w:r>
        <w:t>one</w:t>
      </w:r>
      <w:r w:rsidRPr="004F6812">
        <w:t xml:space="preserve"> death reported in a transplant recipient and </w:t>
      </w:r>
      <w:r>
        <w:t>one</w:t>
      </w:r>
      <w:r w:rsidRPr="004F6812">
        <w:t xml:space="preserve"> death in another case. However, it is difficult to be certain that the literature captures late mortality</w:t>
      </w:r>
      <w:r>
        <w:t xml:space="preserve"> that</w:t>
      </w:r>
      <w:r w:rsidRPr="004F6812">
        <w:t xml:space="preserve"> might be associated with BO. In a case series by Moonnumakal </w:t>
      </w:r>
      <w:r w:rsidRPr="0081372A">
        <w:rPr>
          <w:i/>
        </w:rPr>
        <w:t>et al</w:t>
      </w:r>
      <w:r>
        <w:t>.</w:t>
      </w:r>
      <w:r w:rsidRPr="004F6812">
        <w:t>,</w:t>
      </w:r>
      <w:r>
        <w:rPr>
          <w:vertAlign w:val="superscript"/>
        </w:rPr>
        <w:t>8</w:t>
      </w:r>
      <w:r>
        <w:t xml:space="preserve"> five patients with </w:t>
      </w:r>
      <w:r w:rsidRPr="004F6812">
        <w:t>BO required lung transplantation</w:t>
      </w:r>
      <w:r>
        <w:t>; two</w:t>
      </w:r>
      <w:r w:rsidRPr="004F6812">
        <w:t xml:space="preserve"> were post-SJS, and none </w:t>
      </w:r>
      <w:r>
        <w:t xml:space="preserve">was </w:t>
      </w:r>
      <w:r w:rsidRPr="004F6812">
        <w:t>post-</w:t>
      </w:r>
      <w:r>
        <w:t xml:space="preserve">LRTI. </w:t>
      </w:r>
      <w:r w:rsidRPr="004F6812">
        <w:t>This may suggest a more aggressive disease course in SJS</w:t>
      </w:r>
      <w:r>
        <w:t>/TEN-</w:t>
      </w:r>
      <w:r w:rsidRPr="004F6812">
        <w:t xml:space="preserve">related BO. </w:t>
      </w:r>
    </w:p>
    <w:p w14:paraId="268229DE" w14:textId="77777777" w:rsidR="00957200" w:rsidRPr="004F6812" w:rsidRDefault="00957200" w:rsidP="00DD795E">
      <w:pPr>
        <w:pStyle w:val="BodyText"/>
      </w:pPr>
      <w:r w:rsidRPr="004F6812">
        <w:t xml:space="preserve">Early </w:t>
      </w:r>
      <w:r>
        <w:t xml:space="preserve">and </w:t>
      </w:r>
      <w:r w:rsidRPr="004F6812">
        <w:t xml:space="preserve">aggressive treatment of acute ocular manifestations is essential to </w:t>
      </w:r>
      <w:r>
        <w:t>limit long-</w:t>
      </w:r>
      <w:r w:rsidRPr="004F6812">
        <w:t>term sequelae and vision impairment in these patients, with evidence supporting the use of AMT.</w:t>
      </w:r>
      <w:r>
        <w:t xml:space="preserve"> </w:t>
      </w:r>
      <w:r w:rsidRPr="004F6812">
        <w:t>Ocular manifestations may also present late</w:t>
      </w:r>
      <w:r>
        <w:t>,</w:t>
      </w:r>
      <w:r w:rsidRPr="004F6812">
        <w:t xml:space="preserve"> necessitating follow-up in all patients.</w:t>
      </w:r>
      <w:r w:rsidRPr="004F6812">
        <w:rPr>
          <w:vertAlign w:val="superscript"/>
        </w:rPr>
        <w:t>12</w:t>
      </w:r>
      <w:r>
        <w:t xml:space="preserve"> </w:t>
      </w:r>
    </w:p>
    <w:p w14:paraId="6A8D03C9" w14:textId="77777777" w:rsidR="00957200" w:rsidRPr="004F6812" w:rsidRDefault="00957200" w:rsidP="00DD795E">
      <w:pPr>
        <w:pStyle w:val="BodyText"/>
      </w:pPr>
      <w:r w:rsidRPr="004F6812">
        <w:t>BO is an uncommon but important sequela of SJS and TEN</w:t>
      </w:r>
      <w:r>
        <w:t>, and</w:t>
      </w:r>
      <w:r w:rsidRPr="004F6812">
        <w:t xml:space="preserve"> Dermatologists </w:t>
      </w:r>
      <w:r>
        <w:t>should</w:t>
      </w:r>
      <w:r w:rsidRPr="004F6812">
        <w:t xml:space="preserve"> be aware of</w:t>
      </w:r>
      <w:r>
        <w:t xml:space="preserve"> this</w:t>
      </w:r>
      <w:r w:rsidRPr="004F6812">
        <w:t>.</w:t>
      </w:r>
      <w:r>
        <w:t xml:space="preserve"> </w:t>
      </w:r>
      <w:r w:rsidRPr="004F6812">
        <w:t>Onset can be insidious and may be several months after the initial episode.</w:t>
      </w:r>
      <w:r>
        <w:t xml:space="preserve"> </w:t>
      </w:r>
      <w:r w:rsidRPr="004F6812">
        <w:t xml:space="preserve">There is some evidence to suggest </w:t>
      </w:r>
      <w:r>
        <w:t xml:space="preserve">that BO may be more aggressive following </w:t>
      </w:r>
      <w:r w:rsidRPr="004F6812">
        <w:t>SJS and TEN. Based on the experience from our cases</w:t>
      </w:r>
      <w:r>
        <w:t>,</w:t>
      </w:r>
      <w:r w:rsidRPr="004F6812">
        <w:t xml:space="preserve"> we would recommend checking adenovirus serology in all children presenting with SJS or TEN until further information on the association with post-SJS/TEN BO and adenovirus is available.</w:t>
      </w:r>
      <w:r>
        <w:t xml:space="preserve"> </w:t>
      </w:r>
      <w:r w:rsidRPr="004F6812">
        <w:t xml:space="preserve">Additionally, baseline pulmonary function tests </w:t>
      </w:r>
      <w:r>
        <w:t>following</w:t>
      </w:r>
      <w:r w:rsidRPr="004F6812">
        <w:t xml:space="preserve"> hospital discharge could be helpful to monitor for any early respiratory deterioration.</w:t>
      </w:r>
      <w:r>
        <w:t xml:space="preserve"> </w:t>
      </w:r>
      <w:r w:rsidRPr="004F6812">
        <w:t xml:space="preserve">Families should also be aware to seek review expediently if there are any new respiratory symptoms. </w:t>
      </w:r>
    </w:p>
    <w:p w14:paraId="3ED72391" w14:textId="77777777" w:rsidR="00957200" w:rsidRPr="002108EC" w:rsidRDefault="00957200" w:rsidP="002108EC">
      <w:pPr>
        <w:pStyle w:val="Heading1"/>
      </w:pPr>
      <w:r w:rsidRPr="002108EC">
        <w:t>Learning points</w:t>
      </w:r>
    </w:p>
    <w:p w14:paraId="5E7C3A94" w14:textId="77777777" w:rsidR="00957200" w:rsidRPr="002108EC" w:rsidRDefault="00957200" w:rsidP="002108EC">
      <w:pPr>
        <w:pStyle w:val="List"/>
      </w:pPr>
      <w:r w:rsidRPr="002108EC">
        <w:t>SJS and TEN are triggered by infection more frequently in children than adults.</w:t>
      </w:r>
    </w:p>
    <w:p w14:paraId="5EE035DA" w14:textId="77777777" w:rsidR="00957200" w:rsidRPr="002108EC" w:rsidRDefault="00957200" w:rsidP="0081372A">
      <w:pPr>
        <w:pStyle w:val="List"/>
      </w:pPr>
      <w:r w:rsidRPr="002108EC">
        <w:t xml:space="preserve">BO is a </w:t>
      </w:r>
      <w:r>
        <w:t>severe</w:t>
      </w:r>
      <w:r w:rsidRPr="002108EC">
        <w:t xml:space="preserve"> fibrosing lung disease</w:t>
      </w:r>
      <w:r>
        <w:t>, which rarely develops after</w:t>
      </w:r>
      <w:r w:rsidRPr="002108EC">
        <w:t xml:space="preserve"> SJS/TEN.</w:t>
      </w:r>
    </w:p>
    <w:p w14:paraId="5A7ED039" w14:textId="77777777" w:rsidR="00957200" w:rsidRPr="004F6812" w:rsidRDefault="00957200" w:rsidP="0081372A">
      <w:pPr>
        <w:pStyle w:val="List"/>
      </w:pPr>
      <w:r w:rsidRPr="004F6812">
        <w:t>The onset may be insidious, sometimes many months after the acute episode of SJS/TEN, demonstrating the need for close follow-up</w:t>
      </w:r>
      <w:r>
        <w:t>.</w:t>
      </w:r>
    </w:p>
    <w:p w14:paraId="4E07075A" w14:textId="77777777" w:rsidR="00957200" w:rsidRPr="004F6812" w:rsidRDefault="00957200" w:rsidP="0081372A">
      <w:pPr>
        <w:pStyle w:val="List"/>
      </w:pPr>
      <w:r w:rsidRPr="004F6812">
        <w:t>The initial chest X-ray may be falsely reassuring in BO</w:t>
      </w:r>
      <w:r>
        <w:t>; s</w:t>
      </w:r>
      <w:r w:rsidRPr="004F6812">
        <w:t xml:space="preserve">pirometry </w:t>
      </w:r>
      <w:r>
        <w:t>(</w:t>
      </w:r>
      <w:r w:rsidRPr="004F6812">
        <w:t>to demonstrate an obstructive picture with lack of reversibility with bronchodilators</w:t>
      </w:r>
      <w:r>
        <w:t xml:space="preserve">) </w:t>
      </w:r>
      <w:r w:rsidRPr="004F6812">
        <w:t>and HRCT are required for diagnosis</w:t>
      </w:r>
      <w:r>
        <w:t>.</w:t>
      </w:r>
    </w:p>
    <w:p w14:paraId="7EB1F011" w14:textId="77777777" w:rsidR="00957200" w:rsidRPr="004F6812" w:rsidRDefault="00957200" w:rsidP="0081372A">
      <w:pPr>
        <w:pStyle w:val="List"/>
      </w:pPr>
      <w:r w:rsidRPr="004F6812">
        <w:t>There is</w:t>
      </w:r>
      <w:r>
        <w:t xml:space="preserve"> a</w:t>
      </w:r>
      <w:r w:rsidRPr="004F6812">
        <w:t xml:space="preserve"> lack of clear evidence to guide management</w:t>
      </w:r>
      <w:r>
        <w:t>,</w:t>
      </w:r>
      <w:r w:rsidRPr="004F6812">
        <w:t xml:space="preserve"> including systemic therapy</w:t>
      </w:r>
      <w:r>
        <w:t>,</w:t>
      </w:r>
      <w:r w:rsidRPr="004F6812">
        <w:t xml:space="preserve"> in BO</w:t>
      </w:r>
      <w:r>
        <w:t>.</w:t>
      </w:r>
    </w:p>
    <w:p w14:paraId="0B53BD5B" w14:textId="77777777" w:rsidR="00957200" w:rsidRPr="004F6812" w:rsidRDefault="00957200" w:rsidP="0081372A">
      <w:pPr>
        <w:pStyle w:val="List"/>
      </w:pPr>
      <w:r w:rsidRPr="004F6812">
        <w:lastRenderedPageBreak/>
        <w:t>Post-SJS and TEN, BO may be progressive</w:t>
      </w:r>
      <w:r>
        <w:t>, and s</w:t>
      </w:r>
      <w:r w:rsidRPr="004F6812">
        <w:t>evere cases may require lung transplantation</w:t>
      </w:r>
      <w:r>
        <w:t>.</w:t>
      </w:r>
    </w:p>
    <w:p w14:paraId="2694053B" w14:textId="77777777" w:rsidR="00957200" w:rsidRPr="004F6812" w:rsidRDefault="00957200" w:rsidP="0081372A">
      <w:pPr>
        <w:pStyle w:val="List"/>
      </w:pPr>
      <w:r w:rsidRPr="004F6812">
        <w:t>Eye involvement is a significant cause of morbidity in children with SJS/TEN, with some patients having long-term sequelae including corneal damage, meibomian gland dysfunction and scarring.</w:t>
      </w:r>
    </w:p>
    <w:p w14:paraId="1799729E" w14:textId="77777777" w:rsidR="00957200" w:rsidRPr="002108EC" w:rsidRDefault="00957200" w:rsidP="0081372A">
      <w:pPr>
        <w:pStyle w:val="List"/>
      </w:pPr>
      <w:r>
        <w:t>Dermatologist</w:t>
      </w:r>
      <w:r w:rsidR="009F0C2E">
        <w:t>s</w:t>
      </w:r>
      <w:r>
        <w:t xml:space="preserve"> should c</w:t>
      </w:r>
      <w:r w:rsidRPr="004F6812">
        <w:t>onsider checking adenovirus serology in all children with SJS/TEN</w:t>
      </w:r>
      <w:r>
        <w:t>, and</w:t>
      </w:r>
      <w:r w:rsidRPr="004F6812">
        <w:t xml:space="preserve"> pulmonary function tests in all children admitted with SJS/TEN </w:t>
      </w:r>
      <w:r>
        <w:t>following</w:t>
      </w:r>
      <w:r w:rsidRPr="004F6812">
        <w:t xml:space="preserve"> discharge.</w:t>
      </w:r>
    </w:p>
    <w:p w14:paraId="74CEC421" w14:textId="77777777" w:rsidR="00957200" w:rsidRPr="002108EC" w:rsidRDefault="00957200" w:rsidP="002108EC">
      <w:pPr>
        <w:pStyle w:val="Heading1"/>
      </w:pPr>
      <w:r w:rsidRPr="002108EC">
        <w:t>References</w:t>
      </w:r>
    </w:p>
    <w:p w14:paraId="3B4710B0" w14:textId="77777777" w:rsidR="00957200" w:rsidRDefault="00957200" w:rsidP="002108EC">
      <w:pPr>
        <w:pStyle w:val="References"/>
        <w:rPr>
          <w:rFonts w:cs="Arial"/>
        </w:rPr>
      </w:pPr>
      <w:r w:rsidRPr="002108EC">
        <w:t>1</w:t>
      </w:r>
      <w:r w:rsidRPr="002108EC">
        <w:tab/>
      </w:r>
      <w:r>
        <w:rPr>
          <w:rFonts w:cs="Arial"/>
        </w:rPr>
        <w:t>Bastuji-Garin</w:t>
      </w:r>
      <w:r w:rsidRPr="004F6812">
        <w:rPr>
          <w:rFonts w:cs="Arial"/>
        </w:rPr>
        <w:t xml:space="preserve"> S</w:t>
      </w:r>
      <w:r>
        <w:rPr>
          <w:rFonts w:cs="Arial"/>
        </w:rPr>
        <w:t>, Rzany</w:t>
      </w:r>
      <w:r w:rsidRPr="004F6812">
        <w:rPr>
          <w:rFonts w:cs="Arial"/>
        </w:rPr>
        <w:t xml:space="preserve"> B</w:t>
      </w:r>
      <w:r>
        <w:rPr>
          <w:rFonts w:cs="Arial"/>
        </w:rPr>
        <w:t>, Stern</w:t>
      </w:r>
      <w:r w:rsidRPr="004F6812">
        <w:rPr>
          <w:rFonts w:cs="Arial"/>
        </w:rPr>
        <w:t xml:space="preserve"> RS</w:t>
      </w:r>
      <w:r>
        <w:rPr>
          <w:rFonts w:cs="Arial"/>
        </w:rPr>
        <w:t xml:space="preserve"> </w:t>
      </w:r>
      <w:r>
        <w:rPr>
          <w:rFonts w:cs="Arial"/>
          <w:i/>
        </w:rPr>
        <w:t>et al</w:t>
      </w:r>
      <w:r>
        <w:rPr>
          <w:rFonts w:cs="Arial"/>
        </w:rPr>
        <w:t xml:space="preserve">. </w:t>
      </w:r>
      <w:r w:rsidRPr="004F6812">
        <w:rPr>
          <w:rFonts w:cs="Arial"/>
        </w:rPr>
        <w:t> </w:t>
      </w:r>
      <w:r w:rsidRPr="004F6812">
        <w:rPr>
          <w:rFonts w:cs="Arial"/>
          <w:bCs/>
        </w:rPr>
        <w:t>Clinical classification of cases of toxic epidermal necrolysis, Stevens-Johnson syndrome, and erythema multiforme</w:t>
      </w:r>
      <w:r>
        <w:rPr>
          <w:rFonts w:cs="Arial"/>
          <w:bCs/>
        </w:rPr>
        <w:t>.</w:t>
      </w:r>
      <w:r w:rsidRPr="004F6812">
        <w:rPr>
          <w:rFonts w:cs="Arial"/>
          <w:bCs/>
        </w:rPr>
        <w:t> </w:t>
      </w:r>
      <w:r w:rsidRPr="00940AD2">
        <w:rPr>
          <w:rFonts w:cs="Arial"/>
          <w:i/>
          <w:iCs/>
        </w:rPr>
        <w:t>Arch Dermatol</w:t>
      </w:r>
      <w:r>
        <w:rPr>
          <w:rFonts w:cs="Arial"/>
        </w:rPr>
        <w:t> 1993;</w:t>
      </w:r>
      <w:r w:rsidRPr="004F6812">
        <w:rPr>
          <w:rFonts w:cs="Arial"/>
        </w:rPr>
        <w:t>129:92–96</w:t>
      </w:r>
      <w:r>
        <w:rPr>
          <w:rFonts w:cs="Arial"/>
        </w:rPr>
        <w:t>.</w:t>
      </w:r>
    </w:p>
    <w:p w14:paraId="3057FC97" w14:textId="77777777" w:rsidR="00957200" w:rsidRPr="002108EC" w:rsidRDefault="00957200" w:rsidP="002108EC">
      <w:pPr>
        <w:pStyle w:val="References"/>
      </w:pPr>
      <w:r>
        <w:t>2</w:t>
      </w:r>
      <w:r>
        <w:tab/>
      </w:r>
      <w:r w:rsidRPr="002108EC">
        <w:t>Hsu D, Brieva J, Silverberg N</w:t>
      </w:r>
      <w:r>
        <w:rPr>
          <w:rFonts w:cs="Arial"/>
        </w:rPr>
        <w:t xml:space="preserve"> </w:t>
      </w:r>
      <w:r>
        <w:rPr>
          <w:rFonts w:cs="Arial"/>
          <w:i/>
        </w:rPr>
        <w:t>et al</w:t>
      </w:r>
      <w:r>
        <w:rPr>
          <w:rFonts w:cs="Arial"/>
        </w:rPr>
        <w:t xml:space="preserve">. </w:t>
      </w:r>
      <w:r w:rsidRPr="004F6812">
        <w:rPr>
          <w:rFonts w:cs="Arial"/>
        </w:rPr>
        <w:t> </w:t>
      </w:r>
      <w:r w:rsidRPr="002108EC">
        <w:t xml:space="preserve">Pediatric Stevens-Johnson syndrome and toxic epidermal necrolysis in the United States. </w:t>
      </w:r>
      <w:r w:rsidRPr="002108EC">
        <w:rPr>
          <w:rFonts w:cs="Calibri"/>
          <w:bCs/>
          <w:i/>
        </w:rPr>
        <w:t>J Am Acad Dermatol</w:t>
      </w:r>
      <w:r w:rsidRPr="002108EC">
        <w:t xml:space="preserve"> 2017; </w:t>
      </w:r>
      <w:r w:rsidRPr="002108EC">
        <w:rPr>
          <w:b/>
        </w:rPr>
        <w:t xml:space="preserve">76: </w:t>
      </w:r>
      <w:r w:rsidRPr="002108EC">
        <w:t>811</w:t>
      </w:r>
      <w:r w:rsidRPr="002108EC">
        <w:rPr>
          <w:rFonts w:cs="Arial"/>
        </w:rPr>
        <w:t>–</w:t>
      </w:r>
      <w:r w:rsidRPr="002108EC">
        <w:t>17.e4</w:t>
      </w:r>
    </w:p>
    <w:p w14:paraId="3A81FFBA" w14:textId="77777777" w:rsidR="00957200" w:rsidRPr="002108EC" w:rsidRDefault="00957200" w:rsidP="002108EC">
      <w:pPr>
        <w:pStyle w:val="References"/>
      </w:pPr>
      <w:r>
        <w:t>3</w:t>
      </w:r>
      <w:r>
        <w:tab/>
        <w:t>Hsu DY, Brieva J, Silverberg</w:t>
      </w:r>
      <w:r w:rsidRPr="002108EC">
        <w:t xml:space="preserve"> NB, Silverberg JI. </w:t>
      </w:r>
      <w:r w:rsidRPr="002108EC">
        <w:rPr>
          <w:bCs/>
        </w:rPr>
        <w:t>Morbidity and mortality of Stevens-Johnson syndrome and toxic epidermal necrolysis in United States adults</w:t>
      </w:r>
      <w:r w:rsidRPr="002108EC">
        <w:rPr>
          <w:b/>
          <w:bCs/>
        </w:rPr>
        <w:t>. </w:t>
      </w:r>
      <w:r w:rsidRPr="002108EC">
        <w:rPr>
          <w:rFonts w:cs="Calibri"/>
          <w:bCs/>
          <w:i/>
        </w:rPr>
        <w:t>J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Invest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Dermatol</w:t>
      </w:r>
      <w:r w:rsidRPr="002108EC">
        <w:rPr>
          <w:shd w:val="clear" w:color="auto" w:fill="FFFFFF"/>
        </w:rPr>
        <w:t> </w:t>
      </w:r>
      <w:r w:rsidRPr="002108EC">
        <w:t>2016</w:t>
      </w:r>
      <w:r w:rsidRPr="002108EC">
        <w:rPr>
          <w:shd w:val="clear" w:color="auto" w:fill="FFFFFF"/>
        </w:rPr>
        <w:t xml:space="preserve">; </w:t>
      </w:r>
      <w:r w:rsidRPr="002108EC">
        <w:rPr>
          <w:b/>
        </w:rPr>
        <w:t xml:space="preserve">136: </w:t>
      </w:r>
      <w:r w:rsidRPr="002108EC">
        <w:t>1387–97.</w:t>
      </w:r>
    </w:p>
    <w:p w14:paraId="283C585D" w14:textId="77777777" w:rsidR="00957200" w:rsidRDefault="00957200" w:rsidP="00940AD2">
      <w:pPr>
        <w:pStyle w:val="References"/>
      </w:pPr>
      <w:r>
        <w:t>4</w:t>
      </w:r>
      <w:r>
        <w:tab/>
      </w:r>
      <w:r w:rsidRPr="004F6812">
        <w:rPr>
          <w:rFonts w:cs="Arial"/>
        </w:rPr>
        <w:t>Ferrandiz-Pulido C</w:t>
      </w:r>
      <w:r>
        <w:rPr>
          <w:rFonts w:cs="Arial"/>
        </w:rPr>
        <w:t>,</w:t>
      </w:r>
      <w:r w:rsidRPr="004F6812">
        <w:rPr>
          <w:rFonts w:cs="Arial"/>
        </w:rPr>
        <w:t xml:space="preserve"> Garcia-Patos V. A review of causes of Stevens-Johnson syndrome and toxic epidermal necrolysis in children. </w:t>
      </w:r>
      <w:r>
        <w:rPr>
          <w:rFonts w:cs="Arial"/>
          <w:i/>
        </w:rPr>
        <w:t>Arch Dis Child</w:t>
      </w:r>
      <w:r w:rsidRPr="004F6812">
        <w:rPr>
          <w:rFonts w:cs="Arial"/>
        </w:rPr>
        <w:t xml:space="preserve"> </w:t>
      </w:r>
      <w:r w:rsidRPr="00940AD2">
        <w:rPr>
          <w:rFonts w:cs="Arial"/>
        </w:rPr>
        <w:t>2013;</w:t>
      </w:r>
      <w:r>
        <w:rPr>
          <w:rFonts w:cs="Arial"/>
        </w:rPr>
        <w:t xml:space="preserve"> </w:t>
      </w:r>
      <w:r w:rsidRPr="00940AD2">
        <w:rPr>
          <w:rFonts w:cs="Arial"/>
        </w:rPr>
        <w:t>98:</w:t>
      </w:r>
      <w:r>
        <w:rPr>
          <w:rFonts w:cs="Arial"/>
        </w:rPr>
        <w:t xml:space="preserve"> </w:t>
      </w:r>
      <w:r w:rsidRPr="00940AD2">
        <w:rPr>
          <w:rFonts w:cs="Arial"/>
        </w:rPr>
        <w:t>998</w:t>
      </w:r>
      <w:r>
        <w:rPr>
          <w:rFonts w:cs="Arial"/>
        </w:rPr>
        <w:t>–</w:t>
      </w:r>
      <w:r w:rsidRPr="00940AD2">
        <w:rPr>
          <w:rFonts w:cs="Arial"/>
        </w:rPr>
        <w:t>1003</w:t>
      </w:r>
      <w:r w:rsidRPr="004F6812">
        <w:rPr>
          <w:rFonts w:cs="Arial"/>
        </w:rPr>
        <w:t>.</w:t>
      </w:r>
    </w:p>
    <w:p w14:paraId="2E16C0CD" w14:textId="77777777" w:rsidR="00957200" w:rsidRDefault="00957200" w:rsidP="00940AD2">
      <w:pPr>
        <w:pStyle w:val="References"/>
      </w:pPr>
      <w:r>
        <w:t>5</w:t>
      </w:r>
      <w:r w:rsidRPr="002108EC">
        <w:tab/>
        <w:t>Ferrándiz-Pulido C, García-Fernández D, Domínguez-Sampedro P, García-Patos V. </w:t>
      </w:r>
      <w:r w:rsidRPr="002108EC">
        <w:rPr>
          <w:bCs/>
        </w:rPr>
        <w:t>Stevens-Johnson syndrome and toxic epidermal necrolysis in children: a review of the experience with pediatric patients in a university hospital.</w:t>
      </w:r>
      <w:r w:rsidRPr="002108EC">
        <w:rPr>
          <w:b/>
          <w:bCs/>
        </w:rPr>
        <w:t> </w:t>
      </w:r>
      <w:r w:rsidRPr="002108EC">
        <w:rPr>
          <w:rFonts w:cs="Calibri"/>
          <w:bCs/>
          <w:i/>
        </w:rPr>
        <w:t>J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Eur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Acad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Dermatol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Venereol</w:t>
      </w:r>
      <w:r w:rsidRPr="002108EC">
        <w:rPr>
          <w:shd w:val="clear" w:color="auto" w:fill="FFFFFF"/>
        </w:rPr>
        <w:t> </w:t>
      </w:r>
      <w:r w:rsidRPr="002108EC">
        <w:t>2011</w:t>
      </w:r>
      <w:r w:rsidRPr="002108EC">
        <w:rPr>
          <w:shd w:val="clear" w:color="auto" w:fill="FFFFFF"/>
        </w:rPr>
        <w:t xml:space="preserve">; </w:t>
      </w:r>
      <w:r w:rsidRPr="002108EC">
        <w:rPr>
          <w:b/>
        </w:rPr>
        <w:t xml:space="preserve">25: </w:t>
      </w:r>
      <w:r w:rsidRPr="002108EC">
        <w:t>1153–9.</w:t>
      </w:r>
    </w:p>
    <w:p w14:paraId="39EF4A38" w14:textId="77777777" w:rsidR="00957200" w:rsidRDefault="00957200" w:rsidP="00940AD2">
      <w:pPr>
        <w:pStyle w:val="References"/>
        <w:rPr>
          <w:rStyle w:val="highlight"/>
        </w:rPr>
      </w:pPr>
      <w:r>
        <w:t>6</w:t>
      </w:r>
      <w:r>
        <w:tab/>
        <w:t>McPherson T, Exton LS</w:t>
      </w:r>
      <w:r w:rsidRPr="00940AD2">
        <w:t>, Biswas S</w:t>
      </w:r>
      <w:r>
        <w:rPr>
          <w:rFonts w:cs="Arial"/>
        </w:rPr>
        <w:t xml:space="preserve"> </w:t>
      </w:r>
      <w:r>
        <w:rPr>
          <w:rFonts w:cs="Arial"/>
          <w:i/>
        </w:rPr>
        <w:t>et al</w:t>
      </w:r>
      <w:r>
        <w:rPr>
          <w:rFonts w:cs="Arial"/>
        </w:rPr>
        <w:t xml:space="preserve">. </w:t>
      </w:r>
      <w:r w:rsidRPr="004F6812">
        <w:rPr>
          <w:rFonts w:cs="Arial"/>
        </w:rPr>
        <w:t> </w:t>
      </w:r>
      <w:r w:rsidRPr="00940AD2">
        <w:t xml:space="preserve">British Association of Dermatologists' guidelines for the management of Stevens–Johnson syndrome/toxic epidermal necrolysis in children and young people,  </w:t>
      </w:r>
      <w:r w:rsidRPr="00940AD2">
        <w:rPr>
          <w:i/>
        </w:rPr>
        <w:t>Br J Dermatol</w:t>
      </w:r>
      <w:r>
        <w:t xml:space="preserve"> 2019; http:// </w:t>
      </w:r>
      <w:r>
        <w:rPr>
          <w:rStyle w:val="highlight"/>
        </w:rPr>
        <w:t>10.1111/bjd.17841.</w:t>
      </w:r>
    </w:p>
    <w:p w14:paraId="2BFF26B4" w14:textId="77777777" w:rsidR="00957200" w:rsidRDefault="00957200" w:rsidP="00940AD2">
      <w:pPr>
        <w:pStyle w:val="References"/>
        <w:rPr>
          <w:rFonts w:cs="Arial"/>
          <w:lang w:val="en-US"/>
        </w:rPr>
      </w:pPr>
      <w:r>
        <w:rPr>
          <w:rStyle w:val="highlight"/>
        </w:rPr>
        <w:t>7</w:t>
      </w:r>
      <w:r>
        <w:rPr>
          <w:rStyle w:val="highlight"/>
        </w:rPr>
        <w:tab/>
      </w:r>
      <w:r w:rsidRPr="004F6812">
        <w:rPr>
          <w:rFonts w:cs="Arial"/>
        </w:rPr>
        <w:t>Kurland G</w:t>
      </w:r>
      <w:r>
        <w:rPr>
          <w:rFonts w:cs="Arial"/>
        </w:rPr>
        <w:t>,</w:t>
      </w:r>
      <w:r w:rsidRPr="004F6812">
        <w:rPr>
          <w:rFonts w:cs="Arial"/>
        </w:rPr>
        <w:t xml:space="preserve"> Michelson P.  Bronchiolitis obliterans in </w:t>
      </w:r>
      <w:r>
        <w:rPr>
          <w:rFonts w:cs="Arial"/>
        </w:rPr>
        <w:t>c</w:t>
      </w:r>
      <w:r w:rsidRPr="004F6812">
        <w:rPr>
          <w:rFonts w:cs="Arial"/>
        </w:rPr>
        <w:t xml:space="preserve">hildren.  </w:t>
      </w:r>
      <w:r w:rsidRPr="00940AD2">
        <w:rPr>
          <w:rFonts w:cs="Arial"/>
          <w:i/>
          <w:lang w:val="en-US"/>
        </w:rPr>
        <w:t>Pediatr Pulmonol</w:t>
      </w:r>
      <w:r w:rsidRPr="004F6812">
        <w:rPr>
          <w:rFonts w:cs="Arial"/>
          <w:lang w:val="en-US"/>
        </w:rPr>
        <w:t xml:space="preserve"> 2005; </w:t>
      </w:r>
      <w:r w:rsidRPr="00940AD2">
        <w:rPr>
          <w:rFonts w:cs="Arial"/>
          <w:b/>
          <w:lang w:val="en-US"/>
        </w:rPr>
        <w:t>39:</w:t>
      </w:r>
      <w:r>
        <w:rPr>
          <w:rFonts w:cs="Arial"/>
          <w:lang w:val="en-US"/>
        </w:rPr>
        <w:t xml:space="preserve"> </w:t>
      </w:r>
      <w:r w:rsidRPr="004F6812">
        <w:rPr>
          <w:rFonts w:cs="Arial"/>
          <w:lang w:val="en-US"/>
        </w:rPr>
        <w:t>193–208</w:t>
      </w:r>
      <w:r>
        <w:rPr>
          <w:rFonts w:cs="Arial"/>
          <w:lang w:val="en-US"/>
        </w:rPr>
        <w:t>.</w:t>
      </w:r>
    </w:p>
    <w:p w14:paraId="767C917E" w14:textId="77777777" w:rsidR="00957200" w:rsidRPr="002108EC" w:rsidRDefault="00957200" w:rsidP="00940AD2">
      <w:pPr>
        <w:pStyle w:val="References"/>
      </w:pPr>
      <w:r>
        <w:t>8</w:t>
      </w:r>
      <w:r w:rsidRPr="002108EC">
        <w:tab/>
        <w:t>Moonnumakal SP</w:t>
      </w:r>
      <w:r>
        <w:t>,</w:t>
      </w:r>
      <w:r w:rsidRPr="002108EC">
        <w:t xml:space="preserve"> Fan LL. </w:t>
      </w:r>
      <w:r w:rsidRPr="002108EC">
        <w:rPr>
          <w:bCs/>
        </w:rPr>
        <w:t>Bronchiolitis obliterans in children</w:t>
      </w:r>
      <w:r w:rsidRPr="002108EC">
        <w:rPr>
          <w:b/>
          <w:bCs/>
        </w:rPr>
        <w:t>.</w:t>
      </w:r>
      <w:r w:rsidRPr="002108EC">
        <w:t xml:space="preserve"> </w:t>
      </w:r>
      <w:r w:rsidRPr="002108EC">
        <w:rPr>
          <w:i/>
          <w:iCs/>
        </w:rPr>
        <w:t>Curr</w:t>
      </w:r>
      <w:r w:rsidRPr="002108EC">
        <w:rPr>
          <w:iCs/>
        </w:rPr>
        <w:t xml:space="preserve"> </w:t>
      </w:r>
      <w:r w:rsidRPr="002108EC">
        <w:rPr>
          <w:i/>
          <w:iCs/>
        </w:rPr>
        <w:t>Opin</w:t>
      </w:r>
      <w:r w:rsidRPr="002108EC">
        <w:rPr>
          <w:iCs/>
        </w:rPr>
        <w:t xml:space="preserve"> </w:t>
      </w:r>
      <w:r w:rsidRPr="002108EC">
        <w:rPr>
          <w:i/>
          <w:iCs/>
        </w:rPr>
        <w:t>Pediatr</w:t>
      </w:r>
      <w:r w:rsidRPr="002108EC">
        <w:t xml:space="preserve"> 2008; </w:t>
      </w:r>
      <w:r w:rsidRPr="002108EC">
        <w:rPr>
          <w:b/>
        </w:rPr>
        <w:t xml:space="preserve">20: </w:t>
      </w:r>
      <w:r w:rsidRPr="002108EC">
        <w:t>272–8.</w:t>
      </w:r>
    </w:p>
    <w:p w14:paraId="23E68144" w14:textId="77777777" w:rsidR="00957200" w:rsidRPr="002108EC" w:rsidRDefault="00957200" w:rsidP="00940AD2">
      <w:pPr>
        <w:pStyle w:val="References"/>
      </w:pPr>
      <w:r>
        <w:rPr>
          <w:lang w:val="de-DE"/>
        </w:rPr>
        <w:t>9</w:t>
      </w:r>
      <w:r w:rsidRPr="002108EC">
        <w:rPr>
          <w:lang w:val="de-DE"/>
        </w:rPr>
        <w:tab/>
        <w:t xml:space="preserve">Colom AJ, Teper AM, Vollmer WM, Diette GB. </w:t>
      </w:r>
      <w:r w:rsidRPr="002108EC">
        <w:rPr>
          <w:bCs/>
        </w:rPr>
        <w:t>Risk factors for the development of bronchiolitis obliterans in children with bronchiolitis.</w:t>
      </w:r>
      <w:r w:rsidRPr="002108EC">
        <w:t xml:space="preserve"> </w:t>
      </w:r>
      <w:r w:rsidRPr="002108EC">
        <w:rPr>
          <w:rFonts w:cs="Calibri"/>
          <w:bCs/>
          <w:i/>
        </w:rPr>
        <w:t>Thorax</w:t>
      </w:r>
      <w:r w:rsidRPr="002108EC">
        <w:rPr>
          <w:rFonts w:cs="Calibri"/>
          <w:bCs/>
        </w:rPr>
        <w:t xml:space="preserve"> </w:t>
      </w:r>
      <w:r w:rsidRPr="002108EC">
        <w:rPr>
          <w:b/>
        </w:rPr>
        <w:t xml:space="preserve">61: </w:t>
      </w:r>
      <w:r w:rsidRPr="002108EC">
        <w:t>503–6.</w:t>
      </w:r>
    </w:p>
    <w:p w14:paraId="5CF9D628" w14:textId="77777777" w:rsidR="00957200" w:rsidRPr="00940AD2" w:rsidRDefault="00957200" w:rsidP="00940AD2">
      <w:pPr>
        <w:pStyle w:val="References"/>
      </w:pPr>
      <w:r>
        <w:rPr>
          <w:rFonts w:cs="Arial"/>
        </w:rPr>
        <w:t>10</w:t>
      </w:r>
      <w:r>
        <w:rPr>
          <w:rFonts w:cs="Arial"/>
        </w:rPr>
        <w:tab/>
      </w:r>
      <w:r w:rsidRPr="004F6812">
        <w:rPr>
          <w:rFonts w:cs="Arial"/>
        </w:rPr>
        <w:t>Fischer G, Sarria E, Mattiello R,</w:t>
      </w:r>
      <w:r>
        <w:rPr>
          <w:rFonts w:cs="Arial"/>
        </w:rPr>
        <w:t xml:space="preserve"> </w:t>
      </w:r>
      <w:r>
        <w:rPr>
          <w:rFonts w:cs="Arial"/>
          <w:i/>
        </w:rPr>
        <w:t>et al</w:t>
      </w:r>
      <w:r>
        <w:rPr>
          <w:rFonts w:cs="Arial"/>
        </w:rPr>
        <w:t xml:space="preserve">. </w:t>
      </w:r>
      <w:r w:rsidRPr="004F6812">
        <w:rPr>
          <w:rFonts w:cs="Arial"/>
        </w:rPr>
        <w:t xml:space="preserve"> Post infectious bronchiolitis obliterans in children.  </w:t>
      </w:r>
      <w:r w:rsidRPr="004F6812">
        <w:rPr>
          <w:rFonts w:cs="Arial"/>
          <w:lang w:val="en-US"/>
        </w:rPr>
        <w:t xml:space="preserve">Paediatr Resp Rev 2010; </w:t>
      </w:r>
      <w:r w:rsidRPr="001B6F0E">
        <w:rPr>
          <w:rFonts w:cs="Arial"/>
          <w:b/>
          <w:lang w:val="en-US"/>
        </w:rPr>
        <w:t>11:</w:t>
      </w:r>
      <w:r>
        <w:rPr>
          <w:rFonts w:cs="Arial"/>
          <w:lang w:val="en-US"/>
        </w:rPr>
        <w:t xml:space="preserve"> 233–</w:t>
      </w:r>
      <w:r w:rsidRPr="004F6812">
        <w:rPr>
          <w:rFonts w:cs="Arial"/>
          <w:lang w:val="en-US"/>
        </w:rPr>
        <w:t>9</w:t>
      </w:r>
      <w:r>
        <w:rPr>
          <w:rFonts w:cs="Arial"/>
          <w:lang w:val="en-US"/>
        </w:rPr>
        <w:t>.</w:t>
      </w:r>
    </w:p>
    <w:p w14:paraId="7799AF2B" w14:textId="77777777" w:rsidR="00957200" w:rsidRDefault="00957200" w:rsidP="001B6F0E">
      <w:pPr>
        <w:pStyle w:val="References"/>
      </w:pPr>
      <w:r>
        <w:t>11</w:t>
      </w:r>
      <w:r>
        <w:tab/>
        <w:t xml:space="preserve">Tanou K, Xaidara A, Kaditis AG. Efficacy of pulse methylprednisolone in a pediatric case of postinfectious bronchiolitis obliterans. </w:t>
      </w:r>
      <w:r w:rsidRPr="001B6F0E">
        <w:rPr>
          <w:i/>
        </w:rPr>
        <w:t>Pediatr Pulmonol</w:t>
      </w:r>
      <w:r>
        <w:t xml:space="preserve"> 2015; </w:t>
      </w:r>
      <w:r w:rsidRPr="001B6F0E">
        <w:rPr>
          <w:b/>
        </w:rPr>
        <w:t>50:</w:t>
      </w:r>
      <w:r>
        <w:t xml:space="preserve"> E13–16. </w:t>
      </w:r>
    </w:p>
    <w:p w14:paraId="5DE20160" w14:textId="77777777" w:rsidR="00957200" w:rsidRDefault="00957200" w:rsidP="002108EC">
      <w:pPr>
        <w:pStyle w:val="References"/>
      </w:pPr>
      <w:r>
        <w:t>12</w:t>
      </w:r>
      <w:r>
        <w:tab/>
        <w:t xml:space="preserve"> </w:t>
      </w:r>
      <w:r w:rsidRPr="004F6812">
        <w:rPr>
          <w:rFonts w:cs="Arial"/>
        </w:rPr>
        <w:t>Catt CJ, Hamilton GM, Fish J</w:t>
      </w:r>
      <w:r w:rsidRPr="002108EC">
        <w:t xml:space="preserve">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4F6812">
        <w:rPr>
          <w:rFonts w:cs="Arial"/>
          <w:bCs/>
        </w:rPr>
        <w:t>Ocular manifestations of Stevens-Johnson syndrome and Toxic Epidermal Necrolysis in children</w:t>
      </w:r>
      <w:r w:rsidRPr="004F6812">
        <w:rPr>
          <w:rFonts w:cs="Arial"/>
          <w:b/>
          <w:bCs/>
        </w:rPr>
        <w:t xml:space="preserve">. </w:t>
      </w:r>
      <w:r w:rsidRPr="001B6F0E">
        <w:rPr>
          <w:rFonts w:cs="Arial"/>
          <w:i/>
          <w:iCs/>
        </w:rPr>
        <w:t>Am J Opthalmol</w:t>
      </w:r>
      <w:r w:rsidRPr="004F6812">
        <w:rPr>
          <w:rFonts w:cs="Arial"/>
        </w:rPr>
        <w:t xml:space="preserve"> 2016; </w:t>
      </w:r>
      <w:r w:rsidRPr="001B6F0E">
        <w:rPr>
          <w:rFonts w:cs="Arial"/>
          <w:b/>
        </w:rPr>
        <w:t>166:</w:t>
      </w:r>
      <w:r>
        <w:rPr>
          <w:rFonts w:cs="Arial"/>
        </w:rPr>
        <w:t xml:space="preserve"> </w:t>
      </w:r>
      <w:r w:rsidRPr="004F6812">
        <w:rPr>
          <w:rFonts w:cs="Arial"/>
        </w:rPr>
        <w:t>68</w:t>
      </w:r>
      <w:r>
        <w:rPr>
          <w:rFonts w:cs="Arial"/>
        </w:rPr>
        <w:t>–</w:t>
      </w:r>
      <w:r w:rsidRPr="004F6812">
        <w:rPr>
          <w:rFonts w:cs="Arial"/>
        </w:rPr>
        <w:t>75.</w:t>
      </w:r>
    </w:p>
    <w:p w14:paraId="425BAA59" w14:textId="77777777" w:rsidR="00957200" w:rsidRPr="002108EC" w:rsidRDefault="00957200" w:rsidP="001B6F0E">
      <w:pPr>
        <w:pStyle w:val="References"/>
        <w:rPr>
          <w:rFonts w:cs="Calibri"/>
          <w:b/>
          <w:bCs/>
        </w:rPr>
      </w:pPr>
      <w:r w:rsidRPr="002108EC">
        <w:rPr>
          <w:rFonts w:cs="Calibri"/>
          <w:shd w:val="clear" w:color="auto" w:fill="FFFFFF"/>
        </w:rPr>
        <w:t>1</w:t>
      </w:r>
      <w:r>
        <w:rPr>
          <w:rFonts w:cs="Calibri"/>
          <w:shd w:val="clear" w:color="auto" w:fill="FFFFFF"/>
        </w:rPr>
        <w:t>3</w:t>
      </w:r>
      <w:r w:rsidRPr="002108EC">
        <w:rPr>
          <w:rFonts w:cs="Calibri"/>
          <w:shd w:val="clear" w:color="auto" w:fill="FFFFFF"/>
        </w:rPr>
        <w:tab/>
        <w:t>Sato S, Kanbe T, Tamaki Z</w:t>
      </w:r>
      <w:r w:rsidRPr="002108EC">
        <w:t xml:space="preserve">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2108EC">
        <w:rPr>
          <w:rFonts w:cs="Calibri"/>
          <w:shd w:val="clear" w:color="auto" w:fill="FFFFFF"/>
        </w:rPr>
        <w:t xml:space="preserve">Clinical features of Stevens-Johnson syndrome and toxic epidermal necrolysis. </w:t>
      </w:r>
      <w:r w:rsidRPr="002108EC">
        <w:rPr>
          <w:rFonts w:cs="Calibri"/>
          <w:bCs/>
          <w:i/>
        </w:rPr>
        <w:t>Pediatr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Int</w:t>
      </w:r>
      <w:r w:rsidRPr="002108EC">
        <w:rPr>
          <w:rFonts w:cs="Calibri"/>
          <w:shd w:val="clear" w:color="auto" w:fill="FFFFFF"/>
        </w:rPr>
        <w:t xml:space="preserve"> 2018; </w:t>
      </w:r>
      <w:r w:rsidRPr="002108EC">
        <w:rPr>
          <w:rFonts w:cs="Calibri"/>
          <w:b/>
          <w:shd w:val="clear" w:color="auto" w:fill="FFFFFF"/>
        </w:rPr>
        <w:t>60:</w:t>
      </w:r>
      <w:r w:rsidRPr="002108EC">
        <w:rPr>
          <w:rFonts w:cs="Calibri"/>
          <w:shd w:val="clear" w:color="auto" w:fill="FFFFFF"/>
        </w:rPr>
        <w:t xml:space="preserve"> 697</w:t>
      </w:r>
      <w:r w:rsidRPr="002108EC">
        <w:rPr>
          <w:rFonts w:cs="Arial"/>
          <w:shd w:val="clear" w:color="auto" w:fill="FFFFFF"/>
        </w:rPr>
        <w:t>–</w:t>
      </w:r>
      <w:r w:rsidRPr="002108EC">
        <w:rPr>
          <w:rFonts w:cs="Calibri"/>
          <w:shd w:val="clear" w:color="auto" w:fill="FFFFFF"/>
        </w:rPr>
        <w:t>702.</w:t>
      </w:r>
    </w:p>
    <w:p w14:paraId="51A2F671" w14:textId="77777777" w:rsidR="00957200" w:rsidRPr="002108EC" w:rsidRDefault="00957200" w:rsidP="001B6F0E">
      <w:pPr>
        <w:pStyle w:val="References"/>
        <w:rPr>
          <w:rFonts w:cs="Calibri"/>
        </w:rPr>
      </w:pPr>
      <w:r w:rsidRPr="002108EC">
        <w:rPr>
          <w:rFonts w:cs="Calibri"/>
          <w:shd w:val="clear" w:color="auto" w:fill="FFFFFF"/>
        </w:rPr>
        <w:t>1</w:t>
      </w:r>
      <w:r>
        <w:rPr>
          <w:rFonts w:cs="Calibri"/>
          <w:shd w:val="clear" w:color="auto" w:fill="FFFFFF"/>
        </w:rPr>
        <w:t>4</w:t>
      </w:r>
      <w:r w:rsidRPr="002108EC">
        <w:rPr>
          <w:rFonts w:cs="Calibri"/>
          <w:shd w:val="clear" w:color="auto" w:fill="FFFFFF"/>
        </w:rPr>
        <w:tab/>
        <w:t>Milheiro Silva</w:t>
      </w:r>
      <w:r w:rsidRPr="002108EC">
        <w:rPr>
          <w:rStyle w:val="apple-converted-space"/>
          <w:rFonts w:cs="Calibri"/>
          <w:color w:val="auto"/>
          <w:shd w:val="clear" w:color="auto" w:fill="FFFFFF"/>
        </w:rPr>
        <w:t> </w:t>
      </w:r>
      <w:r w:rsidRPr="002108EC">
        <w:rPr>
          <w:rFonts w:cs="Calibri"/>
          <w:shd w:val="clear" w:color="auto" w:fill="FFFFFF"/>
        </w:rPr>
        <w:t>T, Farela Neves</w:t>
      </w:r>
      <w:r w:rsidRPr="002108EC">
        <w:rPr>
          <w:rStyle w:val="apple-converted-space"/>
          <w:rFonts w:cs="Calibri"/>
          <w:color w:val="auto"/>
          <w:shd w:val="clear" w:color="auto" w:fill="FFFFFF"/>
        </w:rPr>
        <w:t> </w:t>
      </w:r>
      <w:r w:rsidRPr="002108EC">
        <w:rPr>
          <w:rFonts w:cs="Calibri"/>
          <w:shd w:val="clear" w:color="auto" w:fill="FFFFFF"/>
        </w:rPr>
        <w:t>J, Casimiro</w:t>
      </w:r>
      <w:r w:rsidRPr="002108EC">
        <w:rPr>
          <w:rStyle w:val="apple-converted-space"/>
          <w:rFonts w:cs="Calibri"/>
          <w:color w:val="auto"/>
          <w:shd w:val="clear" w:color="auto" w:fill="FFFFFF"/>
        </w:rPr>
        <w:t> </w:t>
      </w:r>
      <w:r w:rsidRPr="002108EC">
        <w:rPr>
          <w:rFonts w:cs="Calibri"/>
          <w:shd w:val="clear" w:color="auto" w:fill="FFFFFF"/>
        </w:rPr>
        <w:t>A</w:t>
      </w:r>
      <w:r w:rsidRPr="002108EC">
        <w:t xml:space="preserve">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2108EC">
        <w:rPr>
          <w:rStyle w:val="articletitle"/>
          <w:rFonts w:cs="Calibri"/>
          <w:color w:val="auto"/>
        </w:rPr>
        <w:t>Severe Stevens-Johnson syndrome/toxic epidermal necrolysis overlap syndrome—beyond skin involvement</w:t>
      </w:r>
      <w:r w:rsidRPr="002108EC">
        <w:rPr>
          <w:rFonts w:cs="Calibri"/>
          <w:shd w:val="clear" w:color="auto" w:fill="FFFFFF"/>
        </w:rPr>
        <w:t>.</w:t>
      </w:r>
      <w:r w:rsidRPr="002108EC">
        <w:rPr>
          <w:rStyle w:val="apple-converted-space"/>
          <w:rFonts w:cs="Calibri"/>
          <w:color w:val="auto"/>
          <w:shd w:val="clear" w:color="auto" w:fill="FFFFFF"/>
        </w:rPr>
        <w:t> </w:t>
      </w:r>
      <w:r w:rsidRPr="002108EC">
        <w:rPr>
          <w:rFonts w:cs="Calibri"/>
          <w:bCs/>
          <w:i/>
        </w:rPr>
        <w:t>Pediatr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Dermatol</w:t>
      </w:r>
      <w:r w:rsidRPr="002108EC">
        <w:rPr>
          <w:rStyle w:val="apple-converted-space"/>
          <w:rFonts w:cs="Calibri"/>
          <w:color w:val="auto"/>
          <w:shd w:val="clear" w:color="auto" w:fill="FFFFFF"/>
        </w:rPr>
        <w:t> </w:t>
      </w:r>
      <w:r w:rsidRPr="002108EC">
        <w:rPr>
          <w:rStyle w:val="pubyear"/>
          <w:rFonts w:cs="Calibri"/>
          <w:color w:val="auto"/>
        </w:rPr>
        <w:t>2018</w:t>
      </w:r>
      <w:r w:rsidRPr="002108EC">
        <w:rPr>
          <w:rFonts w:cs="Calibri"/>
          <w:shd w:val="clear" w:color="auto" w:fill="FFFFFF"/>
        </w:rPr>
        <w:t xml:space="preserve">; </w:t>
      </w:r>
      <w:r w:rsidRPr="002108EC">
        <w:rPr>
          <w:rStyle w:val="vol"/>
          <w:rFonts w:cs="Calibri"/>
          <w:b/>
          <w:color w:val="auto"/>
        </w:rPr>
        <w:t xml:space="preserve">35: </w:t>
      </w:r>
      <w:r w:rsidRPr="002108EC">
        <w:rPr>
          <w:rFonts w:cs="Calibri"/>
          <w:shd w:val="clear" w:color="auto" w:fill="FFFFFF"/>
        </w:rPr>
        <w:t>e17–e19.</w:t>
      </w:r>
    </w:p>
    <w:p w14:paraId="73D52C48" w14:textId="77777777" w:rsidR="00957200" w:rsidRPr="002108EC" w:rsidRDefault="00957200" w:rsidP="002108EC">
      <w:pPr>
        <w:pStyle w:val="References"/>
        <w:rPr>
          <w:rFonts w:cs="Calibri"/>
        </w:rPr>
      </w:pPr>
      <w:r w:rsidRPr="002108EC">
        <w:rPr>
          <w:szCs w:val="21"/>
          <w:shd w:val="clear" w:color="auto" w:fill="FFFFFF"/>
        </w:rPr>
        <w:t>1</w:t>
      </w:r>
      <w:r>
        <w:rPr>
          <w:szCs w:val="21"/>
          <w:shd w:val="clear" w:color="auto" w:fill="FFFFFF"/>
        </w:rPr>
        <w:t>5</w:t>
      </w:r>
      <w:r w:rsidRPr="002108EC">
        <w:rPr>
          <w:szCs w:val="21"/>
          <w:shd w:val="clear" w:color="auto" w:fill="FFFFFF"/>
        </w:rPr>
        <w:tab/>
        <w:t>Wang W, Ni Y, Wei Y</w:t>
      </w:r>
      <w:r w:rsidRPr="002108EC">
        <w:t xml:space="preserve">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>. Bronchiolitis obliterans complicating a pneumothorax after Stevens-</w:t>
      </w:r>
      <w:r w:rsidRPr="002108EC">
        <w:rPr>
          <w:caps/>
        </w:rPr>
        <w:t>j</w:t>
      </w:r>
      <w:r w:rsidRPr="002108EC">
        <w:t xml:space="preserve">ohnson syndrome induced by lamotrigine. </w:t>
      </w:r>
      <w:r w:rsidRPr="002108EC">
        <w:rPr>
          <w:rFonts w:cs="Calibri"/>
          <w:bCs/>
          <w:i/>
        </w:rPr>
        <w:t>J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Formos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Med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Assoc</w:t>
      </w:r>
      <w:r w:rsidRPr="002108EC">
        <w:rPr>
          <w:rStyle w:val="apple-converted-space"/>
          <w:rFonts w:cs="Calibri"/>
          <w:color w:val="auto"/>
          <w:shd w:val="clear" w:color="auto" w:fill="FFFFFF"/>
        </w:rPr>
        <w:t> </w:t>
      </w:r>
      <w:r w:rsidRPr="002108EC">
        <w:rPr>
          <w:rFonts w:cs="Calibri"/>
          <w:shd w:val="clear" w:color="auto" w:fill="FFFFFF"/>
        </w:rPr>
        <w:t xml:space="preserve">2015; </w:t>
      </w:r>
      <w:r w:rsidRPr="002108EC">
        <w:rPr>
          <w:rFonts w:cs="Calibri"/>
          <w:b/>
          <w:shd w:val="clear" w:color="auto" w:fill="FFFFFF"/>
        </w:rPr>
        <w:t>114:</w:t>
      </w:r>
      <w:r w:rsidRPr="002108EC">
        <w:rPr>
          <w:rFonts w:cs="Calibri"/>
          <w:shd w:val="clear" w:color="auto" w:fill="FFFFFF"/>
        </w:rPr>
        <w:t xml:space="preserve"> 285–9.</w:t>
      </w:r>
    </w:p>
    <w:p w14:paraId="5410C130" w14:textId="77777777" w:rsidR="00957200" w:rsidRPr="002108EC" w:rsidRDefault="00957200" w:rsidP="002108EC">
      <w:pPr>
        <w:pStyle w:val="References"/>
        <w:rPr>
          <w:rFonts w:cs="Calibri"/>
          <w:lang w:eastAsia="en-US"/>
        </w:rPr>
      </w:pPr>
      <w:r w:rsidRPr="002108EC">
        <w:rPr>
          <w:rFonts w:cs="Calibri"/>
          <w:lang w:eastAsia="en-US"/>
        </w:rPr>
        <w:t>1</w:t>
      </w:r>
      <w:r>
        <w:rPr>
          <w:rFonts w:cs="Calibri"/>
          <w:lang w:eastAsia="en-US"/>
        </w:rPr>
        <w:t>6</w:t>
      </w:r>
      <w:r w:rsidRPr="002108EC">
        <w:rPr>
          <w:rFonts w:cs="Calibri"/>
          <w:lang w:eastAsia="en-US"/>
        </w:rPr>
        <w:tab/>
        <w:t>Dogra S, Suri D, Saini AG</w:t>
      </w:r>
      <w:r w:rsidRPr="002108EC">
        <w:t xml:space="preserve">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2108EC">
        <w:rPr>
          <w:rFonts w:cs="Calibri"/>
          <w:lang w:eastAsia="en-US"/>
        </w:rPr>
        <w:t xml:space="preserve">Fatal bronchiolitis obliterans complicating Stevens–Johnson syndrome following treatment with nimesulide: a case report. </w:t>
      </w:r>
      <w:r w:rsidRPr="002108EC">
        <w:rPr>
          <w:rFonts w:cs="Calibri"/>
          <w:bCs/>
          <w:i/>
        </w:rPr>
        <w:t>Ann Trop Paediatr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lang w:eastAsia="en-US"/>
        </w:rPr>
        <w:t xml:space="preserve">2011; </w:t>
      </w:r>
      <w:r w:rsidRPr="002108EC">
        <w:rPr>
          <w:rFonts w:cs="Calibri"/>
          <w:b/>
          <w:lang w:eastAsia="en-US"/>
        </w:rPr>
        <w:t>31:</w:t>
      </w:r>
      <w:r w:rsidRPr="002108EC">
        <w:rPr>
          <w:rFonts w:cs="Calibri"/>
          <w:lang w:eastAsia="en-US"/>
        </w:rPr>
        <w:t xml:space="preserve"> 259–61.</w:t>
      </w:r>
    </w:p>
    <w:p w14:paraId="21D0322B" w14:textId="77777777" w:rsidR="00957200" w:rsidRPr="002108EC" w:rsidRDefault="00957200" w:rsidP="002108EC">
      <w:pPr>
        <w:pStyle w:val="References"/>
        <w:rPr>
          <w:rFonts w:cs="Calibri"/>
          <w:lang w:eastAsia="en-US"/>
        </w:rPr>
      </w:pPr>
      <w:r w:rsidRPr="002108EC">
        <w:rPr>
          <w:rFonts w:cs="Calibri"/>
          <w:shd w:val="clear" w:color="auto" w:fill="FFFFFF"/>
          <w:lang w:eastAsia="en-US"/>
        </w:rPr>
        <w:t>1</w:t>
      </w:r>
      <w:r>
        <w:rPr>
          <w:rFonts w:cs="Calibri"/>
          <w:shd w:val="clear" w:color="auto" w:fill="FFFFFF"/>
          <w:lang w:eastAsia="en-US"/>
        </w:rPr>
        <w:t>7</w:t>
      </w:r>
      <w:r w:rsidRPr="002108EC">
        <w:rPr>
          <w:rFonts w:cs="Calibri"/>
          <w:shd w:val="clear" w:color="auto" w:fill="FFFFFF"/>
          <w:lang w:eastAsia="en-US"/>
        </w:rPr>
        <w:tab/>
        <w:t>Shoji T, Bando T, Fujinaga T, Date H. Living-donor single-lobe lung transplant in a 6-year-old girl after 7-month mechanical ventilator support. </w:t>
      </w:r>
      <w:r w:rsidRPr="002108EC">
        <w:rPr>
          <w:rFonts w:cs="Calibri"/>
          <w:bCs/>
          <w:i/>
        </w:rPr>
        <w:t>J Thorac Cardiovasc Surg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iCs/>
          <w:lang w:eastAsia="en-US"/>
        </w:rPr>
        <w:t xml:space="preserve">2010; </w:t>
      </w:r>
      <w:r w:rsidRPr="002108EC">
        <w:rPr>
          <w:rFonts w:cs="Calibri"/>
          <w:b/>
          <w:iCs/>
          <w:lang w:eastAsia="en-US"/>
        </w:rPr>
        <w:t>139:</w:t>
      </w:r>
      <w:r w:rsidRPr="002108EC">
        <w:rPr>
          <w:rFonts w:cs="Calibri"/>
          <w:iCs/>
          <w:lang w:eastAsia="en-US"/>
        </w:rPr>
        <w:t xml:space="preserve"> </w:t>
      </w:r>
      <w:r w:rsidRPr="002108EC">
        <w:rPr>
          <w:rFonts w:cs="Calibri"/>
          <w:shd w:val="clear" w:color="auto" w:fill="FFFFFF"/>
          <w:lang w:eastAsia="en-US"/>
        </w:rPr>
        <w:t>e112–13.</w:t>
      </w:r>
    </w:p>
    <w:p w14:paraId="4B216C65" w14:textId="77777777" w:rsidR="00957200" w:rsidRPr="002108EC" w:rsidRDefault="00957200" w:rsidP="002108EC">
      <w:pPr>
        <w:pStyle w:val="References"/>
        <w:rPr>
          <w:rFonts w:cs="Calibri"/>
        </w:rPr>
      </w:pPr>
      <w:r w:rsidRPr="002108EC">
        <w:rPr>
          <w:rFonts w:cs="Calibri"/>
          <w:shd w:val="clear" w:color="auto" w:fill="FFFFFF"/>
        </w:rPr>
        <w:t>1</w:t>
      </w:r>
      <w:r>
        <w:rPr>
          <w:rFonts w:cs="Calibri"/>
          <w:shd w:val="clear" w:color="auto" w:fill="FFFFFF"/>
        </w:rPr>
        <w:t>8</w:t>
      </w:r>
      <w:r w:rsidRPr="002108EC">
        <w:rPr>
          <w:rFonts w:cs="Calibri"/>
          <w:shd w:val="clear" w:color="auto" w:fill="FFFFFF"/>
        </w:rPr>
        <w:tab/>
        <w:t xml:space="preserve">Chiu CY, Wong KS, Huang YC, Lin TY. Bronchiolitis obliterans in children: Clinical presentation, therapy and long-term follow-up. </w:t>
      </w:r>
      <w:r w:rsidRPr="002108EC">
        <w:rPr>
          <w:rFonts w:cs="Calibri"/>
          <w:bCs/>
          <w:i/>
        </w:rPr>
        <w:t>J Paediatr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Child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Health</w:t>
      </w:r>
      <w:r w:rsidRPr="002108EC">
        <w:rPr>
          <w:rFonts w:cs="Calibri"/>
          <w:shd w:val="clear" w:color="auto" w:fill="FFFFFF"/>
        </w:rPr>
        <w:t xml:space="preserve"> 2008; </w:t>
      </w:r>
      <w:r w:rsidRPr="002108EC">
        <w:rPr>
          <w:rFonts w:cs="Calibri"/>
          <w:b/>
          <w:shd w:val="clear" w:color="auto" w:fill="FFFFFF"/>
        </w:rPr>
        <w:t xml:space="preserve">44: </w:t>
      </w:r>
      <w:r w:rsidRPr="002108EC">
        <w:rPr>
          <w:rFonts w:cs="Calibri"/>
          <w:shd w:val="clear" w:color="auto" w:fill="FFFFFF"/>
        </w:rPr>
        <w:t>129–33.</w:t>
      </w:r>
      <w:r w:rsidRPr="002108EC">
        <w:rPr>
          <w:rFonts w:cs="Calibri"/>
        </w:rPr>
        <w:t xml:space="preserve"> </w:t>
      </w:r>
    </w:p>
    <w:p w14:paraId="5C483130" w14:textId="77777777" w:rsidR="00957200" w:rsidRPr="002108EC" w:rsidRDefault="00957200" w:rsidP="002108EC">
      <w:pPr>
        <w:pStyle w:val="References"/>
      </w:pPr>
      <w:r>
        <w:t>19</w:t>
      </w:r>
      <w:r w:rsidRPr="002108EC">
        <w:tab/>
        <w:t xml:space="preserve">Bakirtas A, Harmanci K, Toyran M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2108EC">
        <w:rPr>
          <w:bCs/>
        </w:rPr>
        <w:t>Bronchiolitis</w:t>
      </w:r>
      <w:r>
        <w:rPr>
          <w:bCs/>
        </w:rPr>
        <w:t xml:space="preserve"> </w:t>
      </w:r>
      <w:r w:rsidRPr="002108EC">
        <w:rPr>
          <w:bCs/>
        </w:rPr>
        <w:t>obliterans: a rare complication associated with Stevens-Johnson syndrome.</w:t>
      </w:r>
      <w:r w:rsidRPr="002108EC">
        <w:t xml:space="preserve"> </w:t>
      </w:r>
      <w:r w:rsidRPr="002108EC">
        <w:rPr>
          <w:rFonts w:cs="Calibri"/>
          <w:bCs/>
          <w:i/>
        </w:rPr>
        <w:t>Pediatr Dermatol</w:t>
      </w:r>
      <w:r w:rsidRPr="002108EC">
        <w:t xml:space="preserve"> 2007; </w:t>
      </w:r>
      <w:r w:rsidRPr="002108EC">
        <w:rPr>
          <w:b/>
        </w:rPr>
        <w:t>24</w:t>
      </w:r>
      <w:r w:rsidRPr="002108EC">
        <w:t>: E22</w:t>
      </w:r>
      <w:r w:rsidRPr="002108EC">
        <w:rPr>
          <w:rFonts w:cs="Arial"/>
        </w:rPr>
        <w:t>–</w:t>
      </w:r>
      <w:r w:rsidRPr="002108EC">
        <w:t>5.</w:t>
      </w:r>
    </w:p>
    <w:p w14:paraId="5893D7C0" w14:textId="77777777" w:rsidR="00957200" w:rsidRPr="002108EC" w:rsidRDefault="00957200" w:rsidP="002108EC">
      <w:pPr>
        <w:pStyle w:val="References"/>
        <w:rPr>
          <w:rFonts w:cs="Calibri"/>
        </w:rPr>
      </w:pPr>
      <w:r>
        <w:t>20</w:t>
      </w:r>
      <w:r w:rsidRPr="002108EC">
        <w:tab/>
        <w:t xml:space="preserve">Date H, Sano Y, Aoe M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2108EC">
        <w:rPr>
          <w:rFonts w:cs="Calibri"/>
          <w:bCs/>
        </w:rPr>
        <w:t xml:space="preserve">Living-donor lobar lung transplantation for bronchiolitis obliterans after Stevens-Johnson syndrome. </w:t>
      </w:r>
      <w:r w:rsidRPr="002108EC">
        <w:rPr>
          <w:rFonts w:cs="Calibri"/>
          <w:bCs/>
          <w:i/>
        </w:rPr>
        <w:t>J Thorac Cardiovasc Surg</w:t>
      </w:r>
      <w:r w:rsidRPr="002108EC">
        <w:rPr>
          <w:rFonts w:cs="Calibri"/>
          <w:bCs/>
        </w:rPr>
        <w:t xml:space="preserve"> 2002; </w:t>
      </w:r>
      <w:r w:rsidRPr="002108EC">
        <w:rPr>
          <w:rFonts w:cs="Calibri"/>
          <w:b/>
          <w:bCs/>
        </w:rPr>
        <w:t>123:</w:t>
      </w:r>
      <w:r w:rsidRPr="002108EC">
        <w:rPr>
          <w:rFonts w:cs="Calibri"/>
          <w:bCs/>
        </w:rPr>
        <w:t xml:space="preserve"> 389–91.</w:t>
      </w:r>
    </w:p>
    <w:p w14:paraId="3AC8CE5F" w14:textId="77777777" w:rsidR="00957200" w:rsidRPr="002108EC" w:rsidRDefault="00957200" w:rsidP="002108EC">
      <w:pPr>
        <w:pStyle w:val="References"/>
        <w:rPr>
          <w:rFonts w:cs="Calibri"/>
        </w:rPr>
      </w:pPr>
      <w:r>
        <w:rPr>
          <w:rFonts w:cs="Calibri"/>
          <w:lang w:eastAsia="en-US"/>
        </w:rPr>
        <w:t>21</w:t>
      </w:r>
      <w:r w:rsidRPr="002108EC">
        <w:rPr>
          <w:rFonts w:cs="Calibri"/>
          <w:lang w:eastAsia="en-US"/>
        </w:rPr>
        <w:tab/>
        <w:t>Dogra S, Saini AG, Suri D</w:t>
      </w:r>
      <w:r w:rsidRPr="002108EC">
        <w:t xml:space="preserve"> </w:t>
      </w:r>
      <w:r w:rsidRPr="002108EC">
        <w:rPr>
          <w:i/>
        </w:rPr>
        <w:t>et</w:t>
      </w:r>
      <w:r w:rsidRPr="002108EC">
        <w:t xml:space="preserve"> </w:t>
      </w:r>
      <w:r w:rsidRPr="002108EC">
        <w:rPr>
          <w:i/>
        </w:rPr>
        <w:t>al</w:t>
      </w:r>
      <w:r w:rsidRPr="002108EC">
        <w:t xml:space="preserve">. </w:t>
      </w:r>
      <w:r w:rsidRPr="002108EC">
        <w:rPr>
          <w:rFonts w:cs="Calibri"/>
          <w:lang w:eastAsia="en-US"/>
        </w:rPr>
        <w:t xml:space="preserve">Bronchiolitis obliterans associated with Stevens-Johnson syndrome and response to azathioprine. </w:t>
      </w:r>
      <w:r w:rsidRPr="002108EC">
        <w:rPr>
          <w:rFonts w:cs="Calibri"/>
          <w:i/>
          <w:lang w:eastAsia="en-US"/>
        </w:rPr>
        <w:t>Indian J Pediatr</w:t>
      </w:r>
      <w:r w:rsidRPr="002108EC">
        <w:rPr>
          <w:rFonts w:cs="Calibri"/>
          <w:lang w:eastAsia="en-US"/>
        </w:rPr>
        <w:t xml:space="preserve"> </w:t>
      </w:r>
      <w:r w:rsidRPr="002108EC">
        <w:rPr>
          <w:rFonts w:ascii="Helvetica" w:hAnsi="Helvetica"/>
          <w:spacing w:val="4"/>
          <w:szCs w:val="21"/>
          <w:shd w:val="clear" w:color="auto" w:fill="FCFCFC"/>
          <w:lang w:eastAsia="en-US"/>
        </w:rPr>
        <w:t xml:space="preserve">2014; </w:t>
      </w:r>
      <w:r w:rsidRPr="002108EC">
        <w:rPr>
          <w:rFonts w:ascii="Helvetica" w:hAnsi="Helvetica"/>
          <w:b/>
          <w:spacing w:val="4"/>
          <w:szCs w:val="21"/>
          <w:shd w:val="clear" w:color="auto" w:fill="FCFCFC"/>
          <w:lang w:eastAsia="en-US"/>
        </w:rPr>
        <w:t xml:space="preserve">81: </w:t>
      </w:r>
      <w:r w:rsidRPr="002108EC">
        <w:rPr>
          <w:rFonts w:ascii="Helvetica" w:hAnsi="Helvetica"/>
          <w:spacing w:val="4"/>
          <w:szCs w:val="21"/>
          <w:shd w:val="clear" w:color="auto" w:fill="FCFCFC"/>
          <w:lang w:eastAsia="en-US"/>
        </w:rPr>
        <w:t>732–3.</w:t>
      </w:r>
    </w:p>
    <w:p w14:paraId="44A1E263" w14:textId="77777777" w:rsidR="00957200" w:rsidRDefault="00957200" w:rsidP="002108EC">
      <w:pPr>
        <w:pStyle w:val="References"/>
      </w:pPr>
      <w:r>
        <w:rPr>
          <w:rFonts w:cs="Calibri"/>
          <w:bCs/>
        </w:rPr>
        <w:t>22</w:t>
      </w:r>
      <w:r w:rsidRPr="002108EC">
        <w:rPr>
          <w:rFonts w:cs="Calibri"/>
          <w:bCs/>
        </w:rPr>
        <w:tab/>
        <w:t xml:space="preserve">Kim MJ, Kim KY. Bronchiolitis obliterans in children with Stevens-Johnson syndrome: follow-up with high resolution CT. </w:t>
      </w:r>
      <w:r w:rsidRPr="002108EC">
        <w:rPr>
          <w:rFonts w:cs="Calibri"/>
          <w:bCs/>
          <w:i/>
        </w:rPr>
        <w:t>Pediatr</w:t>
      </w:r>
      <w:r w:rsidRPr="002108EC">
        <w:rPr>
          <w:rFonts w:cs="Calibri"/>
          <w:bCs/>
        </w:rPr>
        <w:t xml:space="preserve"> </w:t>
      </w:r>
      <w:r w:rsidRPr="002108EC">
        <w:rPr>
          <w:rFonts w:cs="Calibri"/>
          <w:bCs/>
          <w:i/>
        </w:rPr>
        <w:t>Radiol</w:t>
      </w:r>
      <w:r w:rsidRPr="002108EC">
        <w:rPr>
          <w:rFonts w:cs="Calibri"/>
          <w:bCs/>
        </w:rPr>
        <w:t xml:space="preserve"> 1996; </w:t>
      </w:r>
      <w:r w:rsidRPr="002108EC">
        <w:rPr>
          <w:rFonts w:cs="Calibri"/>
          <w:b/>
          <w:bCs/>
        </w:rPr>
        <w:t xml:space="preserve">26: </w:t>
      </w:r>
      <w:r w:rsidRPr="002108EC">
        <w:rPr>
          <w:rFonts w:cs="Calibri"/>
          <w:bCs/>
        </w:rPr>
        <w:t>22–5.</w:t>
      </w:r>
      <w:r w:rsidRPr="002108EC">
        <w:t xml:space="preserve"> </w:t>
      </w:r>
    </w:p>
    <w:p w14:paraId="1176BB92" w14:textId="77777777" w:rsidR="00957200" w:rsidRDefault="00957200" w:rsidP="002108EC">
      <w:pPr>
        <w:pStyle w:val="References"/>
      </w:pPr>
    </w:p>
    <w:p w14:paraId="13068E15" w14:textId="77777777" w:rsidR="00957200" w:rsidRDefault="00957200" w:rsidP="001B6F0E">
      <w:pPr>
        <w:rPr>
          <w:noProof/>
        </w:rPr>
      </w:pPr>
      <w:r w:rsidRPr="001B6F0E">
        <w:rPr>
          <w:b/>
          <w:noProof/>
        </w:rPr>
        <w:t>Figure 1</w:t>
      </w:r>
      <w:r w:rsidRPr="004F6812">
        <w:rPr>
          <w:noProof/>
        </w:rPr>
        <w:t xml:space="preserve"> </w:t>
      </w:r>
      <w:r>
        <w:rPr>
          <w:noProof/>
        </w:rPr>
        <w:t xml:space="preserve">(a,b) </w:t>
      </w:r>
      <w:r w:rsidRPr="004F6812">
        <w:rPr>
          <w:noProof/>
        </w:rPr>
        <w:t>High</w:t>
      </w:r>
      <w:r>
        <w:rPr>
          <w:noProof/>
        </w:rPr>
        <w:t>-r</w:t>
      </w:r>
      <w:r w:rsidRPr="004F6812">
        <w:rPr>
          <w:noProof/>
        </w:rPr>
        <w:t xml:space="preserve">esolution </w:t>
      </w:r>
      <w:r>
        <w:rPr>
          <w:noProof/>
        </w:rPr>
        <w:t xml:space="preserve">computed tomography </w:t>
      </w:r>
      <w:r w:rsidRPr="004F6812">
        <w:rPr>
          <w:noProof/>
        </w:rPr>
        <w:t>confirmed bronc</w:t>
      </w:r>
      <w:r>
        <w:rPr>
          <w:noProof/>
        </w:rPr>
        <w:t xml:space="preserve">hiolitis obliterans with mosaic </w:t>
      </w:r>
      <w:r w:rsidRPr="004F6812">
        <w:rPr>
          <w:noProof/>
        </w:rPr>
        <w:t>profusion and air trapping on</w:t>
      </w:r>
      <w:r>
        <w:rPr>
          <w:noProof/>
        </w:rPr>
        <w:t xml:space="preserve"> (b)</w:t>
      </w:r>
      <w:r w:rsidRPr="004F6812">
        <w:rPr>
          <w:noProof/>
        </w:rPr>
        <w:t xml:space="preserve"> </w:t>
      </w:r>
      <w:r>
        <w:rPr>
          <w:noProof/>
        </w:rPr>
        <w:t xml:space="preserve">the </w:t>
      </w:r>
      <w:r w:rsidRPr="004F6812">
        <w:rPr>
          <w:noProof/>
        </w:rPr>
        <w:t xml:space="preserve">expiratory </w:t>
      </w:r>
      <w:r>
        <w:rPr>
          <w:noProof/>
        </w:rPr>
        <w:t>scan.</w:t>
      </w:r>
    </w:p>
    <w:p w14:paraId="7D857E63" w14:textId="77777777" w:rsidR="00957200" w:rsidRPr="004F6812" w:rsidRDefault="00957200" w:rsidP="001B6F0E">
      <w:pPr>
        <w:rPr>
          <w:rFonts w:cs="Arial"/>
          <w:lang w:eastAsia="en-US"/>
        </w:rPr>
      </w:pPr>
      <w:r>
        <w:rPr>
          <w:rFonts w:cs="Arial"/>
          <w:b/>
          <w:szCs w:val="22"/>
          <w:lang w:eastAsia="en-US"/>
        </w:rPr>
        <w:t>Figure 2</w:t>
      </w:r>
      <w:r>
        <w:rPr>
          <w:rFonts w:cs="Arial"/>
          <w:szCs w:val="22"/>
          <w:lang w:eastAsia="en-US"/>
        </w:rPr>
        <w:t xml:space="preserve"> Patient</w:t>
      </w:r>
      <w:r w:rsidRPr="004F6812">
        <w:rPr>
          <w:rFonts w:cs="Arial"/>
          <w:szCs w:val="22"/>
          <w:lang w:eastAsia="en-US"/>
        </w:rPr>
        <w:t xml:space="preserve"> 3</w:t>
      </w:r>
      <w:r>
        <w:rPr>
          <w:rFonts w:cs="Arial"/>
          <w:szCs w:val="22"/>
          <w:lang w:eastAsia="en-US"/>
        </w:rPr>
        <w:t>: m</w:t>
      </w:r>
      <w:r w:rsidRPr="004F6812">
        <w:rPr>
          <w:rFonts w:cs="Arial"/>
          <w:szCs w:val="22"/>
          <w:lang w:eastAsia="en-US"/>
        </w:rPr>
        <w:t>ucocutaneous changes showing overlapping morphological features of Stevens</w:t>
      </w:r>
      <w:r>
        <w:rPr>
          <w:rFonts w:cs="Arial"/>
          <w:szCs w:val="22"/>
          <w:lang w:eastAsia="en-US"/>
        </w:rPr>
        <w:t>–</w:t>
      </w:r>
      <w:r w:rsidRPr="004F6812">
        <w:rPr>
          <w:rFonts w:cs="Arial"/>
          <w:szCs w:val="22"/>
          <w:lang w:eastAsia="en-US"/>
        </w:rPr>
        <w:t>Johnson syndrome and erythema multiforme</w:t>
      </w:r>
      <w:r>
        <w:rPr>
          <w:rFonts w:cs="Arial"/>
          <w:szCs w:val="22"/>
          <w:lang w:eastAsia="en-US"/>
        </w:rPr>
        <w:t xml:space="preserve"> on (a) f</w:t>
      </w:r>
      <w:r w:rsidRPr="004F6812">
        <w:rPr>
          <w:rFonts w:cs="Arial"/>
          <w:szCs w:val="22"/>
          <w:lang w:eastAsia="en-US"/>
        </w:rPr>
        <w:t>ac</w:t>
      </w:r>
      <w:r>
        <w:rPr>
          <w:rFonts w:cs="Arial"/>
          <w:szCs w:val="22"/>
          <w:lang w:eastAsia="en-US"/>
        </w:rPr>
        <w:t>e, (b) p</w:t>
      </w:r>
      <w:r w:rsidRPr="004F6812">
        <w:rPr>
          <w:rFonts w:cs="Arial"/>
          <w:szCs w:val="22"/>
          <w:lang w:eastAsia="en-US"/>
        </w:rPr>
        <w:t>alm</w:t>
      </w:r>
      <w:r>
        <w:rPr>
          <w:rFonts w:cs="Arial"/>
          <w:szCs w:val="22"/>
          <w:lang w:eastAsia="en-US"/>
        </w:rPr>
        <w:t>, (</w:t>
      </w:r>
      <w:r w:rsidRPr="004F6812">
        <w:rPr>
          <w:rFonts w:cs="Arial"/>
          <w:szCs w:val="22"/>
          <w:lang w:eastAsia="en-US"/>
        </w:rPr>
        <w:t xml:space="preserve">c) sole </w:t>
      </w:r>
      <w:r>
        <w:rPr>
          <w:rFonts w:cs="Arial"/>
          <w:szCs w:val="22"/>
          <w:lang w:eastAsia="en-US"/>
        </w:rPr>
        <w:t>and (</w:t>
      </w:r>
      <w:r w:rsidRPr="004F6812">
        <w:rPr>
          <w:rFonts w:cs="Arial"/>
          <w:szCs w:val="22"/>
          <w:lang w:eastAsia="en-US"/>
        </w:rPr>
        <w:t>d) upper back</w:t>
      </w:r>
      <w:r>
        <w:rPr>
          <w:rFonts w:cs="Arial"/>
          <w:szCs w:val="22"/>
          <w:lang w:eastAsia="en-US"/>
        </w:rPr>
        <w:t>. (</w:t>
      </w:r>
      <w:r w:rsidRPr="004F6812">
        <w:rPr>
          <w:rFonts w:cs="Arial"/>
          <w:szCs w:val="22"/>
          <w:lang w:eastAsia="en-US"/>
        </w:rPr>
        <w:t>e) Close-up showing ‘atypical’ target lesions/blisters</w:t>
      </w:r>
      <w:r>
        <w:rPr>
          <w:rFonts w:cs="Arial"/>
          <w:szCs w:val="22"/>
          <w:lang w:eastAsia="en-US"/>
        </w:rPr>
        <w:t>. (f</w:t>
      </w:r>
      <w:r w:rsidRPr="004F6812">
        <w:rPr>
          <w:rFonts w:cs="Arial"/>
          <w:szCs w:val="22"/>
          <w:lang w:eastAsia="en-US"/>
        </w:rPr>
        <w:t>) Subsequent nail shedding at</w:t>
      </w:r>
      <w:r>
        <w:rPr>
          <w:rFonts w:cs="Arial"/>
          <w:szCs w:val="22"/>
          <w:lang w:eastAsia="en-US"/>
        </w:rPr>
        <w:t xml:space="preserve"> the 4-month </w:t>
      </w:r>
      <w:r w:rsidRPr="004F6812">
        <w:rPr>
          <w:rFonts w:cs="Arial"/>
          <w:szCs w:val="22"/>
          <w:lang w:eastAsia="en-US"/>
        </w:rPr>
        <w:t>follow-up.</w:t>
      </w:r>
    </w:p>
    <w:p w14:paraId="054E961A" w14:textId="77777777" w:rsidR="00957200" w:rsidRPr="002108EC" w:rsidRDefault="00957200" w:rsidP="002108EC">
      <w:pPr>
        <w:pStyle w:val="Firstline"/>
      </w:pPr>
    </w:p>
    <w:p w14:paraId="32E119EB" w14:textId="085DB19C" w:rsidR="00957200" w:rsidRPr="002108EC" w:rsidRDefault="00957200" w:rsidP="002108EC">
      <w:pPr>
        <w:pStyle w:val="Firstline"/>
      </w:pPr>
      <w:r w:rsidRPr="002108EC">
        <w:rPr>
          <w:b/>
        </w:rPr>
        <w:t>Table 1</w:t>
      </w:r>
      <w:r w:rsidRPr="002108EC">
        <w:t xml:space="preserve"> Summary of cases of bronch</w:t>
      </w:r>
      <w:r w:rsidR="00A90383">
        <w:t>i</w:t>
      </w:r>
      <w:r w:rsidRPr="002108EC">
        <w:t>olitis obliterans</w:t>
      </w:r>
      <w:r>
        <w:t xml:space="preserve"> </w:t>
      </w:r>
      <w:r w:rsidRPr="002108EC">
        <w:t>post-</w:t>
      </w:r>
      <w:r>
        <w:t>Stevens–Johnson syndrome/toxic epidermal necrolysis</w:t>
      </w:r>
      <w:r w:rsidRPr="002108EC">
        <w:t xml:space="preserve"> from the literature and our own series.</w:t>
      </w:r>
    </w:p>
    <w:tbl>
      <w:tblPr>
        <w:tblW w:w="9900" w:type="dxa"/>
        <w:tblInd w:w="108" w:type="dxa"/>
        <w:tblLook w:val="00A0" w:firstRow="1" w:lastRow="0" w:firstColumn="1" w:lastColumn="0" w:noHBand="0" w:noVBand="0"/>
      </w:tblPr>
      <w:tblGrid>
        <w:gridCol w:w="2700"/>
        <w:gridCol w:w="758"/>
        <w:gridCol w:w="1719"/>
        <w:gridCol w:w="1558"/>
        <w:gridCol w:w="3165"/>
      </w:tblGrid>
      <w:tr w:rsidR="00957200" w:rsidRPr="002108EC" w14:paraId="225D54BF" w14:textId="77777777" w:rsidTr="00113C95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C283D" w14:textId="77777777" w:rsidR="00957200" w:rsidRPr="002108EC" w:rsidRDefault="00957200" w:rsidP="002108EC">
            <w:pPr>
              <w:pStyle w:val="Firstline"/>
            </w:pPr>
            <w:r w:rsidRPr="002108EC">
              <w:t>Reference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053CC" w14:textId="77777777" w:rsidR="00957200" w:rsidRPr="002108EC" w:rsidRDefault="00957200" w:rsidP="002108EC">
            <w:pPr>
              <w:pStyle w:val="Firstline"/>
            </w:pPr>
            <w:r w:rsidRPr="002108EC">
              <w:t>Age, years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EB9653" w14:textId="77777777" w:rsidR="00957200" w:rsidRPr="002108EC" w:rsidRDefault="00957200" w:rsidP="002108EC">
            <w:pPr>
              <w:pStyle w:val="Firstline"/>
            </w:pPr>
            <w:r w:rsidRPr="002108EC">
              <w:t>Culprit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2AB98" w14:textId="77777777" w:rsidR="00957200" w:rsidRPr="00113C95" w:rsidRDefault="00957200" w:rsidP="002108EC">
            <w:pPr>
              <w:pStyle w:val="Firstline"/>
            </w:pPr>
            <w:r w:rsidRPr="00113C95">
              <w:t>BO onset after mucocutaneous features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DBDF6" w14:textId="77777777" w:rsidR="00957200" w:rsidRPr="002108EC" w:rsidRDefault="00957200" w:rsidP="002108EC">
            <w:pPr>
              <w:pStyle w:val="Firstline"/>
            </w:pPr>
            <w:r w:rsidRPr="002108EC">
              <w:t>Outcome</w:t>
            </w:r>
          </w:p>
        </w:tc>
      </w:tr>
      <w:tr w:rsidR="00957200" w:rsidRPr="002108EC" w14:paraId="0D3EA5CB" w14:textId="77777777" w:rsidTr="00113C95"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7188D6B6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Kim</w:t>
            </w:r>
            <w:r>
              <w:t xml:space="preserve">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1996</w:t>
            </w:r>
            <w:r>
              <w:rPr>
                <w:vertAlign w:val="superscript"/>
              </w:rPr>
              <w:t>22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29A1EE38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10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443C959D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Anti-TB treatment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344758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2 months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545CF56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No progression</w:t>
            </w:r>
          </w:p>
        </w:tc>
      </w:tr>
      <w:tr w:rsidR="00957200" w:rsidRPr="002108EC" w14:paraId="3CB555A8" w14:textId="77777777" w:rsidTr="00113C95">
        <w:tc>
          <w:tcPr>
            <w:tcW w:w="2700" w:type="dxa"/>
            <w:vMerge/>
          </w:tcPr>
          <w:p w14:paraId="376B1385" w14:textId="77777777" w:rsidR="00957200" w:rsidRPr="002108EC" w:rsidRDefault="00957200" w:rsidP="00113C95">
            <w:pPr>
              <w:pStyle w:val="Firstline"/>
              <w:jc w:val="left"/>
            </w:pPr>
          </w:p>
        </w:tc>
        <w:tc>
          <w:tcPr>
            <w:tcW w:w="758" w:type="dxa"/>
          </w:tcPr>
          <w:p w14:paraId="21D8A6B1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6</w:t>
            </w:r>
          </w:p>
        </w:tc>
        <w:tc>
          <w:tcPr>
            <w:tcW w:w="1719" w:type="dxa"/>
          </w:tcPr>
          <w:p w14:paraId="0F7F91D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2C09DDA3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5 days</w:t>
            </w:r>
          </w:p>
        </w:tc>
        <w:tc>
          <w:tcPr>
            <w:tcW w:w="3165" w:type="dxa"/>
          </w:tcPr>
          <w:p w14:paraId="11888079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Some improvement</w:t>
            </w:r>
          </w:p>
        </w:tc>
      </w:tr>
      <w:tr w:rsidR="00957200" w:rsidRPr="002108EC" w14:paraId="36DBD08D" w14:textId="77777777" w:rsidTr="00113C95">
        <w:tc>
          <w:tcPr>
            <w:tcW w:w="2700" w:type="dxa"/>
          </w:tcPr>
          <w:p w14:paraId="13A3F49C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Date</w:t>
            </w:r>
            <w:r>
              <w:t xml:space="preserve">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2002</w:t>
            </w:r>
            <w:r>
              <w:rPr>
                <w:vertAlign w:val="superscript"/>
              </w:rPr>
              <w:t>20</w:t>
            </w:r>
          </w:p>
        </w:tc>
        <w:tc>
          <w:tcPr>
            <w:tcW w:w="758" w:type="dxa"/>
          </w:tcPr>
          <w:p w14:paraId="13EBD1B4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13</w:t>
            </w:r>
          </w:p>
        </w:tc>
        <w:tc>
          <w:tcPr>
            <w:tcW w:w="1719" w:type="dxa"/>
          </w:tcPr>
          <w:p w14:paraId="58D88F60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07013D6E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1 week</w:t>
            </w:r>
          </w:p>
        </w:tc>
        <w:tc>
          <w:tcPr>
            <w:tcW w:w="3165" w:type="dxa"/>
          </w:tcPr>
          <w:p w14:paraId="559E597C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Successful lung transplant</w:t>
            </w:r>
          </w:p>
        </w:tc>
      </w:tr>
      <w:tr w:rsidR="00957200" w:rsidRPr="002108EC" w14:paraId="00137399" w14:textId="77777777" w:rsidTr="00113C95">
        <w:tc>
          <w:tcPr>
            <w:tcW w:w="2700" w:type="dxa"/>
            <w:vMerge w:val="restart"/>
          </w:tcPr>
          <w:p w14:paraId="29DC7748" w14:textId="77777777" w:rsidR="00957200" w:rsidRPr="002108EC" w:rsidRDefault="00957200" w:rsidP="00113C95">
            <w:pPr>
              <w:pStyle w:val="Firstline"/>
              <w:jc w:val="left"/>
            </w:pPr>
            <w:r>
              <w:t>Bakirt</w:t>
            </w:r>
            <w:r w:rsidRPr="002108EC">
              <w:t xml:space="preserve">as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2007</w:t>
            </w:r>
            <w:r w:rsidRPr="002108EC">
              <w:rPr>
                <w:vertAlign w:val="superscript"/>
              </w:rPr>
              <w:t>1</w:t>
            </w:r>
            <w:r>
              <w:rPr>
                <w:vertAlign w:val="superscript"/>
              </w:rPr>
              <w:t>9</w:t>
            </w:r>
          </w:p>
        </w:tc>
        <w:tc>
          <w:tcPr>
            <w:tcW w:w="758" w:type="dxa"/>
          </w:tcPr>
          <w:p w14:paraId="09D8D8A1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8</w:t>
            </w:r>
          </w:p>
        </w:tc>
        <w:tc>
          <w:tcPr>
            <w:tcW w:w="1719" w:type="dxa"/>
          </w:tcPr>
          <w:p w14:paraId="5EFB594D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6B9DBD61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2 weeks</w:t>
            </w:r>
          </w:p>
        </w:tc>
        <w:tc>
          <w:tcPr>
            <w:tcW w:w="3165" w:type="dxa"/>
          </w:tcPr>
          <w:p w14:paraId="1D772D59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Some improvement</w:t>
            </w:r>
          </w:p>
        </w:tc>
      </w:tr>
      <w:tr w:rsidR="00957200" w:rsidRPr="002108EC" w14:paraId="357C0083" w14:textId="77777777" w:rsidTr="00113C95">
        <w:tc>
          <w:tcPr>
            <w:tcW w:w="2700" w:type="dxa"/>
            <w:vMerge/>
          </w:tcPr>
          <w:p w14:paraId="054653E8" w14:textId="77777777" w:rsidR="00957200" w:rsidRPr="002108EC" w:rsidRDefault="00957200" w:rsidP="00113C95">
            <w:pPr>
              <w:pStyle w:val="Firstline"/>
              <w:jc w:val="left"/>
            </w:pPr>
          </w:p>
        </w:tc>
        <w:tc>
          <w:tcPr>
            <w:tcW w:w="758" w:type="dxa"/>
          </w:tcPr>
          <w:p w14:paraId="760D9BE8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13</w:t>
            </w:r>
          </w:p>
        </w:tc>
        <w:tc>
          <w:tcPr>
            <w:tcW w:w="1719" w:type="dxa"/>
          </w:tcPr>
          <w:p w14:paraId="03231CB9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751195D5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5 months</w:t>
            </w:r>
          </w:p>
        </w:tc>
        <w:tc>
          <w:tcPr>
            <w:tcW w:w="3165" w:type="dxa"/>
          </w:tcPr>
          <w:p w14:paraId="3EAE082A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Some improvement</w:t>
            </w:r>
          </w:p>
        </w:tc>
      </w:tr>
      <w:tr w:rsidR="00957200" w:rsidRPr="002108EC" w14:paraId="273FD5F1" w14:textId="77777777" w:rsidTr="00113C95">
        <w:tc>
          <w:tcPr>
            <w:tcW w:w="2700" w:type="dxa"/>
            <w:vMerge w:val="restart"/>
          </w:tcPr>
          <w:p w14:paraId="712C5F7A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 xml:space="preserve">Chiu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2008</w:t>
            </w:r>
            <w:r w:rsidRPr="002108EC">
              <w:rPr>
                <w:vertAlign w:val="superscript"/>
              </w:rPr>
              <w:t>1</w:t>
            </w:r>
            <w:r>
              <w:rPr>
                <w:vertAlign w:val="superscript"/>
              </w:rPr>
              <w:t>8</w:t>
            </w:r>
          </w:p>
        </w:tc>
        <w:tc>
          <w:tcPr>
            <w:tcW w:w="758" w:type="dxa"/>
          </w:tcPr>
          <w:p w14:paraId="4E57CCDF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6</w:t>
            </w:r>
          </w:p>
        </w:tc>
        <w:tc>
          <w:tcPr>
            <w:tcW w:w="1719" w:type="dxa"/>
          </w:tcPr>
          <w:p w14:paraId="195B631A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61F598FC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3165" w:type="dxa"/>
          </w:tcPr>
          <w:p w14:paraId="25FAF2C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Improved</w:t>
            </w:r>
          </w:p>
        </w:tc>
      </w:tr>
      <w:tr w:rsidR="00957200" w:rsidRPr="002108EC" w14:paraId="5BDE0562" w14:textId="77777777" w:rsidTr="00113C95">
        <w:tc>
          <w:tcPr>
            <w:tcW w:w="2700" w:type="dxa"/>
            <w:vMerge/>
          </w:tcPr>
          <w:p w14:paraId="56FF53BE" w14:textId="77777777" w:rsidR="00957200" w:rsidRPr="002108EC" w:rsidRDefault="00957200" w:rsidP="00113C95">
            <w:pPr>
              <w:pStyle w:val="Firstline"/>
              <w:jc w:val="left"/>
            </w:pPr>
          </w:p>
        </w:tc>
        <w:tc>
          <w:tcPr>
            <w:tcW w:w="758" w:type="dxa"/>
          </w:tcPr>
          <w:p w14:paraId="1C3C8E05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6</w:t>
            </w:r>
          </w:p>
        </w:tc>
        <w:tc>
          <w:tcPr>
            <w:tcW w:w="1719" w:type="dxa"/>
          </w:tcPr>
          <w:p w14:paraId="5A21222B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4428A8FB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3165" w:type="dxa"/>
          </w:tcPr>
          <w:p w14:paraId="66E78B75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Lung transplant, then died</w:t>
            </w:r>
          </w:p>
        </w:tc>
      </w:tr>
      <w:tr w:rsidR="00957200" w:rsidRPr="002108EC" w14:paraId="66E3349D" w14:textId="77777777" w:rsidTr="003640FC">
        <w:tc>
          <w:tcPr>
            <w:tcW w:w="2700" w:type="dxa"/>
            <w:vMerge w:val="restart"/>
          </w:tcPr>
          <w:p w14:paraId="6F81606F" w14:textId="77777777" w:rsidR="00957200" w:rsidRPr="004F6812" w:rsidRDefault="00957200" w:rsidP="003640FC">
            <w:pPr>
              <w:rPr>
                <w:rFonts w:cs="Arial"/>
              </w:rPr>
            </w:pPr>
            <w:r w:rsidRPr="004F6812">
              <w:rPr>
                <w:rFonts w:cs="Arial"/>
              </w:rPr>
              <w:t>Moonumakal</w:t>
            </w:r>
            <w:r w:rsidRPr="002108EC">
              <w:t xml:space="preserve">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</w:t>
            </w:r>
            <w:r>
              <w:t>0</w:t>
            </w:r>
            <w:r w:rsidRPr="002108EC">
              <w:t>8</w:t>
            </w:r>
            <w:r>
              <w:rPr>
                <w:vertAlign w:val="superscript"/>
              </w:rPr>
              <w:t>8</w:t>
            </w:r>
          </w:p>
        </w:tc>
        <w:tc>
          <w:tcPr>
            <w:tcW w:w="758" w:type="dxa"/>
          </w:tcPr>
          <w:p w14:paraId="515D6860" w14:textId="77777777" w:rsidR="00957200" w:rsidRPr="002108EC" w:rsidRDefault="00957200" w:rsidP="00874D28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719" w:type="dxa"/>
          </w:tcPr>
          <w:p w14:paraId="077A1401" w14:textId="77777777" w:rsidR="00957200" w:rsidRPr="002108EC" w:rsidRDefault="00957200" w:rsidP="00874D28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715E17C4" w14:textId="77777777" w:rsidR="00957200" w:rsidRPr="002108EC" w:rsidRDefault="00957200" w:rsidP="00874D28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3165" w:type="dxa"/>
          </w:tcPr>
          <w:p w14:paraId="41C2BD41" w14:textId="77777777" w:rsidR="00957200" w:rsidRPr="002108EC" w:rsidRDefault="00957200" w:rsidP="003640FC">
            <w:pPr>
              <w:pStyle w:val="Firstline"/>
              <w:jc w:val="left"/>
            </w:pPr>
            <w:r>
              <w:t>Required lung transplantation</w:t>
            </w:r>
          </w:p>
        </w:tc>
      </w:tr>
      <w:tr w:rsidR="00957200" w:rsidRPr="002108EC" w14:paraId="51D7FB2B" w14:textId="77777777" w:rsidTr="003640FC">
        <w:tc>
          <w:tcPr>
            <w:tcW w:w="2700" w:type="dxa"/>
            <w:vMerge/>
          </w:tcPr>
          <w:p w14:paraId="3566483F" w14:textId="77777777" w:rsidR="00957200" w:rsidRPr="004F6812" w:rsidRDefault="00957200" w:rsidP="003640FC">
            <w:pPr>
              <w:rPr>
                <w:rFonts w:cs="Arial"/>
              </w:rPr>
            </w:pPr>
          </w:p>
        </w:tc>
        <w:tc>
          <w:tcPr>
            <w:tcW w:w="758" w:type="dxa"/>
          </w:tcPr>
          <w:p w14:paraId="2FEE713A" w14:textId="77777777" w:rsidR="00957200" w:rsidRPr="002108EC" w:rsidRDefault="00957200" w:rsidP="00874D28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719" w:type="dxa"/>
          </w:tcPr>
          <w:p w14:paraId="697A9DD4" w14:textId="77777777" w:rsidR="00957200" w:rsidRPr="002108EC" w:rsidRDefault="00957200" w:rsidP="00874D28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2005AD1A" w14:textId="77777777" w:rsidR="00957200" w:rsidRPr="002108EC" w:rsidRDefault="00957200" w:rsidP="00874D28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3165" w:type="dxa"/>
          </w:tcPr>
          <w:p w14:paraId="14CE852E" w14:textId="77777777" w:rsidR="00957200" w:rsidRPr="002108EC" w:rsidRDefault="00957200" w:rsidP="003640FC">
            <w:pPr>
              <w:pStyle w:val="Firstline"/>
              <w:jc w:val="left"/>
            </w:pPr>
            <w:r>
              <w:t>Required lung transplantation</w:t>
            </w:r>
          </w:p>
        </w:tc>
      </w:tr>
      <w:tr w:rsidR="00957200" w:rsidRPr="002108EC" w14:paraId="60C3F300" w14:textId="77777777" w:rsidTr="00113C95">
        <w:tc>
          <w:tcPr>
            <w:tcW w:w="2700" w:type="dxa"/>
          </w:tcPr>
          <w:p w14:paraId="65CB891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 xml:space="preserve">Shoji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2010</w:t>
            </w:r>
            <w:r w:rsidRPr="002108EC">
              <w:rPr>
                <w:vertAlign w:val="superscript"/>
              </w:rPr>
              <w:t>1</w:t>
            </w:r>
            <w:r>
              <w:rPr>
                <w:vertAlign w:val="superscript"/>
              </w:rPr>
              <w:t>7</w:t>
            </w:r>
          </w:p>
        </w:tc>
        <w:tc>
          <w:tcPr>
            <w:tcW w:w="758" w:type="dxa"/>
          </w:tcPr>
          <w:p w14:paraId="4C565952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6</w:t>
            </w:r>
          </w:p>
        </w:tc>
        <w:tc>
          <w:tcPr>
            <w:tcW w:w="1719" w:type="dxa"/>
          </w:tcPr>
          <w:p w14:paraId="27AD7A34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Antibiotic (NS)</w:t>
            </w:r>
          </w:p>
        </w:tc>
        <w:tc>
          <w:tcPr>
            <w:tcW w:w="1558" w:type="dxa"/>
          </w:tcPr>
          <w:p w14:paraId="4535E77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2 weeks</w:t>
            </w:r>
          </w:p>
        </w:tc>
        <w:tc>
          <w:tcPr>
            <w:tcW w:w="3165" w:type="dxa"/>
          </w:tcPr>
          <w:p w14:paraId="3FFCCFFD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Ventilator for 7 months, then lung transplant</w:t>
            </w:r>
          </w:p>
        </w:tc>
      </w:tr>
      <w:tr w:rsidR="00957200" w:rsidRPr="002108EC" w14:paraId="7F249945" w14:textId="77777777" w:rsidTr="00113C95">
        <w:tc>
          <w:tcPr>
            <w:tcW w:w="2700" w:type="dxa"/>
          </w:tcPr>
          <w:p w14:paraId="584E3BE3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Dogra</w:t>
            </w:r>
            <w:r>
              <w:t xml:space="preserve">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2011</w:t>
            </w:r>
            <w:r>
              <w:rPr>
                <w:vertAlign w:val="superscript"/>
              </w:rPr>
              <w:t>16</w:t>
            </w:r>
          </w:p>
        </w:tc>
        <w:tc>
          <w:tcPr>
            <w:tcW w:w="758" w:type="dxa"/>
          </w:tcPr>
          <w:p w14:paraId="4C5C5B17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5</w:t>
            </w:r>
          </w:p>
        </w:tc>
        <w:tc>
          <w:tcPr>
            <w:tcW w:w="1719" w:type="dxa"/>
          </w:tcPr>
          <w:p w14:paraId="0E1F6337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Nimesulide</w:t>
            </w:r>
          </w:p>
        </w:tc>
        <w:tc>
          <w:tcPr>
            <w:tcW w:w="1558" w:type="dxa"/>
          </w:tcPr>
          <w:p w14:paraId="652DF0FF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2 weeks</w:t>
            </w:r>
          </w:p>
        </w:tc>
        <w:tc>
          <w:tcPr>
            <w:tcW w:w="3165" w:type="dxa"/>
          </w:tcPr>
          <w:p w14:paraId="2E83536F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Died after 1 year</w:t>
            </w:r>
          </w:p>
        </w:tc>
      </w:tr>
      <w:tr w:rsidR="00957200" w:rsidRPr="002108EC" w14:paraId="2E59B1B3" w14:textId="77777777" w:rsidTr="00113C95">
        <w:tc>
          <w:tcPr>
            <w:tcW w:w="2700" w:type="dxa"/>
          </w:tcPr>
          <w:p w14:paraId="3A18E500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 xml:space="preserve">Dogra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2014</w:t>
            </w:r>
            <w:r>
              <w:rPr>
                <w:vertAlign w:val="superscript"/>
              </w:rPr>
              <w:t>21</w:t>
            </w:r>
          </w:p>
        </w:tc>
        <w:tc>
          <w:tcPr>
            <w:tcW w:w="758" w:type="dxa"/>
          </w:tcPr>
          <w:p w14:paraId="6816116E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9</w:t>
            </w:r>
          </w:p>
        </w:tc>
        <w:tc>
          <w:tcPr>
            <w:tcW w:w="1719" w:type="dxa"/>
          </w:tcPr>
          <w:p w14:paraId="31A7A066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Ibuprofen</w:t>
            </w:r>
          </w:p>
        </w:tc>
        <w:tc>
          <w:tcPr>
            <w:tcW w:w="1558" w:type="dxa"/>
          </w:tcPr>
          <w:p w14:paraId="06C13111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1 week</w:t>
            </w:r>
          </w:p>
        </w:tc>
        <w:tc>
          <w:tcPr>
            <w:tcW w:w="3165" w:type="dxa"/>
          </w:tcPr>
          <w:p w14:paraId="3C83FBA5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Improved</w:t>
            </w:r>
          </w:p>
        </w:tc>
      </w:tr>
      <w:tr w:rsidR="00957200" w:rsidRPr="002108EC" w14:paraId="14466A90" w14:textId="77777777" w:rsidTr="00113C95">
        <w:tc>
          <w:tcPr>
            <w:tcW w:w="2700" w:type="dxa"/>
          </w:tcPr>
          <w:p w14:paraId="4202E1D1" w14:textId="77777777" w:rsidR="00957200" w:rsidRPr="002108EC" w:rsidRDefault="00957200" w:rsidP="00113C95">
            <w:pPr>
              <w:pStyle w:val="Firstline"/>
              <w:jc w:val="left"/>
              <w:rPr>
                <w:vertAlign w:val="superscript"/>
              </w:rPr>
            </w:pPr>
            <w:r w:rsidRPr="002108EC">
              <w:t>Wang</w:t>
            </w:r>
            <w:r>
              <w:t xml:space="preserve">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2015</w:t>
            </w:r>
            <w:r>
              <w:rPr>
                <w:vertAlign w:val="superscript"/>
              </w:rPr>
              <w:t>15</w:t>
            </w:r>
          </w:p>
        </w:tc>
        <w:tc>
          <w:tcPr>
            <w:tcW w:w="758" w:type="dxa"/>
          </w:tcPr>
          <w:p w14:paraId="039DD4D7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9</w:t>
            </w:r>
          </w:p>
        </w:tc>
        <w:tc>
          <w:tcPr>
            <w:tcW w:w="1719" w:type="dxa"/>
          </w:tcPr>
          <w:p w14:paraId="58FADB46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Lamotrigine</w:t>
            </w:r>
          </w:p>
        </w:tc>
        <w:tc>
          <w:tcPr>
            <w:tcW w:w="1558" w:type="dxa"/>
          </w:tcPr>
          <w:p w14:paraId="2ABAFBDA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1 week</w:t>
            </w:r>
          </w:p>
        </w:tc>
        <w:tc>
          <w:tcPr>
            <w:tcW w:w="3165" w:type="dxa"/>
          </w:tcPr>
          <w:p w14:paraId="625C917E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No progression</w:t>
            </w:r>
          </w:p>
        </w:tc>
      </w:tr>
      <w:tr w:rsidR="00957200" w:rsidRPr="002108EC" w14:paraId="54ABA3CC" w14:textId="77777777" w:rsidTr="00113C95">
        <w:tc>
          <w:tcPr>
            <w:tcW w:w="2700" w:type="dxa"/>
          </w:tcPr>
          <w:p w14:paraId="6C72DD58" w14:textId="77777777" w:rsidR="00957200" w:rsidRPr="002108EC" w:rsidRDefault="00957200" w:rsidP="00CA081A">
            <w:pPr>
              <w:pStyle w:val="Firstline"/>
              <w:jc w:val="left"/>
            </w:pPr>
            <w:r w:rsidRPr="002108EC">
              <w:t xml:space="preserve">Sato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2018</w:t>
            </w:r>
            <w:r w:rsidRPr="002108EC">
              <w:rPr>
                <w:vertAlign w:val="superscript"/>
              </w:rPr>
              <w:t>1</w:t>
            </w:r>
            <w:r>
              <w:rPr>
                <w:vertAlign w:val="superscript"/>
              </w:rPr>
              <w:t>3</w:t>
            </w:r>
          </w:p>
        </w:tc>
        <w:tc>
          <w:tcPr>
            <w:tcW w:w="758" w:type="dxa"/>
          </w:tcPr>
          <w:p w14:paraId="0DA25A4E" w14:textId="77777777" w:rsidR="00957200" w:rsidRPr="002108EC" w:rsidRDefault="00957200" w:rsidP="00CA081A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11</w:t>
            </w:r>
          </w:p>
        </w:tc>
        <w:tc>
          <w:tcPr>
            <w:tcW w:w="1719" w:type="dxa"/>
          </w:tcPr>
          <w:p w14:paraId="286F1404" w14:textId="77777777" w:rsidR="00957200" w:rsidRPr="002108EC" w:rsidRDefault="00957200" w:rsidP="00CA081A">
            <w:pPr>
              <w:pStyle w:val="Firstline"/>
              <w:jc w:val="left"/>
            </w:pPr>
            <w:r w:rsidRPr="002108EC">
              <w:t>Clarithromycin</w:t>
            </w:r>
          </w:p>
        </w:tc>
        <w:tc>
          <w:tcPr>
            <w:tcW w:w="1558" w:type="dxa"/>
          </w:tcPr>
          <w:p w14:paraId="485FA157" w14:textId="77777777" w:rsidR="00957200" w:rsidRPr="002108EC" w:rsidRDefault="00957200" w:rsidP="00CA081A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3165" w:type="dxa"/>
          </w:tcPr>
          <w:p w14:paraId="17BD4FD0" w14:textId="77777777" w:rsidR="00957200" w:rsidRPr="002108EC" w:rsidRDefault="00957200" w:rsidP="00CA081A">
            <w:pPr>
              <w:pStyle w:val="Firstline"/>
              <w:jc w:val="left"/>
            </w:pPr>
            <w:r w:rsidRPr="002108EC">
              <w:t>NS</w:t>
            </w:r>
          </w:p>
        </w:tc>
      </w:tr>
      <w:tr w:rsidR="00957200" w:rsidRPr="002108EC" w14:paraId="20A44FD5" w14:textId="77777777" w:rsidTr="00113C95">
        <w:tc>
          <w:tcPr>
            <w:tcW w:w="2700" w:type="dxa"/>
          </w:tcPr>
          <w:p w14:paraId="57B79CA7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 xml:space="preserve">Milheiro Silva </w:t>
            </w:r>
            <w:r w:rsidRPr="002108EC">
              <w:rPr>
                <w:i/>
              </w:rPr>
              <w:t>et</w:t>
            </w:r>
            <w:r w:rsidRPr="002108EC">
              <w:t xml:space="preserve"> </w:t>
            </w:r>
            <w:r w:rsidRPr="002108EC">
              <w:rPr>
                <w:i/>
              </w:rPr>
              <w:t>al</w:t>
            </w:r>
            <w:r w:rsidRPr="002108EC">
              <w:t>., 2018</w:t>
            </w:r>
            <w:r w:rsidRPr="002108EC">
              <w:rPr>
                <w:vertAlign w:val="superscript"/>
              </w:rPr>
              <w:t>1</w:t>
            </w:r>
            <w:r>
              <w:rPr>
                <w:vertAlign w:val="superscript"/>
              </w:rPr>
              <w:t>4</w:t>
            </w:r>
          </w:p>
        </w:tc>
        <w:tc>
          <w:tcPr>
            <w:tcW w:w="758" w:type="dxa"/>
          </w:tcPr>
          <w:p w14:paraId="3A01A0D0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8</w:t>
            </w:r>
          </w:p>
        </w:tc>
        <w:tc>
          <w:tcPr>
            <w:tcW w:w="1719" w:type="dxa"/>
          </w:tcPr>
          <w:p w14:paraId="6B8325D9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NS</w:t>
            </w:r>
          </w:p>
        </w:tc>
        <w:tc>
          <w:tcPr>
            <w:tcW w:w="1558" w:type="dxa"/>
          </w:tcPr>
          <w:p w14:paraId="214FF151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4 weeks</w:t>
            </w:r>
          </w:p>
        </w:tc>
        <w:tc>
          <w:tcPr>
            <w:tcW w:w="3165" w:type="dxa"/>
          </w:tcPr>
          <w:p w14:paraId="12E97118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Night oxygen required</w:t>
            </w:r>
          </w:p>
        </w:tc>
      </w:tr>
      <w:tr w:rsidR="00957200" w:rsidRPr="002108EC" w14:paraId="6876F4B6" w14:textId="77777777" w:rsidTr="00113C95">
        <w:tc>
          <w:tcPr>
            <w:tcW w:w="2700" w:type="dxa"/>
          </w:tcPr>
          <w:p w14:paraId="5A975500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Current report</w:t>
            </w:r>
          </w:p>
        </w:tc>
        <w:tc>
          <w:tcPr>
            <w:tcW w:w="758" w:type="dxa"/>
          </w:tcPr>
          <w:p w14:paraId="7AA4CACC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</w:p>
        </w:tc>
        <w:tc>
          <w:tcPr>
            <w:tcW w:w="1719" w:type="dxa"/>
          </w:tcPr>
          <w:p w14:paraId="1F04E03C" w14:textId="77777777" w:rsidR="00957200" w:rsidRPr="002108EC" w:rsidRDefault="00957200" w:rsidP="00113C95">
            <w:pPr>
              <w:pStyle w:val="Firstline"/>
              <w:jc w:val="left"/>
            </w:pPr>
          </w:p>
        </w:tc>
        <w:tc>
          <w:tcPr>
            <w:tcW w:w="1558" w:type="dxa"/>
          </w:tcPr>
          <w:p w14:paraId="191B1579" w14:textId="77777777" w:rsidR="00957200" w:rsidRPr="002108EC" w:rsidRDefault="00957200" w:rsidP="00113C95">
            <w:pPr>
              <w:pStyle w:val="Firstline"/>
              <w:jc w:val="left"/>
            </w:pPr>
          </w:p>
        </w:tc>
        <w:tc>
          <w:tcPr>
            <w:tcW w:w="3165" w:type="dxa"/>
          </w:tcPr>
          <w:p w14:paraId="3F1374DC" w14:textId="77777777" w:rsidR="00957200" w:rsidRPr="002108EC" w:rsidRDefault="00957200" w:rsidP="00113C95">
            <w:pPr>
              <w:pStyle w:val="Firstline"/>
              <w:jc w:val="left"/>
            </w:pPr>
          </w:p>
        </w:tc>
      </w:tr>
      <w:tr w:rsidR="00957200" w:rsidRPr="002108EC" w14:paraId="5E4BF620" w14:textId="77777777" w:rsidTr="00113C95">
        <w:tc>
          <w:tcPr>
            <w:tcW w:w="2700" w:type="dxa"/>
          </w:tcPr>
          <w:p w14:paraId="3696CD53" w14:textId="77777777" w:rsidR="00957200" w:rsidRPr="00890220" w:rsidRDefault="00957200" w:rsidP="00113C95">
            <w:pPr>
              <w:tabs>
                <w:tab w:val="clear" w:pos="240"/>
                <w:tab w:val="left" w:pos="142"/>
              </w:tabs>
              <w:jc w:val="left"/>
              <w:rPr>
                <w:color w:val="auto"/>
              </w:rPr>
            </w:pPr>
            <w:r w:rsidRPr="00890220">
              <w:rPr>
                <w:color w:val="auto"/>
              </w:rPr>
              <w:tab/>
              <w:t>Patient 1</w:t>
            </w:r>
          </w:p>
        </w:tc>
        <w:tc>
          <w:tcPr>
            <w:tcW w:w="758" w:type="dxa"/>
          </w:tcPr>
          <w:p w14:paraId="524FAF82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5</w:t>
            </w:r>
          </w:p>
        </w:tc>
        <w:tc>
          <w:tcPr>
            <w:tcW w:w="1719" w:type="dxa"/>
          </w:tcPr>
          <w:p w14:paraId="560CFD92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Infection (ND)</w:t>
            </w:r>
          </w:p>
        </w:tc>
        <w:tc>
          <w:tcPr>
            <w:tcW w:w="1558" w:type="dxa"/>
          </w:tcPr>
          <w:p w14:paraId="4B68A0BB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5 months</w:t>
            </w:r>
          </w:p>
        </w:tc>
        <w:tc>
          <w:tcPr>
            <w:tcW w:w="3165" w:type="dxa"/>
          </w:tcPr>
          <w:p w14:paraId="07EB05D8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Some improvement</w:t>
            </w:r>
          </w:p>
        </w:tc>
      </w:tr>
      <w:tr w:rsidR="00957200" w:rsidRPr="002108EC" w14:paraId="5E1AF96B" w14:textId="77777777" w:rsidTr="00113C95">
        <w:tc>
          <w:tcPr>
            <w:tcW w:w="2700" w:type="dxa"/>
          </w:tcPr>
          <w:p w14:paraId="232E0E7B" w14:textId="77777777" w:rsidR="00957200" w:rsidRPr="002108EC" w:rsidRDefault="00957200" w:rsidP="00113C95">
            <w:pPr>
              <w:tabs>
                <w:tab w:val="clear" w:pos="240"/>
                <w:tab w:val="left" w:pos="142"/>
              </w:tabs>
              <w:jc w:val="left"/>
            </w:pPr>
            <w:r w:rsidRPr="002108EC">
              <w:rPr>
                <w:color w:val="auto"/>
              </w:rPr>
              <w:tab/>
              <w:t>Patient 2</w:t>
            </w:r>
          </w:p>
        </w:tc>
        <w:tc>
          <w:tcPr>
            <w:tcW w:w="758" w:type="dxa"/>
          </w:tcPr>
          <w:p w14:paraId="38EE4AE4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5</w:t>
            </w:r>
          </w:p>
        </w:tc>
        <w:tc>
          <w:tcPr>
            <w:tcW w:w="1719" w:type="dxa"/>
          </w:tcPr>
          <w:p w14:paraId="28BBEE3D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Adenovirus</w:t>
            </w:r>
          </w:p>
        </w:tc>
        <w:tc>
          <w:tcPr>
            <w:tcW w:w="1558" w:type="dxa"/>
          </w:tcPr>
          <w:p w14:paraId="4CAF52BB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6 weeks</w:t>
            </w:r>
          </w:p>
        </w:tc>
        <w:tc>
          <w:tcPr>
            <w:tcW w:w="3165" w:type="dxa"/>
          </w:tcPr>
          <w:p w14:paraId="7D05AF17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Some improvement</w:t>
            </w:r>
          </w:p>
        </w:tc>
      </w:tr>
      <w:tr w:rsidR="00957200" w:rsidRPr="002108EC" w14:paraId="0D8A6D19" w14:textId="77777777" w:rsidTr="00113C95">
        <w:tc>
          <w:tcPr>
            <w:tcW w:w="2700" w:type="dxa"/>
            <w:tcBorders>
              <w:bottom w:val="single" w:sz="4" w:space="0" w:color="auto"/>
            </w:tcBorders>
          </w:tcPr>
          <w:p w14:paraId="4BDF65A5" w14:textId="77777777" w:rsidR="00957200" w:rsidRPr="002108EC" w:rsidRDefault="00957200" w:rsidP="00113C95">
            <w:pPr>
              <w:tabs>
                <w:tab w:val="clear" w:pos="240"/>
                <w:tab w:val="left" w:pos="142"/>
              </w:tabs>
              <w:jc w:val="left"/>
            </w:pPr>
            <w:r w:rsidRPr="002108EC">
              <w:rPr>
                <w:color w:val="auto"/>
              </w:rPr>
              <w:tab/>
              <w:t>Patient 3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544B5ABC" w14:textId="77777777" w:rsidR="00957200" w:rsidRPr="002108EC" w:rsidRDefault="00957200" w:rsidP="00113C95">
            <w:pPr>
              <w:pStyle w:val="Firstline"/>
              <w:tabs>
                <w:tab w:val="decimal" w:pos="284"/>
              </w:tabs>
              <w:jc w:val="left"/>
            </w:pPr>
            <w:r w:rsidRPr="002108EC">
              <w:t>15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14:paraId="69E4B86F" w14:textId="77777777" w:rsidR="00957200" w:rsidRPr="002108EC" w:rsidRDefault="00957200" w:rsidP="00113C95">
            <w:pPr>
              <w:pStyle w:val="Firstline"/>
              <w:jc w:val="left"/>
            </w:pPr>
            <w:r w:rsidRPr="007F01E1">
              <w:rPr>
                <w:rFonts w:eastAsia="MS Mincho" w:cs="Calibri"/>
                <w:bCs/>
                <w:i/>
              </w:rPr>
              <w:t>Mycoplasma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68467E0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4 weeks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20919EEB" w14:textId="77777777" w:rsidR="00957200" w:rsidRPr="002108EC" w:rsidRDefault="00957200" w:rsidP="00113C95">
            <w:pPr>
              <w:pStyle w:val="Firstline"/>
              <w:jc w:val="left"/>
            </w:pPr>
            <w:r w:rsidRPr="002108EC">
              <w:t>Minimal improvement</w:t>
            </w:r>
          </w:p>
        </w:tc>
      </w:tr>
    </w:tbl>
    <w:p w14:paraId="128815C0" w14:textId="77777777" w:rsidR="00957200" w:rsidRPr="00C2513E" w:rsidRDefault="00957200" w:rsidP="002108EC">
      <w:pPr>
        <w:pStyle w:val="Firstline"/>
      </w:pPr>
      <w:r>
        <w:t xml:space="preserve">BO, bronchiolitis obliterans; </w:t>
      </w:r>
      <w:r w:rsidRPr="002108EC">
        <w:t>ND, not determined, NS, not specified; TB, tuberculosis.</w:t>
      </w:r>
    </w:p>
    <w:p w14:paraId="09B72D09" w14:textId="77777777" w:rsidR="00957200" w:rsidRPr="00AE7C03" w:rsidRDefault="00957200" w:rsidP="002108EC">
      <w:pPr>
        <w:pStyle w:val="Firstline"/>
      </w:pPr>
    </w:p>
    <w:p w14:paraId="53477448" w14:textId="77777777" w:rsidR="00957200" w:rsidRPr="00C2513E" w:rsidRDefault="00957200" w:rsidP="002108EC">
      <w:pPr>
        <w:pStyle w:val="Firstline"/>
      </w:pPr>
    </w:p>
    <w:sectPr w:rsidR="00957200" w:rsidRPr="00C2513E" w:rsidSect="00A860E7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DEB1A1" w16cid:durableId="20B26B81"/>
  <w16cid:commentId w16cid:paraId="0E5137BF" w16cid:durableId="20B26B93"/>
  <w16cid:commentId w16cid:paraId="5CD44E16" w16cid:durableId="20B26B82"/>
  <w16cid:commentId w16cid:paraId="57C48891" w16cid:durableId="20B26BC2"/>
  <w16cid:commentId w16cid:paraId="29B81611" w16cid:durableId="20B26B83"/>
  <w16cid:commentId w16cid:paraId="16335987" w16cid:durableId="20B26C08"/>
  <w16cid:commentId w16cid:paraId="4AFE513B" w16cid:durableId="20B26B84"/>
  <w16cid:commentId w16cid:paraId="197F1F53" w16cid:durableId="20B26BD4"/>
  <w16cid:commentId w16cid:paraId="3CE1734B" w16cid:durableId="20B26B85"/>
  <w16cid:commentId w16cid:paraId="3010CA4E" w16cid:durableId="20B26C0F"/>
  <w16cid:commentId w16cid:paraId="0F2DE5CF" w16cid:durableId="20B26B86"/>
  <w16cid:commentId w16cid:paraId="6ED5F702" w16cid:durableId="20B26C1D"/>
  <w16cid:commentId w16cid:paraId="21720C80" w16cid:durableId="20B26B87"/>
  <w16cid:commentId w16cid:paraId="2F565F3F" w16cid:durableId="20B26C22"/>
  <w16cid:commentId w16cid:paraId="1F90B813" w16cid:durableId="20B26C5C"/>
  <w16cid:commentId w16cid:paraId="0DF26F9F" w16cid:durableId="20B26B88"/>
  <w16cid:commentId w16cid:paraId="28B0DB83" w16cid:durableId="20B26C70"/>
  <w16cid:commentId w16cid:paraId="23E205A3" w16cid:durableId="20B26B89"/>
  <w16cid:commentId w16cid:paraId="30FEF7E9" w16cid:durableId="20B26CDD"/>
  <w16cid:commentId w16cid:paraId="40797A3D" w16cid:durableId="20B26D30"/>
  <w16cid:commentId w16cid:paraId="0F5352C6" w16cid:durableId="20B26B8A"/>
  <w16cid:commentId w16cid:paraId="0A9B3CE4" w16cid:durableId="20B26D50"/>
  <w16cid:commentId w16cid:paraId="007BAAD5" w16cid:durableId="20B26B8B"/>
  <w16cid:commentId w16cid:paraId="2355631B" w16cid:durableId="20B26E21"/>
  <w16cid:commentId w16cid:paraId="1DC7BF5B" w16cid:durableId="20B26B8C"/>
  <w16cid:commentId w16cid:paraId="1304BC0C" w16cid:durableId="20B26E32"/>
  <w16cid:commentId w16cid:paraId="37AEDA1C" w16cid:durableId="20B26E78"/>
  <w16cid:commentId w16cid:paraId="49F239C7" w16cid:durableId="20B26E96"/>
  <w16cid:commentId w16cid:paraId="6C9F621B" w16cid:durableId="20B26B8D"/>
  <w16cid:commentId w16cid:paraId="7BD3827C" w16cid:durableId="20B37161"/>
  <w16cid:commentId w16cid:paraId="39838558" w16cid:durableId="20B26B8E"/>
  <w16cid:commentId w16cid:paraId="25CF26DE" w16cid:durableId="20B3721A"/>
  <w16cid:commentId w16cid:paraId="059F4B3A" w16cid:durableId="20B26B8F"/>
  <w16cid:commentId w16cid:paraId="7E531A59" w16cid:durableId="20B37260"/>
  <w16cid:commentId w16cid:paraId="3ECB869A" w16cid:durableId="20B37192"/>
  <w16cid:commentId w16cid:paraId="43A12260" w16cid:durableId="20B3719C"/>
  <w16cid:commentId w16cid:paraId="4B15A3C5" w16cid:durableId="20B26B90"/>
  <w16cid:commentId w16cid:paraId="11CF4E7D" w16cid:durableId="20B377E8"/>
  <w16cid:commentId w16cid:paraId="1838A325" w16cid:durableId="20B26B91"/>
  <w16cid:commentId w16cid:paraId="199B9C1E" w16cid:durableId="20B377F3"/>
  <w16cid:commentId w16cid:paraId="4FD78F78" w16cid:durableId="20B26B92"/>
  <w16cid:commentId w16cid:paraId="272DBFFE" w16cid:durableId="20B377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E41A" w14:textId="77777777" w:rsidR="00953703" w:rsidRDefault="00953703" w:rsidP="00F41043">
      <w:r>
        <w:separator/>
      </w:r>
    </w:p>
  </w:endnote>
  <w:endnote w:type="continuationSeparator" w:id="0">
    <w:p w14:paraId="26A89C51" w14:textId="77777777" w:rsidR="00953703" w:rsidRDefault="00953703" w:rsidP="00F4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hotina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8F466" w14:textId="77777777" w:rsidR="00957200" w:rsidRDefault="00957200" w:rsidP="007E3C3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E4E3AB" w14:textId="77777777" w:rsidR="00957200" w:rsidRDefault="00957200" w:rsidP="00F41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59DB1" w14:textId="77777777" w:rsidR="00957200" w:rsidRDefault="00957200" w:rsidP="00F410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A214" w14:textId="77777777" w:rsidR="00953703" w:rsidRDefault="00953703" w:rsidP="00F41043">
      <w:r>
        <w:separator/>
      </w:r>
    </w:p>
  </w:footnote>
  <w:footnote w:type="continuationSeparator" w:id="0">
    <w:p w14:paraId="049F1845" w14:textId="77777777" w:rsidR="00953703" w:rsidRDefault="00953703" w:rsidP="00F4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8C8F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409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B4AC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DEAB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BCA92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C9F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8E120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659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023A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547A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53788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E554BDD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242B4E0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753D0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0705162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23346F"/>
    <w:multiLevelType w:val="hybridMultilevel"/>
    <w:tmpl w:val="E4E850CC"/>
    <w:lvl w:ilvl="0" w:tplc="9184E45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1667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1"/>
  </w:num>
  <w:num w:numId="24">
    <w:abstractNumId w:val="15"/>
  </w:num>
  <w:num w:numId="25">
    <w:abstractNumId w:val="10"/>
  </w:num>
  <w:num w:numId="26">
    <w:abstractNumId w:val="12"/>
  </w:num>
  <w:num w:numId="2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43"/>
    <w:rsid w:val="00031A06"/>
    <w:rsid w:val="000E696F"/>
    <w:rsid w:val="00113BA8"/>
    <w:rsid w:val="00113C95"/>
    <w:rsid w:val="001B6F0E"/>
    <w:rsid w:val="002108EC"/>
    <w:rsid w:val="00233080"/>
    <w:rsid w:val="00237B6E"/>
    <w:rsid w:val="00255089"/>
    <w:rsid w:val="00266BC8"/>
    <w:rsid w:val="00295F1F"/>
    <w:rsid w:val="003640FC"/>
    <w:rsid w:val="00364BE8"/>
    <w:rsid w:val="00414D82"/>
    <w:rsid w:val="004F6812"/>
    <w:rsid w:val="0058276C"/>
    <w:rsid w:val="005B1565"/>
    <w:rsid w:val="005E1241"/>
    <w:rsid w:val="0065298F"/>
    <w:rsid w:val="006C441E"/>
    <w:rsid w:val="006E6F47"/>
    <w:rsid w:val="006F6926"/>
    <w:rsid w:val="00762E16"/>
    <w:rsid w:val="00794A7F"/>
    <w:rsid w:val="00797C04"/>
    <w:rsid w:val="007A3F35"/>
    <w:rsid w:val="007E3C34"/>
    <w:rsid w:val="007E5EFA"/>
    <w:rsid w:val="007F01E1"/>
    <w:rsid w:val="0080480E"/>
    <w:rsid w:val="0081372A"/>
    <w:rsid w:val="00835046"/>
    <w:rsid w:val="00874D28"/>
    <w:rsid w:val="00890220"/>
    <w:rsid w:val="008971B8"/>
    <w:rsid w:val="008D0042"/>
    <w:rsid w:val="009035A0"/>
    <w:rsid w:val="00907C44"/>
    <w:rsid w:val="0091225D"/>
    <w:rsid w:val="00926198"/>
    <w:rsid w:val="00926248"/>
    <w:rsid w:val="00940AD2"/>
    <w:rsid w:val="00945CAD"/>
    <w:rsid w:val="00953703"/>
    <w:rsid w:val="00957200"/>
    <w:rsid w:val="00973506"/>
    <w:rsid w:val="0098434B"/>
    <w:rsid w:val="009877C0"/>
    <w:rsid w:val="009A3F16"/>
    <w:rsid w:val="009B29BF"/>
    <w:rsid w:val="009F0C2E"/>
    <w:rsid w:val="009F7B15"/>
    <w:rsid w:val="00A27F3E"/>
    <w:rsid w:val="00A31315"/>
    <w:rsid w:val="00A466E8"/>
    <w:rsid w:val="00A50706"/>
    <w:rsid w:val="00A629E4"/>
    <w:rsid w:val="00A65311"/>
    <w:rsid w:val="00A81996"/>
    <w:rsid w:val="00A860E7"/>
    <w:rsid w:val="00A90383"/>
    <w:rsid w:val="00AA468A"/>
    <w:rsid w:val="00AD37D4"/>
    <w:rsid w:val="00AE70B0"/>
    <w:rsid w:val="00AE7C03"/>
    <w:rsid w:val="00AF25E7"/>
    <w:rsid w:val="00B00891"/>
    <w:rsid w:val="00B25B75"/>
    <w:rsid w:val="00B61C05"/>
    <w:rsid w:val="00BA3A3C"/>
    <w:rsid w:val="00C05E87"/>
    <w:rsid w:val="00C2513E"/>
    <w:rsid w:val="00C5520E"/>
    <w:rsid w:val="00C55E39"/>
    <w:rsid w:val="00C85345"/>
    <w:rsid w:val="00CA081A"/>
    <w:rsid w:val="00CA2B00"/>
    <w:rsid w:val="00CE362A"/>
    <w:rsid w:val="00D03B1D"/>
    <w:rsid w:val="00D15B8D"/>
    <w:rsid w:val="00D21290"/>
    <w:rsid w:val="00D47E77"/>
    <w:rsid w:val="00D560C5"/>
    <w:rsid w:val="00D73992"/>
    <w:rsid w:val="00DA53AB"/>
    <w:rsid w:val="00DA7DDD"/>
    <w:rsid w:val="00DC2B9E"/>
    <w:rsid w:val="00DD795E"/>
    <w:rsid w:val="00E037BE"/>
    <w:rsid w:val="00E57F0F"/>
    <w:rsid w:val="00E961C3"/>
    <w:rsid w:val="00EA0DD8"/>
    <w:rsid w:val="00F109E7"/>
    <w:rsid w:val="00F254F8"/>
    <w:rsid w:val="00F30FCA"/>
    <w:rsid w:val="00F32EE6"/>
    <w:rsid w:val="00F345D6"/>
    <w:rsid w:val="00F41043"/>
    <w:rsid w:val="00F46EC1"/>
    <w:rsid w:val="00F76B5F"/>
    <w:rsid w:val="00F809D7"/>
    <w:rsid w:val="00F9534F"/>
    <w:rsid w:val="00FC3041"/>
    <w:rsid w:val="00FC5C6D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BEA7D"/>
  <w14:defaultImageDpi w14:val="0"/>
  <w15:docId w15:val="{EC508129-82F6-8743-A4A9-2EEF0341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AA468A"/>
    <w:pPr>
      <w:widowControl w:val="0"/>
      <w:tabs>
        <w:tab w:val="left" w:pos="240"/>
      </w:tabs>
      <w:spacing w:line="240" w:lineRule="exact"/>
      <w:jc w:val="both"/>
    </w:pPr>
    <w:rPr>
      <w:rFonts w:ascii="Arial" w:hAnsi="Arial"/>
      <w:color w:val="000000"/>
      <w:sz w:val="19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locked/>
    <w:rsid w:val="00AA468A"/>
    <w:pPr>
      <w:keepNext/>
      <w:widowControl/>
      <w:tabs>
        <w:tab w:val="clear" w:pos="240"/>
      </w:tabs>
      <w:spacing w:before="240" w:after="60" w:line="240" w:lineRule="auto"/>
      <w:jc w:val="left"/>
      <w:outlineLvl w:val="0"/>
    </w:pPr>
    <w:rPr>
      <w:rFonts w:eastAsia="SimSun" w:cs="Arial"/>
      <w:b/>
      <w:bCs/>
      <w:color w:val="auto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locked/>
    <w:rsid w:val="00AA468A"/>
    <w:pPr>
      <w:keepNext/>
      <w:widowControl/>
      <w:tabs>
        <w:tab w:val="clear" w:pos="240"/>
      </w:tabs>
      <w:spacing w:before="240" w:after="60" w:line="276" w:lineRule="auto"/>
      <w:jc w:val="left"/>
      <w:outlineLvl w:val="1"/>
    </w:pPr>
    <w:rPr>
      <w:rFonts w:eastAsia="SimSun" w:cs="Arial"/>
      <w:b/>
      <w:bCs/>
      <w:iCs/>
      <w:color w:val="auto"/>
      <w:sz w:val="20"/>
      <w:szCs w:val="28"/>
      <w:lang w:eastAsia="zh-CN"/>
    </w:rPr>
  </w:style>
  <w:style w:type="paragraph" w:styleId="Heading3">
    <w:name w:val="heading 3"/>
    <w:basedOn w:val="Heading2"/>
    <w:next w:val="Firstline"/>
    <w:link w:val="Heading3Char"/>
    <w:autoRedefine/>
    <w:uiPriority w:val="99"/>
    <w:qFormat/>
    <w:locked/>
    <w:rsid w:val="00AA468A"/>
    <w:pPr>
      <w:outlineLvl w:val="2"/>
    </w:pPr>
    <w:rPr>
      <w:b w:val="0"/>
      <w:i/>
    </w:rPr>
  </w:style>
  <w:style w:type="paragraph" w:styleId="Heading4">
    <w:name w:val="heading 4"/>
    <w:basedOn w:val="Heading3"/>
    <w:next w:val="Firstline"/>
    <w:link w:val="Heading4Char"/>
    <w:autoRedefine/>
    <w:uiPriority w:val="99"/>
    <w:qFormat/>
    <w:rsid w:val="00AA468A"/>
    <w:pPr>
      <w:tabs>
        <w:tab w:val="left" w:pos="240"/>
      </w:tabs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 w:val="0"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A468A"/>
    <w:pPr>
      <w:keepNext/>
      <w:overflowPunct w:val="0"/>
      <w:autoSpaceDE w:val="0"/>
      <w:autoSpaceDN w:val="0"/>
      <w:adjustRightInd w:val="0"/>
      <w:spacing w:before="240" w:line="480" w:lineRule="atLeast"/>
      <w:ind w:left="-360" w:right="-245"/>
      <w:textAlignment w:val="baseline"/>
      <w:outlineLvl w:val="4"/>
    </w:pPr>
    <w:rPr>
      <w:b/>
      <w:i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A468A"/>
    <w:pPr>
      <w:keepNext/>
      <w:overflowPunct w:val="0"/>
      <w:autoSpaceDE w:val="0"/>
      <w:autoSpaceDN w:val="0"/>
      <w:adjustRightInd w:val="0"/>
      <w:spacing w:line="480" w:lineRule="atLeast"/>
      <w:ind w:left="-425" w:firstLine="280"/>
      <w:textAlignment w:val="baseline"/>
      <w:outlineLvl w:val="5"/>
    </w:pPr>
    <w:rPr>
      <w:b/>
      <w:i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A468A"/>
    <w:pPr>
      <w:keepNext/>
      <w:overflowPunct w:val="0"/>
      <w:autoSpaceDE w:val="0"/>
      <w:autoSpaceDN w:val="0"/>
      <w:adjustRightInd w:val="0"/>
      <w:spacing w:before="240" w:line="480" w:lineRule="atLeast"/>
      <w:ind w:left="-425" w:right="-245" w:firstLine="1"/>
      <w:textAlignment w:val="baseline"/>
      <w:outlineLvl w:val="6"/>
    </w:pPr>
    <w:rPr>
      <w:b/>
      <w:i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A468A"/>
    <w:pPr>
      <w:keepNext/>
      <w:overflowPunct w:val="0"/>
      <w:autoSpaceDE w:val="0"/>
      <w:autoSpaceDN w:val="0"/>
      <w:adjustRightInd w:val="0"/>
      <w:spacing w:before="240"/>
      <w:ind w:left="-360" w:right="-54" w:firstLine="280"/>
      <w:textAlignment w:val="baseline"/>
      <w:outlineLvl w:val="7"/>
    </w:pPr>
    <w:rPr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AA468A"/>
    <w:pPr>
      <w:keepNext/>
      <w:overflowPunct w:val="0"/>
      <w:autoSpaceDE w:val="0"/>
      <w:autoSpaceDN w:val="0"/>
      <w:adjustRightInd w:val="0"/>
      <w:spacing w:before="240"/>
      <w:ind w:left="-425" w:right="-54" w:firstLine="280"/>
      <w:textAlignment w:val="baseline"/>
      <w:outlineLvl w:val="8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eastAsia="SimSun" w:hAnsi="Arial"/>
      <w:b/>
      <w:kern w:val="32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Arial" w:eastAsia="SimSun" w:hAnsi="Arial"/>
      <w:b/>
      <w:sz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Arial" w:eastAsia="SimSun" w:hAnsi="Arial"/>
      <w:i/>
      <w:sz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1043"/>
    <w:rPr>
      <w:rFonts w:ascii="Arial" w:eastAsia="SimSun" w:hAnsi="Arial"/>
      <w:b/>
      <w:sz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Arial" w:hAnsi="Arial"/>
      <w:b/>
      <w:i/>
      <w:color w:val="000000"/>
      <w:sz w:val="19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Arial" w:hAnsi="Arial"/>
      <w:b/>
      <w:i/>
      <w:color w:val="000000"/>
      <w:sz w:val="28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Arial" w:hAnsi="Arial"/>
      <w:b/>
      <w:i/>
      <w:color w:val="000000"/>
      <w:sz w:val="19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Arial" w:hAnsi="Arial"/>
      <w:color w:val="000000"/>
      <w:sz w:val="28"/>
      <w:lang w:val="en-US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Arial" w:hAnsi="Arial"/>
      <w:color w:val="000000"/>
      <w:sz w:val="28"/>
      <w:lang w:val="en-US" w:eastAsia="en-GB"/>
    </w:rPr>
  </w:style>
  <w:style w:type="character" w:customStyle="1" w:styleId="InternetLink">
    <w:name w:val="Internet Link"/>
    <w:uiPriority w:val="99"/>
    <w:rsid w:val="00F41043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41043"/>
  </w:style>
  <w:style w:type="character" w:customStyle="1" w:styleId="articletitle">
    <w:name w:val="articletitle"/>
    <w:uiPriority w:val="99"/>
    <w:rsid w:val="00F41043"/>
  </w:style>
  <w:style w:type="character" w:customStyle="1" w:styleId="pubyear">
    <w:name w:val="pubyear"/>
    <w:uiPriority w:val="99"/>
    <w:rsid w:val="00F41043"/>
  </w:style>
  <w:style w:type="character" w:customStyle="1" w:styleId="vol">
    <w:name w:val="vol"/>
    <w:uiPriority w:val="99"/>
    <w:rsid w:val="00F41043"/>
  </w:style>
  <w:style w:type="paragraph" w:styleId="ListParagraph">
    <w:name w:val="List Paragraph"/>
    <w:basedOn w:val="Normal"/>
    <w:uiPriority w:val="99"/>
    <w:qFormat/>
    <w:rsid w:val="00F41043"/>
    <w:pPr>
      <w:ind w:left="720"/>
      <w:contextualSpacing/>
    </w:pPr>
  </w:style>
  <w:style w:type="paragraph" w:customStyle="1" w:styleId="paragraph">
    <w:name w:val="paragraph"/>
    <w:basedOn w:val="Normal"/>
    <w:uiPriority w:val="99"/>
    <w:rsid w:val="00F41043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rsid w:val="00AA468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AA46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043"/>
    <w:rPr>
      <w:rFonts w:ascii="Arial" w:hAnsi="Arial"/>
      <w:color w:val="000000"/>
      <w:sz w:val="19"/>
      <w:lang w:val="en-US" w:eastAsia="en-GB"/>
    </w:rPr>
  </w:style>
  <w:style w:type="character" w:styleId="PageNumber">
    <w:name w:val="page number"/>
    <w:basedOn w:val="DefaultParagraphFont"/>
    <w:uiPriority w:val="99"/>
    <w:semiHidden/>
    <w:rsid w:val="00AA468A"/>
    <w:rPr>
      <w:rFonts w:cs="Times New Roman"/>
    </w:rPr>
  </w:style>
  <w:style w:type="table" w:styleId="TableGrid">
    <w:name w:val="Table Grid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AA46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/>
      <w:color w:val="000000"/>
      <w:sz w:val="19"/>
      <w:lang w:val="en-US" w:eastAsia="en-GB"/>
    </w:rPr>
  </w:style>
  <w:style w:type="paragraph" w:styleId="Title">
    <w:name w:val="Title"/>
    <w:basedOn w:val="Normal"/>
    <w:link w:val="TitleChar"/>
    <w:autoRedefine/>
    <w:uiPriority w:val="99"/>
    <w:qFormat/>
    <w:locked/>
    <w:rsid w:val="00AA468A"/>
    <w:pPr>
      <w:widowControl/>
      <w:tabs>
        <w:tab w:val="clear" w:pos="240"/>
      </w:tabs>
      <w:spacing w:before="240" w:after="60" w:line="240" w:lineRule="auto"/>
      <w:jc w:val="left"/>
      <w:outlineLvl w:val="0"/>
    </w:pPr>
    <w:rPr>
      <w:rFonts w:cs="Arial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Arial" w:hAnsi="Arial"/>
      <w:b/>
      <w:kern w:val="28"/>
      <w:sz w:val="32"/>
      <w:lang w:val="en-GB" w:eastAsia="en-GB"/>
    </w:rPr>
  </w:style>
  <w:style w:type="paragraph" w:customStyle="1" w:styleId="Authors">
    <w:name w:val="Authors"/>
    <w:basedOn w:val="Firstline"/>
    <w:autoRedefine/>
    <w:uiPriority w:val="99"/>
    <w:rsid w:val="00AA468A"/>
    <w:pPr>
      <w:spacing w:before="120" w:line="300" w:lineRule="exact"/>
      <w:jc w:val="left"/>
    </w:pPr>
    <w:rPr>
      <w:b/>
    </w:rPr>
  </w:style>
  <w:style w:type="paragraph" w:customStyle="1" w:styleId="Firstline">
    <w:name w:val="First line"/>
    <w:basedOn w:val="BodyText"/>
    <w:next w:val="BodyText"/>
    <w:autoRedefine/>
    <w:uiPriority w:val="99"/>
    <w:rsid w:val="00AA468A"/>
    <w:pPr>
      <w:ind w:firstLine="0"/>
    </w:pPr>
  </w:style>
  <w:style w:type="paragraph" w:styleId="BodyText">
    <w:name w:val="Body Text"/>
    <w:basedOn w:val="Normal"/>
    <w:link w:val="BodyTextChar1"/>
    <w:autoRedefine/>
    <w:uiPriority w:val="99"/>
    <w:rsid w:val="00AA468A"/>
    <w:pPr>
      <w:ind w:firstLine="238"/>
    </w:pPr>
  </w:style>
  <w:style w:type="character" w:customStyle="1" w:styleId="BodyTextChar">
    <w:name w:val="Body Text Char"/>
    <w:basedOn w:val="DefaultParagraphFont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List">
    <w:name w:val="List"/>
    <w:basedOn w:val="Firstline"/>
    <w:autoRedefine/>
    <w:uiPriority w:val="99"/>
    <w:rsid w:val="00AA468A"/>
    <w:pPr>
      <w:numPr>
        <w:numId w:val="24"/>
      </w:numPr>
      <w:tabs>
        <w:tab w:val="clear" w:pos="24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customStyle="1" w:styleId="Figlegend">
    <w:name w:val="Fig.legend"/>
    <w:basedOn w:val="Normal"/>
    <w:autoRedefine/>
    <w:uiPriority w:val="99"/>
    <w:semiHidden/>
    <w:rsid w:val="00AA468A"/>
    <w:pPr>
      <w:spacing w:line="210" w:lineRule="atLeast"/>
    </w:pPr>
    <w:rPr>
      <w:sz w:val="20"/>
    </w:rPr>
  </w:style>
  <w:style w:type="paragraph" w:customStyle="1" w:styleId="Summary">
    <w:name w:val="Summary"/>
    <w:basedOn w:val="Firstline"/>
    <w:next w:val="Firstline"/>
    <w:autoRedefine/>
    <w:uiPriority w:val="99"/>
    <w:rsid w:val="00AA468A"/>
    <w:pPr>
      <w:tabs>
        <w:tab w:val="clear" w:pos="240"/>
      </w:tabs>
    </w:pPr>
  </w:style>
  <w:style w:type="paragraph" w:customStyle="1" w:styleId="Keywords">
    <w:name w:val="Keywords"/>
    <w:basedOn w:val="Firstline"/>
    <w:uiPriority w:val="99"/>
    <w:semiHidden/>
    <w:rsid w:val="00AA468A"/>
    <w:pPr>
      <w:spacing w:before="120" w:line="260" w:lineRule="exact"/>
    </w:pPr>
    <w:rPr>
      <w:color w:val="800080"/>
    </w:rPr>
  </w:style>
  <w:style w:type="paragraph" w:customStyle="1" w:styleId="References">
    <w:name w:val="References"/>
    <w:basedOn w:val="BodyText"/>
    <w:autoRedefine/>
    <w:uiPriority w:val="99"/>
    <w:rsid w:val="00AA468A"/>
    <w:pPr>
      <w:tabs>
        <w:tab w:val="clear" w:pos="240"/>
      </w:tabs>
      <w:ind w:left="425" w:hanging="425"/>
    </w:pPr>
    <w:rPr>
      <w:rFonts w:eastAsia="MS Mincho"/>
    </w:rPr>
  </w:style>
  <w:style w:type="paragraph" w:customStyle="1" w:styleId="Table">
    <w:name w:val="Table"/>
    <w:basedOn w:val="Figlegend"/>
    <w:uiPriority w:val="99"/>
    <w:semiHidden/>
    <w:rsid w:val="00AA468A"/>
    <w:pPr>
      <w:jc w:val="left"/>
    </w:pPr>
    <w:rPr>
      <w:rFonts w:ascii="Frutiger" w:hAnsi="Frutiger"/>
      <w:color w:val="000080"/>
      <w:sz w:val="15"/>
    </w:rPr>
  </w:style>
  <w:style w:type="paragraph" w:customStyle="1" w:styleId="Footnote">
    <w:name w:val="Footnote"/>
    <w:basedOn w:val="Figlegend"/>
    <w:uiPriority w:val="99"/>
    <w:semiHidden/>
    <w:rsid w:val="00AA468A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Photina" w:hAnsi="Photina"/>
      <w:color w:val="000080"/>
    </w:rPr>
  </w:style>
  <w:style w:type="paragraph" w:customStyle="1" w:styleId="Tablelegend">
    <w:name w:val="Table legend"/>
    <w:basedOn w:val="Figlegend"/>
    <w:next w:val="Normal"/>
    <w:autoRedefine/>
    <w:uiPriority w:val="99"/>
    <w:semiHidden/>
    <w:rsid w:val="00AA468A"/>
    <w:pPr>
      <w:jc w:val="left"/>
    </w:pPr>
  </w:style>
  <w:style w:type="paragraph" w:customStyle="1" w:styleId="Equation">
    <w:name w:val="Equation"/>
    <w:basedOn w:val="Firstline"/>
    <w:next w:val="Firstline"/>
    <w:uiPriority w:val="99"/>
    <w:semiHidden/>
    <w:rsid w:val="00AA468A"/>
    <w:pPr>
      <w:tabs>
        <w:tab w:val="right" w:pos="4680"/>
      </w:tabs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ascii="Photina" w:hAnsi="Photina"/>
    </w:rPr>
  </w:style>
  <w:style w:type="paragraph" w:customStyle="1" w:styleId="Tablehalf">
    <w:name w:val="Table half"/>
    <w:basedOn w:val="Table"/>
    <w:uiPriority w:val="99"/>
    <w:semiHidden/>
    <w:rsid w:val="00AA468A"/>
    <w:pPr>
      <w:spacing w:after="110"/>
    </w:pPr>
  </w:style>
  <w:style w:type="paragraph" w:customStyle="1" w:styleId="Address">
    <w:name w:val="Address"/>
    <w:basedOn w:val="Firstline"/>
    <w:next w:val="Normal"/>
    <w:autoRedefine/>
    <w:uiPriority w:val="99"/>
    <w:rsid w:val="00AA468A"/>
    <w:pPr>
      <w:spacing w:before="240" w:after="480"/>
      <w:jc w:val="left"/>
    </w:pPr>
    <w:rPr>
      <w:rFonts w:cs="Arial"/>
      <w:i/>
      <w:color w:val="auto"/>
      <w:sz w:val="16"/>
      <w:szCs w:val="24"/>
    </w:rPr>
  </w:style>
  <w:style w:type="paragraph" w:customStyle="1" w:styleId="Bullets">
    <w:name w:val="Bullets"/>
    <w:basedOn w:val="Firstline"/>
    <w:uiPriority w:val="99"/>
    <w:semiHidden/>
    <w:rsid w:val="00AA468A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Photina" w:hAnsi="Photina"/>
    </w:rPr>
  </w:style>
  <w:style w:type="paragraph" w:customStyle="1" w:styleId="Runninghead">
    <w:name w:val="Running head"/>
    <w:basedOn w:val="Firstline"/>
    <w:uiPriority w:val="99"/>
    <w:semiHidden/>
    <w:rsid w:val="00AA468A"/>
    <w:pPr>
      <w:jc w:val="left"/>
    </w:pPr>
    <w:rPr>
      <w:i/>
      <w:color w:val="FF00FF"/>
    </w:rPr>
  </w:style>
  <w:style w:type="paragraph" w:customStyle="1" w:styleId="Articletype">
    <w:name w:val="Article type"/>
    <w:basedOn w:val="Normal"/>
    <w:next w:val="Normal"/>
    <w:uiPriority w:val="99"/>
    <w:semiHidden/>
    <w:rsid w:val="00AA468A"/>
    <w:pPr>
      <w:spacing w:after="240"/>
    </w:pPr>
    <w:rPr>
      <w:b/>
      <w:caps/>
      <w:sz w:val="18"/>
    </w:rPr>
  </w:style>
  <w:style w:type="paragraph" w:customStyle="1" w:styleId="Tablefootnote">
    <w:name w:val="Table footnote"/>
    <w:basedOn w:val="Table"/>
    <w:uiPriority w:val="99"/>
    <w:semiHidden/>
    <w:rsid w:val="00AA468A"/>
    <w:rPr>
      <w:color w:val="800080"/>
    </w:rPr>
  </w:style>
  <w:style w:type="paragraph" w:customStyle="1" w:styleId="Received">
    <w:name w:val="Received"/>
    <w:basedOn w:val="Firstline"/>
    <w:uiPriority w:val="99"/>
    <w:semiHidden/>
    <w:rsid w:val="00AA468A"/>
    <w:pPr>
      <w:spacing w:after="240"/>
    </w:pPr>
    <w:rPr>
      <w:rFonts w:ascii="Frutiger" w:hAnsi="Frutiger"/>
      <w:i/>
      <w:color w:val="808000"/>
      <w:sz w:val="14"/>
    </w:rPr>
  </w:style>
  <w:style w:type="paragraph" w:customStyle="1" w:styleId="Correspondence">
    <w:name w:val="Correspondence"/>
    <w:basedOn w:val="Normal"/>
    <w:next w:val="Normal"/>
    <w:autoRedefine/>
    <w:uiPriority w:val="99"/>
    <w:semiHidden/>
    <w:rsid w:val="00AA468A"/>
    <w:pPr>
      <w:spacing w:after="100" w:line="210" w:lineRule="exact"/>
    </w:pPr>
    <w:rPr>
      <w:color w:val="000080"/>
      <w:sz w:val="16"/>
    </w:rPr>
  </w:style>
  <w:style w:type="paragraph" w:styleId="Quote">
    <w:name w:val="Quote"/>
    <w:basedOn w:val="Firstline"/>
    <w:next w:val="Firstline"/>
    <w:link w:val="QuoteChar"/>
    <w:uiPriority w:val="99"/>
    <w:qFormat/>
    <w:rsid w:val="00AA468A"/>
    <w:pPr>
      <w:ind w:left="480"/>
      <w:jc w:val="left"/>
    </w:pPr>
  </w:style>
  <w:style w:type="character" w:customStyle="1" w:styleId="QuoteChar">
    <w:name w:val="Quote Char"/>
    <w:basedOn w:val="DefaultParagraphFont"/>
    <w:link w:val="Quote"/>
    <w:uiPriority w:val="99"/>
    <w:locked/>
    <w:rPr>
      <w:rFonts w:ascii="Arial" w:hAnsi="Arial"/>
      <w:color w:val="000000"/>
      <w:sz w:val="19"/>
      <w:lang w:val="en-GB" w:eastAsia="en-GB"/>
    </w:rPr>
  </w:style>
  <w:style w:type="paragraph" w:customStyle="1" w:styleId="SGML">
    <w:name w:val="SGML"/>
    <w:basedOn w:val="Firstline"/>
    <w:uiPriority w:val="99"/>
    <w:semiHidden/>
    <w:rsid w:val="00AA468A"/>
  </w:style>
  <w:style w:type="character" w:customStyle="1" w:styleId="Headingrunon">
    <w:name w:val="Heading run on"/>
    <w:uiPriority w:val="99"/>
    <w:rsid w:val="00AA468A"/>
    <w:rPr>
      <w:rFonts w:ascii="Arial" w:hAnsi="Arial"/>
      <w:i/>
      <w:color w:val="auto"/>
      <w:sz w:val="20"/>
    </w:rPr>
  </w:style>
  <w:style w:type="paragraph" w:customStyle="1" w:styleId="TOCTitle">
    <w:name w:val="TOC Title"/>
    <w:basedOn w:val="Firstline"/>
    <w:next w:val="Normal"/>
    <w:uiPriority w:val="99"/>
    <w:semiHidden/>
    <w:rsid w:val="00AA468A"/>
    <w:pPr>
      <w:tabs>
        <w:tab w:val="right" w:pos="312"/>
      </w:tabs>
      <w:ind w:left="480" w:hanging="960"/>
      <w:jc w:val="left"/>
    </w:pPr>
  </w:style>
  <w:style w:type="paragraph" w:styleId="TOCHeading">
    <w:name w:val="TOC Heading"/>
    <w:basedOn w:val="Normal"/>
    <w:next w:val="Normal"/>
    <w:uiPriority w:val="99"/>
    <w:qFormat/>
    <w:rsid w:val="00AA468A"/>
    <w:pPr>
      <w:tabs>
        <w:tab w:val="right" w:pos="312"/>
      </w:tabs>
      <w:spacing w:before="360" w:after="120"/>
      <w:ind w:left="480"/>
    </w:pPr>
    <w:rPr>
      <w:b/>
      <w:color w:val="800000"/>
      <w:sz w:val="20"/>
    </w:rPr>
  </w:style>
  <w:style w:type="character" w:customStyle="1" w:styleId="TOCAuthors">
    <w:name w:val="TOC Authors"/>
    <w:uiPriority w:val="99"/>
    <w:semiHidden/>
    <w:rsid w:val="00AA468A"/>
    <w:rPr>
      <w:i/>
      <w:sz w:val="19"/>
    </w:rPr>
  </w:style>
  <w:style w:type="character" w:customStyle="1" w:styleId="TOCAID">
    <w:name w:val="TOC AID"/>
    <w:uiPriority w:val="99"/>
    <w:semiHidden/>
    <w:rsid w:val="00AA468A"/>
    <w:rPr>
      <w:b/>
      <w:vanish/>
    </w:rPr>
  </w:style>
  <w:style w:type="character" w:customStyle="1" w:styleId="TOCPageNumber">
    <w:name w:val="TOC Page Number"/>
    <w:uiPriority w:val="99"/>
    <w:semiHidden/>
    <w:rsid w:val="00AA468A"/>
    <w:rPr>
      <w:color w:val="0000FF"/>
    </w:rPr>
  </w:style>
  <w:style w:type="character" w:customStyle="1" w:styleId="TOCIssueDetails">
    <w:name w:val="TOC Issue Details"/>
    <w:uiPriority w:val="99"/>
    <w:semiHidden/>
    <w:rsid w:val="00AA468A"/>
  </w:style>
  <w:style w:type="character" w:customStyle="1" w:styleId="TOCJournalTitle">
    <w:name w:val="TOC Journal Title"/>
    <w:uiPriority w:val="99"/>
    <w:semiHidden/>
    <w:rsid w:val="00AA468A"/>
  </w:style>
  <w:style w:type="character" w:customStyle="1" w:styleId="FiglegendID">
    <w:name w:val="Fig.legend ID"/>
    <w:uiPriority w:val="99"/>
    <w:semiHidden/>
    <w:rsid w:val="00AA468A"/>
    <w:rPr>
      <w:rFonts w:ascii="Arial" w:hAnsi="Arial"/>
      <w:b/>
      <w:color w:val="auto"/>
      <w:sz w:val="16"/>
    </w:rPr>
  </w:style>
  <w:style w:type="character" w:customStyle="1" w:styleId="TablelegendID">
    <w:name w:val="Table legend ID"/>
    <w:uiPriority w:val="99"/>
    <w:semiHidden/>
    <w:rsid w:val="00AA468A"/>
    <w:rPr>
      <w:rFonts w:ascii="Frutiger" w:hAnsi="Frutiger"/>
      <w:b/>
      <w:color w:val="008000"/>
      <w:sz w:val="15"/>
    </w:rPr>
  </w:style>
  <w:style w:type="paragraph" w:customStyle="1" w:styleId="EndAuthors">
    <w:name w:val="End Authors"/>
    <w:basedOn w:val="Firstline"/>
    <w:uiPriority w:val="99"/>
    <w:semiHidden/>
    <w:rsid w:val="00AA468A"/>
    <w:pPr>
      <w:jc w:val="right"/>
    </w:pPr>
    <w:rPr>
      <w:color w:val="008000"/>
    </w:rPr>
  </w:style>
  <w:style w:type="paragraph" w:customStyle="1" w:styleId="EndAddress">
    <w:name w:val="End Address"/>
    <w:basedOn w:val="Firstline"/>
    <w:uiPriority w:val="99"/>
    <w:semiHidden/>
    <w:rsid w:val="00AA468A"/>
    <w:pPr>
      <w:jc w:val="right"/>
    </w:pPr>
    <w:rPr>
      <w:i/>
      <w:color w:val="0000FF"/>
    </w:rPr>
  </w:style>
  <w:style w:type="paragraph" w:customStyle="1" w:styleId="Smallfirst">
    <w:name w:val="Small first"/>
    <w:basedOn w:val="Firstline"/>
    <w:uiPriority w:val="99"/>
    <w:semiHidden/>
    <w:rsid w:val="00AA468A"/>
    <w:pPr>
      <w:overflowPunct w:val="0"/>
      <w:autoSpaceDE w:val="0"/>
      <w:autoSpaceDN w:val="0"/>
      <w:adjustRightInd w:val="0"/>
      <w:textAlignment w:val="baseline"/>
    </w:pPr>
    <w:rPr>
      <w:rFonts w:ascii="Photina" w:hAnsi="Photina"/>
      <w:sz w:val="17"/>
    </w:rPr>
  </w:style>
  <w:style w:type="character" w:customStyle="1" w:styleId="IndexAuthor">
    <w:name w:val="Index Author"/>
    <w:uiPriority w:val="99"/>
    <w:semiHidden/>
    <w:rsid w:val="00AA468A"/>
    <w:rPr>
      <w:smallCaps/>
    </w:rPr>
  </w:style>
  <w:style w:type="paragraph" w:customStyle="1" w:styleId="Bookdetails">
    <w:name w:val="Book details"/>
    <w:basedOn w:val="Firstline"/>
    <w:uiPriority w:val="99"/>
    <w:semiHidden/>
    <w:rsid w:val="00AA468A"/>
    <w:pPr>
      <w:spacing w:before="480" w:after="240"/>
      <w:jc w:val="left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AA468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color w:val="000000"/>
      <w:sz w:val="16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rsid w:val="00AA468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rsid w:val="00AA468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/>
      <w:color w:val="000000"/>
      <w:sz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AA468A"/>
    <w:rPr>
      <w:rFonts w:cs="Times New Roman"/>
      <w:b/>
      <w:color w:val="auto"/>
      <w:sz w:val="32"/>
    </w:rPr>
  </w:style>
  <w:style w:type="paragraph" w:styleId="CommentText">
    <w:name w:val="annotation text"/>
    <w:basedOn w:val="Normal"/>
    <w:link w:val="CommentTextChar1"/>
    <w:uiPriority w:val="99"/>
    <w:semiHidden/>
    <w:rsid w:val="00AA468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basedOn w:val="DefaultParagraphFont"/>
    <w:uiPriority w:val="99"/>
    <w:semiHidden/>
    <w:rPr>
      <w:rFonts w:ascii="Arial" w:hAnsi="Arial"/>
      <w:color w:val="000000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AA46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468A"/>
    <w:rPr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/>
      <w:b/>
      <w:color w:val="000000"/>
      <w:sz w:val="24"/>
      <w:lang w:val="en-GB" w:eastAsia="en-GB"/>
    </w:rPr>
  </w:style>
  <w:style w:type="paragraph" w:styleId="BlockText">
    <w:name w:val="Block Text"/>
    <w:basedOn w:val="Normal"/>
    <w:uiPriority w:val="99"/>
    <w:semiHidden/>
    <w:rsid w:val="00AA468A"/>
    <w:pPr>
      <w:overflowPunct w:val="0"/>
      <w:autoSpaceDE w:val="0"/>
      <w:autoSpaceDN w:val="0"/>
      <w:adjustRightInd w:val="0"/>
      <w:spacing w:line="480" w:lineRule="atLeast"/>
      <w:ind w:left="-360" w:right="-245"/>
      <w:textAlignment w:val="baseline"/>
    </w:pPr>
    <w:rPr>
      <w:sz w:val="28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A468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A468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AA46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AA46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/>
      <w:color w:val="000000"/>
      <w:sz w:val="16"/>
      <w:lang w:val="en-GB" w:eastAsia="en-GB"/>
    </w:rPr>
  </w:style>
  <w:style w:type="paragraph" w:styleId="Closing">
    <w:name w:val="Closing"/>
    <w:basedOn w:val="Normal"/>
    <w:link w:val="ClosingChar"/>
    <w:uiPriority w:val="99"/>
    <w:semiHidden/>
    <w:rsid w:val="00AA468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Date">
    <w:name w:val="Date"/>
    <w:basedOn w:val="Normal"/>
    <w:next w:val="Normal"/>
    <w:link w:val="DateChar"/>
    <w:uiPriority w:val="99"/>
    <w:semiHidden/>
    <w:rsid w:val="00AA468A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AA468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character" w:styleId="Emphasis">
    <w:name w:val="Emphasis"/>
    <w:basedOn w:val="DefaultParagraphFont"/>
    <w:uiPriority w:val="99"/>
    <w:qFormat/>
    <w:locked/>
    <w:rsid w:val="00AA468A"/>
    <w:rPr>
      <w:rFonts w:cs="Times New Roman"/>
      <w:i/>
    </w:rPr>
  </w:style>
  <w:style w:type="paragraph" w:styleId="EnvelopeAddress">
    <w:name w:val="envelope address"/>
    <w:basedOn w:val="Normal"/>
    <w:uiPriority w:val="99"/>
    <w:semiHidden/>
    <w:rsid w:val="00AA468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AA468A"/>
    <w:rPr>
      <w:rFonts w:cs="Arial"/>
    </w:rPr>
  </w:style>
  <w:style w:type="character" w:styleId="FollowedHyperlink">
    <w:name w:val="FollowedHyperlink"/>
    <w:basedOn w:val="DefaultParagraphFont"/>
    <w:uiPriority w:val="99"/>
    <w:semiHidden/>
    <w:rsid w:val="00AA468A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AA468A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AA468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Arial" w:hAnsi="Arial"/>
      <w:i/>
      <w:color w:val="000000"/>
      <w:sz w:val="19"/>
      <w:lang w:val="en-GB" w:eastAsia="en-GB"/>
    </w:rPr>
  </w:style>
  <w:style w:type="character" w:styleId="HTMLCite">
    <w:name w:val="HTML Cite"/>
    <w:basedOn w:val="DefaultParagraphFont"/>
    <w:uiPriority w:val="99"/>
    <w:semiHidden/>
    <w:rsid w:val="00AA468A"/>
    <w:rPr>
      <w:rFonts w:cs="Times New Roman"/>
      <w:i/>
    </w:rPr>
  </w:style>
  <w:style w:type="character" w:styleId="HTMLCode">
    <w:name w:val="HTML Code"/>
    <w:basedOn w:val="DefaultParagraphFont"/>
    <w:uiPriority w:val="99"/>
    <w:semiHidden/>
    <w:rsid w:val="00AA468A"/>
    <w:rPr>
      <w:rFonts w:ascii="Courier New" w:hAnsi="Courier New" w:cs="Times New Roman"/>
      <w:sz w:val="20"/>
    </w:rPr>
  </w:style>
  <w:style w:type="character" w:styleId="HTMLDefinition">
    <w:name w:val="HTML Definition"/>
    <w:basedOn w:val="DefaultParagraphFont"/>
    <w:uiPriority w:val="99"/>
    <w:semiHidden/>
    <w:rsid w:val="00AA468A"/>
    <w:rPr>
      <w:rFonts w:cs="Times New Roman"/>
      <w:i/>
    </w:rPr>
  </w:style>
  <w:style w:type="character" w:styleId="HTMLKeyboard">
    <w:name w:val="HTML Keyboard"/>
    <w:basedOn w:val="DefaultParagraphFont"/>
    <w:uiPriority w:val="99"/>
    <w:semiHidden/>
    <w:rsid w:val="00AA468A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AA468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color w:val="000000"/>
      <w:sz w:val="19"/>
      <w:lang w:val="en-GB" w:eastAsia="en-GB"/>
    </w:rPr>
  </w:style>
  <w:style w:type="character" w:styleId="HTMLSample">
    <w:name w:val="HTML Sample"/>
    <w:basedOn w:val="DefaultParagraphFont"/>
    <w:uiPriority w:val="99"/>
    <w:semiHidden/>
    <w:rsid w:val="00AA468A"/>
    <w:rPr>
      <w:rFonts w:ascii="Courier New" w:hAnsi="Courier New" w:cs="Times New Roman"/>
    </w:rPr>
  </w:style>
  <w:style w:type="character" w:styleId="HTMLTypewriter">
    <w:name w:val="HTML Typewriter"/>
    <w:basedOn w:val="DefaultParagraphFont"/>
    <w:uiPriority w:val="99"/>
    <w:semiHidden/>
    <w:rsid w:val="00AA468A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semiHidden/>
    <w:rsid w:val="00AA468A"/>
    <w:rPr>
      <w:rFonts w:cs="Times New Roman"/>
      <w:i/>
    </w:rPr>
  </w:style>
  <w:style w:type="character" w:styleId="LineNumber">
    <w:name w:val="line number"/>
    <w:basedOn w:val="DefaultParagraphFont"/>
    <w:uiPriority w:val="99"/>
    <w:semiHidden/>
    <w:rsid w:val="00AA468A"/>
    <w:rPr>
      <w:rFonts w:cs="Times New Roman"/>
    </w:rPr>
  </w:style>
  <w:style w:type="paragraph" w:styleId="List2">
    <w:name w:val="List 2"/>
    <w:basedOn w:val="Normal"/>
    <w:uiPriority w:val="99"/>
    <w:semiHidden/>
    <w:rsid w:val="00AA468A"/>
    <w:pPr>
      <w:ind w:left="566" w:hanging="283"/>
    </w:pPr>
  </w:style>
  <w:style w:type="paragraph" w:styleId="List3">
    <w:name w:val="List 3"/>
    <w:basedOn w:val="Normal"/>
    <w:uiPriority w:val="99"/>
    <w:semiHidden/>
    <w:rsid w:val="00AA468A"/>
    <w:pPr>
      <w:ind w:left="849" w:hanging="283"/>
    </w:pPr>
  </w:style>
  <w:style w:type="paragraph" w:styleId="List4">
    <w:name w:val="List 4"/>
    <w:basedOn w:val="Normal"/>
    <w:uiPriority w:val="99"/>
    <w:semiHidden/>
    <w:rsid w:val="00AA468A"/>
    <w:pPr>
      <w:ind w:left="1132" w:hanging="283"/>
    </w:pPr>
  </w:style>
  <w:style w:type="paragraph" w:styleId="List5">
    <w:name w:val="List 5"/>
    <w:basedOn w:val="Normal"/>
    <w:uiPriority w:val="99"/>
    <w:semiHidden/>
    <w:rsid w:val="00AA468A"/>
    <w:pPr>
      <w:ind w:left="1415" w:hanging="283"/>
    </w:pPr>
  </w:style>
  <w:style w:type="paragraph" w:styleId="ListBullet">
    <w:name w:val="List Bullet"/>
    <w:basedOn w:val="Normal"/>
    <w:uiPriority w:val="99"/>
    <w:semiHidden/>
    <w:rsid w:val="00AA468A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rsid w:val="00AA468A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rsid w:val="00AA468A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rsid w:val="00AA468A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rsid w:val="00AA468A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AA468A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AA468A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AA468A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AA468A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AA468A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AA468A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rsid w:val="00AA468A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rsid w:val="00AA468A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rsid w:val="00AA468A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rsid w:val="00AA468A"/>
    <w:pPr>
      <w:numPr>
        <w:numId w:val="10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AA46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Arial" w:hAnsi="Arial"/>
      <w:color w:val="000000"/>
      <w:sz w:val="19"/>
      <w:lang w:val="en-GB" w:eastAsia="en-GB"/>
    </w:rPr>
  </w:style>
  <w:style w:type="paragraph" w:styleId="NormalWeb">
    <w:name w:val="Normal (Web)"/>
    <w:basedOn w:val="Normal"/>
    <w:uiPriority w:val="99"/>
    <w:semiHidden/>
    <w:rsid w:val="00AA468A"/>
    <w:pPr>
      <w:widowControl/>
      <w:tabs>
        <w:tab w:val="clear" w:pos="240"/>
      </w:tabs>
      <w:spacing w:line="240" w:lineRule="auto"/>
      <w:jc w:val="left"/>
    </w:pPr>
    <w:rPr>
      <w:rFonts w:ascii="Times New Roman" w:hAnsi="Times New Roman"/>
      <w:color w:val="auto"/>
      <w:sz w:val="20"/>
      <w:szCs w:val="24"/>
    </w:rPr>
  </w:style>
  <w:style w:type="paragraph" w:styleId="NormalIndent">
    <w:name w:val="Normal Indent"/>
    <w:basedOn w:val="Normal"/>
    <w:uiPriority w:val="99"/>
    <w:semiHidden/>
    <w:rsid w:val="00AA468A"/>
    <w:pPr>
      <w:widowControl/>
      <w:tabs>
        <w:tab w:val="clear" w:pos="240"/>
      </w:tabs>
      <w:spacing w:line="240" w:lineRule="auto"/>
      <w:ind w:left="720"/>
      <w:jc w:val="left"/>
    </w:pPr>
    <w:rPr>
      <w:rFonts w:ascii="Times New Roman" w:hAnsi="Times New Roman"/>
      <w:color w:val="auto"/>
      <w:sz w:val="20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A468A"/>
    <w:pPr>
      <w:widowControl/>
      <w:tabs>
        <w:tab w:val="clear" w:pos="240"/>
      </w:tabs>
      <w:spacing w:line="240" w:lineRule="auto"/>
      <w:jc w:val="left"/>
    </w:pPr>
    <w:rPr>
      <w:rFonts w:ascii="Times New Roman" w:hAnsi="Times New Roman"/>
      <w:color w:val="auto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sz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rsid w:val="00AA468A"/>
    <w:pPr>
      <w:widowControl/>
      <w:tabs>
        <w:tab w:val="clear" w:pos="240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/>
      <w:lang w:val="en-GB"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468A"/>
    <w:pPr>
      <w:widowControl/>
      <w:tabs>
        <w:tab w:val="clear" w:pos="240"/>
      </w:tabs>
      <w:spacing w:line="240" w:lineRule="auto"/>
      <w:jc w:val="left"/>
    </w:pPr>
    <w:rPr>
      <w:rFonts w:ascii="Times New Roman" w:hAnsi="Times New Roman"/>
      <w:color w:val="auto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sz w:val="24"/>
      <w:lang w:val="en-GB" w:eastAsia="en-GB"/>
    </w:rPr>
  </w:style>
  <w:style w:type="paragraph" w:styleId="Signature">
    <w:name w:val="Signature"/>
    <w:basedOn w:val="Normal"/>
    <w:link w:val="SignatureChar"/>
    <w:uiPriority w:val="99"/>
    <w:semiHidden/>
    <w:rsid w:val="00AA468A"/>
    <w:pPr>
      <w:widowControl/>
      <w:tabs>
        <w:tab w:val="clear" w:pos="240"/>
      </w:tabs>
      <w:spacing w:line="240" w:lineRule="auto"/>
      <w:ind w:left="4252"/>
      <w:jc w:val="left"/>
    </w:pPr>
    <w:rPr>
      <w:rFonts w:ascii="Times New Roman" w:hAnsi="Times New Roman"/>
      <w:color w:val="auto"/>
      <w:sz w:val="20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sz w:val="24"/>
      <w:lang w:val="en-GB" w:eastAsia="en-GB"/>
    </w:rPr>
  </w:style>
  <w:style w:type="character" w:styleId="Strong">
    <w:name w:val="Strong"/>
    <w:basedOn w:val="DefaultParagraphFont"/>
    <w:uiPriority w:val="99"/>
    <w:qFormat/>
    <w:locked/>
    <w:rsid w:val="00AA468A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locked/>
    <w:rsid w:val="00AA468A"/>
    <w:pPr>
      <w:widowControl/>
      <w:tabs>
        <w:tab w:val="clear" w:pos="240"/>
      </w:tabs>
      <w:spacing w:after="60" w:line="240" w:lineRule="auto"/>
      <w:jc w:val="center"/>
      <w:outlineLvl w:val="1"/>
    </w:pPr>
    <w:rPr>
      <w:rFonts w:cs="Arial"/>
      <w:color w:val="auto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Arial" w:hAnsi="Arial"/>
      <w:sz w:val="24"/>
      <w:lang w:val="en-GB" w:eastAsia="en-GB"/>
    </w:rPr>
  </w:style>
  <w:style w:type="table" w:styleId="Table3Deffects1">
    <w:name w:val="Table 3D effects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A468A"/>
    <w:rPr>
      <w:rFonts w:ascii="Times New Roman" w:hAnsi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AA468A"/>
    <w:rPr>
      <w:rFonts w:ascii="Times New Roman" w:hAnsi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A468A"/>
    <w:rPr>
      <w:rFonts w:ascii="Times New Roman" w:hAnsi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A468A"/>
    <w:rPr>
      <w:rFonts w:ascii="Times New Roman" w:hAnsi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A468A"/>
    <w:rPr>
      <w:rFonts w:ascii="Times New Roman" w:hAnsi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A468A"/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A468A"/>
    <w:rPr>
      <w:rFonts w:ascii="Times New Roman" w:hAnsi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Details">
    <w:name w:val="Header Details"/>
    <w:basedOn w:val="Firstline"/>
    <w:autoRedefine/>
    <w:uiPriority w:val="99"/>
    <w:semiHidden/>
    <w:rsid w:val="00AA468A"/>
  </w:style>
  <w:style w:type="paragraph" w:customStyle="1" w:styleId="Headerpara">
    <w:name w:val="Header para"/>
    <w:basedOn w:val="Firstline"/>
    <w:autoRedefine/>
    <w:uiPriority w:val="99"/>
    <w:semiHidden/>
    <w:rsid w:val="00AA468A"/>
  </w:style>
  <w:style w:type="paragraph" w:customStyle="1" w:styleId="pagecontents">
    <w:name w:val="pagecontents"/>
    <w:basedOn w:val="Normal"/>
    <w:uiPriority w:val="99"/>
    <w:rsid w:val="000E696F"/>
    <w:pPr>
      <w:widowControl/>
      <w:tabs>
        <w:tab w:val="clear" w:pos="240"/>
      </w:tabs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CommentTextChar1">
    <w:name w:val="Comment Text Char1"/>
    <w:link w:val="CommentText"/>
    <w:uiPriority w:val="99"/>
    <w:semiHidden/>
    <w:locked/>
    <w:rsid w:val="009035A0"/>
    <w:rPr>
      <w:rFonts w:ascii="Arial" w:hAnsi="Arial"/>
      <w:color w:val="000000"/>
      <w:sz w:val="19"/>
      <w:lang w:val="en-GB" w:eastAsia="en-GB"/>
    </w:rPr>
  </w:style>
  <w:style w:type="character" w:customStyle="1" w:styleId="BodyTextChar1">
    <w:name w:val="Body Text Char1"/>
    <w:link w:val="BodyText"/>
    <w:uiPriority w:val="99"/>
    <w:locked/>
    <w:rsid w:val="00AA468A"/>
    <w:rPr>
      <w:rFonts w:ascii="Arial" w:hAnsi="Arial"/>
      <w:color w:val="000000"/>
      <w:sz w:val="19"/>
      <w:lang w:val="en-GB" w:eastAsia="en-GB"/>
    </w:rPr>
  </w:style>
  <w:style w:type="character" w:customStyle="1" w:styleId="highlight">
    <w:name w:val="highlight"/>
    <w:uiPriority w:val="99"/>
    <w:rsid w:val="00940AD2"/>
  </w:style>
  <w:style w:type="numbering" w:styleId="ArticleSection">
    <w:name w:val="Outline List 3"/>
    <w:basedOn w:val="NoList"/>
    <w:uiPriority w:val="99"/>
    <w:semiHidden/>
    <w:unhideWhenUsed/>
    <w:locked/>
    <w:rsid w:val="001E72F5"/>
    <w:pPr>
      <w:numPr>
        <w:numId w:val="23"/>
      </w:numPr>
    </w:pPr>
  </w:style>
  <w:style w:type="numbering" w:styleId="111111">
    <w:name w:val="Outline List 2"/>
    <w:basedOn w:val="NoList"/>
    <w:uiPriority w:val="99"/>
    <w:semiHidden/>
    <w:unhideWhenUsed/>
    <w:locked/>
    <w:rsid w:val="001E72F5"/>
    <w:pPr>
      <w:numPr>
        <w:numId w:val="21"/>
      </w:numPr>
    </w:pPr>
  </w:style>
  <w:style w:type="numbering" w:styleId="1ai">
    <w:name w:val="Outline List 1"/>
    <w:basedOn w:val="NoList"/>
    <w:uiPriority w:val="99"/>
    <w:semiHidden/>
    <w:unhideWhenUsed/>
    <w:locked/>
    <w:rsid w:val="001E72F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WBlack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WBlack2013.dot</Template>
  <TotalTime>3</TotalTime>
  <Pages>5</Pages>
  <Words>3021</Words>
  <Characters>17226</Characters>
  <Application>Microsoft Office Word</Application>
  <DocSecurity>0</DocSecurity>
  <Lines>143</Lines>
  <Paragraphs>40</Paragraphs>
  <ScaleCrop>false</ScaleCrop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Odd</dc:creator>
  <cp:keywords/>
  <dc:description/>
  <cp:lastModifiedBy>Ardern-Jones M.R.</cp:lastModifiedBy>
  <cp:revision>3</cp:revision>
  <dcterms:created xsi:type="dcterms:W3CDTF">2019-07-25T13:25:00Z</dcterms:created>
  <dcterms:modified xsi:type="dcterms:W3CDTF">2019-07-25T13:27:00Z</dcterms:modified>
</cp:coreProperties>
</file>