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8B" w:rsidRDefault="00BC2A8B" w:rsidP="00BC2A8B">
      <w:pPr>
        <w:pStyle w:val="Title"/>
      </w:pPr>
      <w:bookmarkStart w:id="0" w:name="_GoBack"/>
      <w:bookmarkEnd w:id="0"/>
    </w:p>
    <w:p w:rsidR="00BC2A8B" w:rsidRDefault="00BC2A8B" w:rsidP="00BC2A8B">
      <w:pPr>
        <w:pStyle w:val="Title"/>
      </w:pPr>
    </w:p>
    <w:p w:rsidR="00BC2A8B" w:rsidRDefault="00BC2A8B" w:rsidP="00BC2A8B">
      <w:pPr>
        <w:pStyle w:val="Title"/>
      </w:pPr>
    </w:p>
    <w:p w:rsidR="00BC2A8B" w:rsidRDefault="00BC2A8B" w:rsidP="00BC2A8B">
      <w:pPr>
        <w:pStyle w:val="Title"/>
      </w:pPr>
    </w:p>
    <w:p w:rsidR="00BC2A8B" w:rsidRDefault="00BC2A8B" w:rsidP="00BC2A8B">
      <w:pPr>
        <w:pStyle w:val="Title"/>
      </w:pPr>
    </w:p>
    <w:p w:rsidR="00BC2A8B" w:rsidRDefault="00BC2A8B" w:rsidP="00BC2A8B">
      <w:pPr>
        <w:pStyle w:val="Title"/>
      </w:pPr>
    </w:p>
    <w:p w:rsidR="00BC2A8B" w:rsidRDefault="00BC2A8B" w:rsidP="00BC2A8B">
      <w:pPr>
        <w:pStyle w:val="Title"/>
      </w:pPr>
      <w:r>
        <w:t>PREVENTION OF MUSCULOSKELETAL DISABILITY IN WORKING POPULATIONS:  THE CUPID STUDY</w:t>
      </w:r>
    </w:p>
    <w:p w:rsidR="00BC2A8B" w:rsidRDefault="00BC2A8B" w:rsidP="00BC2A8B"/>
    <w:p w:rsidR="00342DED" w:rsidRDefault="00342DED" w:rsidP="00BC2A8B"/>
    <w:p w:rsidR="00342DED" w:rsidRDefault="00342DED" w:rsidP="00BC2A8B"/>
    <w:p w:rsidR="00BC2A8B" w:rsidRDefault="00BC2A8B" w:rsidP="00BC2A8B"/>
    <w:p w:rsidR="00BC2A8B" w:rsidRDefault="00BC2A8B" w:rsidP="00BC2A8B">
      <w:pPr>
        <w:jc w:val="center"/>
        <w:rPr>
          <w:b/>
        </w:rPr>
      </w:pPr>
      <w:r>
        <w:rPr>
          <w:b/>
        </w:rPr>
        <w:t>David Coggon</w:t>
      </w:r>
    </w:p>
    <w:p w:rsidR="00BC2A8B" w:rsidRDefault="00BC2A8B" w:rsidP="00BC2A8B">
      <w:pPr>
        <w:jc w:val="center"/>
        <w:rPr>
          <w:b/>
        </w:rPr>
      </w:pPr>
    </w:p>
    <w:p w:rsidR="00BC2A8B" w:rsidRDefault="00BC2A8B" w:rsidP="00BC2A8B">
      <w:pPr>
        <w:jc w:val="center"/>
      </w:pPr>
      <w:r>
        <w:t>MRC Lifecourse Epidemiology Unit, University of Southampton, UK</w:t>
      </w:r>
    </w:p>
    <w:p w:rsidR="00BC2A8B" w:rsidRDefault="00BC2A8B" w:rsidP="00BC2A8B">
      <w:pPr>
        <w:jc w:val="center"/>
      </w:pPr>
    </w:p>
    <w:p w:rsidR="00BC2A8B" w:rsidRDefault="00BC2A8B" w:rsidP="00BC2A8B">
      <w:pPr>
        <w:jc w:val="center"/>
      </w:pPr>
    </w:p>
    <w:p w:rsidR="00BC2A8B" w:rsidRDefault="00BC2A8B" w:rsidP="00BC2A8B">
      <w:pPr>
        <w:jc w:val="center"/>
      </w:pPr>
    </w:p>
    <w:p w:rsidR="00BC2A8B" w:rsidRDefault="00BC2A8B" w:rsidP="00BC2A8B">
      <w:pPr>
        <w:jc w:val="center"/>
      </w:pPr>
    </w:p>
    <w:p w:rsidR="00BC2A8B" w:rsidRDefault="00BC2A8B" w:rsidP="00BC2A8B">
      <w:pPr>
        <w:rPr>
          <w:b/>
        </w:rPr>
      </w:pPr>
    </w:p>
    <w:p w:rsidR="00BC2A8B" w:rsidRDefault="00BC2A8B" w:rsidP="00BC2A8B">
      <w:pPr>
        <w:rPr>
          <w:b/>
        </w:rPr>
      </w:pPr>
    </w:p>
    <w:p w:rsidR="00BC2A8B" w:rsidRDefault="00BC2A8B" w:rsidP="00BC2A8B">
      <w:pPr>
        <w:rPr>
          <w:b/>
        </w:rPr>
      </w:pPr>
    </w:p>
    <w:p w:rsidR="00BC2A8B" w:rsidRDefault="00BC2A8B" w:rsidP="00BC2A8B">
      <w:pPr>
        <w:rPr>
          <w:b/>
        </w:rPr>
      </w:pPr>
    </w:p>
    <w:p w:rsidR="00BC2A8B" w:rsidRDefault="00BC2A8B" w:rsidP="00BC2A8B">
      <w:pPr>
        <w:rPr>
          <w:b/>
        </w:rPr>
      </w:pPr>
    </w:p>
    <w:p w:rsidR="00BC2A8B" w:rsidRDefault="00BC2A8B" w:rsidP="00BC2A8B">
      <w:pPr>
        <w:rPr>
          <w:b/>
        </w:rPr>
      </w:pPr>
    </w:p>
    <w:p w:rsidR="00BC2A8B" w:rsidRDefault="00BC2A8B" w:rsidP="00BC2A8B">
      <w:pPr>
        <w:rPr>
          <w:b/>
        </w:rPr>
      </w:pPr>
    </w:p>
    <w:p w:rsidR="00BC2A8B" w:rsidRDefault="00BC2A8B" w:rsidP="00BC2A8B">
      <w:pPr>
        <w:rPr>
          <w:b/>
        </w:rPr>
      </w:pPr>
    </w:p>
    <w:p w:rsidR="00BC2A8B" w:rsidRDefault="00BC2A8B" w:rsidP="00BC2A8B">
      <w:pPr>
        <w:rPr>
          <w:b/>
        </w:rPr>
      </w:pPr>
      <w:r>
        <w:rPr>
          <w:b/>
        </w:rPr>
        <w:t>Correspondence to:</w:t>
      </w:r>
    </w:p>
    <w:p w:rsidR="00BC2A8B" w:rsidRDefault="00BC2A8B" w:rsidP="00BC2A8B">
      <w:r>
        <w:t>Professor David Coggon</w:t>
      </w:r>
    </w:p>
    <w:p w:rsidR="00BC2A8B" w:rsidRDefault="00BC2A8B" w:rsidP="00BC2A8B">
      <w:r>
        <w:t>MRC Lifecourse Epidemiology Unit</w:t>
      </w:r>
    </w:p>
    <w:p w:rsidR="00BC2A8B" w:rsidRDefault="00BC2A8B" w:rsidP="00BC2A8B">
      <w:r>
        <w:t>Southampton General Hospital</w:t>
      </w:r>
    </w:p>
    <w:p w:rsidR="00BC2A8B" w:rsidRDefault="00BC2A8B" w:rsidP="00BC2A8B">
      <w:r>
        <w:t>Southampton</w:t>
      </w:r>
    </w:p>
    <w:p w:rsidR="00BC2A8B" w:rsidRDefault="00BC2A8B" w:rsidP="00BC2A8B">
      <w:r>
        <w:lastRenderedPageBreak/>
        <w:t>SO16 6YD</w:t>
      </w:r>
    </w:p>
    <w:p w:rsidR="00BC2A8B" w:rsidRDefault="00BC2A8B" w:rsidP="00BC2A8B">
      <w:r>
        <w:t>UK</w:t>
      </w:r>
    </w:p>
    <w:p w:rsidR="00BC2A8B" w:rsidRDefault="00BC2A8B" w:rsidP="00BC2A8B"/>
    <w:p w:rsidR="00BC2A8B" w:rsidRDefault="00BC2A8B" w:rsidP="00BC2A8B">
      <w:r>
        <w:rPr>
          <w:b/>
        </w:rPr>
        <w:t>Tel:</w:t>
      </w:r>
      <w:r>
        <w:rPr>
          <w:b/>
        </w:rPr>
        <w:tab/>
      </w:r>
      <w:r>
        <w:t>#44 2380 777624</w:t>
      </w:r>
    </w:p>
    <w:p w:rsidR="00BC2A8B" w:rsidRPr="00BC2A8B" w:rsidRDefault="00BC2A8B" w:rsidP="00BC2A8B">
      <w:r>
        <w:rPr>
          <w:b/>
        </w:rPr>
        <w:t>Email:</w:t>
      </w:r>
      <w:r>
        <w:rPr>
          <w:b/>
        </w:rPr>
        <w:tab/>
      </w:r>
      <w:r>
        <w:t>dnc@mrc.soton.ac.uk</w:t>
      </w:r>
    </w:p>
    <w:p w:rsidR="00BC2A8B" w:rsidRPr="00BC2A8B" w:rsidRDefault="00BC2A8B" w:rsidP="00BC2A8B"/>
    <w:p w:rsidR="00F90C8E" w:rsidRDefault="00BC2A8B" w:rsidP="00342DED">
      <w:pPr>
        <w:spacing w:line="360" w:lineRule="auto"/>
        <w:jc w:val="both"/>
      </w:pPr>
      <w:r>
        <w:br w:type="page"/>
      </w:r>
      <w:r w:rsidR="00A11CCC">
        <w:lastRenderedPageBreak/>
        <w:t>P</w:t>
      </w:r>
      <w:r w:rsidR="009C26A5">
        <w:t>ainful musculoskeletal disorders, especially of the back, neck and upper limb, are the main cause of disability for work in Europe [</w:t>
      </w:r>
      <w:r w:rsidR="00272F8E">
        <w:t>1</w:t>
      </w:r>
      <w:r w:rsidR="009C26A5">
        <w:t xml:space="preserve">].  Known and suspected risk factors for </w:t>
      </w:r>
      <w:r w:rsidR="00DD5F10">
        <w:t>their</w:t>
      </w:r>
      <w:r w:rsidR="00F90C8E">
        <w:t xml:space="preserve"> </w:t>
      </w:r>
      <w:r w:rsidR="009C26A5">
        <w:t xml:space="preserve">development, persistence, and/or recurrence </w:t>
      </w:r>
      <w:r w:rsidR="00F90C8E">
        <w:t>include occupational tasks which mechanical</w:t>
      </w:r>
      <w:r w:rsidR="00DD5F10">
        <w:t>ly</w:t>
      </w:r>
      <w:r w:rsidR="00F90C8E">
        <w:t xml:space="preserve"> load </w:t>
      </w:r>
      <w:r w:rsidR="00DD5F10">
        <w:t>the spine or arm (e.g. heavy lifting, forceful movements of the wrist) [</w:t>
      </w:r>
      <w:r w:rsidR="00272F8E">
        <w:t>2</w:t>
      </w:r>
      <w:r w:rsidR="00DD5F10">
        <w:t>]</w:t>
      </w:r>
      <w:r w:rsidR="00F90C8E">
        <w:t>, along with psychological characteristics such as low mood</w:t>
      </w:r>
      <w:r w:rsidR="00DD5F10">
        <w:t xml:space="preserve"> [</w:t>
      </w:r>
      <w:r w:rsidR="00FF4175">
        <w:t>3,</w:t>
      </w:r>
      <w:r w:rsidR="00272F8E">
        <w:t>4</w:t>
      </w:r>
      <w:r w:rsidR="00DD5F10">
        <w:t>]</w:t>
      </w:r>
      <w:r w:rsidR="00F90C8E">
        <w:t>, tendency to be aware of and worry about common somatic symptoms (somatising tendency)</w:t>
      </w:r>
      <w:r w:rsidR="00DD5F10">
        <w:t xml:space="preserve"> [</w:t>
      </w:r>
      <w:r w:rsidR="00FF4175">
        <w:t>3,</w:t>
      </w:r>
      <w:r w:rsidR="00CA6286">
        <w:t>4</w:t>
      </w:r>
      <w:r w:rsidR="00DD5F10">
        <w:t>]</w:t>
      </w:r>
      <w:r w:rsidR="00F90C8E">
        <w:t>, and adverse beliefs about the prognosis and need to avoid physical activity when pain occurs</w:t>
      </w:r>
      <w:r w:rsidR="00DD5F10">
        <w:t xml:space="preserve"> [</w:t>
      </w:r>
      <w:r w:rsidR="00237A9E">
        <w:t>5,6</w:t>
      </w:r>
      <w:r w:rsidR="00DD5F10">
        <w:t>]</w:t>
      </w:r>
      <w:r w:rsidR="00F90C8E">
        <w:t xml:space="preserve">.  </w:t>
      </w:r>
    </w:p>
    <w:p w:rsidR="00F90C8E" w:rsidRDefault="00F90C8E" w:rsidP="00342DED">
      <w:pPr>
        <w:spacing w:line="360" w:lineRule="auto"/>
        <w:jc w:val="both"/>
      </w:pPr>
    </w:p>
    <w:p w:rsidR="00107A24" w:rsidRDefault="00DD5F10" w:rsidP="00342DED">
      <w:pPr>
        <w:spacing w:line="360" w:lineRule="auto"/>
        <w:jc w:val="both"/>
      </w:pPr>
      <w:r>
        <w:t xml:space="preserve">Together, however, </w:t>
      </w:r>
      <w:r w:rsidR="00F90C8E">
        <w:t xml:space="preserve">these risk factors </w:t>
      </w:r>
      <w:r>
        <w:t>can</w:t>
      </w:r>
      <w:r w:rsidR="00F90C8E">
        <w:t xml:space="preserve">not explain major temporal changes </w:t>
      </w:r>
      <w:r>
        <w:t xml:space="preserve">that have been observed </w:t>
      </w:r>
      <w:r w:rsidR="00F90C8E">
        <w:t xml:space="preserve">in disability from common musculoskeletal disorders.  </w:t>
      </w:r>
      <w:r w:rsidR="006753CD">
        <w:t>For example</w:t>
      </w:r>
      <w:r w:rsidR="00F90C8E">
        <w:t xml:space="preserve">, in Britain, long-term incapacity for work because of back pain </w:t>
      </w:r>
      <w:r w:rsidR="00107A24">
        <w:t>increased more than eight-fold between 1950 and 1995 at a time when the physical demands of work were generally reducing [</w:t>
      </w:r>
      <w:r w:rsidR="00272F8E">
        <w:t>7</w:t>
      </w:r>
      <w:r w:rsidR="00107A24">
        <w:t xml:space="preserve">].  This </w:t>
      </w:r>
      <w:r>
        <w:t xml:space="preserve">gap in understanding </w:t>
      </w:r>
      <w:r w:rsidR="00107A24">
        <w:t xml:space="preserve">prompted the hypothesis that another important </w:t>
      </w:r>
      <w:r w:rsidR="006753CD">
        <w:t>cause</w:t>
      </w:r>
      <w:r w:rsidR="00107A24">
        <w:t xml:space="preserve"> </w:t>
      </w:r>
      <w:r w:rsidR="006753CD">
        <w:t xml:space="preserve">of musculoskeletal pain and disability </w:t>
      </w:r>
      <w:r w:rsidR="00A72E00">
        <w:t>could</w:t>
      </w:r>
      <w:r w:rsidR="00107A24">
        <w:t xml:space="preserve"> be culturally driven health beliefs and expectations, </w:t>
      </w:r>
      <w:r w:rsidR="006753CD">
        <w:t>differences in which</w:t>
      </w:r>
      <w:r w:rsidR="00107A24">
        <w:t xml:space="preserve"> </w:t>
      </w:r>
      <w:r w:rsidR="00A72E00">
        <w:t>might</w:t>
      </w:r>
      <w:r w:rsidR="00107A24">
        <w:t xml:space="preserve"> also </w:t>
      </w:r>
      <w:r w:rsidR="006753CD">
        <w:t>lead to</w:t>
      </w:r>
      <w:r w:rsidR="00107A24">
        <w:t xml:space="preserve"> large </w:t>
      </w:r>
      <w:r w:rsidR="006753CD">
        <w:t>variations</w:t>
      </w:r>
      <w:r w:rsidR="00107A24">
        <w:t xml:space="preserve"> in prevalence between countries.</w:t>
      </w:r>
    </w:p>
    <w:p w:rsidR="00107A24" w:rsidRDefault="00107A24" w:rsidP="00342DED">
      <w:pPr>
        <w:spacing w:line="360" w:lineRule="auto"/>
        <w:jc w:val="both"/>
      </w:pPr>
    </w:p>
    <w:p w:rsidR="009C26A5" w:rsidRDefault="00107A24" w:rsidP="00342DED">
      <w:pPr>
        <w:spacing w:line="360" w:lineRule="auto"/>
        <w:jc w:val="both"/>
      </w:pPr>
      <w:r>
        <w:t>To explore this theory, the Cultural and Psychosocial Influences on Disability (CUPID) study was conceived</w:t>
      </w:r>
      <w:r w:rsidR="00A72E00">
        <w:t xml:space="preserve"> [</w:t>
      </w:r>
      <w:r w:rsidR="00272F8E">
        <w:t>8</w:t>
      </w:r>
      <w:r w:rsidR="00A72E00">
        <w:t>]</w:t>
      </w:r>
      <w:r>
        <w:t xml:space="preserve">.  In an initial baseline survey, data were collected by questionnaire </w:t>
      </w:r>
      <w:r w:rsidR="00D53A66">
        <w:t xml:space="preserve">from some 14,000 workers in 47 occupational groups (mostly </w:t>
      </w:r>
      <w:r w:rsidR="006F684B">
        <w:t xml:space="preserve">nurses, </w:t>
      </w:r>
      <w:r w:rsidR="00D53A66">
        <w:t xml:space="preserve">office </w:t>
      </w:r>
      <w:r w:rsidR="006F684B">
        <w:lastRenderedPageBreak/>
        <w:t>staff</w:t>
      </w:r>
      <w:r w:rsidR="00D53A66">
        <w:t xml:space="preserve"> using computers, and workers carrying our repetitive manual tasks with their hands or arms) in 18 countries across six continents.  Participants were asked about</w:t>
      </w:r>
      <w:r>
        <w:t xml:space="preserve"> pain at each of 10 anatomical sites</w:t>
      </w:r>
      <w:r w:rsidR="00D53A66">
        <w:t xml:space="preserve">, associated disability, and various potential risk factors.  Subsequently, approximately </w:t>
      </w:r>
      <w:r w:rsidR="006F684B">
        <w:t>9,000</w:t>
      </w:r>
      <w:r w:rsidR="00D53A66">
        <w:t xml:space="preserve"> workers from </w:t>
      </w:r>
      <w:r w:rsidR="006F684B">
        <w:t>45</w:t>
      </w:r>
      <w:r w:rsidR="00D53A66">
        <w:t xml:space="preserve"> of the occupational groups answered a shorter follow-up questionnaire</w:t>
      </w:r>
      <w:r w:rsidR="00A72E00">
        <w:t xml:space="preserve"> (average response rate </w:t>
      </w:r>
      <w:r w:rsidR="006F684B">
        <w:t>77</w:t>
      </w:r>
      <w:r w:rsidR="00A72E00">
        <w:t>%)</w:t>
      </w:r>
      <w:r w:rsidR="00D53A66">
        <w:t>, which again asked about recent experience of pain and resultant disability.</w:t>
      </w:r>
      <w:r>
        <w:t xml:space="preserve"> </w:t>
      </w:r>
      <w:r w:rsidR="00F90C8E">
        <w:t xml:space="preserve"> </w:t>
      </w:r>
      <w:r w:rsidR="009C26A5">
        <w:t xml:space="preserve"> </w:t>
      </w:r>
    </w:p>
    <w:p w:rsidR="009C26A5" w:rsidRDefault="009C26A5" w:rsidP="00342DED">
      <w:pPr>
        <w:spacing w:line="360" w:lineRule="auto"/>
        <w:jc w:val="both"/>
      </w:pPr>
    </w:p>
    <w:p w:rsidR="00FA248B" w:rsidRDefault="001F01C0" w:rsidP="00342DED">
      <w:pPr>
        <w:spacing w:line="360" w:lineRule="auto"/>
        <w:jc w:val="both"/>
      </w:pPr>
      <w:r>
        <w:t xml:space="preserve">Analysis of the baseline survey indicated large differences between the 47 occupational groups in rates of musculoskeletal pain </w:t>
      </w:r>
      <w:r w:rsidR="00E81DE2">
        <w:t xml:space="preserve">that was disabling for everyday activities </w:t>
      </w:r>
      <w:r>
        <w:t>[</w:t>
      </w:r>
      <w:r w:rsidR="00272F8E">
        <w:t>9</w:t>
      </w:r>
      <w:r>
        <w:t xml:space="preserve">].  In comparison with office workers, nurses tended to </w:t>
      </w:r>
      <w:r w:rsidR="003266D2">
        <w:t>report</w:t>
      </w:r>
      <w:r>
        <w:t xml:space="preserve"> more pain in the low back </w:t>
      </w:r>
      <w:r w:rsidR="003266D2">
        <w:t>and less in the</w:t>
      </w:r>
      <w:r>
        <w:t xml:space="preserve"> wrist/hand.  However, </w:t>
      </w:r>
      <w:r w:rsidR="00FD7165">
        <w:t>the</w:t>
      </w:r>
      <w:r>
        <w:t xml:space="preserve"> variation by country</w:t>
      </w:r>
      <w:r w:rsidR="00FD7165">
        <w:t xml:space="preserve"> was much greater</w:t>
      </w:r>
      <w:r>
        <w:t xml:space="preserve">, even among workers carrying out similar occupational activities.  For example, the prevalence of disabling wrist/hand pain in office workers varied </w:t>
      </w:r>
      <w:r w:rsidR="00DE786D">
        <w:t xml:space="preserve">up to </w:t>
      </w:r>
      <w:r w:rsidR="00787CA2">
        <w:t>14</w:t>
      </w:r>
      <w:r w:rsidR="00DE786D">
        <w:t xml:space="preserve">-fold between countries.  This heterogeneity was not explained by known and suspected risk factors, including beliefs about occupational causes of musculoskeletal pain and awareness of terms such as “RSI”.  Nor did it relate to the availability of sick pay or compensation for work-related disorders.  </w:t>
      </w:r>
      <w:r w:rsidR="00C839D3">
        <w:t>There was</w:t>
      </w:r>
      <w:r w:rsidR="00DE786D">
        <w:t xml:space="preserve">, however, a strong correlation across occupational groups between the prevalence of pain in the low back and </w:t>
      </w:r>
      <w:r w:rsidR="006E198F">
        <w:t xml:space="preserve">that in the </w:t>
      </w:r>
      <w:r w:rsidR="00DE786D">
        <w:t xml:space="preserve">wrist/hand, </w:t>
      </w:r>
      <w:r w:rsidR="00C839D3">
        <w:t xml:space="preserve">which </w:t>
      </w:r>
      <w:r w:rsidR="00DE786D">
        <w:t>suggest</w:t>
      </w:r>
      <w:r w:rsidR="00C839D3">
        <w:t>ed</w:t>
      </w:r>
      <w:r w:rsidR="00DE786D">
        <w:t xml:space="preserve"> that whatever was responsible for the variation </w:t>
      </w:r>
      <w:r w:rsidR="00BE6256">
        <w:t xml:space="preserve">between groups </w:t>
      </w:r>
      <w:r w:rsidR="00DE786D">
        <w:t>predispose</w:t>
      </w:r>
      <w:r w:rsidR="00C839D3">
        <w:t>d</w:t>
      </w:r>
      <w:r w:rsidR="00DE786D">
        <w:t xml:space="preserve"> to musculoskeletal pain in general</w:t>
      </w:r>
      <w:r w:rsidR="00D272BC">
        <w:t xml:space="preserve">, rather than being specific to </w:t>
      </w:r>
      <w:r w:rsidR="00860187">
        <w:t>only</w:t>
      </w:r>
      <w:r w:rsidR="00D272BC">
        <w:t xml:space="preserve"> one or two anatomical sites.</w:t>
      </w:r>
    </w:p>
    <w:p w:rsidR="00D272BC" w:rsidRDefault="00D272BC" w:rsidP="00342DED">
      <w:pPr>
        <w:spacing w:line="360" w:lineRule="auto"/>
        <w:jc w:val="both"/>
      </w:pPr>
    </w:p>
    <w:p w:rsidR="00D272BC" w:rsidRDefault="00D272BC" w:rsidP="00342DED">
      <w:pPr>
        <w:spacing w:line="360" w:lineRule="auto"/>
        <w:jc w:val="both"/>
      </w:pPr>
      <w:r>
        <w:t xml:space="preserve">To </w:t>
      </w:r>
      <w:r w:rsidR="00FD7165">
        <w:t>test</w:t>
      </w:r>
      <w:r>
        <w:t xml:space="preserve"> this theory, a series of longitudinal analyses were conducted.  The first explored the relationship of exposures and </w:t>
      </w:r>
      <w:r w:rsidR="00C839D3">
        <w:t xml:space="preserve">personal </w:t>
      </w:r>
      <w:r>
        <w:t xml:space="preserve">characteristics at baseline to the </w:t>
      </w:r>
      <w:r w:rsidR="00C839D3">
        <w:t xml:space="preserve">one-month </w:t>
      </w:r>
      <w:r>
        <w:t xml:space="preserve">prevalence of disabling low back pain </w:t>
      </w:r>
      <w:r w:rsidR="00C839D3">
        <w:t>at</w:t>
      </w:r>
      <w:r>
        <w:t xml:space="preserve"> follow-up</w:t>
      </w:r>
      <w:r w:rsidR="009A092F">
        <w:t xml:space="preserve"> </w:t>
      </w:r>
      <w:r w:rsidR="00C839D3">
        <w:t xml:space="preserve">some 14 months later </w:t>
      </w:r>
      <w:r w:rsidR="009A092F">
        <w:t>[</w:t>
      </w:r>
      <w:r w:rsidR="00272F8E">
        <w:t>10</w:t>
      </w:r>
      <w:r w:rsidR="009A092F">
        <w:t>]</w:t>
      </w:r>
      <w:r>
        <w:t>.  Expected associations were found with established risk factors such as somatising tendency, poor mental health and</w:t>
      </w:r>
      <w:r w:rsidR="0006786E">
        <w:t xml:space="preserve"> occupational lifting.  </w:t>
      </w:r>
      <w:r w:rsidR="00E81DE2">
        <w:t>However, a</w:t>
      </w:r>
      <w:r w:rsidR="0006786E">
        <w:t xml:space="preserve"> much stronger </w:t>
      </w:r>
      <w:r w:rsidR="00FD7165">
        <w:t>risk factor</w:t>
      </w:r>
      <w:r w:rsidR="0006786E">
        <w:t xml:space="preserve"> was report of pain</w:t>
      </w:r>
      <w:r w:rsidR="00BE6256">
        <w:t xml:space="preserve"> in the year before baseline</w:t>
      </w:r>
      <w:r w:rsidR="0006786E">
        <w:t xml:space="preserve"> at anatomical sites other than the low back.  Risk increased progressively with the number of sites that had </w:t>
      </w:r>
      <w:r w:rsidR="00E81DE2">
        <w:t xml:space="preserve">earlier </w:t>
      </w:r>
      <w:r w:rsidR="0006786E">
        <w:t xml:space="preserve">been reported as painful, with a prevalence rate ratio of 2.6 (95% confidence interval </w:t>
      </w:r>
      <w:r w:rsidR="009142C1">
        <w:t>2.2</w:t>
      </w:r>
      <w:r w:rsidR="0006786E">
        <w:t xml:space="preserve"> to </w:t>
      </w:r>
      <w:r w:rsidR="009142C1">
        <w:t>3.1</w:t>
      </w:r>
      <w:r w:rsidR="0006786E">
        <w:t xml:space="preserve">) when six or more sites were </w:t>
      </w:r>
      <w:r w:rsidR="00FD7165">
        <w:t>affect</w:t>
      </w:r>
      <w:r w:rsidR="0006786E">
        <w:t xml:space="preserve">ed.  </w:t>
      </w:r>
      <w:r w:rsidR="00972CBA">
        <w:t>Moreover,</w:t>
      </w:r>
      <w:r w:rsidR="0006786E">
        <w:t xml:space="preserve"> across occupational groups, the mean number of sites other than the low back that were painful in the year before baseline correlated with the prevalence of disabling low back pain in the month before follow-up (correlation coefficient (r) = </w:t>
      </w:r>
      <w:r w:rsidR="00972CBA">
        <w:t>0.58</w:t>
      </w:r>
      <w:r w:rsidR="0006786E">
        <w:t>)</w:t>
      </w:r>
      <w:r w:rsidR="009A092F">
        <w:t xml:space="preserve">.  </w:t>
      </w:r>
      <w:r w:rsidR="009A092F" w:rsidRPr="00255391">
        <w:t>And when account was taken of this and other</w:t>
      </w:r>
      <w:r w:rsidR="00FD7165" w:rsidRPr="00255391">
        <w:t>,</w:t>
      </w:r>
      <w:r w:rsidR="009A092F" w:rsidRPr="00255391">
        <w:t xml:space="preserve"> weaker risk factors, the variation in prevalence between occupational groups was no greater than could reasonably be expected by chance</w:t>
      </w:r>
      <w:r w:rsidR="00255391">
        <w:t xml:space="preserve">, suggesting that no other major independent </w:t>
      </w:r>
      <w:r w:rsidR="00BE6256">
        <w:t>contribu</w:t>
      </w:r>
      <w:r w:rsidR="00255391">
        <w:t>tor had been missed</w:t>
      </w:r>
      <w:r w:rsidR="009A092F" w:rsidRPr="00255391">
        <w:t>.</w:t>
      </w:r>
    </w:p>
    <w:p w:rsidR="00D57B28" w:rsidRDefault="00D57B28" w:rsidP="00342DED">
      <w:pPr>
        <w:spacing w:line="360" w:lineRule="auto"/>
        <w:jc w:val="both"/>
      </w:pPr>
    </w:p>
    <w:p w:rsidR="00D57B28" w:rsidRDefault="00D57B28" w:rsidP="00342DED">
      <w:pPr>
        <w:spacing w:line="360" w:lineRule="auto"/>
        <w:jc w:val="both"/>
      </w:pPr>
      <w:r>
        <w:t>In a second analysis, which took as its outcome, disabling wrist/hand pain in the month before follow-up, findings were broadly similar</w:t>
      </w:r>
      <w:r w:rsidR="00972CBA">
        <w:t xml:space="preserve"> </w:t>
      </w:r>
      <w:r w:rsidR="00B80509">
        <w:t>(submitted for publication)</w:t>
      </w:r>
      <w:r>
        <w:t xml:space="preserve">.  The strongest risk factor at baseline was </w:t>
      </w:r>
      <w:r w:rsidR="008E03A0">
        <w:t xml:space="preserve">the number of anatomical sites other than </w:t>
      </w:r>
      <w:r w:rsidR="008E03A0">
        <w:lastRenderedPageBreak/>
        <w:t xml:space="preserve">the wrist/hand that had been painful in the preceding year (prevalence rate ratios up to </w:t>
      </w:r>
      <w:r w:rsidR="00972CBA">
        <w:t>3.6</w:t>
      </w:r>
      <w:r w:rsidR="008E03A0">
        <w:t xml:space="preserve">), and the correlation across occupational groups between the mean number of </w:t>
      </w:r>
      <w:r w:rsidR="00FD7165">
        <w:t xml:space="preserve">such </w:t>
      </w:r>
      <w:r w:rsidR="008E03A0">
        <w:t xml:space="preserve">sites that had been painful in the year before baseline and the prevalence of disabling wrist/hand pain at follow-up was strong (r = </w:t>
      </w:r>
      <w:r w:rsidR="00E333EA">
        <w:t>0.86</w:t>
      </w:r>
      <w:r w:rsidR="008E03A0">
        <w:t>).</w:t>
      </w:r>
    </w:p>
    <w:p w:rsidR="0041392C" w:rsidRDefault="0041392C" w:rsidP="00342DED">
      <w:pPr>
        <w:spacing w:line="360" w:lineRule="auto"/>
        <w:jc w:val="both"/>
      </w:pPr>
    </w:p>
    <w:p w:rsidR="0041392C" w:rsidRDefault="0041392C" w:rsidP="00342DED">
      <w:pPr>
        <w:spacing w:line="360" w:lineRule="auto"/>
        <w:jc w:val="both"/>
      </w:pPr>
      <w:r>
        <w:t xml:space="preserve">To check that these associations did not simply reflect a tendency for workers to recall and/or report symptoms more readily in some countries than others, a third analysis </w:t>
      </w:r>
      <w:r w:rsidR="00687A1E">
        <w:t>took as its outcomes</w:t>
      </w:r>
      <w:r>
        <w:t xml:space="preserve"> sickness absence for musculoskeletal pain in the month before follow-up</w:t>
      </w:r>
      <w:r w:rsidR="00B80509">
        <w:t xml:space="preserve"> (submitted for publication)</w:t>
      </w:r>
      <w:r>
        <w:t xml:space="preserve">.  Again, </w:t>
      </w:r>
      <w:r w:rsidR="00687A1E">
        <w:t xml:space="preserve">after adjustment for other known and suspected risk factors, the reported extent of pain in the year before baseline was an important </w:t>
      </w:r>
      <w:r w:rsidR="00FD7165">
        <w:t>risk factor</w:t>
      </w:r>
      <w:r w:rsidR="00687A1E">
        <w:t xml:space="preserve">.  For example, </w:t>
      </w:r>
      <w:r w:rsidR="00C379AE">
        <w:t>235</w:t>
      </w:r>
      <w:r w:rsidR="00687A1E">
        <w:t xml:space="preserve"> participants reported absence at follow-up which they ascribed exclusively to pain in the low back pain (i.e. with no contribution from pain elsewhere). </w:t>
      </w:r>
      <w:r>
        <w:t xml:space="preserve"> </w:t>
      </w:r>
      <w:r w:rsidR="00687A1E">
        <w:t>Risk of this outcome was highest in workers who had reported pain at the most sites outside the low back in the year before baseline (</w:t>
      </w:r>
      <w:r w:rsidR="00C379AE">
        <w:t>prevalence rate ratio</w:t>
      </w:r>
      <w:r w:rsidR="00687A1E">
        <w:t xml:space="preserve"> for pain at </w:t>
      </w:r>
      <w:r w:rsidR="00C379AE">
        <w:t>≥6</w:t>
      </w:r>
      <w:r w:rsidR="00687A1E">
        <w:t xml:space="preserve"> sites </w:t>
      </w:r>
      <w:r w:rsidR="00C379AE">
        <w:t>1.8</w:t>
      </w:r>
      <w:r w:rsidR="00687A1E">
        <w:t>, 95%</w:t>
      </w:r>
      <w:r w:rsidR="00F4517A">
        <w:t xml:space="preserve"> confidence interval </w:t>
      </w:r>
      <w:r w:rsidR="00C379AE">
        <w:t>1.0</w:t>
      </w:r>
      <w:r w:rsidR="00687A1E">
        <w:t xml:space="preserve"> to </w:t>
      </w:r>
      <w:r w:rsidR="00C379AE">
        <w:t>3.2</w:t>
      </w:r>
      <w:r w:rsidR="00687A1E">
        <w:t>).</w:t>
      </w:r>
    </w:p>
    <w:p w:rsidR="006D24E4" w:rsidRDefault="006D24E4" w:rsidP="00342DED">
      <w:pPr>
        <w:spacing w:line="360" w:lineRule="auto"/>
        <w:jc w:val="both"/>
      </w:pPr>
    </w:p>
    <w:p w:rsidR="006D24E4" w:rsidRDefault="006D24E4" w:rsidP="00342DED">
      <w:pPr>
        <w:spacing w:line="360" w:lineRule="auto"/>
        <w:jc w:val="both"/>
      </w:pPr>
      <w:r>
        <w:t xml:space="preserve">To be sure that the correlation between pain at different anatomical sites was not an idiosyncrasy of the CUPID study sample, corroboration was sought </w:t>
      </w:r>
      <w:r w:rsidR="00255391">
        <w:t>from</w:t>
      </w:r>
      <w:r>
        <w:t xml:space="preserve"> an independent dataset derived from successive rounds of the European Working Conditions Survey [</w:t>
      </w:r>
      <w:r w:rsidR="00272F8E">
        <w:t>11</w:t>
      </w:r>
      <w:r>
        <w:t xml:space="preserve">]. Carried out in 2010 and 2015, these provided estimates of the-one year prevalence of pain in the low back and </w:t>
      </w:r>
      <w:r>
        <w:lastRenderedPageBreak/>
        <w:t xml:space="preserve">neck/arm in the working populations of each of </w:t>
      </w:r>
      <w:r w:rsidR="00025955">
        <w:t>33</w:t>
      </w:r>
      <w:r>
        <w:t xml:space="preserve"> European countries</w:t>
      </w:r>
      <w:r w:rsidR="00553C72">
        <w:t xml:space="preserve">.  In accordance with the CUPID study, in each of the two years, rates of low back pain correlated across countries with those of pain in the neck/arm (r = </w:t>
      </w:r>
      <w:r w:rsidR="00025955">
        <w:t>0.42</w:t>
      </w:r>
      <w:r w:rsidR="00553C72">
        <w:t xml:space="preserve"> </w:t>
      </w:r>
      <w:r w:rsidR="00025955">
        <w:t>and</w:t>
      </w:r>
      <w:r w:rsidR="00553C72">
        <w:t xml:space="preserve"> </w:t>
      </w:r>
      <w:r w:rsidR="00025955">
        <w:t>0.56</w:t>
      </w:r>
      <w:r w:rsidR="00553C72">
        <w:t xml:space="preserve">).  Moreover, when changes in the national prevalence of pain at the two anatomical sites between 2010 and 2015 were calculated, there was an even stronger correlation across countries (r = </w:t>
      </w:r>
      <w:r w:rsidR="00025955">
        <w:t>0.85</w:t>
      </w:r>
      <w:r w:rsidR="00553C72">
        <w:t>).</w:t>
      </w:r>
      <w:r>
        <w:t xml:space="preserve">   </w:t>
      </w:r>
    </w:p>
    <w:p w:rsidR="006D24E4" w:rsidRDefault="006D24E4" w:rsidP="00342DED">
      <w:pPr>
        <w:spacing w:line="360" w:lineRule="auto"/>
        <w:jc w:val="both"/>
      </w:pPr>
    </w:p>
    <w:p w:rsidR="00DF4812" w:rsidRDefault="006D24E4" w:rsidP="00342DED">
      <w:pPr>
        <w:spacing w:line="360" w:lineRule="auto"/>
        <w:jc w:val="both"/>
      </w:pPr>
      <w:r>
        <w:t xml:space="preserve">Together, these findings point to </w:t>
      </w:r>
      <w:r w:rsidR="00553C72">
        <w:t xml:space="preserve">the existence of </w:t>
      </w:r>
      <w:r>
        <w:t>one or more unidentified</w:t>
      </w:r>
      <w:r w:rsidR="00553C72">
        <w:t xml:space="preserve"> factors which cause major differences in </w:t>
      </w:r>
      <w:r w:rsidR="00EF62A5">
        <w:t xml:space="preserve">rates of </w:t>
      </w:r>
      <w:r w:rsidR="00553C72">
        <w:t xml:space="preserve">disabling </w:t>
      </w:r>
      <w:r w:rsidR="00EF62A5">
        <w:t xml:space="preserve">regional pain between countries, and which </w:t>
      </w:r>
      <w:r w:rsidR="00E226F9">
        <w:t>impact on</w:t>
      </w:r>
      <w:r w:rsidR="00EF62A5">
        <w:t xml:space="preserve"> musculoskeletal pain in general.</w:t>
      </w:r>
      <w:r w:rsidR="00297AEE">
        <w:t xml:space="preserve">  They cannot be mechanical exposures such as bending, twisting or forceful repetitive movements of the wrist and hand, the main loading from which is localised to only a few anatomical sites.  Nor can they be health beliefs specific to certain parts of the body (e.g. about </w:t>
      </w:r>
      <w:r w:rsidR="0003015A">
        <w:t>“</w:t>
      </w:r>
      <w:r w:rsidR="00297AEE">
        <w:t>RSI</w:t>
      </w:r>
      <w:r w:rsidR="0003015A">
        <w:t>”</w:t>
      </w:r>
      <w:r w:rsidR="00297AEE">
        <w:t>).</w:t>
      </w:r>
      <w:r w:rsidR="00BC04B2">
        <w:t xml:space="preserve">  In theory, there might be other physical aspects of work</w:t>
      </w:r>
      <w:r w:rsidR="00297AEE">
        <w:t xml:space="preserve"> </w:t>
      </w:r>
      <w:r w:rsidR="00BC04B2">
        <w:t>that strongly</w:t>
      </w:r>
      <w:r w:rsidR="00E226F9">
        <w:t xml:space="preserve"> predispose to pain across the trunk </w:t>
      </w:r>
      <w:r w:rsidR="0092524A">
        <w:t>and</w:t>
      </w:r>
      <w:r w:rsidR="00E226F9">
        <w:t xml:space="preserve"> upper limb, but it would be surprising that they had not </w:t>
      </w:r>
      <w:r w:rsidR="00FD7165">
        <w:t xml:space="preserve">already </w:t>
      </w:r>
      <w:r w:rsidR="00E226F9">
        <w:t xml:space="preserve">been identified </w:t>
      </w:r>
      <w:r w:rsidR="00FD7165">
        <w:t>in</w:t>
      </w:r>
      <w:r w:rsidR="00E226F9">
        <w:t xml:space="preserve"> the extensive research that has been conducted</w:t>
      </w:r>
      <w:r w:rsidR="0092524A">
        <w:t xml:space="preserve"> on mechanical causes of musculoskeletal disorders</w:t>
      </w:r>
      <w:r w:rsidR="00E226F9">
        <w:t xml:space="preserve">.  </w:t>
      </w:r>
      <w:r w:rsidR="0092524A">
        <w:t xml:space="preserve">To explain variations in prevalence of the magnitude that </w:t>
      </w:r>
      <w:r w:rsidR="00FD7165">
        <w:t>were</w:t>
      </w:r>
      <w:r w:rsidR="0092524A">
        <w:t xml:space="preserve"> found in the CUPID study, their effects would have to be much stronger than those of, say, heavy lifting</w:t>
      </w:r>
      <w:r w:rsidR="0030214C">
        <w:t xml:space="preserve"> on back pain</w:t>
      </w:r>
      <w:r w:rsidR="0092524A">
        <w:t xml:space="preserve">.  Moreover, they would need to vary substantially between countries, even among workers office workers carrying out fairly </w:t>
      </w:r>
      <w:r w:rsidR="0030214C">
        <w:t>similar</w:t>
      </w:r>
      <w:r w:rsidR="0092524A">
        <w:t xml:space="preserve"> tasks.  Much</w:t>
      </w:r>
      <w:r w:rsidR="00D331BD">
        <w:t xml:space="preserve"> more plausible </w:t>
      </w:r>
      <w:r w:rsidR="0092524A">
        <w:t xml:space="preserve">is </w:t>
      </w:r>
      <w:r w:rsidR="0092524A">
        <w:lastRenderedPageBreak/>
        <w:t>the possibility that culturally determined differences in health-related beliefs and behaviours i</w:t>
      </w:r>
      <w:r w:rsidR="00DF4812">
        <w:t>n some way modify awareness of, and responses to, pain</w:t>
      </w:r>
      <w:r w:rsidR="0030214C">
        <w:t xml:space="preserve"> –</w:t>
      </w:r>
      <w:r w:rsidR="00DF4812">
        <w:t xml:space="preserve"> perhaps through changes in the central processing of sensory information.</w:t>
      </w:r>
    </w:p>
    <w:p w:rsidR="00DF4812" w:rsidRDefault="00DF4812" w:rsidP="00342DED">
      <w:pPr>
        <w:spacing w:line="360" w:lineRule="auto"/>
        <w:jc w:val="both"/>
      </w:pPr>
    </w:p>
    <w:p w:rsidR="00986CA0" w:rsidRDefault="00B2698C" w:rsidP="00342DED">
      <w:pPr>
        <w:spacing w:line="360" w:lineRule="auto"/>
        <w:jc w:val="both"/>
      </w:pPr>
      <w:r>
        <w:t xml:space="preserve">Important for future preventive strategies, is whether these unrecognised causes </w:t>
      </w:r>
      <w:r w:rsidR="00E670BC">
        <w:t xml:space="preserve">of musculoskeletal pain and disability </w:t>
      </w:r>
      <w:r w:rsidR="002841CA">
        <w:t xml:space="preserve">could be modified, and </w:t>
      </w:r>
      <w:r w:rsidR="006702BE">
        <w:t xml:space="preserve">if so, </w:t>
      </w:r>
      <w:r w:rsidR="002841CA">
        <w:t>how</w:t>
      </w:r>
      <w:r>
        <w:t>.</w:t>
      </w:r>
      <w:r w:rsidR="004569E6">
        <w:t xml:space="preserve">  Some insight </w:t>
      </w:r>
      <w:r w:rsidR="006702BE">
        <w:t xml:space="preserve">on the first question </w:t>
      </w:r>
      <w:r w:rsidR="004569E6">
        <w:t>comes from a study of migrants from India to the UK [</w:t>
      </w:r>
      <w:r w:rsidR="00272F8E">
        <w:t>12</w:t>
      </w:r>
      <w:r w:rsidR="004569E6">
        <w:t xml:space="preserve">].  Cross-sectional data on the one-year prevalence of pain at each of </w:t>
      </w:r>
      <w:r w:rsidR="00532310">
        <w:t>five</w:t>
      </w:r>
      <w:r w:rsidR="004569E6">
        <w:t xml:space="preserve"> anatomical sites were collect</w:t>
      </w:r>
      <w:r w:rsidR="004E4BA0">
        <w:t xml:space="preserve">ed from six samples of workers </w:t>
      </w:r>
      <w:r w:rsidR="006702BE">
        <w:t>distinguished</w:t>
      </w:r>
      <w:r w:rsidR="004E4BA0">
        <w:t xml:space="preserve"> by </w:t>
      </w:r>
      <w:r w:rsidR="006702BE">
        <w:t xml:space="preserve">nature of their work (non-manual or manual) and </w:t>
      </w:r>
      <w:r w:rsidR="004E4BA0">
        <w:t>their</w:t>
      </w:r>
      <w:r w:rsidR="004569E6">
        <w:t xml:space="preserve"> </w:t>
      </w:r>
      <w:r w:rsidR="006702BE" w:rsidRPr="005411DE">
        <w:rPr>
          <w:bCs/>
        </w:rPr>
        <w:t>country of residence and ethnicity (UK white, UK of Indian subcontinental origin and Indian in India)</w:t>
      </w:r>
      <w:r w:rsidR="004E4BA0">
        <w:t xml:space="preserve">.  </w:t>
      </w:r>
      <w:r w:rsidR="00456166">
        <w:t xml:space="preserve">After adjustment for sex and age, the number of sites reported as painful was lowest among the manual workers in India, intermediate in non-manual workers in India, and highest in the four groups of workers in the UK.  Even among first generation migrants from India to the UK and those aged less than 35 years, pain at multiple sites was as frequent as in their white colleagues.  This </w:t>
      </w:r>
      <w:r w:rsidR="0030214C">
        <w:t>suggest</w:t>
      </w:r>
      <w:r w:rsidR="00456166">
        <w:t xml:space="preserve">s that </w:t>
      </w:r>
      <w:r w:rsidR="00986CA0">
        <w:t>whatever underlies</w:t>
      </w:r>
      <w:r w:rsidR="00456166">
        <w:t xml:space="preserve"> the </w:t>
      </w:r>
      <w:r w:rsidR="00986CA0">
        <w:t>higher</w:t>
      </w:r>
      <w:r w:rsidR="00456166">
        <w:t xml:space="preserve"> prevalence </w:t>
      </w:r>
      <w:r w:rsidR="00986CA0">
        <w:t>in the UK</w:t>
      </w:r>
      <w:r w:rsidR="00456166">
        <w:t xml:space="preserve"> </w:t>
      </w:r>
      <w:r w:rsidR="00986CA0" w:rsidRPr="00986CA0">
        <w:t>is environmental rather than genetic, begins to act by early in adult life, and has impact soon after people move from India to the UK.</w:t>
      </w:r>
    </w:p>
    <w:p w:rsidR="00986CA0" w:rsidRDefault="00986CA0" w:rsidP="00342DED">
      <w:pPr>
        <w:spacing w:line="360" w:lineRule="auto"/>
        <w:jc w:val="both"/>
      </w:pPr>
    </w:p>
    <w:p w:rsidR="00F4517A" w:rsidRDefault="00986CA0" w:rsidP="00342DED">
      <w:pPr>
        <w:spacing w:line="360" w:lineRule="auto"/>
        <w:jc w:val="both"/>
      </w:pPr>
      <w:r>
        <w:t xml:space="preserve">There is now a pressing need for further research to identify and characterise more fully the drivers of international differences in rates of musculoskeletal pain and disability, </w:t>
      </w:r>
      <w:r w:rsidR="0030214C">
        <w:t>aiming</w:t>
      </w:r>
      <w:r>
        <w:t xml:space="preserve"> in the long-</w:t>
      </w:r>
      <w:r>
        <w:lastRenderedPageBreak/>
        <w:t xml:space="preserve">term for new and more effective approaches to prevention.  </w:t>
      </w:r>
      <w:r w:rsidR="00532310">
        <w:t>G</w:t>
      </w:r>
      <w:r w:rsidR="00543FCA">
        <w:t xml:space="preserve">ood </w:t>
      </w:r>
      <w:r>
        <w:t xml:space="preserve">ergonomics </w:t>
      </w:r>
      <w:r w:rsidR="00543FCA">
        <w:t>has value, not least in enabling workers who have pain to remain productive</w:t>
      </w:r>
      <w:r w:rsidR="00532310">
        <w:t>.  However</w:t>
      </w:r>
      <w:r w:rsidR="00543FCA">
        <w:t xml:space="preserve">, </w:t>
      </w:r>
      <w:r w:rsidR="0030214C">
        <w:t>it</w:t>
      </w:r>
      <w:r w:rsidR="00543FCA">
        <w:t xml:space="preserve"> is unlikely </w:t>
      </w:r>
      <w:r w:rsidR="0030214C">
        <w:t xml:space="preserve">on its own </w:t>
      </w:r>
      <w:r w:rsidR="00543FCA">
        <w:t>to eliminate most of the disability from common musculoskeletal disorders in working populations.</w:t>
      </w:r>
    </w:p>
    <w:p w:rsidR="00F4517A" w:rsidRDefault="00F4517A" w:rsidP="00342DED">
      <w:pPr>
        <w:spacing w:line="360" w:lineRule="auto"/>
        <w:jc w:val="both"/>
      </w:pPr>
    </w:p>
    <w:p w:rsidR="00F4517A" w:rsidRPr="00F4517A" w:rsidRDefault="00F4517A" w:rsidP="00342DED">
      <w:pPr>
        <w:spacing w:line="360" w:lineRule="auto"/>
        <w:jc w:val="both"/>
        <w:rPr>
          <w:b/>
        </w:rPr>
      </w:pPr>
    </w:p>
    <w:p w:rsidR="00BC2A8B" w:rsidRDefault="00F4517A" w:rsidP="00E670BC">
      <w:r>
        <w:br w:type="page"/>
      </w:r>
    </w:p>
    <w:p w:rsidR="00BC2A8B" w:rsidRDefault="00BC2A8B" w:rsidP="00342DED">
      <w:pPr>
        <w:pStyle w:val="ListParagraph"/>
        <w:numPr>
          <w:ilvl w:val="0"/>
          <w:numId w:val="1"/>
        </w:numPr>
        <w:spacing w:line="360" w:lineRule="auto"/>
        <w:ind w:left="567" w:hanging="567"/>
        <w:jc w:val="both"/>
      </w:pPr>
      <w:r>
        <w:lastRenderedPageBreak/>
        <w:t>Bevan S.  Economic impact of musculoskeletal disorders (MSDs) on work in Europe.  Best Pract Res Clin Rheumatol 2015;29:356-73.</w:t>
      </w:r>
    </w:p>
    <w:p w:rsidR="00BC2A8B" w:rsidRDefault="00BC2A8B" w:rsidP="00342DED">
      <w:pPr>
        <w:spacing w:line="360" w:lineRule="auto"/>
        <w:ind w:left="567" w:hanging="567"/>
        <w:jc w:val="both"/>
      </w:pPr>
    </w:p>
    <w:p w:rsidR="00BC2A8B" w:rsidRPr="00D86108" w:rsidRDefault="00BC2A8B" w:rsidP="00342DED">
      <w:pPr>
        <w:pStyle w:val="ListParagraph"/>
        <w:numPr>
          <w:ilvl w:val="0"/>
          <w:numId w:val="1"/>
        </w:numPr>
        <w:spacing w:line="360" w:lineRule="auto"/>
        <w:ind w:left="567" w:hanging="567"/>
        <w:jc w:val="both"/>
      </w:pPr>
      <w:r w:rsidRPr="00D86108">
        <w:t>NIOSH. Musculoskeletal disorders and workplace factors: a</w:t>
      </w:r>
      <w:r>
        <w:t xml:space="preserve"> </w:t>
      </w:r>
      <w:r w:rsidRPr="00D86108">
        <w:t>critical review of epidemiologic evidence for work-related musculoskeletal disorders of the neck, upper extremity, and low back.</w:t>
      </w:r>
      <w:r>
        <w:t xml:space="preserve">  </w:t>
      </w:r>
      <w:r w:rsidRPr="00D86108">
        <w:t>NIOSH Publication No. 97–141</w:t>
      </w:r>
      <w:r>
        <w:t>.</w:t>
      </w:r>
      <w:r w:rsidRPr="00D86108">
        <w:t xml:space="preserve"> DHHS</w:t>
      </w:r>
      <w:r>
        <w:t>:</w:t>
      </w:r>
      <w:r w:rsidRPr="00D86108">
        <w:t xml:space="preserve"> Cincinnati</w:t>
      </w:r>
      <w:r>
        <w:t>, 1997</w:t>
      </w:r>
      <w:r w:rsidRPr="00D86108">
        <w:t>.</w:t>
      </w:r>
      <w:r>
        <w:t xml:space="preserve"> </w:t>
      </w:r>
      <w:hyperlink r:id="rId7" w:history="1">
        <w:r w:rsidRPr="00255616">
          <w:rPr>
            <w:rStyle w:val="Hyperlink"/>
          </w:rPr>
          <w:t>https://certisafety.com/pdf/mdwf97-141.pdf</w:t>
        </w:r>
      </w:hyperlink>
      <w:r>
        <w:t xml:space="preserve">  (accessed 12.03.19)</w:t>
      </w:r>
    </w:p>
    <w:p w:rsidR="00BC2A8B" w:rsidRPr="00D86108" w:rsidRDefault="00BC2A8B" w:rsidP="00342DED">
      <w:pPr>
        <w:pStyle w:val="ListParagraph"/>
        <w:spacing w:line="360" w:lineRule="auto"/>
        <w:jc w:val="both"/>
        <w:rPr>
          <w:bCs/>
        </w:rPr>
      </w:pPr>
    </w:p>
    <w:p w:rsidR="00BC2A8B" w:rsidRPr="001834E0" w:rsidRDefault="00BC2A8B" w:rsidP="00342DED">
      <w:pPr>
        <w:pStyle w:val="ListParagraph"/>
        <w:numPr>
          <w:ilvl w:val="0"/>
          <w:numId w:val="1"/>
        </w:numPr>
        <w:spacing w:line="360" w:lineRule="auto"/>
        <w:ind w:left="567" w:hanging="567"/>
        <w:jc w:val="both"/>
      </w:pPr>
      <w:r w:rsidRPr="009F780E">
        <w:rPr>
          <w:bCs/>
        </w:rPr>
        <w:t>Pincus T, Burton AK, Vogel S, Field AP.  A systematic review of psychological factors as predictors of chronicity/disability in prospective cohorts of low back pain.  Spine 2002;5:E109-E120.</w:t>
      </w:r>
      <w:r w:rsidRPr="001834E0">
        <w:rPr>
          <w:bCs/>
        </w:rPr>
        <w:t xml:space="preserve"> </w:t>
      </w:r>
    </w:p>
    <w:p w:rsidR="00BC2A8B" w:rsidRPr="001834E0" w:rsidRDefault="00BC2A8B" w:rsidP="00342DED">
      <w:pPr>
        <w:pStyle w:val="ListParagraph"/>
        <w:spacing w:line="360" w:lineRule="auto"/>
        <w:jc w:val="both"/>
        <w:rPr>
          <w:bCs/>
        </w:rPr>
      </w:pPr>
    </w:p>
    <w:p w:rsidR="00BC2A8B" w:rsidRDefault="00BC2A8B" w:rsidP="00342DED">
      <w:pPr>
        <w:pStyle w:val="ListParagraph"/>
        <w:numPr>
          <w:ilvl w:val="0"/>
          <w:numId w:val="1"/>
        </w:numPr>
        <w:spacing w:line="360" w:lineRule="auto"/>
        <w:ind w:left="567" w:hanging="567"/>
        <w:jc w:val="both"/>
      </w:pPr>
      <w:r w:rsidRPr="009F780E">
        <w:rPr>
          <w:bCs/>
        </w:rPr>
        <w:t>Macfarlane GJ, Hunt IM, Silman AJ.  Role of mechanical and psychosocial factors in the onset of forearm pain: prospective population based study.  Br Med J 2000;321:1-5.</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9F780E">
        <w:rPr>
          <w:bCs/>
          <w:lang w:val="en-US"/>
        </w:rPr>
        <w:t>Ramond A, Bouton C, Richard I, Roquelaure Y, Baulfreton C, Legrand E, Huez JF</w:t>
      </w:r>
      <w:r>
        <w:rPr>
          <w:bCs/>
          <w:lang w:val="en-US"/>
        </w:rPr>
        <w:t>.</w:t>
      </w:r>
      <w:r w:rsidRPr="009F780E">
        <w:rPr>
          <w:bCs/>
          <w:lang w:val="en-US"/>
        </w:rPr>
        <w:t xml:space="preserve">  Psychosocial risk factors for chronic low back pain in primary care – a systematic review. Fam Pract </w:t>
      </w:r>
      <w:r>
        <w:rPr>
          <w:bCs/>
          <w:lang w:val="en-US"/>
        </w:rPr>
        <w:t>2011;</w:t>
      </w:r>
      <w:r w:rsidRPr="009F780E">
        <w:rPr>
          <w:bCs/>
          <w:lang w:val="en-US"/>
        </w:rPr>
        <w:t>28</w:t>
      </w:r>
      <w:r>
        <w:rPr>
          <w:bCs/>
          <w:lang w:val="en-US"/>
        </w:rPr>
        <w:t>:</w:t>
      </w:r>
      <w:r w:rsidRPr="009F780E">
        <w:rPr>
          <w:bCs/>
          <w:lang w:val="en-US"/>
        </w:rPr>
        <w:t>12-21.</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7B1436">
        <w:t xml:space="preserve">Palmer KT, Reading I, Linaker C, Calnan M, </w:t>
      </w:r>
      <w:r w:rsidRPr="009F780E">
        <w:rPr>
          <w:bCs/>
        </w:rPr>
        <w:t>Coggon D</w:t>
      </w:r>
      <w:r>
        <w:t>.</w:t>
      </w:r>
      <w:r w:rsidRPr="007B1436">
        <w:t xml:space="preserve"> </w:t>
      </w:r>
      <w:r>
        <w:t xml:space="preserve"> </w:t>
      </w:r>
      <w:r w:rsidRPr="007B1436">
        <w:t>Population</w:t>
      </w:r>
      <w:r>
        <w:t xml:space="preserve"> </w:t>
      </w:r>
      <w:r w:rsidRPr="007B1436">
        <w:t xml:space="preserve">based cohort study of incident and persistent </w:t>
      </w:r>
      <w:r w:rsidRPr="007B1436">
        <w:lastRenderedPageBreak/>
        <w:t xml:space="preserve">arm pain: role of mental health, self-rated health and health beliefs.  Pain </w:t>
      </w:r>
      <w:r>
        <w:t>2008;</w:t>
      </w:r>
      <w:r w:rsidRPr="007B1436">
        <w:t>136</w:t>
      </w:r>
      <w:r>
        <w:t>:</w:t>
      </w:r>
      <w:r w:rsidRPr="007B1436">
        <w:t>30-37.</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9F780E">
        <w:rPr>
          <w:bCs/>
        </w:rPr>
        <w:t>Clinical Standards Advisory Group.  Epidemiology review: the epidemiology and cost of back pain</w:t>
      </w:r>
      <w:r>
        <w:rPr>
          <w:bCs/>
        </w:rPr>
        <w:t>.</w:t>
      </w:r>
      <w:r w:rsidRPr="009F780E">
        <w:rPr>
          <w:bCs/>
        </w:rPr>
        <w:t xml:space="preserve">  HMSO, London</w:t>
      </w:r>
      <w:r>
        <w:rPr>
          <w:bCs/>
        </w:rPr>
        <w:t>, 1994.</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9F780E">
        <w:t>Coggon D, Ntani G, Palmer KT, Felli VE, Harari R</w:t>
      </w:r>
      <w:r>
        <w:t>, Barrero LH</w:t>
      </w:r>
      <w:r w:rsidRPr="009F780E">
        <w:t xml:space="preserve"> et al. The CUPID (Cultural and Psychosocial Influences on Disability) Study:  Methods of </w:t>
      </w:r>
      <w:r>
        <w:t>d</w:t>
      </w:r>
      <w:r w:rsidRPr="009F780E">
        <w:t xml:space="preserve">ata </w:t>
      </w:r>
      <w:r>
        <w:t>c</w:t>
      </w:r>
      <w:r w:rsidRPr="009F780E">
        <w:t xml:space="preserve">ollection and </w:t>
      </w:r>
      <w:r>
        <w:t>c</w:t>
      </w:r>
      <w:r w:rsidRPr="009F780E">
        <w:t xml:space="preserve">haracteristics of </w:t>
      </w:r>
      <w:r>
        <w:t>s</w:t>
      </w:r>
      <w:r w:rsidRPr="009F780E">
        <w:t xml:space="preserve">tudy </w:t>
      </w:r>
      <w:r>
        <w:t>s</w:t>
      </w:r>
      <w:r w:rsidRPr="009F780E">
        <w:t xml:space="preserve">ample. PLoS One </w:t>
      </w:r>
      <w:r>
        <w:t>2012;</w:t>
      </w:r>
      <w:r w:rsidRPr="009F780E">
        <w:t>7:e39820.</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511499">
        <w:t xml:space="preserve">Coggon D, Ntani G, Palmer KT, Felli VE, Harari R, Barrero LH, </w:t>
      </w:r>
      <w:r>
        <w:t>et al</w:t>
      </w:r>
      <w:r w:rsidRPr="00511499">
        <w:t xml:space="preserve">.  Disabling musculoskeletal pain in working populations: Is it the job, the person or the culture?  </w:t>
      </w:r>
      <w:r w:rsidRPr="009F780E">
        <w:t>Pain</w:t>
      </w:r>
      <w:r w:rsidRPr="009F780E">
        <w:rPr>
          <w:i/>
        </w:rPr>
        <w:t xml:space="preserve"> </w:t>
      </w:r>
      <w:r w:rsidRPr="00511499">
        <w:t>2013;154:856-63.</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113D1F">
        <w:t>Coggon D, Ntani G, Palmer KT, Felli VE, Harari F, Quintana LA</w:t>
      </w:r>
      <w:r>
        <w:t>, et al</w:t>
      </w:r>
      <w:r w:rsidRPr="00113D1F">
        <w:t>. Drivers of international variation in prevalence of disabling low back pain: Findings from the CUPID Study.  Eur J Pain 2019;23:35-45.</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rsidRPr="009F780E">
        <w:t xml:space="preserve">Rizzello E, Ntani G, Coggon D.  Correlations between pain in the back and neck/upper limb in the European </w:t>
      </w:r>
      <w:r>
        <w:t>W</w:t>
      </w:r>
      <w:r w:rsidRPr="009F780E">
        <w:t xml:space="preserve">orking </w:t>
      </w:r>
      <w:r>
        <w:t>C</w:t>
      </w:r>
      <w:r w:rsidRPr="009F780E">
        <w:t xml:space="preserve">onditions </w:t>
      </w:r>
      <w:r>
        <w:t>S</w:t>
      </w:r>
      <w:r w:rsidRPr="009F780E">
        <w:t>urvey. BMC Musculoskeletal Dis 2019;20(1):38.</w:t>
      </w:r>
    </w:p>
    <w:p w:rsidR="00BC2A8B" w:rsidRDefault="00BC2A8B" w:rsidP="00342DED">
      <w:pPr>
        <w:spacing w:line="360" w:lineRule="auto"/>
        <w:ind w:left="567" w:hanging="567"/>
        <w:jc w:val="both"/>
      </w:pPr>
    </w:p>
    <w:p w:rsidR="00BC2A8B" w:rsidRDefault="00BC2A8B" w:rsidP="00342DED">
      <w:pPr>
        <w:pStyle w:val="ListParagraph"/>
        <w:numPr>
          <w:ilvl w:val="0"/>
          <w:numId w:val="1"/>
        </w:numPr>
        <w:spacing w:line="360" w:lineRule="auto"/>
        <w:ind w:left="567" w:hanging="567"/>
        <w:jc w:val="both"/>
      </w:pPr>
      <w:r>
        <w:lastRenderedPageBreak/>
        <w:t>Rizzello E, Ntani G, Madan I, Coggon D.  Mulitsite musculoskeletal pain in migrants from the Indian subcontinent to the UK: a cross-sectional study.  BMC Musculoskeletal Dis 2019 in press.</w:t>
      </w:r>
    </w:p>
    <w:p w:rsidR="006D24E4" w:rsidRDefault="00456166" w:rsidP="00342DED">
      <w:pPr>
        <w:spacing w:line="360" w:lineRule="auto"/>
        <w:jc w:val="both"/>
      </w:pPr>
      <w:r>
        <w:t xml:space="preserve"> </w:t>
      </w:r>
      <w:r w:rsidR="004E4BA0">
        <w:t xml:space="preserve"> </w:t>
      </w:r>
      <w:r w:rsidR="00B2698C">
        <w:t xml:space="preserve">   </w:t>
      </w:r>
      <w:r w:rsidR="00D331BD">
        <w:t xml:space="preserve"> </w:t>
      </w:r>
      <w:r w:rsidR="00E226F9">
        <w:t xml:space="preserve"> </w:t>
      </w:r>
      <w:r w:rsidR="00BC04B2">
        <w:t xml:space="preserve"> </w:t>
      </w:r>
      <w:r w:rsidR="00297AEE">
        <w:t xml:space="preserve"> </w:t>
      </w:r>
      <w:r w:rsidR="00EF62A5">
        <w:t xml:space="preserve"> </w:t>
      </w:r>
    </w:p>
    <w:sectPr w:rsidR="006D24E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B73" w:rsidRDefault="006A1B73" w:rsidP="00342DED">
      <w:pPr>
        <w:spacing w:line="240" w:lineRule="auto"/>
      </w:pPr>
      <w:r>
        <w:separator/>
      </w:r>
    </w:p>
  </w:endnote>
  <w:endnote w:type="continuationSeparator" w:id="0">
    <w:p w:rsidR="006A1B73" w:rsidRDefault="006A1B73" w:rsidP="00342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817264"/>
      <w:docPartObj>
        <w:docPartGallery w:val="Page Numbers (Bottom of Page)"/>
        <w:docPartUnique/>
      </w:docPartObj>
    </w:sdtPr>
    <w:sdtEndPr>
      <w:rPr>
        <w:noProof/>
      </w:rPr>
    </w:sdtEndPr>
    <w:sdtContent>
      <w:p w:rsidR="00342DED" w:rsidRDefault="00342DED">
        <w:pPr>
          <w:pStyle w:val="Footer"/>
          <w:jc w:val="center"/>
        </w:pPr>
        <w:r>
          <w:fldChar w:fldCharType="begin"/>
        </w:r>
        <w:r>
          <w:instrText xml:space="preserve"> PAGE   \* MERGEFORMAT </w:instrText>
        </w:r>
        <w:r>
          <w:fldChar w:fldCharType="separate"/>
        </w:r>
        <w:r w:rsidR="004E4205">
          <w:rPr>
            <w:noProof/>
          </w:rPr>
          <w:t>1</w:t>
        </w:r>
        <w:r>
          <w:rPr>
            <w:noProof/>
          </w:rPr>
          <w:fldChar w:fldCharType="end"/>
        </w:r>
      </w:p>
    </w:sdtContent>
  </w:sdt>
  <w:p w:rsidR="00342DED" w:rsidRDefault="00342D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B73" w:rsidRDefault="006A1B73" w:rsidP="00342DED">
      <w:pPr>
        <w:spacing w:line="240" w:lineRule="auto"/>
      </w:pPr>
      <w:r>
        <w:separator/>
      </w:r>
    </w:p>
  </w:footnote>
  <w:footnote w:type="continuationSeparator" w:id="0">
    <w:p w:rsidR="006A1B73" w:rsidRDefault="006A1B73" w:rsidP="00342D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B4CCB"/>
    <w:multiLevelType w:val="hybridMultilevel"/>
    <w:tmpl w:val="98D83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C0"/>
    <w:rsid w:val="00025955"/>
    <w:rsid w:val="0003015A"/>
    <w:rsid w:val="0006786E"/>
    <w:rsid w:val="000C03C9"/>
    <w:rsid w:val="00107A24"/>
    <w:rsid w:val="001F01C0"/>
    <w:rsid w:val="00237A9E"/>
    <w:rsid w:val="00255391"/>
    <w:rsid w:val="00272F8E"/>
    <w:rsid w:val="002841CA"/>
    <w:rsid w:val="00297AEE"/>
    <w:rsid w:val="0030214C"/>
    <w:rsid w:val="003266D2"/>
    <w:rsid w:val="00342DED"/>
    <w:rsid w:val="003B160E"/>
    <w:rsid w:val="0041392C"/>
    <w:rsid w:val="00456166"/>
    <w:rsid w:val="004569E6"/>
    <w:rsid w:val="004E4205"/>
    <w:rsid w:val="004E4BA0"/>
    <w:rsid w:val="00532310"/>
    <w:rsid w:val="00532DC5"/>
    <w:rsid w:val="00543FCA"/>
    <w:rsid w:val="00553C72"/>
    <w:rsid w:val="006702BE"/>
    <w:rsid w:val="006753CD"/>
    <w:rsid w:val="00687A1E"/>
    <w:rsid w:val="006A1B73"/>
    <w:rsid w:val="006D24E4"/>
    <w:rsid w:val="006E198F"/>
    <w:rsid w:val="006F684B"/>
    <w:rsid w:val="0072251A"/>
    <w:rsid w:val="00732296"/>
    <w:rsid w:val="0077607C"/>
    <w:rsid w:val="00787CA2"/>
    <w:rsid w:val="00860187"/>
    <w:rsid w:val="008E03A0"/>
    <w:rsid w:val="009142C1"/>
    <w:rsid w:val="0092524A"/>
    <w:rsid w:val="00972CBA"/>
    <w:rsid w:val="00986CA0"/>
    <w:rsid w:val="009A092F"/>
    <w:rsid w:val="009C26A5"/>
    <w:rsid w:val="00A11CCC"/>
    <w:rsid w:val="00A72E00"/>
    <w:rsid w:val="00B2698C"/>
    <w:rsid w:val="00B51FA3"/>
    <w:rsid w:val="00B5352F"/>
    <w:rsid w:val="00B80509"/>
    <w:rsid w:val="00BC04B2"/>
    <w:rsid w:val="00BC2A8B"/>
    <w:rsid w:val="00BE6256"/>
    <w:rsid w:val="00C379AE"/>
    <w:rsid w:val="00C839D3"/>
    <w:rsid w:val="00CA6286"/>
    <w:rsid w:val="00D272BC"/>
    <w:rsid w:val="00D331BD"/>
    <w:rsid w:val="00D53A66"/>
    <w:rsid w:val="00D57B28"/>
    <w:rsid w:val="00DD5F10"/>
    <w:rsid w:val="00DE786D"/>
    <w:rsid w:val="00DF4812"/>
    <w:rsid w:val="00E226F9"/>
    <w:rsid w:val="00E333EA"/>
    <w:rsid w:val="00E670BC"/>
    <w:rsid w:val="00E81DE2"/>
    <w:rsid w:val="00E86576"/>
    <w:rsid w:val="00EF62A5"/>
    <w:rsid w:val="00F4517A"/>
    <w:rsid w:val="00F90C8E"/>
    <w:rsid w:val="00FA248B"/>
    <w:rsid w:val="00FD7165"/>
    <w:rsid w:val="00FF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9C3EB-D224-4311-A885-F6EA0D8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07C"/>
    <w:pPr>
      <w:spacing w:after="0"/>
      <w:contextualSpacing/>
    </w:pPr>
    <w:rPr>
      <w:rFonts w:ascii="Arial" w:hAnsi="Arial" w:cs="Arial"/>
    </w:rPr>
  </w:style>
  <w:style w:type="paragraph" w:styleId="Heading1">
    <w:name w:val="heading 1"/>
    <w:basedOn w:val="Normal"/>
    <w:next w:val="Normal"/>
    <w:link w:val="Heading1Char"/>
    <w:uiPriority w:val="9"/>
    <w:qFormat/>
    <w:rsid w:val="003B160E"/>
    <w:pPr>
      <w:keepNext/>
      <w:keepLines/>
      <w:spacing w:before="480"/>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semiHidden/>
    <w:unhideWhenUsed/>
    <w:qFormat/>
    <w:rsid w:val="003B160E"/>
    <w:pPr>
      <w:keepNext/>
      <w:keepLines/>
      <w:spacing w:before="20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60E"/>
    <w:pPr>
      <w:spacing w:after="0" w:line="240" w:lineRule="auto"/>
    </w:pPr>
    <w:rPr>
      <w:rFonts w:ascii="Arial" w:hAnsi="Arial" w:cs="Arial"/>
    </w:rPr>
  </w:style>
  <w:style w:type="character" w:customStyle="1" w:styleId="Heading1Char">
    <w:name w:val="Heading 1 Char"/>
    <w:basedOn w:val="DefaultParagraphFont"/>
    <w:link w:val="Heading1"/>
    <w:uiPriority w:val="9"/>
    <w:rsid w:val="003B160E"/>
    <w:rPr>
      <w:rFonts w:ascii="Arial Narrow" w:eastAsiaTheme="majorEastAsia" w:hAnsi="Arial Narrow" w:cstheme="majorBidi"/>
      <w:b/>
      <w:bCs/>
      <w:sz w:val="24"/>
      <w:szCs w:val="28"/>
    </w:rPr>
  </w:style>
  <w:style w:type="paragraph" w:styleId="Title">
    <w:name w:val="Title"/>
    <w:basedOn w:val="Normal"/>
    <w:next w:val="Normal"/>
    <w:link w:val="TitleChar"/>
    <w:uiPriority w:val="10"/>
    <w:qFormat/>
    <w:rsid w:val="003B160E"/>
    <w:pPr>
      <w:spacing w:after="300" w:line="240" w:lineRule="auto"/>
      <w:jc w:val="center"/>
    </w:pPr>
    <w:rPr>
      <w:rFonts w:ascii="Arial Narrow" w:eastAsiaTheme="majorEastAsia" w:hAnsi="Arial Narrow" w:cstheme="majorBidi"/>
      <w:b/>
      <w:spacing w:val="5"/>
      <w:kern w:val="28"/>
      <w:sz w:val="28"/>
      <w:szCs w:val="52"/>
    </w:rPr>
  </w:style>
  <w:style w:type="character" w:customStyle="1" w:styleId="TitleChar">
    <w:name w:val="Title Char"/>
    <w:basedOn w:val="DefaultParagraphFont"/>
    <w:link w:val="Title"/>
    <w:uiPriority w:val="10"/>
    <w:rsid w:val="003B160E"/>
    <w:rPr>
      <w:rFonts w:ascii="Arial Narrow" w:eastAsiaTheme="majorEastAsia" w:hAnsi="Arial Narrow" w:cstheme="majorBidi"/>
      <w:b/>
      <w:spacing w:val="5"/>
      <w:kern w:val="28"/>
      <w:sz w:val="28"/>
      <w:szCs w:val="52"/>
    </w:rPr>
  </w:style>
  <w:style w:type="character" w:customStyle="1" w:styleId="Heading2Char">
    <w:name w:val="Heading 2 Char"/>
    <w:basedOn w:val="DefaultParagraphFont"/>
    <w:link w:val="Heading2"/>
    <w:uiPriority w:val="9"/>
    <w:semiHidden/>
    <w:rsid w:val="003B160E"/>
    <w:rPr>
      <w:rFonts w:ascii="Arial" w:eastAsiaTheme="majorEastAsia" w:hAnsi="Arial" w:cstheme="majorBidi"/>
      <w:b/>
      <w:bCs/>
      <w:i/>
      <w:szCs w:val="26"/>
    </w:rPr>
  </w:style>
  <w:style w:type="paragraph" w:styleId="ListParagraph">
    <w:name w:val="List Paragraph"/>
    <w:basedOn w:val="Normal"/>
    <w:uiPriority w:val="34"/>
    <w:qFormat/>
    <w:rsid w:val="00BC2A8B"/>
    <w:pPr>
      <w:ind w:left="720"/>
    </w:pPr>
  </w:style>
  <w:style w:type="character" w:styleId="Hyperlink">
    <w:name w:val="Hyperlink"/>
    <w:basedOn w:val="DefaultParagraphFont"/>
    <w:uiPriority w:val="99"/>
    <w:unhideWhenUsed/>
    <w:rsid w:val="00BC2A8B"/>
    <w:rPr>
      <w:color w:val="0000FF" w:themeColor="hyperlink"/>
      <w:u w:val="single"/>
    </w:rPr>
  </w:style>
  <w:style w:type="character" w:styleId="FollowedHyperlink">
    <w:name w:val="FollowedHyperlink"/>
    <w:basedOn w:val="DefaultParagraphFont"/>
    <w:uiPriority w:val="99"/>
    <w:semiHidden/>
    <w:unhideWhenUsed/>
    <w:rsid w:val="00BC2A8B"/>
    <w:rPr>
      <w:color w:val="800080" w:themeColor="followedHyperlink"/>
      <w:u w:val="single"/>
    </w:rPr>
  </w:style>
  <w:style w:type="paragraph" w:styleId="Header">
    <w:name w:val="header"/>
    <w:basedOn w:val="Normal"/>
    <w:link w:val="HeaderChar"/>
    <w:uiPriority w:val="99"/>
    <w:unhideWhenUsed/>
    <w:rsid w:val="00342DED"/>
    <w:pPr>
      <w:tabs>
        <w:tab w:val="center" w:pos="4513"/>
        <w:tab w:val="right" w:pos="9026"/>
      </w:tabs>
      <w:spacing w:line="240" w:lineRule="auto"/>
    </w:pPr>
  </w:style>
  <w:style w:type="character" w:customStyle="1" w:styleId="HeaderChar">
    <w:name w:val="Header Char"/>
    <w:basedOn w:val="DefaultParagraphFont"/>
    <w:link w:val="Header"/>
    <w:uiPriority w:val="99"/>
    <w:rsid w:val="00342DED"/>
    <w:rPr>
      <w:rFonts w:ascii="Arial" w:hAnsi="Arial" w:cs="Arial"/>
    </w:rPr>
  </w:style>
  <w:style w:type="paragraph" w:styleId="Footer">
    <w:name w:val="footer"/>
    <w:basedOn w:val="Normal"/>
    <w:link w:val="FooterChar"/>
    <w:uiPriority w:val="99"/>
    <w:unhideWhenUsed/>
    <w:rsid w:val="00342DED"/>
    <w:pPr>
      <w:tabs>
        <w:tab w:val="center" w:pos="4513"/>
        <w:tab w:val="right" w:pos="9026"/>
      </w:tabs>
      <w:spacing w:line="240" w:lineRule="auto"/>
    </w:pPr>
  </w:style>
  <w:style w:type="character" w:customStyle="1" w:styleId="FooterChar">
    <w:name w:val="Footer Char"/>
    <w:basedOn w:val="DefaultParagraphFont"/>
    <w:link w:val="Footer"/>
    <w:uiPriority w:val="99"/>
    <w:rsid w:val="00342D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ertisafety.com/pdf/mdwf97-14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1840</Words>
  <Characters>10493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dcterms:created xsi:type="dcterms:W3CDTF">2019-08-01T08:31:00Z</dcterms:created>
  <dcterms:modified xsi:type="dcterms:W3CDTF">2019-08-01T08:31:00Z</dcterms:modified>
</cp:coreProperties>
</file>