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DDAAA" w14:textId="545BA34A" w:rsidR="00657E09" w:rsidRDefault="005E2A0F" w:rsidP="008D14D6">
      <w:pPr>
        <w:tabs>
          <w:tab w:val="left" w:pos="8647"/>
        </w:tabs>
        <w:spacing w:line="360" w:lineRule="auto"/>
        <w:rPr>
          <w:b/>
        </w:rPr>
      </w:pPr>
      <w:bookmarkStart w:id="0" w:name="_GoBack"/>
      <w:bookmarkEnd w:id="0"/>
      <w:r>
        <w:rPr>
          <w:b/>
        </w:rPr>
        <w:t>Title: Primary ciliary d</w:t>
      </w:r>
      <w:r w:rsidR="00307BE7" w:rsidRPr="00307BE7">
        <w:rPr>
          <w:b/>
        </w:rPr>
        <w:t>yskinesia</w:t>
      </w:r>
      <w:r w:rsidR="000A6AA5">
        <w:rPr>
          <w:b/>
        </w:rPr>
        <w:t xml:space="preserve"> in the</w:t>
      </w:r>
      <w:r>
        <w:rPr>
          <w:b/>
        </w:rPr>
        <w:t xml:space="preserve"> genomics age</w:t>
      </w:r>
    </w:p>
    <w:p w14:paraId="5A4C73E0" w14:textId="77777777" w:rsidR="005E2A0F" w:rsidRPr="005E2A0F" w:rsidRDefault="005E2A0F" w:rsidP="008D14D6">
      <w:pPr>
        <w:tabs>
          <w:tab w:val="left" w:pos="8647"/>
        </w:tabs>
        <w:spacing w:line="360" w:lineRule="auto"/>
        <w:rPr>
          <w:b/>
        </w:rPr>
      </w:pPr>
      <w:r w:rsidRPr="005E2A0F">
        <w:rPr>
          <w:b/>
        </w:rPr>
        <w:t>Authors:</w:t>
      </w:r>
    </w:p>
    <w:p w14:paraId="05DA95F6" w14:textId="2B3176AC" w:rsidR="005E2A0F" w:rsidRDefault="00523BD7" w:rsidP="008D14D6">
      <w:pPr>
        <w:tabs>
          <w:tab w:val="left" w:pos="8647"/>
        </w:tabs>
        <w:spacing w:line="360" w:lineRule="auto"/>
        <w:rPr>
          <w:lang w:val="en-US"/>
        </w:rPr>
      </w:pPr>
      <w:r w:rsidRPr="00523BD7">
        <w:rPr>
          <w:lang w:val="en-US"/>
        </w:rPr>
        <w:t xml:space="preserve">Professor </w:t>
      </w:r>
      <w:r w:rsidR="005E2A0F" w:rsidRPr="005E2A0F">
        <w:rPr>
          <w:lang w:val="en-US"/>
        </w:rPr>
        <w:t xml:space="preserve">Jane S Lucas MD </w:t>
      </w:r>
      <w:r w:rsidR="005E2A0F" w:rsidRPr="005E2A0F">
        <w:rPr>
          <w:vertAlign w:val="superscript"/>
          <w:lang w:val="en-US"/>
        </w:rPr>
        <w:t>1,2</w:t>
      </w:r>
      <w:r w:rsidR="005E2A0F" w:rsidRPr="005E2A0F">
        <w:rPr>
          <w:lang w:val="en-US"/>
        </w:rPr>
        <w:t xml:space="preserve">  </w:t>
      </w:r>
      <w:r w:rsidR="005E2A0F" w:rsidRPr="007B28E4">
        <w:rPr>
          <w:rStyle w:val="Hyperlink"/>
          <w:lang w:val="en-US"/>
        </w:rPr>
        <w:t>jlucas1@soton.ac.uk</w:t>
      </w:r>
      <w:r w:rsidR="005E2A0F" w:rsidRPr="005E2A0F">
        <w:rPr>
          <w:lang w:val="en-US"/>
        </w:rPr>
        <w:t xml:space="preserve"> </w:t>
      </w:r>
    </w:p>
    <w:p w14:paraId="07DBAD4A" w14:textId="5D5D8234" w:rsidR="00256336" w:rsidRDefault="00523BD7" w:rsidP="008D14D6">
      <w:pPr>
        <w:tabs>
          <w:tab w:val="left" w:pos="8647"/>
        </w:tabs>
        <w:spacing w:line="360" w:lineRule="auto"/>
        <w:rPr>
          <w:lang w:val="en-US"/>
        </w:rPr>
      </w:pPr>
      <w:r w:rsidRPr="00523BD7">
        <w:rPr>
          <w:lang w:val="en-US"/>
        </w:rPr>
        <w:t xml:space="preserve">Professor </w:t>
      </w:r>
      <w:r w:rsidR="00256336">
        <w:rPr>
          <w:lang w:val="en-US"/>
        </w:rPr>
        <w:t>Stephanie</w:t>
      </w:r>
      <w:r w:rsidR="00254394">
        <w:rPr>
          <w:lang w:val="en-US"/>
        </w:rPr>
        <w:t xml:space="preserve"> D.</w:t>
      </w:r>
      <w:r w:rsidR="00256336">
        <w:rPr>
          <w:lang w:val="en-US"/>
        </w:rPr>
        <w:t xml:space="preserve"> Davis</w:t>
      </w:r>
      <w:r>
        <w:rPr>
          <w:lang w:val="en-US"/>
        </w:rPr>
        <w:t xml:space="preserve"> MD</w:t>
      </w:r>
      <w:r w:rsidR="00254394">
        <w:rPr>
          <w:vertAlign w:val="superscript"/>
          <w:lang w:val="en-US"/>
        </w:rPr>
        <w:t>3</w:t>
      </w:r>
      <w:r w:rsidR="00254394">
        <w:rPr>
          <w:lang w:val="en-US"/>
        </w:rPr>
        <w:t xml:space="preserve"> </w:t>
      </w:r>
      <w:r w:rsidR="00256336" w:rsidRPr="007B28E4">
        <w:rPr>
          <w:rStyle w:val="Hyperlink"/>
          <w:lang w:val="en-US"/>
        </w:rPr>
        <w:t>stephanie_davis@med.unc.edu</w:t>
      </w:r>
    </w:p>
    <w:p w14:paraId="09ACB9F4" w14:textId="6758F6EE" w:rsidR="00256336" w:rsidRDefault="00523BD7" w:rsidP="008D14D6">
      <w:pPr>
        <w:tabs>
          <w:tab w:val="left" w:pos="8647"/>
        </w:tabs>
        <w:spacing w:line="360" w:lineRule="auto"/>
        <w:rPr>
          <w:rStyle w:val="Hyperlink"/>
          <w:lang w:val="en-US"/>
        </w:rPr>
      </w:pPr>
      <w:r w:rsidRPr="00523BD7">
        <w:rPr>
          <w:lang w:val="en-US"/>
        </w:rPr>
        <w:t xml:space="preserve">Professor </w:t>
      </w:r>
      <w:r w:rsidR="00256336">
        <w:rPr>
          <w:lang w:val="en-US"/>
        </w:rPr>
        <w:t>Heymut Omran</w:t>
      </w:r>
      <w:r>
        <w:rPr>
          <w:lang w:val="en-US"/>
        </w:rPr>
        <w:t xml:space="preserve"> MD</w:t>
      </w:r>
      <w:r w:rsidR="002851EC" w:rsidRPr="002851EC">
        <w:rPr>
          <w:vertAlign w:val="superscript"/>
          <w:lang w:val="en-US"/>
        </w:rPr>
        <w:t>4</w:t>
      </w:r>
      <w:r w:rsidR="00256336">
        <w:rPr>
          <w:lang w:val="en-US"/>
        </w:rPr>
        <w:t xml:space="preserve"> </w:t>
      </w:r>
      <w:r w:rsidR="00256336" w:rsidRPr="007B28E4">
        <w:rPr>
          <w:rStyle w:val="Hyperlink"/>
          <w:lang w:val="en-US"/>
        </w:rPr>
        <w:t>Heymut.Omran@ukmuenster.de</w:t>
      </w:r>
    </w:p>
    <w:p w14:paraId="2DB7BEE2" w14:textId="40FC680A" w:rsidR="005E2A0F" w:rsidRPr="005E2A0F" w:rsidRDefault="00E9398F" w:rsidP="008D14D6">
      <w:pPr>
        <w:tabs>
          <w:tab w:val="left" w:pos="8647"/>
        </w:tabs>
        <w:spacing w:line="360" w:lineRule="auto"/>
        <w:rPr>
          <w:lang w:val="en-US"/>
        </w:rPr>
      </w:pPr>
      <w:r>
        <w:rPr>
          <w:lang w:val="en-US"/>
        </w:rPr>
        <w:t>Amelia Shoemark PhD</w:t>
      </w:r>
      <w:r w:rsidR="001D5D48" w:rsidRPr="001D5D48">
        <w:rPr>
          <w:vertAlign w:val="superscript"/>
          <w:lang w:val="en-US"/>
        </w:rPr>
        <w:t>5,6</w:t>
      </w:r>
      <w:r w:rsidRPr="001D5D48">
        <w:rPr>
          <w:vertAlign w:val="superscript"/>
          <w:lang w:val="en-US"/>
        </w:rPr>
        <w:t xml:space="preserve"> </w:t>
      </w:r>
      <w:r w:rsidRPr="007B28E4">
        <w:rPr>
          <w:rStyle w:val="Hyperlink"/>
          <w:lang w:val="en-US"/>
        </w:rPr>
        <w:t>a.shoemark@dundee.ac.uk</w:t>
      </w:r>
    </w:p>
    <w:p w14:paraId="7D22A6A2" w14:textId="77777777" w:rsidR="005E2A0F" w:rsidRPr="005E2A0F" w:rsidRDefault="005E2A0F" w:rsidP="008D14D6">
      <w:pPr>
        <w:tabs>
          <w:tab w:val="left" w:pos="8647"/>
        </w:tabs>
        <w:spacing w:line="360" w:lineRule="auto"/>
        <w:rPr>
          <w:lang w:val="en-US"/>
        </w:rPr>
      </w:pPr>
      <w:r w:rsidRPr="005E2A0F">
        <w:rPr>
          <w:lang w:val="en-US"/>
        </w:rPr>
        <w:t xml:space="preserve"> [1] Primary Ciliary Dyskinesia Centre, NIHR Biomedical Research Centre, University Hospital Southampton NHS Foundation Trust, Southampton, UK</w:t>
      </w:r>
    </w:p>
    <w:p w14:paraId="355FA072" w14:textId="730C5374" w:rsidR="005E2A0F" w:rsidRDefault="005E2A0F" w:rsidP="008D14D6">
      <w:pPr>
        <w:tabs>
          <w:tab w:val="left" w:pos="8647"/>
        </w:tabs>
        <w:spacing w:line="360" w:lineRule="auto"/>
        <w:rPr>
          <w:lang w:val="en-US"/>
        </w:rPr>
      </w:pPr>
      <w:r w:rsidRPr="005E2A0F">
        <w:rPr>
          <w:lang w:val="en-US"/>
        </w:rPr>
        <w:t xml:space="preserve"> [2]University of Southampton Faculty of Medicine, Academic Unit of Clinical and Experimental Medicine, Southampton, UK</w:t>
      </w:r>
    </w:p>
    <w:p w14:paraId="3AEA8573" w14:textId="5B05F3D5" w:rsidR="00254394" w:rsidRDefault="00254394" w:rsidP="008D14D6">
      <w:pPr>
        <w:tabs>
          <w:tab w:val="left" w:pos="8647"/>
        </w:tabs>
        <w:spacing w:line="360" w:lineRule="auto"/>
        <w:rPr>
          <w:lang w:val="en-US"/>
        </w:rPr>
      </w:pPr>
      <w:r>
        <w:rPr>
          <w:lang w:val="en-US"/>
        </w:rPr>
        <w:t>[3] Department of Pediatrics, Division of Pediatric Pulmonology, University of North Carolina School of Medicine, Chapel Hill, NC</w:t>
      </w:r>
      <w:r w:rsidR="00523BD7">
        <w:rPr>
          <w:lang w:val="en-US"/>
        </w:rPr>
        <w:t>, USA</w:t>
      </w:r>
    </w:p>
    <w:p w14:paraId="4695DD6F" w14:textId="2A4B60BB" w:rsidR="00957554" w:rsidRDefault="002851EC" w:rsidP="008D14D6">
      <w:pPr>
        <w:tabs>
          <w:tab w:val="left" w:pos="8647"/>
        </w:tabs>
        <w:spacing w:line="360" w:lineRule="auto"/>
        <w:rPr>
          <w:lang w:val="en-US"/>
        </w:rPr>
      </w:pPr>
      <w:r>
        <w:rPr>
          <w:lang w:val="en-US"/>
        </w:rPr>
        <w:t>[4]</w:t>
      </w:r>
      <w:r w:rsidR="00957554" w:rsidRPr="00957554">
        <w:rPr>
          <w:lang w:val="en-US"/>
        </w:rPr>
        <w:t xml:space="preserve"> Department of General Pediatrics, University Hospital Muenster, 48149 Muenster, Germany. </w:t>
      </w:r>
    </w:p>
    <w:p w14:paraId="046FDCCB" w14:textId="28CAA912" w:rsidR="00684186" w:rsidRDefault="002851EC" w:rsidP="008D14D6">
      <w:pPr>
        <w:tabs>
          <w:tab w:val="left" w:pos="8647"/>
        </w:tabs>
        <w:spacing w:line="360" w:lineRule="auto"/>
        <w:rPr>
          <w:lang w:val="en-US"/>
        </w:rPr>
      </w:pPr>
      <w:r>
        <w:rPr>
          <w:lang w:val="en-US"/>
        </w:rPr>
        <w:t xml:space="preserve">[5] </w:t>
      </w:r>
      <w:r w:rsidR="00684186">
        <w:rPr>
          <w:lang w:val="en-US"/>
        </w:rPr>
        <w:t xml:space="preserve"> </w:t>
      </w:r>
      <w:r w:rsidR="00684186" w:rsidRPr="001D5D48">
        <w:rPr>
          <w:lang w:val="en-US"/>
        </w:rPr>
        <w:t>Division of Molecular and Clinical Medicine, University of Dundee</w:t>
      </w:r>
      <w:r w:rsidR="00684186">
        <w:rPr>
          <w:lang w:val="en-US"/>
        </w:rPr>
        <w:t>, Dundee UK</w:t>
      </w:r>
    </w:p>
    <w:p w14:paraId="52760A3F" w14:textId="01C4E7CB" w:rsidR="00684186" w:rsidRPr="001D5D48" w:rsidRDefault="00684186" w:rsidP="008D14D6">
      <w:pPr>
        <w:tabs>
          <w:tab w:val="left" w:pos="8647"/>
        </w:tabs>
        <w:spacing w:line="360" w:lineRule="auto"/>
        <w:rPr>
          <w:lang w:val="en-US"/>
        </w:rPr>
      </w:pPr>
      <w:r>
        <w:rPr>
          <w:lang w:val="en-US"/>
        </w:rPr>
        <w:t xml:space="preserve"> </w:t>
      </w:r>
      <w:r w:rsidR="002851EC">
        <w:rPr>
          <w:lang w:val="en-US"/>
        </w:rPr>
        <w:t xml:space="preserve">[6] </w:t>
      </w:r>
      <w:r>
        <w:rPr>
          <w:lang w:val="en-US"/>
        </w:rPr>
        <w:t>Department of Paediatrics, Royal Brompton and Harefield NHS Trust, London, UK</w:t>
      </w:r>
    </w:p>
    <w:p w14:paraId="659AF32C" w14:textId="77777777" w:rsidR="00684186" w:rsidRPr="005E2A0F" w:rsidRDefault="00684186" w:rsidP="008D14D6">
      <w:pPr>
        <w:tabs>
          <w:tab w:val="left" w:pos="8647"/>
        </w:tabs>
        <w:spacing w:line="360" w:lineRule="auto"/>
        <w:rPr>
          <w:lang w:val="en-US"/>
        </w:rPr>
      </w:pPr>
    </w:p>
    <w:p w14:paraId="442FAA1E" w14:textId="744FE163" w:rsidR="005E2A0F" w:rsidRDefault="005E2A0F" w:rsidP="008D14D6">
      <w:pPr>
        <w:tabs>
          <w:tab w:val="left" w:pos="8647"/>
        </w:tabs>
        <w:spacing w:line="360" w:lineRule="auto"/>
        <w:rPr>
          <w:b/>
          <w:lang w:val="en-US"/>
        </w:rPr>
      </w:pPr>
      <w:r w:rsidRPr="005E2A0F">
        <w:rPr>
          <w:b/>
          <w:lang w:val="en-US"/>
        </w:rPr>
        <w:t xml:space="preserve">Correspondence: </w:t>
      </w:r>
      <w:r w:rsidRPr="005E2A0F">
        <w:rPr>
          <w:lang w:val="en-US"/>
        </w:rPr>
        <w:t xml:space="preserve">Jane Lucas, Southampton University Hospital, Mailpoint 803 F level, Tremona Road, Southampton, SO16 6YD, UK. E-mail: </w:t>
      </w:r>
      <w:r w:rsidRPr="007B28E4">
        <w:rPr>
          <w:rStyle w:val="Hyperlink"/>
          <w:lang w:val="en-US"/>
        </w:rPr>
        <w:t>jlucas1@soton.ac.uk</w:t>
      </w:r>
      <w:r w:rsidRPr="005E2A0F">
        <w:rPr>
          <w:b/>
          <w:lang w:val="en-US"/>
        </w:rPr>
        <w:t xml:space="preserve"> </w:t>
      </w:r>
    </w:p>
    <w:p w14:paraId="739E1D95" w14:textId="77777777" w:rsidR="005E2A0F" w:rsidRDefault="005E2A0F" w:rsidP="008D14D6">
      <w:pPr>
        <w:tabs>
          <w:tab w:val="left" w:pos="8647"/>
        </w:tabs>
        <w:spacing w:line="360" w:lineRule="auto"/>
        <w:rPr>
          <w:b/>
          <w:lang w:val="en-US"/>
        </w:rPr>
      </w:pPr>
    </w:p>
    <w:p w14:paraId="13E1D16C" w14:textId="5A7E3E21" w:rsidR="005E2A0F" w:rsidRPr="00A41275" w:rsidRDefault="005E2A0F" w:rsidP="008D14D6">
      <w:pPr>
        <w:tabs>
          <w:tab w:val="left" w:pos="8647"/>
        </w:tabs>
        <w:spacing w:line="360" w:lineRule="auto"/>
        <w:rPr>
          <w:b/>
        </w:rPr>
      </w:pPr>
      <w:r w:rsidRPr="00DE0C2B">
        <w:rPr>
          <w:b/>
        </w:rPr>
        <w:t xml:space="preserve">Key Words: </w:t>
      </w:r>
      <w:r w:rsidRPr="00DE0C2B">
        <w:t>primary ciliary</w:t>
      </w:r>
      <w:r w:rsidRPr="00A41275">
        <w:t xml:space="preserve"> dyskines</w:t>
      </w:r>
      <w:r w:rsidR="00256336">
        <w:t xml:space="preserve">ia, </w:t>
      </w:r>
      <w:r w:rsidR="00256336" w:rsidRPr="00256336">
        <w:rPr>
          <w:lang w:val="en-US"/>
        </w:rPr>
        <w:t>cilia, diagnosis, genetic testing, treatment</w:t>
      </w:r>
    </w:p>
    <w:p w14:paraId="592BCC1D" w14:textId="77777777" w:rsidR="005E2A0F" w:rsidRPr="005E2A0F" w:rsidRDefault="005E2A0F" w:rsidP="008D14D6">
      <w:pPr>
        <w:tabs>
          <w:tab w:val="left" w:pos="8647"/>
        </w:tabs>
        <w:spacing w:line="360" w:lineRule="auto"/>
        <w:rPr>
          <w:b/>
          <w:lang w:val="en-US"/>
        </w:rPr>
      </w:pPr>
    </w:p>
    <w:p w14:paraId="4B090942" w14:textId="3FE47C37" w:rsidR="00881FA7" w:rsidRPr="00A24CCF" w:rsidRDefault="0089099E" w:rsidP="008D14D6">
      <w:pPr>
        <w:tabs>
          <w:tab w:val="left" w:pos="8647"/>
        </w:tabs>
        <w:spacing w:line="360" w:lineRule="auto"/>
        <w:rPr>
          <w:b/>
        </w:rPr>
      </w:pPr>
      <w:r w:rsidRPr="00A24CCF">
        <w:rPr>
          <w:b/>
        </w:rPr>
        <w:t xml:space="preserve">Word </w:t>
      </w:r>
      <w:r w:rsidR="00A24CCF" w:rsidRPr="00A24CCF">
        <w:rPr>
          <w:b/>
        </w:rPr>
        <w:t xml:space="preserve">count: </w:t>
      </w:r>
      <w:r w:rsidR="00A24CCF" w:rsidRPr="00A24CCF">
        <w:t>5617</w:t>
      </w:r>
    </w:p>
    <w:p w14:paraId="20F489AF" w14:textId="77777777" w:rsidR="00881FA7" w:rsidRDefault="00881FA7" w:rsidP="008D14D6">
      <w:pPr>
        <w:tabs>
          <w:tab w:val="left" w:pos="8647"/>
        </w:tabs>
        <w:spacing w:line="360" w:lineRule="auto"/>
        <w:rPr>
          <w:b/>
        </w:rPr>
      </w:pPr>
    </w:p>
    <w:p w14:paraId="1A511C5D" w14:textId="77777777" w:rsidR="00A24CCF" w:rsidRDefault="00A24CCF" w:rsidP="008D14D6">
      <w:pPr>
        <w:tabs>
          <w:tab w:val="left" w:pos="8647"/>
        </w:tabs>
        <w:spacing w:line="360" w:lineRule="auto"/>
        <w:rPr>
          <w:b/>
        </w:rPr>
      </w:pPr>
    </w:p>
    <w:p w14:paraId="34B9EB0F" w14:textId="77777777" w:rsidR="00A24CCF" w:rsidRDefault="00A24CCF" w:rsidP="008D14D6">
      <w:pPr>
        <w:tabs>
          <w:tab w:val="left" w:pos="8647"/>
        </w:tabs>
        <w:spacing w:line="360" w:lineRule="auto"/>
        <w:rPr>
          <w:b/>
        </w:rPr>
      </w:pPr>
    </w:p>
    <w:p w14:paraId="030AA4A5" w14:textId="5002F568" w:rsidR="008B7F67" w:rsidRPr="008B7F67" w:rsidRDefault="008B7F67" w:rsidP="00561A0A">
      <w:pPr>
        <w:tabs>
          <w:tab w:val="left" w:pos="8647"/>
        </w:tabs>
        <w:spacing w:line="240" w:lineRule="auto"/>
        <w:rPr>
          <w:b/>
        </w:rPr>
      </w:pPr>
      <w:r>
        <w:rPr>
          <w:b/>
        </w:rPr>
        <w:lastRenderedPageBreak/>
        <w:t>Author’s</w:t>
      </w:r>
      <w:r w:rsidRPr="008B7F67">
        <w:rPr>
          <w:b/>
        </w:rPr>
        <w:t xml:space="preserve"> contributions: </w:t>
      </w:r>
      <w:r w:rsidRPr="008B7F67">
        <w:t xml:space="preserve">JSL planned the manuscript. All authors contributed to the </w:t>
      </w:r>
      <w:r w:rsidR="00664FB2">
        <w:t xml:space="preserve">literature search, </w:t>
      </w:r>
      <w:r w:rsidRPr="008B7F67">
        <w:t>writing, editing, and final preparation of the manuscript.</w:t>
      </w:r>
    </w:p>
    <w:p w14:paraId="769CAAB2" w14:textId="2014AEAD" w:rsidR="00280D8A" w:rsidRPr="00561A0A" w:rsidRDefault="00881FA7" w:rsidP="00561A0A">
      <w:pPr>
        <w:tabs>
          <w:tab w:val="left" w:pos="8647"/>
        </w:tabs>
        <w:spacing w:line="240" w:lineRule="auto"/>
        <w:rPr>
          <w:b/>
        </w:rPr>
      </w:pPr>
      <w:r w:rsidRPr="008B7F67">
        <w:rPr>
          <w:b/>
        </w:rPr>
        <w:t>Acknowledgements</w:t>
      </w:r>
      <w:r w:rsidR="00561A0A">
        <w:rPr>
          <w:b/>
        </w:rPr>
        <w:t xml:space="preserve">: </w:t>
      </w:r>
      <w:r w:rsidR="008B7F67">
        <w:rPr>
          <w:rFonts w:ascii="Calibri" w:eastAsia="Calibri" w:hAnsi="Calibri" w:cs="Times New Roman"/>
        </w:rPr>
        <w:t>The</w:t>
      </w:r>
      <w:r w:rsidR="0017299B" w:rsidRPr="0017299B">
        <w:rPr>
          <w:rFonts w:ascii="Calibri" w:eastAsia="Calibri" w:hAnsi="Calibri" w:cs="Times New Roman"/>
        </w:rPr>
        <w:t xml:space="preserve"> National PCD Centre</w:t>
      </w:r>
      <w:r w:rsidR="008B7F67">
        <w:rPr>
          <w:rFonts w:ascii="Calibri" w:eastAsia="Calibri" w:hAnsi="Calibri" w:cs="Times New Roman"/>
        </w:rPr>
        <w:t>s</w:t>
      </w:r>
      <w:r w:rsidR="0017299B" w:rsidRPr="0017299B">
        <w:rPr>
          <w:rFonts w:ascii="Calibri" w:eastAsia="Calibri" w:hAnsi="Calibri" w:cs="Times New Roman"/>
        </w:rPr>
        <w:t xml:space="preserve"> in Southampton</w:t>
      </w:r>
      <w:r w:rsidR="008B7F67">
        <w:rPr>
          <w:rFonts w:ascii="Calibri" w:eastAsia="Calibri" w:hAnsi="Calibri" w:cs="Times New Roman"/>
        </w:rPr>
        <w:t xml:space="preserve"> (JSL) and Royal Brompton Hospital (AS) are</w:t>
      </w:r>
      <w:r w:rsidR="0017299B" w:rsidRPr="0017299B">
        <w:rPr>
          <w:rFonts w:ascii="Calibri" w:eastAsia="Calibri" w:hAnsi="Calibri" w:cs="Times New Roman"/>
        </w:rPr>
        <w:t xml:space="preserve"> commissioned and funded by NHS E</w:t>
      </w:r>
      <w:r w:rsidR="008B7F67">
        <w:rPr>
          <w:rFonts w:ascii="Calibri" w:eastAsia="Calibri" w:hAnsi="Calibri" w:cs="Times New Roman"/>
        </w:rPr>
        <w:t>ngland.  JSL</w:t>
      </w:r>
      <w:r w:rsidR="0017299B" w:rsidRPr="0017299B">
        <w:rPr>
          <w:rFonts w:ascii="Calibri" w:eastAsia="Calibri" w:hAnsi="Calibri" w:cs="Times New Roman"/>
        </w:rPr>
        <w:t xml:space="preserve"> is supported by NIHR Southampton Biomedical Research Centre, NIHR Clinical Research Facility, National Institute for Health Research (RfPB PB-PG-1215-20014) and The AAIR Charity (Reg. No. 1129698). SD</w:t>
      </w:r>
      <w:r w:rsidR="008A23BB">
        <w:rPr>
          <w:rFonts w:ascii="Calibri" w:eastAsia="Calibri" w:hAnsi="Calibri" w:cs="Times New Roman"/>
        </w:rPr>
        <w:t>D</w:t>
      </w:r>
      <w:r w:rsidR="0017299B" w:rsidRPr="0017299B">
        <w:rPr>
          <w:rFonts w:ascii="Calibri" w:eastAsia="Calibri" w:hAnsi="Calibri" w:cs="Times New Roman"/>
        </w:rPr>
        <w:t xml:space="preserve"> is funded by </w:t>
      </w:r>
      <w:r w:rsidR="008A23BB">
        <w:rPr>
          <w:rFonts w:ascii="Calibri" w:eastAsia="Calibri" w:hAnsi="Calibri" w:cs="Times New Roman"/>
        </w:rPr>
        <w:t xml:space="preserve">the </w:t>
      </w:r>
      <w:r w:rsidR="0017299B" w:rsidRPr="0017299B">
        <w:rPr>
          <w:rFonts w:ascii="Calibri" w:eastAsia="Calibri" w:hAnsi="Calibri" w:cs="Times New Roman"/>
          <w:lang w:val="en-US"/>
        </w:rPr>
        <w:t xml:space="preserve">Genetic Disorders of Mucociliary Clearance Consortium (GDMCC) (U54HL096458),which is a part of the NCATS Rare Diseases Clinical Research Network (RDCRN).  RDCRN is an initiative of the Office of Rare Diseases Research (ORDR), NCATS, and the GDMCC is funded through a collaboration between NCATS and NHLBI.  HO is supported by grants from the German Research Foundation (Om6/4, 2 Om6/7, Om6/8, OM6/10, OM6-11/DFG KFO 326), the Interdisciplinary Center for Research (IZKF) Muenster (Om2/009/12 and Om2/015/16), BESTCILIA (FP7 grant agreement number (GA)  305404), REGISTRY WAREHOUSE (Horizon2020 GA 777295), LYSOCIL (HORIZON2020 GA 811087), NEOCYST (Federal Ministry of Education and Research (BMBF)), Schroeder Stiftung, Kindness for Kids (H. Omran), Eva Luise Köhler Foundation, Care-for Rare Foundation,  and Central Innovation Programme for Small and Medium-Sized Enterprises (ZIM). </w:t>
      </w:r>
      <w:r w:rsidR="008B7F67" w:rsidRPr="008B7F67">
        <w:rPr>
          <w:rFonts w:ascii="Calibri" w:eastAsia="Calibri" w:hAnsi="Calibri" w:cs="Times New Roman"/>
        </w:rPr>
        <w:t>JSL, AS and HO are supported by COST Action BEAT-PCD (BM 1407). HO and JSL are members of the European Reference Network on Rare Lung Diseases ERN-LUNG.</w:t>
      </w:r>
      <w:r w:rsidR="008B7F67" w:rsidRPr="008B7F67">
        <w:rPr>
          <w:rFonts w:ascii="ScalaLancetPro" w:eastAsia="ScalaLancetPro" w:cs="ScalaLancetPro"/>
          <w:sz w:val="14"/>
          <w:szCs w:val="14"/>
        </w:rPr>
        <w:t xml:space="preserve"> </w:t>
      </w:r>
      <w:r w:rsidR="008B7F67">
        <w:rPr>
          <w:rFonts w:ascii="Calibri" w:eastAsia="Calibri" w:hAnsi="Calibri" w:cs="Times New Roman"/>
        </w:rPr>
        <w:t xml:space="preserve">The funding sources </w:t>
      </w:r>
      <w:r w:rsidR="008B7F67" w:rsidRPr="008B7F67">
        <w:rPr>
          <w:rFonts w:ascii="Calibri" w:eastAsia="Calibri" w:hAnsi="Calibri" w:cs="Times New Roman"/>
        </w:rPr>
        <w:t>had no role in the writing of this Review.</w:t>
      </w:r>
    </w:p>
    <w:p w14:paraId="3F966A3C" w14:textId="52961BC1" w:rsidR="0017299B" w:rsidRPr="00561A0A" w:rsidRDefault="00561A0A" w:rsidP="00561A0A">
      <w:pPr>
        <w:tabs>
          <w:tab w:val="left" w:pos="8647"/>
        </w:tabs>
        <w:spacing w:line="240" w:lineRule="auto"/>
        <w:rPr>
          <w:b/>
          <w:lang w:val="en-US"/>
        </w:rPr>
      </w:pPr>
      <w:r>
        <w:rPr>
          <w:b/>
          <w:lang w:val="en-US"/>
        </w:rPr>
        <w:t>Declaration</w:t>
      </w:r>
      <w:r w:rsidR="00280D8A" w:rsidRPr="001C60A6">
        <w:rPr>
          <w:b/>
          <w:lang w:val="en-US"/>
        </w:rPr>
        <w:t xml:space="preserve"> of Interest</w:t>
      </w:r>
      <w:r>
        <w:rPr>
          <w:b/>
          <w:lang w:val="en-US"/>
        </w:rPr>
        <w:t xml:space="preserve">s: </w:t>
      </w:r>
      <w:r w:rsidR="00280D8A" w:rsidRPr="00A24CCF">
        <w:rPr>
          <w:b/>
          <w:lang w:val="en-US"/>
        </w:rPr>
        <w:t>JS</w:t>
      </w:r>
      <w:r w:rsidR="00974137">
        <w:rPr>
          <w:b/>
          <w:lang w:val="en-US"/>
        </w:rPr>
        <w:t>L</w:t>
      </w:r>
      <w:r w:rsidR="00974137" w:rsidRPr="00974137">
        <w:rPr>
          <w:rFonts w:ascii="Calibri" w:eastAsia="Calibri" w:hAnsi="Calibri" w:cs="Times New Roman"/>
        </w:rPr>
        <w:t xml:space="preserve"> reports grants, personal fees and non-financial support from CIRCASSIA, grants </w:t>
      </w:r>
      <w:r w:rsidR="00974137">
        <w:rPr>
          <w:rFonts w:ascii="Calibri" w:eastAsia="Calibri" w:hAnsi="Calibri" w:cs="Times New Roman"/>
        </w:rPr>
        <w:t xml:space="preserve">and personal fees from VERTEX, </w:t>
      </w:r>
      <w:r w:rsidR="00974137" w:rsidRPr="00974137">
        <w:rPr>
          <w:rFonts w:ascii="Calibri" w:eastAsia="Calibri" w:hAnsi="Calibri" w:cs="Times New Roman"/>
        </w:rPr>
        <w:t>outside the submitted work;  In a</w:t>
      </w:r>
      <w:r w:rsidR="00974137">
        <w:rPr>
          <w:rFonts w:ascii="Calibri" w:eastAsia="Calibri" w:hAnsi="Calibri" w:cs="Times New Roman"/>
        </w:rPr>
        <w:t xml:space="preserve">ddition, JL has a </w:t>
      </w:r>
      <w:r w:rsidR="00974137" w:rsidRPr="00974137">
        <w:rPr>
          <w:rFonts w:ascii="Calibri" w:eastAsia="Calibri" w:hAnsi="Calibri" w:cs="Times New Roman"/>
        </w:rPr>
        <w:t>Copyright pending</w:t>
      </w:r>
      <w:r w:rsidR="00974137">
        <w:rPr>
          <w:rFonts w:ascii="Calibri" w:eastAsia="Calibri" w:hAnsi="Calibri" w:cs="Times New Roman"/>
        </w:rPr>
        <w:t xml:space="preserve"> (QOLPCD)</w:t>
      </w:r>
      <w:r w:rsidR="00974137" w:rsidRPr="00974137">
        <w:rPr>
          <w:rFonts w:ascii="Calibri" w:eastAsia="Calibri" w:hAnsi="Calibri" w:cs="Times New Roman"/>
        </w:rPr>
        <w:t>.</w:t>
      </w:r>
      <w:r w:rsidR="00974137" w:rsidRPr="00974137">
        <w:rPr>
          <w:rFonts w:ascii="Calibri" w:eastAsia="Calibri" w:hAnsi="Calibri" w:cs="Times New Roman"/>
          <w:b/>
        </w:rPr>
        <w:t xml:space="preserve"> </w:t>
      </w:r>
      <w:r w:rsidR="00974137">
        <w:rPr>
          <w:rFonts w:ascii="Calibri" w:eastAsia="Calibri" w:hAnsi="Calibri" w:cs="Times New Roman"/>
          <w:b/>
        </w:rPr>
        <w:t>SD</w:t>
      </w:r>
      <w:r w:rsidR="008A23BB">
        <w:rPr>
          <w:rFonts w:ascii="Calibri" w:eastAsia="Calibri" w:hAnsi="Calibri" w:cs="Times New Roman"/>
          <w:b/>
        </w:rPr>
        <w:t>D</w:t>
      </w:r>
      <w:r w:rsidR="001C60A6">
        <w:rPr>
          <w:rFonts w:ascii="Calibri" w:eastAsia="Calibri" w:hAnsi="Calibri" w:cs="Times New Roman"/>
        </w:rPr>
        <w:t xml:space="preserve"> </w:t>
      </w:r>
      <w:r w:rsidR="00974137" w:rsidRPr="00974137">
        <w:rPr>
          <w:rFonts w:ascii="Calibri" w:eastAsia="Calibri" w:hAnsi="Calibri" w:cs="Times New Roman"/>
        </w:rPr>
        <w:t>reports grants from NIH</w:t>
      </w:r>
      <w:r w:rsidR="008A23BB" w:rsidRPr="008A23BB">
        <w:rPr>
          <w:rFonts w:ascii="Calibri" w:eastAsia="Calibri" w:hAnsi="Calibri" w:cs="Times New Roman"/>
        </w:rPr>
        <w:t xml:space="preserve"> that are pertinent to the work presented in this review; she also has</w:t>
      </w:r>
      <w:r w:rsidR="00DC0239">
        <w:rPr>
          <w:rFonts w:ascii="Calibri" w:eastAsia="Calibri" w:hAnsi="Calibri" w:cs="Times New Roman"/>
        </w:rPr>
        <w:t xml:space="preserve"> had</w:t>
      </w:r>
      <w:r w:rsidR="008A23BB" w:rsidRPr="008A23BB">
        <w:rPr>
          <w:rFonts w:ascii="Calibri" w:eastAsia="Calibri" w:hAnsi="Calibri" w:cs="Times New Roman"/>
        </w:rPr>
        <w:t xml:space="preserve"> grants from the</w:t>
      </w:r>
      <w:r w:rsidR="00974137">
        <w:rPr>
          <w:rFonts w:ascii="Calibri" w:eastAsia="Calibri" w:hAnsi="Calibri" w:cs="Times New Roman"/>
        </w:rPr>
        <w:t xml:space="preserve"> Cystic Fibrosis Foundation, </w:t>
      </w:r>
      <w:r w:rsidR="00974137" w:rsidRPr="00974137">
        <w:rPr>
          <w:rFonts w:ascii="Calibri" w:eastAsia="Calibri" w:hAnsi="Calibri" w:cs="Times New Roman"/>
        </w:rPr>
        <w:t xml:space="preserve"> Parion Science, Vertex, </w:t>
      </w:r>
      <w:r w:rsidR="008A23BB">
        <w:rPr>
          <w:rFonts w:ascii="Calibri" w:eastAsia="Calibri" w:hAnsi="Calibri" w:cs="Times New Roman"/>
        </w:rPr>
        <w:t xml:space="preserve">and </w:t>
      </w:r>
      <w:r w:rsidR="00974137" w:rsidRPr="00974137">
        <w:rPr>
          <w:rFonts w:ascii="Calibri" w:eastAsia="Calibri" w:hAnsi="Calibri" w:cs="Times New Roman"/>
        </w:rPr>
        <w:t>Circassia Pharmaceuticals</w:t>
      </w:r>
      <w:r w:rsidR="00974137">
        <w:rPr>
          <w:rFonts w:ascii="Calibri" w:eastAsia="Calibri" w:hAnsi="Calibri" w:cs="Times New Roman"/>
        </w:rPr>
        <w:t xml:space="preserve">,  </w:t>
      </w:r>
      <w:r w:rsidR="008A23BB">
        <w:rPr>
          <w:rFonts w:ascii="Calibri" w:eastAsia="Calibri" w:hAnsi="Calibri" w:cs="Times New Roman"/>
        </w:rPr>
        <w:t xml:space="preserve">all </w:t>
      </w:r>
      <w:r w:rsidR="00974137">
        <w:rPr>
          <w:rFonts w:ascii="Calibri" w:eastAsia="Calibri" w:hAnsi="Calibri" w:cs="Times New Roman"/>
        </w:rPr>
        <w:t>outside the submitted work;</w:t>
      </w:r>
      <w:r w:rsidR="00974137" w:rsidRPr="00974137">
        <w:rPr>
          <w:rFonts w:ascii="Calibri" w:eastAsia="Calibri" w:hAnsi="Calibri" w:cs="Times New Roman"/>
          <w:b/>
        </w:rPr>
        <w:t xml:space="preserve"> </w:t>
      </w:r>
      <w:r w:rsidR="00974137">
        <w:rPr>
          <w:rFonts w:ascii="Calibri" w:eastAsia="Calibri" w:hAnsi="Calibri" w:cs="Times New Roman"/>
          <w:b/>
        </w:rPr>
        <w:t>HO</w:t>
      </w:r>
      <w:r w:rsidR="0017299B" w:rsidRPr="0017299B">
        <w:rPr>
          <w:rFonts w:ascii="Calibri" w:eastAsia="Calibri" w:hAnsi="Calibri" w:cs="Times New Roman"/>
          <w:b/>
        </w:rPr>
        <w:t xml:space="preserve"> </w:t>
      </w:r>
      <w:r w:rsidR="00974137" w:rsidRPr="00974137">
        <w:rPr>
          <w:rFonts w:ascii="Calibri" w:eastAsia="Calibri" w:hAnsi="Calibri" w:cs="Times New Roman"/>
        </w:rPr>
        <w:t xml:space="preserve">reports </w:t>
      </w:r>
      <w:r w:rsidR="00974137">
        <w:rPr>
          <w:rFonts w:ascii="Calibri" w:eastAsia="Calibri" w:hAnsi="Calibri" w:cs="Times New Roman"/>
        </w:rPr>
        <w:t xml:space="preserve">financial activity </w:t>
      </w:r>
      <w:r w:rsidR="00974137" w:rsidRPr="00974137">
        <w:rPr>
          <w:rFonts w:ascii="Calibri" w:eastAsia="Calibri" w:hAnsi="Calibri" w:cs="Times New Roman"/>
        </w:rPr>
        <w:t>from ETHRIS, personal fees and other from VERTEX</w:t>
      </w:r>
      <w:r w:rsidR="00974137">
        <w:rPr>
          <w:rFonts w:ascii="Calibri" w:eastAsia="Calibri" w:hAnsi="Calibri" w:cs="Times New Roman"/>
        </w:rPr>
        <w:t xml:space="preserve">,  outside the submitted work; </w:t>
      </w:r>
      <w:r w:rsidR="00974137">
        <w:rPr>
          <w:rFonts w:ascii="Calibri" w:eastAsia="Calibri" w:hAnsi="Calibri" w:cs="Times New Roman"/>
          <w:b/>
        </w:rPr>
        <w:t>AS</w:t>
      </w:r>
      <w:r w:rsidR="0017299B" w:rsidRPr="001C60A6">
        <w:rPr>
          <w:rFonts w:ascii="Calibri" w:eastAsia="Calibri" w:hAnsi="Calibri" w:cs="Times New Roman"/>
          <w:b/>
        </w:rPr>
        <w:t>:</w:t>
      </w:r>
      <w:r w:rsidR="0017299B">
        <w:rPr>
          <w:rFonts w:ascii="Calibri" w:eastAsia="Calibri" w:hAnsi="Calibri" w:cs="Times New Roman"/>
        </w:rPr>
        <w:t xml:space="preserve"> </w:t>
      </w:r>
      <w:r w:rsidR="00974137">
        <w:rPr>
          <w:rFonts w:ascii="Calibri" w:eastAsia="Calibri" w:hAnsi="Calibri" w:cs="Times New Roman"/>
        </w:rPr>
        <w:t xml:space="preserve">declares </w:t>
      </w:r>
      <w:r w:rsidR="0017299B">
        <w:rPr>
          <w:rFonts w:ascii="Calibri" w:eastAsia="Calibri" w:hAnsi="Calibri" w:cs="Times New Roman"/>
        </w:rPr>
        <w:t>no conflicts</w:t>
      </w:r>
      <w:r w:rsidR="00974137">
        <w:rPr>
          <w:rFonts w:ascii="Calibri" w:eastAsia="Calibri" w:hAnsi="Calibri" w:cs="Times New Roman"/>
        </w:rPr>
        <w:t xml:space="preserve"> of interest</w:t>
      </w:r>
    </w:p>
    <w:p w14:paraId="4A73E577" w14:textId="77777777" w:rsidR="000775CD" w:rsidRPr="0017299B" w:rsidRDefault="000775CD" w:rsidP="0017299B">
      <w:pPr>
        <w:rPr>
          <w:rFonts w:ascii="Calibri" w:eastAsia="Calibri" w:hAnsi="Calibri" w:cs="Times New Roman"/>
        </w:rPr>
      </w:pPr>
    </w:p>
    <w:p w14:paraId="10935EF5" w14:textId="77777777" w:rsidR="0017299B" w:rsidRPr="00A24CCF" w:rsidRDefault="0017299B" w:rsidP="00280D8A">
      <w:pPr>
        <w:rPr>
          <w:rFonts w:ascii="Calibri" w:eastAsia="Calibri" w:hAnsi="Calibri" w:cs="Times New Roman"/>
        </w:rPr>
      </w:pPr>
    </w:p>
    <w:p w14:paraId="00425100" w14:textId="70DAB671" w:rsidR="00256336" w:rsidRPr="00A24CCF" w:rsidRDefault="00256336" w:rsidP="008D14D6">
      <w:pPr>
        <w:tabs>
          <w:tab w:val="left" w:pos="8647"/>
        </w:tabs>
        <w:spacing w:line="360" w:lineRule="auto"/>
        <w:rPr>
          <w:b/>
        </w:rPr>
      </w:pPr>
      <w:r w:rsidRPr="00A24CCF">
        <w:rPr>
          <w:b/>
        </w:rPr>
        <w:br w:type="page"/>
      </w:r>
    </w:p>
    <w:p w14:paraId="6B01706C" w14:textId="685A102A" w:rsidR="005E2A0F" w:rsidRPr="00307BE7" w:rsidRDefault="005E2A0F" w:rsidP="008D14D6">
      <w:pPr>
        <w:tabs>
          <w:tab w:val="left" w:pos="8647"/>
        </w:tabs>
        <w:spacing w:line="360" w:lineRule="auto"/>
        <w:rPr>
          <w:b/>
        </w:rPr>
      </w:pPr>
      <w:r w:rsidRPr="006027D7">
        <w:rPr>
          <w:b/>
        </w:rPr>
        <w:lastRenderedPageBreak/>
        <w:t xml:space="preserve">Abstract: </w:t>
      </w:r>
      <w:r w:rsidR="00B53990" w:rsidRPr="006027D7">
        <w:rPr>
          <w:b/>
        </w:rPr>
        <w:t>1</w:t>
      </w:r>
      <w:r w:rsidR="002C533F" w:rsidRPr="006027D7">
        <w:rPr>
          <w:b/>
        </w:rPr>
        <w:t>9</w:t>
      </w:r>
      <w:r w:rsidR="006027D7">
        <w:rPr>
          <w:b/>
        </w:rPr>
        <w:t>1</w:t>
      </w:r>
      <w:r w:rsidR="002C533F" w:rsidRPr="006027D7">
        <w:rPr>
          <w:b/>
        </w:rPr>
        <w:t>/150-200</w:t>
      </w:r>
    </w:p>
    <w:p w14:paraId="3142C8F3" w14:textId="53A3994F" w:rsidR="00307BE7" w:rsidRPr="00307BE7" w:rsidRDefault="00307BE7" w:rsidP="008D14D6">
      <w:pPr>
        <w:tabs>
          <w:tab w:val="left" w:pos="8647"/>
        </w:tabs>
        <w:spacing w:line="360" w:lineRule="auto"/>
      </w:pPr>
      <w:r w:rsidRPr="00307BE7">
        <w:t>Primary ciliary dyskinesia</w:t>
      </w:r>
      <w:r>
        <w:t xml:space="preserve"> (PCD)</w:t>
      </w:r>
      <w:r w:rsidRPr="00307BE7">
        <w:t xml:space="preserve"> is a </w:t>
      </w:r>
      <w:r>
        <w:t xml:space="preserve">genetically and clinically </w:t>
      </w:r>
      <w:r w:rsidRPr="00307BE7">
        <w:t xml:space="preserve">heterogeneous syndrome. </w:t>
      </w:r>
      <w:r>
        <w:t xml:space="preserve">Impaired function of motile cilia causes failure of mucociliary clearance.  Patients </w:t>
      </w:r>
      <w:r w:rsidR="00703C07">
        <w:t>typically present with neonatal respiratory distress of unknown cause, and then continue to have a daily wet cough, recurrent chest infections, perennial rhinosinusitis</w:t>
      </w:r>
      <w:r w:rsidR="00105B43">
        <w:t>, otitis media with effu</w:t>
      </w:r>
      <w:r w:rsidR="005E2A0F">
        <w:t>sion</w:t>
      </w:r>
      <w:r w:rsidR="00703C07">
        <w:t xml:space="preserve"> and bronchiectasis. Approximately 50% of patients have </w:t>
      </w:r>
      <w:r w:rsidR="00703C07" w:rsidRPr="00976791">
        <w:rPr>
          <w:i/>
        </w:rPr>
        <w:t>situs inversus</w:t>
      </w:r>
      <w:r w:rsidR="00105B43">
        <w:rPr>
          <w:i/>
        </w:rPr>
        <w:t>,</w:t>
      </w:r>
      <w:r w:rsidR="00703C07">
        <w:t xml:space="preserve"> and </w:t>
      </w:r>
      <w:r w:rsidR="00105B43">
        <w:t>male and female infertility is common</w:t>
      </w:r>
      <w:r w:rsidR="00976791">
        <w:t>. Whilst understanding of</w:t>
      </w:r>
      <w:r w:rsidR="00254394">
        <w:t xml:space="preserve"> the</w:t>
      </w:r>
      <w:r w:rsidR="00976791">
        <w:t xml:space="preserve"> underly</w:t>
      </w:r>
      <w:r w:rsidR="00A714D7">
        <w:t>ing genetics and disease mechanisms</w:t>
      </w:r>
      <w:r w:rsidR="00976791">
        <w:t xml:space="preserve"> have substantially advanced in recent years, there remains</w:t>
      </w:r>
      <w:r w:rsidR="00254394">
        <w:t xml:space="preserve"> a</w:t>
      </w:r>
      <w:r w:rsidR="00976791">
        <w:t xml:space="preserve"> paucity of evidence for treatment.  </w:t>
      </w:r>
      <w:r w:rsidR="005C7B4C">
        <w:t>Next generation sequencing has increased the trajectory of gene discovery, and m</w:t>
      </w:r>
      <w:r w:rsidR="00976791">
        <w:t xml:space="preserve">utations in &gt;40 genes have been reported to cause PCD, </w:t>
      </w:r>
      <w:r w:rsidR="005C7B4C">
        <w:t>with</w:t>
      </w:r>
      <w:r w:rsidR="00976791">
        <w:t xml:space="preserve"> many others likely to be </w:t>
      </w:r>
      <w:r w:rsidR="00254394">
        <w:t>discovered</w:t>
      </w:r>
      <w:r w:rsidR="00976791">
        <w:t xml:space="preserve">. </w:t>
      </w:r>
      <w:r w:rsidR="00E85253">
        <w:t xml:space="preserve">Increased knowledge of cilia genes is challenging our perceptions of the clinical phenotype, as some recently reported genes are associated with </w:t>
      </w:r>
      <w:r w:rsidR="008A23BB" w:rsidRPr="008A23BB">
        <w:t>more mild respiratory disease</w:t>
      </w:r>
      <w:r w:rsidR="00E85253">
        <w:t xml:space="preserve">. </w:t>
      </w:r>
      <w:r w:rsidR="005E2A0F">
        <w:t>D</w:t>
      </w:r>
      <w:r w:rsidR="00976791">
        <w:t xml:space="preserve">evelopments in genomics and molecular medicine are rapidly improving the diagnosis of patients, </w:t>
      </w:r>
      <w:r w:rsidR="00E85253">
        <w:t xml:space="preserve">and </w:t>
      </w:r>
      <w:r w:rsidR="006027D7">
        <w:t>a genetic cause can be identified in ap</w:t>
      </w:r>
      <w:r w:rsidR="00B47197">
        <w:t>proximately 70% of patients known to have</w:t>
      </w:r>
      <w:r w:rsidR="006027D7">
        <w:t xml:space="preserve"> PCD</w:t>
      </w:r>
      <w:r w:rsidR="00E85253">
        <w:t xml:space="preserve">. A number of groups are now investigating </w:t>
      </w:r>
      <w:r w:rsidR="00976791">
        <w:t>novel</w:t>
      </w:r>
      <w:r w:rsidR="00254394">
        <w:t xml:space="preserve"> and personalized</w:t>
      </w:r>
      <w:r w:rsidR="00976791">
        <w:t xml:space="preserve"> treatments</w:t>
      </w:r>
      <w:r w:rsidR="00E85253">
        <w:t>, although gene therapies are unlikely to be available in the near future</w:t>
      </w:r>
      <w:r w:rsidR="00254394">
        <w:t xml:space="preserve">. </w:t>
      </w:r>
    </w:p>
    <w:p w14:paraId="6A23E838" w14:textId="77777777" w:rsidR="00307BE7" w:rsidRDefault="00307BE7" w:rsidP="008D14D6">
      <w:pPr>
        <w:tabs>
          <w:tab w:val="left" w:pos="8647"/>
        </w:tabs>
        <w:spacing w:line="360" w:lineRule="auto"/>
        <w:rPr>
          <w:b/>
        </w:rPr>
      </w:pPr>
    </w:p>
    <w:p w14:paraId="7E90934B" w14:textId="77777777" w:rsidR="00307BE7" w:rsidRDefault="00307BE7" w:rsidP="008D14D6">
      <w:pPr>
        <w:tabs>
          <w:tab w:val="left" w:pos="8647"/>
        </w:tabs>
        <w:spacing w:line="360" w:lineRule="auto"/>
      </w:pPr>
    </w:p>
    <w:p w14:paraId="0B6F941E" w14:textId="4571A3CF" w:rsidR="00D070A6" w:rsidRDefault="00D070A6" w:rsidP="008D14D6">
      <w:pPr>
        <w:tabs>
          <w:tab w:val="left" w:pos="8647"/>
        </w:tabs>
        <w:spacing w:line="360" w:lineRule="auto"/>
      </w:pPr>
      <w:r>
        <w:rPr>
          <w:b/>
        </w:rPr>
        <w:t xml:space="preserve">Key messages </w:t>
      </w:r>
    </w:p>
    <w:p w14:paraId="3BB4582A" w14:textId="247F9F74" w:rsidR="008C0F70" w:rsidRDefault="008C0F70" w:rsidP="008D14D6">
      <w:pPr>
        <w:pStyle w:val="ListParagraph"/>
        <w:numPr>
          <w:ilvl w:val="0"/>
          <w:numId w:val="1"/>
        </w:numPr>
        <w:tabs>
          <w:tab w:val="left" w:pos="8647"/>
        </w:tabs>
        <w:spacing w:line="360" w:lineRule="auto"/>
      </w:pPr>
      <w:r>
        <w:t>Primary ciliary dyskinesia (PCD) is a syndrome caused by mutations in genes responsible for structure and function of motile cilia</w:t>
      </w:r>
      <w:r w:rsidR="00A8391F">
        <w:t>;</w:t>
      </w:r>
      <w:r w:rsidR="00504401">
        <w:t xml:space="preserve">although </w:t>
      </w:r>
      <w:r w:rsidR="0024483B">
        <w:t xml:space="preserve">mutations </w:t>
      </w:r>
      <w:r w:rsidR="00504401">
        <w:t xml:space="preserve">have been identified </w:t>
      </w:r>
      <w:r w:rsidR="0024483B">
        <w:t xml:space="preserve">in </w:t>
      </w:r>
      <w:r>
        <w:t xml:space="preserve">more than 40 </w:t>
      </w:r>
      <w:r w:rsidR="0024483B">
        <w:t xml:space="preserve">responsible </w:t>
      </w:r>
      <w:r>
        <w:t>genes</w:t>
      </w:r>
      <w:r w:rsidR="00504401">
        <w:t xml:space="preserve">, the genetic cause of PCD cannot yet be found in ≈25% of patients. </w:t>
      </w:r>
      <w:r w:rsidR="0024483B">
        <w:t xml:space="preserve">. </w:t>
      </w:r>
    </w:p>
    <w:p w14:paraId="0795D451" w14:textId="0F5CEEB8" w:rsidR="00A8391F" w:rsidRDefault="00A8391F" w:rsidP="00A8391F">
      <w:pPr>
        <w:pStyle w:val="ListParagraph"/>
        <w:numPr>
          <w:ilvl w:val="0"/>
          <w:numId w:val="1"/>
        </w:numPr>
      </w:pPr>
      <w:r w:rsidRPr="00A8391F">
        <w:t>A PCD diagnosis can be confirmed by identification of a hallmark ultrastructural defect by transmission electron microscopy or bi-allelic pathogenic mutations in a known PCD gene.</w:t>
      </w:r>
    </w:p>
    <w:p w14:paraId="33A60DF2" w14:textId="70F47278" w:rsidR="0024483B" w:rsidRDefault="00504401" w:rsidP="008D14D6">
      <w:pPr>
        <w:pStyle w:val="ListParagraph"/>
        <w:numPr>
          <w:ilvl w:val="0"/>
          <w:numId w:val="1"/>
        </w:numPr>
        <w:tabs>
          <w:tab w:val="left" w:pos="8647"/>
        </w:tabs>
        <w:spacing w:line="360" w:lineRule="auto"/>
      </w:pPr>
      <w:r>
        <w:t xml:space="preserve">Genetic advances </w:t>
      </w:r>
      <w:r w:rsidR="00A8391F">
        <w:t>are identifying</w:t>
      </w:r>
      <w:r>
        <w:t xml:space="preserve"> patients with</w:t>
      </w:r>
      <w:r w:rsidR="00693411">
        <w:t xml:space="preserve"> atypical presentations of PCD and </w:t>
      </w:r>
      <w:r w:rsidR="00A8391F">
        <w:t>have confirmed</w:t>
      </w:r>
      <w:r>
        <w:t xml:space="preserve"> </w:t>
      </w:r>
      <w:r w:rsidR="00693411">
        <w:t>some overlap</w:t>
      </w:r>
      <w:r w:rsidR="00A8391F">
        <w:t>s</w:t>
      </w:r>
      <w:r w:rsidR="00693411">
        <w:t xml:space="preserve"> with non-motile ciliopathies </w:t>
      </w:r>
    </w:p>
    <w:p w14:paraId="01F39AD0" w14:textId="6CD855FC" w:rsidR="00693411" w:rsidRDefault="00693411" w:rsidP="008D14D6">
      <w:pPr>
        <w:pStyle w:val="ListParagraph"/>
        <w:numPr>
          <w:ilvl w:val="0"/>
          <w:numId w:val="1"/>
        </w:numPr>
        <w:tabs>
          <w:tab w:val="left" w:pos="8647"/>
        </w:tabs>
        <w:spacing w:line="360" w:lineRule="auto"/>
      </w:pPr>
      <w:r>
        <w:t>No diagnostic test is perfect for PCD</w:t>
      </w:r>
      <w:r w:rsidR="00254394">
        <w:t xml:space="preserve">; </w:t>
      </w:r>
      <w:r>
        <w:t>therefore</w:t>
      </w:r>
      <w:r w:rsidR="00254394">
        <w:t>,</w:t>
      </w:r>
      <w:r>
        <w:t xml:space="preserve"> diagnosis relies on a combination of tests</w:t>
      </w:r>
      <w:r w:rsidR="00504401">
        <w:t xml:space="preserve"> and no test can be used in isolation.</w:t>
      </w:r>
    </w:p>
    <w:p w14:paraId="51690B1F" w14:textId="45296547" w:rsidR="008C0F70" w:rsidRDefault="00504401" w:rsidP="008C0F70">
      <w:pPr>
        <w:pStyle w:val="ListParagraph"/>
        <w:numPr>
          <w:ilvl w:val="0"/>
          <w:numId w:val="1"/>
        </w:numPr>
        <w:tabs>
          <w:tab w:val="left" w:pos="8647"/>
        </w:tabs>
        <w:spacing w:line="360" w:lineRule="auto"/>
      </w:pPr>
      <w:r>
        <w:t>A number of</w:t>
      </w:r>
      <w:r w:rsidR="008C0F70" w:rsidRPr="008C0F70">
        <w:t xml:space="preserve"> genotype-phenotype associations</w:t>
      </w:r>
      <w:r>
        <w:t xml:space="preserve"> have been described in small studies</w:t>
      </w:r>
      <w:r w:rsidR="008C0F70" w:rsidRPr="008C0F70">
        <w:t xml:space="preserve">, </w:t>
      </w:r>
      <w:r>
        <w:t xml:space="preserve">and </w:t>
      </w:r>
      <w:r w:rsidR="008C0F70" w:rsidRPr="008C0F70">
        <w:t xml:space="preserve">international collaboration and prospective registries are </w:t>
      </w:r>
      <w:r w:rsidR="00A8391F">
        <w:t xml:space="preserve">now </w:t>
      </w:r>
      <w:r w:rsidR="008C0F70" w:rsidRPr="008C0F70">
        <w:t xml:space="preserve">needed to </w:t>
      </w:r>
      <w:r>
        <w:t>properly understand these</w:t>
      </w:r>
      <w:r w:rsidR="008C0F70" w:rsidRPr="008C0F70">
        <w:t xml:space="preserve">. </w:t>
      </w:r>
    </w:p>
    <w:p w14:paraId="0DE331BA" w14:textId="0B953746" w:rsidR="008C0F70" w:rsidRPr="008C0F70" w:rsidRDefault="008812E4" w:rsidP="006C0F41">
      <w:pPr>
        <w:pStyle w:val="ListParagraph"/>
        <w:numPr>
          <w:ilvl w:val="0"/>
          <w:numId w:val="1"/>
        </w:numPr>
        <w:tabs>
          <w:tab w:val="left" w:pos="8647"/>
        </w:tabs>
        <w:spacing w:line="360" w:lineRule="auto"/>
      </w:pPr>
      <w:r w:rsidRPr="008812E4">
        <w:t>In the absence of disease-specific evidence, respi</w:t>
      </w:r>
      <w:r w:rsidR="008A23BB">
        <w:t>ratory management of PCD is based on</w:t>
      </w:r>
      <w:r w:rsidRPr="008812E4">
        <w:t xml:space="preserve"> evidence from cystic fibrosis. PCD guidelines recommend regular airway clearance and treatment of pulmonary exacerbations with antibiotics for all patients. </w:t>
      </w:r>
      <w:r w:rsidR="00504401">
        <w:t>Early steps for personalised medicine are being taken in light of ge</w:t>
      </w:r>
      <w:r w:rsidR="00A8391F">
        <w:t xml:space="preserve">netic understanding. </w:t>
      </w:r>
      <w:r w:rsidRPr="008812E4">
        <w:t xml:space="preserve">  </w:t>
      </w:r>
    </w:p>
    <w:p w14:paraId="6830840B" w14:textId="77777777" w:rsidR="008C0F70" w:rsidRDefault="008C0F70" w:rsidP="008C0F70">
      <w:pPr>
        <w:pStyle w:val="ListParagraph"/>
        <w:tabs>
          <w:tab w:val="left" w:pos="8647"/>
        </w:tabs>
        <w:spacing w:line="360" w:lineRule="auto"/>
      </w:pPr>
    </w:p>
    <w:p w14:paraId="51B9021E" w14:textId="77777777" w:rsidR="00D070A6" w:rsidRDefault="00D070A6" w:rsidP="008D14D6">
      <w:pPr>
        <w:tabs>
          <w:tab w:val="left" w:pos="8647"/>
        </w:tabs>
        <w:spacing w:line="360" w:lineRule="auto"/>
      </w:pPr>
      <w:r>
        <w:br w:type="page"/>
      </w:r>
    </w:p>
    <w:p w14:paraId="735046A2" w14:textId="493B0F68" w:rsidR="00D070A6" w:rsidRDefault="00D070A6" w:rsidP="008D14D6">
      <w:pPr>
        <w:tabs>
          <w:tab w:val="left" w:pos="8647"/>
        </w:tabs>
        <w:spacing w:line="360" w:lineRule="auto"/>
      </w:pPr>
      <w:r w:rsidRPr="007D579B">
        <w:rPr>
          <w:b/>
        </w:rPr>
        <w:t>Introduction:</w:t>
      </w:r>
      <w:r w:rsidRPr="007D579B">
        <w:t xml:space="preserve"> </w:t>
      </w:r>
      <w:r w:rsidR="00E9398F">
        <w:t xml:space="preserve"> </w:t>
      </w:r>
    </w:p>
    <w:p w14:paraId="69B2A817" w14:textId="76764288" w:rsidR="00D070A6" w:rsidRPr="00611E1E" w:rsidRDefault="00D070A6" w:rsidP="008D14D6">
      <w:pPr>
        <w:tabs>
          <w:tab w:val="left" w:pos="8647"/>
        </w:tabs>
        <w:spacing w:line="360" w:lineRule="auto"/>
      </w:pPr>
      <w:r w:rsidRPr="007D579B">
        <w:t xml:space="preserve">Primary ciliary dyskinesia (PCD) is a </w:t>
      </w:r>
      <w:r>
        <w:t>rare syndrome</w:t>
      </w:r>
      <w:r w:rsidRPr="007D579B">
        <w:t xml:space="preserve">, </w:t>
      </w:r>
      <w:r w:rsidRPr="00527D2B">
        <w:t xml:space="preserve">characterized by extensive genetic heterogeneity and clinical variability. </w:t>
      </w:r>
      <w:r w:rsidRPr="004A7041">
        <w:t xml:space="preserve">Mutations in </w:t>
      </w:r>
      <w:r w:rsidR="004A7041">
        <w:t xml:space="preserve">over </w:t>
      </w:r>
      <w:r w:rsidRPr="004A7041">
        <w:t>forty genes have</w:t>
      </w:r>
      <w:r>
        <w:t xml:space="preserve"> been rep</w:t>
      </w:r>
      <w:r w:rsidR="001B342B">
        <w:t xml:space="preserve">orted to cause PCD, and </w:t>
      </w:r>
      <w:r>
        <w:t xml:space="preserve">genes continue to be </w:t>
      </w:r>
      <w:r w:rsidR="009B1A62">
        <w:t>discovered</w:t>
      </w:r>
      <w:r>
        <w:t xml:space="preserve">. </w:t>
      </w:r>
      <w:r w:rsidRPr="007D579B">
        <w:t xml:space="preserve">Abnormal ciliary function leads to </w:t>
      </w:r>
      <w:r w:rsidR="007F0788">
        <w:t xml:space="preserve">unexpected </w:t>
      </w:r>
      <w:r w:rsidRPr="007D579B">
        <w:t>neonatal respiratory distress in term infants, persistent wet cough</w:t>
      </w:r>
      <w:r w:rsidR="007F0788">
        <w:t xml:space="preserve"> from early infancy</w:t>
      </w:r>
      <w:r w:rsidRPr="007D579B">
        <w:t xml:space="preserve">, bronchiectasis, chronic rhinosinusitis, and </w:t>
      </w:r>
      <w:r>
        <w:t xml:space="preserve">conductive </w:t>
      </w:r>
      <w:r w:rsidRPr="007D579B">
        <w:t>hearing impairm</w:t>
      </w:r>
      <w:r>
        <w:t xml:space="preserve">ent; </w:t>
      </w:r>
      <w:r w:rsidRPr="007D579B">
        <w:t xml:space="preserve">50% of patients have </w:t>
      </w:r>
      <w:r w:rsidRPr="000B5B80">
        <w:t>situs inversus</w:t>
      </w:r>
      <w:r w:rsidR="00C37DF6">
        <w:t xml:space="preserve"> </w:t>
      </w:r>
      <w:r w:rsidR="003E5E70" w:rsidRPr="003E5E70">
        <w:rPr>
          <w:noProof/>
          <w:vertAlign w:val="superscript"/>
        </w:rPr>
        <w:t>1</w:t>
      </w:r>
      <w:r w:rsidRPr="00611E1E">
        <w:t>.</w:t>
      </w:r>
      <w:r w:rsidRPr="007D579B">
        <w:t xml:space="preserve"> </w:t>
      </w:r>
      <w:r>
        <w:t xml:space="preserve"> </w:t>
      </w:r>
      <w:r w:rsidR="0042751D" w:rsidRPr="0042751D">
        <w:t>Although information regarding the prevalence of infertility in patients with PCD is poor, it is generally understood that the majority of men and a significant proportion of women are unable to conceive naturally</w:t>
      </w:r>
      <w:r w:rsidR="0042751D">
        <w:rPr>
          <w:vertAlign w:val="superscript"/>
        </w:rPr>
        <w:t>1</w:t>
      </w:r>
      <w:r w:rsidR="0042751D">
        <w:t xml:space="preserve">. </w:t>
      </w:r>
      <w:r w:rsidR="007F0788">
        <w:t xml:space="preserve">. </w:t>
      </w:r>
      <w:r w:rsidRPr="00611E1E">
        <w:t xml:space="preserve">Whilst there is little data </w:t>
      </w:r>
      <w:r w:rsidR="009B1A62">
        <w:t xml:space="preserve">evaluating </w:t>
      </w:r>
      <w:r w:rsidRPr="00611E1E">
        <w:t>the long-term outcomes for patients with PCD, it is evident that disease progression is highly variable, with some patients maintaining reasonably good lung function and quality of life into later adulthood, whilst oth</w:t>
      </w:r>
      <w:r>
        <w:t>ers have worse outcomes</w:t>
      </w:r>
      <w:r w:rsidR="004D4637" w:rsidRPr="004D4637">
        <w:rPr>
          <w:noProof/>
          <w:vertAlign w:val="superscript"/>
        </w:rPr>
        <w:t>2-5</w:t>
      </w:r>
      <w:r w:rsidRPr="00611E1E">
        <w:t>.</w:t>
      </w:r>
      <w:r>
        <w:t xml:space="preserve"> </w:t>
      </w:r>
      <w:r w:rsidR="00936050">
        <w:t xml:space="preserve">There is increasing evidence that mutations in different genes </w:t>
      </w:r>
      <w:r w:rsidR="005712D3">
        <w:t>lead to variable</w:t>
      </w:r>
      <w:r w:rsidR="00936050">
        <w:t xml:space="preserve"> phenotypes, for example some genes are never associated with situs anomalies, and variants in </w:t>
      </w:r>
      <w:r w:rsidR="005712D3">
        <w:t>others</w:t>
      </w:r>
      <w:r w:rsidR="00936050">
        <w:t xml:space="preserve"> are more likely to cause infertility </w:t>
      </w:r>
      <w:r w:rsidR="00936050" w:rsidRPr="00936050">
        <w:rPr>
          <w:noProof/>
          <w:vertAlign w:val="superscript"/>
        </w:rPr>
        <w:t>6,7</w:t>
      </w:r>
      <w:r w:rsidR="00936050">
        <w:t>. There is limited but increasing evidence that some genes are associated with severity of pulmonary disease</w:t>
      </w:r>
      <w:r w:rsidR="00936050" w:rsidRPr="00936050">
        <w:rPr>
          <w:noProof/>
          <w:vertAlign w:val="superscript"/>
        </w:rPr>
        <w:t>8-11</w:t>
      </w:r>
      <w:r w:rsidR="00936050">
        <w:t>.</w:t>
      </w:r>
    </w:p>
    <w:p w14:paraId="05E76249" w14:textId="31FC7C25" w:rsidR="00D070A6" w:rsidRPr="00611E1E" w:rsidRDefault="00D070A6" w:rsidP="008D14D6">
      <w:pPr>
        <w:tabs>
          <w:tab w:val="left" w:pos="8647"/>
        </w:tabs>
        <w:spacing w:line="360" w:lineRule="auto"/>
      </w:pPr>
      <w:r w:rsidRPr="00611E1E">
        <w:t>PCD is estim</w:t>
      </w:r>
      <w:r w:rsidR="003A45E9">
        <w:t>ated to affect</w:t>
      </w:r>
      <w:r w:rsidRPr="00611E1E">
        <w:t xml:space="preserve"> 1:10</w:t>
      </w:r>
      <w:r w:rsidR="0064551E">
        <w:t>-15</w:t>
      </w:r>
      <w:r w:rsidRPr="00611E1E">
        <w:t xml:space="preserve">,000 </w:t>
      </w:r>
      <w:r>
        <w:t>Europeans</w:t>
      </w:r>
      <w:r w:rsidRPr="00611E1E">
        <w:t xml:space="preserve">, </w:t>
      </w:r>
      <w:r>
        <w:t>and is more common</w:t>
      </w:r>
      <w:r w:rsidRPr="00611E1E">
        <w:t xml:space="preserve"> in populations with closed genetic pools</w:t>
      </w:r>
      <w:r w:rsidR="00936050" w:rsidRPr="00936050">
        <w:rPr>
          <w:noProof/>
          <w:vertAlign w:val="superscript"/>
        </w:rPr>
        <w:t>12-14</w:t>
      </w:r>
      <w:r w:rsidR="00837F41">
        <w:t>;</w:t>
      </w:r>
      <w:r>
        <w:t xml:space="preserve"> interestingly genetic heterogeneity is seen in socially isol</w:t>
      </w:r>
      <w:r w:rsidR="003E5E70">
        <w:t>ated consanguineous populations</w:t>
      </w:r>
      <w:r w:rsidR="00936050" w:rsidRPr="00936050">
        <w:rPr>
          <w:noProof/>
          <w:vertAlign w:val="superscript"/>
        </w:rPr>
        <w:t>15,16</w:t>
      </w:r>
      <w:r w:rsidRPr="00611E1E">
        <w:t xml:space="preserve">. </w:t>
      </w:r>
      <w:r w:rsidR="00A01E50">
        <w:t>Estimates of prevalence ar</w:t>
      </w:r>
      <w:r w:rsidR="00936050">
        <w:t xml:space="preserve">e limited outside Europe, but </w:t>
      </w:r>
      <w:r w:rsidR="00936050" w:rsidRPr="00501972">
        <w:t>it</w:t>
      </w:r>
      <w:r w:rsidR="00A01E50" w:rsidRPr="00501972">
        <w:t xml:space="preserve"> is expected that </w:t>
      </w:r>
      <w:r w:rsidR="005712D3" w:rsidRPr="00501972">
        <w:t xml:space="preserve">PCD is </w:t>
      </w:r>
      <w:r w:rsidR="002C533F">
        <w:t xml:space="preserve">more </w:t>
      </w:r>
      <w:r w:rsidR="005712D3" w:rsidRPr="00501972">
        <w:t>common in certain populations, such as those from</w:t>
      </w:r>
      <w:r w:rsidR="00A01E50" w:rsidRPr="00501972">
        <w:t xml:space="preserve"> Arabic countries </w:t>
      </w:r>
      <w:r w:rsidR="00936050" w:rsidRPr="009131DA">
        <w:rPr>
          <w:noProof/>
          <w:vertAlign w:val="superscript"/>
        </w:rPr>
        <w:t>17,</w:t>
      </w:r>
      <w:r w:rsidR="00936050" w:rsidRPr="00936050">
        <w:rPr>
          <w:noProof/>
          <w:vertAlign w:val="superscript"/>
        </w:rPr>
        <w:t>18</w:t>
      </w:r>
      <w:r w:rsidR="00A01E50">
        <w:t xml:space="preserve">. </w:t>
      </w:r>
      <w:r>
        <w:t>A</w:t>
      </w:r>
      <w:r w:rsidRPr="00611E1E">
        <w:t xml:space="preserve"> survey of </w:t>
      </w:r>
      <w:r>
        <w:t>European PCD specialists reported that only a small percentage of the expected patients have been diagnosed</w:t>
      </w:r>
      <w:r w:rsidRPr="00611E1E">
        <w:t>, and patient</w:t>
      </w:r>
      <w:r>
        <w:t>s reported</w:t>
      </w:r>
      <w:r w:rsidR="009B1A62">
        <w:t xml:space="preserve"> through an international survey</w:t>
      </w:r>
      <w:r>
        <w:t xml:space="preserve"> that 37% had visited a doctor with PCD-</w:t>
      </w:r>
      <w:r w:rsidRPr="00611E1E">
        <w:t>related symptoms more than 40 times be</w:t>
      </w:r>
      <w:r w:rsidR="003E5E70">
        <w:t>fore being referred for testing</w:t>
      </w:r>
      <w:r w:rsidR="00936050" w:rsidRPr="00936050">
        <w:rPr>
          <w:noProof/>
          <w:vertAlign w:val="superscript"/>
        </w:rPr>
        <w:t>12,19</w:t>
      </w:r>
      <w:r w:rsidRPr="00611E1E">
        <w:t>. The reasons for unde</w:t>
      </w:r>
      <w:r>
        <w:t>r-diagnosis are multi-factorial including difficulty accessing diagnostic services and the lack of awareness of the syn</w:t>
      </w:r>
      <w:r w:rsidR="00837F41">
        <w:t>drome amongst general physicians</w:t>
      </w:r>
      <w:r w:rsidR="00936050" w:rsidRPr="00936050">
        <w:rPr>
          <w:noProof/>
          <w:vertAlign w:val="superscript"/>
        </w:rPr>
        <w:t>19</w:t>
      </w:r>
      <w:r w:rsidRPr="00611E1E">
        <w:t>. Symp</w:t>
      </w:r>
      <w:r w:rsidR="00E9398F">
        <w:t xml:space="preserve">toms are non-specific, and </w:t>
      </w:r>
      <w:r w:rsidRPr="00611E1E">
        <w:t xml:space="preserve">patients </w:t>
      </w:r>
      <w:r w:rsidRPr="000B5B80">
        <w:t>with situs inversus, which</w:t>
      </w:r>
      <w:r>
        <w:t xml:space="preserve"> is rare in the general population, </w:t>
      </w:r>
      <w:r w:rsidRPr="00611E1E">
        <w:t>are diag</w:t>
      </w:r>
      <w:r>
        <w:t>nosed earlier than those with normal organ positioning</w:t>
      </w:r>
      <w:r w:rsidR="00936050" w:rsidRPr="00936050">
        <w:rPr>
          <w:noProof/>
          <w:vertAlign w:val="superscript"/>
        </w:rPr>
        <w:t>12</w:t>
      </w:r>
      <w:r w:rsidRPr="00611E1E">
        <w:t xml:space="preserve">. </w:t>
      </w:r>
      <w:r>
        <w:t>Clinical tools have been developed to help physician</w:t>
      </w:r>
      <w:r w:rsidR="00837F41">
        <w:t>s identify patients for testing</w:t>
      </w:r>
      <w:r w:rsidR="00936050" w:rsidRPr="00936050">
        <w:rPr>
          <w:noProof/>
          <w:vertAlign w:val="superscript"/>
        </w:rPr>
        <w:t>20,21</w:t>
      </w:r>
      <w:r>
        <w:t>, but these are based on ‘typical’ symptom</w:t>
      </w:r>
      <w:r w:rsidRPr="00694F98">
        <w:t xml:space="preserve">s. </w:t>
      </w:r>
      <w:r w:rsidRPr="007B1297">
        <w:t xml:space="preserve">We are increasingly aware of genotypes which </w:t>
      </w:r>
      <w:r w:rsidR="00C37DF6" w:rsidRPr="007B1297">
        <w:t>are associated with atypical presentations</w:t>
      </w:r>
      <w:r w:rsidR="00501972" w:rsidRPr="00501972">
        <w:t xml:space="preserve">; mutations in </w:t>
      </w:r>
      <w:r w:rsidR="00501972" w:rsidRPr="00501972">
        <w:rPr>
          <w:i/>
        </w:rPr>
        <w:t>RSPH1</w:t>
      </w:r>
      <w:r w:rsidR="00501972" w:rsidRPr="00501972">
        <w:t xml:space="preserve"> are associated with milder respiratory disease, situs solitus and nasal nitric oxide levels that are higher than the classic threshold used in identifying those with PCD</w:t>
      </w:r>
      <w:r w:rsidR="00501972">
        <w:rPr>
          <w:vertAlign w:val="superscript"/>
        </w:rPr>
        <w:t>11</w:t>
      </w:r>
      <w:r w:rsidRPr="007B1297">
        <w:t>.</w:t>
      </w:r>
    </w:p>
    <w:p w14:paraId="18B23B86" w14:textId="1DA9C154" w:rsidR="00D070A6" w:rsidRDefault="00D070A6" w:rsidP="008D14D6">
      <w:pPr>
        <w:tabs>
          <w:tab w:val="left" w:pos="8647"/>
        </w:tabs>
        <w:spacing w:line="360" w:lineRule="auto"/>
      </w:pPr>
      <w:r w:rsidRPr="00611E1E">
        <w:t xml:space="preserve">As with other </w:t>
      </w:r>
      <w:r>
        <w:t>rare diseases,</w:t>
      </w:r>
      <w:r w:rsidRPr="00611E1E">
        <w:t xml:space="preserve"> the evidence base for </w:t>
      </w:r>
      <w:r>
        <w:t>treating patients is lacking. I</w:t>
      </w:r>
      <w:r w:rsidRPr="0038173C">
        <w:t xml:space="preserve">n addition to a handful of small </w:t>
      </w:r>
      <w:r>
        <w:t>PCD studies,</w:t>
      </w:r>
      <w:r w:rsidRPr="00611E1E">
        <w:t xml:space="preserve"> con</w:t>
      </w:r>
      <w:r>
        <w:t xml:space="preserve">sensus guidelines are </w:t>
      </w:r>
      <w:r w:rsidRPr="00611E1E">
        <w:t xml:space="preserve">based on </w:t>
      </w:r>
      <w:r>
        <w:t>evidence from</w:t>
      </w:r>
      <w:r w:rsidRPr="00611E1E">
        <w:t xml:space="preserve"> </w:t>
      </w:r>
      <w:r>
        <w:t xml:space="preserve">more common disorders such as </w:t>
      </w:r>
      <w:r w:rsidRPr="00611E1E">
        <w:t>cystic fibrosis (CF)</w:t>
      </w:r>
      <w:r w:rsidR="009F3E7D">
        <w:t xml:space="preserve"> and chronic rhinosinusitis</w:t>
      </w:r>
      <w:r w:rsidR="00936050" w:rsidRPr="00936050">
        <w:rPr>
          <w:noProof/>
          <w:vertAlign w:val="superscript"/>
        </w:rPr>
        <w:t>22,23</w:t>
      </w:r>
      <w:r w:rsidRPr="00611E1E">
        <w:t xml:space="preserve">. </w:t>
      </w:r>
      <w:r>
        <w:t>These guidelines do not</w:t>
      </w:r>
      <w:r w:rsidRPr="00611E1E">
        <w:t xml:space="preserve"> consider the heterogeneous nature of PCD; </w:t>
      </w:r>
      <w:r>
        <w:t xml:space="preserve">for example, patients at risk </w:t>
      </w:r>
      <w:r w:rsidR="00DC0239">
        <w:t>for a</w:t>
      </w:r>
      <w:r>
        <w:t xml:space="preserve"> worse prognosis may justify more intensive management, and </w:t>
      </w:r>
      <w:r w:rsidRPr="00611E1E">
        <w:t xml:space="preserve">therapies that work in some patients might not </w:t>
      </w:r>
      <w:r w:rsidR="009B1A62">
        <w:t>be effective in others.</w:t>
      </w:r>
      <w:r w:rsidRPr="00611E1E">
        <w:t xml:space="preserve"> </w:t>
      </w:r>
    </w:p>
    <w:p w14:paraId="08A25594" w14:textId="056D4F45" w:rsidR="00D070A6" w:rsidRDefault="00D070A6" w:rsidP="008D14D6">
      <w:pPr>
        <w:tabs>
          <w:tab w:val="left" w:pos="8647"/>
        </w:tabs>
        <w:spacing w:line="360" w:lineRule="auto"/>
      </w:pPr>
      <w:r w:rsidRPr="00611E1E">
        <w:t xml:space="preserve">In this review, we discuss </w:t>
      </w:r>
      <w:r>
        <w:t xml:space="preserve">the current state-of-the-art regarding the </w:t>
      </w:r>
      <w:r w:rsidR="00C37DF6">
        <w:t>underlying mechanisms</w:t>
      </w:r>
      <w:r>
        <w:t xml:space="preserve"> of PCD and how this might inform our understanding of clinical presentation and natural disease progression. We review </w:t>
      </w:r>
      <w:r w:rsidRPr="00611E1E">
        <w:t xml:space="preserve">current </w:t>
      </w:r>
      <w:r w:rsidRPr="00D33F0C">
        <w:t>diagnostic and management strategies for patients with PCD</w:t>
      </w:r>
      <w:r w:rsidR="00C37DF6">
        <w:t>.</w:t>
      </w:r>
      <w:r>
        <w:t xml:space="preserve"> </w:t>
      </w:r>
      <w:r w:rsidR="00DE10E2">
        <w:t>We will discuss how the improving knowledge</w:t>
      </w:r>
      <w:r w:rsidR="00501972">
        <w:t xml:space="preserve"> of PCD genetics is </w:t>
      </w:r>
      <w:r w:rsidR="00DE10E2">
        <w:t>impact</w:t>
      </w:r>
      <w:r w:rsidR="00501972">
        <w:t>ing</w:t>
      </w:r>
      <w:r w:rsidR="00DE10E2">
        <w:t xml:space="preserve"> our understanding of the phenotype, our conduct of diagnostic testing and our management of patients. The authors reflect on the expanding phenotype, and how this challenges our definition of PCD. </w:t>
      </w:r>
    </w:p>
    <w:p w14:paraId="2D09FE2B" w14:textId="77777777" w:rsidR="00D070A6" w:rsidRDefault="00D070A6" w:rsidP="008D14D6">
      <w:pPr>
        <w:tabs>
          <w:tab w:val="left" w:pos="8647"/>
        </w:tabs>
        <w:spacing w:line="360" w:lineRule="auto"/>
        <w:rPr>
          <w:b/>
          <w:iCs/>
        </w:rPr>
      </w:pPr>
    </w:p>
    <w:p w14:paraId="56B9D6B2" w14:textId="763108B1" w:rsidR="00D070A6" w:rsidRPr="00DE4107" w:rsidRDefault="00D070A6" w:rsidP="008D14D6">
      <w:pPr>
        <w:tabs>
          <w:tab w:val="left" w:pos="8647"/>
        </w:tabs>
        <w:spacing w:line="360" w:lineRule="auto"/>
        <w:rPr>
          <w:b/>
        </w:rPr>
      </w:pPr>
      <w:r w:rsidRPr="00DE4107">
        <w:rPr>
          <w:b/>
          <w:iCs/>
        </w:rPr>
        <w:t>Search strategy and selection criteria</w:t>
      </w:r>
      <w:r>
        <w:rPr>
          <w:b/>
          <w:iCs/>
        </w:rPr>
        <w:t xml:space="preserve"> </w:t>
      </w:r>
    </w:p>
    <w:p w14:paraId="326E52E4" w14:textId="1A994D08" w:rsidR="00D070A6" w:rsidRPr="00611E1E" w:rsidRDefault="00D070A6" w:rsidP="008D14D6">
      <w:pPr>
        <w:tabs>
          <w:tab w:val="left" w:pos="8647"/>
        </w:tabs>
        <w:spacing w:line="360" w:lineRule="auto"/>
      </w:pPr>
      <w:r>
        <w:t>This</w:t>
      </w:r>
      <w:r w:rsidRPr="00611E1E">
        <w:t xml:space="preserve"> manuscript is not a systematic review but </w:t>
      </w:r>
      <w:r w:rsidR="009B1A62">
        <w:t>consists of</w:t>
      </w:r>
      <w:r w:rsidRPr="00611E1E">
        <w:t xml:space="preserve"> the authors’ expert knowledge of the disease area</w:t>
      </w:r>
      <w:r>
        <w:t xml:space="preserve"> informed by the literature; </w:t>
      </w:r>
      <w:r w:rsidRPr="00611E1E">
        <w:t>we searched PubMed</w:t>
      </w:r>
      <w:r>
        <w:t xml:space="preserve">, </w:t>
      </w:r>
      <w:r w:rsidRPr="00611E1E">
        <w:t xml:space="preserve">for </w:t>
      </w:r>
      <w:r>
        <w:t>evidence relating to</w:t>
      </w:r>
      <w:r w:rsidRPr="00611E1E">
        <w:t xml:space="preserve"> PCD</w:t>
      </w:r>
      <w:r w:rsidRPr="00093A68">
        <w:t xml:space="preserve"> in</w:t>
      </w:r>
      <w:r w:rsidR="003A45E9">
        <w:t xml:space="preserve"> the English language since 2000</w:t>
      </w:r>
      <w:r w:rsidR="0064551E">
        <w:t>: using</w:t>
      </w:r>
      <w:r>
        <w:t xml:space="preserve"> the search term “primary ciliary dyskinesia” in combination with the following: (</w:t>
      </w:r>
      <w:r w:rsidRPr="005F0878">
        <w:t>diagnosis</w:t>
      </w:r>
      <w:r w:rsidR="0064551E">
        <w:t>;</w:t>
      </w:r>
      <w:r>
        <w:t xml:space="preserve"> </w:t>
      </w:r>
      <w:r w:rsidRPr="00DE4107">
        <w:rPr>
          <w:iCs/>
        </w:rPr>
        <w:t>clinical s</w:t>
      </w:r>
      <w:r w:rsidR="0064551E">
        <w:rPr>
          <w:iCs/>
        </w:rPr>
        <w:t>ymptoms/</w:t>
      </w:r>
      <w:r w:rsidRPr="00DE4107">
        <w:rPr>
          <w:iCs/>
        </w:rPr>
        <w:t>clinical presentation/</w:t>
      </w:r>
      <w:r w:rsidR="0064551E">
        <w:t xml:space="preserve">phenotype; </w:t>
      </w:r>
      <w:r>
        <w:t>treatment/clinical tr</w:t>
      </w:r>
      <w:r w:rsidR="0064551E">
        <w:t>ial</w:t>
      </w:r>
      <w:r w:rsidR="00684186">
        <w:t>)</w:t>
      </w:r>
      <w:r w:rsidRPr="00611E1E">
        <w:t>.</w:t>
      </w:r>
      <w:r>
        <w:t xml:space="preserve"> After identifying </w:t>
      </w:r>
      <w:r w:rsidRPr="00093A68">
        <w:t>eligible studies, we checked for additional citations in their reference lists.</w:t>
      </w:r>
    </w:p>
    <w:p w14:paraId="0E613D6E" w14:textId="77777777" w:rsidR="002851EC" w:rsidRDefault="002851EC" w:rsidP="008D14D6">
      <w:pPr>
        <w:tabs>
          <w:tab w:val="left" w:pos="8647"/>
        </w:tabs>
        <w:spacing w:line="360" w:lineRule="auto"/>
      </w:pPr>
      <w:r w:rsidRPr="00D070A6">
        <w:rPr>
          <w:b/>
        </w:rPr>
        <w:t>Clinical features</w:t>
      </w:r>
      <w:r>
        <w:rPr>
          <w:b/>
        </w:rPr>
        <w:t xml:space="preserve"> </w:t>
      </w:r>
    </w:p>
    <w:p w14:paraId="437E6028" w14:textId="410F1C7F" w:rsidR="002851EC" w:rsidRPr="00C0208F" w:rsidRDefault="002851EC" w:rsidP="008D14D6">
      <w:pPr>
        <w:tabs>
          <w:tab w:val="left" w:pos="8647"/>
        </w:tabs>
        <w:spacing w:line="360" w:lineRule="auto"/>
        <w:rPr>
          <w:lang w:val="en-US"/>
        </w:rPr>
      </w:pPr>
      <w:r w:rsidRPr="00C0208F">
        <w:rPr>
          <w:lang w:val="en-US"/>
        </w:rPr>
        <w:t xml:space="preserve">Patients with PCD </w:t>
      </w:r>
      <w:r>
        <w:rPr>
          <w:lang w:val="en-US"/>
        </w:rPr>
        <w:t xml:space="preserve">usually </w:t>
      </w:r>
      <w:r w:rsidRPr="00C0208F">
        <w:rPr>
          <w:lang w:val="en-US"/>
        </w:rPr>
        <w:t>present wi</w:t>
      </w:r>
      <w:r w:rsidR="009F3E7D">
        <w:rPr>
          <w:lang w:val="en-US"/>
        </w:rPr>
        <w:t>th a classic clinical phenotype</w:t>
      </w:r>
      <w:r w:rsidR="00936050" w:rsidRPr="00936050">
        <w:rPr>
          <w:noProof/>
          <w:vertAlign w:val="superscript"/>
          <w:lang w:val="en-US"/>
        </w:rPr>
        <w:t>1,20,21,24</w:t>
      </w:r>
      <w:r w:rsidRPr="00C0208F">
        <w:rPr>
          <w:lang w:val="en-US"/>
        </w:rPr>
        <w:t>.  Defining and understanding these manifestations allows for earlier recognition and identification of these patients.  In PCD, over eighty percent of the population will present with respiratory distress at birth despite being term.  This distress typically occurs 12 to 24 hours after birth and many infants require oxygen due to hypoxemia</w:t>
      </w:r>
      <w:r w:rsidR="00936050" w:rsidRPr="00936050">
        <w:rPr>
          <w:noProof/>
          <w:vertAlign w:val="superscript"/>
          <w:lang w:val="en-US"/>
        </w:rPr>
        <w:t>25</w:t>
      </w:r>
      <w:r>
        <w:rPr>
          <w:lang w:val="en-US"/>
        </w:rPr>
        <w:t xml:space="preserve">.  Sometimes these infants </w:t>
      </w:r>
      <w:r w:rsidRPr="00C0208F">
        <w:rPr>
          <w:lang w:val="en-US"/>
        </w:rPr>
        <w:t>require supplemental oxygen for several weeks.  Furthermore, in contrast to neonates with</w:t>
      </w:r>
      <w:r>
        <w:rPr>
          <w:lang w:val="en-US"/>
        </w:rPr>
        <w:t xml:space="preserve"> other etiologies (e.g. transient tachypnea of the newborn</w:t>
      </w:r>
      <w:r w:rsidRPr="00C0208F">
        <w:rPr>
          <w:lang w:val="en-US"/>
        </w:rPr>
        <w:t>) leading to respiratory difficulties, chest radiograph findings in infants with PCD reveal lobar collapse.  Neonatologists and pulmonologists should consider PCD in term infants requiring prolonged supplemental oxygen who also present with lobar collapse on chest imaging.  The presence of situs inversus increases the possibility of PCD in this young population.  The sensitivity and specificity of having a diagnosis of PCD is 87% and 96%, respectively, in term infants who present with situs inversus, lobar collapse or ox</w:t>
      </w:r>
      <w:r w:rsidR="009F3E7D">
        <w:rPr>
          <w:lang w:val="en-US"/>
        </w:rPr>
        <w:t>ygen need for more than 2 days</w:t>
      </w:r>
      <w:r w:rsidR="00936050" w:rsidRPr="00936050">
        <w:rPr>
          <w:noProof/>
          <w:vertAlign w:val="superscript"/>
          <w:lang w:val="en-US"/>
        </w:rPr>
        <w:t>25</w:t>
      </w:r>
      <w:r w:rsidR="009F3E7D">
        <w:rPr>
          <w:lang w:val="en-US"/>
        </w:rPr>
        <w:t>.</w:t>
      </w:r>
      <w:r w:rsidRPr="00C0208F">
        <w:rPr>
          <w:lang w:val="en-US"/>
        </w:rPr>
        <w:t xml:space="preserve"> </w:t>
      </w:r>
    </w:p>
    <w:p w14:paraId="623BB08A" w14:textId="146A6D23" w:rsidR="002851EC" w:rsidRPr="00C0208F" w:rsidRDefault="002851EC" w:rsidP="008D14D6">
      <w:pPr>
        <w:tabs>
          <w:tab w:val="left" w:pos="8647"/>
        </w:tabs>
        <w:spacing w:line="360" w:lineRule="auto"/>
        <w:rPr>
          <w:lang w:val="en-US"/>
        </w:rPr>
      </w:pPr>
      <w:r w:rsidRPr="00C0208F">
        <w:rPr>
          <w:lang w:val="en-US"/>
        </w:rPr>
        <w:t xml:space="preserve">Impaired mucociliary clearance in this population leads to chronic wet cough associated with rhinorrhea.  These manifestations occur daily and typically begin during the first month of life.  </w:t>
      </w:r>
      <w:r w:rsidRPr="00D30DEB">
        <w:t>The majority of patients with P</w:t>
      </w:r>
      <w:r>
        <w:t>CD have recurrent acute otitis media,</w:t>
      </w:r>
      <w:r w:rsidRPr="00D30DEB">
        <w:t xml:space="preserve"> otitis media with eff</w:t>
      </w:r>
      <w:r w:rsidR="009F3E7D">
        <w:t>usion, and chronic otitis media</w:t>
      </w:r>
      <w:r w:rsidR="00936050" w:rsidRPr="00936050">
        <w:rPr>
          <w:noProof/>
          <w:vertAlign w:val="superscript"/>
        </w:rPr>
        <w:t>1,26,27</w:t>
      </w:r>
      <w:r w:rsidRPr="00D30DEB">
        <w:t xml:space="preserve">. </w:t>
      </w:r>
      <w:r>
        <w:rPr>
          <w:lang w:val="en-US"/>
        </w:rPr>
        <w:t>R</w:t>
      </w:r>
      <w:r w:rsidRPr="00C0208F">
        <w:rPr>
          <w:lang w:val="en-US"/>
        </w:rPr>
        <w:t>epeat ear infections</w:t>
      </w:r>
      <w:r w:rsidR="00A8339E">
        <w:rPr>
          <w:lang w:val="en-US"/>
        </w:rPr>
        <w:t xml:space="preserve"> </w:t>
      </w:r>
      <w:r w:rsidR="004D3692" w:rsidRPr="004D3692">
        <w:t>may lead to transient or permanent hearing loss, the latter causing significant morbidity later in life</w:t>
      </w:r>
      <w:r w:rsidR="004D3692">
        <w:t>.</w:t>
      </w:r>
      <w:r w:rsidRPr="00C0208F">
        <w:rPr>
          <w:lang w:val="en-US"/>
        </w:rPr>
        <w:t xml:space="preserve">  Sinusitis is a common manifestation in this population, but may not be detected in younger patients due to lack of imaging</w:t>
      </w:r>
      <w:r w:rsidR="00936050" w:rsidRPr="00936050">
        <w:rPr>
          <w:noProof/>
          <w:vertAlign w:val="superscript"/>
          <w:lang w:val="en-US"/>
        </w:rPr>
        <w:t>8,23</w:t>
      </w:r>
      <w:r w:rsidR="009F3E7D">
        <w:rPr>
          <w:lang w:val="en-US"/>
        </w:rPr>
        <w:t>.</w:t>
      </w:r>
      <w:r w:rsidRPr="00C0208F">
        <w:rPr>
          <w:lang w:val="en-US"/>
        </w:rPr>
        <w:t xml:space="preserve"> </w:t>
      </w:r>
    </w:p>
    <w:p w14:paraId="26F083BD" w14:textId="68582082" w:rsidR="002851EC" w:rsidRPr="00C0208F" w:rsidRDefault="002851EC" w:rsidP="008D14D6">
      <w:pPr>
        <w:tabs>
          <w:tab w:val="left" w:pos="8647"/>
        </w:tabs>
        <w:spacing w:line="360" w:lineRule="auto"/>
        <w:rPr>
          <w:lang w:val="en-US"/>
        </w:rPr>
      </w:pPr>
      <w:r>
        <w:rPr>
          <w:lang w:val="en-US"/>
        </w:rPr>
        <w:t>E</w:t>
      </w:r>
      <w:r w:rsidRPr="007702C1">
        <w:rPr>
          <w:lang w:val="en-US"/>
        </w:rPr>
        <w:t>ven when well</w:t>
      </w:r>
      <w:r>
        <w:rPr>
          <w:lang w:val="en-US"/>
        </w:rPr>
        <w:t>, a</w:t>
      </w:r>
      <w:r w:rsidRPr="00C0208F">
        <w:rPr>
          <w:lang w:val="en-US"/>
        </w:rPr>
        <w:t xml:space="preserve">uscultation of the chest typically reveals coarse crackles that may clear after </w:t>
      </w:r>
      <w:r w:rsidRPr="007702C1">
        <w:rPr>
          <w:lang w:val="en-US"/>
        </w:rPr>
        <w:t xml:space="preserve">coughing.  </w:t>
      </w:r>
      <w:r w:rsidRPr="00C0208F">
        <w:rPr>
          <w:lang w:val="en-US"/>
        </w:rPr>
        <w:t xml:space="preserve">Recurrent pulmonary infections due to impaired mucociliary clearance ultimately leads to bronchiectasis.  </w:t>
      </w:r>
      <w:r w:rsidRPr="007702C1">
        <w:rPr>
          <w:lang w:val="en-US"/>
        </w:rPr>
        <w:t xml:space="preserve">Recurrent pneumonias and bronchitis occur in the PCD population. Respiratory cultures (sputum, bronchoalveolar lavage) in the younger population reveal </w:t>
      </w:r>
      <w:r w:rsidRPr="007702C1">
        <w:rPr>
          <w:i/>
          <w:lang w:val="en-US"/>
        </w:rPr>
        <w:t>Streptococcus pneumonia</w:t>
      </w:r>
      <w:r w:rsidRPr="007702C1">
        <w:rPr>
          <w:lang w:val="en-US"/>
        </w:rPr>
        <w:t xml:space="preserve">, </w:t>
      </w:r>
      <w:r w:rsidRPr="007702C1">
        <w:rPr>
          <w:i/>
          <w:lang w:val="en-US"/>
        </w:rPr>
        <w:t>Moraxella catarrhalis</w:t>
      </w:r>
      <w:r w:rsidRPr="007702C1">
        <w:rPr>
          <w:lang w:val="en-US"/>
        </w:rPr>
        <w:t xml:space="preserve">, </w:t>
      </w:r>
      <w:r w:rsidRPr="007702C1">
        <w:rPr>
          <w:i/>
          <w:lang w:val="en-US"/>
        </w:rPr>
        <w:t>Staphylococcus aureus</w:t>
      </w:r>
      <w:r w:rsidRPr="007702C1">
        <w:rPr>
          <w:lang w:val="en-US"/>
        </w:rPr>
        <w:t xml:space="preserve"> and </w:t>
      </w:r>
      <w:r w:rsidRPr="007702C1">
        <w:rPr>
          <w:i/>
          <w:lang w:val="en-US"/>
        </w:rPr>
        <w:t>Hemophilus influenzae</w:t>
      </w:r>
      <w:r w:rsidRPr="007702C1">
        <w:rPr>
          <w:lang w:val="en-US"/>
        </w:rPr>
        <w:t xml:space="preserve">.  </w:t>
      </w:r>
      <w:r w:rsidRPr="007702C1">
        <w:rPr>
          <w:i/>
          <w:lang w:val="en-US"/>
        </w:rPr>
        <w:t>Pseudomonas aeruginosa</w:t>
      </w:r>
      <w:r w:rsidRPr="007702C1">
        <w:rPr>
          <w:lang w:val="en-US"/>
        </w:rPr>
        <w:t xml:space="preserve"> may be detected in children with PCD, but becomes more predominant in the adult population</w:t>
      </w:r>
      <w:r w:rsidR="00936050" w:rsidRPr="00936050">
        <w:rPr>
          <w:noProof/>
          <w:vertAlign w:val="superscript"/>
          <w:lang w:val="en-US"/>
        </w:rPr>
        <w:t>8,28-30</w:t>
      </w:r>
      <w:r w:rsidR="005C02E1">
        <w:rPr>
          <w:lang w:val="en-US"/>
        </w:rPr>
        <w:t xml:space="preserve">. </w:t>
      </w:r>
      <w:r w:rsidRPr="007702C1">
        <w:rPr>
          <w:lang w:val="en-US"/>
        </w:rPr>
        <w:t xml:space="preserve">  </w:t>
      </w:r>
      <w:r w:rsidRPr="00C0208F">
        <w:rPr>
          <w:lang w:val="en-US"/>
        </w:rPr>
        <w:t>Chest computed tomography imaging during infancy have revealed early airway manifesta</w:t>
      </w:r>
      <w:r w:rsidR="005C02E1">
        <w:rPr>
          <w:lang w:val="en-US"/>
        </w:rPr>
        <w:t>tions, including bronchiectasis</w:t>
      </w:r>
      <w:r w:rsidR="00936050" w:rsidRPr="00936050">
        <w:rPr>
          <w:noProof/>
          <w:vertAlign w:val="superscript"/>
          <w:lang w:val="en-US"/>
        </w:rPr>
        <w:t>31</w:t>
      </w:r>
      <w:r w:rsidRPr="00C0208F">
        <w:rPr>
          <w:lang w:val="en-US"/>
        </w:rPr>
        <w:t>.  Infertility is</w:t>
      </w:r>
      <w:r>
        <w:rPr>
          <w:lang w:val="en-US"/>
        </w:rPr>
        <w:t xml:space="preserve"> often</w:t>
      </w:r>
      <w:r w:rsidRPr="00C0208F">
        <w:rPr>
          <w:lang w:val="en-US"/>
        </w:rPr>
        <w:t xml:space="preserve"> present in males.  In females, fertility may be difficult due to impaired cilia motion in the fallopian tubes</w:t>
      </w:r>
      <w:r w:rsidR="00936050" w:rsidRPr="00936050">
        <w:rPr>
          <w:noProof/>
          <w:vertAlign w:val="superscript"/>
          <w:lang w:val="en-US"/>
        </w:rPr>
        <w:t>7,24</w:t>
      </w:r>
      <w:r w:rsidR="005C02E1">
        <w:rPr>
          <w:lang w:val="en-US"/>
        </w:rPr>
        <w:t>.</w:t>
      </w:r>
    </w:p>
    <w:p w14:paraId="73FAA8D2" w14:textId="20DD7BC2" w:rsidR="002851EC" w:rsidRPr="00C0208F" w:rsidRDefault="002851EC" w:rsidP="008D14D6">
      <w:pPr>
        <w:tabs>
          <w:tab w:val="left" w:pos="8647"/>
        </w:tabs>
        <w:spacing w:line="360" w:lineRule="auto"/>
        <w:rPr>
          <w:lang w:val="en-US"/>
        </w:rPr>
      </w:pPr>
      <w:r w:rsidRPr="00C0208F">
        <w:rPr>
          <w:lang w:val="en-US"/>
        </w:rPr>
        <w:t>Situs inversus occurs in fifty percent of PCD patients; heterotaxy is also more common.  In fact, situs ambiguus, including heterotaxy, has been reported in up to 12% of patients with PCD</w:t>
      </w:r>
      <w:r w:rsidR="00936050" w:rsidRPr="00936050">
        <w:rPr>
          <w:noProof/>
          <w:vertAlign w:val="superscript"/>
          <w:lang w:val="en-US"/>
        </w:rPr>
        <w:t>6,32,33</w:t>
      </w:r>
      <w:r w:rsidR="005C02E1">
        <w:rPr>
          <w:lang w:val="en-US"/>
        </w:rPr>
        <w:t>.</w:t>
      </w:r>
      <w:r w:rsidRPr="00C0208F">
        <w:rPr>
          <w:lang w:val="en-US"/>
        </w:rPr>
        <w:t xml:space="preserve">  These patients had a spectrum of laterality defects including situs ambiguus with complex congenital or simple cardiac defects, situs ambiguus without cardiac defects and those with isolated lateral defects. Children and adults with situs inversus and/or heterotaxy associated with respiratory manifestations </w:t>
      </w:r>
      <w:r w:rsidR="005C02E1">
        <w:rPr>
          <w:lang w:val="en-US"/>
        </w:rPr>
        <w:t xml:space="preserve">should be evaluated for </w:t>
      </w:r>
      <w:r w:rsidRPr="00C0208F">
        <w:rPr>
          <w:lang w:val="en-US"/>
        </w:rPr>
        <w:t>PCD</w:t>
      </w:r>
      <w:r w:rsidR="00936050" w:rsidRPr="00936050">
        <w:rPr>
          <w:noProof/>
          <w:vertAlign w:val="superscript"/>
          <w:lang w:val="en-US"/>
        </w:rPr>
        <w:t>23,34</w:t>
      </w:r>
      <w:r w:rsidR="005C02E1">
        <w:rPr>
          <w:lang w:val="en-US"/>
        </w:rPr>
        <w:t>.</w:t>
      </w:r>
      <w:r w:rsidRPr="00C0208F">
        <w:rPr>
          <w:lang w:val="en-US"/>
        </w:rPr>
        <w:t xml:space="preserve">  </w:t>
      </w:r>
    </w:p>
    <w:p w14:paraId="722B8536" w14:textId="51E9A557" w:rsidR="002851EC" w:rsidRPr="00C0208F" w:rsidRDefault="002851EC" w:rsidP="008D14D6">
      <w:pPr>
        <w:tabs>
          <w:tab w:val="left" w:pos="8647"/>
        </w:tabs>
        <w:spacing w:line="360" w:lineRule="auto"/>
        <w:rPr>
          <w:lang w:val="en-US"/>
        </w:rPr>
      </w:pPr>
      <w:r w:rsidRPr="00C0208F">
        <w:rPr>
          <w:lang w:val="en-US"/>
        </w:rPr>
        <w:t xml:space="preserve">Diagnosing PCD has historically been difficult due to the need for specialized testing coupled with </w:t>
      </w:r>
      <w:r w:rsidR="00995A38">
        <w:rPr>
          <w:lang w:val="en-US"/>
        </w:rPr>
        <w:t xml:space="preserve">lack of general awareness leading to </w:t>
      </w:r>
      <w:r w:rsidRPr="00C0208F">
        <w:rPr>
          <w:lang w:val="en-US"/>
        </w:rPr>
        <w:t xml:space="preserve">the failure of clinicians to recognize the classic phenotype.  Over the past decade, the PCD phenotype has been described in more detail; thereby, leading to </w:t>
      </w:r>
      <w:r w:rsidRPr="002C03D2">
        <w:rPr>
          <w:lang w:val="en-US"/>
        </w:rPr>
        <w:t>earlier recognition of the diagnosis.  Recently, four clinical features were defined as predictive of PCD, including laterality defect; unexplained neonatal respiratory distress; early-onset, year-round nasal</w:t>
      </w:r>
      <w:r w:rsidRPr="00C0208F">
        <w:rPr>
          <w:lang w:val="en-US"/>
        </w:rPr>
        <w:t xml:space="preserve"> congestion and wet cough.  The sensitivity and specificity of having PCD if all four features were present was reported at 0.21 and 0.99, respectively</w:t>
      </w:r>
      <w:r w:rsidR="00936050" w:rsidRPr="00936050">
        <w:rPr>
          <w:noProof/>
          <w:vertAlign w:val="superscript"/>
          <w:lang w:val="en-US"/>
        </w:rPr>
        <w:t>21</w:t>
      </w:r>
      <w:r w:rsidRPr="00C0208F">
        <w:rPr>
          <w:lang w:val="en-US"/>
        </w:rPr>
        <w:t>.  In another cohort, a scoring tool, PICADAR (Primary Ciliary Dyskinesia Rule) was developed to predict the diagnosis of PCD in a symptomatic population</w:t>
      </w:r>
      <w:r w:rsidR="00936050" w:rsidRPr="00936050">
        <w:rPr>
          <w:noProof/>
          <w:vertAlign w:val="superscript"/>
          <w:lang w:val="en-US"/>
        </w:rPr>
        <w:t>20</w:t>
      </w:r>
      <w:r w:rsidRPr="00C0208F">
        <w:rPr>
          <w:lang w:val="en-US"/>
        </w:rPr>
        <w:t>. The seven features in addition to persistent wet cough that were predictive of PCD included full-term gestation, neonatal chest symptoms, admission to the neonatal intensive care unit, chronic rhinitis, ear symptoms, situs inversus and congenital cardiac defect.  This tool represents a diagnostic algorithm that may prove useful when delineating whether a work-up is indicated for PCD</w:t>
      </w:r>
      <w:r w:rsidR="00936050" w:rsidRPr="00936050">
        <w:rPr>
          <w:noProof/>
          <w:vertAlign w:val="superscript"/>
          <w:lang w:val="en-US"/>
        </w:rPr>
        <w:t>20</w:t>
      </w:r>
      <w:r w:rsidRPr="00C0208F">
        <w:rPr>
          <w:lang w:val="en-US"/>
        </w:rPr>
        <w:t xml:space="preserve">.  </w:t>
      </w:r>
      <w:r w:rsidR="00501972" w:rsidRPr="00501972">
        <w:rPr>
          <w:lang w:val="en-US"/>
        </w:rPr>
        <w:t xml:space="preserve">However, these predictive diagnostic tools may be under-utilized if general awareness remains low. Efforts to raise knowledge, led by specialists in the field, is already improving referrals. Examples include a strategic plan </w:t>
      </w:r>
      <w:r w:rsidR="00501972">
        <w:rPr>
          <w:lang w:val="en-US"/>
        </w:rPr>
        <w:t xml:space="preserve">to </w:t>
      </w:r>
      <w:r w:rsidR="00501972" w:rsidRPr="00501972">
        <w:rPr>
          <w:lang w:val="en-US"/>
        </w:rPr>
        <w:t>raise awareness</w:t>
      </w:r>
      <w:r w:rsidR="00501972">
        <w:rPr>
          <w:lang w:val="en-US"/>
        </w:rPr>
        <w:t xml:space="preserve"> in the UK</w:t>
      </w:r>
      <w:r w:rsidR="00501972" w:rsidRPr="00501972">
        <w:rPr>
          <w:lang w:val="en-US"/>
        </w:rPr>
        <w:t xml:space="preserve"> amongst general pediatricians, neonatologists, pediatric cardiologists</w:t>
      </w:r>
      <w:r w:rsidR="00501972">
        <w:rPr>
          <w:lang w:val="en-US"/>
        </w:rPr>
        <w:t xml:space="preserve"> </w:t>
      </w:r>
      <w:r w:rsidR="00501972" w:rsidRPr="00501972">
        <w:rPr>
          <w:lang w:val="en-US"/>
        </w:rPr>
        <w:t>and respiratory pediatricians</w:t>
      </w:r>
      <w:r w:rsidR="00501972">
        <w:rPr>
          <w:lang w:val="en-US"/>
        </w:rPr>
        <w:t>,</w:t>
      </w:r>
      <w:r w:rsidR="00501972" w:rsidRPr="00501972">
        <w:rPr>
          <w:lang w:val="en-US"/>
        </w:rPr>
        <w:t xml:space="preserve"> and the implementation of PCD Foundation accredited clinical centers in North America</w:t>
      </w:r>
      <w:r w:rsidR="00501972">
        <w:rPr>
          <w:lang w:val="en-US"/>
        </w:rPr>
        <w:t xml:space="preserve">. </w:t>
      </w:r>
      <w:r w:rsidR="00501972" w:rsidRPr="00501972">
        <w:rPr>
          <w:lang w:val="en-US"/>
        </w:rPr>
        <w:t>In the UK, after the strategic plan was implemented, the age of diagnosis in the pediatric population subsequently dropped from 4.8 years (2009)</w:t>
      </w:r>
      <w:r w:rsidR="009131DA">
        <w:rPr>
          <w:vertAlign w:val="superscript"/>
          <w:lang w:val="en-US"/>
        </w:rPr>
        <w:t>12</w:t>
      </w:r>
      <w:r w:rsidR="00501972" w:rsidRPr="00501972">
        <w:rPr>
          <w:lang w:val="en-US"/>
        </w:rPr>
        <w:t xml:space="preserve"> to 2.6 years (2015- unpublished data). In North America, there are now 41 accredited PCD Foundation center</w:t>
      </w:r>
      <w:r w:rsidR="00A8339E">
        <w:rPr>
          <w:lang w:val="en-US"/>
        </w:rPr>
        <w:t>s</w:t>
      </w:r>
      <w:r w:rsidR="00501972" w:rsidRPr="00501972">
        <w:rPr>
          <w:lang w:val="en-US"/>
        </w:rPr>
        <w:t>; this initiative is increasing the identification and recognition of this rare disease. Further research is warranted in high risk populations (e.g. term infants unexpectedly admitted to a neonatal unit), to investigate whether predictive tools with targeted nasal nitric oxide testing could further promote early referral. Adult bronchiectasis clinics are a likely reservoir of undiagnosed patients, and work is needed to raise awareness amongst adult pulmonologists. Modified predictive tools will be needed for this population since many adults are unlikely to recall early life events which are captured by the current questionnaires</w:t>
      </w:r>
      <w:r w:rsidR="009131DA">
        <w:rPr>
          <w:vertAlign w:val="superscript"/>
          <w:lang w:val="en-US"/>
        </w:rPr>
        <w:t>20,21</w:t>
      </w:r>
      <w:r w:rsidR="00501972" w:rsidRPr="00501972">
        <w:rPr>
          <w:lang w:val="en-US"/>
        </w:rPr>
        <w:t>. For example a modified PICADAR score and low n</w:t>
      </w:r>
      <w:r w:rsidR="00A8339E">
        <w:rPr>
          <w:lang w:val="en-US"/>
        </w:rPr>
        <w:t>asal nitric oxide</w:t>
      </w:r>
      <w:r w:rsidR="00501972" w:rsidRPr="00501972">
        <w:rPr>
          <w:lang w:val="en-US"/>
        </w:rPr>
        <w:t xml:space="preserve"> was accurate </w:t>
      </w:r>
      <w:r w:rsidR="00A8339E">
        <w:rPr>
          <w:lang w:val="en-US"/>
        </w:rPr>
        <w:t>in</w:t>
      </w:r>
      <w:r w:rsidR="00501972" w:rsidRPr="00501972">
        <w:rPr>
          <w:lang w:val="en-US"/>
        </w:rPr>
        <w:t xml:space="preserve"> identify</w:t>
      </w:r>
      <w:r w:rsidR="00A8339E">
        <w:rPr>
          <w:lang w:val="en-US"/>
        </w:rPr>
        <w:t>ing</w:t>
      </w:r>
      <w:r w:rsidR="00501972" w:rsidRPr="00501972">
        <w:rPr>
          <w:lang w:val="en-US"/>
        </w:rPr>
        <w:t xml:space="preserve"> PCD amongst adults with bronchiectasis</w:t>
      </w:r>
      <w:r w:rsidR="009131DA">
        <w:rPr>
          <w:vertAlign w:val="superscript"/>
          <w:lang w:val="en-US"/>
        </w:rPr>
        <w:t>35</w:t>
      </w:r>
      <w:r w:rsidR="009131DA">
        <w:rPr>
          <w:lang w:val="en-US"/>
        </w:rPr>
        <w:t>.</w:t>
      </w:r>
      <w:r w:rsidR="00FA6A59">
        <w:rPr>
          <w:lang w:val="en-US"/>
        </w:rPr>
        <w:t xml:space="preserve"> </w:t>
      </w:r>
    </w:p>
    <w:p w14:paraId="0AA24B74" w14:textId="0B78DB57" w:rsidR="002851EC" w:rsidRPr="00C0208F" w:rsidRDefault="002851EC" w:rsidP="008D14D6">
      <w:pPr>
        <w:tabs>
          <w:tab w:val="left" w:pos="8647"/>
        </w:tabs>
        <w:spacing w:line="360" w:lineRule="auto"/>
        <w:rPr>
          <w:lang w:val="en-US"/>
        </w:rPr>
      </w:pPr>
      <w:r w:rsidRPr="00C0208F">
        <w:rPr>
          <w:lang w:val="en-US"/>
        </w:rPr>
        <w:t>Significant heterogeneity exists</w:t>
      </w:r>
      <w:r w:rsidR="009111A8">
        <w:rPr>
          <w:lang w:val="en-US"/>
        </w:rPr>
        <w:t xml:space="preserve"> with</w:t>
      </w:r>
      <w:r w:rsidR="00EF3EB1">
        <w:rPr>
          <w:lang w:val="en-US"/>
        </w:rPr>
        <w:t>in</w:t>
      </w:r>
      <w:r w:rsidR="009111A8">
        <w:rPr>
          <w:lang w:val="en-US"/>
        </w:rPr>
        <w:t xml:space="preserve"> the PCD population</w:t>
      </w:r>
      <w:r w:rsidRPr="00C0208F">
        <w:rPr>
          <w:lang w:val="en-US"/>
        </w:rPr>
        <w:t xml:space="preserve"> in age-matched lung function values</w:t>
      </w:r>
      <w:r w:rsidR="00936050" w:rsidRPr="00936050">
        <w:rPr>
          <w:noProof/>
          <w:vertAlign w:val="superscript"/>
          <w:lang w:val="en-US"/>
        </w:rPr>
        <w:t>2,3,8</w:t>
      </w:r>
      <w:r w:rsidRPr="00C0208F">
        <w:rPr>
          <w:lang w:val="en-US"/>
        </w:rPr>
        <w:t xml:space="preserve">. </w:t>
      </w:r>
      <w:r w:rsidR="009111A8">
        <w:rPr>
          <w:lang w:val="en-US"/>
        </w:rPr>
        <w:t xml:space="preserve">In some cases, genotype accounts for the variability between patients, for example mutations in </w:t>
      </w:r>
      <w:r w:rsidR="009111A8" w:rsidRPr="00BD6640">
        <w:rPr>
          <w:i/>
          <w:lang w:val="en-US"/>
        </w:rPr>
        <w:t>CCDC39</w:t>
      </w:r>
      <w:r w:rsidR="009111A8">
        <w:rPr>
          <w:lang w:val="en-US"/>
        </w:rPr>
        <w:t xml:space="preserve"> and </w:t>
      </w:r>
      <w:r w:rsidR="009111A8" w:rsidRPr="00BD6640">
        <w:rPr>
          <w:i/>
          <w:lang w:val="en-US"/>
        </w:rPr>
        <w:t>CCDC40</w:t>
      </w:r>
      <w:r w:rsidR="00EF3EB1">
        <w:rPr>
          <w:lang w:val="en-US"/>
        </w:rPr>
        <w:t xml:space="preserve"> are associated with</w:t>
      </w:r>
      <w:r w:rsidR="009111A8">
        <w:rPr>
          <w:lang w:val="en-US"/>
        </w:rPr>
        <w:t xml:space="preserve"> worse lung function, whilst </w:t>
      </w:r>
      <w:r w:rsidR="009111A8" w:rsidRPr="00BD6640">
        <w:rPr>
          <w:i/>
          <w:lang w:val="en-US"/>
        </w:rPr>
        <w:t>DNAH9</w:t>
      </w:r>
      <w:r w:rsidR="009111A8">
        <w:rPr>
          <w:lang w:val="en-US"/>
        </w:rPr>
        <w:t xml:space="preserve"> mutations are associated with milder pulmonary disease</w:t>
      </w:r>
      <w:r w:rsidR="00936050" w:rsidRPr="00936050">
        <w:rPr>
          <w:noProof/>
          <w:vertAlign w:val="superscript"/>
          <w:lang w:val="en-US"/>
        </w:rPr>
        <w:t>8-10</w:t>
      </w:r>
      <w:r w:rsidR="009111A8">
        <w:rPr>
          <w:lang w:val="en-US"/>
        </w:rPr>
        <w:t xml:space="preserve">. </w:t>
      </w:r>
      <w:r w:rsidRPr="00C0208F">
        <w:rPr>
          <w:lang w:val="en-US"/>
        </w:rPr>
        <w:t>Severe airway obstruction has also been rep</w:t>
      </w:r>
      <w:r w:rsidR="00E4454D">
        <w:rPr>
          <w:lang w:val="en-US"/>
        </w:rPr>
        <w:t>orted in early school age years</w:t>
      </w:r>
      <w:r w:rsidR="004D4637" w:rsidRPr="004D4637">
        <w:rPr>
          <w:noProof/>
          <w:vertAlign w:val="superscript"/>
          <w:lang w:val="en-US"/>
        </w:rPr>
        <w:t>3</w:t>
      </w:r>
      <w:r w:rsidRPr="00C0208F">
        <w:rPr>
          <w:lang w:val="en-US"/>
        </w:rPr>
        <w:t>.  There is limited infant lung function data in PCD; however, early airflow limitation has even been repo</w:t>
      </w:r>
      <w:r w:rsidR="00E4454D">
        <w:rPr>
          <w:lang w:val="en-US"/>
        </w:rPr>
        <w:t>rted in the youngest population</w:t>
      </w:r>
      <w:r w:rsidR="00936050" w:rsidRPr="00936050">
        <w:rPr>
          <w:noProof/>
          <w:vertAlign w:val="superscript"/>
          <w:lang w:val="en-US"/>
        </w:rPr>
        <w:t>8,31</w:t>
      </w:r>
      <w:r w:rsidRPr="00C0208F">
        <w:rPr>
          <w:lang w:val="en-US"/>
        </w:rPr>
        <w:t>.  In a recent publication, the rate of percent predicted FEV</w:t>
      </w:r>
      <w:r w:rsidRPr="00C0208F">
        <w:rPr>
          <w:vertAlign w:val="subscript"/>
          <w:lang w:val="en-US"/>
        </w:rPr>
        <w:t>1</w:t>
      </w:r>
      <w:r w:rsidRPr="00C0208F">
        <w:rPr>
          <w:lang w:val="en-US"/>
        </w:rPr>
        <w:t xml:space="preserve"> decline was highly variable with a mean of 0.57 percent annually for 137 patients wit</w:t>
      </w:r>
      <w:r w:rsidR="00E4454D">
        <w:rPr>
          <w:lang w:val="en-US"/>
        </w:rPr>
        <w:t>h PCD followed at seven centers</w:t>
      </w:r>
      <w:r w:rsidR="00EF3EB1">
        <w:rPr>
          <w:lang w:val="en-US"/>
        </w:rPr>
        <w:t xml:space="preserve"> for five years</w:t>
      </w:r>
      <w:r w:rsidR="00936050" w:rsidRPr="00936050">
        <w:rPr>
          <w:noProof/>
          <w:vertAlign w:val="superscript"/>
          <w:lang w:val="en-US"/>
        </w:rPr>
        <w:t>9</w:t>
      </w:r>
      <w:r w:rsidRPr="00C0208F">
        <w:rPr>
          <w:lang w:val="en-US"/>
        </w:rPr>
        <w:t>.  Furthermore, ventilation inhomogeneity as measured through the multiple breath washout technique may also be abnormal in the PCD population, even with normal spirometric values</w:t>
      </w:r>
      <w:r w:rsidR="00936050" w:rsidRPr="00936050">
        <w:rPr>
          <w:noProof/>
          <w:vertAlign w:val="superscript"/>
          <w:lang w:val="en-US"/>
        </w:rPr>
        <w:t>36,37</w:t>
      </w:r>
      <w:r w:rsidRPr="00C0208F">
        <w:rPr>
          <w:lang w:val="en-US"/>
        </w:rPr>
        <w:t xml:space="preserve">.  </w:t>
      </w:r>
    </w:p>
    <w:p w14:paraId="1820D4BF" w14:textId="77777777" w:rsidR="00650A64" w:rsidRDefault="00650A64" w:rsidP="008D14D6">
      <w:pPr>
        <w:tabs>
          <w:tab w:val="left" w:pos="8647"/>
        </w:tabs>
        <w:spacing w:line="360" w:lineRule="auto"/>
      </w:pPr>
      <w:r w:rsidRPr="00A8339E">
        <w:rPr>
          <w:b/>
        </w:rPr>
        <w:t>Diagnosis</w:t>
      </w:r>
      <w:r>
        <w:t xml:space="preserve"> </w:t>
      </w:r>
    </w:p>
    <w:p w14:paraId="038CDB12" w14:textId="1ADD0AC4" w:rsidR="00152F4F" w:rsidRDefault="00650A64" w:rsidP="008D14D6">
      <w:pPr>
        <w:tabs>
          <w:tab w:val="left" w:pos="8647"/>
        </w:tabs>
        <w:spacing w:line="360" w:lineRule="auto"/>
      </w:pPr>
      <w:r w:rsidRPr="00BB30FB">
        <w:t>Multiple investigations are usually required to make a diagnosis of PCD. There are two evidence based diagnostic guidelines published by the European Respiratory Society (ERS) and the American Thoracic Society (ATS) respectively</w:t>
      </w:r>
      <w:r w:rsidR="00936050" w:rsidRPr="00936050">
        <w:rPr>
          <w:noProof/>
          <w:vertAlign w:val="superscript"/>
        </w:rPr>
        <w:t>34,38</w:t>
      </w:r>
      <w:r w:rsidRPr="00BB30FB">
        <w:t>. Both guidelines recognise that there is no perfect diagnostic test for PCD. There is a lack of sensitivity or specificity for most tests used, specialist equipment and expertise is required and consequently access to testing can be problematic. Guidelines recommend different combinations of the following tests in a patient with a strong clinical phenotype for the condition</w:t>
      </w:r>
      <w:r w:rsidR="007C70D2">
        <w:t xml:space="preserve">. </w:t>
      </w:r>
    </w:p>
    <w:p w14:paraId="3E8E6A1F" w14:textId="147865F0" w:rsidR="00650A64" w:rsidRPr="00BB30FB" w:rsidRDefault="007C70D2" w:rsidP="008D14D6">
      <w:pPr>
        <w:tabs>
          <w:tab w:val="left" w:pos="8647"/>
        </w:tabs>
        <w:spacing w:line="360" w:lineRule="auto"/>
      </w:pPr>
      <w:r>
        <w:t>The incomplete understanding of</w:t>
      </w:r>
      <w:r w:rsidR="00924589">
        <w:t xml:space="preserve"> all</w:t>
      </w:r>
      <w:r>
        <w:t xml:space="preserve"> genetic</w:t>
      </w:r>
      <w:r w:rsidR="00A8339E">
        <w:t xml:space="preserve"> mutations that </w:t>
      </w:r>
      <w:r>
        <w:t>cause PCD</w:t>
      </w:r>
      <w:r w:rsidR="00152F4F">
        <w:t xml:space="preserve"> currently limits the sensitivity of genetic testing</w:t>
      </w:r>
      <w:r w:rsidR="00EF3EB1">
        <w:t xml:space="preserve"> so that it cannot be used in </w:t>
      </w:r>
      <w:r w:rsidR="00A8339E">
        <w:t>isolation</w:t>
      </w:r>
      <w:r w:rsidR="00152F4F">
        <w:t xml:space="preserve">. However, the trajectory of new gene discovery promoted by lowering costs of next-generation sequencing, together with improved bioinformatics capabilities are likely to positively impact the positioning of genetic testing in future diagnostic pathways. There are many PCD causing genes and they are generally large, therefore variants are common, yet many </w:t>
      </w:r>
      <w:r w:rsidR="00EF3EB1">
        <w:t>are not disease causing</w:t>
      </w:r>
      <w:r w:rsidR="00152F4F">
        <w:t xml:space="preserve">. </w:t>
      </w:r>
      <w:r w:rsidR="00152F4F" w:rsidRPr="00152F4F">
        <w:t xml:space="preserve">It is </w:t>
      </w:r>
      <w:r w:rsidR="00152F4F">
        <w:t xml:space="preserve">therefore </w:t>
      </w:r>
      <w:r w:rsidR="00152F4F" w:rsidRPr="00152F4F">
        <w:t>likely that functional and structural tests (HSVMA, IF</w:t>
      </w:r>
      <w:r w:rsidR="00924589">
        <w:t>, nasal nitric oxide</w:t>
      </w:r>
      <w:r w:rsidR="00152F4F" w:rsidRPr="00152F4F">
        <w:t xml:space="preserve"> and TEM) will </w:t>
      </w:r>
      <w:r w:rsidR="00BD6640">
        <w:t>continue to be needed to support</w:t>
      </w:r>
      <w:r w:rsidR="00152F4F" w:rsidRPr="00152F4F">
        <w:t xml:space="preserve"> pathogenicity of variants </w:t>
      </w:r>
      <w:r w:rsidR="00152F4F">
        <w:t>in patients with compatible symptoms</w:t>
      </w:r>
      <w:r w:rsidR="00152F4F" w:rsidRPr="00152F4F">
        <w:t>.</w:t>
      </w:r>
    </w:p>
    <w:p w14:paraId="7889ECB8" w14:textId="77777777" w:rsidR="00650A64" w:rsidRPr="00342996" w:rsidRDefault="00650A64" w:rsidP="008D14D6">
      <w:pPr>
        <w:tabs>
          <w:tab w:val="left" w:pos="8647"/>
        </w:tabs>
        <w:spacing w:line="360" w:lineRule="auto"/>
        <w:rPr>
          <w:i/>
        </w:rPr>
      </w:pPr>
      <w:r w:rsidRPr="00342996">
        <w:rPr>
          <w:i/>
        </w:rPr>
        <w:t xml:space="preserve">Nasal Nitric Oxide (NO)  </w:t>
      </w:r>
    </w:p>
    <w:p w14:paraId="79BA88F9" w14:textId="483DDC7C" w:rsidR="00B34B83" w:rsidRPr="00B34B83" w:rsidRDefault="00650A64" w:rsidP="008D14D6">
      <w:pPr>
        <w:tabs>
          <w:tab w:val="left" w:pos="8647"/>
        </w:tabs>
        <w:spacing w:line="360" w:lineRule="auto"/>
      </w:pPr>
      <w:r w:rsidRPr="00BB30FB">
        <w:t>The level of NO gas in the nasal cavity can be measured with a gas analyser. This test is ordinarily reserved for children who have developed paranasal sinuses and are able to comply with velum closure manoeuvres (usually &gt;4yrs old). Most individuals with PCD have NO values which are tenfol</w:t>
      </w:r>
      <w:r w:rsidR="00E4454D">
        <w:t>d lower than healthy controls</w:t>
      </w:r>
      <w:r w:rsidR="00936050" w:rsidRPr="00936050">
        <w:rPr>
          <w:noProof/>
          <w:vertAlign w:val="superscript"/>
        </w:rPr>
        <w:t>39</w:t>
      </w:r>
      <w:r w:rsidRPr="00BB30FB">
        <w:t>. Sensitivity and specificity are good (98% and &gt;99.9%, respectively) at a cut off at 77nl/min when measured</w:t>
      </w:r>
      <w:r w:rsidR="00F70F67">
        <w:t xml:space="preserve"> </w:t>
      </w:r>
      <w:r w:rsidRPr="00BB30FB">
        <w:t xml:space="preserve">in patients with symptoms of PCD, with a chemiluminescent analyser, using ATS/ERS </w:t>
      </w:r>
      <w:r w:rsidR="00F70F67">
        <w:t>NO</w:t>
      </w:r>
      <w:r w:rsidR="00E4454D">
        <w:t xml:space="preserve"> measurement guidelines</w:t>
      </w:r>
      <w:r w:rsidR="00936050" w:rsidRPr="00936050">
        <w:rPr>
          <w:noProof/>
          <w:vertAlign w:val="superscript"/>
        </w:rPr>
        <w:t>40</w:t>
      </w:r>
      <w:r w:rsidRPr="00BB30FB">
        <w:t>. However there can be several other causes of reduced nasal NO such as smoking or nasal obstruction. Patients with cystic fibrosis are also rep</w:t>
      </w:r>
      <w:r w:rsidR="00E4454D">
        <w:t>orted to have reduced NO values</w:t>
      </w:r>
      <w:r w:rsidR="00936050" w:rsidRPr="00936050">
        <w:rPr>
          <w:noProof/>
          <w:vertAlign w:val="superscript"/>
        </w:rPr>
        <w:t>41,42</w:t>
      </w:r>
      <w:r w:rsidRPr="00BB30FB">
        <w:t>. Conversely, although a normal nasal NO level remains helpful to exclude a diagnosis, there are exceptions and cases w</w:t>
      </w:r>
      <w:r w:rsidR="009134CA">
        <w:t>here</w:t>
      </w:r>
      <w:r w:rsidRPr="00BB30FB">
        <w:t xml:space="preserve"> nasal NO</w:t>
      </w:r>
      <w:r w:rsidR="00924589">
        <w:t xml:space="preserve"> is above the typical cut-off used for diagnosing PCD</w:t>
      </w:r>
      <w:r w:rsidRPr="00BB30FB">
        <w:t xml:space="preserve">. These include individuals with mutations in </w:t>
      </w:r>
      <w:r w:rsidR="002F1FF5" w:rsidRPr="002F1FF5">
        <w:rPr>
          <w:i/>
        </w:rPr>
        <w:t>GAS8</w:t>
      </w:r>
      <w:r w:rsidR="002F1FF5" w:rsidRPr="002F1FF5">
        <w:t xml:space="preserve">, STK36, </w:t>
      </w:r>
      <w:r w:rsidRPr="00BB30FB">
        <w:rPr>
          <w:i/>
        </w:rPr>
        <w:t xml:space="preserve">CCDC103, RSPH1 </w:t>
      </w:r>
      <w:r w:rsidRPr="00BB30FB">
        <w:t>and</w:t>
      </w:r>
      <w:r w:rsidRPr="00BB30FB">
        <w:rPr>
          <w:i/>
        </w:rPr>
        <w:t xml:space="preserve"> </w:t>
      </w:r>
      <w:r>
        <w:rPr>
          <w:i/>
        </w:rPr>
        <w:t>GAS2L2</w:t>
      </w:r>
      <w:r w:rsidR="00936050" w:rsidRPr="00936050">
        <w:rPr>
          <w:i/>
          <w:noProof/>
          <w:vertAlign w:val="superscript"/>
        </w:rPr>
        <w:t>11,43-46</w:t>
      </w:r>
      <w:r w:rsidRPr="00BB30FB">
        <w:rPr>
          <w:i/>
        </w:rPr>
        <w:t xml:space="preserve">. </w:t>
      </w:r>
      <w:r w:rsidR="00EF3EB1" w:rsidRPr="00EF3EB1">
        <w:t>Increasing knowledge of genetics has highlighted that nNO cannot be used in isolation as a screening test, as certain patients with PCD will be missed.</w:t>
      </w:r>
    </w:p>
    <w:p w14:paraId="5E4B374B" w14:textId="3A69AF90" w:rsidR="00650A64" w:rsidRPr="00BB30FB" w:rsidRDefault="00650A64" w:rsidP="008D14D6">
      <w:pPr>
        <w:tabs>
          <w:tab w:val="left" w:pos="8647"/>
        </w:tabs>
        <w:spacing w:line="360" w:lineRule="auto"/>
      </w:pPr>
      <w:r w:rsidRPr="00BB30FB">
        <w:t>New portable analysers</w:t>
      </w:r>
      <w:r w:rsidRPr="00BB30FB">
        <w:rPr>
          <w:i/>
        </w:rPr>
        <w:t xml:space="preserve"> </w:t>
      </w:r>
      <w:r w:rsidRPr="00BB30FB">
        <w:t>make NO testing increasingly accessible in the clinic, although both sensitivity and specificity when u</w:t>
      </w:r>
      <w:r w:rsidR="00DF0846">
        <w:t>sing these analysers is reduced</w:t>
      </w:r>
      <w:r w:rsidR="009111A8" w:rsidRPr="009111A8">
        <w:rPr>
          <w:noProof/>
          <w:vertAlign w:val="superscript"/>
        </w:rPr>
        <w:t>47</w:t>
      </w:r>
      <w:r w:rsidRPr="00BB30FB">
        <w:t xml:space="preserve">. </w:t>
      </w:r>
    </w:p>
    <w:p w14:paraId="06951A2E" w14:textId="762ACA4C" w:rsidR="00650A64" w:rsidRPr="00342996" w:rsidRDefault="00650A64" w:rsidP="008D14D6">
      <w:pPr>
        <w:tabs>
          <w:tab w:val="left" w:pos="8647"/>
        </w:tabs>
        <w:spacing w:line="360" w:lineRule="auto"/>
        <w:rPr>
          <w:i/>
        </w:rPr>
      </w:pPr>
      <w:r w:rsidRPr="00342996">
        <w:rPr>
          <w:i/>
        </w:rPr>
        <w:t xml:space="preserve">High speed video microscopy </w:t>
      </w:r>
      <w:r>
        <w:rPr>
          <w:i/>
        </w:rPr>
        <w:t>analysis</w:t>
      </w:r>
      <w:r w:rsidR="009134CA">
        <w:rPr>
          <w:i/>
        </w:rPr>
        <w:t xml:space="preserve"> (HSVMA)</w:t>
      </w:r>
    </w:p>
    <w:p w14:paraId="211A19B3" w14:textId="26EAE0AE" w:rsidR="00650A64" w:rsidRPr="00BB30FB" w:rsidRDefault="00650A64" w:rsidP="008D14D6">
      <w:pPr>
        <w:tabs>
          <w:tab w:val="left" w:pos="8647"/>
        </w:tabs>
        <w:spacing w:line="360" w:lineRule="auto"/>
      </w:pPr>
      <w:r w:rsidRPr="00BB30FB">
        <w:t>Live samples, usually obtained by nasal brushing, can be assessed for ciliary beat frequency and pattern. This functional assessment is achieved ex-vivo using a light microscope fitted with a high speed video camera. Ordinarily cilia beat in a metachronal wave with an effective forward stroke followed by a recovery stroke. Specific beat patterns are observed in patients with PCD: completely immotile, immotile with occasional residual movement, reduced bend and reduced beat amplitude, hyperfrequent with reduced beat amplitude or with a circular motion when viewed from above. In some cases a mixed phenotype can occur.  Correlations between cilia beat pattern and ultrastructural defect or genotype in PCD have been demonstrated</w:t>
      </w:r>
      <w:r w:rsidR="009111A8" w:rsidRPr="009111A8">
        <w:rPr>
          <w:noProof/>
          <w:vertAlign w:val="superscript"/>
        </w:rPr>
        <w:t>48,49</w:t>
      </w:r>
      <w:r w:rsidRPr="00BB30FB">
        <w:t xml:space="preserve">. Ciliary beat frequency is less accurate when used in isolation and is dependent on several factors, such as patient age, formulation of the maintenance </w:t>
      </w:r>
      <w:r w:rsidRPr="003B58B2">
        <w:t>media and sample temperature</w:t>
      </w:r>
      <w:r w:rsidR="009111A8" w:rsidRPr="009111A8">
        <w:rPr>
          <w:noProof/>
          <w:vertAlign w:val="superscript"/>
        </w:rPr>
        <w:t>50</w:t>
      </w:r>
      <w:r w:rsidRPr="003B58B2">
        <w:t xml:space="preserve">. Recent evidence shows excellent accuracy of HSVMA </w:t>
      </w:r>
      <w:r w:rsidRPr="009B6627">
        <w:t>for diagnosis, however the</w:t>
      </w:r>
      <w:r w:rsidRPr="003B58B2">
        <w:t xml:space="preserve"> limitation</w:t>
      </w:r>
      <w:r w:rsidRPr="00BB30FB">
        <w:t xml:space="preserve"> is the specialist equipment required to record the videos and the expertise required</w:t>
      </w:r>
      <w:r>
        <w:t xml:space="preserve"> to interpret the beat pattern</w:t>
      </w:r>
      <w:r w:rsidRPr="00BB30FB">
        <w:t>.</w:t>
      </w:r>
      <w:r>
        <w:t xml:space="preserve"> Also pathogenic variants in some genes can be associated with fairly normal ciliary beating (e.g. </w:t>
      </w:r>
      <w:r w:rsidRPr="00433827">
        <w:rPr>
          <w:i/>
        </w:rPr>
        <w:t>RSP</w:t>
      </w:r>
      <w:r>
        <w:rPr>
          <w:i/>
        </w:rPr>
        <w:t>H</w:t>
      </w:r>
      <w:r w:rsidRPr="00433827">
        <w:rPr>
          <w:i/>
        </w:rPr>
        <w:t>1, CCDC103, DNAH9)</w:t>
      </w:r>
    </w:p>
    <w:p w14:paraId="0158AA58" w14:textId="77777777" w:rsidR="00650A64" w:rsidRPr="00342996" w:rsidRDefault="00650A64" w:rsidP="008D14D6">
      <w:pPr>
        <w:tabs>
          <w:tab w:val="left" w:pos="8647"/>
        </w:tabs>
        <w:spacing w:line="360" w:lineRule="auto"/>
        <w:rPr>
          <w:i/>
        </w:rPr>
      </w:pPr>
      <w:r w:rsidRPr="00342996">
        <w:rPr>
          <w:i/>
        </w:rPr>
        <w:t xml:space="preserve">Immunofluorescence: </w:t>
      </w:r>
    </w:p>
    <w:p w14:paraId="418B9BEE" w14:textId="17A141FE" w:rsidR="00650A64" w:rsidRPr="00BB30FB" w:rsidRDefault="00650A64" w:rsidP="008D14D6">
      <w:pPr>
        <w:tabs>
          <w:tab w:val="left" w:pos="8647"/>
        </w:tabs>
        <w:spacing w:line="360" w:lineRule="auto"/>
      </w:pPr>
      <w:r w:rsidRPr="00BB30FB">
        <w:t>Antibodies directed against ciliary proteins are becoming increasingly available and are used regularly in a research setting to confirm absence of ciliary protein and the path</w:t>
      </w:r>
      <w:r w:rsidR="009B6627">
        <w:t>ogenicity of a genetic mutation</w:t>
      </w:r>
      <w:r w:rsidR="009111A8" w:rsidRPr="009111A8">
        <w:rPr>
          <w:noProof/>
          <w:vertAlign w:val="superscript"/>
        </w:rPr>
        <w:t>51</w:t>
      </w:r>
      <w:r w:rsidRPr="00BB30FB">
        <w:t>. Recent evidence for the use of antibody testing with a panel of six antibodies shows similar sensitivity and specific</w:t>
      </w:r>
      <w:r w:rsidR="00873945">
        <w:t>ity as TEM in clinical practice</w:t>
      </w:r>
      <w:r w:rsidR="009111A8" w:rsidRPr="009111A8">
        <w:rPr>
          <w:noProof/>
          <w:vertAlign w:val="superscript"/>
        </w:rPr>
        <w:t>52</w:t>
      </w:r>
      <w:r w:rsidRPr="00BB30FB">
        <w:t xml:space="preserve">. </w:t>
      </w:r>
    </w:p>
    <w:p w14:paraId="23E9C883" w14:textId="77777777" w:rsidR="00650A64" w:rsidRPr="00342996" w:rsidRDefault="00650A64" w:rsidP="008D14D6">
      <w:pPr>
        <w:tabs>
          <w:tab w:val="left" w:pos="8647"/>
        </w:tabs>
        <w:spacing w:line="360" w:lineRule="auto"/>
        <w:rPr>
          <w:i/>
        </w:rPr>
      </w:pPr>
      <w:r w:rsidRPr="00342996">
        <w:rPr>
          <w:i/>
        </w:rPr>
        <w:t>Transm</w:t>
      </w:r>
      <w:r>
        <w:rPr>
          <w:i/>
        </w:rPr>
        <w:t>ission electron microscopy</w:t>
      </w:r>
      <w:r w:rsidRPr="00342996">
        <w:rPr>
          <w:i/>
        </w:rPr>
        <w:t xml:space="preserve">: </w:t>
      </w:r>
    </w:p>
    <w:p w14:paraId="1D9679C5" w14:textId="049544B2" w:rsidR="007A341D" w:rsidRDefault="007A341D" w:rsidP="008D14D6">
      <w:pPr>
        <w:tabs>
          <w:tab w:val="left" w:pos="8647"/>
        </w:tabs>
        <w:spacing w:line="360" w:lineRule="auto"/>
      </w:pPr>
      <w:r w:rsidRPr="00551B41">
        <w:t>Normal ciliary ultrastructure consists of a “9+</w:t>
      </w:r>
      <w:r w:rsidRPr="00A24CCF">
        <w:t>2” structure: 9 peripheral microtubule doublets, surround the central pair of single microtubules (Figure 1). Each doublet is connected with the central pair by radial spokes, and neighbouring doublets are joined</w:t>
      </w:r>
      <w:r w:rsidRPr="00551B41">
        <w:t xml:space="preserve"> by the nexin dynein regulatory complex (N-DRC). The outer microtubular doublets contain regularly repeating structures known as outer and inner dynein arms</w:t>
      </w:r>
      <w:r w:rsidR="00873945">
        <w:t xml:space="preserve"> (ODA and IDA)</w:t>
      </w:r>
      <w:r w:rsidRPr="00551B41">
        <w:t>, which are responsible for the generation of ciliary</w:t>
      </w:r>
      <w:r w:rsidR="00873945">
        <w:t xml:space="preserve"> motion through ATPase activity</w:t>
      </w:r>
      <w:r w:rsidRPr="00551B41">
        <w:t xml:space="preserve">. </w:t>
      </w:r>
    </w:p>
    <w:p w14:paraId="5ABE20BB" w14:textId="5EAD5B60" w:rsidR="00650A64" w:rsidRDefault="007A341D" w:rsidP="008D14D6">
      <w:pPr>
        <w:tabs>
          <w:tab w:val="left" w:pos="8647"/>
        </w:tabs>
        <w:spacing w:line="360" w:lineRule="auto"/>
      </w:pPr>
      <w:r w:rsidRPr="00BB30FB">
        <w:t xml:space="preserve">Since the first description of the condition by Afzelius, PCD diagnosis has relied on </w:t>
      </w:r>
      <w:r w:rsidR="00873945">
        <w:t>ultrastructural analysis by TEM</w:t>
      </w:r>
      <w:r w:rsidR="009111A8" w:rsidRPr="009111A8">
        <w:rPr>
          <w:noProof/>
          <w:vertAlign w:val="superscript"/>
        </w:rPr>
        <w:t>53</w:t>
      </w:r>
      <w:r w:rsidRPr="00BB30FB">
        <w:t>.</w:t>
      </w:r>
      <w:r w:rsidR="00873945">
        <w:t xml:space="preserve"> </w:t>
      </w:r>
      <w:r w:rsidR="00650A64" w:rsidRPr="00BB30FB">
        <w:t>TEM remains a robust test to confirm a diagnosis although increasingly cases with normal ultr</w:t>
      </w:r>
      <w:r w:rsidR="00873945">
        <w:t>astructure have been identified</w:t>
      </w:r>
      <w:r w:rsidR="00873945">
        <w:rPr>
          <w:noProof/>
          <w:vertAlign w:val="superscript"/>
        </w:rPr>
        <w:t xml:space="preserve"> </w:t>
      </w:r>
      <w:r w:rsidR="009111A8">
        <w:rPr>
          <w:noProof/>
          <w:vertAlign w:val="superscript"/>
        </w:rPr>
        <w:t>50,54,55</w:t>
      </w:r>
      <w:r w:rsidR="00650A64" w:rsidRPr="00BB30FB">
        <w:t>. Despite poor sensitivity, the specificity of TEM fo</w:t>
      </w:r>
      <w:r w:rsidR="00873945">
        <w:t>r diagnosis of PCD is excellent</w:t>
      </w:r>
      <w:r w:rsidR="00936050" w:rsidRPr="00936050">
        <w:rPr>
          <w:noProof/>
          <w:vertAlign w:val="superscript"/>
        </w:rPr>
        <w:t>34</w:t>
      </w:r>
      <w:r w:rsidR="00650A64" w:rsidRPr="00BB30FB">
        <w:t xml:space="preserve">. </w:t>
      </w:r>
      <w:r w:rsidR="009134CA">
        <w:t xml:space="preserve">As noted above, </w:t>
      </w:r>
      <w:r w:rsidR="00650A64">
        <w:t>normal ciliary ultrastructure</w:t>
      </w:r>
      <w:r w:rsidR="009134CA">
        <w:t xml:space="preserve"> may occur in those with PCD</w:t>
      </w:r>
      <w:r w:rsidR="00650A64">
        <w:t xml:space="preserve">. </w:t>
      </w:r>
      <w:r w:rsidR="00650A64" w:rsidRPr="00BB30FB">
        <w:t xml:space="preserve">Hallmark diagnostic defects for PCD include: absence of the </w:t>
      </w:r>
      <w:r w:rsidR="00650A64">
        <w:t>ODA</w:t>
      </w:r>
      <w:r w:rsidR="00650A64" w:rsidRPr="00BB30FB">
        <w:t xml:space="preserve">, absence of the </w:t>
      </w:r>
      <w:r w:rsidR="00650A64">
        <w:t>ODA</w:t>
      </w:r>
      <w:r w:rsidR="00650A64" w:rsidRPr="00BB30FB">
        <w:t xml:space="preserve"> and </w:t>
      </w:r>
      <w:r w:rsidR="00650A64">
        <w:t>IDA</w:t>
      </w:r>
      <w:r w:rsidR="00650A64" w:rsidRPr="00BB30FB">
        <w:t xml:space="preserve">, and </w:t>
      </w:r>
      <w:r w:rsidR="00650A64">
        <w:t xml:space="preserve">absence of </w:t>
      </w:r>
      <w:r w:rsidR="00650A64" w:rsidRPr="00BB30FB">
        <w:t xml:space="preserve">the </w:t>
      </w:r>
      <w:r w:rsidR="00650A64">
        <w:t>IDA</w:t>
      </w:r>
      <w:r w:rsidR="00650A64" w:rsidRPr="00BB30FB">
        <w:t xml:space="preserve"> with microtubular disorganisation. In addition ultrastructural defects which can support a diagnosis when used in combination with other tests have been identified. These include central complex defects, mislocalisation of basal bodies, </w:t>
      </w:r>
      <w:r w:rsidR="00650A64">
        <w:t xml:space="preserve">isolated </w:t>
      </w:r>
      <w:r w:rsidR="00650A64" w:rsidRPr="00BB30FB">
        <w:t xml:space="preserve">microtubular </w:t>
      </w:r>
      <w:r w:rsidR="00650A64" w:rsidRPr="00A24CCF">
        <w:t>disorganisation and partial defects of the outer +/- inner dynein arm</w:t>
      </w:r>
      <w:r w:rsidR="009134CA" w:rsidRPr="00A24CCF">
        <w:t>s</w:t>
      </w:r>
      <w:r w:rsidR="00650A64" w:rsidRPr="00A24CCF">
        <w:t xml:space="preserve"> affecting &lt;50% </w:t>
      </w:r>
      <w:r w:rsidR="009134CA" w:rsidRPr="00A24CCF">
        <w:t xml:space="preserve">of </w:t>
      </w:r>
      <w:r w:rsidR="00650A64" w:rsidRPr="00A24CCF">
        <w:t xml:space="preserve">cross sections. </w:t>
      </w:r>
      <w:r w:rsidRPr="00A24CCF">
        <w:t xml:space="preserve">Figure 2 </w:t>
      </w:r>
      <w:r w:rsidR="00650A64" w:rsidRPr="00A24CCF">
        <w:t>shows examples of the various ciliary ultrastructural changes according to PCD genotype.</w:t>
      </w:r>
    </w:p>
    <w:p w14:paraId="65BC345B" w14:textId="77777777" w:rsidR="007A341D" w:rsidRPr="00BB30FB" w:rsidRDefault="007A341D" w:rsidP="008D14D6">
      <w:pPr>
        <w:tabs>
          <w:tab w:val="left" w:pos="8647"/>
        </w:tabs>
        <w:spacing w:line="360" w:lineRule="auto"/>
      </w:pPr>
    </w:p>
    <w:p w14:paraId="4AFA894A" w14:textId="77777777" w:rsidR="00650A64" w:rsidRPr="00342996" w:rsidRDefault="00650A64" w:rsidP="008D14D6">
      <w:pPr>
        <w:tabs>
          <w:tab w:val="left" w:pos="8647"/>
        </w:tabs>
        <w:spacing w:line="360" w:lineRule="auto"/>
        <w:rPr>
          <w:i/>
        </w:rPr>
      </w:pPr>
      <w:r w:rsidRPr="00342996">
        <w:rPr>
          <w:i/>
        </w:rPr>
        <w:t xml:space="preserve">Genotyping </w:t>
      </w:r>
    </w:p>
    <w:p w14:paraId="0871B02E" w14:textId="31E34DE6" w:rsidR="00650A64" w:rsidRPr="00BB30FB" w:rsidRDefault="00650A64" w:rsidP="008D14D6">
      <w:pPr>
        <w:tabs>
          <w:tab w:val="left" w:pos="8647"/>
        </w:tabs>
        <w:spacing w:line="360" w:lineRule="auto"/>
      </w:pPr>
      <w:r w:rsidRPr="00BB30FB">
        <w:t>Both ERS and ATS guidelines agree that a bi-allelic pathogenic mutation or hemizygous X-linked mutation in a kno</w:t>
      </w:r>
      <w:r w:rsidR="00873945">
        <w:t>wn PCD gene confirm a diagnosis</w:t>
      </w:r>
      <w:r w:rsidR="00936050" w:rsidRPr="00936050">
        <w:rPr>
          <w:noProof/>
          <w:vertAlign w:val="superscript"/>
        </w:rPr>
        <w:t>34,38</w:t>
      </w:r>
      <w:r w:rsidRPr="00BB30FB">
        <w:t xml:space="preserve">. </w:t>
      </w:r>
      <w:r w:rsidR="00097C5F">
        <w:t xml:space="preserve"> A</w:t>
      </w:r>
      <w:r w:rsidRPr="00BB30FB">
        <w:t xml:space="preserve">round 65-70% </w:t>
      </w:r>
      <w:r w:rsidR="009134CA">
        <w:t xml:space="preserve">of </w:t>
      </w:r>
      <w:r w:rsidRPr="00BB30FB">
        <w:t>PCD cases diagnosed by other methods</w:t>
      </w:r>
      <w:r w:rsidR="00097C5F">
        <w:t xml:space="preserve"> can be genetically solved</w:t>
      </w:r>
      <w:r w:rsidRPr="00BB30FB">
        <w:t>. However many individuals have private mutations (a mutation which has not been seen previously), variants of unknown significance or mono-allelic heterozygous variants which require confirmation with a functional test. It is not unusual to identify one or several rare missense variants that are not linked to the disease</w:t>
      </w:r>
      <w:r w:rsidR="00AB429A">
        <w:t>,</w:t>
      </w:r>
      <w:r w:rsidRPr="00BB30FB">
        <w:t xml:space="preserve"> due to the large size and number of genes sequenced in PCD patients</w:t>
      </w:r>
      <w:r w:rsidR="00AB429A">
        <w:t>;</w:t>
      </w:r>
      <w:r w:rsidR="00900C4C">
        <w:t xml:space="preserve"> therefore there is significant risk of fa</w:t>
      </w:r>
      <w:r w:rsidR="00AB429A">
        <w:t xml:space="preserve">lse positive results </w:t>
      </w:r>
      <w:r w:rsidR="00900C4C">
        <w:t>unless the</w:t>
      </w:r>
      <w:r w:rsidR="00900C4C" w:rsidRPr="00900C4C">
        <w:t xml:space="preserve"> genetic diagnoses are supported by corresponding HSVMA or TEM results (Table 1). Since genet</w:t>
      </w:r>
      <w:r w:rsidR="00900C4C">
        <w:t>ic testing fails to identify ≈</w:t>
      </w:r>
      <w:r w:rsidR="00900C4C" w:rsidRPr="00900C4C">
        <w:t>30% of patients</w:t>
      </w:r>
      <w:r w:rsidR="00900C4C">
        <w:t>, it cannot exclude a diagnosis</w:t>
      </w:r>
      <w:r w:rsidR="00900C4C" w:rsidRPr="00900C4C">
        <w:t xml:space="preserve">. </w:t>
      </w:r>
      <w:r w:rsidR="00900C4C">
        <w:t>Hallmark TEM or r</w:t>
      </w:r>
      <w:r w:rsidR="00900C4C" w:rsidRPr="00900C4C">
        <w:t>epeated</w:t>
      </w:r>
      <w:r w:rsidR="00900C4C">
        <w:t>ly abnormal</w:t>
      </w:r>
      <w:r w:rsidR="00900C4C" w:rsidRPr="00900C4C">
        <w:t xml:space="preserve"> HSV</w:t>
      </w:r>
      <w:r w:rsidR="00900C4C">
        <w:t>M</w:t>
      </w:r>
      <w:r w:rsidR="00900C4C" w:rsidRPr="00900C4C">
        <w:t>A</w:t>
      </w:r>
      <w:r w:rsidR="00900C4C">
        <w:t xml:space="preserve"> can probably identify most </w:t>
      </w:r>
      <w:r w:rsidR="00900C4C" w:rsidRPr="00900C4C">
        <w:t xml:space="preserve">patients with </w:t>
      </w:r>
      <w:r w:rsidR="00900C4C">
        <w:t>PCD</w:t>
      </w:r>
      <w:r w:rsidR="00900C4C" w:rsidRPr="00900C4C">
        <w:t xml:space="preserve"> associated with normal gen</w:t>
      </w:r>
      <w:r w:rsidR="00900C4C">
        <w:t>etics</w:t>
      </w:r>
      <w:r w:rsidR="00AB429A" w:rsidRPr="00AB429A">
        <w:rPr>
          <w:color w:val="FF0000"/>
        </w:rPr>
        <w:t xml:space="preserve"> </w:t>
      </w:r>
      <w:r w:rsidR="00AB429A" w:rsidRPr="00AB429A">
        <w:t>to ensure they receive appropriate clinical care.</w:t>
      </w:r>
      <w:r w:rsidR="00900C4C">
        <w:t xml:space="preserve"> </w:t>
      </w:r>
    </w:p>
    <w:p w14:paraId="34088101" w14:textId="4ADE8728" w:rsidR="00B47197" w:rsidRDefault="00B47197" w:rsidP="008D14D6">
      <w:pPr>
        <w:tabs>
          <w:tab w:val="left" w:pos="8647"/>
        </w:tabs>
        <w:spacing w:line="360" w:lineRule="auto"/>
      </w:pPr>
      <w:r>
        <w:rPr>
          <w:i/>
        </w:rPr>
        <w:t>Summary</w:t>
      </w:r>
    </w:p>
    <w:p w14:paraId="0C809574" w14:textId="36FCF57F" w:rsidR="00650A64" w:rsidRDefault="00B47197" w:rsidP="008D14D6">
      <w:pPr>
        <w:tabs>
          <w:tab w:val="left" w:pos="8647"/>
        </w:tabs>
        <w:spacing w:line="360" w:lineRule="auto"/>
      </w:pPr>
      <w:r>
        <w:t>We emphasise the risks of relying on any one test to diagnose PCD</w:t>
      </w:r>
      <w:r w:rsidR="00604B2C">
        <w:t>, and the benefit of using a combination of tests</w:t>
      </w:r>
      <w:r w:rsidR="00A703D9">
        <w:rPr>
          <w:vertAlign w:val="superscript"/>
        </w:rPr>
        <w:t>50</w:t>
      </w:r>
      <w:r>
        <w:t>. None of the tests are perfect, and it is only by comparing results from various tests tha</w:t>
      </w:r>
      <w:r w:rsidR="00AB429A">
        <w:t>t the clinician can be confident</w:t>
      </w:r>
      <w:r>
        <w:t xml:space="preserve">. </w:t>
      </w:r>
      <w:r w:rsidR="00AB429A">
        <w:t xml:space="preserve">Importantly, all diagnostic tests should be conducted an interpreted by PCD experts who understand the relative risks of false positive and negative results for the individual tests. </w:t>
      </w:r>
      <w:r w:rsidR="00650A64" w:rsidRPr="00BB30FB">
        <w:t xml:space="preserve">Due to imperfect testing by all modalities it is likely that some patients with PCD are not recognised </w:t>
      </w:r>
      <w:r w:rsidR="009134CA">
        <w:t xml:space="preserve">despite adherence to </w:t>
      </w:r>
      <w:r w:rsidR="00650A64" w:rsidRPr="00BB30FB">
        <w:t xml:space="preserve">ATS or ERS guidelines. Therefore research and development in PCD gene discovery and improved diagnostic techniques </w:t>
      </w:r>
      <w:r w:rsidR="001A6111">
        <w:t>are</w:t>
      </w:r>
      <w:r w:rsidR="00650A64" w:rsidRPr="00BB30FB">
        <w:t xml:space="preserve"> crucial. Advances in gene sequencing and molecular techniques are increasingly improving diagnostic capabilities. Novel approaches such as radiolabelled mucociliary clearance </w:t>
      </w:r>
      <w:r w:rsidR="005B0F3A">
        <w:t xml:space="preserve"> provide additional data which may</w:t>
      </w:r>
      <w:r w:rsidR="00EF3EB1">
        <w:t xml:space="preserve"> help </w:t>
      </w:r>
      <w:r w:rsidR="00AB30EB" w:rsidRPr="00AB30EB">
        <w:t>excl</w:t>
      </w:r>
      <w:r w:rsidR="00AB30EB">
        <w:t>ude a diagnosis of PCD when this functional</w:t>
      </w:r>
      <w:r w:rsidR="00AB30EB" w:rsidRPr="00AB30EB">
        <w:t xml:space="preserve"> test is normal</w:t>
      </w:r>
      <w:r w:rsidR="00AB30EB">
        <w:t xml:space="preserve"> in difficult </w:t>
      </w:r>
      <w:r w:rsidR="00EF3EB1">
        <w:t xml:space="preserve">diagnostic </w:t>
      </w:r>
      <w:r w:rsidR="00AB30EB">
        <w:t>cases</w:t>
      </w:r>
      <w:r w:rsidR="00AB30EB" w:rsidRPr="00AB30EB" w:rsidDel="00AB30EB">
        <w:t xml:space="preserve"> </w:t>
      </w:r>
      <w:r w:rsidR="009111A8" w:rsidRPr="009111A8">
        <w:rPr>
          <w:noProof/>
          <w:vertAlign w:val="superscript"/>
        </w:rPr>
        <w:t>56,57</w:t>
      </w:r>
      <w:r w:rsidR="00650A64" w:rsidRPr="00BB30FB">
        <w:t xml:space="preserve">. In addition new advances in electron microscopy such as 3D electron tomography provide insight into PCD cases previously thought to have normal ultrastructure </w:t>
      </w:r>
      <w:r w:rsidR="009111A8">
        <w:rPr>
          <w:noProof/>
          <w:vertAlign w:val="superscript"/>
        </w:rPr>
        <w:t>58</w:t>
      </w:r>
      <w:r w:rsidR="00650A64" w:rsidRPr="00BB30FB">
        <w:t xml:space="preserve">. </w:t>
      </w:r>
    </w:p>
    <w:p w14:paraId="3EBE1313" w14:textId="34844155" w:rsidR="005B0F3A" w:rsidRPr="005B0F3A" w:rsidRDefault="00BD6640" w:rsidP="005B0F3A">
      <w:pPr>
        <w:tabs>
          <w:tab w:val="left" w:pos="8647"/>
        </w:tabs>
        <w:spacing w:line="360" w:lineRule="auto"/>
      </w:pPr>
      <w:r>
        <w:t>Although pathogenic mutations in motile cilia genes can confirm a diagnosis, some newly described genes have been associated with minimal</w:t>
      </w:r>
      <w:r w:rsidR="005B0F3A">
        <w:t>, or perhaps no</w:t>
      </w:r>
      <w:r>
        <w:t xml:space="preserve"> pulmonary disease</w:t>
      </w:r>
      <w:r w:rsidR="005B0F3A">
        <w:t>.</w:t>
      </w:r>
      <w:r>
        <w:t xml:space="preserve"> </w:t>
      </w:r>
      <w:r w:rsidR="005B0F3A" w:rsidRPr="005B0F3A">
        <w:t xml:space="preserve">Given this, some experts question whether these patients should be included in the same syndrome as those with progressive pulmonary disease since treatment and prognosis are significantly different. </w:t>
      </w:r>
    </w:p>
    <w:p w14:paraId="360EC207" w14:textId="2DD0CFBB" w:rsidR="00BD6640" w:rsidRDefault="00BD6640" w:rsidP="008D14D6">
      <w:pPr>
        <w:tabs>
          <w:tab w:val="left" w:pos="8647"/>
        </w:tabs>
        <w:spacing w:line="360" w:lineRule="auto"/>
      </w:pPr>
    </w:p>
    <w:p w14:paraId="54CA005B" w14:textId="77777777" w:rsidR="00CB7528" w:rsidRDefault="00CB7528" w:rsidP="008D14D6">
      <w:pPr>
        <w:tabs>
          <w:tab w:val="left" w:pos="8647"/>
        </w:tabs>
        <w:rPr>
          <w:b/>
        </w:rPr>
      </w:pPr>
    </w:p>
    <w:p w14:paraId="2306668D" w14:textId="7D6C0253" w:rsidR="00307BE7" w:rsidRPr="00181B70" w:rsidRDefault="00D070A6" w:rsidP="008D14D6">
      <w:pPr>
        <w:tabs>
          <w:tab w:val="left" w:pos="8647"/>
        </w:tabs>
        <w:rPr>
          <w:b/>
        </w:rPr>
      </w:pPr>
      <w:r w:rsidRPr="00D070A6">
        <w:rPr>
          <w:b/>
        </w:rPr>
        <w:t>Genetics and disease mechanisms</w:t>
      </w:r>
      <w:r>
        <w:t xml:space="preserve"> </w:t>
      </w:r>
    </w:p>
    <w:p w14:paraId="755604F6" w14:textId="45F79B68" w:rsidR="004B462E" w:rsidRDefault="004B462E" w:rsidP="008D14D6">
      <w:pPr>
        <w:tabs>
          <w:tab w:val="left" w:pos="8647"/>
        </w:tabs>
        <w:spacing w:line="360" w:lineRule="auto"/>
      </w:pPr>
      <w:r w:rsidRPr="004B462E">
        <w:t xml:space="preserve">Mutations of more than 40 different genes have been reported that cause </w:t>
      </w:r>
      <w:r w:rsidRPr="00A24CCF">
        <w:t>PCD</w:t>
      </w:r>
      <w:r w:rsidR="00C0208F" w:rsidRPr="00A24CCF">
        <w:t xml:space="preserve"> (</w:t>
      </w:r>
      <w:r w:rsidRPr="00A24CCF">
        <w:t>Figure</w:t>
      </w:r>
      <w:r w:rsidR="00C0208F" w:rsidRPr="00A24CCF">
        <w:t xml:space="preserve"> 1</w:t>
      </w:r>
      <w:r w:rsidRPr="00A24CCF">
        <w:t>). Most</w:t>
      </w:r>
      <w:r w:rsidRPr="004B462E">
        <w:t xml:space="preserve"> PCD variants are transmitted in an autosomal recessive fashion. However, X chromosomal recessive inheritance has </w:t>
      </w:r>
      <w:r w:rsidR="001A6111">
        <w:t xml:space="preserve">also </w:t>
      </w:r>
      <w:r w:rsidRPr="004B462E">
        <w:t>been reported for a few genes</w:t>
      </w:r>
      <w:r w:rsidR="009111A8" w:rsidRPr="009111A8">
        <w:rPr>
          <w:noProof/>
          <w:vertAlign w:val="superscript"/>
        </w:rPr>
        <w:t>59,60</w:t>
      </w:r>
      <w:r w:rsidRPr="004B462E">
        <w:t>. Motility of respiratory cilia is generated and regulated by complex mechanisms involving several large mu</w:t>
      </w:r>
      <w:r w:rsidR="00452C3B">
        <w:t>ltimeric pro</w:t>
      </w:r>
      <w:r w:rsidR="00551B41">
        <w:t>tein complexes</w:t>
      </w:r>
      <w:r w:rsidRPr="004B462E">
        <w:t xml:space="preserve">. </w:t>
      </w:r>
      <w:r w:rsidR="00551B41">
        <w:t xml:space="preserve">Mutations affecting </w:t>
      </w:r>
      <w:r w:rsidR="007A341D">
        <w:t>many</w:t>
      </w:r>
      <w:r w:rsidR="00551B41">
        <w:t xml:space="preserve"> of these </w:t>
      </w:r>
      <w:r w:rsidR="007A341D">
        <w:t xml:space="preserve">proteins </w:t>
      </w:r>
      <w:r w:rsidRPr="004B462E">
        <w:t xml:space="preserve">can result in PCD. </w:t>
      </w:r>
      <w:r w:rsidR="005B0F3A" w:rsidRPr="005B0F3A">
        <w:t>In approximately 50% of cases, m</w:t>
      </w:r>
      <w:r w:rsidR="005B0F3A">
        <w:t xml:space="preserve">utations </w:t>
      </w:r>
      <w:r w:rsidR="004A7041">
        <w:t xml:space="preserve">in some genes are associated with laterality defects, whilst mutations in other genes are </w:t>
      </w:r>
      <w:r w:rsidR="00A0030E">
        <w:t xml:space="preserve">always </w:t>
      </w:r>
      <w:r w:rsidR="004A7041">
        <w:t>associated with situs solitus.</w:t>
      </w:r>
      <w:r w:rsidR="000D2D52">
        <w:t xml:space="preserve"> </w:t>
      </w:r>
      <w:r w:rsidR="005B0F3A" w:rsidRPr="005B0F3A">
        <w:t>Dyskinesia of the cilia severely impairs mucocilary clearance</w:t>
      </w:r>
      <w:r w:rsidR="005B0F3A">
        <w:t>, leading to r</w:t>
      </w:r>
      <w:r w:rsidR="005B0F3A" w:rsidRPr="005B0F3A">
        <w:t>ecurrent and chronic airway infection and inflammation.  IL-8, neutrophils, and neutrophil elastase activity are significantly elevated in the PCD airway, contributing to the inflammatory</w:t>
      </w:r>
      <w:r w:rsidR="000D2D52">
        <w:t xml:space="preserve"> environment</w:t>
      </w:r>
      <w:r w:rsidR="000D2D52" w:rsidRPr="000D2D52">
        <w:rPr>
          <w:noProof/>
          <w:vertAlign w:val="superscript"/>
        </w:rPr>
        <w:t>61,62</w:t>
      </w:r>
      <w:r w:rsidR="000D2D52">
        <w:t xml:space="preserve">. </w:t>
      </w:r>
      <w:r w:rsidR="007C7797">
        <w:t xml:space="preserve">Furthermore, </w:t>
      </w:r>
      <w:r w:rsidR="007C7797" w:rsidRPr="007C7797">
        <w:t>peripheral blood monocytes from PCD patients produce higher levels of inflammatory cytokines when stimulated com</w:t>
      </w:r>
      <w:r w:rsidR="007C7797">
        <w:t>pared to those from healthy indi</w:t>
      </w:r>
      <w:r w:rsidR="007C7797" w:rsidRPr="007C7797">
        <w:t>viduals</w:t>
      </w:r>
      <w:r w:rsidR="007C7797">
        <w:t>, perhaps</w:t>
      </w:r>
      <w:r w:rsidR="007C7797" w:rsidRPr="007C7797">
        <w:rPr>
          <w:rFonts w:eastAsiaTheme="minorEastAsia"/>
          <w:sz w:val="20"/>
          <w:szCs w:val="20"/>
        </w:rPr>
        <w:t xml:space="preserve"> </w:t>
      </w:r>
      <w:r w:rsidR="007C7797">
        <w:t>contributing</w:t>
      </w:r>
      <w:r w:rsidR="007C7797" w:rsidRPr="007C7797">
        <w:t xml:space="preserve"> to the chronic </w:t>
      </w:r>
      <w:r w:rsidR="005B0F3A">
        <w:t xml:space="preserve">airway </w:t>
      </w:r>
      <w:r w:rsidR="007C7797" w:rsidRPr="007C7797">
        <w:t xml:space="preserve">inflammation and resulting tissue damage </w:t>
      </w:r>
      <w:r w:rsidR="005B0F3A">
        <w:t>from infections</w:t>
      </w:r>
      <w:r w:rsidR="007C7797">
        <w:t xml:space="preserve"> </w:t>
      </w:r>
      <w:r w:rsidR="007C7797" w:rsidRPr="007C7797">
        <w:rPr>
          <w:noProof/>
          <w:vertAlign w:val="superscript"/>
        </w:rPr>
        <w:t>63</w:t>
      </w:r>
      <w:r w:rsidR="007C7797">
        <w:t xml:space="preserve">. </w:t>
      </w:r>
      <w:r w:rsidR="005B0F3A" w:rsidRPr="005B0F3A">
        <w:t>This recurrence and persistence of airway infections and inflammation contribute to progressive lung disease and eventually bronchiectasis.</w:t>
      </w:r>
    </w:p>
    <w:p w14:paraId="4EA09C71" w14:textId="17191C6C" w:rsidR="00131298" w:rsidRPr="008E069C" w:rsidRDefault="00131298" w:rsidP="008D14D6">
      <w:pPr>
        <w:tabs>
          <w:tab w:val="left" w:pos="8647"/>
        </w:tabs>
        <w:spacing w:line="360" w:lineRule="auto"/>
        <w:rPr>
          <w:i/>
        </w:rPr>
      </w:pPr>
      <w:r w:rsidRPr="00F1318E">
        <w:rPr>
          <w:i/>
        </w:rPr>
        <w:t>PCD</w:t>
      </w:r>
      <w:r>
        <w:rPr>
          <w:i/>
        </w:rPr>
        <w:t xml:space="preserve"> associated </w:t>
      </w:r>
      <w:r w:rsidRPr="00F1318E">
        <w:rPr>
          <w:i/>
        </w:rPr>
        <w:t>with laterality defects</w:t>
      </w:r>
    </w:p>
    <w:p w14:paraId="7CED896D" w14:textId="4711B57B" w:rsidR="004B462E" w:rsidRDefault="004B462E" w:rsidP="008D14D6">
      <w:pPr>
        <w:tabs>
          <w:tab w:val="left" w:pos="8647"/>
        </w:tabs>
        <w:spacing w:line="360" w:lineRule="auto"/>
      </w:pPr>
      <w:r w:rsidRPr="004B462E">
        <w:t xml:space="preserve">PCD individuals with abnormal </w:t>
      </w:r>
      <w:r w:rsidR="00551B41">
        <w:t>outer dynein arm (</w:t>
      </w:r>
      <w:r w:rsidRPr="004B462E">
        <w:t>ODA</w:t>
      </w:r>
      <w:r w:rsidR="00551B41">
        <w:t>)</w:t>
      </w:r>
      <w:r w:rsidRPr="004B462E">
        <w:t xml:space="preserve"> composure, abnormal ODA docking machinery, abnormal cytoplasmic dynein preassembly or tubular disorganization share the </w:t>
      </w:r>
      <w:r w:rsidR="001A6111">
        <w:t>possibility during embryogenesis o</w:t>
      </w:r>
      <w:r w:rsidRPr="004B462E">
        <w:t>f randomization of left-right asymmetry. Thus, half of all affected individuals exhibit situs inversus or heterotax</w:t>
      </w:r>
      <w:r w:rsidR="001A6111">
        <w:t>y</w:t>
      </w:r>
      <w:r w:rsidRPr="004B462E">
        <w:t xml:space="preserve">, because those disease mechanisms also affect nodal cilia </w:t>
      </w:r>
      <w:r w:rsidR="00684186" w:rsidRPr="004B462E">
        <w:t>function</w:t>
      </w:r>
      <w:r w:rsidRPr="004B462E">
        <w:t xml:space="preserve"> important for determination of left-right asymmetry during early embryogenesis. The association of situs inversus with PCD is also referred to as Kartagener syndrome. </w:t>
      </w:r>
    </w:p>
    <w:p w14:paraId="5606B5F6" w14:textId="0D6BFB37" w:rsidR="00551B41" w:rsidRDefault="004B462E" w:rsidP="008D14D6">
      <w:pPr>
        <w:tabs>
          <w:tab w:val="left" w:pos="8647"/>
        </w:tabs>
        <w:spacing w:line="360" w:lineRule="auto"/>
      </w:pPr>
      <w:r w:rsidRPr="004B462E">
        <w:rPr>
          <w:b/>
        </w:rPr>
        <w:t>De</w:t>
      </w:r>
      <w:r w:rsidR="005B3CA4">
        <w:rPr>
          <w:b/>
        </w:rPr>
        <w:t xml:space="preserve">fects of outer dynein arm </w:t>
      </w:r>
      <w:r w:rsidRPr="004B462E">
        <w:rPr>
          <w:b/>
        </w:rPr>
        <w:t>composure</w:t>
      </w:r>
      <w:r w:rsidR="004A7041">
        <w:rPr>
          <w:b/>
        </w:rPr>
        <w:t xml:space="preserve">:  </w:t>
      </w:r>
      <w:r w:rsidR="005B3CA4">
        <w:t>The ODA,</w:t>
      </w:r>
      <w:r w:rsidRPr="004B462E">
        <w:t xml:space="preserve"> attached to the outer doublets</w:t>
      </w:r>
      <w:r w:rsidR="005B3CA4">
        <w:t>,</w:t>
      </w:r>
      <w:r w:rsidRPr="004B462E">
        <w:t xml:space="preserve"> generate the main mechanical force to produce cilia bending. Genetic defects in genes that encode </w:t>
      </w:r>
      <w:r w:rsidR="005B3CA4">
        <w:t xml:space="preserve">ODA </w:t>
      </w:r>
      <w:r w:rsidRPr="004B462E">
        <w:t>components such as the heavy chains DNAH5, DNAH11</w:t>
      </w:r>
      <w:r w:rsidR="007C7797" w:rsidRPr="007C7797">
        <w:rPr>
          <w:noProof/>
          <w:vertAlign w:val="superscript"/>
        </w:rPr>
        <w:t>64,65</w:t>
      </w:r>
      <w:r w:rsidRPr="004B462E">
        <w:t>, the intermediate chains DNAI1 and DNAI2</w:t>
      </w:r>
      <w:r w:rsidR="007C7797" w:rsidRPr="007C7797">
        <w:rPr>
          <w:noProof/>
          <w:vertAlign w:val="superscript"/>
        </w:rPr>
        <w:t>66,67</w:t>
      </w:r>
      <w:r w:rsidRPr="004B462E">
        <w:t xml:space="preserve"> as </w:t>
      </w:r>
      <w:r w:rsidR="00F1318E">
        <w:t xml:space="preserve">well as light chains </w:t>
      </w:r>
      <w:r w:rsidR="001A6111">
        <w:t>such as</w:t>
      </w:r>
      <w:r w:rsidR="00F1318E">
        <w:t xml:space="preserve"> DNAL1 and</w:t>
      </w:r>
      <w:r w:rsidRPr="004B462E">
        <w:t xml:space="preserve"> NME8</w:t>
      </w:r>
      <w:r w:rsidR="007C7797" w:rsidRPr="007C7797">
        <w:rPr>
          <w:noProof/>
          <w:vertAlign w:val="superscript"/>
        </w:rPr>
        <w:t>68,69</w:t>
      </w:r>
      <w:r w:rsidRPr="004B462E">
        <w:t xml:space="preserve"> all result in dysfunction of </w:t>
      </w:r>
      <w:r w:rsidR="00684186">
        <w:t>ODAs</w:t>
      </w:r>
      <w:r w:rsidRPr="004B462E">
        <w:t xml:space="preserve">. </w:t>
      </w:r>
    </w:p>
    <w:p w14:paraId="79B579D6" w14:textId="5CE448E4" w:rsidR="004B462E" w:rsidRPr="004A7041" w:rsidRDefault="004B462E" w:rsidP="008D14D6">
      <w:pPr>
        <w:tabs>
          <w:tab w:val="left" w:pos="8647"/>
        </w:tabs>
        <w:spacing w:line="360" w:lineRule="auto"/>
        <w:rPr>
          <w:b/>
        </w:rPr>
      </w:pPr>
      <w:r w:rsidRPr="004B462E">
        <w:t xml:space="preserve">Mutations in the gene </w:t>
      </w:r>
      <w:r w:rsidRPr="004B462E">
        <w:rPr>
          <w:i/>
        </w:rPr>
        <w:t>DNAH5</w:t>
      </w:r>
      <w:r w:rsidRPr="004B462E">
        <w:t xml:space="preserve"> result in the most frequent defect reported in PCD individuals.  Approximately half of all patien</w:t>
      </w:r>
      <w:r w:rsidR="00F1318E">
        <w:t>ts with ODA defects</w:t>
      </w:r>
      <w:r w:rsidRPr="004B462E">
        <w:t xml:space="preserve"> </w:t>
      </w:r>
      <w:r w:rsidR="000B0D81">
        <w:t xml:space="preserve">have </w:t>
      </w:r>
      <w:r w:rsidRPr="004B462E">
        <w:t xml:space="preserve">recessive </w:t>
      </w:r>
      <w:r w:rsidRPr="004B462E">
        <w:rPr>
          <w:i/>
        </w:rPr>
        <w:t>DNAH5</w:t>
      </w:r>
      <w:r w:rsidR="00551B41">
        <w:t xml:space="preserve"> mutations, and</w:t>
      </w:r>
      <w:r w:rsidRPr="004B462E">
        <w:t xml:space="preserve"> a </w:t>
      </w:r>
      <w:r w:rsidR="00551B41">
        <w:t xml:space="preserve">quarter of </w:t>
      </w:r>
      <w:r w:rsidR="00F1318E">
        <w:t xml:space="preserve">European </w:t>
      </w:r>
      <w:r w:rsidR="00551B41">
        <w:t xml:space="preserve">PCD individuals </w:t>
      </w:r>
      <w:r w:rsidR="000B0D81">
        <w:t>have bi-allelic pathogenic variants in</w:t>
      </w:r>
      <w:r w:rsidR="000B0D81" w:rsidRPr="004B462E">
        <w:t xml:space="preserve"> </w:t>
      </w:r>
      <w:r w:rsidRPr="004B462E">
        <w:rPr>
          <w:i/>
        </w:rPr>
        <w:t>DNAH5</w:t>
      </w:r>
      <w:r w:rsidRPr="004B462E">
        <w:t xml:space="preserve">. </w:t>
      </w:r>
      <w:r w:rsidR="005B3CA4" w:rsidRPr="005B3CA4">
        <w:t>High-speed video microscopy analyses (HSVMA) of cilia</w:t>
      </w:r>
      <w:r w:rsidR="005B3CA4">
        <w:t xml:space="preserve"> beating reveals immotile cilia; </w:t>
      </w:r>
      <w:r w:rsidR="00247540">
        <w:t>transmission el</w:t>
      </w:r>
      <w:r w:rsidR="0064551E">
        <w:t>e</w:t>
      </w:r>
      <w:r w:rsidR="00247540">
        <w:t>ctron microscopy (</w:t>
      </w:r>
      <w:r w:rsidR="005B3CA4">
        <w:t>TEM</w:t>
      </w:r>
      <w:r w:rsidR="00247540">
        <w:t>)</w:t>
      </w:r>
      <w:r w:rsidR="005B3CA4">
        <w:t xml:space="preserve"> and </w:t>
      </w:r>
      <w:r w:rsidR="00247540">
        <w:t>i</w:t>
      </w:r>
      <w:r w:rsidR="00247540" w:rsidRPr="00247540">
        <w:t xml:space="preserve">mmunofluorescence microscopy analysis </w:t>
      </w:r>
      <w:r w:rsidR="00247540">
        <w:t>(</w:t>
      </w:r>
      <w:r w:rsidR="005B3CA4">
        <w:t>IF</w:t>
      </w:r>
      <w:r w:rsidR="00247540">
        <w:t>)</w:t>
      </w:r>
      <w:r w:rsidR="005B3CA4">
        <w:t xml:space="preserve"> confirm deficient/ absent ODAs.</w:t>
      </w:r>
    </w:p>
    <w:p w14:paraId="420FF87C" w14:textId="5F16B855" w:rsidR="004B462E" w:rsidRPr="004B462E" w:rsidRDefault="004B462E" w:rsidP="008D14D6">
      <w:pPr>
        <w:tabs>
          <w:tab w:val="left" w:pos="8647"/>
        </w:tabs>
        <w:spacing w:line="360" w:lineRule="auto"/>
      </w:pPr>
      <w:r w:rsidRPr="004B462E">
        <w:t>Mutations in genes encoding</w:t>
      </w:r>
      <w:r w:rsidR="005B3CA4">
        <w:t xml:space="preserve"> intermediate chains of the ODAs</w:t>
      </w:r>
      <w:r w:rsidR="001A6111">
        <w:t xml:space="preserve"> such as</w:t>
      </w:r>
      <w:r w:rsidRPr="004B462E">
        <w:t xml:space="preserve"> DNAI1 and DNAI2</w:t>
      </w:r>
      <w:r w:rsidR="005B3CA4">
        <w:t>, or encoding</w:t>
      </w:r>
      <w:r w:rsidRPr="004B462E">
        <w:t xml:space="preserve"> the light chain DNAL1 cause similar</w:t>
      </w:r>
      <w:r w:rsidR="005B3CA4">
        <w:t xml:space="preserve"> defects</w:t>
      </w:r>
      <w:r w:rsidRPr="004B462E">
        <w:t xml:space="preserve"> to </w:t>
      </w:r>
      <w:r w:rsidRPr="004B462E">
        <w:rPr>
          <w:i/>
        </w:rPr>
        <w:t>DNAH5</w:t>
      </w:r>
      <w:r w:rsidRPr="004B462E">
        <w:t xml:space="preserve"> mut</w:t>
      </w:r>
      <w:r w:rsidR="005B3CA4">
        <w:t xml:space="preserve">ations </w:t>
      </w:r>
      <w:r w:rsidRPr="004B462E">
        <w:t>that can be recognized by TEM, IF and HSVM</w:t>
      </w:r>
      <w:r w:rsidR="0064551E">
        <w:t>A</w:t>
      </w:r>
      <w:r w:rsidRPr="004B462E">
        <w:t xml:space="preserve">. Interestingly, mutations in the </w:t>
      </w:r>
      <w:r w:rsidRPr="004B462E">
        <w:rPr>
          <w:i/>
        </w:rPr>
        <w:t>NME8</w:t>
      </w:r>
      <w:r w:rsidRPr="004B462E">
        <w:t xml:space="preserve"> gene have been reported to result in a variable phenotype of the ultrastructure</w:t>
      </w:r>
      <w:r w:rsidR="007C7797" w:rsidRPr="007C7797">
        <w:rPr>
          <w:noProof/>
          <w:vertAlign w:val="superscript"/>
        </w:rPr>
        <w:t>69</w:t>
      </w:r>
      <w:r w:rsidRPr="004B462E">
        <w:t>. Approximately half of t</w:t>
      </w:r>
      <w:r w:rsidR="005B3CA4">
        <w:t>he cross sections showed ODA defects</w:t>
      </w:r>
      <w:r w:rsidR="00F1318E">
        <w:t>,</w:t>
      </w:r>
      <w:r w:rsidRPr="004B462E">
        <w:t xml:space="preserve"> the o</w:t>
      </w:r>
      <w:r w:rsidR="00F1318E">
        <w:t xml:space="preserve">ther half showed </w:t>
      </w:r>
      <w:r w:rsidRPr="004B462E">
        <w:t>normal composure</w:t>
      </w:r>
      <w:r w:rsidR="005B3CA4">
        <w:t>. In the original reports it had</w:t>
      </w:r>
      <w:r w:rsidRPr="004B462E">
        <w:t xml:space="preserve"> been suggested that </w:t>
      </w:r>
      <w:r w:rsidR="005B3CA4">
        <w:t>some cilia might lack ODAs</w:t>
      </w:r>
      <w:r w:rsidRPr="004B462E">
        <w:t xml:space="preserve"> and that other cilia </w:t>
      </w:r>
      <w:r w:rsidR="005B3CA4">
        <w:t>might assemble ODAs</w:t>
      </w:r>
      <w:r w:rsidRPr="004B462E">
        <w:t>. However, recently it has been discovered th</w:t>
      </w:r>
      <w:r w:rsidR="005B3CA4">
        <w:t>at two distinct ODA</w:t>
      </w:r>
      <w:r w:rsidRPr="004B462E">
        <w:t xml:space="preserve"> populations are present in respiratory cilia along the ciliary lengths. </w:t>
      </w:r>
      <w:r w:rsidR="00F1318E">
        <w:t xml:space="preserve"> ODA</w:t>
      </w:r>
      <w:r w:rsidRPr="004B462E">
        <w:t xml:space="preserve"> complexes type 1 containing the beta-heavy chain DNAH11 are located</w:t>
      </w:r>
      <w:r w:rsidR="001A6111">
        <w:t xml:space="preserve"> in the proximal compartment</w:t>
      </w:r>
      <w:r w:rsidRPr="004B462E">
        <w:t xml:space="preserve"> whereas </w:t>
      </w:r>
      <w:r w:rsidR="00F1318E">
        <w:t>ODA</w:t>
      </w:r>
      <w:r w:rsidRPr="004B462E">
        <w:t xml:space="preserve"> complexes type 2 contain</w:t>
      </w:r>
      <w:r w:rsidR="001A6111">
        <w:t>ing</w:t>
      </w:r>
      <w:r w:rsidRPr="004B462E">
        <w:t xml:space="preserve"> the beta-heavy chain DNAH9</w:t>
      </w:r>
      <w:r w:rsidR="001A6111">
        <w:t xml:space="preserve"> are located in the distal compartment</w:t>
      </w:r>
      <w:r w:rsidR="007C7797" w:rsidRPr="007C7797">
        <w:rPr>
          <w:noProof/>
          <w:vertAlign w:val="superscript"/>
        </w:rPr>
        <w:t>10,51,70</w:t>
      </w:r>
      <w:r w:rsidRPr="004B462E">
        <w:t xml:space="preserve">. Thus, it is more likely that in NME8 mutant cilia the distal ciliary axonemes lack ODAs type 2.  </w:t>
      </w:r>
    </w:p>
    <w:p w14:paraId="79BC7CB1" w14:textId="4477F832" w:rsidR="004B462E" w:rsidRPr="004B462E" w:rsidRDefault="004B462E" w:rsidP="008D14D6">
      <w:pPr>
        <w:tabs>
          <w:tab w:val="left" w:pos="8647"/>
        </w:tabs>
        <w:spacing w:line="360" w:lineRule="auto"/>
      </w:pPr>
      <w:r w:rsidRPr="004B462E">
        <w:rPr>
          <w:i/>
        </w:rPr>
        <w:t>DNAH11</w:t>
      </w:r>
      <w:r w:rsidRPr="004B462E">
        <w:t xml:space="preserve"> mutations cause a distinct PCD phenotype characterized by a hyperkinetic beating pattern with reduced beating amplitude. The bending of the proximal ciliary compartment is deficient in </w:t>
      </w:r>
      <w:r w:rsidRPr="004B462E">
        <w:rPr>
          <w:i/>
        </w:rPr>
        <w:t>DNAH11</w:t>
      </w:r>
      <w:r w:rsidRPr="004B462E">
        <w:t xml:space="preserve"> mutant cilia. </w:t>
      </w:r>
      <w:r w:rsidRPr="004B462E">
        <w:rPr>
          <w:i/>
        </w:rPr>
        <w:t>DNAH11</w:t>
      </w:r>
      <w:r w:rsidRPr="004B462E">
        <w:t xml:space="preserve"> mutations do not cause obvious ultrastructural defects readily identifiable by TEM</w:t>
      </w:r>
      <w:r w:rsidR="00E2395B">
        <w:rPr>
          <w:vertAlign w:val="superscript"/>
        </w:rPr>
        <w:t>55</w:t>
      </w:r>
      <w:r w:rsidRPr="004B462E">
        <w:t>.</w:t>
      </w:r>
      <w:r w:rsidRPr="004B462E" w:rsidDel="006829C6">
        <w:t xml:space="preserve"> </w:t>
      </w:r>
      <w:r w:rsidRPr="004B462E">
        <w:t xml:space="preserve">Only special investigations using TEM tomography can depict subtle alterations of the proximal compartment. Therefore, </w:t>
      </w:r>
      <w:r w:rsidRPr="004B462E">
        <w:rPr>
          <w:i/>
        </w:rPr>
        <w:t xml:space="preserve">DNAH11 </w:t>
      </w:r>
      <w:r w:rsidR="00F1318E">
        <w:t xml:space="preserve">mutations are </w:t>
      </w:r>
      <w:r w:rsidRPr="004B462E">
        <w:t>often overlooked in centres that rely only on TEM to</w:t>
      </w:r>
      <w:r w:rsidR="00F1318E">
        <w:t xml:space="preserve"> establish PCD diagnosis. </w:t>
      </w:r>
      <w:r w:rsidR="00CC7DF5" w:rsidRPr="00CC7DF5">
        <w:t xml:space="preserve">Immunofluorecence microscopy with anti DNAH11 antibodies can detect </w:t>
      </w:r>
      <w:r w:rsidR="00CC7DF5">
        <w:t xml:space="preserve">some </w:t>
      </w:r>
      <w:r w:rsidR="00CC7DF5" w:rsidRPr="00CC7DF5">
        <w:t xml:space="preserve">PCD individuals with biallelic loss-of function mutations in </w:t>
      </w:r>
      <w:r w:rsidR="00CC7DF5" w:rsidRPr="00CC7DF5">
        <w:rPr>
          <w:i/>
        </w:rPr>
        <w:t>DNAH11</w:t>
      </w:r>
      <w:r w:rsidR="007C7797" w:rsidRPr="007C7797">
        <w:rPr>
          <w:i/>
          <w:noProof/>
          <w:vertAlign w:val="superscript"/>
        </w:rPr>
        <w:t>71</w:t>
      </w:r>
      <w:r w:rsidR="00CC7DF5" w:rsidRPr="00CC7DF5">
        <w:t xml:space="preserve">. </w:t>
      </w:r>
      <w:r w:rsidR="00F1318E">
        <w:t>R</w:t>
      </w:r>
      <w:r w:rsidRPr="004B462E">
        <w:t xml:space="preserve">ecently mutations in </w:t>
      </w:r>
      <w:r w:rsidRPr="004B462E">
        <w:rPr>
          <w:i/>
        </w:rPr>
        <w:t>DNAH9</w:t>
      </w:r>
      <w:r w:rsidRPr="004B462E">
        <w:t xml:space="preserve"> have been reported in PCD individuals with mild or no respiratory disease</w:t>
      </w:r>
      <w:r w:rsidR="007C7797" w:rsidRPr="007C7797">
        <w:rPr>
          <w:noProof/>
          <w:vertAlign w:val="superscript"/>
        </w:rPr>
        <w:t>70</w:t>
      </w:r>
      <w:r w:rsidRPr="004B462E">
        <w:t xml:space="preserve">. </w:t>
      </w:r>
      <w:r w:rsidRPr="004B462E">
        <w:rPr>
          <w:i/>
        </w:rPr>
        <w:t>DNAH9</w:t>
      </w:r>
      <w:r w:rsidRPr="004B462E">
        <w:t xml:space="preserve"> mutant cilia lack ODAs of the distal ciliary axonemes and exhibit only subtle beating abnormalities</w:t>
      </w:r>
      <w:r w:rsidR="007C7797" w:rsidRPr="007C7797">
        <w:rPr>
          <w:noProof/>
          <w:vertAlign w:val="superscript"/>
        </w:rPr>
        <w:t>10,70</w:t>
      </w:r>
      <w:r w:rsidRPr="004B462E">
        <w:t>.</w:t>
      </w:r>
    </w:p>
    <w:p w14:paraId="4F0895B9" w14:textId="210DC13F" w:rsidR="004B462E" w:rsidRPr="004B462E" w:rsidRDefault="004B462E" w:rsidP="008D14D6">
      <w:pPr>
        <w:tabs>
          <w:tab w:val="left" w:pos="8647"/>
        </w:tabs>
        <w:spacing w:line="360" w:lineRule="auto"/>
      </w:pPr>
      <w:r w:rsidRPr="004B462E">
        <w:t>Immunofluorescence microscopy analysis utilizing antibodies d</w:t>
      </w:r>
      <w:r w:rsidR="00F1318E">
        <w:t>irected against ODA</w:t>
      </w:r>
      <w:r w:rsidRPr="004B462E">
        <w:t xml:space="preserve"> components DNAH9, DNAH11, DNAH5, DNAI1 or DNAI2 can easily depict the dist</w:t>
      </w:r>
      <w:r w:rsidR="00F1318E">
        <w:t>inct defects of ODA</w:t>
      </w:r>
      <w:r w:rsidRPr="004B462E">
        <w:t xml:space="preserve"> composure in the different genetic PCD variants.</w:t>
      </w:r>
    </w:p>
    <w:p w14:paraId="10D15A34" w14:textId="2C3C447E" w:rsidR="004B462E" w:rsidRPr="004A7041" w:rsidRDefault="004B462E" w:rsidP="008D14D6">
      <w:pPr>
        <w:tabs>
          <w:tab w:val="left" w:pos="8647"/>
        </w:tabs>
        <w:spacing w:line="360" w:lineRule="auto"/>
        <w:rPr>
          <w:b/>
        </w:rPr>
      </w:pPr>
      <w:r w:rsidRPr="004B462E">
        <w:rPr>
          <w:b/>
        </w:rPr>
        <w:t>Defects in outer d</w:t>
      </w:r>
      <w:r w:rsidR="004A7041">
        <w:rPr>
          <w:b/>
        </w:rPr>
        <w:t xml:space="preserve">ynein arm docking and targeting: </w:t>
      </w:r>
      <w:r w:rsidRPr="004B462E">
        <w:t>ODAs are attached to the outer doublets by complicated mechanisms involving a multimeric docking machinery which are referred to as ODA docking complexes (ODA-DCs). Mutations in genes encoding different ODA-DC components such as CCDC114</w:t>
      </w:r>
      <w:r w:rsidR="007C7797">
        <w:rPr>
          <w:noProof/>
          <w:vertAlign w:val="superscript"/>
        </w:rPr>
        <w:t>14,72</w:t>
      </w:r>
      <w:r w:rsidRPr="004B462E">
        <w:t>, ARMC4</w:t>
      </w:r>
      <w:r w:rsidR="007C7797" w:rsidRPr="007C7797">
        <w:rPr>
          <w:noProof/>
          <w:vertAlign w:val="superscript"/>
        </w:rPr>
        <w:t>73</w:t>
      </w:r>
      <w:r w:rsidRPr="004B462E">
        <w:t>, CCDC151</w:t>
      </w:r>
      <w:r w:rsidR="007C7797" w:rsidRPr="007C7797">
        <w:rPr>
          <w:noProof/>
          <w:vertAlign w:val="superscript"/>
        </w:rPr>
        <w:t>74,75</w:t>
      </w:r>
      <w:r w:rsidRPr="004B462E">
        <w:t xml:space="preserve"> and TTC25</w:t>
      </w:r>
      <w:r w:rsidR="00563405">
        <w:t xml:space="preserve"> </w:t>
      </w:r>
      <w:r w:rsidR="007C7797" w:rsidRPr="007C7797">
        <w:rPr>
          <w:noProof/>
          <w:vertAlign w:val="superscript"/>
        </w:rPr>
        <w:t>76</w:t>
      </w:r>
      <w:r w:rsidRPr="004B462E">
        <w:t xml:space="preserve"> can result in abnormal ODA docking. Thus, mutations of th</w:t>
      </w:r>
      <w:r w:rsidR="005256F1">
        <w:t>e</w:t>
      </w:r>
      <w:r w:rsidRPr="004B462E">
        <w:t xml:space="preserve">se genes result in absence of ODAs from the ciliary axonemes, usually easy to detect by TEM and IF. </w:t>
      </w:r>
      <w:r w:rsidR="00357012">
        <w:t xml:space="preserve">HSVMA readily identifies predominantly static cilia. </w:t>
      </w:r>
      <w:r w:rsidRPr="004B462E">
        <w:t xml:space="preserve">In addition, with the use of antibodies targeting the </w:t>
      </w:r>
      <w:r w:rsidR="00F1318E">
        <w:t>ODA</w:t>
      </w:r>
      <w:r w:rsidRPr="004B462E">
        <w:t xml:space="preserve"> docking machinery it is possible to distinguish molecular defects caused by abnormal ODA composure or by abnormal ODA docking. Interestingly, the ODA-DC protein TTC25 appears to be the major component of the </w:t>
      </w:r>
      <w:r w:rsidR="00E251B7">
        <w:t xml:space="preserve">ODA </w:t>
      </w:r>
      <w:r w:rsidRPr="004B462E">
        <w:t xml:space="preserve">docking machinery because in those </w:t>
      </w:r>
      <w:r w:rsidR="00E251B7">
        <w:t>mutant cells, ODA-</w:t>
      </w:r>
      <w:r w:rsidRPr="004B462E">
        <w:t>DCs such as CCDC114, CCDC151 and ARMC4 can</w:t>
      </w:r>
      <w:r w:rsidR="00E251B7">
        <w:t>not</w:t>
      </w:r>
      <w:r w:rsidRPr="004B462E">
        <w:t xml:space="preserve"> be assembled. In contrast, </w:t>
      </w:r>
      <w:r w:rsidRPr="004B462E">
        <w:rPr>
          <w:i/>
        </w:rPr>
        <w:t>ARMC4</w:t>
      </w:r>
      <w:r w:rsidRPr="004B462E">
        <w:t xml:space="preserve"> mutations cause abnormal ODA docking that is more prominent in the distal c</w:t>
      </w:r>
      <w:r w:rsidR="009779A0">
        <w:t>iliary axoneme than proximally</w:t>
      </w:r>
      <w:r w:rsidRPr="004B462E">
        <w:t xml:space="preserve"> resulting in a heteroge</w:t>
      </w:r>
      <w:r w:rsidR="009779A0">
        <w:t xml:space="preserve">neous picture along the </w:t>
      </w:r>
      <w:r w:rsidRPr="004B462E">
        <w:t>axoneme.</w:t>
      </w:r>
      <w:r w:rsidR="009779A0">
        <w:t xml:space="preserve"> CCDC103</w:t>
      </w:r>
      <w:r w:rsidR="00563405">
        <w:t xml:space="preserve"> </w:t>
      </w:r>
      <w:r w:rsidR="007C7797" w:rsidRPr="007C7797">
        <w:rPr>
          <w:noProof/>
          <w:vertAlign w:val="superscript"/>
        </w:rPr>
        <w:t>43,77</w:t>
      </w:r>
      <w:r w:rsidR="009779A0">
        <w:t xml:space="preserve"> is not a classical ODA-</w:t>
      </w:r>
      <w:r w:rsidRPr="004B462E">
        <w:t>DC protein but</w:t>
      </w:r>
      <w:r w:rsidR="00F1318E">
        <w:t xml:space="preserve"> is</w:t>
      </w:r>
      <w:r w:rsidRPr="004B462E">
        <w:t xml:space="preserve"> involved in ODA targeting. </w:t>
      </w:r>
      <w:r w:rsidRPr="004B462E">
        <w:rPr>
          <w:i/>
        </w:rPr>
        <w:t>LRRC56</w:t>
      </w:r>
      <w:r w:rsidRPr="004B462E">
        <w:t xml:space="preserve"> mutations disrupt </w:t>
      </w:r>
      <w:r w:rsidR="00E2395B">
        <w:t>intra-flagella transport</w:t>
      </w:r>
      <w:r w:rsidRPr="004B462E">
        <w:t>-dependent delivery of ODA components and result in subtle defects of distal ODAs</w:t>
      </w:r>
      <w:r w:rsidR="007C7797" w:rsidRPr="007C7797">
        <w:rPr>
          <w:noProof/>
          <w:vertAlign w:val="superscript"/>
        </w:rPr>
        <w:t>78</w:t>
      </w:r>
      <w:r w:rsidRPr="004B462E">
        <w:t xml:space="preserve">. </w:t>
      </w:r>
    </w:p>
    <w:p w14:paraId="4EE03A83" w14:textId="778F7955" w:rsidR="00D5674D" w:rsidRDefault="004B462E" w:rsidP="008D14D6">
      <w:pPr>
        <w:tabs>
          <w:tab w:val="left" w:pos="8647"/>
        </w:tabs>
        <w:spacing w:line="360" w:lineRule="auto"/>
      </w:pPr>
      <w:r w:rsidRPr="00231A83">
        <w:rPr>
          <w:b/>
        </w:rPr>
        <w:t>Defects in cytoplasmic preassembly</w:t>
      </w:r>
      <w:r w:rsidRPr="004B462E">
        <w:rPr>
          <w:b/>
        </w:rPr>
        <w:t xml:space="preserve"> of dynein arms</w:t>
      </w:r>
      <w:r w:rsidR="004A7041">
        <w:rPr>
          <w:b/>
        </w:rPr>
        <w:t xml:space="preserve">: </w:t>
      </w:r>
      <w:r w:rsidR="009779A0">
        <w:rPr>
          <w:b/>
        </w:rPr>
        <w:t xml:space="preserve"> </w:t>
      </w:r>
      <w:r w:rsidR="009779A0">
        <w:t>ODAs</w:t>
      </w:r>
      <w:r w:rsidRPr="004B462E">
        <w:t xml:space="preserve"> as well as inner dynein arms (IDAs) which are important for the regulation of the ciliary beating are preassembled in the cytoplasm prior </w:t>
      </w:r>
      <w:r w:rsidR="009779A0">
        <w:t xml:space="preserve">to </w:t>
      </w:r>
      <w:r w:rsidRPr="004B462E">
        <w:t xml:space="preserve">delivery to their final docking sites at the outer doublets along the ciliary axoneme. Therefore, mutations in genes that alter cytoplasmic preassembly processes result in defects of </w:t>
      </w:r>
      <w:r w:rsidR="009C5037">
        <w:t xml:space="preserve">ODAs </w:t>
      </w:r>
      <w:r w:rsidR="009779A0">
        <w:t>as well as IDAs</w:t>
      </w:r>
      <w:r w:rsidRPr="004B462E">
        <w:t>. Those preassembly factors are referred to as dynein axonemal assembly factors (DNAAFs). Mutations in genes that encode th</w:t>
      </w:r>
      <w:r w:rsidR="005256F1">
        <w:t>e</w:t>
      </w:r>
      <w:r w:rsidRPr="004B462E">
        <w:t>se cytoplasmic preassembly factors  such as DNAAF1</w:t>
      </w:r>
      <w:r w:rsidR="00231A83">
        <w:t xml:space="preserve"> </w:t>
      </w:r>
      <w:r w:rsidR="007C7797" w:rsidRPr="007C7797">
        <w:rPr>
          <w:noProof/>
          <w:vertAlign w:val="superscript"/>
        </w:rPr>
        <w:t>79,80</w:t>
      </w:r>
      <w:r w:rsidRPr="004B462E">
        <w:t>, DNAAF2</w:t>
      </w:r>
      <w:r w:rsidR="007C7797" w:rsidRPr="007C7797">
        <w:rPr>
          <w:noProof/>
          <w:vertAlign w:val="superscript"/>
        </w:rPr>
        <w:t>81</w:t>
      </w:r>
      <w:r w:rsidRPr="004B462E">
        <w:t>, DNAAF3</w:t>
      </w:r>
      <w:r w:rsidR="00231A83">
        <w:t xml:space="preserve"> </w:t>
      </w:r>
      <w:r w:rsidR="007C7797" w:rsidRPr="007C7797">
        <w:rPr>
          <w:noProof/>
          <w:vertAlign w:val="superscript"/>
        </w:rPr>
        <w:t>82</w:t>
      </w:r>
      <w:r w:rsidRPr="004B462E">
        <w:t>, DNAAF4</w:t>
      </w:r>
      <w:r w:rsidR="00231A83">
        <w:t>(DYX1C1)</w:t>
      </w:r>
      <w:r w:rsidR="007C7797" w:rsidRPr="007C7797">
        <w:rPr>
          <w:noProof/>
          <w:vertAlign w:val="superscript"/>
        </w:rPr>
        <w:t>83</w:t>
      </w:r>
      <w:r w:rsidRPr="004B462E">
        <w:t>, DNAAF5</w:t>
      </w:r>
      <w:r w:rsidR="007F1374">
        <w:t xml:space="preserve"> (HEATR2</w:t>
      </w:r>
      <w:r w:rsidR="00231A83">
        <w:t>)</w:t>
      </w:r>
      <w:r w:rsidR="007C7797" w:rsidRPr="007C7797">
        <w:rPr>
          <w:noProof/>
          <w:vertAlign w:val="superscript"/>
        </w:rPr>
        <w:t>84</w:t>
      </w:r>
      <w:r w:rsidRPr="004B462E">
        <w:t>, LRRC6</w:t>
      </w:r>
      <w:r w:rsidR="00231A83">
        <w:t xml:space="preserve"> </w:t>
      </w:r>
      <w:r w:rsidR="007C7797" w:rsidRPr="007C7797">
        <w:rPr>
          <w:noProof/>
          <w:vertAlign w:val="superscript"/>
        </w:rPr>
        <w:t>85</w:t>
      </w:r>
      <w:r w:rsidRPr="004B462E">
        <w:t>, ZMYND10</w:t>
      </w:r>
      <w:r w:rsidR="006050D2">
        <w:t xml:space="preserve"> </w:t>
      </w:r>
      <w:r w:rsidR="007C7797" w:rsidRPr="007C7797">
        <w:rPr>
          <w:noProof/>
          <w:vertAlign w:val="superscript"/>
        </w:rPr>
        <w:t>86,87</w:t>
      </w:r>
      <w:r w:rsidRPr="004B462E">
        <w:t>, SPAG1</w:t>
      </w:r>
      <w:r w:rsidR="006050D2">
        <w:t xml:space="preserve"> </w:t>
      </w:r>
      <w:r w:rsidR="007C7797" w:rsidRPr="007C7797">
        <w:rPr>
          <w:noProof/>
          <w:vertAlign w:val="superscript"/>
        </w:rPr>
        <w:t>88</w:t>
      </w:r>
      <w:r w:rsidRPr="004B462E">
        <w:t>, C21ORF59</w:t>
      </w:r>
      <w:r w:rsidR="006050D2">
        <w:t xml:space="preserve"> </w:t>
      </w:r>
      <w:r w:rsidR="007C7797" w:rsidRPr="007C7797">
        <w:rPr>
          <w:noProof/>
          <w:vertAlign w:val="superscript"/>
        </w:rPr>
        <w:t>89</w:t>
      </w:r>
      <w:r w:rsidRPr="004B462E">
        <w:t>,</w:t>
      </w:r>
      <w:r w:rsidR="00AD44F3">
        <w:t xml:space="preserve"> DNAAF6</w:t>
      </w:r>
      <w:r w:rsidRPr="004B462E">
        <w:t xml:space="preserve"> </w:t>
      </w:r>
      <w:r w:rsidR="00AD44F3">
        <w:t>(</w:t>
      </w:r>
      <w:r w:rsidRPr="004B462E">
        <w:t>PIH1D3</w:t>
      </w:r>
      <w:r w:rsidR="006050D2">
        <w:t xml:space="preserve">) </w:t>
      </w:r>
      <w:r w:rsidR="009111A8" w:rsidRPr="009111A8">
        <w:rPr>
          <w:noProof/>
          <w:vertAlign w:val="superscript"/>
        </w:rPr>
        <w:t>59,60</w:t>
      </w:r>
      <w:r w:rsidRPr="004B462E">
        <w:t xml:space="preserve"> and CFA</w:t>
      </w:r>
      <w:r w:rsidR="00D5674D">
        <w:t xml:space="preserve">P300 </w:t>
      </w:r>
      <w:r w:rsidR="00AD44F3">
        <w:t>(</w:t>
      </w:r>
      <w:r w:rsidR="00846503">
        <w:t>C11ORF70</w:t>
      </w:r>
      <w:r w:rsidR="00AD44F3">
        <w:t>)</w:t>
      </w:r>
      <w:r w:rsidR="007C7797" w:rsidRPr="007C7797">
        <w:rPr>
          <w:noProof/>
          <w:vertAlign w:val="superscript"/>
        </w:rPr>
        <w:t>90</w:t>
      </w:r>
      <w:r w:rsidR="00AD44F3">
        <w:t xml:space="preserve"> </w:t>
      </w:r>
      <w:r w:rsidR="00D5674D">
        <w:t>cause</w:t>
      </w:r>
      <w:r w:rsidRPr="004B462E">
        <w:t xml:space="preserve"> PCD with combined ODA and IDA defects. Because the cilia lack ou</w:t>
      </w:r>
      <w:r w:rsidR="009779A0">
        <w:t>ter as well as IDAs</w:t>
      </w:r>
      <w:r w:rsidRPr="004B462E">
        <w:t>, most mutations result in complete cilia immotility</w:t>
      </w:r>
      <w:r w:rsidR="00357012">
        <w:t>, easily identified by HSVMA. F</w:t>
      </w:r>
      <w:r w:rsidRPr="004B462E">
        <w:t xml:space="preserve">or </w:t>
      </w:r>
      <w:r w:rsidRPr="004B462E">
        <w:rPr>
          <w:i/>
        </w:rPr>
        <w:t>DNAAF2</w:t>
      </w:r>
      <w:r w:rsidRPr="004B462E">
        <w:t xml:space="preserve"> as well as for hypomorphic mutations in </w:t>
      </w:r>
      <w:r w:rsidR="00D5674D">
        <w:rPr>
          <w:i/>
        </w:rPr>
        <w:t xml:space="preserve">DNAAF4, </w:t>
      </w:r>
      <w:r w:rsidRPr="004B462E">
        <w:t>some residual cilia motility can be retained due to partial assembl</w:t>
      </w:r>
      <w:r w:rsidR="009779A0">
        <w:t>y of outer and IDAs</w:t>
      </w:r>
      <w:r w:rsidRPr="004B462E">
        <w:t>. The defects are usually more pronounced in the distal ciliary axoneme than</w:t>
      </w:r>
      <w:r w:rsidR="009779A0">
        <w:t xml:space="preserve"> proximally</w:t>
      </w:r>
      <w:r w:rsidRPr="004B462E">
        <w:t>. Most mutations of genes encoding dynein axonema</w:t>
      </w:r>
      <w:r w:rsidR="00D5674D">
        <w:t>l assembly factors follow</w:t>
      </w:r>
      <w:r w:rsidRPr="004B462E">
        <w:t xml:space="preserve"> an autosomal recessive inherit</w:t>
      </w:r>
      <w:r w:rsidR="00D5674D">
        <w:t xml:space="preserve">ance. However, </w:t>
      </w:r>
      <w:r w:rsidRPr="004B462E">
        <w:t xml:space="preserve">mutations in </w:t>
      </w:r>
      <w:r w:rsidR="007F1374">
        <w:t>DNAAF6 (</w:t>
      </w:r>
      <w:r w:rsidRPr="004B462E">
        <w:rPr>
          <w:i/>
        </w:rPr>
        <w:t>PIH1D3</w:t>
      </w:r>
      <w:r w:rsidR="007F1374">
        <w:rPr>
          <w:i/>
        </w:rPr>
        <w:t>)</w:t>
      </w:r>
      <w:r w:rsidRPr="004B462E">
        <w:t xml:space="preserve"> </w:t>
      </w:r>
      <w:r w:rsidR="00273716">
        <w:t>follow</w:t>
      </w:r>
      <w:r w:rsidRPr="004B462E">
        <w:t xml:space="preserve"> X-chromosomal recessive </w:t>
      </w:r>
      <w:r w:rsidR="0005726F">
        <w:t>inheritance</w:t>
      </w:r>
      <w:r w:rsidRPr="004B462E">
        <w:t xml:space="preserve">. </w:t>
      </w:r>
    </w:p>
    <w:p w14:paraId="65829E49" w14:textId="62D44A82" w:rsidR="004B462E" w:rsidRPr="004A7041" w:rsidRDefault="004B462E" w:rsidP="008D14D6">
      <w:pPr>
        <w:tabs>
          <w:tab w:val="left" w:pos="8647"/>
        </w:tabs>
        <w:spacing w:line="360" w:lineRule="auto"/>
        <w:rPr>
          <w:b/>
        </w:rPr>
      </w:pPr>
      <w:r w:rsidRPr="004B462E">
        <w:t>In male individuals carrying mutations in genes encoding cytopla</w:t>
      </w:r>
      <w:r w:rsidR="00D5674D">
        <w:t>smic preassembly factors, sperm</w:t>
      </w:r>
      <w:r w:rsidRPr="004B462E">
        <w:t xml:space="preserve"> dysmoti</w:t>
      </w:r>
      <w:r w:rsidR="00D5674D">
        <w:t>lity indicates</w:t>
      </w:r>
      <w:r w:rsidRPr="004B462E">
        <w:t xml:space="preserve"> that the molecular disease mechanisms of cytoplasmic preassembly</w:t>
      </w:r>
      <w:r w:rsidR="00B13CDF">
        <w:t xml:space="preserve"> also plays </w:t>
      </w:r>
      <w:r w:rsidRPr="004B462E">
        <w:t xml:space="preserve">a role in sperm flagella. </w:t>
      </w:r>
    </w:p>
    <w:p w14:paraId="76258CFD" w14:textId="4D8B7055" w:rsidR="004B462E" w:rsidRPr="00E0628E" w:rsidRDefault="004B462E" w:rsidP="008D14D6">
      <w:pPr>
        <w:tabs>
          <w:tab w:val="left" w:pos="8647"/>
        </w:tabs>
        <w:spacing w:line="360" w:lineRule="auto"/>
        <w:rPr>
          <w:b/>
        </w:rPr>
      </w:pPr>
      <w:r w:rsidRPr="004B462E">
        <w:rPr>
          <w:b/>
        </w:rPr>
        <w:t>Defects of the ninety</w:t>
      </w:r>
      <w:r w:rsidR="004A7041">
        <w:rPr>
          <w:b/>
        </w:rPr>
        <w:t xml:space="preserve"> six nanometer ruler machinery: </w:t>
      </w:r>
      <w:r w:rsidRPr="004B462E">
        <w:t>The ninety six nanometer ruler proteins CCDC39</w:t>
      </w:r>
      <w:r w:rsidR="006050D2">
        <w:t xml:space="preserve"> </w:t>
      </w:r>
      <w:r w:rsidR="007C7797" w:rsidRPr="007C7797">
        <w:rPr>
          <w:noProof/>
          <w:vertAlign w:val="superscript"/>
        </w:rPr>
        <w:t>91</w:t>
      </w:r>
      <w:r w:rsidRPr="004B462E">
        <w:t xml:space="preserve"> and CCDC40</w:t>
      </w:r>
      <w:r w:rsidR="006050D2">
        <w:t xml:space="preserve"> </w:t>
      </w:r>
      <w:r w:rsidR="007C7797" w:rsidRPr="007C7797">
        <w:rPr>
          <w:noProof/>
          <w:vertAlign w:val="superscript"/>
        </w:rPr>
        <w:t>92</w:t>
      </w:r>
      <w:r w:rsidRPr="004B462E">
        <w:t xml:space="preserve"> are responsible for the correct establishment of the 96 nm repeats along the ciliary axoneme. In each 96 nm axonemal repetitive unit </w:t>
      </w:r>
      <w:r w:rsidR="007F1374">
        <w:t>four</w:t>
      </w:r>
      <w:r w:rsidR="007F1374" w:rsidRPr="004B462E">
        <w:t xml:space="preserve"> </w:t>
      </w:r>
      <w:r w:rsidRPr="004B462E">
        <w:t xml:space="preserve">ODAs and various distinct IDAs are attached to the outer doublets.  Those ruler proteins are also important for anchoring </w:t>
      </w:r>
      <w:r w:rsidR="000F2E75">
        <w:t>the dynein regulatory complex</w:t>
      </w:r>
      <w:r w:rsidRPr="004B462E">
        <w:t xml:space="preserve"> </w:t>
      </w:r>
      <w:r w:rsidR="000F2E75">
        <w:t>(</w:t>
      </w:r>
      <w:r w:rsidRPr="004B462E">
        <w:t>nexin links</w:t>
      </w:r>
      <w:r w:rsidR="000F2E75">
        <w:t>)</w:t>
      </w:r>
      <w:r w:rsidRPr="004B462E">
        <w:t xml:space="preserve"> connecting the outer doub</w:t>
      </w:r>
      <w:r w:rsidR="009160F1">
        <w:t>lets as well as IDA</w:t>
      </w:r>
      <w:r w:rsidRPr="004B462E">
        <w:t xml:space="preserve"> proteins such as DNALI1 to the axoneme. </w:t>
      </w:r>
      <w:r w:rsidR="006050D2">
        <w:t>The cilia beat with a reduced</w:t>
      </w:r>
      <w:r w:rsidR="00841A5F">
        <w:t xml:space="preserve"> bend and </w:t>
      </w:r>
      <w:r w:rsidR="00A97074">
        <w:t>amplitude</w:t>
      </w:r>
      <w:r w:rsidR="00841A5F">
        <w:t xml:space="preserve">. </w:t>
      </w:r>
      <w:r w:rsidRPr="004B462E">
        <w:t xml:space="preserve">The ultrastructural </w:t>
      </w:r>
      <w:r w:rsidR="009160F1">
        <w:t>defects seen by TEM comprises</w:t>
      </w:r>
      <w:r w:rsidRPr="004B462E">
        <w:t xml:space="preserve"> a severe tubular disorganization as well as deficiency of IDA c</w:t>
      </w:r>
      <w:r w:rsidR="009531C1">
        <w:t>omponents; t</w:t>
      </w:r>
      <w:r w:rsidR="009160F1">
        <w:t>he ODA composure is</w:t>
      </w:r>
      <w:r w:rsidRPr="004B462E">
        <w:t xml:space="preserve"> not a</w:t>
      </w:r>
      <w:r w:rsidR="009160F1">
        <w:t>ffected. In all reported cases</w:t>
      </w:r>
      <w:r w:rsidRPr="004B462E">
        <w:t xml:space="preserve">, recessive mutations in the genes </w:t>
      </w:r>
      <w:r w:rsidRPr="004B462E">
        <w:rPr>
          <w:i/>
        </w:rPr>
        <w:t>CCDC39</w:t>
      </w:r>
      <w:r w:rsidRPr="004B462E">
        <w:t xml:space="preserve"> or </w:t>
      </w:r>
      <w:r w:rsidRPr="004B462E">
        <w:rPr>
          <w:i/>
        </w:rPr>
        <w:t>CCDC40</w:t>
      </w:r>
      <w:r w:rsidRPr="004B462E">
        <w:t xml:space="preserve"> have been identified. With the use of IF it </w:t>
      </w:r>
      <w:r w:rsidR="002C03D2">
        <w:t>has been</w:t>
      </w:r>
      <w:r w:rsidRPr="004B462E">
        <w:t xml:space="preserve"> confirmed that mutant cilia lack nexin link proteins such as CCDC164</w:t>
      </w:r>
      <w:r w:rsidR="006050D2">
        <w:t xml:space="preserve"> </w:t>
      </w:r>
      <w:r w:rsidR="007C7797" w:rsidRPr="007C7797">
        <w:rPr>
          <w:noProof/>
          <w:vertAlign w:val="superscript"/>
        </w:rPr>
        <w:t>93</w:t>
      </w:r>
      <w:r w:rsidRPr="004B462E">
        <w:t>, CCDC65</w:t>
      </w:r>
      <w:r w:rsidR="006050D2">
        <w:t xml:space="preserve"> </w:t>
      </w:r>
      <w:r w:rsidR="007C7797" w:rsidRPr="007C7797">
        <w:rPr>
          <w:noProof/>
          <w:vertAlign w:val="superscript"/>
        </w:rPr>
        <w:t>89</w:t>
      </w:r>
      <w:r w:rsidR="000F2E75">
        <w:t>, GAS8</w:t>
      </w:r>
      <w:r w:rsidR="007C7797" w:rsidRPr="007C7797">
        <w:rPr>
          <w:noProof/>
          <w:vertAlign w:val="superscript"/>
        </w:rPr>
        <w:t>45,94</w:t>
      </w:r>
      <w:r w:rsidRPr="004B462E">
        <w:t xml:space="preserve"> or LRRC48. In addition, patients lack IDA proteins like DNALI1</w:t>
      </w:r>
      <w:r w:rsidR="0062536E">
        <w:t xml:space="preserve"> in the axonemes</w:t>
      </w:r>
      <w:r w:rsidRPr="004B462E">
        <w:t xml:space="preserve">. Thus, </w:t>
      </w:r>
      <w:r w:rsidR="00841A5F">
        <w:t xml:space="preserve">HSVMA, </w:t>
      </w:r>
      <w:r w:rsidRPr="004B462E">
        <w:t xml:space="preserve">TEM and IF can easily identify patients with defects in the genes </w:t>
      </w:r>
      <w:r w:rsidRPr="004B462E">
        <w:rPr>
          <w:i/>
        </w:rPr>
        <w:t>CCDC39</w:t>
      </w:r>
      <w:r w:rsidRPr="004B462E">
        <w:t xml:space="preserve"> or </w:t>
      </w:r>
      <w:r w:rsidRPr="004B462E">
        <w:rPr>
          <w:i/>
        </w:rPr>
        <w:t>CCDC40</w:t>
      </w:r>
      <w:r w:rsidRPr="004B462E">
        <w:t xml:space="preserve">. </w:t>
      </w:r>
    </w:p>
    <w:p w14:paraId="199EB2B6" w14:textId="77777777" w:rsidR="004B462E" w:rsidRPr="00F1318E" w:rsidRDefault="004B462E" w:rsidP="008D14D6">
      <w:pPr>
        <w:tabs>
          <w:tab w:val="left" w:pos="8647"/>
        </w:tabs>
        <w:spacing w:line="360" w:lineRule="auto"/>
        <w:rPr>
          <w:i/>
        </w:rPr>
      </w:pPr>
      <w:r w:rsidRPr="00F1318E">
        <w:rPr>
          <w:i/>
        </w:rPr>
        <w:t>PCD without laterality defects</w:t>
      </w:r>
    </w:p>
    <w:p w14:paraId="783AA53D" w14:textId="796159BF" w:rsidR="004B462E" w:rsidRPr="004B462E" w:rsidRDefault="004B462E" w:rsidP="008D14D6">
      <w:pPr>
        <w:tabs>
          <w:tab w:val="left" w:pos="8647"/>
        </w:tabs>
        <w:spacing w:line="360" w:lineRule="auto"/>
      </w:pPr>
      <w:r w:rsidRPr="004B462E">
        <w:t xml:space="preserve">Several disease mechanisms can alter cilia motility of multiciliated respiratory </w:t>
      </w:r>
      <w:r w:rsidR="00E0628E">
        <w:t>cells</w:t>
      </w:r>
      <w:r w:rsidR="004B28FF" w:rsidRPr="004B462E">
        <w:t xml:space="preserve"> </w:t>
      </w:r>
      <w:r w:rsidR="00E0628E">
        <w:t>whilst</w:t>
      </w:r>
      <w:r w:rsidRPr="004B462E">
        <w:t xml:space="preserve"> not affect</w:t>
      </w:r>
      <w:r w:rsidR="00E0628E">
        <w:t>ing</w:t>
      </w:r>
      <w:r w:rsidRPr="004B462E">
        <w:t xml:space="preserve"> function of nodal monocilia during early embryogenesis. Those genetic defects are not easily diagnosed by </w:t>
      </w:r>
      <w:r w:rsidR="00E0628E">
        <w:t>TEM</w:t>
      </w:r>
      <w:r w:rsidRPr="004B462E">
        <w:t xml:space="preserve"> and they can </w:t>
      </w:r>
      <w:r w:rsidR="00A97074">
        <w:t>benefit</w:t>
      </w:r>
      <w:r w:rsidRPr="004B462E">
        <w:t xml:space="preserve"> from analysis by </w:t>
      </w:r>
      <w:r w:rsidR="00E0628E">
        <w:t>IF</w:t>
      </w:r>
      <w:r w:rsidRPr="004B462E">
        <w:t>.</w:t>
      </w:r>
    </w:p>
    <w:p w14:paraId="071B50D1" w14:textId="6499DA95" w:rsidR="004B462E" w:rsidRPr="004A7041" w:rsidRDefault="004421FC" w:rsidP="008D14D6">
      <w:pPr>
        <w:tabs>
          <w:tab w:val="left" w:pos="8647"/>
        </w:tabs>
        <w:spacing w:line="360" w:lineRule="auto"/>
        <w:rPr>
          <w:b/>
        </w:rPr>
      </w:pPr>
      <w:r w:rsidRPr="00A97074">
        <w:rPr>
          <w:b/>
        </w:rPr>
        <w:t>D</w:t>
      </w:r>
      <w:r w:rsidR="004B462E" w:rsidRPr="00A97074">
        <w:rPr>
          <w:b/>
        </w:rPr>
        <w:t>efects</w:t>
      </w:r>
      <w:r w:rsidRPr="00A97074">
        <w:rPr>
          <w:b/>
        </w:rPr>
        <w:t xml:space="preserve"> in radial spoke components</w:t>
      </w:r>
      <w:r w:rsidR="004A7041" w:rsidRPr="00A97074">
        <w:rPr>
          <w:b/>
        </w:rPr>
        <w:t>:</w:t>
      </w:r>
      <w:r w:rsidR="004A7041">
        <w:rPr>
          <w:b/>
        </w:rPr>
        <w:t xml:space="preserve"> </w:t>
      </w:r>
      <w:r w:rsidR="004B462E" w:rsidRPr="004B462E">
        <w:t xml:space="preserve">Mutations in the genes encoding radial spoke proteins </w:t>
      </w:r>
      <w:r w:rsidR="004B462E" w:rsidRPr="004B462E">
        <w:rPr>
          <w:i/>
        </w:rPr>
        <w:t>RSPH1</w:t>
      </w:r>
      <w:r w:rsidR="00357012">
        <w:rPr>
          <w:i/>
        </w:rPr>
        <w:t xml:space="preserve"> </w:t>
      </w:r>
      <w:r w:rsidR="007C7797" w:rsidRPr="007C7797">
        <w:rPr>
          <w:i/>
          <w:noProof/>
          <w:vertAlign w:val="superscript"/>
        </w:rPr>
        <w:t>95</w:t>
      </w:r>
      <w:r w:rsidR="004B462E" w:rsidRPr="004B462E">
        <w:rPr>
          <w:i/>
        </w:rPr>
        <w:t>, RSPH4A</w:t>
      </w:r>
      <w:r w:rsidR="00357012">
        <w:rPr>
          <w:i/>
        </w:rPr>
        <w:t xml:space="preserve"> </w:t>
      </w:r>
      <w:r w:rsidR="007C7797" w:rsidRPr="007C7797">
        <w:rPr>
          <w:i/>
          <w:noProof/>
          <w:vertAlign w:val="superscript"/>
        </w:rPr>
        <w:t>96</w:t>
      </w:r>
      <w:r w:rsidR="004B462E" w:rsidRPr="004B462E">
        <w:rPr>
          <w:i/>
        </w:rPr>
        <w:t>, RSPH9</w:t>
      </w:r>
      <w:r w:rsidR="00357012">
        <w:rPr>
          <w:i/>
        </w:rPr>
        <w:t xml:space="preserve"> </w:t>
      </w:r>
      <w:r w:rsidR="007C7797" w:rsidRPr="007C7797">
        <w:rPr>
          <w:i/>
          <w:noProof/>
          <w:vertAlign w:val="superscript"/>
        </w:rPr>
        <w:t>96</w:t>
      </w:r>
      <w:r w:rsidR="004B462E" w:rsidRPr="004B462E">
        <w:rPr>
          <w:i/>
        </w:rPr>
        <w:t>, RSPH3</w:t>
      </w:r>
      <w:r w:rsidR="004B462E" w:rsidRPr="004B462E">
        <w:t xml:space="preserve"> </w:t>
      </w:r>
      <w:r w:rsidR="007C7797" w:rsidRPr="007C7797">
        <w:rPr>
          <w:noProof/>
          <w:vertAlign w:val="superscript"/>
        </w:rPr>
        <w:t>97</w:t>
      </w:r>
      <w:r w:rsidR="00AF2F7F">
        <w:t xml:space="preserve"> </w:t>
      </w:r>
      <w:r w:rsidR="004B462E" w:rsidRPr="004B462E">
        <w:t xml:space="preserve">and </w:t>
      </w:r>
      <w:r w:rsidR="004B462E" w:rsidRPr="004B462E">
        <w:rPr>
          <w:i/>
        </w:rPr>
        <w:t>DNAJB13</w:t>
      </w:r>
      <w:r w:rsidR="00AF2F7F">
        <w:rPr>
          <w:i/>
        </w:rPr>
        <w:t xml:space="preserve"> </w:t>
      </w:r>
      <w:r w:rsidR="007C7797" w:rsidRPr="007C7797">
        <w:rPr>
          <w:i/>
          <w:noProof/>
          <w:vertAlign w:val="superscript"/>
        </w:rPr>
        <w:t>98</w:t>
      </w:r>
      <w:r w:rsidR="004B462E" w:rsidRPr="004B462E">
        <w:t xml:space="preserve"> cause abnormal radial spoke composure. However, this abnormal radial spoke composure causes only subtle ciliary beating abnormalities, usually comprising </w:t>
      </w:r>
      <w:r w:rsidR="0062536E">
        <w:t xml:space="preserve">of </w:t>
      </w:r>
      <w:r w:rsidR="004B462E" w:rsidRPr="004B462E">
        <w:t>rotatio</w:t>
      </w:r>
      <w:r w:rsidR="00F1318E">
        <w:t>nal or stiff beating patterns</w:t>
      </w:r>
      <w:r w:rsidR="004B462E" w:rsidRPr="004B462E">
        <w:t>. TEM is often normal or can display in some cilia central</w:t>
      </w:r>
      <w:r w:rsidR="00F1318E">
        <w:t xml:space="preserve"> pair</w:t>
      </w:r>
      <w:r w:rsidR="004B28FF">
        <w:t xml:space="preserve"> </w:t>
      </w:r>
      <w:r w:rsidR="004B462E" w:rsidRPr="004B462E">
        <w:t>abnormalities. IF shows abnormal composure by demonstrating absence of radial spoke head proteins</w:t>
      </w:r>
      <w:r w:rsidR="007C7797" w:rsidRPr="007C7797">
        <w:rPr>
          <w:noProof/>
          <w:vertAlign w:val="superscript"/>
        </w:rPr>
        <w:t>99</w:t>
      </w:r>
      <w:r w:rsidR="00AF2F7F">
        <w:t>.</w:t>
      </w:r>
      <w:r w:rsidR="004B462E" w:rsidRPr="004B462E">
        <w:t xml:space="preserve"> </w:t>
      </w:r>
    </w:p>
    <w:p w14:paraId="70DB67C7" w14:textId="64E4CECD" w:rsidR="004B462E" w:rsidRPr="004A7041" w:rsidRDefault="002B7288" w:rsidP="008D14D6">
      <w:pPr>
        <w:tabs>
          <w:tab w:val="left" w:pos="8647"/>
        </w:tabs>
        <w:spacing w:line="360" w:lineRule="auto"/>
        <w:rPr>
          <w:b/>
        </w:rPr>
      </w:pPr>
      <w:r>
        <w:rPr>
          <w:b/>
        </w:rPr>
        <w:t>D</w:t>
      </w:r>
      <w:r w:rsidRPr="004B462E">
        <w:rPr>
          <w:b/>
        </w:rPr>
        <w:t>efects</w:t>
      </w:r>
      <w:r>
        <w:rPr>
          <w:b/>
        </w:rPr>
        <w:t xml:space="preserve"> in central pair associated proteins </w:t>
      </w:r>
      <w:r w:rsidR="004A7041">
        <w:rPr>
          <w:b/>
        </w:rPr>
        <w:t xml:space="preserve">: </w:t>
      </w:r>
      <w:r w:rsidR="004B462E" w:rsidRPr="004B462E">
        <w:t>Genetic defects encoding central pair associated proteins such as HYDIN</w:t>
      </w:r>
      <w:r w:rsidR="00AF2F7F">
        <w:t xml:space="preserve"> </w:t>
      </w:r>
      <w:r w:rsidR="007C7797" w:rsidRPr="007C7797">
        <w:rPr>
          <w:noProof/>
          <w:vertAlign w:val="superscript"/>
        </w:rPr>
        <w:t>100</w:t>
      </w:r>
      <w:r w:rsidR="00AF2F7F">
        <w:t xml:space="preserve"> and STK36 </w:t>
      </w:r>
      <w:r w:rsidR="009111A8" w:rsidRPr="009111A8">
        <w:rPr>
          <w:noProof/>
          <w:vertAlign w:val="superscript"/>
        </w:rPr>
        <w:t>46</w:t>
      </w:r>
      <w:r w:rsidR="00AF2F7F">
        <w:t xml:space="preserve"> </w:t>
      </w:r>
      <w:r w:rsidR="004B462E" w:rsidRPr="004B462E">
        <w:t>have been reported. Those genetic defects are not associated with obvious ultrastructural abnormalities. In som</w:t>
      </w:r>
      <w:r w:rsidR="00F9097D">
        <w:t>e cross sections occasionally central pair</w:t>
      </w:r>
      <w:r w:rsidR="004B462E" w:rsidRPr="004B462E">
        <w:t xml:space="preserve"> abnormalities can be noted</w:t>
      </w:r>
      <w:r w:rsidR="00B1403A">
        <w:t xml:space="preserve"> by TEM</w:t>
      </w:r>
      <w:r w:rsidR="004B462E" w:rsidRPr="004B462E">
        <w:t xml:space="preserve">. However, those abnormalities can also occur in normal individuals and they are </w:t>
      </w:r>
      <w:r w:rsidR="004B28FF">
        <w:t xml:space="preserve">not </w:t>
      </w:r>
      <w:r w:rsidR="004B462E" w:rsidRPr="004B462E">
        <w:t xml:space="preserve">pathognomonic. Genetic testing for </w:t>
      </w:r>
      <w:r w:rsidR="004B462E" w:rsidRPr="004B462E">
        <w:rPr>
          <w:i/>
        </w:rPr>
        <w:t>HYDIN</w:t>
      </w:r>
      <w:r w:rsidR="004B462E" w:rsidRPr="004B462E">
        <w:t xml:space="preserve"> mutations is complicated. Due to a recent evolutionary event, </w:t>
      </w:r>
      <w:r w:rsidR="004B462E" w:rsidRPr="004B462E">
        <w:rPr>
          <w:i/>
        </w:rPr>
        <w:t>HYDIN</w:t>
      </w:r>
      <w:r w:rsidR="004B462E" w:rsidRPr="004B462E">
        <w:t xml:space="preserve"> became duplicated and therefore most of the coding exons of </w:t>
      </w:r>
      <w:r w:rsidR="004B462E" w:rsidRPr="004B462E">
        <w:rPr>
          <w:i/>
        </w:rPr>
        <w:t>HYDIN</w:t>
      </w:r>
      <w:r w:rsidR="004B462E" w:rsidRPr="004B462E">
        <w:t xml:space="preserve"> are also present in the pseudogene </w:t>
      </w:r>
      <w:r w:rsidR="004B462E" w:rsidRPr="004B462E">
        <w:rPr>
          <w:i/>
        </w:rPr>
        <w:t>HYDIN2</w:t>
      </w:r>
      <w:r w:rsidR="004B462E" w:rsidRPr="004B462E">
        <w:t xml:space="preserve">. Due to this duplication DNA sequence analysis of </w:t>
      </w:r>
      <w:r w:rsidR="004B462E" w:rsidRPr="004B462E">
        <w:rPr>
          <w:i/>
        </w:rPr>
        <w:t>HYDIN</w:t>
      </w:r>
      <w:r w:rsidR="004B462E" w:rsidRPr="004B462E">
        <w:t xml:space="preserve"> is not easily established. Therefore, some commercial genetic kits do not screen for </w:t>
      </w:r>
      <w:r w:rsidR="004B462E" w:rsidRPr="004B462E">
        <w:rPr>
          <w:i/>
        </w:rPr>
        <w:t>HYDIN</w:t>
      </w:r>
      <w:r w:rsidR="004B462E" w:rsidRPr="004B462E">
        <w:t xml:space="preserve"> mutations or report a reduced sensitivity for </w:t>
      </w:r>
      <w:r w:rsidR="0062536E">
        <w:t xml:space="preserve">this </w:t>
      </w:r>
      <w:r w:rsidR="00F9097D">
        <w:t>genetic testing. Diagnosis of central pair</w:t>
      </w:r>
      <w:r w:rsidR="004B462E" w:rsidRPr="004B462E">
        <w:t xml:space="preserve"> defects is also hampered by the fact that some individuals show normal nasal NO production rate and the ciliary abnormalities detected by HSVMA are very subtle and therefore easily overlooked.</w:t>
      </w:r>
      <w:r w:rsidR="00273716">
        <w:t xml:space="preserve"> </w:t>
      </w:r>
      <w:r w:rsidR="0005726F" w:rsidRPr="0005726F">
        <w:t>Elucidating these PCD genotypes highlight</w:t>
      </w:r>
      <w:r w:rsidR="00A97074">
        <w:t xml:space="preserve">s </w:t>
      </w:r>
      <w:r w:rsidR="00E2395B">
        <w:t>potential</w:t>
      </w:r>
      <w:r w:rsidR="0005726F" w:rsidRPr="0005726F">
        <w:t xml:space="preserve"> cases which risk being missed by standard functional tests.</w:t>
      </w:r>
    </w:p>
    <w:p w14:paraId="438555C4" w14:textId="15E498C3" w:rsidR="004B462E" w:rsidRPr="004A7041" w:rsidRDefault="004A7041" w:rsidP="008D14D6">
      <w:pPr>
        <w:tabs>
          <w:tab w:val="left" w:pos="8647"/>
        </w:tabs>
        <w:spacing w:line="360" w:lineRule="auto"/>
        <w:rPr>
          <w:b/>
        </w:rPr>
      </w:pPr>
      <w:r>
        <w:rPr>
          <w:b/>
        </w:rPr>
        <w:t xml:space="preserve">Isolated nexin link defects: </w:t>
      </w:r>
      <w:r w:rsidR="004B462E" w:rsidRPr="004B462E">
        <w:t xml:space="preserve">Genetic defects encoding the so-called nexin link dynein regulator complex proteins (N-DRCs) result in abnormalities of the nexin link structure connecting the outer doublets. So far, mutations in the genes </w:t>
      </w:r>
      <w:r w:rsidR="004B462E" w:rsidRPr="004B462E">
        <w:rPr>
          <w:i/>
        </w:rPr>
        <w:t>CCDC164</w:t>
      </w:r>
      <w:r w:rsidR="00A9618F">
        <w:rPr>
          <w:i/>
        </w:rPr>
        <w:t xml:space="preserve"> </w:t>
      </w:r>
      <w:r w:rsidR="007C7797" w:rsidRPr="007C7797">
        <w:rPr>
          <w:i/>
          <w:noProof/>
          <w:vertAlign w:val="superscript"/>
        </w:rPr>
        <w:t>93</w:t>
      </w:r>
      <w:r w:rsidR="004B462E" w:rsidRPr="004B462E">
        <w:rPr>
          <w:i/>
        </w:rPr>
        <w:t>, CCDC65</w:t>
      </w:r>
      <w:r w:rsidR="00AF2F7F">
        <w:rPr>
          <w:i/>
        </w:rPr>
        <w:t xml:space="preserve"> </w:t>
      </w:r>
      <w:r w:rsidR="007C7797" w:rsidRPr="007C7797">
        <w:rPr>
          <w:i/>
          <w:noProof/>
          <w:vertAlign w:val="superscript"/>
        </w:rPr>
        <w:t>89</w:t>
      </w:r>
      <w:r w:rsidR="004B462E" w:rsidRPr="004B462E">
        <w:t xml:space="preserve">, and </w:t>
      </w:r>
      <w:r w:rsidR="004B462E" w:rsidRPr="004B462E">
        <w:rPr>
          <w:i/>
        </w:rPr>
        <w:t>GAS8</w:t>
      </w:r>
      <w:r w:rsidR="00AF2F7F">
        <w:rPr>
          <w:i/>
        </w:rPr>
        <w:t xml:space="preserve"> </w:t>
      </w:r>
      <w:r w:rsidR="009111A8" w:rsidRPr="009111A8">
        <w:rPr>
          <w:i/>
          <w:noProof/>
          <w:vertAlign w:val="superscript"/>
        </w:rPr>
        <w:t>45</w:t>
      </w:r>
      <w:r w:rsidR="00AF2F7F">
        <w:t xml:space="preserve"> </w:t>
      </w:r>
      <w:r w:rsidR="004B462E" w:rsidRPr="004B462E">
        <w:t>have been reported. TEM shows no discernible abnormalities. Occasionally, outer doublets are not well aligned in the periphery of the cross section. However, those abnormalities can be also observed in normal individuals.  The ciliary beat pattern of patients with isolated nexin link defects is occasionally stiff, but can also appear normal. IF identify</w:t>
      </w:r>
      <w:r w:rsidR="0062536E">
        <w:t>ing</w:t>
      </w:r>
      <w:r w:rsidR="004B462E" w:rsidRPr="004B462E">
        <w:t xml:space="preserve"> N-DRC defects using antibodies targeting N-DRC proteins such as GAS8 are widely used.</w:t>
      </w:r>
    </w:p>
    <w:p w14:paraId="29A34FE5" w14:textId="5E3A8A5B" w:rsidR="004B462E" w:rsidRPr="004B28FF" w:rsidRDefault="004B462E" w:rsidP="008D14D6">
      <w:pPr>
        <w:tabs>
          <w:tab w:val="left" w:pos="8647"/>
        </w:tabs>
        <w:spacing w:line="360" w:lineRule="auto"/>
        <w:rPr>
          <w:b/>
        </w:rPr>
      </w:pPr>
      <w:r w:rsidRPr="004B462E">
        <w:rPr>
          <w:b/>
        </w:rPr>
        <w:t>Reduced generation of multiple motile cilia</w:t>
      </w:r>
      <w:r w:rsidR="004A7041">
        <w:rPr>
          <w:b/>
        </w:rPr>
        <w:t xml:space="preserve">: </w:t>
      </w:r>
      <w:r w:rsidR="00A97074">
        <w:t>These i</w:t>
      </w:r>
      <w:r w:rsidRPr="004B462E">
        <w:t xml:space="preserve">ndividuals show a reduced capacity to generate multiple motile cilia. In patients with mutations in </w:t>
      </w:r>
      <w:r w:rsidRPr="004B462E">
        <w:rPr>
          <w:i/>
        </w:rPr>
        <w:t>MCIDAS</w:t>
      </w:r>
      <w:r w:rsidRPr="004B462E">
        <w:t xml:space="preserve"> </w:t>
      </w:r>
      <w:r w:rsidR="007C7797" w:rsidRPr="007C7797">
        <w:rPr>
          <w:noProof/>
          <w:vertAlign w:val="superscript"/>
        </w:rPr>
        <w:t>101</w:t>
      </w:r>
      <w:r w:rsidRPr="004B462E">
        <w:t>respiratory cells usually lack any motile cilia or show only very few motile cilia. MCIDAS appears to be a major regulator of ciliogenesis in multiciliated cells. Downstream of MCIDAS, CCNO</w:t>
      </w:r>
      <w:r w:rsidR="00AF2F7F">
        <w:t xml:space="preserve"> </w:t>
      </w:r>
      <w:r w:rsidR="007C7797" w:rsidRPr="007C7797">
        <w:rPr>
          <w:noProof/>
          <w:vertAlign w:val="superscript"/>
        </w:rPr>
        <w:t>102</w:t>
      </w:r>
      <w:r w:rsidRPr="004B462E">
        <w:t xml:space="preserve"> is responsible </w:t>
      </w:r>
      <w:r w:rsidR="0062536E">
        <w:t>for the</w:t>
      </w:r>
      <w:r w:rsidRPr="004B462E">
        <w:t xml:space="preserve"> function in the deuterosome dependent amplification of basal bodies and basal body docking. Therefore, mutations in </w:t>
      </w:r>
      <w:r w:rsidRPr="004B462E">
        <w:rPr>
          <w:i/>
        </w:rPr>
        <w:t>CCNO</w:t>
      </w:r>
      <w:r w:rsidRPr="004B462E">
        <w:t xml:space="preserve"> result in a defect with</w:t>
      </w:r>
      <w:r w:rsidR="0062536E">
        <w:t xml:space="preserve"> a</w:t>
      </w:r>
      <w:r w:rsidRPr="004B462E">
        <w:t xml:space="preserve"> very low number of cilia covering the airway cells. Residual cilia can still show normal cilia motility. TEM can also demonstrate mislocalised basal bodies in the cytoplasm. Because the genetic defects solely alter ciliogenesis in multiciliated cells</w:t>
      </w:r>
      <w:r w:rsidR="0062536E">
        <w:t>, the</w:t>
      </w:r>
      <w:r w:rsidRPr="004B462E">
        <w:t xml:space="preserve"> function of nodal monocilia is not altered.</w:t>
      </w:r>
    </w:p>
    <w:p w14:paraId="2EBA0F1B" w14:textId="6AA296E0" w:rsidR="004B462E" w:rsidRPr="004A7041" w:rsidRDefault="004B462E" w:rsidP="008D14D6">
      <w:pPr>
        <w:tabs>
          <w:tab w:val="left" w:pos="8647"/>
        </w:tabs>
        <w:spacing w:line="360" w:lineRule="auto"/>
        <w:rPr>
          <w:b/>
        </w:rPr>
      </w:pPr>
      <w:r w:rsidRPr="004B462E">
        <w:rPr>
          <w:b/>
        </w:rPr>
        <w:t>Motile ciliopathies with su</w:t>
      </w:r>
      <w:r w:rsidR="004A7041">
        <w:rPr>
          <w:b/>
        </w:rPr>
        <w:t xml:space="preserve">btle or no respiratory disease: </w:t>
      </w:r>
      <w:r w:rsidRPr="004B462E">
        <w:t xml:space="preserve">Recently, genetic defects have been recognized in individuals </w:t>
      </w:r>
      <w:r w:rsidR="0067093B">
        <w:t>with</w:t>
      </w:r>
      <w:r w:rsidRPr="004B462E">
        <w:t xml:space="preserve"> motile ciliopathies that result in randomization of left/right body asymmetry and/or male infertility but </w:t>
      </w:r>
      <w:r w:rsidR="00846503">
        <w:t xml:space="preserve">to date seem to </w:t>
      </w:r>
      <w:r w:rsidRPr="004B462E">
        <w:t xml:space="preserve"> not suffer from</w:t>
      </w:r>
      <w:r w:rsidR="00846503">
        <w:t xml:space="preserve"> the</w:t>
      </w:r>
      <w:r w:rsidRPr="004B462E">
        <w:t xml:space="preserve"> severe chronic destructive airway disease usually reported in PCD.   </w:t>
      </w:r>
      <w:r w:rsidRPr="004B462E">
        <w:rPr>
          <w:i/>
        </w:rPr>
        <w:t>MNS1</w:t>
      </w:r>
      <w:r w:rsidR="00A9618F">
        <w:rPr>
          <w:i/>
        </w:rPr>
        <w:t xml:space="preserve"> </w:t>
      </w:r>
      <w:r w:rsidR="007C7797" w:rsidRPr="007C7797">
        <w:rPr>
          <w:i/>
          <w:noProof/>
          <w:vertAlign w:val="superscript"/>
        </w:rPr>
        <w:t>90</w:t>
      </w:r>
      <w:r w:rsidRPr="004B462E">
        <w:t xml:space="preserve">, </w:t>
      </w:r>
      <w:r w:rsidRPr="004B462E">
        <w:rPr>
          <w:i/>
        </w:rPr>
        <w:t>DNAH9</w:t>
      </w:r>
      <w:r w:rsidR="002E689E">
        <w:rPr>
          <w:i/>
        </w:rPr>
        <w:t xml:space="preserve"> </w:t>
      </w:r>
      <w:r w:rsidR="007C7797" w:rsidRPr="007C7797">
        <w:rPr>
          <w:i/>
          <w:noProof/>
          <w:vertAlign w:val="superscript"/>
        </w:rPr>
        <w:t>10,70</w:t>
      </w:r>
      <w:r w:rsidR="001C0019">
        <w:rPr>
          <w:i/>
        </w:rPr>
        <w:t xml:space="preserve"> </w:t>
      </w:r>
      <w:r w:rsidR="001C0019" w:rsidRPr="001C0019">
        <w:rPr>
          <w:i/>
        </w:rPr>
        <w:t>CCDC11</w:t>
      </w:r>
      <w:r w:rsidR="002E689E">
        <w:rPr>
          <w:i/>
        </w:rPr>
        <w:t xml:space="preserve"> </w:t>
      </w:r>
      <w:r w:rsidR="007C7797" w:rsidRPr="007C7797">
        <w:rPr>
          <w:i/>
          <w:noProof/>
          <w:vertAlign w:val="superscript"/>
        </w:rPr>
        <w:t>103</w:t>
      </w:r>
      <w:r w:rsidR="001C0019">
        <w:rPr>
          <w:i/>
        </w:rPr>
        <w:t xml:space="preserve"> </w:t>
      </w:r>
      <w:r w:rsidRPr="004B462E">
        <w:t xml:space="preserve">and </w:t>
      </w:r>
      <w:r w:rsidRPr="004B462E">
        <w:rPr>
          <w:i/>
        </w:rPr>
        <w:t>ENCUR</w:t>
      </w:r>
      <w:r w:rsidR="002E689E">
        <w:rPr>
          <w:i/>
        </w:rPr>
        <w:t xml:space="preserve"> </w:t>
      </w:r>
      <w:r w:rsidR="007C7797" w:rsidRPr="007C7797">
        <w:rPr>
          <w:i/>
          <w:noProof/>
          <w:vertAlign w:val="superscript"/>
        </w:rPr>
        <w:t>104</w:t>
      </w:r>
      <w:r w:rsidRPr="004B462E">
        <w:t xml:space="preserve"> </w:t>
      </w:r>
      <w:r w:rsidR="00775930" w:rsidRPr="00775930">
        <w:rPr>
          <w:noProof/>
          <w:vertAlign w:val="superscript"/>
        </w:rPr>
        <w:t>98</w:t>
      </w:r>
      <w:r w:rsidR="007F4EA1">
        <w:t xml:space="preserve"> </w:t>
      </w:r>
      <w:r w:rsidRPr="004B462E">
        <w:t xml:space="preserve">belong to this group.  </w:t>
      </w:r>
    </w:p>
    <w:p w14:paraId="637CEE5B" w14:textId="77777777" w:rsidR="00D070A6" w:rsidRDefault="00D070A6" w:rsidP="008D14D6">
      <w:pPr>
        <w:tabs>
          <w:tab w:val="left" w:pos="8647"/>
        </w:tabs>
        <w:spacing w:line="360" w:lineRule="auto"/>
      </w:pPr>
    </w:p>
    <w:p w14:paraId="79CD51BE" w14:textId="77777777" w:rsidR="002851EC" w:rsidRDefault="00C0208F" w:rsidP="008D14D6">
      <w:pPr>
        <w:tabs>
          <w:tab w:val="left" w:pos="8647"/>
        </w:tabs>
        <w:spacing w:line="360" w:lineRule="auto"/>
        <w:rPr>
          <w:lang w:val="en-US"/>
        </w:rPr>
      </w:pPr>
      <w:r w:rsidRPr="002851EC">
        <w:rPr>
          <w:b/>
          <w:lang w:val="en-US"/>
        </w:rPr>
        <w:t>Genotype-phenotype relationships</w:t>
      </w:r>
      <w:r w:rsidRPr="00C0208F">
        <w:rPr>
          <w:lang w:val="en-US"/>
        </w:rPr>
        <w:t xml:space="preserve"> </w:t>
      </w:r>
    </w:p>
    <w:p w14:paraId="65F371AF" w14:textId="6C178C64" w:rsidR="00C0208F" w:rsidRDefault="00480510" w:rsidP="008D14D6">
      <w:pPr>
        <w:tabs>
          <w:tab w:val="left" w:pos="8647"/>
        </w:tabs>
        <w:spacing w:line="360" w:lineRule="auto"/>
        <w:rPr>
          <w:lang w:val="en-US"/>
        </w:rPr>
      </w:pPr>
      <w:r w:rsidRPr="00480510">
        <w:rPr>
          <w:lang w:val="en-US"/>
        </w:rPr>
        <w:t>Delineation of genotype-phenotype</w:t>
      </w:r>
      <w:r w:rsidRPr="00480510">
        <w:rPr>
          <w:b/>
          <w:lang w:val="en-US"/>
        </w:rPr>
        <w:t xml:space="preserve"> </w:t>
      </w:r>
      <w:r w:rsidRPr="00480510">
        <w:rPr>
          <w:lang w:val="en-US"/>
        </w:rPr>
        <w:t xml:space="preserve">relationships have recently </w:t>
      </w:r>
      <w:r>
        <w:rPr>
          <w:lang w:val="en-US"/>
        </w:rPr>
        <w:t>been described</w:t>
      </w:r>
      <w:r w:rsidRPr="00480510">
        <w:rPr>
          <w:lang w:val="en-US"/>
        </w:rPr>
        <w:t xml:space="preserve"> in the PCD population.  </w:t>
      </w:r>
      <w:r w:rsidR="00C0208F" w:rsidRPr="00C0208F">
        <w:rPr>
          <w:lang w:val="en-US"/>
        </w:rPr>
        <w:t xml:space="preserve">Patients with absent </w:t>
      </w:r>
      <w:r w:rsidR="009D0517" w:rsidRPr="009D0517">
        <w:t>IDA with microtubular disorganisation</w:t>
      </w:r>
      <w:r w:rsidR="007702C1">
        <w:t xml:space="preserve"> </w:t>
      </w:r>
      <w:r w:rsidR="00C0208F" w:rsidRPr="00C0208F">
        <w:rPr>
          <w:lang w:val="en-US"/>
        </w:rPr>
        <w:t xml:space="preserve">who have a </w:t>
      </w:r>
      <w:r w:rsidR="00C0208F" w:rsidRPr="005F6462">
        <w:rPr>
          <w:i/>
          <w:lang w:val="en-US"/>
        </w:rPr>
        <w:t>CCDC39</w:t>
      </w:r>
      <w:r w:rsidR="00C0208F" w:rsidRPr="00C0208F">
        <w:rPr>
          <w:lang w:val="en-US"/>
        </w:rPr>
        <w:t xml:space="preserve"> or </w:t>
      </w:r>
      <w:r w:rsidR="00C0208F" w:rsidRPr="005F6462">
        <w:rPr>
          <w:i/>
          <w:lang w:val="en-US"/>
        </w:rPr>
        <w:t>CCDC40</w:t>
      </w:r>
      <w:r w:rsidR="00C0208F" w:rsidRPr="00C0208F">
        <w:rPr>
          <w:lang w:val="en-US"/>
        </w:rPr>
        <w:t xml:space="preserve"> mutation,  have lower body mass indices and worse lung function that declines more rapidly compared to the PCD population with </w:t>
      </w:r>
      <w:r w:rsidR="007702C1">
        <w:rPr>
          <w:lang w:val="en-US"/>
        </w:rPr>
        <w:t>ODA</w:t>
      </w:r>
      <w:r w:rsidR="00C0208F" w:rsidRPr="00C0208F">
        <w:rPr>
          <w:lang w:val="en-US"/>
        </w:rPr>
        <w:t xml:space="preserve"> defects and those whom have a </w:t>
      </w:r>
      <w:r w:rsidR="00C0208F" w:rsidRPr="005F6462">
        <w:rPr>
          <w:i/>
          <w:lang w:val="en-US"/>
        </w:rPr>
        <w:t>DNAH5</w:t>
      </w:r>
      <w:r w:rsidR="00C0208F" w:rsidRPr="00C0208F">
        <w:rPr>
          <w:lang w:val="en-US"/>
        </w:rPr>
        <w:t xml:space="preserve"> mutation, respectively</w:t>
      </w:r>
      <w:r w:rsidR="00936050" w:rsidRPr="00936050">
        <w:rPr>
          <w:noProof/>
          <w:vertAlign w:val="superscript"/>
          <w:lang w:val="en-US"/>
        </w:rPr>
        <w:t>9</w:t>
      </w:r>
      <w:r w:rsidR="007702C1">
        <w:rPr>
          <w:lang w:val="en-US"/>
        </w:rPr>
        <w:t xml:space="preserve">.  Interestingly, </w:t>
      </w:r>
      <w:r w:rsidR="00C0208F" w:rsidRPr="00C0208F">
        <w:rPr>
          <w:lang w:val="en-US"/>
        </w:rPr>
        <w:t>patients with</w:t>
      </w:r>
      <w:r w:rsidR="007702C1">
        <w:rPr>
          <w:lang w:val="en-US"/>
        </w:rPr>
        <w:t xml:space="preserve"> </w:t>
      </w:r>
      <w:r w:rsidR="00C0208F" w:rsidRPr="00C0208F">
        <w:rPr>
          <w:lang w:val="en-US"/>
        </w:rPr>
        <w:t>microtubular disorganization</w:t>
      </w:r>
      <w:r w:rsidR="007702C1">
        <w:rPr>
          <w:lang w:val="en-US"/>
        </w:rPr>
        <w:t xml:space="preserve"> with </w:t>
      </w:r>
      <w:r w:rsidR="007702C1" w:rsidRPr="007702C1">
        <w:rPr>
          <w:lang w:val="en-US"/>
        </w:rPr>
        <w:t>IDA defects</w:t>
      </w:r>
      <w:r w:rsidR="00C0208F" w:rsidRPr="00C0208F">
        <w:rPr>
          <w:lang w:val="en-US"/>
        </w:rPr>
        <w:t xml:space="preserve">, many with the </w:t>
      </w:r>
      <w:r w:rsidR="00C0208F" w:rsidRPr="007702C1">
        <w:rPr>
          <w:i/>
          <w:lang w:val="en-US"/>
        </w:rPr>
        <w:t>CCDC39</w:t>
      </w:r>
      <w:r w:rsidR="00C0208F" w:rsidRPr="00C0208F">
        <w:rPr>
          <w:lang w:val="en-US"/>
        </w:rPr>
        <w:t xml:space="preserve"> or </w:t>
      </w:r>
      <w:r w:rsidR="00C0208F" w:rsidRPr="007702C1">
        <w:rPr>
          <w:i/>
          <w:lang w:val="en-US"/>
        </w:rPr>
        <w:t>CCDC40</w:t>
      </w:r>
      <w:r w:rsidR="00C0208F" w:rsidRPr="00C0208F">
        <w:rPr>
          <w:lang w:val="en-US"/>
        </w:rPr>
        <w:t xml:space="preserve"> mutation, are diagnosed earlier with PCD and even as infants have more airflow limitation com</w:t>
      </w:r>
      <w:r w:rsidR="007702C1">
        <w:rPr>
          <w:lang w:val="en-US"/>
        </w:rPr>
        <w:t>pared to those with ODA defects</w:t>
      </w:r>
      <w:r w:rsidR="00936050" w:rsidRPr="00936050">
        <w:rPr>
          <w:noProof/>
          <w:vertAlign w:val="superscript"/>
          <w:lang w:val="en-US"/>
        </w:rPr>
        <w:t>8</w:t>
      </w:r>
      <w:r w:rsidR="002E689E">
        <w:rPr>
          <w:lang w:val="en-US"/>
        </w:rPr>
        <w:t>.</w:t>
      </w:r>
      <w:r w:rsidR="00C0208F" w:rsidRPr="00C0208F">
        <w:rPr>
          <w:lang w:val="en-US"/>
        </w:rPr>
        <w:t xml:space="preserve">  Patients with the </w:t>
      </w:r>
      <w:r w:rsidR="00C0208F" w:rsidRPr="007702C1">
        <w:rPr>
          <w:i/>
          <w:lang w:val="en-US"/>
        </w:rPr>
        <w:t>CCNO</w:t>
      </w:r>
      <w:r w:rsidR="00C0208F" w:rsidRPr="00C0208F">
        <w:rPr>
          <w:lang w:val="en-US"/>
        </w:rPr>
        <w:t xml:space="preserve"> and </w:t>
      </w:r>
      <w:r w:rsidR="00C0208F" w:rsidRPr="007702C1">
        <w:rPr>
          <w:i/>
          <w:lang w:val="en-US"/>
        </w:rPr>
        <w:t>MCIDAS</w:t>
      </w:r>
      <w:r w:rsidR="00C0208F" w:rsidRPr="00C0208F">
        <w:rPr>
          <w:lang w:val="en-US"/>
        </w:rPr>
        <w:t xml:space="preserve"> mutations have also been reported to have a worse phenotype with significant bronchiectasis</w:t>
      </w:r>
      <w:r w:rsidR="005F6462">
        <w:rPr>
          <w:lang w:val="en-US"/>
        </w:rPr>
        <w:t>, as well as increased incidence of hydrocephalus</w:t>
      </w:r>
      <w:r w:rsidR="007C7797" w:rsidRPr="007C7797">
        <w:rPr>
          <w:noProof/>
          <w:vertAlign w:val="superscript"/>
          <w:lang w:val="en-US"/>
        </w:rPr>
        <w:t>105</w:t>
      </w:r>
      <w:r w:rsidR="00C0208F" w:rsidRPr="00C0208F">
        <w:rPr>
          <w:lang w:val="en-US"/>
        </w:rPr>
        <w:t xml:space="preserve">. </w:t>
      </w:r>
      <w:r w:rsidR="001170A3">
        <w:t>I</w:t>
      </w:r>
      <w:r w:rsidR="001170A3" w:rsidRPr="009A5E15">
        <w:t>t seems reasonable to recommend increased surveillance and more aggressive treatment plans for th</w:t>
      </w:r>
      <w:r w:rsidR="0062536E">
        <w:t>ese</w:t>
      </w:r>
      <w:r w:rsidR="001170A3" w:rsidRPr="009A5E15">
        <w:t xml:space="preserve"> group</w:t>
      </w:r>
      <w:r w:rsidR="0062536E">
        <w:t>s</w:t>
      </w:r>
      <w:r w:rsidR="001170A3">
        <w:rPr>
          <w:lang w:val="en-US"/>
        </w:rPr>
        <w:t xml:space="preserve">. Conversely </w:t>
      </w:r>
      <w:r w:rsidR="00C0208F" w:rsidRPr="00C0208F">
        <w:rPr>
          <w:lang w:val="en-US"/>
        </w:rPr>
        <w:t xml:space="preserve">those with </w:t>
      </w:r>
      <w:r w:rsidR="00C0208F" w:rsidRPr="00C0208F">
        <w:rPr>
          <w:i/>
          <w:lang w:val="en-US"/>
        </w:rPr>
        <w:t>RSPH1</w:t>
      </w:r>
      <w:r w:rsidR="00C0208F" w:rsidRPr="00C0208F">
        <w:rPr>
          <w:lang w:val="en-US"/>
        </w:rPr>
        <w:t xml:space="preserve"> have a more mild phenotype.  Patients with the </w:t>
      </w:r>
      <w:r w:rsidR="00C0208F" w:rsidRPr="00C0208F">
        <w:rPr>
          <w:i/>
          <w:lang w:val="en-US"/>
        </w:rPr>
        <w:t>RSPH1</w:t>
      </w:r>
      <w:r w:rsidR="00C0208F" w:rsidRPr="00C0208F">
        <w:rPr>
          <w:lang w:val="en-US"/>
        </w:rPr>
        <w:t xml:space="preserve"> mutation </w:t>
      </w:r>
      <w:r w:rsidR="002E689E">
        <w:rPr>
          <w:lang w:val="en-US"/>
        </w:rPr>
        <w:t xml:space="preserve">appear to </w:t>
      </w:r>
      <w:r w:rsidR="00C0208F" w:rsidRPr="00C0208F">
        <w:rPr>
          <w:lang w:val="en-US"/>
        </w:rPr>
        <w:t>have less lung function impairment, a later onset of wet cough and a lower prevalence of neonatal respiratory distress at birth compared to age-matched PCD patients without this defect.  Furthermore, pat</w:t>
      </w:r>
      <w:r w:rsidR="007702C1">
        <w:rPr>
          <w:lang w:val="en-US"/>
        </w:rPr>
        <w:t xml:space="preserve">ients with </w:t>
      </w:r>
      <w:r w:rsidR="007702C1" w:rsidRPr="002C03D2">
        <w:rPr>
          <w:i/>
          <w:lang w:val="en-US"/>
        </w:rPr>
        <w:t>RSPH1</w:t>
      </w:r>
      <w:r w:rsidR="007702C1">
        <w:rPr>
          <w:lang w:val="en-US"/>
        </w:rPr>
        <w:t xml:space="preserve"> mutations </w:t>
      </w:r>
      <w:r w:rsidR="00C0208F" w:rsidRPr="00C0208F">
        <w:rPr>
          <w:lang w:val="en-US"/>
        </w:rPr>
        <w:t>have hi</w:t>
      </w:r>
      <w:r w:rsidR="007702C1">
        <w:rPr>
          <w:lang w:val="en-US"/>
        </w:rPr>
        <w:t xml:space="preserve">gher nasal nitric oxide values which are often outside </w:t>
      </w:r>
      <w:r w:rsidR="00C0208F" w:rsidRPr="00C0208F">
        <w:rPr>
          <w:lang w:val="en-US"/>
        </w:rPr>
        <w:t>the diagnostic range</w:t>
      </w:r>
      <w:r w:rsidR="00936050" w:rsidRPr="00936050">
        <w:rPr>
          <w:noProof/>
          <w:vertAlign w:val="superscript"/>
          <w:lang w:val="en-US"/>
        </w:rPr>
        <w:t>11</w:t>
      </w:r>
      <w:r w:rsidR="00C0208F" w:rsidRPr="00C0208F">
        <w:rPr>
          <w:lang w:val="en-US"/>
        </w:rPr>
        <w:t xml:space="preserve">. </w:t>
      </w:r>
      <w:r w:rsidRPr="00480510">
        <w:rPr>
          <w:lang w:val="en-US"/>
        </w:rPr>
        <w:t xml:space="preserve">Furthermore, recent data has suggested that </w:t>
      </w:r>
      <w:r w:rsidR="00BF7C95">
        <w:rPr>
          <w:lang w:val="en-US"/>
        </w:rPr>
        <w:t>m</w:t>
      </w:r>
      <w:r w:rsidR="00186550">
        <w:rPr>
          <w:lang w:val="en-US"/>
        </w:rPr>
        <w:t xml:space="preserve">utations in </w:t>
      </w:r>
      <w:r w:rsidR="00186550" w:rsidRPr="005F6462">
        <w:rPr>
          <w:i/>
          <w:lang w:val="en-US"/>
        </w:rPr>
        <w:t>DNAH9</w:t>
      </w:r>
      <w:r w:rsidR="00186550">
        <w:rPr>
          <w:lang w:val="en-US"/>
        </w:rPr>
        <w:t xml:space="preserve"> </w:t>
      </w:r>
      <w:r w:rsidR="00BF7C95">
        <w:rPr>
          <w:lang w:val="en-US"/>
        </w:rPr>
        <w:t>are</w:t>
      </w:r>
      <w:r w:rsidR="00186550">
        <w:rPr>
          <w:lang w:val="en-US"/>
        </w:rPr>
        <w:t xml:space="preserve"> associated with milder respiratory phenotype</w:t>
      </w:r>
      <w:r w:rsidR="000006CC">
        <w:rPr>
          <w:lang w:val="en-US"/>
        </w:rPr>
        <w:t>s</w:t>
      </w:r>
      <w:r w:rsidR="00936050" w:rsidRPr="00936050">
        <w:rPr>
          <w:noProof/>
          <w:vertAlign w:val="superscript"/>
          <w:lang w:val="en-US"/>
        </w:rPr>
        <w:t>6,10</w:t>
      </w:r>
      <w:r w:rsidR="00186550">
        <w:rPr>
          <w:lang w:val="en-US"/>
        </w:rPr>
        <w:t xml:space="preserve"> </w:t>
      </w:r>
      <w:r w:rsidR="00C0208F" w:rsidRPr="00C0208F">
        <w:rPr>
          <w:lang w:val="en-US"/>
        </w:rPr>
        <w:t>With the increase in discovery of PCD-causing genes, more genotype-phenotype relationships will be elucidated</w:t>
      </w:r>
      <w:r>
        <w:rPr>
          <w:lang w:val="en-US"/>
        </w:rPr>
        <w:t>.</w:t>
      </w:r>
      <w:r w:rsidR="00DA6D33">
        <w:rPr>
          <w:lang w:val="en-US"/>
        </w:rPr>
        <w:t xml:space="preserve"> </w:t>
      </w:r>
      <w:r w:rsidRPr="00480510">
        <w:rPr>
          <w:lang w:val="en-US"/>
        </w:rPr>
        <w:t>However, caution is needed when interpreting genotype-phenotype data which m</w:t>
      </w:r>
      <w:r w:rsidR="00DA6D33">
        <w:rPr>
          <w:lang w:val="en-US"/>
        </w:rPr>
        <w:t>ay be</w:t>
      </w:r>
      <w:r w:rsidRPr="00480510">
        <w:rPr>
          <w:lang w:val="en-US"/>
        </w:rPr>
        <w:t xml:space="preserve"> based on small numbers of patients with variations in any one gene. Moreover, we are aware from diseases such as CF that the phenotype can vary depending on the type of mutation within a gene, and how it effects the protein product.  Similar variability is likely within PCD genes.</w:t>
      </w:r>
    </w:p>
    <w:p w14:paraId="787351ED" w14:textId="4BF7DFEB" w:rsidR="001170A3" w:rsidRDefault="00CD306B" w:rsidP="008D14D6">
      <w:pPr>
        <w:tabs>
          <w:tab w:val="left" w:pos="8647"/>
        </w:tabs>
        <w:spacing w:line="360" w:lineRule="auto"/>
        <w:rPr>
          <w:lang w:val="en-US"/>
        </w:rPr>
      </w:pPr>
      <w:r>
        <w:rPr>
          <w:lang w:val="en-US"/>
        </w:rPr>
        <w:t>By definition, patients with PCD have dyskinetic cilia, and our clinical understanding has expe</w:t>
      </w:r>
      <w:r w:rsidR="00480510">
        <w:rPr>
          <w:lang w:val="en-US"/>
        </w:rPr>
        <w:t>cted airway cilia to be impacted</w:t>
      </w:r>
      <w:r>
        <w:rPr>
          <w:lang w:val="en-US"/>
        </w:rPr>
        <w:t xml:space="preserve">, as confirmed by HSVMA. </w:t>
      </w:r>
      <w:r w:rsidR="00833AB5">
        <w:rPr>
          <w:lang w:val="en-US"/>
        </w:rPr>
        <w:t>Recently described m</w:t>
      </w:r>
      <w:r>
        <w:rPr>
          <w:lang w:val="en-US"/>
        </w:rPr>
        <w:t xml:space="preserve">utations in </w:t>
      </w:r>
      <w:r w:rsidR="00833AB5" w:rsidRPr="00833AB5">
        <w:rPr>
          <w:i/>
          <w:lang w:val="en-US"/>
        </w:rPr>
        <w:t>ENKUR</w:t>
      </w:r>
      <w:r w:rsidR="00833AB5">
        <w:rPr>
          <w:lang w:val="en-US"/>
        </w:rPr>
        <w:t xml:space="preserve"> and </w:t>
      </w:r>
      <w:r w:rsidR="00833AB5" w:rsidRPr="00833AB5">
        <w:rPr>
          <w:i/>
          <w:lang w:val="en-US"/>
        </w:rPr>
        <w:t>CCDC11</w:t>
      </w:r>
      <w:r w:rsidR="00833AB5">
        <w:rPr>
          <w:lang w:val="en-US"/>
        </w:rPr>
        <w:t xml:space="preserve"> </w:t>
      </w:r>
      <w:r w:rsidR="00480510">
        <w:rPr>
          <w:lang w:val="en-US"/>
        </w:rPr>
        <w:t>impact</w:t>
      </w:r>
      <w:r w:rsidR="00833AB5">
        <w:rPr>
          <w:lang w:val="en-US"/>
        </w:rPr>
        <w:t xml:space="preserve"> left-right patterning bu</w:t>
      </w:r>
      <w:r w:rsidR="00694F98">
        <w:rPr>
          <w:lang w:val="en-US"/>
        </w:rPr>
        <w:t>t do not appear to cause pulmonary</w:t>
      </w:r>
      <w:r w:rsidR="00833AB5">
        <w:rPr>
          <w:lang w:val="en-US"/>
        </w:rPr>
        <w:t xml:space="preserve"> disease</w:t>
      </w:r>
      <w:r w:rsidR="007C7797" w:rsidRPr="007C7797">
        <w:rPr>
          <w:noProof/>
          <w:vertAlign w:val="superscript"/>
          <w:lang w:val="en-US"/>
        </w:rPr>
        <w:t>103,104</w:t>
      </w:r>
      <w:r w:rsidR="00833AB5">
        <w:rPr>
          <w:lang w:val="en-US"/>
        </w:rPr>
        <w:t xml:space="preserve">. </w:t>
      </w:r>
      <w:r w:rsidR="00480510">
        <w:rPr>
          <w:lang w:val="en-US"/>
        </w:rPr>
        <w:t xml:space="preserve"> </w:t>
      </w:r>
      <w:r w:rsidR="00480510" w:rsidRPr="00480510">
        <w:rPr>
          <w:lang w:val="en-US"/>
        </w:rPr>
        <w:t xml:space="preserve">These findings are supported by normal ciliary motility seen by HSVMA and normal TEM in patients with </w:t>
      </w:r>
      <w:r w:rsidR="00480510" w:rsidRPr="00480510">
        <w:rPr>
          <w:i/>
          <w:lang w:val="en-US"/>
        </w:rPr>
        <w:t>ENKUR</w:t>
      </w:r>
      <w:r w:rsidR="00480510" w:rsidRPr="00480510">
        <w:rPr>
          <w:lang w:val="en-US"/>
        </w:rPr>
        <w:t xml:space="preserve"> mutations. Given this, some have questioned whether these patients should be included within the syndrome of PCD due to the significantly different phenotype that does not benefit from the usual PCD management. </w:t>
      </w:r>
      <w:r w:rsidR="00833AB5">
        <w:rPr>
          <w:lang w:val="en-US"/>
        </w:rPr>
        <w:t xml:space="preserve"> Conversely, patients with mutations in </w:t>
      </w:r>
      <w:r w:rsidR="00833AB5" w:rsidRPr="00833AB5">
        <w:rPr>
          <w:i/>
          <w:lang w:val="en-US"/>
        </w:rPr>
        <w:t>CCNO</w:t>
      </w:r>
      <w:r w:rsidR="00833AB5">
        <w:rPr>
          <w:lang w:val="en-US"/>
        </w:rPr>
        <w:t xml:space="preserve"> and </w:t>
      </w:r>
      <w:r w:rsidR="00833AB5" w:rsidRPr="00833AB5">
        <w:rPr>
          <w:i/>
          <w:lang w:val="en-US"/>
        </w:rPr>
        <w:t>MCIDAS</w:t>
      </w:r>
      <w:r w:rsidR="00833AB5">
        <w:rPr>
          <w:i/>
          <w:lang w:val="en-US"/>
        </w:rPr>
        <w:t xml:space="preserve"> </w:t>
      </w:r>
      <w:r w:rsidR="00C61A39">
        <w:rPr>
          <w:lang w:val="en-US"/>
        </w:rPr>
        <w:t xml:space="preserve">have reduced generation of motile cilia, rather than dyskinesia </w:t>
      </w:r>
      <w:r w:rsidR="007C7797" w:rsidRPr="007C7797">
        <w:rPr>
          <w:noProof/>
          <w:vertAlign w:val="superscript"/>
          <w:lang w:val="en-US"/>
        </w:rPr>
        <w:t>101,102</w:t>
      </w:r>
      <w:r w:rsidR="00C61A39">
        <w:rPr>
          <w:lang w:val="en-US"/>
        </w:rPr>
        <w:t xml:space="preserve">. </w:t>
      </w:r>
      <w:r w:rsidR="00480510" w:rsidRPr="00480510">
        <w:rPr>
          <w:lang w:val="en-US"/>
        </w:rPr>
        <w:t xml:space="preserve">These patients have a severe respiratory phenotype and a higher risk of hydrocephalus. However, despite not having dyskinetic cilia, they are best managed in specialist PCD clinics.  </w:t>
      </w:r>
    </w:p>
    <w:p w14:paraId="78664610" w14:textId="7A82A944" w:rsidR="00475C37" w:rsidRPr="00097C5F" w:rsidRDefault="00475C37" w:rsidP="008D14D6">
      <w:pPr>
        <w:pStyle w:val="CommentText"/>
        <w:tabs>
          <w:tab w:val="left" w:pos="8647"/>
        </w:tabs>
        <w:rPr>
          <w:b/>
        </w:rPr>
      </w:pPr>
      <w:r w:rsidRPr="00097C5F">
        <w:rPr>
          <w:b/>
        </w:rPr>
        <w:t>Syndromes associated with PCD</w:t>
      </w:r>
    </w:p>
    <w:p w14:paraId="4A9BAFD6" w14:textId="6386DD1A" w:rsidR="00BB30FB" w:rsidRPr="00BB30FB" w:rsidRDefault="00BB30FB" w:rsidP="008D14D6">
      <w:pPr>
        <w:tabs>
          <w:tab w:val="left" w:pos="8647"/>
        </w:tabs>
        <w:spacing w:line="360" w:lineRule="auto"/>
      </w:pPr>
      <w:r w:rsidRPr="00BB30FB">
        <w:t xml:space="preserve">Advances in imaging and genotyping have increasingly revealed atypical clinical and </w:t>
      </w:r>
      <w:r w:rsidRPr="002C03D2">
        <w:t xml:space="preserve">diagnostic </w:t>
      </w:r>
      <w:r w:rsidRPr="00BB30FB">
        <w:t xml:space="preserve">phenotypes. These include PCD like features in some patients with non-motile ciliopathies. Non-motile ciliopathies are a group of rare inherited disorders caused by defects in primary cilia. Primary cilia have a role in cell signalling and sensing </w:t>
      </w:r>
      <w:r w:rsidR="000006CC">
        <w:t xml:space="preserve">of </w:t>
      </w:r>
      <w:r w:rsidRPr="00BB30FB">
        <w:t>the extracellular environment. Their dysfunction in ciliopathies usually involves multiple organs. There are many overlapping symptoms among ciliopathies including polycystic kidneys, skeletal abnormalities, developmental</w:t>
      </w:r>
      <w:r w:rsidR="002E689E">
        <w:t xml:space="preserve"> delay and retinal degeneration</w:t>
      </w:r>
      <w:r w:rsidRPr="00BB30FB">
        <w:t xml:space="preserve">. Increasingly abnormalities in motile cilia are described in several non-motile ciliopathies. There are reports of motile cilia dysfunction in patients with </w:t>
      </w:r>
      <w:r w:rsidR="00775930" w:rsidRPr="00775930">
        <w:t>Jeune syndrome</w:t>
      </w:r>
      <w:r w:rsidR="002E689E">
        <w:t xml:space="preserve"> </w:t>
      </w:r>
      <w:r w:rsidR="007C7797" w:rsidRPr="007C7797">
        <w:rPr>
          <w:noProof/>
          <w:vertAlign w:val="superscript"/>
        </w:rPr>
        <w:t>106</w:t>
      </w:r>
      <w:r w:rsidRPr="00BB30FB">
        <w:t>, nephronophthisis type 2 (</w:t>
      </w:r>
      <w:r w:rsidRPr="00BB30FB">
        <w:rPr>
          <w:i/>
        </w:rPr>
        <w:t>NPHP2</w:t>
      </w:r>
      <w:r w:rsidR="009B0336">
        <w:rPr>
          <w:i/>
        </w:rPr>
        <w:t xml:space="preserve">) </w:t>
      </w:r>
      <w:r w:rsidR="007C7797" w:rsidRPr="007C7797">
        <w:rPr>
          <w:i/>
          <w:noProof/>
          <w:vertAlign w:val="superscript"/>
        </w:rPr>
        <w:t>107</w:t>
      </w:r>
      <w:r w:rsidRPr="00BB30FB">
        <w:t>, Leber Congenital Amaurosis (LCA)</w:t>
      </w:r>
      <w:r w:rsidR="007C7797" w:rsidRPr="007C7797">
        <w:rPr>
          <w:noProof/>
          <w:vertAlign w:val="superscript"/>
        </w:rPr>
        <w:t>108</w:t>
      </w:r>
      <w:r w:rsidRPr="00BB30FB">
        <w:t xml:space="preserve"> and  Bardet Biedl syndrome</w:t>
      </w:r>
      <w:r w:rsidR="007C7797" w:rsidRPr="007C7797">
        <w:rPr>
          <w:noProof/>
          <w:vertAlign w:val="superscript"/>
        </w:rPr>
        <w:t>109</w:t>
      </w:r>
      <w:r w:rsidRPr="00BB30FB">
        <w:t>. It is possible that defects in motile ciliary length in these patients are related to defect</w:t>
      </w:r>
      <w:r>
        <w:t>s in intraflagella</w:t>
      </w:r>
      <w:r w:rsidR="00775930">
        <w:t>r</w:t>
      </w:r>
      <w:r>
        <w:t xml:space="preserve"> transport</w:t>
      </w:r>
      <w:r w:rsidRPr="00BB30FB">
        <w:t>.</w:t>
      </w:r>
    </w:p>
    <w:p w14:paraId="51B5882C" w14:textId="7F561422" w:rsidR="00BB30FB" w:rsidRPr="00BB30FB" w:rsidRDefault="00BB30FB" w:rsidP="008D14D6">
      <w:pPr>
        <w:tabs>
          <w:tab w:val="left" w:pos="8647"/>
        </w:tabs>
        <w:spacing w:line="360" w:lineRule="auto"/>
      </w:pPr>
      <w:r w:rsidRPr="00BB30FB">
        <w:t xml:space="preserve">Two X-linked forms of PCD overlap with other ciliopathy syndromes. Some males with X-linked mutations in </w:t>
      </w:r>
      <w:r w:rsidRPr="00BB30FB">
        <w:rPr>
          <w:i/>
        </w:rPr>
        <w:t>RPGR</w:t>
      </w:r>
      <w:r w:rsidRPr="00BB30FB">
        <w:t>, which can cause retinitis pigmentosa a fo</w:t>
      </w:r>
      <w:r w:rsidR="007702C1">
        <w:t xml:space="preserve">rm of retinal degeneration, are also </w:t>
      </w:r>
      <w:r w:rsidRPr="00BB30FB">
        <w:t>reported to have PCD symptoms</w:t>
      </w:r>
      <w:r w:rsidR="007C7797" w:rsidRPr="007C7797">
        <w:rPr>
          <w:noProof/>
          <w:vertAlign w:val="superscript"/>
        </w:rPr>
        <w:t>110</w:t>
      </w:r>
      <w:r w:rsidRPr="00BB30FB">
        <w:t xml:space="preserve">. </w:t>
      </w:r>
      <w:r w:rsidRPr="00BB30FB">
        <w:rPr>
          <w:i/>
        </w:rPr>
        <w:t>RPGR</w:t>
      </w:r>
      <w:r w:rsidRPr="00BB30FB">
        <w:t xml:space="preserve"> associated PCD is reported to cause dyskinetic ciliary beatin</w:t>
      </w:r>
      <w:r w:rsidR="00055F7E">
        <w:t>g and cilia orientation defects</w:t>
      </w:r>
      <w:r w:rsidR="007C7797" w:rsidRPr="007C7797">
        <w:rPr>
          <w:noProof/>
          <w:vertAlign w:val="superscript"/>
        </w:rPr>
        <w:t>111</w:t>
      </w:r>
      <w:r w:rsidRPr="00BB30FB">
        <w:t xml:space="preserve">. </w:t>
      </w:r>
      <w:r w:rsidRPr="00BB30FB">
        <w:rPr>
          <w:i/>
        </w:rPr>
        <w:t>OFD1</w:t>
      </w:r>
      <w:r w:rsidRPr="00BB30FB">
        <w:t xml:space="preserve"> is an X-linked gene associated with several overlapping ciliopathies including oral-facial-digit</w:t>
      </w:r>
      <w:r w:rsidR="0050479A">
        <w:t>al</w:t>
      </w:r>
      <w:r w:rsidRPr="00BB30FB">
        <w:t xml:space="preserve"> syndrome and Joubert syndrome. Respiratory </w:t>
      </w:r>
      <w:r w:rsidR="001718D1">
        <w:t>symptoms</w:t>
      </w:r>
      <w:r w:rsidRPr="00BB30FB">
        <w:t xml:space="preserve"> appear to be highly variable in males carrying</w:t>
      </w:r>
      <w:r w:rsidRPr="00BB30FB">
        <w:rPr>
          <w:i/>
        </w:rPr>
        <w:t> OFD1</w:t>
      </w:r>
      <w:r w:rsidRPr="00BB30FB">
        <w:t xml:space="preserve"> mutations. </w:t>
      </w:r>
      <w:r w:rsidR="00055F7E" w:rsidRPr="00055F7E">
        <w:t>Whe</w:t>
      </w:r>
      <w:r w:rsidR="0050479A">
        <w:t>n</w:t>
      </w:r>
      <w:r w:rsidR="00055F7E" w:rsidRPr="00055F7E">
        <w:t xml:space="preserve"> there is a motile cilia defect the condition is termed Simpson–Golabi–Behmel syndrome. </w:t>
      </w:r>
      <w:r w:rsidRPr="00BB30FB">
        <w:t xml:space="preserve">These individuals suffer from PCD symptoms, overgrowth and can also have abnormally </w:t>
      </w:r>
      <w:r w:rsidR="00055F7E">
        <w:t>large kidneys, liver and spleen</w:t>
      </w:r>
      <w:r w:rsidR="007C7797" w:rsidRPr="007C7797">
        <w:rPr>
          <w:noProof/>
          <w:vertAlign w:val="superscript"/>
        </w:rPr>
        <w:t>112</w:t>
      </w:r>
      <w:r w:rsidRPr="00BB30FB">
        <w:t xml:space="preserve">. </w:t>
      </w:r>
    </w:p>
    <w:p w14:paraId="3C35DB3F" w14:textId="3F927521" w:rsidR="00BB30FB" w:rsidRPr="00BB30FB" w:rsidRDefault="00BB30FB" w:rsidP="008D14D6">
      <w:pPr>
        <w:tabs>
          <w:tab w:val="left" w:pos="8647"/>
        </w:tabs>
        <w:spacing w:line="360" w:lineRule="auto"/>
      </w:pPr>
      <w:r w:rsidRPr="00BB30FB">
        <w:t xml:space="preserve">Consequently, individuals with ciliopathies displaying respiratory symptoms </w:t>
      </w:r>
      <w:r w:rsidR="009D0517">
        <w:t>should be investigated</w:t>
      </w:r>
      <w:r w:rsidRPr="00BB30FB">
        <w:t xml:space="preserve"> for PCD.  Likewise in individuals with PCD and long cilia or rare clinical associations such as hydrocephalus, developmental delay, polycystic kidney disease or retinitis pigmentosa</w:t>
      </w:r>
      <w:r w:rsidR="000006CC">
        <w:t>,</w:t>
      </w:r>
      <w:r w:rsidRPr="00BB30FB">
        <w:t xml:space="preserve"> a primary ciliopathy could be considered.</w:t>
      </w:r>
    </w:p>
    <w:p w14:paraId="0727C662" w14:textId="77777777" w:rsidR="00BB30FB" w:rsidRDefault="00BB30FB" w:rsidP="008D14D6">
      <w:pPr>
        <w:tabs>
          <w:tab w:val="left" w:pos="8647"/>
        </w:tabs>
        <w:spacing w:line="360" w:lineRule="auto"/>
      </w:pPr>
    </w:p>
    <w:p w14:paraId="4F45B3F4" w14:textId="11BBF6F9" w:rsidR="00215E5E" w:rsidRDefault="00215E5E" w:rsidP="008D14D6">
      <w:pPr>
        <w:tabs>
          <w:tab w:val="left" w:pos="8647"/>
        </w:tabs>
        <w:spacing w:line="360" w:lineRule="auto"/>
      </w:pPr>
      <w:r w:rsidRPr="00215E5E">
        <w:rPr>
          <w:b/>
        </w:rPr>
        <w:t>Management</w:t>
      </w:r>
      <w:r>
        <w:t xml:space="preserve"> </w:t>
      </w:r>
    </w:p>
    <w:p w14:paraId="6D983232" w14:textId="6D07F45D" w:rsidR="00105B43" w:rsidRDefault="009A5E15" w:rsidP="008D14D6">
      <w:pPr>
        <w:tabs>
          <w:tab w:val="left" w:pos="8647"/>
        </w:tabs>
        <w:spacing w:line="360" w:lineRule="auto"/>
      </w:pPr>
      <w:r w:rsidRPr="009A5E15">
        <w:t>Since there is no cure for PCD, t</w:t>
      </w:r>
      <w:r w:rsidR="00F4578F">
        <w:t>he</w:t>
      </w:r>
      <w:r w:rsidRPr="009A5E15">
        <w:t xml:space="preserve"> aim </w:t>
      </w:r>
      <w:r w:rsidR="00F4578F">
        <w:t xml:space="preserve">of treatment is </w:t>
      </w:r>
      <w:r w:rsidRPr="009A5E15">
        <w:t xml:space="preserve">to </w:t>
      </w:r>
      <w:r w:rsidR="00C260D5">
        <w:t>delay</w:t>
      </w:r>
      <w:r w:rsidRPr="009A5E15">
        <w:t xml:space="preserve"> the decline in pulmonary airways disease, whilst maintaining patients’ health, social and psychological wellbeing. The variability in clinical manifestations and the scarcity of data from clinical trials make it difficult to formulate a standardised management plan that is suitable for all patients. </w:t>
      </w:r>
      <w:r w:rsidR="00FD532B">
        <w:t>M</w:t>
      </w:r>
      <w:r w:rsidR="00381718">
        <w:t xml:space="preserve">anagement is </w:t>
      </w:r>
      <w:r w:rsidR="007E13B8">
        <w:t xml:space="preserve">often </w:t>
      </w:r>
      <w:r w:rsidR="00381718">
        <w:t>extra</w:t>
      </w:r>
      <w:r w:rsidR="00FD532B" w:rsidRPr="00FD532B">
        <w:t xml:space="preserve">polated from other </w:t>
      </w:r>
      <w:r w:rsidR="00FD532B">
        <w:t>diseases such as CF</w:t>
      </w:r>
      <w:r w:rsidR="00FD532B" w:rsidRPr="00FD532B">
        <w:t xml:space="preserve"> and chronic rhinosinusitis. Although both CF and PCD inevitably lead to bronchiectasis, their underlying patho</w:t>
      </w:r>
      <w:r w:rsidR="00381718">
        <w:t>-</w:t>
      </w:r>
      <w:r w:rsidR="00FD532B" w:rsidRPr="00FD532B">
        <w:t>mechanisms and clinical course are different</w:t>
      </w:r>
      <w:r w:rsidR="007C7797" w:rsidRPr="007C7797">
        <w:rPr>
          <w:noProof/>
          <w:vertAlign w:val="superscript"/>
        </w:rPr>
        <w:t>113</w:t>
      </w:r>
      <w:r w:rsidR="00FD532B">
        <w:t xml:space="preserve"> </w:t>
      </w:r>
      <w:r w:rsidR="007C7797" w:rsidRPr="007C7797">
        <w:rPr>
          <w:noProof/>
          <w:vertAlign w:val="superscript"/>
        </w:rPr>
        <w:t>2,114,115</w:t>
      </w:r>
      <w:r w:rsidR="00381718">
        <w:t xml:space="preserve"> </w:t>
      </w:r>
      <w:r w:rsidR="00FD532B" w:rsidRPr="00FD532B">
        <w:t xml:space="preserve">. </w:t>
      </w:r>
      <w:r w:rsidR="00FD532B">
        <w:t xml:space="preserve">Response to treatment is likely to vary </w:t>
      </w:r>
      <w:r w:rsidR="007E13B8">
        <w:t>in PCD and</w:t>
      </w:r>
      <w:r w:rsidR="00FD532B">
        <w:t xml:space="preserve"> i</w:t>
      </w:r>
      <w:r w:rsidR="00105B43">
        <w:t xml:space="preserve">nternational collaborations are urgently needed to ensure </w:t>
      </w:r>
      <w:r w:rsidR="007E13B8">
        <w:t xml:space="preserve">a </w:t>
      </w:r>
      <w:r w:rsidR="00105B43">
        <w:t xml:space="preserve">sufficient number of </w:t>
      </w:r>
      <w:r w:rsidR="007E13B8">
        <w:t>eligible</w:t>
      </w:r>
      <w:r w:rsidR="00FD532B">
        <w:t xml:space="preserve"> </w:t>
      </w:r>
      <w:r w:rsidR="00105B43">
        <w:t xml:space="preserve">patients </w:t>
      </w:r>
      <w:r w:rsidR="007E13B8">
        <w:t>for</w:t>
      </w:r>
      <w:r w:rsidR="00105B43">
        <w:t xml:space="preserve"> well-designed </w:t>
      </w:r>
      <w:r w:rsidR="0021306A">
        <w:t>treatment</w:t>
      </w:r>
      <w:r w:rsidR="00105B43">
        <w:t xml:space="preserve"> trials. </w:t>
      </w:r>
    </w:p>
    <w:p w14:paraId="1EC8BBFE" w14:textId="49996FCD" w:rsidR="009A5E15" w:rsidRPr="009A5E15" w:rsidRDefault="0031511D" w:rsidP="008D14D6">
      <w:pPr>
        <w:tabs>
          <w:tab w:val="left" w:pos="8647"/>
        </w:tabs>
        <w:spacing w:line="360" w:lineRule="auto"/>
      </w:pPr>
      <w:r>
        <w:t>General</w:t>
      </w:r>
      <w:r w:rsidR="009A5E15" w:rsidRPr="009A5E15">
        <w:t xml:space="preserve"> physicians usually have a </w:t>
      </w:r>
      <w:r>
        <w:t>poor knowledge of managing rare diseases. G</w:t>
      </w:r>
      <w:r w:rsidR="009A5E15" w:rsidRPr="009A5E15">
        <w:t xml:space="preserve">uidelines therefore </w:t>
      </w:r>
      <w:r>
        <w:t>recommend</w:t>
      </w:r>
      <w:r w:rsidR="009A5E15" w:rsidRPr="009A5E15">
        <w:t xml:space="preserve"> that patients should be seen sev</w:t>
      </w:r>
      <w:r>
        <w:t xml:space="preserve">eral times a year in </w:t>
      </w:r>
      <w:r w:rsidR="009A5E15" w:rsidRPr="009A5E15">
        <w:t xml:space="preserve">PCD centres by a </w:t>
      </w:r>
      <w:r w:rsidR="00F47749">
        <w:t xml:space="preserve">specialist </w:t>
      </w:r>
      <w:r w:rsidR="009A5E15" w:rsidRPr="009A5E15">
        <w:t>multidisciplinary team</w:t>
      </w:r>
      <w:r w:rsidR="007C7797" w:rsidRPr="007C7797">
        <w:rPr>
          <w:noProof/>
          <w:vertAlign w:val="superscript"/>
        </w:rPr>
        <w:t>22,23,116</w:t>
      </w:r>
      <w:r w:rsidR="009A5E15" w:rsidRPr="009A5E15">
        <w:t xml:space="preserve">. </w:t>
      </w:r>
    </w:p>
    <w:p w14:paraId="15E0BE71" w14:textId="77777777" w:rsidR="009A5E15" w:rsidRPr="009A5E15" w:rsidRDefault="009A5E15" w:rsidP="008D14D6">
      <w:pPr>
        <w:tabs>
          <w:tab w:val="left" w:pos="8647"/>
        </w:tabs>
        <w:spacing w:line="360" w:lineRule="auto"/>
        <w:rPr>
          <w:i/>
        </w:rPr>
      </w:pPr>
      <w:r w:rsidRPr="009A5E15">
        <w:rPr>
          <w:i/>
        </w:rPr>
        <w:t>General Health</w:t>
      </w:r>
    </w:p>
    <w:p w14:paraId="69F6AD3F" w14:textId="75B6943B" w:rsidR="009A5E15" w:rsidRPr="009A5E15" w:rsidRDefault="009A5E15" w:rsidP="008D14D6">
      <w:pPr>
        <w:tabs>
          <w:tab w:val="left" w:pos="8647"/>
        </w:tabs>
        <w:spacing w:line="360" w:lineRule="auto"/>
      </w:pPr>
      <w:r w:rsidRPr="009A5E15">
        <w:t xml:space="preserve">There is growing evidence for the importance of growth and nutrition in children with PCD. The International PCD Cohort (iPCD) </w:t>
      </w:r>
      <w:r w:rsidR="00F64297">
        <w:t>have</w:t>
      </w:r>
      <w:r w:rsidRPr="009A5E15">
        <w:t xml:space="preserve"> reported impaired height from an early age, and a lon</w:t>
      </w:r>
      <w:r w:rsidR="003A45E9">
        <w:t xml:space="preserve">gitudinal study has shown reduced </w:t>
      </w:r>
      <w:r w:rsidRPr="009A5E15">
        <w:t>growth throughout childhood resulting in loss of body height by adulthood</w:t>
      </w:r>
      <w:r w:rsidR="007C7797" w:rsidRPr="007C7797">
        <w:rPr>
          <w:noProof/>
          <w:vertAlign w:val="superscript"/>
        </w:rPr>
        <w:t>117,118</w:t>
      </w:r>
      <w:r w:rsidR="00E0794D">
        <w:t>.</w:t>
      </w:r>
      <w:r w:rsidRPr="009A5E15">
        <w:t xml:space="preserve"> Several studies have observed a relationship between lower nutritional status and worse lung function</w:t>
      </w:r>
      <w:r w:rsidR="007C7797" w:rsidRPr="007C7797">
        <w:rPr>
          <w:noProof/>
          <w:vertAlign w:val="superscript"/>
        </w:rPr>
        <w:t>2,117,119</w:t>
      </w:r>
      <w:r w:rsidRPr="009A5E15">
        <w:t>, although other studies have found no association</w:t>
      </w:r>
      <w:r w:rsidR="007C7797" w:rsidRPr="007C7797">
        <w:rPr>
          <w:noProof/>
          <w:vertAlign w:val="superscript"/>
        </w:rPr>
        <w:t>115,120</w:t>
      </w:r>
      <w:r w:rsidRPr="009A5E15">
        <w:t xml:space="preserve">. Furthermore PCD patients have low levels of vitamin D, a </w:t>
      </w:r>
      <w:r w:rsidR="000006CC">
        <w:t xml:space="preserve">finding </w:t>
      </w:r>
      <w:r w:rsidRPr="009A5E15">
        <w:t>associated with disease severity in bronchiectasis</w:t>
      </w:r>
      <w:r w:rsidR="007C7797" w:rsidRPr="007C7797">
        <w:rPr>
          <w:noProof/>
          <w:vertAlign w:val="superscript"/>
        </w:rPr>
        <w:t>119,121</w:t>
      </w:r>
      <w:r w:rsidRPr="009A5E15">
        <w:t>. Knowledge of genotype might indicate</w:t>
      </w:r>
      <w:r w:rsidR="000006CC">
        <w:t xml:space="preserve"> the</w:t>
      </w:r>
      <w:r w:rsidRPr="009A5E15">
        <w:t xml:space="preserve"> patients a</w:t>
      </w:r>
      <w:r w:rsidR="003A45E9">
        <w:t xml:space="preserve">t increased risk; e.g. </w:t>
      </w:r>
      <w:r w:rsidRPr="009A5E15">
        <w:t xml:space="preserve">patients with mutations in </w:t>
      </w:r>
      <w:r w:rsidRPr="009A5E15">
        <w:rPr>
          <w:i/>
        </w:rPr>
        <w:t>CCDC39</w:t>
      </w:r>
      <w:r w:rsidRPr="009A5E15">
        <w:t xml:space="preserve"> and </w:t>
      </w:r>
      <w:r w:rsidRPr="009A5E15">
        <w:rPr>
          <w:i/>
        </w:rPr>
        <w:t>CCDC40</w:t>
      </w:r>
      <w:r w:rsidRPr="009A5E15">
        <w:t xml:space="preserve"> have been observed to have diminished growth parameters</w:t>
      </w:r>
      <w:r w:rsidR="0003669E">
        <w:t xml:space="preserve"> in comparison to </w:t>
      </w:r>
      <w:r w:rsidR="0003669E" w:rsidRPr="0003669E">
        <w:rPr>
          <w:i/>
        </w:rPr>
        <w:t>DNAH5</w:t>
      </w:r>
      <w:r w:rsidR="00936050" w:rsidRPr="00936050">
        <w:rPr>
          <w:i/>
          <w:noProof/>
          <w:vertAlign w:val="superscript"/>
        </w:rPr>
        <w:t>9</w:t>
      </w:r>
      <w:r w:rsidRPr="009A5E15">
        <w:t>.</w:t>
      </w:r>
    </w:p>
    <w:p w14:paraId="42119805" w14:textId="0585004F" w:rsidR="0031511D" w:rsidRDefault="009A5E15" w:rsidP="008D14D6">
      <w:pPr>
        <w:tabs>
          <w:tab w:val="left" w:pos="8647"/>
        </w:tabs>
        <w:spacing w:line="360" w:lineRule="auto"/>
      </w:pPr>
      <w:r w:rsidRPr="009A5E15">
        <w:t>Patients with PCD often have poor aerobic fitness and regular exercise should be encouraged to improve general wellbeing and perhaps assist</w:t>
      </w:r>
      <w:r w:rsidR="000006CC">
        <w:t xml:space="preserve"> in</w:t>
      </w:r>
      <w:r w:rsidRPr="009A5E15">
        <w:t xml:space="preserve"> mucus clearance</w:t>
      </w:r>
      <w:r w:rsidR="007C7797" w:rsidRPr="007C7797">
        <w:rPr>
          <w:noProof/>
          <w:vertAlign w:val="superscript"/>
        </w:rPr>
        <w:t>122,123</w:t>
      </w:r>
      <w:r w:rsidRPr="009A5E15">
        <w:t xml:space="preserve">. </w:t>
      </w:r>
    </w:p>
    <w:p w14:paraId="26B4BB03" w14:textId="3801D4F4" w:rsidR="009A5E15" w:rsidRPr="009A5E15" w:rsidRDefault="009A5E15" w:rsidP="008D14D6">
      <w:pPr>
        <w:tabs>
          <w:tab w:val="left" w:pos="8647"/>
        </w:tabs>
        <w:spacing w:line="360" w:lineRule="auto"/>
        <w:rPr>
          <w:i/>
        </w:rPr>
      </w:pPr>
      <w:r w:rsidRPr="009A5E15">
        <w:rPr>
          <w:i/>
        </w:rPr>
        <w:t>Pulmonary Management</w:t>
      </w:r>
    </w:p>
    <w:p w14:paraId="24CE6EE8" w14:textId="653690B0" w:rsidR="004B0D19" w:rsidRPr="004B0D19" w:rsidRDefault="009A5E15" w:rsidP="004B0D19">
      <w:pPr>
        <w:tabs>
          <w:tab w:val="left" w:pos="8647"/>
        </w:tabs>
        <w:spacing w:line="360" w:lineRule="auto"/>
      </w:pPr>
      <w:r w:rsidRPr="009A5E15">
        <w:t xml:space="preserve">There is recent evidence that patients with PCD have more impaired lung function than those with </w:t>
      </w:r>
      <w:r w:rsidR="0064551E">
        <w:t>cystic fibrosis (</w:t>
      </w:r>
      <w:r w:rsidRPr="009A5E15">
        <w:t>CF</w:t>
      </w:r>
      <w:r w:rsidR="0064551E">
        <w:t>)</w:t>
      </w:r>
      <w:r w:rsidR="004C4F99">
        <w:t xml:space="preserve"> from early childhood</w:t>
      </w:r>
      <w:r w:rsidR="004D4637" w:rsidRPr="004D4637">
        <w:rPr>
          <w:noProof/>
          <w:vertAlign w:val="superscript"/>
        </w:rPr>
        <w:t>2</w:t>
      </w:r>
      <w:r w:rsidRPr="009A5E15">
        <w:t xml:space="preserve">. With </w:t>
      </w:r>
      <w:r w:rsidR="000006CC">
        <w:t xml:space="preserve">the </w:t>
      </w:r>
      <w:r w:rsidRPr="009A5E15">
        <w:t xml:space="preserve">paucity of evidence, </w:t>
      </w:r>
      <w:r w:rsidR="0003669E">
        <w:t>treatment</w:t>
      </w:r>
      <w:r w:rsidRPr="009A5E15">
        <w:t xml:space="preserve"> is based on more common diseases, in particular </w:t>
      </w:r>
      <w:r w:rsidR="0003669E">
        <w:t>CF</w:t>
      </w:r>
      <w:r w:rsidR="007C7797" w:rsidRPr="007C7797">
        <w:rPr>
          <w:noProof/>
          <w:vertAlign w:val="superscript"/>
        </w:rPr>
        <w:t>116</w:t>
      </w:r>
      <w:r w:rsidRPr="009A5E15">
        <w:t xml:space="preserve">. Guidelines recommend </w:t>
      </w:r>
      <w:r w:rsidR="004B0D19">
        <w:t xml:space="preserve">monitoring to include </w:t>
      </w:r>
      <w:r w:rsidRPr="009A5E15">
        <w:t xml:space="preserve">culture of sputum or cough swabs </w:t>
      </w:r>
      <w:r w:rsidR="000006CC">
        <w:t>every 3 to 6 months</w:t>
      </w:r>
      <w:r w:rsidR="007C7797" w:rsidRPr="007C7797">
        <w:rPr>
          <w:noProof/>
          <w:vertAlign w:val="superscript"/>
        </w:rPr>
        <w:t>22,23,116</w:t>
      </w:r>
      <w:r w:rsidRPr="009A5E15">
        <w:t>. Spirometry is routinely used, but is not as sensitive as lung clearance index</w:t>
      </w:r>
      <w:r w:rsidR="001F2046">
        <w:t xml:space="preserve"> (LCI) measured by multiple-breath washout</w:t>
      </w:r>
      <w:r w:rsidRPr="009A5E15">
        <w:t xml:space="preserve"> for detecting disease</w:t>
      </w:r>
      <w:r w:rsidR="007C7797" w:rsidRPr="007C7797">
        <w:rPr>
          <w:noProof/>
          <w:vertAlign w:val="superscript"/>
        </w:rPr>
        <w:t>36,124-12</w:t>
      </w:r>
      <w:r w:rsidR="005F376F">
        <w:rPr>
          <w:noProof/>
          <w:vertAlign w:val="superscript"/>
        </w:rPr>
        <w:t>7</w:t>
      </w:r>
      <w:r w:rsidRPr="009A5E15">
        <w:t xml:space="preserve">. </w:t>
      </w:r>
      <w:r w:rsidR="001F2046" w:rsidRPr="001F2046">
        <w:t>LCI is easier to measure than spirometry in young children, but information regarding the relationship between FEV1 and LCI in PCD is conflicting</w:t>
      </w:r>
      <w:r w:rsidR="001F2046" w:rsidRPr="001F2046">
        <w:rPr>
          <w:vertAlign w:val="superscript"/>
        </w:rPr>
        <w:t>124-126</w:t>
      </w:r>
      <w:r w:rsidR="001F2046" w:rsidRPr="001F2046">
        <w:t>. Multiple-breath washout equipment is not always available and testing can be time consuming. LCI is not able to distinguish between individuals with reversible and irreversible structural damage</w:t>
      </w:r>
      <w:r w:rsidR="001F2046">
        <w:rPr>
          <w:vertAlign w:val="superscript"/>
        </w:rPr>
        <w:t>36</w:t>
      </w:r>
      <w:r w:rsidR="001F2046" w:rsidRPr="001F2046">
        <w:t>; therefore lung imaging is needed to characterise structural changes.</w:t>
      </w:r>
      <w:r w:rsidR="001F2046">
        <w:t xml:space="preserve"> </w:t>
      </w:r>
      <w:r w:rsidR="004B0D19" w:rsidRPr="004B0D19">
        <w:t xml:space="preserve">Chest X-rays are probably </w:t>
      </w:r>
      <w:r w:rsidR="007E13B8">
        <w:t xml:space="preserve">the </w:t>
      </w:r>
      <w:r w:rsidR="004B0D19" w:rsidRPr="004B0D19">
        <w:t xml:space="preserve">most commonly used </w:t>
      </w:r>
      <w:r w:rsidR="007E13B8">
        <w:t xml:space="preserve">imaging </w:t>
      </w:r>
      <w:r w:rsidR="004B0D19" w:rsidRPr="004B0D19">
        <w:t>in clinical practice for assessing structural lung changes in PCD</w:t>
      </w:r>
      <w:r w:rsidR="00936050" w:rsidRPr="00936050">
        <w:rPr>
          <w:noProof/>
          <w:vertAlign w:val="superscript"/>
        </w:rPr>
        <w:t>22,23</w:t>
      </w:r>
      <w:r w:rsidR="004B0D19" w:rsidRPr="004B0D19">
        <w:t xml:space="preserve">. </w:t>
      </w:r>
      <w:r w:rsidR="004B0D19" w:rsidRPr="004B0D19">
        <w:rPr>
          <w:lang w:val="en-AU"/>
        </w:rPr>
        <w:t>Most infants with PCD have unexpected neonatal respirato</w:t>
      </w:r>
      <w:r w:rsidR="007E13B8">
        <w:rPr>
          <w:lang w:val="en-AU"/>
        </w:rPr>
        <w:t>ry dis</w:t>
      </w:r>
      <w:r w:rsidR="0050479A">
        <w:rPr>
          <w:lang w:val="en-AU"/>
        </w:rPr>
        <w:t>tress</w:t>
      </w:r>
      <w:r w:rsidR="007E13B8">
        <w:rPr>
          <w:lang w:val="en-AU"/>
        </w:rPr>
        <w:t xml:space="preserve"> </w:t>
      </w:r>
      <w:r w:rsidR="007E13B8" w:rsidRPr="007E13B8">
        <w:rPr>
          <w:lang w:val="en-AU"/>
        </w:rPr>
        <w:t>despite term birth</w:t>
      </w:r>
      <w:r w:rsidR="004B0D19" w:rsidRPr="007E13B8">
        <w:rPr>
          <w:lang w:val="en-AU"/>
        </w:rPr>
        <w:t>. The majority of these infants have evidence of lobar collapse, us</w:t>
      </w:r>
      <w:r w:rsidR="007E13B8">
        <w:rPr>
          <w:lang w:val="en-AU"/>
        </w:rPr>
        <w:t>ually involving the upper lobes</w:t>
      </w:r>
      <w:r w:rsidR="007E13B8">
        <w:rPr>
          <w:vertAlign w:val="superscript"/>
          <w:lang w:val="en-AU"/>
        </w:rPr>
        <w:t>25</w:t>
      </w:r>
      <w:r w:rsidR="007E13B8">
        <w:rPr>
          <w:lang w:val="en-AU"/>
        </w:rPr>
        <w:t>.</w:t>
      </w:r>
      <w:r w:rsidR="004B0D19" w:rsidRPr="004B0D19">
        <w:rPr>
          <w:lang w:val="en-AU"/>
        </w:rPr>
        <w:t xml:space="preserve"> </w:t>
      </w:r>
      <w:r w:rsidR="007E13B8">
        <w:t>However, chest x</w:t>
      </w:r>
      <w:r w:rsidR="004B0D19" w:rsidRPr="004B0D19">
        <w:t xml:space="preserve">-rays are not sensitive as a monitoring tool to detect early pulmonary changes. Due to concern over the radiation exposure HRCT is not recommended for routine </w:t>
      </w:r>
      <w:r w:rsidR="007E13B8">
        <w:t xml:space="preserve">annual </w:t>
      </w:r>
      <w:r w:rsidR="004B0D19" w:rsidRPr="004B0D19">
        <w:t>monitori</w:t>
      </w:r>
      <w:r w:rsidR="007E13B8">
        <w:t>ng, but can be used intermittently</w:t>
      </w:r>
      <w:r w:rsidR="004B0D19" w:rsidRPr="004B0D19">
        <w:t xml:space="preserve"> or when clinically indicated. Typical changes seen in PCD include bronchiectasis, peribronchial thickening, mucus plugging, atelectasis and consolidation or collapse. Lung disease, in particular bronc</w:t>
      </w:r>
      <w:r w:rsidR="007E13B8">
        <w:t>hiectasis, predominantly occurs in</w:t>
      </w:r>
      <w:r w:rsidR="004B0D19" w:rsidRPr="004B0D19">
        <w:t xml:space="preserve"> the middle and lower lobes, with relative sparing of the upper lobes</w:t>
      </w:r>
      <w:r w:rsidR="007C7797" w:rsidRPr="007C7797">
        <w:rPr>
          <w:noProof/>
          <w:vertAlign w:val="superscript"/>
        </w:rPr>
        <w:t>115,12</w:t>
      </w:r>
      <w:r w:rsidR="005F376F">
        <w:rPr>
          <w:noProof/>
          <w:vertAlign w:val="superscript"/>
        </w:rPr>
        <w:t>8</w:t>
      </w:r>
      <w:r w:rsidR="007C7797" w:rsidRPr="007C7797">
        <w:rPr>
          <w:noProof/>
          <w:vertAlign w:val="superscript"/>
        </w:rPr>
        <w:t>-129</w:t>
      </w:r>
      <w:r w:rsidR="004B0D19" w:rsidRPr="004B0D19">
        <w:t xml:space="preserve">. As expected, </w:t>
      </w:r>
      <w:r w:rsidR="007E13B8" w:rsidRPr="007E13B8">
        <w:t xml:space="preserve">structural changes increase with age and are associated with lung </w:t>
      </w:r>
      <w:r w:rsidR="004B0D19" w:rsidRPr="004B0D19">
        <w:t>function</w:t>
      </w:r>
      <w:r w:rsidR="007C7797" w:rsidRPr="007C7797">
        <w:rPr>
          <w:noProof/>
          <w:vertAlign w:val="superscript"/>
        </w:rPr>
        <w:t>128,129</w:t>
      </w:r>
      <w:r w:rsidR="004B0D19" w:rsidRPr="004B0D19">
        <w:t>. There are</w:t>
      </w:r>
      <w:r w:rsidR="007E13B8">
        <w:t xml:space="preserve"> no scoring systems specific for PCD. S</w:t>
      </w:r>
      <w:r w:rsidR="004B0D19" w:rsidRPr="004B0D19">
        <w:t xml:space="preserve">tudies have </w:t>
      </w:r>
      <w:r w:rsidR="007E13B8">
        <w:t xml:space="preserve">therefore </w:t>
      </w:r>
      <w:r w:rsidR="004B0D19" w:rsidRPr="004B0D19">
        <w:t xml:space="preserve">used </w:t>
      </w:r>
      <w:r w:rsidR="004B0D19" w:rsidRPr="004B0D19">
        <w:rPr>
          <w:lang w:val="en-US"/>
        </w:rPr>
        <w:t xml:space="preserve">the scoring systems derived for CF lung disease, </w:t>
      </w:r>
      <w:r w:rsidR="007E13B8">
        <w:rPr>
          <w:lang w:val="en-US"/>
        </w:rPr>
        <w:t>(</w:t>
      </w:r>
      <w:r w:rsidR="004B0D19" w:rsidRPr="004B0D19">
        <w:rPr>
          <w:lang w:val="en-US"/>
        </w:rPr>
        <w:t>i.e. Brody and Bhalla</w:t>
      </w:r>
      <w:r w:rsidR="007E13B8">
        <w:rPr>
          <w:lang w:val="en-US"/>
        </w:rPr>
        <w:t>)</w:t>
      </w:r>
      <w:r w:rsidR="004B0D19" w:rsidRPr="004B0D19">
        <w:rPr>
          <w:lang w:val="en-US"/>
        </w:rPr>
        <w:t xml:space="preserve"> </w:t>
      </w:r>
      <w:r w:rsidR="007C7797" w:rsidRPr="007C7797">
        <w:rPr>
          <w:noProof/>
          <w:vertAlign w:val="superscript"/>
          <w:lang w:val="en-US"/>
        </w:rPr>
        <w:t>130,131</w:t>
      </w:r>
      <w:r w:rsidR="004B0D19" w:rsidRPr="004B0D19">
        <w:rPr>
          <w:lang w:val="en-US"/>
        </w:rPr>
        <w:t xml:space="preserve">. However, the structural lung disease in CF and PCD differ, and PCD-specific scoring systems are needed to fully capture changes </w:t>
      </w:r>
      <w:r w:rsidR="007C7797" w:rsidRPr="007C7797">
        <w:rPr>
          <w:noProof/>
          <w:vertAlign w:val="superscript"/>
          <w:lang w:val="en-US"/>
        </w:rPr>
        <w:t>132</w:t>
      </w:r>
      <w:r w:rsidR="004B0D19" w:rsidRPr="004B0D19">
        <w:rPr>
          <w:lang w:val="en-US"/>
        </w:rPr>
        <w:t xml:space="preserve"> </w:t>
      </w:r>
      <w:r w:rsidR="007C7797" w:rsidRPr="007C7797">
        <w:rPr>
          <w:noProof/>
          <w:vertAlign w:val="superscript"/>
          <w:lang w:val="en-US"/>
        </w:rPr>
        <w:t>114</w:t>
      </w:r>
      <w:r w:rsidR="004B0D19" w:rsidRPr="004B0D19">
        <w:rPr>
          <w:lang w:val="en-US"/>
        </w:rPr>
        <w:t>.</w:t>
      </w:r>
    </w:p>
    <w:p w14:paraId="3E659517" w14:textId="7ADD1884" w:rsidR="009A5E15" w:rsidRPr="009A5E15" w:rsidRDefault="004B0D19" w:rsidP="008D14D6">
      <w:pPr>
        <w:tabs>
          <w:tab w:val="left" w:pos="8647"/>
        </w:tabs>
        <w:spacing w:line="360" w:lineRule="auto"/>
      </w:pPr>
      <w:r w:rsidRPr="004B0D19">
        <w:rPr>
          <w:lang w:val="en-US"/>
        </w:rPr>
        <w:t xml:space="preserve">To avoid the radiation doses associated with HRCT imaging, there is a growing interest in magnetic </w:t>
      </w:r>
      <w:r w:rsidR="007E13B8">
        <w:rPr>
          <w:lang w:val="en-US"/>
        </w:rPr>
        <w:t>resonance imaging (MRI)</w:t>
      </w:r>
      <w:r w:rsidRPr="004B0D19">
        <w:rPr>
          <w:lang w:val="en-US"/>
        </w:rPr>
        <w:t xml:space="preserve"> to assess structural and functional changes</w:t>
      </w:r>
      <w:r w:rsidR="007C7797" w:rsidRPr="007C7797">
        <w:rPr>
          <w:noProof/>
          <w:vertAlign w:val="superscript"/>
          <w:lang w:val="en-US"/>
        </w:rPr>
        <w:t>37,133,134</w:t>
      </w:r>
      <w:r w:rsidRPr="004B0D19">
        <w:rPr>
          <w:lang w:val="en-US"/>
        </w:rPr>
        <w:t>. Further develo</w:t>
      </w:r>
      <w:r w:rsidR="007E13B8">
        <w:rPr>
          <w:lang w:val="en-US"/>
        </w:rPr>
        <w:t xml:space="preserve">pments of lung MRI may allow </w:t>
      </w:r>
      <w:r w:rsidRPr="004B0D19">
        <w:rPr>
          <w:lang w:val="en-US"/>
        </w:rPr>
        <w:t xml:space="preserve">longitudinal assessments over time in PCD as well as </w:t>
      </w:r>
      <w:r w:rsidR="007E13B8" w:rsidRPr="007E13B8">
        <w:rPr>
          <w:lang w:val="en-US"/>
        </w:rPr>
        <w:t>provide the ability to quantify structural changes on a more regular basis and serve as endpoints in short term intervention therapy trials.</w:t>
      </w:r>
      <w:r w:rsidR="001718D1" w:rsidRPr="001718D1">
        <w:t xml:space="preserve">Whilst there is virtually no evidence, experts agree that </w:t>
      </w:r>
      <w:r w:rsidR="00E949CD">
        <w:t>a</w:t>
      </w:r>
      <w:r w:rsidR="009A5E15" w:rsidRPr="009A5E15">
        <w:t xml:space="preserve"> cornerstone of treatment is airways clearance with the aim of preventing infections, atelectasis, bronchiectasis and respiratory failure</w:t>
      </w:r>
      <w:r w:rsidR="001718D1">
        <w:t xml:space="preserve"> </w:t>
      </w:r>
      <w:r w:rsidR="007C7797" w:rsidRPr="007C7797">
        <w:rPr>
          <w:noProof/>
          <w:vertAlign w:val="superscript"/>
        </w:rPr>
        <w:t>22,23,116</w:t>
      </w:r>
      <w:r w:rsidR="009A5E15" w:rsidRPr="009A5E15">
        <w:t>. Techniques include a combination of breathing manoeuvres, positioning, manual percussion, with adjuncts including ‘vest therapy’ (high frequency chest wall oscillation), PEP devices and oscillatory-PEP. Current practice individualises the method based on disease sever</w:t>
      </w:r>
      <w:r w:rsidR="00D27E0A">
        <w:t>ity, patient age and preference</w:t>
      </w:r>
      <w:r w:rsidR="007C7797" w:rsidRPr="007C7797">
        <w:rPr>
          <w:noProof/>
          <w:vertAlign w:val="superscript"/>
        </w:rPr>
        <w:t>135</w:t>
      </w:r>
      <w:r w:rsidR="004566DE">
        <w:t>, with clearance</w:t>
      </w:r>
      <w:r w:rsidR="00466D03">
        <w:t xml:space="preserve"> usually recommended </w:t>
      </w:r>
      <w:r w:rsidR="009A5E15" w:rsidRPr="009A5E15">
        <w:t>at least tw</w:t>
      </w:r>
      <w:r w:rsidR="00466D03">
        <w:t>ice daily</w:t>
      </w:r>
      <w:r w:rsidR="007C7797" w:rsidRPr="007C7797">
        <w:rPr>
          <w:noProof/>
          <w:vertAlign w:val="superscript"/>
        </w:rPr>
        <w:t>22,23,116</w:t>
      </w:r>
      <w:r w:rsidR="000B1BF3">
        <w:t>. If patients have</w:t>
      </w:r>
      <w:r w:rsidR="009A5E15" w:rsidRPr="009A5E15">
        <w:t xml:space="preserve"> difficulty clearing secretions</w:t>
      </w:r>
      <w:r w:rsidR="00466D03">
        <w:t>,</w:t>
      </w:r>
      <w:r w:rsidR="009A5E15" w:rsidRPr="009A5E15">
        <w:t xml:space="preserve"> nebulised treatments might augment mucus clearance, although evidence is poor in PCD. The only clinical trial </w:t>
      </w:r>
      <w:r w:rsidR="00F47749">
        <w:t xml:space="preserve">using hypertonic saline </w:t>
      </w:r>
      <w:r w:rsidR="009A5E15" w:rsidRPr="009A5E15">
        <w:t>failed to show a significant effect in comparison to isotonic saline; the study was probably underpowered and the outcome measure might not have been ideal, demonstrating the need for mu</w:t>
      </w:r>
      <w:r w:rsidR="00466D03">
        <w:t>ltinational</w:t>
      </w:r>
      <w:r w:rsidR="009A5E15" w:rsidRPr="009A5E15">
        <w:t xml:space="preserve"> trials u</w:t>
      </w:r>
      <w:r w:rsidR="00D27E0A">
        <w:t>sing sensitive outcome measures</w:t>
      </w:r>
      <w:r w:rsidR="007C7797" w:rsidRPr="007C7797">
        <w:rPr>
          <w:noProof/>
          <w:vertAlign w:val="superscript"/>
        </w:rPr>
        <w:t>136</w:t>
      </w:r>
      <w:r w:rsidR="004566DE">
        <w:t xml:space="preserve">. </w:t>
      </w:r>
      <w:r w:rsidR="00222AB4" w:rsidRPr="00222AB4">
        <w:t xml:space="preserve">Whilst a small number of case studies </w:t>
      </w:r>
      <w:r w:rsidR="00222AB4">
        <w:t xml:space="preserve">have </w:t>
      </w:r>
      <w:r w:rsidR="00222AB4" w:rsidRPr="00222AB4">
        <w:t>suggested</w:t>
      </w:r>
      <w:r w:rsidR="00222AB4">
        <w:t xml:space="preserve"> a</w:t>
      </w:r>
      <w:r w:rsidR="00222AB4" w:rsidRPr="00222AB4">
        <w:t xml:space="preserve"> benefit </w:t>
      </w:r>
      <w:r w:rsidR="00222AB4">
        <w:t xml:space="preserve">when </w:t>
      </w:r>
      <w:r w:rsidR="00222AB4" w:rsidRPr="00222AB4">
        <w:t xml:space="preserve">using recombinant DNase in </w:t>
      </w:r>
      <w:r w:rsidR="00222AB4">
        <w:t xml:space="preserve">patients with </w:t>
      </w:r>
      <w:r w:rsidR="00222AB4" w:rsidRPr="00222AB4">
        <w:t>PCD</w:t>
      </w:r>
      <w:r w:rsidR="007C7797" w:rsidRPr="007C7797">
        <w:rPr>
          <w:noProof/>
          <w:vertAlign w:val="superscript"/>
        </w:rPr>
        <w:t>137-139</w:t>
      </w:r>
      <w:r w:rsidR="00222AB4" w:rsidRPr="00222AB4">
        <w:t xml:space="preserve">, </w:t>
      </w:r>
      <w:r w:rsidR="00222AB4">
        <w:t xml:space="preserve"> a </w:t>
      </w:r>
      <w:r w:rsidR="009A5E15" w:rsidRPr="009A5E15">
        <w:t>large trial of patients with non-CF bronchiectasis reported more frequent pulmonary exacerbations and an increased decline in FEV</w:t>
      </w:r>
      <w:r w:rsidR="009A5E15" w:rsidRPr="009A5E15">
        <w:rPr>
          <w:vertAlign w:val="subscript"/>
        </w:rPr>
        <w:t>1</w:t>
      </w:r>
      <w:r w:rsidR="007C7797" w:rsidRPr="007C7797">
        <w:rPr>
          <w:noProof/>
          <w:vertAlign w:val="superscript"/>
        </w:rPr>
        <w:t>140,141</w:t>
      </w:r>
      <w:r w:rsidR="00466D03">
        <w:t xml:space="preserve">. Therefore </w:t>
      </w:r>
      <w:r w:rsidR="009A5E15" w:rsidRPr="009A5E15">
        <w:t>use</w:t>
      </w:r>
      <w:r w:rsidR="00466D03">
        <w:t xml:space="preserve"> of rhDNase in PCD should </w:t>
      </w:r>
      <w:r w:rsidR="004566DE">
        <w:t xml:space="preserve">only </w:t>
      </w:r>
      <w:r w:rsidR="00466D03">
        <w:t xml:space="preserve">be </w:t>
      </w:r>
      <w:r w:rsidR="009A5E15" w:rsidRPr="009A5E15">
        <w:t>considere</w:t>
      </w:r>
      <w:r w:rsidR="004566DE">
        <w:t>d on a case-by-case basis</w:t>
      </w:r>
      <w:r w:rsidR="009A5E15" w:rsidRPr="009A5E15">
        <w:t xml:space="preserve">. </w:t>
      </w:r>
    </w:p>
    <w:p w14:paraId="048C1783" w14:textId="6CE75CB1" w:rsidR="009A5E15" w:rsidRDefault="009A5E15" w:rsidP="008D14D6">
      <w:pPr>
        <w:tabs>
          <w:tab w:val="left" w:pos="8647"/>
        </w:tabs>
        <w:spacing w:line="360" w:lineRule="auto"/>
      </w:pPr>
      <w:r w:rsidRPr="0034603E">
        <w:t>Prevention and treatment of pulmonary exacerbations is the second facet of pulmonary care, and again evidence is extrapolated from CF</w:t>
      </w:r>
      <w:r w:rsidR="007C7797" w:rsidRPr="007C7797">
        <w:rPr>
          <w:noProof/>
          <w:vertAlign w:val="superscript"/>
        </w:rPr>
        <w:t>142</w:t>
      </w:r>
      <w:r w:rsidRPr="0034603E">
        <w:t>. Prevention includes imm</w:t>
      </w:r>
      <w:r w:rsidR="004566DE" w:rsidRPr="0034603E">
        <w:t>unization</w:t>
      </w:r>
      <w:r w:rsidR="004566DE">
        <w:t xml:space="preserve"> (influenza,</w:t>
      </w:r>
      <w:r w:rsidRPr="009A5E15">
        <w:t xml:space="preserve"> pneumococcus etc.), segregation and surveillance programmes. Common isolates include </w:t>
      </w:r>
      <w:r w:rsidRPr="00355D40">
        <w:rPr>
          <w:i/>
        </w:rPr>
        <w:t xml:space="preserve">Haemophilus influenza, Morexella catarrhalis, Steptococcus pneumoniae </w:t>
      </w:r>
      <w:r w:rsidRPr="00355D40">
        <w:t>and</w:t>
      </w:r>
      <w:r w:rsidRPr="00355D40">
        <w:rPr>
          <w:i/>
        </w:rPr>
        <w:t xml:space="preserve"> Pseudomonas aeruginosa</w:t>
      </w:r>
      <w:r w:rsidR="007C7797" w:rsidRPr="007C7797">
        <w:rPr>
          <w:i/>
          <w:noProof/>
          <w:vertAlign w:val="superscript"/>
        </w:rPr>
        <w:t>8,29,30,120,143</w:t>
      </w:r>
      <w:r w:rsidR="00AD70B3" w:rsidRPr="00355D40">
        <w:t xml:space="preserve">. Although </w:t>
      </w:r>
      <w:r w:rsidRPr="00355D40">
        <w:t>treatment o</w:t>
      </w:r>
      <w:r w:rsidR="006B7E9F" w:rsidRPr="00355D40">
        <w:t>f symptomatic</w:t>
      </w:r>
      <w:r w:rsidR="006B7E9F">
        <w:t xml:space="preserve"> infection is intuitive, the treatment of </w:t>
      </w:r>
      <w:r w:rsidRPr="009A5E15">
        <w:t>asymptomatic infection is more contentious. In the absence of disease-specific evidence, it is generally accepted that treatment should follow CF guidelines</w:t>
      </w:r>
      <w:r w:rsidR="006B7E9F">
        <w:t>, with modification from the high doses used in CF</w:t>
      </w:r>
      <w:r w:rsidR="004A0438">
        <w:t>.</w:t>
      </w:r>
      <w:r w:rsidR="001034A3" w:rsidRPr="001034A3">
        <w:t xml:space="preserve"> </w:t>
      </w:r>
      <w:r w:rsidR="004A0438" w:rsidRPr="004A0438">
        <w:t xml:space="preserve">Given the toxic effects of some of these antibiotics, adverse events should be monitored in PCD patients.   In the absence of strong evidence, a sensible approach is to treat first isolates of pathogens with at least two weeks of antibiotics in an attempt to eradicate. For </w:t>
      </w:r>
      <w:r w:rsidR="004A0438" w:rsidRPr="004A0438">
        <w:rPr>
          <w:i/>
        </w:rPr>
        <w:t>P aeruginosa</w:t>
      </w:r>
      <w:r w:rsidR="004A0438" w:rsidRPr="004A0438">
        <w:t xml:space="preserve"> inhaled antibiotics are usually prescribed; some clinicians will also prescribe an oral antibiotic.</w:t>
      </w:r>
      <w:r w:rsidR="009B6789">
        <w:t xml:space="preserve"> </w:t>
      </w:r>
      <w:r w:rsidR="004A0438" w:rsidRPr="004A0438">
        <w:t>Patients who do not respond to treatment may require intravenous therapy.</w:t>
      </w:r>
      <w:r w:rsidR="009B6789">
        <w:t xml:space="preserve"> </w:t>
      </w:r>
      <w:r w:rsidRPr="009A5E15">
        <w:t xml:space="preserve">Whilst </w:t>
      </w:r>
      <w:r w:rsidR="00AD70B3" w:rsidRPr="00AD70B3">
        <w:t xml:space="preserve">prophylactic use of azithromycin can be beneficial </w:t>
      </w:r>
      <w:r w:rsidR="00AD70B3">
        <w:t xml:space="preserve">in </w:t>
      </w:r>
      <w:r w:rsidRPr="009A5E15">
        <w:t>C</w:t>
      </w:r>
      <w:r w:rsidR="00AD70B3">
        <w:t>F and non-CF bronchiectasis</w:t>
      </w:r>
      <w:r w:rsidRPr="009A5E15">
        <w:t>, the evidence for use in PCD is await</w:t>
      </w:r>
      <w:r w:rsidR="00F17509">
        <w:t>ing results</w:t>
      </w:r>
      <w:r w:rsidR="006B7E9F">
        <w:t xml:space="preserve"> from a recent trial</w:t>
      </w:r>
      <w:r w:rsidR="007C7797" w:rsidRPr="007C7797">
        <w:rPr>
          <w:noProof/>
          <w:vertAlign w:val="superscript"/>
        </w:rPr>
        <w:t>144</w:t>
      </w:r>
      <w:r w:rsidR="00097C5F">
        <w:t>.</w:t>
      </w:r>
    </w:p>
    <w:p w14:paraId="53548C19" w14:textId="02DBDEA7" w:rsidR="005C003A" w:rsidRPr="009A5E15" w:rsidRDefault="00FF192B" w:rsidP="008D14D6">
      <w:pPr>
        <w:tabs>
          <w:tab w:val="left" w:pos="8647"/>
        </w:tabs>
        <w:spacing w:line="360" w:lineRule="auto"/>
      </w:pPr>
      <w:r>
        <w:t>The role of thoracic surgery in PCD is unclear, but in the</w:t>
      </w:r>
      <w:r w:rsidR="009B6789">
        <w:t xml:space="preserve"> authors experience is</w:t>
      </w:r>
      <w:r>
        <w:t xml:space="preserve"> rarely indicated. A small retrospective study from Cyprus reported </w:t>
      </w:r>
      <w:r w:rsidR="00055871" w:rsidRPr="00055871">
        <w:t>worse lung function</w:t>
      </w:r>
      <w:r>
        <w:t xml:space="preserve"> in patients who had undergone surgical intervention</w:t>
      </w:r>
      <w:r w:rsidR="009B6789" w:rsidRPr="009B6789">
        <w:t xml:space="preserve"> </w:t>
      </w:r>
      <w:r w:rsidR="009B6789">
        <w:t>c</w:t>
      </w:r>
      <w:r w:rsidR="009B6789" w:rsidRPr="009B6789">
        <w:t>ompared to a disease control population that had not undergone surgery</w:t>
      </w:r>
      <w:r w:rsidR="00055871" w:rsidRPr="00055871">
        <w:t xml:space="preserve">, but it is not possible to say whether this </w:t>
      </w:r>
      <w:r w:rsidR="009B6789">
        <w:t xml:space="preserve">finding </w:t>
      </w:r>
      <w:r>
        <w:t>predated the surgery</w:t>
      </w:r>
      <w:r w:rsidR="00055871" w:rsidRPr="00055871">
        <w:t>.  Lung transplantation is an option in patients with end stage disease, and has been performed in a number of patients</w:t>
      </w:r>
      <w:r>
        <w:t xml:space="preserve"> in the US</w:t>
      </w:r>
      <w:r w:rsidR="00936050" w:rsidRPr="00936050">
        <w:rPr>
          <w:noProof/>
          <w:vertAlign w:val="superscript"/>
        </w:rPr>
        <w:t>28</w:t>
      </w:r>
      <w:r w:rsidR="009B6789">
        <w:t>. R</w:t>
      </w:r>
      <w:r>
        <w:t xml:space="preserve">ecent European studies indicate that </w:t>
      </w:r>
      <w:r w:rsidR="009B6789">
        <w:t>transplantation is undertaken</w:t>
      </w:r>
      <w:r>
        <w:t xml:space="preserve"> exceptionally</w:t>
      </w:r>
      <w:r w:rsidR="009B6789">
        <w:t xml:space="preserve"> rarely</w:t>
      </w:r>
      <w:r>
        <w:t xml:space="preserve"> </w:t>
      </w:r>
      <w:r w:rsidR="00CE236F">
        <w:t>in a</w:t>
      </w:r>
      <w:r>
        <w:t xml:space="preserve"> few patients developing end stage respiratory failure</w:t>
      </w:r>
      <w:r w:rsidR="007C7797" w:rsidRPr="007C7797">
        <w:rPr>
          <w:noProof/>
          <w:vertAlign w:val="superscript"/>
        </w:rPr>
        <w:t>26,145</w:t>
      </w:r>
      <w:r w:rsidR="00055871" w:rsidRPr="00055871">
        <w:t>. Transplantation</w:t>
      </w:r>
      <w:r>
        <w:t xml:space="preserve"> requires careful</w:t>
      </w:r>
      <w:r w:rsidR="00055871" w:rsidRPr="00055871">
        <w:t xml:space="preserve"> planning particularly in patients with situs abnormalities.</w:t>
      </w:r>
    </w:p>
    <w:p w14:paraId="0D6EA07C" w14:textId="77777777" w:rsidR="009A5E15" w:rsidRPr="009A5E15" w:rsidRDefault="009A5E15" w:rsidP="008D14D6">
      <w:pPr>
        <w:tabs>
          <w:tab w:val="left" w:pos="8647"/>
        </w:tabs>
        <w:spacing w:line="360" w:lineRule="auto"/>
        <w:rPr>
          <w:i/>
        </w:rPr>
      </w:pPr>
      <w:r w:rsidRPr="009A5E15">
        <w:rPr>
          <w:i/>
        </w:rPr>
        <w:t>Upper airways and ears</w:t>
      </w:r>
    </w:p>
    <w:p w14:paraId="680F68BF" w14:textId="48122559" w:rsidR="009A5E15" w:rsidRPr="009A5E15" w:rsidRDefault="004566DE" w:rsidP="008D14D6">
      <w:pPr>
        <w:tabs>
          <w:tab w:val="left" w:pos="8647"/>
        </w:tabs>
        <w:spacing w:line="360" w:lineRule="auto"/>
      </w:pPr>
      <w:r>
        <w:t>Since t</w:t>
      </w:r>
      <w:r w:rsidR="009A5E15" w:rsidRPr="009A5E15">
        <w:t>he majority of patients with PCD have chronic rhino-sinusitis, otitis media with effusion, and chronic otitis media</w:t>
      </w:r>
      <w:r w:rsidR="00936050" w:rsidRPr="00936050">
        <w:rPr>
          <w:noProof/>
          <w:vertAlign w:val="superscript"/>
        </w:rPr>
        <w:t>1,26,27</w:t>
      </w:r>
      <w:r>
        <w:t>, a</w:t>
      </w:r>
      <w:r w:rsidR="009A5E15" w:rsidRPr="009A5E15">
        <w:t xml:space="preserve">n </w:t>
      </w:r>
      <w:r w:rsidR="00AF426B" w:rsidRPr="00AF426B">
        <w:t>otolaryngo</w:t>
      </w:r>
      <w:r w:rsidR="00AF426B">
        <w:t>logist</w:t>
      </w:r>
      <w:r w:rsidR="00AF426B" w:rsidRPr="00AF426B">
        <w:t xml:space="preserve"> </w:t>
      </w:r>
      <w:r>
        <w:t>should be part of the PCD multidisciplinary team</w:t>
      </w:r>
      <w:r w:rsidR="009A5E15" w:rsidRPr="009A5E15">
        <w:t>.</w:t>
      </w:r>
      <w:r w:rsidR="00337668">
        <w:t xml:space="preserve"> </w:t>
      </w:r>
    </w:p>
    <w:p w14:paraId="32324DF7" w14:textId="4E869E5C" w:rsidR="009A5E15" w:rsidRPr="009A5E15" w:rsidRDefault="009A5E15" w:rsidP="008D14D6">
      <w:pPr>
        <w:tabs>
          <w:tab w:val="left" w:pos="8647"/>
        </w:tabs>
        <w:spacing w:line="360" w:lineRule="auto"/>
      </w:pPr>
      <w:r w:rsidRPr="009A5E15">
        <w:t>Perennial nasal discharge often starts from early infancy, and can be debilita</w:t>
      </w:r>
      <w:r w:rsidR="00225322">
        <w:t>ting, affecting quality of life</w:t>
      </w:r>
      <w:r w:rsidR="007C7797" w:rsidRPr="007C7797">
        <w:rPr>
          <w:noProof/>
          <w:vertAlign w:val="superscript"/>
        </w:rPr>
        <w:t>4,5,146</w:t>
      </w:r>
      <w:r w:rsidRPr="009A5E15">
        <w:t>. Anecdotally, sino-nasal rinsing with saline can relieve symptoms.  Topical nasal steroids are often used although there is no evidence of effica</w:t>
      </w:r>
      <w:r w:rsidR="00225322">
        <w:t>cy</w:t>
      </w:r>
      <w:r w:rsidR="007C7797" w:rsidRPr="007C7797">
        <w:rPr>
          <w:noProof/>
          <w:vertAlign w:val="superscript"/>
        </w:rPr>
        <w:t>147</w:t>
      </w:r>
      <w:r w:rsidRPr="009A5E15">
        <w:t xml:space="preserve">. </w:t>
      </w:r>
    </w:p>
    <w:p w14:paraId="0CA07C8D" w14:textId="6582A69F" w:rsidR="00337668" w:rsidRPr="00A24CCF" w:rsidRDefault="000B1BF3" w:rsidP="008D14D6">
      <w:pPr>
        <w:tabs>
          <w:tab w:val="left" w:pos="8647"/>
        </w:tabs>
        <w:spacing w:line="360" w:lineRule="auto"/>
      </w:pPr>
      <w:r w:rsidRPr="000B1BF3">
        <w:t>Management of the ears aims to improve hearing and prevent irreversible damage of the tympanic membrane</w:t>
      </w:r>
      <w:r w:rsidR="00F17509">
        <w:t>s</w:t>
      </w:r>
      <w:r w:rsidRPr="000B1BF3">
        <w:t xml:space="preserve">. </w:t>
      </w:r>
      <w:r w:rsidR="009A5E15" w:rsidRPr="009A5E15">
        <w:t>Ear disease is very common</w:t>
      </w:r>
      <w:r w:rsidR="004566DE">
        <w:t>, particularly in young children</w:t>
      </w:r>
      <w:r w:rsidR="00D30DEB">
        <w:t>. S</w:t>
      </w:r>
      <w:r>
        <w:t>ymptoms often</w:t>
      </w:r>
      <w:r w:rsidR="009A5E15" w:rsidRPr="009A5E15">
        <w:t xml:space="preserve"> </w:t>
      </w:r>
      <w:r>
        <w:t>improve</w:t>
      </w:r>
      <w:r w:rsidR="009A5E15" w:rsidRPr="009A5E15">
        <w:t xml:space="preserve"> with age</w:t>
      </w:r>
      <w:r w:rsidR="00D30DEB">
        <w:t>,</w:t>
      </w:r>
      <w:r w:rsidR="009A5E15" w:rsidRPr="009A5E15">
        <w:t xml:space="preserve"> although some adults continue to require hearing aids</w:t>
      </w:r>
      <w:r w:rsidR="007C7797" w:rsidRPr="007C7797">
        <w:rPr>
          <w:noProof/>
          <w:vertAlign w:val="superscript"/>
        </w:rPr>
        <w:t>27,148,149</w:t>
      </w:r>
      <w:r w:rsidR="009A5E15" w:rsidRPr="009A5E15">
        <w:t xml:space="preserve">.  The conductive hearing loss associated with </w:t>
      </w:r>
      <w:r w:rsidR="00F47749">
        <w:t>middle ear effusions</w:t>
      </w:r>
      <w:r w:rsidR="00F47749" w:rsidRPr="009A5E15">
        <w:t xml:space="preserve"> </w:t>
      </w:r>
      <w:r w:rsidR="009A5E15" w:rsidRPr="009A5E15">
        <w:t xml:space="preserve">can delay speech acquisition, impair learning, and create social isolation. </w:t>
      </w:r>
      <w:r w:rsidR="00337668" w:rsidRPr="00337668">
        <w:t xml:space="preserve">Hearing should </w:t>
      </w:r>
      <w:r w:rsidR="00337668">
        <w:t xml:space="preserve">therefore </w:t>
      </w:r>
      <w:r w:rsidR="00337668" w:rsidRPr="00337668">
        <w:t>be monitored regularly using age-appropriate methods</w:t>
      </w:r>
      <w:r w:rsidR="00D30DEB">
        <w:t>.</w:t>
      </w:r>
      <w:r w:rsidR="00337668" w:rsidRPr="00337668">
        <w:t xml:space="preserve"> </w:t>
      </w:r>
      <w:r w:rsidR="009A5E15" w:rsidRPr="009A5E15">
        <w:t xml:space="preserve">Oral antibiotic treatment of acute otitis media may prevent complications, and topical antibiotics can be prescribed for ear discharge. In PCD, the use of ventilation tubes is controversial because troublesome mucopurulent discharge is </w:t>
      </w:r>
      <w:r w:rsidR="00D30DEB">
        <w:t>reportedly</w:t>
      </w:r>
      <w:r w:rsidR="00D30DEB" w:rsidRPr="009A5E15">
        <w:t xml:space="preserve"> </w:t>
      </w:r>
      <w:r w:rsidR="009A5E15" w:rsidRPr="009A5E15">
        <w:t>more common than in the general population (30% versus 5%), however, randomised studies have not been undertaken</w:t>
      </w:r>
      <w:r w:rsidR="007C7797" w:rsidRPr="007C7797">
        <w:rPr>
          <w:noProof/>
          <w:vertAlign w:val="superscript"/>
        </w:rPr>
        <w:t>149,150</w:t>
      </w:r>
      <w:r w:rsidR="009A5E15" w:rsidRPr="009A5E15">
        <w:t xml:space="preserve">. The </w:t>
      </w:r>
      <w:r w:rsidR="0064551E">
        <w:t>ERS</w:t>
      </w:r>
      <w:r w:rsidR="009A5E15" w:rsidRPr="009A5E15">
        <w:t xml:space="preserve"> guidelines recommend hearing aids rather than ventilation tubes, until </w:t>
      </w:r>
      <w:r w:rsidR="009A5E15" w:rsidRPr="00A24CCF">
        <w:t>such time as the hearing loss resolves</w:t>
      </w:r>
      <w:r w:rsidR="00936050" w:rsidRPr="00936050">
        <w:rPr>
          <w:noProof/>
          <w:vertAlign w:val="superscript"/>
        </w:rPr>
        <w:t>22</w:t>
      </w:r>
      <w:r w:rsidR="009A5E15" w:rsidRPr="00A24CCF">
        <w:t xml:space="preserve">. </w:t>
      </w:r>
      <w:r w:rsidR="00337668" w:rsidRPr="00A24CCF">
        <w:t>Patients with mutations associated with central complex defects</w:t>
      </w:r>
      <w:r w:rsidR="008D2507" w:rsidRPr="00A24CCF">
        <w:t xml:space="preserve"> (</w:t>
      </w:r>
      <w:r w:rsidR="00A474C9" w:rsidRPr="00A24CCF">
        <w:t>T</w:t>
      </w:r>
      <w:r w:rsidR="008D2507" w:rsidRPr="00A24CCF">
        <w:t>able</w:t>
      </w:r>
      <w:r w:rsidR="004566DE" w:rsidRPr="00A24CCF">
        <w:t xml:space="preserve"> 1</w:t>
      </w:r>
      <w:r w:rsidR="008D2507" w:rsidRPr="00A24CCF">
        <w:t>)</w:t>
      </w:r>
      <w:r w:rsidR="00337668" w:rsidRPr="00A24CCF">
        <w:t>, have been reported in one study</w:t>
      </w:r>
      <w:r w:rsidR="00AD70B3" w:rsidRPr="00A24CCF">
        <w:t xml:space="preserve"> to have more </w:t>
      </w:r>
      <w:r w:rsidR="00D57D05" w:rsidRPr="00A24CCF">
        <w:t>ear-related problems</w:t>
      </w:r>
      <w:r w:rsidR="00337668" w:rsidRPr="00A24CCF">
        <w:t>. This group might benefit fr</w:t>
      </w:r>
      <w:r w:rsidR="00F17509" w:rsidRPr="00A24CCF">
        <w:t>om</w:t>
      </w:r>
      <w:r w:rsidR="008A54D6">
        <w:t xml:space="preserve"> more regular monitoring</w:t>
      </w:r>
      <w:r w:rsidR="007C7797" w:rsidRPr="007C7797">
        <w:rPr>
          <w:noProof/>
          <w:vertAlign w:val="superscript"/>
        </w:rPr>
        <w:t>149</w:t>
      </w:r>
      <w:r w:rsidR="00337668" w:rsidRPr="00A24CCF">
        <w:t>.</w:t>
      </w:r>
    </w:p>
    <w:p w14:paraId="3F991434" w14:textId="77777777" w:rsidR="009A5E15" w:rsidRPr="00A24CCF" w:rsidRDefault="009A5E15" w:rsidP="008D14D6">
      <w:pPr>
        <w:tabs>
          <w:tab w:val="left" w:pos="8647"/>
        </w:tabs>
        <w:spacing w:line="360" w:lineRule="auto"/>
        <w:rPr>
          <w:i/>
        </w:rPr>
      </w:pPr>
      <w:r w:rsidRPr="00A24CCF">
        <w:rPr>
          <w:i/>
        </w:rPr>
        <w:t>Cardiac disease</w:t>
      </w:r>
    </w:p>
    <w:p w14:paraId="6EA8E9C7" w14:textId="37C90BC4" w:rsidR="009A5E15" w:rsidRPr="009A5E15" w:rsidRDefault="00D57D05" w:rsidP="008D14D6">
      <w:pPr>
        <w:tabs>
          <w:tab w:val="left" w:pos="8647"/>
        </w:tabs>
        <w:spacing w:line="360" w:lineRule="auto"/>
      </w:pPr>
      <w:r w:rsidRPr="00A24CCF">
        <w:t>Echocardiogram and</w:t>
      </w:r>
      <w:r w:rsidR="009A5E15" w:rsidRPr="00A24CCF">
        <w:t xml:space="preserve"> abdomina</w:t>
      </w:r>
      <w:r w:rsidRPr="00A24CCF">
        <w:t>l ultrasound</w:t>
      </w:r>
      <w:r w:rsidR="00F17509" w:rsidRPr="00A24CCF">
        <w:t>s</w:t>
      </w:r>
      <w:r w:rsidRPr="00A24CCF">
        <w:t xml:space="preserve"> </w:t>
      </w:r>
      <w:r w:rsidR="009A5E15" w:rsidRPr="00A24CCF">
        <w:t>should follow diagnosis in patients with genes known to effect laterality (T</w:t>
      </w:r>
      <w:r w:rsidR="00F47749" w:rsidRPr="00A24CCF">
        <w:t>able 1</w:t>
      </w:r>
      <w:r w:rsidR="009A5E15" w:rsidRPr="00A24CCF">
        <w:t>).</w:t>
      </w:r>
      <w:r w:rsidR="009A5E15" w:rsidRPr="009A5E15">
        <w:t xml:space="preserve"> </w:t>
      </w:r>
    </w:p>
    <w:p w14:paraId="611D5DCB" w14:textId="77777777" w:rsidR="009A5E15" w:rsidRPr="009A5E15" w:rsidRDefault="009A5E15" w:rsidP="008D14D6">
      <w:pPr>
        <w:tabs>
          <w:tab w:val="left" w:pos="8647"/>
        </w:tabs>
        <w:spacing w:line="360" w:lineRule="auto"/>
        <w:rPr>
          <w:i/>
        </w:rPr>
      </w:pPr>
      <w:r w:rsidRPr="009A5E15">
        <w:rPr>
          <w:i/>
        </w:rPr>
        <w:t>Fertility</w:t>
      </w:r>
    </w:p>
    <w:p w14:paraId="3EA4212B" w14:textId="7959A858" w:rsidR="009A5E15" w:rsidRPr="009A5E15" w:rsidRDefault="009A5E15" w:rsidP="008D14D6">
      <w:pPr>
        <w:tabs>
          <w:tab w:val="left" w:pos="8647"/>
        </w:tabs>
        <w:spacing w:line="360" w:lineRule="auto"/>
      </w:pPr>
      <w:r w:rsidRPr="009A5E15">
        <w:t>Infertility is common</w:t>
      </w:r>
      <w:r w:rsidR="008D2507">
        <w:t xml:space="preserve"> in PCD and</w:t>
      </w:r>
      <w:r w:rsidRPr="009A5E15">
        <w:t xml:space="preserve"> patients need</w:t>
      </w:r>
      <w:r w:rsidR="008D2507">
        <w:t xml:space="preserve"> access to specialist </w:t>
      </w:r>
      <w:r w:rsidRPr="009A5E15">
        <w:t>care</w:t>
      </w:r>
      <w:r w:rsidR="008D2507">
        <w:t xml:space="preserve"> for assisted fertility</w:t>
      </w:r>
      <w:r w:rsidR="00936050" w:rsidRPr="00936050">
        <w:rPr>
          <w:noProof/>
          <w:vertAlign w:val="superscript"/>
        </w:rPr>
        <w:t>7</w:t>
      </w:r>
      <w:r w:rsidRPr="009A5E15">
        <w:t>. There is increasing data to guide which patients require counselling regarding fertility, for example, pa</w:t>
      </w:r>
      <w:r w:rsidR="00D57D05">
        <w:t xml:space="preserve">tients </w:t>
      </w:r>
      <w:r w:rsidRPr="009A5E15">
        <w:t xml:space="preserve">with mutations in </w:t>
      </w:r>
      <w:r w:rsidRPr="00D57D05">
        <w:rPr>
          <w:i/>
        </w:rPr>
        <w:t>CCDC114</w:t>
      </w:r>
      <w:r w:rsidRPr="009A5E15">
        <w:t xml:space="preserve"> </w:t>
      </w:r>
      <w:r w:rsidR="00F43259">
        <w:t>appear to have normal fertility</w:t>
      </w:r>
      <w:r w:rsidR="00936050" w:rsidRPr="00936050">
        <w:rPr>
          <w:noProof/>
          <w:vertAlign w:val="superscript"/>
        </w:rPr>
        <w:t>14</w:t>
      </w:r>
      <w:r w:rsidRPr="009A5E15">
        <w:t>, whilst limited data suggests male</w:t>
      </w:r>
      <w:r w:rsidR="005B3B60">
        <w:t xml:space="preserve"> </w:t>
      </w:r>
      <w:r w:rsidRPr="009A5E15">
        <w:t>infertility is highly likely in patients with mutat</w:t>
      </w:r>
      <w:r w:rsidR="00221150">
        <w:t>ions in</w:t>
      </w:r>
      <w:r w:rsidRPr="009A5E15">
        <w:t xml:space="preserve"> </w:t>
      </w:r>
      <w:r w:rsidRPr="009A5E15">
        <w:rPr>
          <w:i/>
        </w:rPr>
        <w:t>CCDC39, CCDC40, DNAAF1</w:t>
      </w:r>
      <w:r w:rsidRPr="009A5E15">
        <w:t xml:space="preserve"> and </w:t>
      </w:r>
      <w:r w:rsidRPr="009A5E15">
        <w:rPr>
          <w:i/>
        </w:rPr>
        <w:t>LRRC6</w:t>
      </w:r>
      <w:r w:rsidR="00936050" w:rsidRPr="00936050">
        <w:rPr>
          <w:i/>
          <w:noProof/>
          <w:vertAlign w:val="superscript"/>
        </w:rPr>
        <w:t>7</w:t>
      </w:r>
      <w:r w:rsidRPr="009A5E15">
        <w:t xml:space="preserve">. </w:t>
      </w:r>
      <w:r w:rsidR="00DD136D">
        <w:t>A number of men have successfully fathered children following i</w:t>
      </w:r>
      <w:r w:rsidR="00DD136D" w:rsidRPr="00DD136D">
        <w:t>ntracytoplasmic sperm injection</w:t>
      </w:r>
      <w:r w:rsidR="00DD136D">
        <w:t xml:space="preserve"> (ICSI). </w:t>
      </w:r>
      <w:r w:rsidR="00DD136D" w:rsidRPr="00DD136D">
        <w:t xml:space="preserve"> Information regarding pregnancy is limited, but anecdotally, a number of women with PCD have successfully delivered healthy babies. </w:t>
      </w:r>
      <w:r w:rsidRPr="009A5E15">
        <w:t>There is dogma that wom</w:t>
      </w:r>
      <w:r w:rsidR="00F17509">
        <w:t>e</w:t>
      </w:r>
      <w:r w:rsidRPr="009A5E15">
        <w:t>n are a</w:t>
      </w:r>
      <w:r w:rsidR="00F17509">
        <w:t>t</w:t>
      </w:r>
      <w:r w:rsidR="00221150">
        <w:t xml:space="preserve"> high risk of ectopic pregnancy,</w:t>
      </w:r>
      <w:r w:rsidR="000B1BF3">
        <w:t xml:space="preserve"> but</w:t>
      </w:r>
      <w:r w:rsidRPr="009A5E15">
        <w:t xml:space="preserve"> experience of the </w:t>
      </w:r>
      <w:r w:rsidR="005F6462" w:rsidRPr="009A5E15">
        <w:t>authors</w:t>
      </w:r>
      <w:r w:rsidR="005F6462">
        <w:t xml:space="preserve"> as well as lack of epidemiological evidence </w:t>
      </w:r>
      <w:r w:rsidR="00F43259">
        <w:t>cast doubt on this</w:t>
      </w:r>
      <w:r w:rsidR="00936050" w:rsidRPr="00936050">
        <w:rPr>
          <w:noProof/>
          <w:vertAlign w:val="superscript"/>
        </w:rPr>
        <w:t>7</w:t>
      </w:r>
      <w:r w:rsidR="00DD136D" w:rsidRPr="00DD136D">
        <w:t>When planning pregnancy, patients should optimise their health through careful adherence to airways clearance, treatment of infections and nutrition. Women may need to adapt their physiotherapy regime during pregnancy to ensure optimal airway clearance and avoidance of atelectasis. Medications that might harm the fetus should be avoided</w:t>
      </w:r>
    </w:p>
    <w:p w14:paraId="39994218" w14:textId="77777777" w:rsidR="009A5E15" w:rsidRPr="00221150" w:rsidRDefault="009A5E15" w:rsidP="008D14D6">
      <w:pPr>
        <w:tabs>
          <w:tab w:val="left" w:pos="8647"/>
        </w:tabs>
        <w:spacing w:line="360" w:lineRule="auto"/>
        <w:rPr>
          <w:i/>
        </w:rPr>
      </w:pPr>
      <w:r w:rsidRPr="00221150">
        <w:rPr>
          <w:i/>
        </w:rPr>
        <w:t>Potential novel therapies</w:t>
      </w:r>
    </w:p>
    <w:p w14:paraId="421E3E0A" w14:textId="718BDDB3" w:rsidR="009A5E15" w:rsidRDefault="00684949" w:rsidP="008D14D6">
      <w:pPr>
        <w:tabs>
          <w:tab w:val="left" w:pos="8647"/>
        </w:tabs>
        <w:spacing w:line="360" w:lineRule="auto"/>
      </w:pPr>
      <w:r>
        <w:t>There is much interest in</w:t>
      </w:r>
      <w:r w:rsidRPr="00684949">
        <w:t xml:space="preserve"> genetic correction of mutated </w:t>
      </w:r>
      <w:r>
        <w:t>PCD genes as a potential cure.  Several studies have reported partial</w:t>
      </w:r>
      <w:r w:rsidRPr="00684949">
        <w:t xml:space="preserve"> </w:t>
      </w:r>
      <w:r>
        <w:t xml:space="preserve">recovery of </w:t>
      </w:r>
      <w:r w:rsidRPr="00684949">
        <w:t>ciliary beating</w:t>
      </w:r>
      <w:r>
        <w:t xml:space="preserve"> investigated using</w:t>
      </w:r>
      <w:r w:rsidR="00793D02">
        <w:t xml:space="preserve"> l</w:t>
      </w:r>
      <w:r w:rsidRPr="00684949">
        <w:t>entiviral transfection</w:t>
      </w:r>
      <w:r>
        <w:t xml:space="preserve"> or </w:t>
      </w:r>
      <w:r w:rsidRPr="00684949">
        <w:t xml:space="preserve">TALENs (transcription activator-like effector endonucleases) </w:t>
      </w:r>
      <w:r>
        <w:t xml:space="preserve">in </w:t>
      </w:r>
      <w:r w:rsidRPr="00684949">
        <w:t>ciliated cell culture models and transgenic mouse models</w:t>
      </w:r>
      <w:r w:rsidR="007C7797" w:rsidRPr="007C7797">
        <w:rPr>
          <w:noProof/>
          <w:vertAlign w:val="superscript"/>
        </w:rPr>
        <w:t>151-153</w:t>
      </w:r>
      <w:r w:rsidRPr="00684949">
        <w:t xml:space="preserve">. Other gene editing techniques </w:t>
      </w:r>
      <w:r>
        <w:t>exist, for example</w:t>
      </w:r>
      <w:r w:rsidR="001170A3">
        <w:t xml:space="preserve"> read through therapies</w:t>
      </w:r>
      <w:r w:rsidR="007C7797" w:rsidRPr="007C7797">
        <w:rPr>
          <w:noProof/>
          <w:vertAlign w:val="superscript"/>
        </w:rPr>
        <w:t>154</w:t>
      </w:r>
      <w:r w:rsidR="001170A3">
        <w:t xml:space="preserve"> and</w:t>
      </w:r>
      <w:r>
        <w:t xml:space="preserve"> CRISPR-Cas9. With recent successes in cystic fibrosis, and the</w:t>
      </w:r>
      <w:r w:rsidRPr="00684949">
        <w:t xml:space="preserve"> increased understanding of the genetic basis of </w:t>
      </w:r>
      <w:r>
        <w:t xml:space="preserve">PCD, there </w:t>
      </w:r>
      <w:r w:rsidR="00793D02">
        <w:t xml:space="preserve">are a number </w:t>
      </w:r>
      <w:r w:rsidR="00C028CC">
        <w:t xml:space="preserve">of </w:t>
      </w:r>
      <w:r w:rsidR="006E7EDA">
        <w:t>researchers</w:t>
      </w:r>
      <w:r w:rsidR="00793D02">
        <w:t xml:space="preserve"> investigating</w:t>
      </w:r>
      <w:r>
        <w:t xml:space="preserve"> targeted small molecule therapies. </w:t>
      </w:r>
    </w:p>
    <w:p w14:paraId="771485AC" w14:textId="6A0E34FA" w:rsidR="002E5746" w:rsidRPr="00A24CCF" w:rsidRDefault="00215E5E" w:rsidP="008D14D6">
      <w:pPr>
        <w:tabs>
          <w:tab w:val="left" w:pos="8647"/>
        </w:tabs>
        <w:spacing w:line="360" w:lineRule="auto"/>
        <w:rPr>
          <w:b/>
        </w:rPr>
      </w:pPr>
      <w:r w:rsidRPr="00A24CCF">
        <w:rPr>
          <w:b/>
        </w:rPr>
        <w:t xml:space="preserve">Summary </w:t>
      </w:r>
    </w:p>
    <w:p w14:paraId="06930B60" w14:textId="32DD0B12" w:rsidR="006203F4" w:rsidRDefault="00A24CCF" w:rsidP="00A24CCF">
      <w:pPr>
        <w:tabs>
          <w:tab w:val="left" w:pos="8647"/>
        </w:tabs>
        <w:spacing w:line="360" w:lineRule="auto"/>
      </w:pPr>
      <w:r w:rsidRPr="00A24CCF">
        <w:t xml:space="preserve">In summary, PCD is a syndrome caused by genetic mutations effecting motile cilia, causing disease of the upper and lower airways. </w:t>
      </w:r>
      <w:r w:rsidR="009B6789" w:rsidRPr="009B6789">
        <w:t xml:space="preserve">Next generation sequencing has led to advances in </w:t>
      </w:r>
      <w:r w:rsidR="009B6789">
        <w:t>t</w:t>
      </w:r>
      <w:r w:rsidR="009B6789" w:rsidRPr="009B6789">
        <w:t>he discovery of new PCD genes over the past decade, and over 40 genes are now reported to cause this rare disease. This remarkable progress is impacting diagnostic capabilities, genetic counselling and has the potential to lead to new therapeutic options and personalised care. For example, genetic screening conducted by cardiologists only need</w:t>
      </w:r>
      <w:r w:rsidR="009B6789">
        <w:t>s</w:t>
      </w:r>
      <w:r w:rsidR="009B6789" w:rsidRPr="009B6789">
        <w:t xml:space="preserve"> to include mutations  which cause laterality problems;  regularity of monitoring might be adapted depending on the findings from the genetic screening and the predicted disease severity.</w:t>
      </w:r>
    </w:p>
    <w:p w14:paraId="186D6C68" w14:textId="522820AA" w:rsidR="00A24CCF" w:rsidRPr="00A24CCF" w:rsidRDefault="00A24CCF" w:rsidP="00A24CCF">
      <w:pPr>
        <w:tabs>
          <w:tab w:val="left" w:pos="8647"/>
        </w:tabs>
        <w:spacing w:line="360" w:lineRule="auto"/>
      </w:pPr>
      <w:r w:rsidRPr="00A24CCF">
        <w:t>There is increasing understanding of the influence of genotype on clinical presentation, although research is limited by the number of patients with mutations in any one gene. There is no gold standard diagnostic test, and a combination of nNO screening, analysis of cilia ultrastructure by EM; analysis of ciliary function by HSVM, Immuno-labelling of ciliary proteins (IF) and genetic testing can be used.  Because there are a large number of implicated genes and mutations, and because many genes have yet to be found, genetic testing is not yet a definitive diagnostic test for PCD. There is no cure for PCD and management focuses on careful monitoring and physiotherapy as well as treatment of infections. The lack of a definitive diagnostic test and absence of specific treatments highlight the importance of collaborative international research for this rare disease.</w:t>
      </w:r>
    </w:p>
    <w:p w14:paraId="1E35B5B6" w14:textId="7F0694C5" w:rsidR="009B6789" w:rsidRPr="009B6789" w:rsidRDefault="009B6789" w:rsidP="009B6789">
      <w:pPr>
        <w:tabs>
          <w:tab w:val="left" w:pos="8647"/>
        </w:tabs>
        <w:spacing w:line="360" w:lineRule="auto"/>
      </w:pPr>
      <w:r w:rsidRPr="009B6789">
        <w:t>Discussions between patient representatives and clinicians are needed to clarify the definition of PCD in this genomic age. Whilst previously we presumed that all patients would have pulmonary involvement, there have been recent discoveries of genes (e.g.ENKUR) affecting motile cilia that cause situs inversus in the absence of significant chest disease. Should these patients be included in the syndrome? Further study is also indicated in patients with mutations in genes where there is ciliary dyskinesia, but some mucociliary clearance is maintained (e.g. DNAH9). Conversely patients with mutations in CCNO and MCIDAS, do not have dyskinetic cilia. Rather, their relatively severe respiratory phenotype, caused by reduced numbers of motile cilia, is typical of PCD. Should this group of patients have a different label for their disease, or is it clinically sensible for them to be identified as having PCD?</w:t>
      </w:r>
      <w:r>
        <w:t xml:space="preserve"> There is large heterogeneity and we are at the tip of the iceberg</w:t>
      </w:r>
      <w:r w:rsidR="00150E7E">
        <w:t xml:space="preserve"> in understanding the disease. </w:t>
      </w:r>
    </w:p>
    <w:p w14:paraId="3E133C14" w14:textId="77777777" w:rsidR="00A24CCF" w:rsidRDefault="00A24CCF" w:rsidP="008D14D6">
      <w:pPr>
        <w:tabs>
          <w:tab w:val="left" w:pos="8647"/>
        </w:tabs>
        <w:spacing w:line="360" w:lineRule="auto"/>
      </w:pPr>
    </w:p>
    <w:p w14:paraId="22FD7467" w14:textId="77777777" w:rsidR="002E5746" w:rsidRDefault="002E5746" w:rsidP="008D14D6">
      <w:pPr>
        <w:tabs>
          <w:tab w:val="left" w:pos="8647"/>
        </w:tabs>
      </w:pPr>
      <w:r>
        <w:br w:type="page"/>
      </w:r>
    </w:p>
    <w:p w14:paraId="5BDAD5B6" w14:textId="6B1AC6C0" w:rsidR="002E5746" w:rsidRPr="00344D4B" w:rsidRDefault="002E5746" w:rsidP="000E4C5D">
      <w:pPr>
        <w:pStyle w:val="Caption"/>
        <w:keepNext/>
        <w:tabs>
          <w:tab w:val="left" w:pos="6096"/>
          <w:tab w:val="left" w:pos="8647"/>
        </w:tabs>
        <w:spacing w:after="0" w:line="276" w:lineRule="auto"/>
        <w:jc w:val="both"/>
        <w:rPr>
          <w:rFonts w:cs="Times New Roman"/>
          <w:color w:val="auto"/>
          <w:sz w:val="22"/>
          <w:szCs w:val="22"/>
          <w:lang w:val="en-US"/>
        </w:rPr>
      </w:pPr>
      <w:r w:rsidRPr="00344D4B">
        <w:rPr>
          <w:rFonts w:cs="Times New Roman"/>
          <w:color w:val="auto"/>
          <w:sz w:val="22"/>
          <w:szCs w:val="22"/>
          <w:lang w:val="en-US"/>
        </w:rPr>
        <w:t>Table</w:t>
      </w:r>
      <w:r w:rsidRPr="00344D4B">
        <w:rPr>
          <w:rFonts w:cs="Times New Roman"/>
          <w:noProof/>
          <w:color w:val="auto"/>
          <w:sz w:val="22"/>
          <w:szCs w:val="22"/>
          <w:lang w:val="en-US"/>
        </w:rPr>
        <w:t>1</w:t>
      </w:r>
      <w:r w:rsidRPr="00344D4B">
        <w:rPr>
          <w:sz w:val="22"/>
          <w:szCs w:val="22"/>
          <w:lang w:val="en-US"/>
        </w:rPr>
        <w:t>.</w:t>
      </w:r>
      <w:r w:rsidRPr="00344D4B">
        <w:rPr>
          <w:rFonts w:cs="Times New Roman"/>
          <w:color w:val="auto"/>
          <w:sz w:val="22"/>
          <w:szCs w:val="22"/>
          <w:lang w:val="en-US"/>
        </w:rPr>
        <w:t xml:space="preserve"> </w:t>
      </w:r>
      <w:r w:rsidR="00D57D05" w:rsidRPr="00344D4B">
        <w:rPr>
          <w:rFonts w:cs="Times New Roman"/>
          <w:b w:val="0"/>
          <w:color w:val="auto"/>
          <w:sz w:val="22"/>
          <w:szCs w:val="22"/>
          <w:lang w:val="en-US"/>
        </w:rPr>
        <w:t>G</w:t>
      </w:r>
      <w:r w:rsidRPr="00344D4B">
        <w:rPr>
          <w:rFonts w:cs="Times New Roman"/>
          <w:b w:val="0"/>
          <w:color w:val="auto"/>
          <w:sz w:val="22"/>
          <w:szCs w:val="22"/>
          <w:lang w:val="en-US"/>
        </w:rPr>
        <w:t>enetic defects in PCD</w:t>
      </w:r>
      <w:r w:rsidR="00746D4C">
        <w:rPr>
          <w:rFonts w:cs="Times New Roman"/>
          <w:b w:val="0"/>
          <w:color w:val="auto"/>
          <w:sz w:val="22"/>
          <w:szCs w:val="22"/>
          <w:lang w:val="en-US"/>
        </w:rPr>
        <w:t>,</w:t>
      </w:r>
      <w:r w:rsidR="00D57D05" w:rsidRPr="00344D4B">
        <w:rPr>
          <w:rFonts w:cs="Times New Roman"/>
          <w:b w:val="0"/>
          <w:color w:val="auto"/>
          <w:sz w:val="22"/>
          <w:szCs w:val="22"/>
          <w:lang w:val="en-US"/>
        </w:rPr>
        <w:t xml:space="preserve"> and </w:t>
      </w:r>
      <w:r w:rsidR="00746D4C">
        <w:rPr>
          <w:rFonts w:cs="Times New Roman"/>
          <w:b w:val="0"/>
          <w:color w:val="auto"/>
          <w:sz w:val="22"/>
          <w:szCs w:val="22"/>
          <w:lang w:val="en-US"/>
        </w:rPr>
        <w:t xml:space="preserve">the </w:t>
      </w:r>
      <w:r w:rsidR="00D57D05" w:rsidRPr="00344D4B">
        <w:rPr>
          <w:rFonts w:cs="Times New Roman"/>
          <w:b w:val="0"/>
          <w:color w:val="auto"/>
          <w:sz w:val="22"/>
          <w:szCs w:val="22"/>
          <w:lang w:val="en-US"/>
        </w:rPr>
        <w:t>associated phenotypes</w:t>
      </w:r>
      <w:r w:rsidR="00746D4C">
        <w:rPr>
          <w:rFonts w:cs="Times New Roman"/>
          <w:b w:val="0"/>
          <w:color w:val="auto"/>
          <w:sz w:val="22"/>
          <w:szCs w:val="22"/>
          <w:lang w:val="en-US"/>
        </w:rPr>
        <w:t xml:space="preserve"> where these differ from ‘classical’ PCD</w:t>
      </w:r>
    </w:p>
    <w:tbl>
      <w:tblPr>
        <w:tblW w:w="9815" w:type="dxa"/>
        <w:tblInd w:w="108" w:type="dxa"/>
        <w:tblLayout w:type="fixed"/>
        <w:tblLook w:val="04A0" w:firstRow="1" w:lastRow="0" w:firstColumn="1" w:lastColumn="0" w:noHBand="0" w:noVBand="1"/>
      </w:tblPr>
      <w:tblGrid>
        <w:gridCol w:w="1164"/>
        <w:gridCol w:w="146"/>
        <w:gridCol w:w="992"/>
        <w:gridCol w:w="851"/>
        <w:gridCol w:w="1701"/>
        <w:gridCol w:w="1134"/>
        <w:gridCol w:w="850"/>
        <w:gridCol w:w="1352"/>
        <w:gridCol w:w="227"/>
        <w:gridCol w:w="647"/>
        <w:gridCol w:w="184"/>
        <w:gridCol w:w="505"/>
        <w:gridCol w:w="19"/>
        <w:gridCol w:w="43"/>
      </w:tblGrid>
      <w:tr w:rsidR="002C03D2" w:rsidRPr="00344D4B" w14:paraId="04353AD0" w14:textId="77777777" w:rsidTr="00863E54">
        <w:trPr>
          <w:trHeight w:val="701"/>
        </w:trPr>
        <w:tc>
          <w:tcPr>
            <w:tcW w:w="1310" w:type="dxa"/>
            <w:gridSpan w:val="2"/>
            <w:tcBorders>
              <w:top w:val="single" w:sz="8" w:space="0" w:color="000000"/>
              <w:left w:val="nil"/>
              <w:bottom w:val="single" w:sz="4" w:space="0" w:color="auto"/>
              <w:right w:val="nil"/>
            </w:tcBorders>
            <w:shd w:val="clear" w:color="auto" w:fill="auto"/>
            <w:vAlign w:val="center"/>
            <w:hideMark/>
          </w:tcPr>
          <w:p w14:paraId="75459B7A" w14:textId="77777777" w:rsidR="002C03D2" w:rsidRPr="00344D4B" w:rsidRDefault="002C03D2" w:rsidP="008D14D6">
            <w:pPr>
              <w:tabs>
                <w:tab w:val="left" w:pos="8647"/>
              </w:tabs>
              <w:spacing w:after="0" w:line="240" w:lineRule="auto"/>
              <w:rPr>
                <w:rFonts w:eastAsia="Times New Roman" w:cs="Times New Roman"/>
                <w:b/>
                <w:bCs/>
                <w:color w:val="000000"/>
                <w:sz w:val="20"/>
                <w:szCs w:val="20"/>
                <w:lang w:eastAsia="en-GB"/>
              </w:rPr>
            </w:pPr>
            <w:r w:rsidRPr="00344D4B">
              <w:rPr>
                <w:rFonts w:eastAsia="Times New Roman" w:cs="Times New Roman"/>
                <w:b/>
                <w:bCs/>
                <w:color w:val="000000"/>
                <w:sz w:val="20"/>
                <w:szCs w:val="20"/>
                <w:lang w:eastAsia="en-GB"/>
              </w:rPr>
              <w:t>Functional defect</w:t>
            </w:r>
          </w:p>
        </w:tc>
        <w:tc>
          <w:tcPr>
            <w:tcW w:w="992" w:type="dxa"/>
            <w:tcBorders>
              <w:top w:val="single" w:sz="8" w:space="0" w:color="000000"/>
              <w:left w:val="nil"/>
              <w:bottom w:val="single" w:sz="4" w:space="0" w:color="auto"/>
              <w:right w:val="nil"/>
            </w:tcBorders>
            <w:shd w:val="clear" w:color="auto" w:fill="auto"/>
            <w:vAlign w:val="center"/>
            <w:hideMark/>
          </w:tcPr>
          <w:p w14:paraId="0A6A9AE6" w14:textId="77777777" w:rsidR="002C03D2" w:rsidRPr="00344D4B" w:rsidRDefault="002C03D2" w:rsidP="008D14D6">
            <w:pPr>
              <w:tabs>
                <w:tab w:val="left" w:pos="8647"/>
              </w:tabs>
              <w:spacing w:after="0" w:line="240" w:lineRule="auto"/>
              <w:ind w:right="128"/>
              <w:rPr>
                <w:rFonts w:eastAsia="Times New Roman" w:cs="Times New Roman"/>
                <w:b/>
                <w:bCs/>
                <w:color w:val="000000"/>
                <w:sz w:val="20"/>
                <w:szCs w:val="20"/>
                <w:lang w:eastAsia="en-GB"/>
              </w:rPr>
            </w:pPr>
            <w:r w:rsidRPr="00344D4B">
              <w:rPr>
                <w:rFonts w:eastAsia="Times New Roman" w:cs="Times New Roman"/>
                <w:b/>
                <w:bCs/>
                <w:color w:val="000000"/>
                <w:sz w:val="20"/>
                <w:szCs w:val="20"/>
                <w:lang w:eastAsia="en-GB"/>
              </w:rPr>
              <w:t>Gene</w:t>
            </w:r>
          </w:p>
        </w:tc>
        <w:tc>
          <w:tcPr>
            <w:tcW w:w="851" w:type="dxa"/>
            <w:tcBorders>
              <w:top w:val="single" w:sz="8" w:space="0" w:color="000000"/>
              <w:left w:val="nil"/>
              <w:bottom w:val="single" w:sz="4" w:space="0" w:color="auto"/>
              <w:right w:val="nil"/>
            </w:tcBorders>
            <w:shd w:val="clear" w:color="auto" w:fill="auto"/>
            <w:vAlign w:val="center"/>
            <w:hideMark/>
          </w:tcPr>
          <w:p w14:paraId="36C51B88" w14:textId="77777777" w:rsidR="002C03D2" w:rsidRPr="00344D4B" w:rsidRDefault="002C03D2" w:rsidP="008D14D6">
            <w:pPr>
              <w:tabs>
                <w:tab w:val="left" w:pos="8647"/>
              </w:tabs>
              <w:spacing w:after="0" w:line="240" w:lineRule="auto"/>
              <w:jc w:val="center"/>
              <w:rPr>
                <w:rFonts w:eastAsia="Times New Roman" w:cs="Times New Roman"/>
                <w:b/>
                <w:bCs/>
                <w:color w:val="000000"/>
                <w:sz w:val="20"/>
                <w:szCs w:val="20"/>
                <w:lang w:eastAsia="en-GB"/>
              </w:rPr>
            </w:pPr>
            <w:r w:rsidRPr="00344D4B">
              <w:rPr>
                <w:rFonts w:eastAsia="Times New Roman" w:cs="Times New Roman"/>
                <w:b/>
                <w:bCs/>
                <w:color w:val="000000"/>
                <w:sz w:val="20"/>
                <w:szCs w:val="20"/>
                <w:lang w:eastAsia="en-GB"/>
              </w:rPr>
              <w:t>OMIM</w:t>
            </w:r>
          </w:p>
        </w:tc>
        <w:tc>
          <w:tcPr>
            <w:tcW w:w="1701" w:type="dxa"/>
            <w:tcBorders>
              <w:top w:val="single" w:sz="8" w:space="0" w:color="000000"/>
              <w:left w:val="nil"/>
              <w:bottom w:val="single" w:sz="4" w:space="0" w:color="auto"/>
              <w:right w:val="nil"/>
            </w:tcBorders>
            <w:shd w:val="clear" w:color="auto" w:fill="auto"/>
            <w:vAlign w:val="center"/>
            <w:hideMark/>
          </w:tcPr>
          <w:p w14:paraId="42BE102A" w14:textId="713A5A58" w:rsidR="002C03D2" w:rsidRPr="00344D4B" w:rsidRDefault="002C03D2" w:rsidP="008D14D6">
            <w:pPr>
              <w:tabs>
                <w:tab w:val="left" w:pos="8647"/>
              </w:tabs>
              <w:spacing w:after="0" w:line="240" w:lineRule="auto"/>
              <w:jc w:val="center"/>
              <w:rPr>
                <w:rFonts w:eastAsia="Times New Roman" w:cs="Times New Roman"/>
                <w:b/>
                <w:bCs/>
                <w:color w:val="000000"/>
                <w:sz w:val="20"/>
                <w:szCs w:val="20"/>
                <w:lang w:val="en-US" w:eastAsia="en-GB"/>
              </w:rPr>
            </w:pPr>
            <w:r w:rsidRPr="00344D4B">
              <w:rPr>
                <w:rFonts w:eastAsia="Times New Roman" w:cs="Times New Roman"/>
                <w:b/>
                <w:bCs/>
                <w:color w:val="000000"/>
                <w:sz w:val="20"/>
                <w:szCs w:val="20"/>
                <w:lang w:eastAsia="en-GB"/>
              </w:rPr>
              <w:t>Predominant ultrastructural defect by  TEM</w:t>
            </w:r>
          </w:p>
        </w:tc>
        <w:tc>
          <w:tcPr>
            <w:tcW w:w="1134" w:type="dxa"/>
            <w:tcBorders>
              <w:top w:val="single" w:sz="8" w:space="0" w:color="000000"/>
              <w:left w:val="nil"/>
              <w:bottom w:val="single" w:sz="4" w:space="0" w:color="auto"/>
              <w:right w:val="nil"/>
            </w:tcBorders>
            <w:shd w:val="clear" w:color="auto" w:fill="auto"/>
            <w:vAlign w:val="center"/>
            <w:hideMark/>
          </w:tcPr>
          <w:p w14:paraId="107EFA58" w14:textId="132A91CB" w:rsidR="002C03D2" w:rsidRPr="00344D4B" w:rsidRDefault="002C03D2" w:rsidP="008D14D6">
            <w:pPr>
              <w:tabs>
                <w:tab w:val="left" w:pos="8647"/>
              </w:tabs>
              <w:spacing w:after="0" w:line="240" w:lineRule="auto"/>
              <w:jc w:val="center"/>
              <w:rPr>
                <w:rFonts w:eastAsia="Times New Roman" w:cs="Times New Roman"/>
                <w:b/>
                <w:bCs/>
                <w:color w:val="000000"/>
                <w:sz w:val="20"/>
                <w:szCs w:val="20"/>
                <w:lang w:eastAsia="en-GB"/>
              </w:rPr>
            </w:pPr>
            <w:r w:rsidRPr="00344D4B">
              <w:rPr>
                <w:rFonts w:eastAsia="Times New Roman" w:cs="Times New Roman"/>
                <w:b/>
                <w:bCs/>
                <w:color w:val="000000"/>
                <w:sz w:val="20"/>
                <w:szCs w:val="20"/>
                <w:lang w:eastAsia="en-GB"/>
              </w:rPr>
              <w:t xml:space="preserve">Predominant </w:t>
            </w:r>
            <w:r w:rsidRPr="00344D4B">
              <w:rPr>
                <w:rFonts w:eastAsia="Times New Roman" w:cs="Times New Roman"/>
                <w:b/>
                <w:bCs/>
                <w:color w:val="000000"/>
                <w:sz w:val="20"/>
                <w:szCs w:val="20"/>
                <w:lang w:eastAsia="en-GB"/>
              </w:rPr>
              <w:br/>
              <w:t>HSVMA</w:t>
            </w:r>
          </w:p>
        </w:tc>
        <w:tc>
          <w:tcPr>
            <w:tcW w:w="2429" w:type="dxa"/>
            <w:gridSpan w:val="3"/>
            <w:tcBorders>
              <w:top w:val="single" w:sz="8" w:space="0" w:color="000000"/>
              <w:left w:val="nil"/>
              <w:bottom w:val="single" w:sz="4" w:space="0" w:color="auto"/>
              <w:right w:val="nil"/>
            </w:tcBorders>
            <w:shd w:val="clear" w:color="auto" w:fill="auto"/>
            <w:vAlign w:val="center"/>
            <w:hideMark/>
          </w:tcPr>
          <w:p w14:paraId="065E66DA" w14:textId="1BDD9517" w:rsidR="002C03D2" w:rsidRPr="00344D4B" w:rsidRDefault="002C03D2" w:rsidP="002C03D2">
            <w:pPr>
              <w:tabs>
                <w:tab w:val="left" w:pos="8647"/>
              </w:tabs>
              <w:spacing w:after="0" w:line="240" w:lineRule="auto"/>
              <w:jc w:val="right"/>
              <w:rPr>
                <w:rFonts w:eastAsia="Times New Roman" w:cs="Times New Roman"/>
                <w:b/>
                <w:bCs/>
                <w:color w:val="000000"/>
                <w:sz w:val="20"/>
                <w:szCs w:val="20"/>
                <w:lang w:eastAsia="en-GB"/>
              </w:rPr>
            </w:pPr>
            <w:r w:rsidRPr="00344D4B">
              <w:rPr>
                <w:rFonts w:eastAsia="Times New Roman" w:cs="Times New Roman"/>
                <w:b/>
                <w:bCs/>
                <w:color w:val="000000"/>
                <w:sz w:val="20"/>
                <w:szCs w:val="20"/>
                <w:lang w:eastAsia="en-GB"/>
              </w:rPr>
              <w:t xml:space="preserve">      Phenotype notes</w:t>
            </w:r>
          </w:p>
        </w:tc>
        <w:tc>
          <w:tcPr>
            <w:tcW w:w="1398" w:type="dxa"/>
            <w:gridSpan w:val="5"/>
            <w:tcBorders>
              <w:top w:val="single" w:sz="8" w:space="0" w:color="000000"/>
              <w:left w:val="nil"/>
              <w:bottom w:val="single" w:sz="4" w:space="0" w:color="auto"/>
              <w:right w:val="nil"/>
            </w:tcBorders>
            <w:shd w:val="clear" w:color="auto" w:fill="auto"/>
            <w:vAlign w:val="center"/>
            <w:hideMark/>
          </w:tcPr>
          <w:p w14:paraId="6E9C7B5B" w14:textId="77777777" w:rsidR="002C03D2" w:rsidRPr="00344D4B" w:rsidRDefault="002C03D2" w:rsidP="000E4C5D">
            <w:pPr>
              <w:tabs>
                <w:tab w:val="left" w:pos="8647"/>
              </w:tabs>
              <w:spacing w:after="0" w:line="240" w:lineRule="auto"/>
              <w:ind w:right="-774"/>
              <w:jc w:val="center"/>
              <w:rPr>
                <w:rFonts w:eastAsia="Times New Roman" w:cs="Times New Roman"/>
                <w:b/>
                <w:bCs/>
                <w:color w:val="000000"/>
                <w:sz w:val="20"/>
                <w:szCs w:val="20"/>
                <w:lang w:eastAsia="en-GB"/>
              </w:rPr>
            </w:pPr>
            <w:r w:rsidRPr="00344D4B">
              <w:rPr>
                <w:rFonts w:eastAsia="Times New Roman" w:cs="Times New Roman"/>
                <w:b/>
                <w:bCs/>
                <w:color w:val="000000"/>
                <w:sz w:val="20"/>
                <w:szCs w:val="20"/>
                <w:lang w:eastAsia="en-GB"/>
              </w:rPr>
              <w:t>Ref.</w:t>
            </w:r>
          </w:p>
        </w:tc>
      </w:tr>
      <w:tr w:rsidR="005113F5" w:rsidRPr="00344D4B" w14:paraId="641D122E" w14:textId="77777777" w:rsidTr="008C4A1D">
        <w:trPr>
          <w:trHeight w:val="346"/>
        </w:trPr>
        <w:tc>
          <w:tcPr>
            <w:tcW w:w="9815" w:type="dxa"/>
            <w:gridSpan w:val="14"/>
            <w:tcBorders>
              <w:top w:val="single" w:sz="4" w:space="0" w:color="auto"/>
              <w:left w:val="nil"/>
              <w:bottom w:val="single" w:sz="4" w:space="0" w:color="auto"/>
              <w:right w:val="nil"/>
            </w:tcBorders>
            <w:shd w:val="clear" w:color="auto" w:fill="auto"/>
            <w:vAlign w:val="center"/>
          </w:tcPr>
          <w:p w14:paraId="13D16BB1" w14:textId="4624B5EE" w:rsidR="005113F5" w:rsidRPr="00344D4B" w:rsidRDefault="005113F5" w:rsidP="008D14D6">
            <w:pPr>
              <w:tabs>
                <w:tab w:val="left" w:pos="8647"/>
              </w:tabs>
              <w:spacing w:after="0" w:line="240" w:lineRule="auto"/>
              <w:rPr>
                <w:rFonts w:eastAsia="Times New Roman" w:cs="Times New Roman"/>
                <w:color w:val="000000"/>
                <w:sz w:val="20"/>
                <w:szCs w:val="18"/>
                <w:vertAlign w:val="superscript"/>
                <w:lang w:eastAsia="en-GB"/>
              </w:rPr>
            </w:pPr>
            <w:bookmarkStart w:id="1" w:name="_Hlk494471155"/>
            <w:r w:rsidRPr="00344D4B">
              <w:rPr>
                <w:rFonts w:eastAsia="Times New Roman" w:cs="Times New Roman"/>
                <w:b/>
                <w:bCs/>
                <w:color w:val="000000"/>
                <w:sz w:val="20"/>
                <w:szCs w:val="20"/>
                <w:lang w:val="en-US" w:eastAsia="en-GB"/>
              </w:rPr>
              <w:t>Randomization of L/R asymmetry</w:t>
            </w:r>
          </w:p>
        </w:tc>
      </w:tr>
      <w:bookmarkEnd w:id="1"/>
      <w:tr w:rsidR="008D14D6" w:rsidRPr="008C4A1D" w14:paraId="087F958F" w14:textId="32899EA9" w:rsidTr="000E4C5D">
        <w:trPr>
          <w:gridAfter w:val="2"/>
          <w:wAfter w:w="62" w:type="dxa"/>
          <w:trHeight w:val="271"/>
        </w:trPr>
        <w:tc>
          <w:tcPr>
            <w:tcW w:w="1164" w:type="dxa"/>
            <w:tcBorders>
              <w:top w:val="single" w:sz="4" w:space="0" w:color="auto"/>
              <w:left w:val="nil"/>
              <w:bottom w:val="nil"/>
              <w:right w:val="nil"/>
            </w:tcBorders>
            <w:shd w:val="clear" w:color="auto" w:fill="auto"/>
            <w:vAlign w:val="center"/>
          </w:tcPr>
          <w:p w14:paraId="2689757C" w14:textId="1A565530" w:rsidR="008D14D6" w:rsidRPr="00344D4B" w:rsidRDefault="008D14D6" w:rsidP="007C0566">
            <w:pPr>
              <w:tabs>
                <w:tab w:val="left" w:pos="8647"/>
              </w:tabs>
              <w:spacing w:after="0" w:line="240" w:lineRule="auto"/>
              <w:jc w:val="center"/>
              <w:rPr>
                <w:rFonts w:eastAsia="Times New Roman" w:cs="Times New Roman"/>
                <w:b/>
                <w:bCs/>
                <w:color w:val="000000"/>
                <w:sz w:val="20"/>
                <w:szCs w:val="21"/>
                <w:lang w:eastAsia="en-GB"/>
              </w:rPr>
            </w:pPr>
            <w:r w:rsidRPr="00344D4B">
              <w:rPr>
                <w:rFonts w:eastAsia="Times New Roman" w:cs="Times New Roman"/>
                <w:b/>
                <w:bCs/>
                <w:color w:val="000000"/>
                <w:sz w:val="20"/>
                <w:szCs w:val="21"/>
                <w:lang w:eastAsia="en-GB"/>
              </w:rPr>
              <w:t>ODA</w:t>
            </w:r>
          </w:p>
        </w:tc>
        <w:tc>
          <w:tcPr>
            <w:tcW w:w="1138" w:type="dxa"/>
            <w:gridSpan w:val="2"/>
            <w:tcBorders>
              <w:top w:val="single" w:sz="4" w:space="0" w:color="auto"/>
              <w:left w:val="nil"/>
              <w:bottom w:val="nil"/>
              <w:right w:val="nil"/>
            </w:tcBorders>
            <w:shd w:val="clear" w:color="auto" w:fill="auto"/>
            <w:noWrap/>
            <w:vAlign w:val="center"/>
          </w:tcPr>
          <w:p w14:paraId="026CD537" w14:textId="71E46C1B" w:rsidR="008D14D6" w:rsidRPr="00344D4B" w:rsidRDefault="008D14D6" w:rsidP="007C0566">
            <w:pPr>
              <w:tabs>
                <w:tab w:val="left" w:pos="8647"/>
              </w:tabs>
              <w:spacing w:after="0" w:line="240" w:lineRule="auto"/>
              <w:jc w:val="center"/>
              <w:rPr>
                <w:rFonts w:eastAsia="Times New Roman" w:cs="Calibri"/>
                <w:i/>
                <w:iCs/>
                <w:color w:val="000000"/>
                <w:sz w:val="20"/>
                <w:szCs w:val="21"/>
                <w:lang w:eastAsia="en-GB"/>
              </w:rPr>
            </w:pPr>
            <w:r w:rsidRPr="00344D4B">
              <w:rPr>
                <w:rFonts w:eastAsia="Times New Roman" w:cs="Calibri"/>
                <w:i/>
                <w:iCs/>
                <w:color w:val="000000"/>
                <w:sz w:val="20"/>
                <w:szCs w:val="21"/>
                <w:lang w:eastAsia="en-GB"/>
              </w:rPr>
              <w:t>DNAH5</w:t>
            </w:r>
          </w:p>
        </w:tc>
        <w:tc>
          <w:tcPr>
            <w:tcW w:w="851" w:type="dxa"/>
            <w:tcBorders>
              <w:top w:val="single" w:sz="4" w:space="0" w:color="auto"/>
              <w:left w:val="nil"/>
              <w:bottom w:val="nil"/>
              <w:right w:val="nil"/>
            </w:tcBorders>
            <w:shd w:val="clear" w:color="auto" w:fill="auto"/>
            <w:noWrap/>
            <w:vAlign w:val="center"/>
          </w:tcPr>
          <w:p w14:paraId="243C572E" w14:textId="3C1BC48D"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603335</w:t>
            </w:r>
          </w:p>
        </w:tc>
        <w:tc>
          <w:tcPr>
            <w:tcW w:w="1701" w:type="dxa"/>
            <w:tcBorders>
              <w:top w:val="single" w:sz="4" w:space="0" w:color="auto"/>
              <w:left w:val="nil"/>
              <w:bottom w:val="nil"/>
              <w:right w:val="nil"/>
            </w:tcBorders>
            <w:shd w:val="clear" w:color="auto" w:fill="auto"/>
            <w:noWrap/>
            <w:vAlign w:val="center"/>
          </w:tcPr>
          <w:p w14:paraId="43B0D1DA" w14:textId="2E219990"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ODA</w:t>
            </w:r>
          </w:p>
        </w:tc>
        <w:tc>
          <w:tcPr>
            <w:tcW w:w="1984" w:type="dxa"/>
            <w:gridSpan w:val="2"/>
            <w:tcBorders>
              <w:top w:val="single" w:sz="4" w:space="0" w:color="auto"/>
              <w:left w:val="nil"/>
              <w:bottom w:val="nil"/>
              <w:right w:val="nil"/>
            </w:tcBorders>
            <w:shd w:val="clear" w:color="auto" w:fill="auto"/>
            <w:noWrap/>
            <w:vAlign w:val="center"/>
          </w:tcPr>
          <w:p w14:paraId="716F74F4" w14:textId="5A0CE421"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Static</w:t>
            </w:r>
          </w:p>
        </w:tc>
        <w:tc>
          <w:tcPr>
            <w:tcW w:w="1352" w:type="dxa"/>
            <w:tcBorders>
              <w:top w:val="single" w:sz="4" w:space="0" w:color="auto"/>
              <w:left w:val="nil"/>
              <w:bottom w:val="nil"/>
              <w:right w:val="nil"/>
            </w:tcBorders>
            <w:shd w:val="clear" w:color="auto" w:fill="auto"/>
            <w:noWrap/>
            <w:vAlign w:val="center"/>
          </w:tcPr>
          <w:p w14:paraId="5BE6AFE5" w14:textId="77777777" w:rsidR="008D14D6" w:rsidRPr="00344D4B" w:rsidRDefault="008D14D6" w:rsidP="002C03D2">
            <w:pPr>
              <w:tabs>
                <w:tab w:val="left" w:pos="8647"/>
              </w:tabs>
              <w:spacing w:after="0" w:line="240" w:lineRule="auto"/>
              <w:rPr>
                <w:rFonts w:eastAsia="Times New Roman" w:cs="Calibri"/>
                <w:color w:val="000000"/>
                <w:sz w:val="20"/>
                <w:szCs w:val="21"/>
                <w:lang w:eastAsia="en-GB"/>
              </w:rPr>
            </w:pPr>
          </w:p>
        </w:tc>
        <w:tc>
          <w:tcPr>
            <w:tcW w:w="874" w:type="dxa"/>
            <w:gridSpan w:val="2"/>
            <w:tcBorders>
              <w:top w:val="single" w:sz="4" w:space="0" w:color="auto"/>
              <w:left w:val="nil"/>
              <w:bottom w:val="nil"/>
              <w:right w:val="nil"/>
            </w:tcBorders>
            <w:shd w:val="clear" w:color="auto" w:fill="auto"/>
            <w:noWrap/>
            <w:vAlign w:val="center"/>
          </w:tcPr>
          <w:p w14:paraId="3BF6DCC0" w14:textId="5A71F2C3" w:rsidR="008D14D6" w:rsidRPr="00344D4B" w:rsidRDefault="008D14D6" w:rsidP="002C03D2">
            <w:pPr>
              <w:tabs>
                <w:tab w:val="left" w:pos="8647"/>
              </w:tabs>
              <w:spacing w:after="0" w:line="240" w:lineRule="auto"/>
              <w:ind w:left="667" w:right="-1143"/>
              <w:rPr>
                <w:rFonts w:eastAsia="Times New Roman" w:cs="Times New Roman"/>
                <w:color w:val="000000"/>
                <w:sz w:val="20"/>
                <w:szCs w:val="18"/>
                <w:vertAlign w:val="superscript"/>
                <w:lang w:eastAsia="en-GB"/>
              </w:rPr>
            </w:pPr>
          </w:p>
        </w:tc>
        <w:tc>
          <w:tcPr>
            <w:tcW w:w="689" w:type="dxa"/>
            <w:gridSpan w:val="2"/>
            <w:vAlign w:val="center"/>
          </w:tcPr>
          <w:p w14:paraId="649893C2" w14:textId="5CC0A37A" w:rsidR="008D14D6" w:rsidRPr="008C4A1D" w:rsidRDefault="007C7797" w:rsidP="008C4A1D">
            <w:pPr>
              <w:jc w:val="right"/>
              <w:rPr>
                <w:vertAlign w:val="subscript"/>
              </w:rPr>
            </w:pPr>
            <w:r w:rsidRPr="008C4A1D">
              <w:rPr>
                <w:noProof/>
                <w:vertAlign w:val="subscript"/>
              </w:rPr>
              <w:t>64</w:t>
            </w:r>
          </w:p>
        </w:tc>
      </w:tr>
      <w:tr w:rsidR="008D14D6" w:rsidRPr="008C4A1D" w14:paraId="7EE0EC69" w14:textId="77777777" w:rsidTr="000E4C5D">
        <w:trPr>
          <w:gridAfter w:val="1"/>
          <w:wAfter w:w="43" w:type="dxa"/>
          <w:trHeight w:val="271"/>
        </w:trPr>
        <w:tc>
          <w:tcPr>
            <w:tcW w:w="1164" w:type="dxa"/>
            <w:tcBorders>
              <w:top w:val="nil"/>
              <w:left w:val="nil"/>
              <w:bottom w:val="nil"/>
              <w:right w:val="nil"/>
            </w:tcBorders>
            <w:shd w:val="clear" w:color="auto" w:fill="auto"/>
            <w:noWrap/>
            <w:vAlign w:val="center"/>
            <w:hideMark/>
          </w:tcPr>
          <w:p w14:paraId="4A4F6758" w14:textId="77777777" w:rsidR="008D14D6" w:rsidRPr="00344D4B" w:rsidRDefault="008D14D6" w:rsidP="007C0566">
            <w:pPr>
              <w:tabs>
                <w:tab w:val="left" w:pos="8647"/>
              </w:tabs>
              <w:spacing w:after="0" w:line="240" w:lineRule="auto"/>
              <w:jc w:val="center"/>
              <w:rPr>
                <w:rFonts w:eastAsia="Times New Roman" w:cs="Times New Roman"/>
                <w:color w:val="000000"/>
                <w:sz w:val="20"/>
                <w:szCs w:val="21"/>
                <w:lang w:eastAsia="en-GB"/>
              </w:rPr>
            </w:pPr>
          </w:p>
        </w:tc>
        <w:tc>
          <w:tcPr>
            <w:tcW w:w="1138" w:type="dxa"/>
            <w:gridSpan w:val="2"/>
            <w:tcBorders>
              <w:top w:val="nil"/>
              <w:left w:val="nil"/>
              <w:bottom w:val="nil"/>
              <w:right w:val="nil"/>
            </w:tcBorders>
            <w:shd w:val="clear" w:color="auto" w:fill="auto"/>
            <w:noWrap/>
            <w:vAlign w:val="center"/>
            <w:hideMark/>
          </w:tcPr>
          <w:p w14:paraId="633C85BD" w14:textId="4BB228A9" w:rsidR="008D14D6" w:rsidRPr="00344D4B" w:rsidRDefault="008D14D6" w:rsidP="007C0566">
            <w:pPr>
              <w:tabs>
                <w:tab w:val="left" w:pos="8647"/>
              </w:tabs>
              <w:spacing w:after="0" w:line="240" w:lineRule="auto"/>
              <w:jc w:val="center"/>
              <w:rPr>
                <w:rFonts w:eastAsia="Times New Roman" w:cs="Calibri"/>
                <w:i/>
                <w:iCs/>
                <w:color w:val="000000"/>
                <w:sz w:val="20"/>
                <w:szCs w:val="21"/>
                <w:lang w:eastAsia="en-GB"/>
              </w:rPr>
            </w:pPr>
            <w:r w:rsidRPr="00344D4B">
              <w:rPr>
                <w:rFonts w:eastAsia="Times New Roman" w:cs="Calibri"/>
                <w:i/>
                <w:iCs/>
                <w:color w:val="000000"/>
                <w:sz w:val="20"/>
                <w:szCs w:val="21"/>
                <w:lang w:eastAsia="en-GB"/>
              </w:rPr>
              <w:t>DNAH11</w:t>
            </w:r>
            <w:r w:rsidR="00B517B5" w:rsidRPr="00344D4B">
              <w:rPr>
                <w:rFonts w:eastAsia="Times New Roman" w:cs="Calibri"/>
                <w:i/>
                <w:iCs/>
                <w:color w:val="000000"/>
                <w:sz w:val="20"/>
                <w:szCs w:val="21"/>
                <w:lang w:eastAsia="en-GB"/>
              </w:rPr>
              <w:t>*</w:t>
            </w:r>
          </w:p>
        </w:tc>
        <w:tc>
          <w:tcPr>
            <w:tcW w:w="851" w:type="dxa"/>
            <w:tcBorders>
              <w:top w:val="nil"/>
              <w:left w:val="nil"/>
              <w:bottom w:val="nil"/>
              <w:right w:val="nil"/>
            </w:tcBorders>
            <w:shd w:val="clear" w:color="auto" w:fill="auto"/>
            <w:noWrap/>
            <w:vAlign w:val="center"/>
            <w:hideMark/>
          </w:tcPr>
          <w:p w14:paraId="23E39DA5" w14:textId="7777777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603339</w:t>
            </w:r>
          </w:p>
        </w:tc>
        <w:tc>
          <w:tcPr>
            <w:tcW w:w="1701" w:type="dxa"/>
            <w:tcBorders>
              <w:top w:val="nil"/>
              <w:left w:val="nil"/>
              <w:bottom w:val="nil"/>
              <w:right w:val="nil"/>
            </w:tcBorders>
            <w:shd w:val="clear" w:color="auto" w:fill="auto"/>
            <w:noWrap/>
            <w:vAlign w:val="center"/>
            <w:hideMark/>
          </w:tcPr>
          <w:p w14:paraId="65990977" w14:textId="494F229B"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Normal</w:t>
            </w:r>
            <w:r w:rsidR="00A72BE0">
              <w:rPr>
                <w:rFonts w:eastAsia="Times New Roman" w:cs="Calibri"/>
                <w:color w:val="000000"/>
                <w:sz w:val="20"/>
                <w:szCs w:val="21"/>
                <w:vertAlign w:val="superscript"/>
                <w:lang w:eastAsia="en-GB"/>
              </w:rPr>
              <w:t>$</w:t>
            </w:r>
          </w:p>
        </w:tc>
        <w:tc>
          <w:tcPr>
            <w:tcW w:w="1984" w:type="dxa"/>
            <w:gridSpan w:val="2"/>
            <w:tcBorders>
              <w:top w:val="nil"/>
              <w:left w:val="nil"/>
              <w:bottom w:val="nil"/>
              <w:right w:val="nil"/>
            </w:tcBorders>
            <w:shd w:val="clear" w:color="auto" w:fill="auto"/>
            <w:noWrap/>
            <w:vAlign w:val="center"/>
            <w:hideMark/>
          </w:tcPr>
          <w:p w14:paraId="3B0D163D" w14:textId="4C62055F"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Hyperfrequent/ stiff at base</w:t>
            </w:r>
          </w:p>
        </w:tc>
        <w:tc>
          <w:tcPr>
            <w:tcW w:w="2410" w:type="dxa"/>
            <w:gridSpan w:val="4"/>
            <w:tcBorders>
              <w:top w:val="nil"/>
              <w:left w:val="nil"/>
              <w:bottom w:val="nil"/>
              <w:right w:val="nil"/>
            </w:tcBorders>
            <w:shd w:val="clear" w:color="auto" w:fill="auto"/>
            <w:noWrap/>
            <w:vAlign w:val="center"/>
          </w:tcPr>
          <w:p w14:paraId="001AED3E" w14:textId="6A1C4246" w:rsidR="008D14D6" w:rsidRPr="00344D4B" w:rsidRDefault="008D14D6" w:rsidP="002C03D2">
            <w:pPr>
              <w:tabs>
                <w:tab w:val="left" w:pos="8647"/>
              </w:tabs>
              <w:spacing w:after="0" w:line="240" w:lineRule="auto"/>
              <w:rPr>
                <w:rFonts w:eastAsia="Times New Roman" w:cs="Calibri"/>
                <w:color w:val="000000"/>
                <w:sz w:val="20"/>
                <w:szCs w:val="21"/>
                <w:lang w:eastAsia="en-GB"/>
              </w:rPr>
            </w:pPr>
          </w:p>
        </w:tc>
        <w:tc>
          <w:tcPr>
            <w:tcW w:w="524" w:type="dxa"/>
            <w:gridSpan w:val="2"/>
            <w:tcBorders>
              <w:top w:val="nil"/>
              <w:left w:val="nil"/>
              <w:bottom w:val="nil"/>
              <w:right w:val="nil"/>
            </w:tcBorders>
            <w:shd w:val="clear" w:color="auto" w:fill="auto"/>
            <w:noWrap/>
            <w:vAlign w:val="center"/>
          </w:tcPr>
          <w:p w14:paraId="240C1727" w14:textId="69887AA5" w:rsidR="008D14D6" w:rsidRPr="008C4A1D" w:rsidRDefault="007C7797" w:rsidP="008C4A1D">
            <w:pPr>
              <w:tabs>
                <w:tab w:val="left" w:pos="8647"/>
              </w:tabs>
              <w:spacing w:after="0" w:line="240" w:lineRule="auto"/>
              <w:jc w:val="right"/>
              <w:rPr>
                <w:rFonts w:eastAsia="Times New Roman" w:cs="Calibri"/>
                <w:color w:val="000000"/>
                <w:sz w:val="20"/>
                <w:vertAlign w:val="subscript"/>
                <w:lang w:eastAsia="en-GB"/>
              </w:rPr>
            </w:pPr>
            <w:r w:rsidRPr="008C4A1D">
              <w:rPr>
                <w:rFonts w:eastAsia="Times New Roman" w:cs="Calibri"/>
                <w:noProof/>
                <w:color w:val="000000"/>
                <w:sz w:val="20"/>
                <w:vertAlign w:val="subscript"/>
                <w:lang w:eastAsia="en-GB"/>
              </w:rPr>
              <w:t>65</w:t>
            </w:r>
          </w:p>
        </w:tc>
      </w:tr>
      <w:tr w:rsidR="008D14D6" w:rsidRPr="008C4A1D" w14:paraId="375CF7C5" w14:textId="77777777" w:rsidTr="000E4C5D">
        <w:trPr>
          <w:gridAfter w:val="1"/>
          <w:wAfter w:w="43" w:type="dxa"/>
          <w:trHeight w:val="253"/>
        </w:trPr>
        <w:tc>
          <w:tcPr>
            <w:tcW w:w="1164" w:type="dxa"/>
            <w:tcBorders>
              <w:top w:val="nil"/>
              <w:left w:val="nil"/>
              <w:bottom w:val="nil"/>
              <w:right w:val="nil"/>
            </w:tcBorders>
            <w:shd w:val="clear" w:color="auto" w:fill="auto"/>
            <w:noWrap/>
            <w:vAlign w:val="center"/>
            <w:hideMark/>
          </w:tcPr>
          <w:p w14:paraId="15DA7E0B" w14:textId="77777777" w:rsidR="008D14D6" w:rsidRPr="00344D4B" w:rsidRDefault="008D14D6" w:rsidP="007C0566">
            <w:pPr>
              <w:tabs>
                <w:tab w:val="left" w:pos="8647"/>
              </w:tabs>
              <w:spacing w:after="0" w:line="240" w:lineRule="auto"/>
              <w:jc w:val="center"/>
              <w:rPr>
                <w:rFonts w:eastAsia="Times New Roman" w:cs="Times New Roman"/>
                <w:sz w:val="20"/>
                <w:szCs w:val="21"/>
                <w:lang w:eastAsia="en-GB"/>
              </w:rPr>
            </w:pPr>
          </w:p>
        </w:tc>
        <w:tc>
          <w:tcPr>
            <w:tcW w:w="1138" w:type="dxa"/>
            <w:gridSpan w:val="2"/>
            <w:tcBorders>
              <w:top w:val="nil"/>
              <w:left w:val="nil"/>
              <w:bottom w:val="nil"/>
              <w:right w:val="nil"/>
            </w:tcBorders>
            <w:shd w:val="clear" w:color="auto" w:fill="auto"/>
            <w:noWrap/>
            <w:vAlign w:val="center"/>
            <w:hideMark/>
          </w:tcPr>
          <w:p w14:paraId="7A22363F" w14:textId="77777777" w:rsidR="008D14D6" w:rsidRPr="00344D4B" w:rsidRDefault="008D14D6" w:rsidP="007C0566">
            <w:pPr>
              <w:tabs>
                <w:tab w:val="left" w:pos="8647"/>
              </w:tabs>
              <w:spacing w:after="0" w:line="240" w:lineRule="auto"/>
              <w:jc w:val="center"/>
              <w:rPr>
                <w:rFonts w:eastAsia="Times New Roman" w:cs="Calibri"/>
                <w:i/>
                <w:iCs/>
                <w:color w:val="000000"/>
                <w:sz w:val="20"/>
                <w:szCs w:val="21"/>
                <w:lang w:eastAsia="en-GB"/>
              </w:rPr>
            </w:pPr>
            <w:r w:rsidRPr="00344D4B">
              <w:rPr>
                <w:rFonts w:eastAsia="Times New Roman" w:cs="Calibri"/>
                <w:i/>
                <w:iCs/>
                <w:color w:val="000000"/>
                <w:sz w:val="20"/>
                <w:szCs w:val="21"/>
                <w:lang w:eastAsia="en-GB"/>
              </w:rPr>
              <w:t>DNAI1</w:t>
            </w:r>
          </w:p>
        </w:tc>
        <w:tc>
          <w:tcPr>
            <w:tcW w:w="851" w:type="dxa"/>
            <w:tcBorders>
              <w:top w:val="nil"/>
              <w:left w:val="nil"/>
              <w:bottom w:val="nil"/>
              <w:right w:val="nil"/>
            </w:tcBorders>
            <w:shd w:val="clear" w:color="auto" w:fill="auto"/>
            <w:noWrap/>
            <w:vAlign w:val="center"/>
            <w:hideMark/>
          </w:tcPr>
          <w:p w14:paraId="0D880F51" w14:textId="7777777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604366</w:t>
            </w:r>
          </w:p>
        </w:tc>
        <w:tc>
          <w:tcPr>
            <w:tcW w:w="1701" w:type="dxa"/>
            <w:tcBorders>
              <w:top w:val="nil"/>
              <w:left w:val="nil"/>
              <w:bottom w:val="nil"/>
              <w:right w:val="nil"/>
            </w:tcBorders>
            <w:shd w:val="clear" w:color="auto" w:fill="auto"/>
            <w:noWrap/>
            <w:vAlign w:val="center"/>
            <w:hideMark/>
          </w:tcPr>
          <w:p w14:paraId="68CE5E58" w14:textId="12A693CD"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ODA</w:t>
            </w:r>
          </w:p>
        </w:tc>
        <w:tc>
          <w:tcPr>
            <w:tcW w:w="1984" w:type="dxa"/>
            <w:gridSpan w:val="2"/>
            <w:tcBorders>
              <w:top w:val="nil"/>
              <w:left w:val="nil"/>
              <w:bottom w:val="nil"/>
              <w:right w:val="nil"/>
            </w:tcBorders>
            <w:shd w:val="clear" w:color="auto" w:fill="auto"/>
            <w:noWrap/>
            <w:vAlign w:val="center"/>
            <w:hideMark/>
          </w:tcPr>
          <w:p w14:paraId="50064370" w14:textId="535FEBEA"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Static</w:t>
            </w:r>
          </w:p>
        </w:tc>
        <w:tc>
          <w:tcPr>
            <w:tcW w:w="2410" w:type="dxa"/>
            <w:gridSpan w:val="4"/>
            <w:tcBorders>
              <w:top w:val="nil"/>
              <w:left w:val="nil"/>
              <w:bottom w:val="nil"/>
              <w:right w:val="nil"/>
            </w:tcBorders>
            <w:shd w:val="clear" w:color="auto" w:fill="auto"/>
            <w:noWrap/>
            <w:vAlign w:val="center"/>
          </w:tcPr>
          <w:p w14:paraId="1B5607FE" w14:textId="59277947" w:rsidR="008D14D6" w:rsidRPr="00344D4B" w:rsidRDefault="008D14D6" w:rsidP="002C03D2">
            <w:pPr>
              <w:tabs>
                <w:tab w:val="left" w:pos="8647"/>
              </w:tabs>
              <w:spacing w:after="0" w:line="240" w:lineRule="auto"/>
              <w:rPr>
                <w:rFonts w:eastAsia="Times New Roman" w:cs="Calibri"/>
                <w:color w:val="000000"/>
                <w:sz w:val="20"/>
                <w:szCs w:val="21"/>
                <w:lang w:eastAsia="en-GB"/>
              </w:rPr>
            </w:pPr>
          </w:p>
        </w:tc>
        <w:tc>
          <w:tcPr>
            <w:tcW w:w="524" w:type="dxa"/>
            <w:gridSpan w:val="2"/>
            <w:tcBorders>
              <w:top w:val="nil"/>
              <w:left w:val="nil"/>
              <w:bottom w:val="nil"/>
              <w:right w:val="nil"/>
            </w:tcBorders>
            <w:shd w:val="clear" w:color="auto" w:fill="auto"/>
            <w:noWrap/>
            <w:vAlign w:val="center"/>
          </w:tcPr>
          <w:p w14:paraId="4E7D48C1" w14:textId="2E62AC9C" w:rsidR="008D14D6" w:rsidRPr="008C4A1D" w:rsidRDefault="007C7797" w:rsidP="008C4A1D">
            <w:pPr>
              <w:tabs>
                <w:tab w:val="left" w:pos="8647"/>
              </w:tabs>
              <w:spacing w:after="0" w:line="240" w:lineRule="auto"/>
              <w:jc w:val="right"/>
              <w:rPr>
                <w:rFonts w:eastAsia="Times New Roman" w:cs="Calibri"/>
                <w:color w:val="000000"/>
                <w:sz w:val="20"/>
                <w:vertAlign w:val="subscript"/>
                <w:lang w:eastAsia="en-GB"/>
              </w:rPr>
            </w:pPr>
            <w:r w:rsidRPr="008C4A1D">
              <w:rPr>
                <w:rFonts w:eastAsia="Times New Roman" w:cs="Calibri"/>
                <w:noProof/>
                <w:color w:val="000000"/>
                <w:sz w:val="20"/>
                <w:vertAlign w:val="subscript"/>
                <w:lang w:eastAsia="en-GB"/>
              </w:rPr>
              <w:t>66</w:t>
            </w:r>
          </w:p>
        </w:tc>
      </w:tr>
      <w:tr w:rsidR="008D14D6" w:rsidRPr="008C4A1D" w14:paraId="41BD0718" w14:textId="77777777" w:rsidTr="000E4C5D">
        <w:trPr>
          <w:gridAfter w:val="1"/>
          <w:wAfter w:w="43" w:type="dxa"/>
          <w:trHeight w:val="271"/>
        </w:trPr>
        <w:tc>
          <w:tcPr>
            <w:tcW w:w="1164" w:type="dxa"/>
            <w:tcBorders>
              <w:top w:val="nil"/>
              <w:left w:val="nil"/>
              <w:bottom w:val="nil"/>
              <w:right w:val="nil"/>
            </w:tcBorders>
            <w:shd w:val="clear" w:color="auto" w:fill="auto"/>
            <w:noWrap/>
            <w:vAlign w:val="center"/>
            <w:hideMark/>
          </w:tcPr>
          <w:p w14:paraId="049A0A60" w14:textId="77777777" w:rsidR="008D14D6" w:rsidRPr="00344D4B" w:rsidRDefault="008D14D6" w:rsidP="007C0566">
            <w:pPr>
              <w:tabs>
                <w:tab w:val="left" w:pos="8647"/>
              </w:tabs>
              <w:spacing w:after="0" w:line="240" w:lineRule="auto"/>
              <w:jc w:val="center"/>
              <w:rPr>
                <w:rFonts w:eastAsia="Times New Roman" w:cs="Times New Roman"/>
                <w:sz w:val="20"/>
                <w:szCs w:val="21"/>
                <w:lang w:eastAsia="en-GB"/>
              </w:rPr>
            </w:pPr>
          </w:p>
        </w:tc>
        <w:tc>
          <w:tcPr>
            <w:tcW w:w="1138" w:type="dxa"/>
            <w:gridSpan w:val="2"/>
            <w:tcBorders>
              <w:top w:val="nil"/>
              <w:left w:val="nil"/>
              <w:bottom w:val="nil"/>
              <w:right w:val="nil"/>
            </w:tcBorders>
            <w:shd w:val="clear" w:color="auto" w:fill="auto"/>
            <w:noWrap/>
            <w:vAlign w:val="center"/>
            <w:hideMark/>
          </w:tcPr>
          <w:p w14:paraId="248CB521" w14:textId="77777777" w:rsidR="008D14D6" w:rsidRPr="00344D4B" w:rsidRDefault="008D14D6" w:rsidP="007C0566">
            <w:pPr>
              <w:tabs>
                <w:tab w:val="left" w:pos="8647"/>
              </w:tabs>
              <w:spacing w:after="0" w:line="240" w:lineRule="auto"/>
              <w:jc w:val="center"/>
              <w:rPr>
                <w:rFonts w:eastAsia="Times New Roman" w:cs="Calibri"/>
                <w:i/>
                <w:iCs/>
                <w:color w:val="000000"/>
                <w:sz w:val="20"/>
                <w:szCs w:val="21"/>
                <w:lang w:eastAsia="en-GB"/>
              </w:rPr>
            </w:pPr>
            <w:r w:rsidRPr="00344D4B">
              <w:rPr>
                <w:rFonts w:eastAsia="Times New Roman" w:cs="Calibri"/>
                <w:i/>
                <w:iCs/>
                <w:color w:val="000000"/>
                <w:sz w:val="20"/>
                <w:szCs w:val="21"/>
                <w:lang w:eastAsia="en-GB"/>
              </w:rPr>
              <w:t>DNAI2</w:t>
            </w:r>
          </w:p>
        </w:tc>
        <w:tc>
          <w:tcPr>
            <w:tcW w:w="851" w:type="dxa"/>
            <w:tcBorders>
              <w:top w:val="nil"/>
              <w:left w:val="nil"/>
              <w:bottom w:val="nil"/>
              <w:right w:val="nil"/>
            </w:tcBorders>
            <w:shd w:val="clear" w:color="auto" w:fill="auto"/>
            <w:noWrap/>
            <w:vAlign w:val="center"/>
            <w:hideMark/>
          </w:tcPr>
          <w:p w14:paraId="450D8BEE" w14:textId="7777777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605483</w:t>
            </w:r>
          </w:p>
        </w:tc>
        <w:tc>
          <w:tcPr>
            <w:tcW w:w="1701" w:type="dxa"/>
            <w:tcBorders>
              <w:top w:val="nil"/>
              <w:left w:val="nil"/>
              <w:bottom w:val="nil"/>
              <w:right w:val="nil"/>
            </w:tcBorders>
            <w:shd w:val="clear" w:color="auto" w:fill="auto"/>
            <w:noWrap/>
            <w:vAlign w:val="center"/>
            <w:hideMark/>
          </w:tcPr>
          <w:p w14:paraId="194FACA4" w14:textId="1A6A1BAB"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ODA</w:t>
            </w:r>
          </w:p>
        </w:tc>
        <w:tc>
          <w:tcPr>
            <w:tcW w:w="1984" w:type="dxa"/>
            <w:gridSpan w:val="2"/>
            <w:tcBorders>
              <w:top w:val="nil"/>
              <w:left w:val="nil"/>
              <w:bottom w:val="nil"/>
              <w:right w:val="nil"/>
            </w:tcBorders>
            <w:shd w:val="clear" w:color="auto" w:fill="auto"/>
            <w:noWrap/>
            <w:vAlign w:val="center"/>
            <w:hideMark/>
          </w:tcPr>
          <w:p w14:paraId="209ED94F" w14:textId="366D20FE"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Static</w:t>
            </w:r>
          </w:p>
        </w:tc>
        <w:tc>
          <w:tcPr>
            <w:tcW w:w="2410" w:type="dxa"/>
            <w:gridSpan w:val="4"/>
            <w:tcBorders>
              <w:top w:val="nil"/>
              <w:left w:val="nil"/>
              <w:bottom w:val="nil"/>
              <w:right w:val="nil"/>
            </w:tcBorders>
            <w:shd w:val="clear" w:color="auto" w:fill="auto"/>
            <w:noWrap/>
            <w:vAlign w:val="center"/>
          </w:tcPr>
          <w:p w14:paraId="09037B5A" w14:textId="5A6490AD" w:rsidR="008D14D6" w:rsidRPr="00344D4B" w:rsidRDefault="008D14D6" w:rsidP="002C03D2">
            <w:pPr>
              <w:tabs>
                <w:tab w:val="left" w:pos="8647"/>
              </w:tabs>
              <w:spacing w:after="0" w:line="240" w:lineRule="auto"/>
              <w:rPr>
                <w:rFonts w:eastAsia="Times New Roman" w:cs="Calibri"/>
                <w:color w:val="000000"/>
                <w:sz w:val="20"/>
                <w:szCs w:val="21"/>
                <w:lang w:eastAsia="en-GB"/>
              </w:rPr>
            </w:pPr>
          </w:p>
        </w:tc>
        <w:tc>
          <w:tcPr>
            <w:tcW w:w="524" w:type="dxa"/>
            <w:gridSpan w:val="2"/>
            <w:tcBorders>
              <w:top w:val="nil"/>
              <w:left w:val="nil"/>
              <w:bottom w:val="nil"/>
              <w:right w:val="nil"/>
            </w:tcBorders>
            <w:shd w:val="clear" w:color="auto" w:fill="auto"/>
            <w:noWrap/>
            <w:vAlign w:val="center"/>
          </w:tcPr>
          <w:p w14:paraId="659FE264" w14:textId="7497BD22" w:rsidR="008D14D6" w:rsidRPr="008C4A1D" w:rsidRDefault="007C7797" w:rsidP="008C4A1D">
            <w:pPr>
              <w:tabs>
                <w:tab w:val="left" w:pos="8647"/>
              </w:tabs>
              <w:spacing w:after="0" w:line="240" w:lineRule="auto"/>
              <w:jc w:val="right"/>
              <w:rPr>
                <w:rFonts w:eastAsia="Times New Roman" w:cs="Calibri"/>
                <w:color w:val="000000"/>
                <w:sz w:val="20"/>
                <w:vertAlign w:val="subscript"/>
                <w:lang w:eastAsia="en-GB"/>
              </w:rPr>
            </w:pPr>
            <w:r w:rsidRPr="008C4A1D">
              <w:rPr>
                <w:rFonts w:eastAsia="Times New Roman" w:cs="Calibri"/>
                <w:noProof/>
                <w:color w:val="000000"/>
                <w:sz w:val="20"/>
                <w:vertAlign w:val="subscript"/>
                <w:lang w:eastAsia="en-GB"/>
              </w:rPr>
              <w:t>67</w:t>
            </w:r>
          </w:p>
        </w:tc>
      </w:tr>
      <w:tr w:rsidR="008D14D6" w:rsidRPr="008C4A1D" w14:paraId="57CC8B25" w14:textId="77777777" w:rsidTr="000E4C5D">
        <w:trPr>
          <w:gridAfter w:val="1"/>
          <w:wAfter w:w="43" w:type="dxa"/>
          <w:trHeight w:val="271"/>
        </w:trPr>
        <w:tc>
          <w:tcPr>
            <w:tcW w:w="1164" w:type="dxa"/>
            <w:tcBorders>
              <w:top w:val="nil"/>
              <w:left w:val="nil"/>
              <w:right w:val="nil"/>
            </w:tcBorders>
            <w:shd w:val="clear" w:color="auto" w:fill="auto"/>
            <w:noWrap/>
            <w:vAlign w:val="center"/>
            <w:hideMark/>
          </w:tcPr>
          <w:p w14:paraId="0BC60BB9" w14:textId="77777777" w:rsidR="008D14D6" w:rsidRPr="00344D4B" w:rsidRDefault="008D14D6" w:rsidP="007C0566">
            <w:pPr>
              <w:tabs>
                <w:tab w:val="left" w:pos="8647"/>
              </w:tabs>
              <w:spacing w:after="0" w:line="240" w:lineRule="auto"/>
              <w:jc w:val="center"/>
              <w:rPr>
                <w:rFonts w:eastAsia="Times New Roman" w:cs="Times New Roman"/>
                <w:sz w:val="20"/>
                <w:szCs w:val="21"/>
                <w:lang w:eastAsia="en-GB"/>
              </w:rPr>
            </w:pPr>
          </w:p>
        </w:tc>
        <w:tc>
          <w:tcPr>
            <w:tcW w:w="1138" w:type="dxa"/>
            <w:gridSpan w:val="2"/>
            <w:tcBorders>
              <w:top w:val="nil"/>
              <w:left w:val="nil"/>
              <w:right w:val="nil"/>
            </w:tcBorders>
            <w:shd w:val="clear" w:color="auto" w:fill="auto"/>
            <w:noWrap/>
            <w:vAlign w:val="center"/>
            <w:hideMark/>
          </w:tcPr>
          <w:p w14:paraId="47BC702E" w14:textId="77777777" w:rsidR="008D14D6" w:rsidRPr="00344D4B" w:rsidRDefault="008D14D6" w:rsidP="007C0566">
            <w:pPr>
              <w:tabs>
                <w:tab w:val="left" w:pos="8647"/>
              </w:tabs>
              <w:spacing w:after="0" w:line="240" w:lineRule="auto"/>
              <w:jc w:val="center"/>
              <w:rPr>
                <w:rFonts w:eastAsia="Times New Roman" w:cs="Calibri"/>
                <w:i/>
                <w:iCs/>
                <w:color w:val="000000"/>
                <w:sz w:val="20"/>
                <w:szCs w:val="21"/>
                <w:lang w:eastAsia="en-GB"/>
              </w:rPr>
            </w:pPr>
            <w:r w:rsidRPr="00344D4B">
              <w:rPr>
                <w:rFonts w:eastAsia="Times New Roman" w:cs="Calibri"/>
                <w:i/>
                <w:iCs/>
                <w:color w:val="000000"/>
                <w:sz w:val="20"/>
                <w:szCs w:val="21"/>
                <w:lang w:eastAsia="en-GB"/>
              </w:rPr>
              <w:t>DNAL1</w:t>
            </w:r>
          </w:p>
        </w:tc>
        <w:tc>
          <w:tcPr>
            <w:tcW w:w="851" w:type="dxa"/>
            <w:tcBorders>
              <w:top w:val="nil"/>
              <w:left w:val="nil"/>
              <w:right w:val="nil"/>
            </w:tcBorders>
            <w:shd w:val="clear" w:color="auto" w:fill="auto"/>
            <w:noWrap/>
            <w:vAlign w:val="center"/>
            <w:hideMark/>
          </w:tcPr>
          <w:p w14:paraId="2328627D" w14:textId="7777777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610062</w:t>
            </w:r>
          </w:p>
        </w:tc>
        <w:tc>
          <w:tcPr>
            <w:tcW w:w="1701" w:type="dxa"/>
            <w:tcBorders>
              <w:top w:val="nil"/>
              <w:left w:val="nil"/>
              <w:right w:val="nil"/>
            </w:tcBorders>
            <w:shd w:val="clear" w:color="auto" w:fill="auto"/>
            <w:noWrap/>
            <w:vAlign w:val="center"/>
            <w:hideMark/>
          </w:tcPr>
          <w:p w14:paraId="2C1BDA30" w14:textId="6922FA08"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ODA</w:t>
            </w:r>
          </w:p>
        </w:tc>
        <w:tc>
          <w:tcPr>
            <w:tcW w:w="1984" w:type="dxa"/>
            <w:gridSpan w:val="2"/>
            <w:tcBorders>
              <w:top w:val="nil"/>
              <w:left w:val="nil"/>
              <w:right w:val="nil"/>
            </w:tcBorders>
            <w:shd w:val="clear" w:color="auto" w:fill="auto"/>
            <w:noWrap/>
            <w:vAlign w:val="center"/>
            <w:hideMark/>
          </w:tcPr>
          <w:p w14:paraId="438E1BB5" w14:textId="37696E68"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Static</w:t>
            </w:r>
          </w:p>
        </w:tc>
        <w:tc>
          <w:tcPr>
            <w:tcW w:w="2410" w:type="dxa"/>
            <w:gridSpan w:val="4"/>
            <w:tcBorders>
              <w:top w:val="nil"/>
              <w:left w:val="nil"/>
              <w:right w:val="nil"/>
            </w:tcBorders>
            <w:shd w:val="clear" w:color="auto" w:fill="auto"/>
            <w:noWrap/>
            <w:vAlign w:val="center"/>
          </w:tcPr>
          <w:p w14:paraId="3DC9D867" w14:textId="5F0F2EAA" w:rsidR="008D14D6" w:rsidRPr="00344D4B" w:rsidRDefault="008D14D6" w:rsidP="002C03D2">
            <w:pPr>
              <w:tabs>
                <w:tab w:val="left" w:pos="8647"/>
              </w:tabs>
              <w:spacing w:after="0" w:line="240" w:lineRule="auto"/>
              <w:rPr>
                <w:rFonts w:eastAsia="Times New Roman" w:cs="Calibri"/>
                <w:color w:val="000000"/>
                <w:sz w:val="20"/>
                <w:szCs w:val="21"/>
                <w:lang w:eastAsia="en-GB"/>
              </w:rPr>
            </w:pPr>
          </w:p>
        </w:tc>
        <w:tc>
          <w:tcPr>
            <w:tcW w:w="524" w:type="dxa"/>
            <w:gridSpan w:val="2"/>
            <w:tcBorders>
              <w:top w:val="nil"/>
              <w:left w:val="nil"/>
              <w:right w:val="nil"/>
            </w:tcBorders>
            <w:shd w:val="clear" w:color="auto" w:fill="auto"/>
            <w:noWrap/>
            <w:vAlign w:val="center"/>
          </w:tcPr>
          <w:p w14:paraId="037FC59B" w14:textId="13188AAD" w:rsidR="008D14D6" w:rsidRPr="008C4A1D" w:rsidRDefault="007C7797" w:rsidP="008C4A1D">
            <w:pPr>
              <w:tabs>
                <w:tab w:val="left" w:pos="8647"/>
              </w:tabs>
              <w:spacing w:after="0" w:line="240" w:lineRule="auto"/>
              <w:jc w:val="right"/>
              <w:rPr>
                <w:rFonts w:eastAsia="Times New Roman" w:cs="Calibri"/>
                <w:color w:val="000000"/>
                <w:sz w:val="20"/>
                <w:vertAlign w:val="subscript"/>
                <w:lang w:eastAsia="en-GB"/>
              </w:rPr>
            </w:pPr>
            <w:r w:rsidRPr="008C4A1D">
              <w:rPr>
                <w:rFonts w:eastAsia="Times New Roman" w:cs="Calibri"/>
                <w:noProof/>
                <w:color w:val="000000"/>
                <w:sz w:val="20"/>
                <w:vertAlign w:val="subscript"/>
                <w:lang w:eastAsia="en-GB"/>
              </w:rPr>
              <w:t>68</w:t>
            </w:r>
          </w:p>
        </w:tc>
      </w:tr>
      <w:tr w:rsidR="008D14D6" w:rsidRPr="008C4A1D" w14:paraId="6299AF77" w14:textId="77777777" w:rsidTr="000E4C5D">
        <w:trPr>
          <w:gridAfter w:val="1"/>
          <w:wAfter w:w="43" w:type="dxa"/>
          <w:trHeight w:val="271"/>
        </w:trPr>
        <w:tc>
          <w:tcPr>
            <w:tcW w:w="1164" w:type="dxa"/>
            <w:tcBorders>
              <w:top w:val="nil"/>
              <w:left w:val="nil"/>
              <w:right w:val="nil"/>
            </w:tcBorders>
            <w:shd w:val="clear" w:color="auto" w:fill="auto"/>
            <w:noWrap/>
            <w:vAlign w:val="center"/>
            <w:hideMark/>
          </w:tcPr>
          <w:p w14:paraId="5D03015A" w14:textId="6C9992C2"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p>
        </w:tc>
        <w:tc>
          <w:tcPr>
            <w:tcW w:w="1138" w:type="dxa"/>
            <w:gridSpan w:val="2"/>
            <w:tcBorders>
              <w:top w:val="nil"/>
              <w:left w:val="nil"/>
              <w:right w:val="nil"/>
            </w:tcBorders>
            <w:shd w:val="clear" w:color="auto" w:fill="auto"/>
            <w:noWrap/>
            <w:vAlign w:val="center"/>
            <w:hideMark/>
          </w:tcPr>
          <w:p w14:paraId="5757BDA6" w14:textId="77777777" w:rsidR="008D14D6" w:rsidRPr="00344D4B" w:rsidRDefault="008D14D6" w:rsidP="007C0566">
            <w:pPr>
              <w:tabs>
                <w:tab w:val="left" w:pos="8647"/>
              </w:tabs>
              <w:spacing w:after="0" w:line="240" w:lineRule="auto"/>
              <w:jc w:val="center"/>
              <w:rPr>
                <w:rFonts w:eastAsia="Times New Roman" w:cs="Calibri"/>
                <w:i/>
                <w:iCs/>
                <w:color w:val="000000"/>
                <w:sz w:val="20"/>
                <w:szCs w:val="21"/>
                <w:lang w:eastAsia="en-GB"/>
              </w:rPr>
            </w:pPr>
            <w:r w:rsidRPr="00344D4B">
              <w:rPr>
                <w:rFonts w:eastAsia="Times New Roman" w:cs="Calibri"/>
                <w:i/>
                <w:iCs/>
                <w:color w:val="000000"/>
                <w:sz w:val="20"/>
                <w:szCs w:val="21"/>
                <w:lang w:eastAsia="en-GB"/>
              </w:rPr>
              <w:t>NME8</w:t>
            </w:r>
          </w:p>
        </w:tc>
        <w:tc>
          <w:tcPr>
            <w:tcW w:w="851" w:type="dxa"/>
            <w:tcBorders>
              <w:top w:val="nil"/>
              <w:left w:val="nil"/>
              <w:right w:val="nil"/>
            </w:tcBorders>
            <w:shd w:val="clear" w:color="auto" w:fill="auto"/>
            <w:noWrap/>
            <w:vAlign w:val="center"/>
            <w:hideMark/>
          </w:tcPr>
          <w:p w14:paraId="5C136EFB" w14:textId="7777777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607421</w:t>
            </w:r>
          </w:p>
        </w:tc>
        <w:tc>
          <w:tcPr>
            <w:tcW w:w="1701" w:type="dxa"/>
            <w:tcBorders>
              <w:top w:val="nil"/>
              <w:left w:val="nil"/>
              <w:right w:val="nil"/>
            </w:tcBorders>
            <w:shd w:val="clear" w:color="auto" w:fill="auto"/>
            <w:noWrap/>
            <w:vAlign w:val="center"/>
            <w:hideMark/>
          </w:tcPr>
          <w:p w14:paraId="325010A7" w14:textId="1B9A5478"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ODA</w:t>
            </w:r>
          </w:p>
        </w:tc>
        <w:tc>
          <w:tcPr>
            <w:tcW w:w="1984" w:type="dxa"/>
            <w:gridSpan w:val="2"/>
            <w:tcBorders>
              <w:top w:val="nil"/>
              <w:left w:val="nil"/>
              <w:right w:val="nil"/>
            </w:tcBorders>
            <w:shd w:val="clear" w:color="auto" w:fill="auto"/>
            <w:noWrap/>
            <w:vAlign w:val="center"/>
            <w:hideMark/>
          </w:tcPr>
          <w:p w14:paraId="449B936F" w14:textId="15DF42B9"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Static</w:t>
            </w:r>
          </w:p>
        </w:tc>
        <w:tc>
          <w:tcPr>
            <w:tcW w:w="2410" w:type="dxa"/>
            <w:gridSpan w:val="4"/>
            <w:tcBorders>
              <w:top w:val="nil"/>
              <w:left w:val="nil"/>
              <w:right w:val="nil"/>
            </w:tcBorders>
            <w:shd w:val="clear" w:color="auto" w:fill="auto"/>
            <w:noWrap/>
            <w:vAlign w:val="center"/>
          </w:tcPr>
          <w:p w14:paraId="1F73EF14" w14:textId="647E0639" w:rsidR="008D14D6" w:rsidRPr="00344D4B" w:rsidRDefault="008D14D6" w:rsidP="002C03D2">
            <w:pPr>
              <w:tabs>
                <w:tab w:val="left" w:pos="8647"/>
              </w:tabs>
              <w:spacing w:after="0" w:line="240" w:lineRule="auto"/>
              <w:rPr>
                <w:rFonts w:eastAsia="Times New Roman" w:cs="Calibri"/>
                <w:color w:val="000000"/>
                <w:sz w:val="20"/>
                <w:szCs w:val="21"/>
                <w:lang w:eastAsia="en-GB"/>
              </w:rPr>
            </w:pPr>
          </w:p>
        </w:tc>
        <w:tc>
          <w:tcPr>
            <w:tcW w:w="524" w:type="dxa"/>
            <w:gridSpan w:val="2"/>
            <w:tcBorders>
              <w:top w:val="nil"/>
              <w:left w:val="nil"/>
              <w:right w:val="nil"/>
            </w:tcBorders>
            <w:shd w:val="clear" w:color="auto" w:fill="auto"/>
            <w:noWrap/>
            <w:vAlign w:val="center"/>
          </w:tcPr>
          <w:p w14:paraId="3DA79F5E" w14:textId="07A52F70" w:rsidR="008D14D6" w:rsidRPr="008C4A1D" w:rsidRDefault="007C7797" w:rsidP="008C4A1D">
            <w:pPr>
              <w:tabs>
                <w:tab w:val="left" w:pos="8647"/>
              </w:tabs>
              <w:spacing w:after="0" w:line="240" w:lineRule="auto"/>
              <w:jc w:val="right"/>
              <w:rPr>
                <w:rFonts w:eastAsia="Times New Roman" w:cs="Times New Roman"/>
                <w:color w:val="000000"/>
                <w:sz w:val="20"/>
                <w:szCs w:val="18"/>
                <w:vertAlign w:val="subscript"/>
                <w:lang w:eastAsia="en-GB"/>
              </w:rPr>
            </w:pPr>
            <w:r w:rsidRPr="008C4A1D">
              <w:rPr>
                <w:rFonts w:eastAsia="Times New Roman" w:cs="Times New Roman"/>
                <w:noProof/>
                <w:color w:val="000000"/>
                <w:sz w:val="20"/>
                <w:szCs w:val="18"/>
                <w:vertAlign w:val="subscript"/>
                <w:lang w:eastAsia="en-GB"/>
              </w:rPr>
              <w:t>69</w:t>
            </w:r>
          </w:p>
        </w:tc>
      </w:tr>
      <w:tr w:rsidR="008D14D6" w:rsidRPr="008C4A1D" w14:paraId="0C1BAAC7" w14:textId="77777777" w:rsidTr="000E4C5D">
        <w:trPr>
          <w:gridAfter w:val="1"/>
          <w:wAfter w:w="43" w:type="dxa"/>
          <w:trHeight w:val="271"/>
        </w:trPr>
        <w:tc>
          <w:tcPr>
            <w:tcW w:w="1164" w:type="dxa"/>
            <w:tcBorders>
              <w:left w:val="nil"/>
              <w:bottom w:val="single" w:sz="4" w:space="0" w:color="auto"/>
              <w:right w:val="nil"/>
            </w:tcBorders>
            <w:shd w:val="clear" w:color="auto" w:fill="auto"/>
            <w:noWrap/>
            <w:vAlign w:val="center"/>
          </w:tcPr>
          <w:p w14:paraId="3CED4BA9" w14:textId="7777777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p>
        </w:tc>
        <w:tc>
          <w:tcPr>
            <w:tcW w:w="1138" w:type="dxa"/>
            <w:gridSpan w:val="2"/>
            <w:tcBorders>
              <w:left w:val="nil"/>
              <w:bottom w:val="single" w:sz="4" w:space="0" w:color="auto"/>
              <w:right w:val="nil"/>
            </w:tcBorders>
            <w:shd w:val="clear" w:color="auto" w:fill="auto"/>
            <w:noWrap/>
            <w:vAlign w:val="center"/>
          </w:tcPr>
          <w:p w14:paraId="767C6DA7" w14:textId="77777777" w:rsidR="008D14D6" w:rsidRPr="00344D4B" w:rsidRDefault="008D14D6" w:rsidP="007C0566">
            <w:pPr>
              <w:tabs>
                <w:tab w:val="left" w:pos="8647"/>
              </w:tabs>
              <w:spacing w:after="0" w:line="240" w:lineRule="auto"/>
              <w:jc w:val="center"/>
              <w:rPr>
                <w:rFonts w:eastAsia="Times New Roman" w:cs="Calibri"/>
                <w:i/>
                <w:iCs/>
                <w:color w:val="000000"/>
                <w:sz w:val="20"/>
                <w:szCs w:val="21"/>
                <w:lang w:eastAsia="en-GB"/>
              </w:rPr>
            </w:pPr>
            <w:r w:rsidRPr="00344D4B">
              <w:rPr>
                <w:rFonts w:eastAsia="Times New Roman" w:cs="Calibri"/>
                <w:i/>
                <w:iCs/>
                <w:color w:val="000000"/>
                <w:sz w:val="20"/>
                <w:szCs w:val="21"/>
                <w:lang w:eastAsia="en-GB"/>
              </w:rPr>
              <w:t>DNAH9</w:t>
            </w:r>
          </w:p>
        </w:tc>
        <w:tc>
          <w:tcPr>
            <w:tcW w:w="851" w:type="dxa"/>
            <w:tcBorders>
              <w:left w:val="nil"/>
              <w:bottom w:val="single" w:sz="4" w:space="0" w:color="auto"/>
              <w:right w:val="nil"/>
            </w:tcBorders>
            <w:shd w:val="clear" w:color="auto" w:fill="auto"/>
            <w:noWrap/>
            <w:vAlign w:val="center"/>
          </w:tcPr>
          <w:p w14:paraId="1E87A904" w14:textId="7777777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603330</w:t>
            </w:r>
          </w:p>
        </w:tc>
        <w:tc>
          <w:tcPr>
            <w:tcW w:w="1701" w:type="dxa"/>
            <w:tcBorders>
              <w:left w:val="nil"/>
              <w:bottom w:val="single" w:sz="4" w:space="0" w:color="auto"/>
              <w:right w:val="nil"/>
            </w:tcBorders>
            <w:shd w:val="clear" w:color="auto" w:fill="auto"/>
            <w:noWrap/>
            <w:vAlign w:val="center"/>
          </w:tcPr>
          <w:p w14:paraId="1F4B0C7F" w14:textId="22C8C641"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ODA-type 1</w:t>
            </w:r>
          </w:p>
        </w:tc>
        <w:tc>
          <w:tcPr>
            <w:tcW w:w="1984" w:type="dxa"/>
            <w:gridSpan w:val="2"/>
            <w:tcBorders>
              <w:left w:val="nil"/>
              <w:bottom w:val="single" w:sz="4" w:space="0" w:color="auto"/>
              <w:right w:val="nil"/>
            </w:tcBorders>
            <w:shd w:val="clear" w:color="auto" w:fill="auto"/>
            <w:noWrap/>
            <w:vAlign w:val="center"/>
          </w:tcPr>
          <w:p w14:paraId="1D2B3596" w14:textId="63004DEE"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Normal/ stiff at top</w:t>
            </w:r>
          </w:p>
        </w:tc>
        <w:tc>
          <w:tcPr>
            <w:tcW w:w="2410" w:type="dxa"/>
            <w:gridSpan w:val="4"/>
            <w:tcBorders>
              <w:left w:val="nil"/>
              <w:bottom w:val="single" w:sz="4" w:space="0" w:color="auto"/>
              <w:right w:val="nil"/>
            </w:tcBorders>
            <w:shd w:val="clear" w:color="auto" w:fill="auto"/>
            <w:noWrap/>
            <w:vAlign w:val="center"/>
          </w:tcPr>
          <w:p w14:paraId="1DB37FFB" w14:textId="6E544791" w:rsidR="008D14D6" w:rsidRPr="00344D4B" w:rsidRDefault="008D14D6" w:rsidP="002C03D2">
            <w:pPr>
              <w:tabs>
                <w:tab w:val="left" w:pos="8647"/>
              </w:tabs>
              <w:spacing w:after="0" w:line="240" w:lineRule="auto"/>
              <w:rPr>
                <w:rFonts w:eastAsia="Times New Roman" w:cs="Calibri"/>
                <w:color w:val="000000"/>
                <w:sz w:val="20"/>
                <w:szCs w:val="21"/>
                <w:lang w:eastAsia="en-GB"/>
              </w:rPr>
            </w:pPr>
            <w:r w:rsidRPr="00344D4B">
              <w:rPr>
                <w:rFonts w:eastAsia="Times New Roman" w:cs="Calibri"/>
                <w:color w:val="000000"/>
                <w:sz w:val="20"/>
                <w:szCs w:val="21"/>
                <w:lang w:eastAsia="en-GB"/>
              </w:rPr>
              <w:t>Normal NO</w:t>
            </w:r>
            <w:r w:rsidR="007C0566" w:rsidRPr="00344D4B">
              <w:rPr>
                <w:rFonts w:eastAsia="Times New Roman" w:cs="Calibri"/>
                <w:color w:val="000000"/>
                <w:sz w:val="20"/>
                <w:szCs w:val="21"/>
                <w:lang w:eastAsia="en-GB"/>
              </w:rPr>
              <w:t>/ milder resp. phenotype</w:t>
            </w:r>
          </w:p>
        </w:tc>
        <w:tc>
          <w:tcPr>
            <w:tcW w:w="524" w:type="dxa"/>
            <w:gridSpan w:val="2"/>
            <w:tcBorders>
              <w:left w:val="nil"/>
              <w:bottom w:val="single" w:sz="4" w:space="0" w:color="auto"/>
              <w:right w:val="nil"/>
            </w:tcBorders>
            <w:shd w:val="clear" w:color="auto" w:fill="auto"/>
            <w:noWrap/>
            <w:vAlign w:val="center"/>
          </w:tcPr>
          <w:p w14:paraId="0A41746A" w14:textId="35138BAD" w:rsidR="008D14D6" w:rsidRPr="008C4A1D" w:rsidRDefault="007C7797" w:rsidP="008C4A1D">
            <w:pPr>
              <w:tabs>
                <w:tab w:val="left" w:pos="8647"/>
              </w:tabs>
              <w:spacing w:after="0" w:line="240" w:lineRule="auto"/>
              <w:jc w:val="right"/>
              <w:rPr>
                <w:sz w:val="20"/>
                <w:vertAlign w:val="subscript"/>
              </w:rPr>
            </w:pPr>
            <w:r w:rsidRPr="008C4A1D">
              <w:rPr>
                <w:noProof/>
                <w:sz w:val="20"/>
                <w:vertAlign w:val="subscript"/>
              </w:rPr>
              <w:t>10,70</w:t>
            </w:r>
          </w:p>
        </w:tc>
      </w:tr>
      <w:tr w:rsidR="008D14D6" w:rsidRPr="008C4A1D" w14:paraId="122B7400" w14:textId="77777777" w:rsidTr="000E4C5D">
        <w:trPr>
          <w:gridAfter w:val="1"/>
          <w:wAfter w:w="43" w:type="dxa"/>
          <w:trHeight w:val="271"/>
        </w:trPr>
        <w:tc>
          <w:tcPr>
            <w:tcW w:w="1164" w:type="dxa"/>
            <w:tcBorders>
              <w:top w:val="nil"/>
              <w:left w:val="nil"/>
              <w:bottom w:val="nil"/>
              <w:right w:val="nil"/>
            </w:tcBorders>
            <w:shd w:val="clear" w:color="auto" w:fill="auto"/>
            <w:vAlign w:val="center"/>
            <w:hideMark/>
          </w:tcPr>
          <w:p w14:paraId="1C734479" w14:textId="5AA00F6A" w:rsidR="008D14D6" w:rsidRPr="00344D4B" w:rsidRDefault="008D14D6" w:rsidP="007C0566">
            <w:pPr>
              <w:tabs>
                <w:tab w:val="left" w:pos="8647"/>
              </w:tabs>
              <w:spacing w:after="0" w:line="240" w:lineRule="auto"/>
              <w:jc w:val="center"/>
              <w:rPr>
                <w:rFonts w:eastAsia="Times New Roman" w:cs="Times New Roman"/>
                <w:b/>
                <w:bCs/>
                <w:color w:val="000000"/>
                <w:sz w:val="20"/>
                <w:szCs w:val="21"/>
                <w:lang w:eastAsia="en-GB"/>
              </w:rPr>
            </w:pPr>
            <w:r w:rsidRPr="00344D4B">
              <w:rPr>
                <w:rFonts w:eastAsia="Times New Roman" w:cs="Times New Roman"/>
                <w:b/>
                <w:bCs/>
                <w:color w:val="000000"/>
                <w:sz w:val="20"/>
                <w:szCs w:val="21"/>
                <w:lang w:eastAsia="en-GB"/>
              </w:rPr>
              <w:t>ODA</w:t>
            </w:r>
          </w:p>
        </w:tc>
        <w:tc>
          <w:tcPr>
            <w:tcW w:w="1138" w:type="dxa"/>
            <w:gridSpan w:val="2"/>
            <w:tcBorders>
              <w:top w:val="nil"/>
              <w:left w:val="nil"/>
              <w:bottom w:val="nil"/>
              <w:right w:val="nil"/>
            </w:tcBorders>
            <w:shd w:val="clear" w:color="auto" w:fill="auto"/>
            <w:noWrap/>
            <w:vAlign w:val="center"/>
            <w:hideMark/>
          </w:tcPr>
          <w:p w14:paraId="0D16A7EF" w14:textId="77777777" w:rsidR="008D14D6" w:rsidRPr="00344D4B" w:rsidRDefault="008D14D6" w:rsidP="007C0566">
            <w:pPr>
              <w:tabs>
                <w:tab w:val="left" w:pos="8647"/>
              </w:tabs>
              <w:spacing w:after="0" w:line="240" w:lineRule="auto"/>
              <w:jc w:val="center"/>
              <w:rPr>
                <w:rFonts w:eastAsia="Times New Roman" w:cs="Calibri"/>
                <w:i/>
                <w:iCs/>
                <w:color w:val="000000"/>
                <w:sz w:val="20"/>
                <w:szCs w:val="21"/>
                <w:lang w:eastAsia="en-GB"/>
              </w:rPr>
            </w:pPr>
            <w:r w:rsidRPr="00344D4B">
              <w:rPr>
                <w:rFonts w:eastAsia="Times New Roman" w:cs="Calibri"/>
                <w:i/>
                <w:iCs/>
                <w:color w:val="000000"/>
                <w:sz w:val="20"/>
                <w:szCs w:val="21"/>
                <w:lang w:eastAsia="en-GB"/>
              </w:rPr>
              <w:t>CCDC114</w:t>
            </w:r>
          </w:p>
        </w:tc>
        <w:tc>
          <w:tcPr>
            <w:tcW w:w="851" w:type="dxa"/>
            <w:tcBorders>
              <w:top w:val="nil"/>
              <w:left w:val="nil"/>
              <w:bottom w:val="nil"/>
              <w:right w:val="nil"/>
            </w:tcBorders>
            <w:shd w:val="clear" w:color="auto" w:fill="auto"/>
            <w:noWrap/>
            <w:vAlign w:val="center"/>
            <w:hideMark/>
          </w:tcPr>
          <w:p w14:paraId="3935245C" w14:textId="7777777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615038</w:t>
            </w:r>
          </w:p>
        </w:tc>
        <w:tc>
          <w:tcPr>
            <w:tcW w:w="1701" w:type="dxa"/>
            <w:tcBorders>
              <w:top w:val="nil"/>
              <w:left w:val="nil"/>
              <w:bottom w:val="nil"/>
              <w:right w:val="nil"/>
            </w:tcBorders>
            <w:shd w:val="clear" w:color="auto" w:fill="auto"/>
            <w:noWrap/>
            <w:vAlign w:val="center"/>
            <w:hideMark/>
          </w:tcPr>
          <w:p w14:paraId="6BCD254B" w14:textId="21E3B21D"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ODA</w:t>
            </w:r>
          </w:p>
        </w:tc>
        <w:tc>
          <w:tcPr>
            <w:tcW w:w="1984" w:type="dxa"/>
            <w:gridSpan w:val="2"/>
            <w:tcBorders>
              <w:top w:val="nil"/>
              <w:left w:val="nil"/>
              <w:bottom w:val="nil"/>
              <w:right w:val="nil"/>
            </w:tcBorders>
            <w:shd w:val="clear" w:color="auto" w:fill="auto"/>
            <w:noWrap/>
            <w:vAlign w:val="center"/>
            <w:hideMark/>
          </w:tcPr>
          <w:p w14:paraId="381C9280" w14:textId="614AA893"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Static</w:t>
            </w:r>
          </w:p>
        </w:tc>
        <w:tc>
          <w:tcPr>
            <w:tcW w:w="2410" w:type="dxa"/>
            <w:gridSpan w:val="4"/>
            <w:tcBorders>
              <w:top w:val="nil"/>
              <w:left w:val="nil"/>
              <w:bottom w:val="nil"/>
              <w:right w:val="nil"/>
            </w:tcBorders>
            <w:shd w:val="clear" w:color="auto" w:fill="auto"/>
            <w:noWrap/>
            <w:vAlign w:val="center"/>
          </w:tcPr>
          <w:p w14:paraId="3B2D13D7" w14:textId="77C293B6" w:rsidR="008D14D6" w:rsidRPr="00344D4B" w:rsidRDefault="009A3EF7" w:rsidP="009C5DDC">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P</w:t>
            </w:r>
            <w:r w:rsidR="002C03D2" w:rsidRPr="00344D4B">
              <w:rPr>
                <w:rFonts w:eastAsia="Times New Roman" w:cs="Calibri"/>
                <w:color w:val="000000"/>
                <w:sz w:val="20"/>
                <w:szCs w:val="21"/>
                <w:lang w:eastAsia="en-GB"/>
              </w:rPr>
              <w:t xml:space="preserve">reserved </w:t>
            </w:r>
            <w:r w:rsidRPr="00344D4B">
              <w:rPr>
                <w:rFonts w:eastAsia="Times New Roman" w:cs="Calibri"/>
                <w:color w:val="000000"/>
                <w:sz w:val="20"/>
                <w:szCs w:val="21"/>
                <w:lang w:eastAsia="en-GB"/>
              </w:rPr>
              <w:t>fertility</w:t>
            </w:r>
          </w:p>
        </w:tc>
        <w:tc>
          <w:tcPr>
            <w:tcW w:w="524" w:type="dxa"/>
            <w:gridSpan w:val="2"/>
            <w:tcBorders>
              <w:top w:val="nil"/>
              <w:left w:val="nil"/>
              <w:bottom w:val="nil"/>
              <w:right w:val="nil"/>
            </w:tcBorders>
            <w:shd w:val="clear" w:color="auto" w:fill="auto"/>
            <w:noWrap/>
            <w:vAlign w:val="center"/>
          </w:tcPr>
          <w:p w14:paraId="4B5EE2B1" w14:textId="2EBCB663" w:rsidR="008D14D6" w:rsidRPr="008C4A1D" w:rsidRDefault="007C7797" w:rsidP="008C4A1D">
            <w:pPr>
              <w:tabs>
                <w:tab w:val="left" w:pos="8647"/>
              </w:tabs>
              <w:spacing w:after="0" w:line="240" w:lineRule="auto"/>
              <w:jc w:val="right"/>
              <w:rPr>
                <w:rFonts w:eastAsia="Times New Roman" w:cs="Times New Roman"/>
                <w:color w:val="000000"/>
                <w:sz w:val="20"/>
                <w:szCs w:val="18"/>
                <w:vertAlign w:val="subscript"/>
                <w:lang w:eastAsia="en-GB"/>
              </w:rPr>
            </w:pPr>
            <w:r w:rsidRPr="008C4A1D">
              <w:rPr>
                <w:rFonts w:eastAsia="Times New Roman" w:cs="Times New Roman"/>
                <w:noProof/>
                <w:color w:val="000000"/>
                <w:sz w:val="20"/>
                <w:szCs w:val="18"/>
                <w:vertAlign w:val="subscript"/>
                <w:lang w:eastAsia="en-GB"/>
              </w:rPr>
              <w:t>14,72</w:t>
            </w:r>
          </w:p>
        </w:tc>
      </w:tr>
      <w:tr w:rsidR="008D14D6" w:rsidRPr="008C4A1D" w14:paraId="46A69096" w14:textId="77777777" w:rsidTr="000E4C5D">
        <w:trPr>
          <w:gridAfter w:val="1"/>
          <w:wAfter w:w="43" w:type="dxa"/>
          <w:trHeight w:val="253"/>
        </w:trPr>
        <w:tc>
          <w:tcPr>
            <w:tcW w:w="1164" w:type="dxa"/>
            <w:tcBorders>
              <w:top w:val="nil"/>
              <w:left w:val="nil"/>
              <w:bottom w:val="nil"/>
              <w:right w:val="nil"/>
            </w:tcBorders>
            <w:shd w:val="clear" w:color="auto" w:fill="auto"/>
            <w:noWrap/>
            <w:vAlign w:val="center"/>
            <w:hideMark/>
          </w:tcPr>
          <w:p w14:paraId="280DD35B" w14:textId="77777777" w:rsidR="008D14D6" w:rsidRPr="00344D4B" w:rsidRDefault="008D14D6" w:rsidP="007C0566">
            <w:pPr>
              <w:tabs>
                <w:tab w:val="left" w:pos="8647"/>
              </w:tabs>
              <w:spacing w:after="0" w:line="240" w:lineRule="auto"/>
              <w:jc w:val="center"/>
              <w:rPr>
                <w:rFonts w:eastAsia="Times New Roman" w:cs="Times New Roman"/>
                <w:color w:val="000000"/>
                <w:sz w:val="20"/>
                <w:szCs w:val="21"/>
                <w:lang w:eastAsia="en-GB"/>
              </w:rPr>
            </w:pPr>
            <w:r w:rsidRPr="00344D4B">
              <w:rPr>
                <w:rFonts w:eastAsia="Times New Roman" w:cs="Times New Roman"/>
                <w:b/>
                <w:bCs/>
                <w:color w:val="000000"/>
                <w:sz w:val="20"/>
                <w:szCs w:val="21"/>
                <w:lang w:eastAsia="en-GB"/>
              </w:rPr>
              <w:t>Docking</w:t>
            </w:r>
          </w:p>
        </w:tc>
        <w:tc>
          <w:tcPr>
            <w:tcW w:w="1138" w:type="dxa"/>
            <w:gridSpan w:val="2"/>
            <w:tcBorders>
              <w:top w:val="nil"/>
              <w:left w:val="nil"/>
              <w:bottom w:val="nil"/>
              <w:right w:val="nil"/>
            </w:tcBorders>
            <w:shd w:val="clear" w:color="auto" w:fill="auto"/>
            <w:noWrap/>
            <w:vAlign w:val="center"/>
            <w:hideMark/>
          </w:tcPr>
          <w:p w14:paraId="35721C1B" w14:textId="77777777" w:rsidR="008D14D6" w:rsidRPr="00344D4B" w:rsidRDefault="008D14D6" w:rsidP="007C0566">
            <w:pPr>
              <w:tabs>
                <w:tab w:val="left" w:pos="8647"/>
              </w:tabs>
              <w:spacing w:after="0" w:line="240" w:lineRule="auto"/>
              <w:jc w:val="center"/>
              <w:rPr>
                <w:rFonts w:eastAsia="Times New Roman" w:cs="Calibri"/>
                <w:i/>
                <w:iCs/>
                <w:color w:val="000000"/>
                <w:sz w:val="20"/>
                <w:szCs w:val="21"/>
                <w:lang w:eastAsia="en-GB"/>
              </w:rPr>
            </w:pPr>
            <w:r w:rsidRPr="00344D4B">
              <w:rPr>
                <w:rFonts w:eastAsia="Times New Roman" w:cs="Calibri"/>
                <w:i/>
                <w:iCs/>
                <w:color w:val="000000"/>
                <w:sz w:val="20"/>
                <w:szCs w:val="21"/>
                <w:lang w:eastAsia="en-GB"/>
              </w:rPr>
              <w:t>ARMC4</w:t>
            </w:r>
          </w:p>
        </w:tc>
        <w:tc>
          <w:tcPr>
            <w:tcW w:w="851" w:type="dxa"/>
            <w:tcBorders>
              <w:top w:val="nil"/>
              <w:left w:val="nil"/>
              <w:bottom w:val="nil"/>
              <w:right w:val="nil"/>
            </w:tcBorders>
            <w:shd w:val="clear" w:color="auto" w:fill="auto"/>
            <w:noWrap/>
            <w:vAlign w:val="center"/>
            <w:hideMark/>
          </w:tcPr>
          <w:p w14:paraId="75AD0DAC" w14:textId="7777777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615408</w:t>
            </w:r>
          </w:p>
        </w:tc>
        <w:tc>
          <w:tcPr>
            <w:tcW w:w="1701" w:type="dxa"/>
            <w:tcBorders>
              <w:top w:val="nil"/>
              <w:left w:val="nil"/>
              <w:bottom w:val="nil"/>
              <w:right w:val="nil"/>
            </w:tcBorders>
            <w:shd w:val="clear" w:color="auto" w:fill="auto"/>
            <w:noWrap/>
            <w:vAlign w:val="center"/>
            <w:hideMark/>
          </w:tcPr>
          <w:p w14:paraId="15050A15" w14:textId="7E98C75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ODA</w:t>
            </w:r>
          </w:p>
        </w:tc>
        <w:tc>
          <w:tcPr>
            <w:tcW w:w="1984" w:type="dxa"/>
            <w:gridSpan w:val="2"/>
            <w:tcBorders>
              <w:top w:val="nil"/>
              <w:left w:val="nil"/>
              <w:bottom w:val="nil"/>
              <w:right w:val="nil"/>
            </w:tcBorders>
            <w:shd w:val="clear" w:color="auto" w:fill="auto"/>
            <w:noWrap/>
            <w:vAlign w:val="center"/>
            <w:hideMark/>
          </w:tcPr>
          <w:p w14:paraId="7D6088F7" w14:textId="7E4C3B80"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Static</w:t>
            </w:r>
          </w:p>
        </w:tc>
        <w:tc>
          <w:tcPr>
            <w:tcW w:w="2410" w:type="dxa"/>
            <w:gridSpan w:val="4"/>
            <w:tcBorders>
              <w:top w:val="nil"/>
              <w:left w:val="nil"/>
              <w:bottom w:val="nil"/>
              <w:right w:val="nil"/>
            </w:tcBorders>
            <w:shd w:val="clear" w:color="auto" w:fill="auto"/>
            <w:noWrap/>
            <w:vAlign w:val="center"/>
          </w:tcPr>
          <w:p w14:paraId="7B73548D" w14:textId="44D3DA77" w:rsidR="008D14D6" w:rsidRPr="00344D4B" w:rsidRDefault="008D14D6" w:rsidP="009C5DDC">
            <w:pPr>
              <w:tabs>
                <w:tab w:val="left" w:pos="8647"/>
              </w:tabs>
              <w:spacing w:after="0" w:line="240" w:lineRule="auto"/>
              <w:jc w:val="center"/>
              <w:rPr>
                <w:rFonts w:eastAsia="Times New Roman" w:cs="Calibri"/>
                <w:color w:val="000000"/>
                <w:sz w:val="20"/>
                <w:szCs w:val="21"/>
                <w:lang w:eastAsia="en-GB"/>
              </w:rPr>
            </w:pPr>
          </w:p>
        </w:tc>
        <w:tc>
          <w:tcPr>
            <w:tcW w:w="524" w:type="dxa"/>
            <w:gridSpan w:val="2"/>
            <w:tcBorders>
              <w:top w:val="nil"/>
              <w:left w:val="nil"/>
              <w:bottom w:val="nil"/>
              <w:right w:val="nil"/>
            </w:tcBorders>
            <w:shd w:val="clear" w:color="auto" w:fill="auto"/>
            <w:noWrap/>
            <w:vAlign w:val="center"/>
          </w:tcPr>
          <w:p w14:paraId="127FA9EC" w14:textId="0C69666E" w:rsidR="008D14D6" w:rsidRPr="008C4A1D" w:rsidRDefault="007C7797" w:rsidP="008C4A1D">
            <w:pPr>
              <w:tabs>
                <w:tab w:val="left" w:pos="8647"/>
              </w:tabs>
              <w:spacing w:after="0" w:line="240" w:lineRule="auto"/>
              <w:jc w:val="right"/>
              <w:rPr>
                <w:rFonts w:eastAsia="Times New Roman" w:cs="Calibri"/>
                <w:color w:val="000000"/>
                <w:sz w:val="20"/>
                <w:vertAlign w:val="subscript"/>
                <w:lang w:eastAsia="en-GB"/>
              </w:rPr>
            </w:pPr>
            <w:r w:rsidRPr="008C4A1D">
              <w:rPr>
                <w:rFonts w:eastAsia="Times New Roman" w:cs="Calibri"/>
                <w:noProof/>
                <w:color w:val="000000"/>
                <w:sz w:val="20"/>
                <w:vertAlign w:val="subscript"/>
                <w:lang w:eastAsia="en-GB"/>
              </w:rPr>
              <w:t>73</w:t>
            </w:r>
          </w:p>
        </w:tc>
      </w:tr>
      <w:tr w:rsidR="008D14D6" w:rsidRPr="008C4A1D" w14:paraId="0FB6048C" w14:textId="77777777" w:rsidTr="000E4C5D">
        <w:trPr>
          <w:gridAfter w:val="1"/>
          <w:wAfter w:w="43" w:type="dxa"/>
          <w:trHeight w:val="271"/>
        </w:trPr>
        <w:tc>
          <w:tcPr>
            <w:tcW w:w="1164" w:type="dxa"/>
            <w:tcBorders>
              <w:top w:val="nil"/>
              <w:left w:val="nil"/>
              <w:bottom w:val="nil"/>
              <w:right w:val="nil"/>
            </w:tcBorders>
            <w:shd w:val="clear" w:color="auto" w:fill="auto"/>
            <w:noWrap/>
            <w:vAlign w:val="center"/>
            <w:hideMark/>
          </w:tcPr>
          <w:p w14:paraId="7F0599C3" w14:textId="77777777" w:rsidR="008D14D6" w:rsidRPr="00344D4B" w:rsidRDefault="008D14D6" w:rsidP="007C0566">
            <w:pPr>
              <w:tabs>
                <w:tab w:val="left" w:pos="8647"/>
              </w:tabs>
              <w:spacing w:after="0" w:line="240" w:lineRule="auto"/>
              <w:jc w:val="center"/>
              <w:rPr>
                <w:rFonts w:eastAsia="Times New Roman" w:cs="Times New Roman"/>
                <w:sz w:val="20"/>
                <w:szCs w:val="21"/>
                <w:lang w:eastAsia="en-GB"/>
              </w:rPr>
            </w:pPr>
          </w:p>
        </w:tc>
        <w:tc>
          <w:tcPr>
            <w:tcW w:w="1138" w:type="dxa"/>
            <w:gridSpan w:val="2"/>
            <w:tcBorders>
              <w:top w:val="nil"/>
              <w:left w:val="nil"/>
              <w:bottom w:val="nil"/>
              <w:right w:val="nil"/>
            </w:tcBorders>
            <w:shd w:val="clear" w:color="auto" w:fill="auto"/>
            <w:noWrap/>
            <w:vAlign w:val="center"/>
            <w:hideMark/>
          </w:tcPr>
          <w:p w14:paraId="14E8D4CA" w14:textId="77777777" w:rsidR="008D14D6" w:rsidRPr="00344D4B" w:rsidRDefault="008D14D6" w:rsidP="007C0566">
            <w:pPr>
              <w:tabs>
                <w:tab w:val="left" w:pos="8647"/>
              </w:tabs>
              <w:spacing w:after="0" w:line="240" w:lineRule="auto"/>
              <w:jc w:val="center"/>
              <w:rPr>
                <w:rFonts w:eastAsia="Times New Roman" w:cs="Calibri"/>
                <w:i/>
                <w:iCs/>
                <w:color w:val="000000"/>
                <w:sz w:val="20"/>
                <w:szCs w:val="21"/>
                <w:lang w:eastAsia="en-GB"/>
              </w:rPr>
            </w:pPr>
            <w:r w:rsidRPr="00344D4B">
              <w:rPr>
                <w:rFonts w:eastAsia="Times New Roman" w:cs="Calibri"/>
                <w:i/>
                <w:iCs/>
                <w:color w:val="000000"/>
                <w:sz w:val="20"/>
                <w:szCs w:val="21"/>
                <w:lang w:eastAsia="en-GB"/>
              </w:rPr>
              <w:t>CCDC151</w:t>
            </w:r>
          </w:p>
        </w:tc>
        <w:tc>
          <w:tcPr>
            <w:tcW w:w="851" w:type="dxa"/>
            <w:tcBorders>
              <w:top w:val="nil"/>
              <w:left w:val="nil"/>
              <w:bottom w:val="nil"/>
              <w:right w:val="nil"/>
            </w:tcBorders>
            <w:shd w:val="clear" w:color="auto" w:fill="auto"/>
            <w:noWrap/>
            <w:vAlign w:val="center"/>
            <w:hideMark/>
          </w:tcPr>
          <w:p w14:paraId="4338021B" w14:textId="7777777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615956</w:t>
            </w:r>
          </w:p>
        </w:tc>
        <w:tc>
          <w:tcPr>
            <w:tcW w:w="1701" w:type="dxa"/>
            <w:tcBorders>
              <w:top w:val="nil"/>
              <w:left w:val="nil"/>
              <w:bottom w:val="nil"/>
              <w:right w:val="nil"/>
            </w:tcBorders>
            <w:shd w:val="clear" w:color="auto" w:fill="auto"/>
            <w:noWrap/>
            <w:vAlign w:val="center"/>
            <w:hideMark/>
          </w:tcPr>
          <w:p w14:paraId="0DDD75F5" w14:textId="7C128CB8"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ODA</w:t>
            </w:r>
          </w:p>
        </w:tc>
        <w:tc>
          <w:tcPr>
            <w:tcW w:w="1984" w:type="dxa"/>
            <w:gridSpan w:val="2"/>
            <w:tcBorders>
              <w:top w:val="nil"/>
              <w:left w:val="nil"/>
              <w:bottom w:val="nil"/>
              <w:right w:val="nil"/>
            </w:tcBorders>
            <w:shd w:val="clear" w:color="auto" w:fill="auto"/>
            <w:noWrap/>
            <w:vAlign w:val="center"/>
            <w:hideMark/>
          </w:tcPr>
          <w:p w14:paraId="0402FA18" w14:textId="349702CF"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Static</w:t>
            </w:r>
          </w:p>
        </w:tc>
        <w:tc>
          <w:tcPr>
            <w:tcW w:w="2410" w:type="dxa"/>
            <w:gridSpan w:val="4"/>
            <w:tcBorders>
              <w:top w:val="nil"/>
              <w:left w:val="nil"/>
              <w:bottom w:val="nil"/>
              <w:right w:val="nil"/>
            </w:tcBorders>
            <w:shd w:val="clear" w:color="auto" w:fill="auto"/>
            <w:noWrap/>
            <w:vAlign w:val="center"/>
          </w:tcPr>
          <w:p w14:paraId="01412624" w14:textId="60F2F1F0" w:rsidR="008D14D6" w:rsidRPr="00344D4B" w:rsidRDefault="008D14D6" w:rsidP="009C5DDC">
            <w:pPr>
              <w:tabs>
                <w:tab w:val="left" w:pos="8647"/>
              </w:tabs>
              <w:spacing w:after="0" w:line="240" w:lineRule="auto"/>
              <w:jc w:val="center"/>
              <w:rPr>
                <w:rFonts w:eastAsia="Times New Roman" w:cs="Calibri"/>
                <w:color w:val="000000"/>
                <w:sz w:val="20"/>
                <w:szCs w:val="21"/>
                <w:lang w:eastAsia="en-GB"/>
              </w:rPr>
            </w:pPr>
          </w:p>
        </w:tc>
        <w:tc>
          <w:tcPr>
            <w:tcW w:w="524" w:type="dxa"/>
            <w:gridSpan w:val="2"/>
            <w:tcBorders>
              <w:top w:val="nil"/>
              <w:left w:val="nil"/>
              <w:bottom w:val="nil"/>
              <w:right w:val="nil"/>
            </w:tcBorders>
            <w:shd w:val="clear" w:color="auto" w:fill="auto"/>
            <w:noWrap/>
            <w:vAlign w:val="center"/>
          </w:tcPr>
          <w:p w14:paraId="3B60E821" w14:textId="6E42F42E" w:rsidR="008D14D6" w:rsidRPr="008C4A1D" w:rsidRDefault="007C7797" w:rsidP="008C4A1D">
            <w:pPr>
              <w:tabs>
                <w:tab w:val="left" w:pos="8647"/>
              </w:tabs>
              <w:spacing w:after="0" w:line="240" w:lineRule="auto"/>
              <w:jc w:val="right"/>
              <w:rPr>
                <w:rFonts w:eastAsia="Times New Roman" w:cs="Calibri"/>
                <w:color w:val="000000"/>
                <w:sz w:val="20"/>
                <w:vertAlign w:val="subscript"/>
                <w:lang w:eastAsia="en-GB"/>
              </w:rPr>
            </w:pPr>
            <w:r w:rsidRPr="008C4A1D">
              <w:rPr>
                <w:rFonts w:eastAsia="Times New Roman" w:cs="Calibri"/>
                <w:noProof/>
                <w:color w:val="000000"/>
                <w:sz w:val="20"/>
                <w:vertAlign w:val="subscript"/>
                <w:lang w:eastAsia="en-GB"/>
              </w:rPr>
              <w:t>75</w:t>
            </w:r>
          </w:p>
        </w:tc>
      </w:tr>
      <w:tr w:rsidR="008D14D6" w:rsidRPr="008C4A1D" w14:paraId="5F464946" w14:textId="77777777" w:rsidTr="000E4C5D">
        <w:trPr>
          <w:gridAfter w:val="1"/>
          <w:wAfter w:w="43" w:type="dxa"/>
          <w:trHeight w:val="271"/>
        </w:trPr>
        <w:tc>
          <w:tcPr>
            <w:tcW w:w="1164" w:type="dxa"/>
            <w:tcBorders>
              <w:top w:val="nil"/>
              <w:left w:val="nil"/>
              <w:right w:val="nil"/>
            </w:tcBorders>
            <w:shd w:val="clear" w:color="auto" w:fill="auto"/>
            <w:noWrap/>
            <w:vAlign w:val="center"/>
            <w:hideMark/>
          </w:tcPr>
          <w:p w14:paraId="54D92388" w14:textId="77777777" w:rsidR="008D14D6" w:rsidRPr="00344D4B" w:rsidRDefault="008D14D6" w:rsidP="007C0566">
            <w:pPr>
              <w:tabs>
                <w:tab w:val="left" w:pos="8647"/>
              </w:tabs>
              <w:spacing w:after="0" w:line="240" w:lineRule="auto"/>
              <w:jc w:val="center"/>
              <w:rPr>
                <w:rFonts w:eastAsia="Times New Roman" w:cs="Times New Roman"/>
                <w:sz w:val="20"/>
                <w:szCs w:val="21"/>
                <w:lang w:eastAsia="en-GB"/>
              </w:rPr>
            </w:pPr>
          </w:p>
        </w:tc>
        <w:tc>
          <w:tcPr>
            <w:tcW w:w="1138" w:type="dxa"/>
            <w:gridSpan w:val="2"/>
            <w:tcBorders>
              <w:top w:val="nil"/>
              <w:left w:val="nil"/>
              <w:right w:val="nil"/>
            </w:tcBorders>
            <w:shd w:val="clear" w:color="auto" w:fill="auto"/>
            <w:noWrap/>
            <w:vAlign w:val="center"/>
            <w:hideMark/>
          </w:tcPr>
          <w:p w14:paraId="29350CD9" w14:textId="77777777" w:rsidR="008D14D6" w:rsidRPr="00344D4B" w:rsidRDefault="008D14D6" w:rsidP="007C0566">
            <w:pPr>
              <w:tabs>
                <w:tab w:val="left" w:pos="8647"/>
              </w:tabs>
              <w:spacing w:after="0" w:line="240" w:lineRule="auto"/>
              <w:jc w:val="center"/>
              <w:rPr>
                <w:rFonts w:eastAsia="Times New Roman" w:cs="Calibri"/>
                <w:i/>
                <w:iCs/>
                <w:color w:val="000000"/>
                <w:sz w:val="20"/>
                <w:szCs w:val="21"/>
                <w:lang w:eastAsia="en-GB"/>
              </w:rPr>
            </w:pPr>
            <w:r w:rsidRPr="00344D4B">
              <w:rPr>
                <w:rFonts w:eastAsia="Times New Roman" w:cs="Calibri"/>
                <w:i/>
                <w:iCs/>
                <w:color w:val="000000"/>
                <w:sz w:val="20"/>
                <w:szCs w:val="21"/>
                <w:lang w:eastAsia="en-GB"/>
              </w:rPr>
              <w:t>CCDC103</w:t>
            </w:r>
          </w:p>
        </w:tc>
        <w:tc>
          <w:tcPr>
            <w:tcW w:w="851" w:type="dxa"/>
            <w:tcBorders>
              <w:top w:val="nil"/>
              <w:left w:val="nil"/>
              <w:right w:val="nil"/>
            </w:tcBorders>
            <w:shd w:val="clear" w:color="auto" w:fill="auto"/>
            <w:noWrap/>
            <w:vAlign w:val="center"/>
            <w:hideMark/>
          </w:tcPr>
          <w:p w14:paraId="733A9EA5" w14:textId="7777777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614677</w:t>
            </w:r>
          </w:p>
        </w:tc>
        <w:tc>
          <w:tcPr>
            <w:tcW w:w="1701" w:type="dxa"/>
            <w:tcBorders>
              <w:top w:val="nil"/>
              <w:left w:val="nil"/>
              <w:right w:val="nil"/>
            </w:tcBorders>
            <w:shd w:val="clear" w:color="auto" w:fill="auto"/>
            <w:noWrap/>
            <w:vAlign w:val="center"/>
            <w:hideMark/>
          </w:tcPr>
          <w:p w14:paraId="323766D0" w14:textId="7BEF7F61"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ODA/ normal</w:t>
            </w:r>
            <w:r w:rsidR="00A72BE0">
              <w:rPr>
                <w:rFonts w:eastAsia="Times New Roman" w:cs="Calibri"/>
                <w:color w:val="000000"/>
                <w:sz w:val="20"/>
                <w:szCs w:val="21"/>
                <w:vertAlign w:val="superscript"/>
                <w:lang w:eastAsia="en-GB"/>
              </w:rPr>
              <w:t>$$</w:t>
            </w:r>
          </w:p>
        </w:tc>
        <w:tc>
          <w:tcPr>
            <w:tcW w:w="1984" w:type="dxa"/>
            <w:gridSpan w:val="2"/>
            <w:tcBorders>
              <w:top w:val="nil"/>
              <w:left w:val="nil"/>
              <w:right w:val="nil"/>
            </w:tcBorders>
            <w:shd w:val="clear" w:color="auto" w:fill="auto"/>
            <w:noWrap/>
            <w:vAlign w:val="center"/>
            <w:hideMark/>
          </w:tcPr>
          <w:p w14:paraId="12701521" w14:textId="50BA8AF3"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Static/ normal</w:t>
            </w:r>
            <w:r w:rsidR="00B517B5" w:rsidRPr="00344D4B">
              <w:rPr>
                <w:rFonts w:eastAsia="Times New Roman" w:cs="Calibri"/>
                <w:color w:val="000000"/>
                <w:sz w:val="20"/>
                <w:szCs w:val="21"/>
                <w:vertAlign w:val="superscript"/>
                <w:lang w:eastAsia="en-GB"/>
              </w:rPr>
              <w:t>2</w:t>
            </w:r>
          </w:p>
        </w:tc>
        <w:tc>
          <w:tcPr>
            <w:tcW w:w="2410" w:type="dxa"/>
            <w:gridSpan w:val="4"/>
            <w:tcBorders>
              <w:top w:val="nil"/>
              <w:left w:val="nil"/>
              <w:right w:val="nil"/>
            </w:tcBorders>
            <w:shd w:val="clear" w:color="auto" w:fill="auto"/>
            <w:noWrap/>
            <w:vAlign w:val="center"/>
          </w:tcPr>
          <w:p w14:paraId="70E7451D" w14:textId="2DF69BBC" w:rsidR="008D14D6" w:rsidRPr="00344D4B" w:rsidRDefault="008D14D6" w:rsidP="009C5DDC">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Normal NO/ milder</w:t>
            </w:r>
            <w:r w:rsidR="007C0566" w:rsidRPr="00344D4B">
              <w:rPr>
                <w:rFonts w:eastAsia="Times New Roman" w:cs="Calibri"/>
                <w:color w:val="000000"/>
                <w:sz w:val="20"/>
                <w:szCs w:val="21"/>
                <w:lang w:eastAsia="en-GB"/>
              </w:rPr>
              <w:t xml:space="preserve"> resp. phenotype</w:t>
            </w:r>
            <w:r w:rsidR="00483CC9">
              <w:rPr>
                <w:rFonts w:eastAsia="Times New Roman" w:cs="Calibri"/>
                <w:color w:val="000000"/>
                <w:sz w:val="20"/>
                <w:szCs w:val="21"/>
                <w:vertAlign w:val="superscript"/>
                <w:lang w:eastAsia="en-GB"/>
              </w:rPr>
              <w:t>$$</w:t>
            </w:r>
          </w:p>
        </w:tc>
        <w:tc>
          <w:tcPr>
            <w:tcW w:w="524" w:type="dxa"/>
            <w:gridSpan w:val="2"/>
            <w:tcBorders>
              <w:top w:val="nil"/>
              <w:left w:val="nil"/>
              <w:right w:val="nil"/>
            </w:tcBorders>
            <w:shd w:val="clear" w:color="auto" w:fill="auto"/>
            <w:noWrap/>
            <w:vAlign w:val="center"/>
          </w:tcPr>
          <w:p w14:paraId="7353573A" w14:textId="6C527520" w:rsidR="008D14D6" w:rsidRPr="008C4A1D" w:rsidRDefault="007C7797" w:rsidP="008C4A1D">
            <w:pPr>
              <w:tabs>
                <w:tab w:val="left" w:pos="8647"/>
              </w:tabs>
              <w:spacing w:after="0" w:line="240" w:lineRule="auto"/>
              <w:jc w:val="right"/>
              <w:rPr>
                <w:rFonts w:eastAsia="Times New Roman" w:cs="Calibri"/>
                <w:color w:val="000000"/>
                <w:sz w:val="20"/>
                <w:vertAlign w:val="subscript"/>
                <w:lang w:eastAsia="en-GB"/>
              </w:rPr>
            </w:pPr>
            <w:r w:rsidRPr="008C4A1D">
              <w:rPr>
                <w:rFonts w:eastAsia="Times New Roman" w:cs="Calibri"/>
                <w:noProof/>
                <w:color w:val="000000"/>
                <w:sz w:val="20"/>
                <w:vertAlign w:val="subscript"/>
                <w:lang w:eastAsia="en-GB"/>
              </w:rPr>
              <w:t>77</w:t>
            </w:r>
          </w:p>
        </w:tc>
      </w:tr>
      <w:tr w:rsidR="008D14D6" w:rsidRPr="008C4A1D" w14:paraId="004215A4" w14:textId="77777777" w:rsidTr="000E4C5D">
        <w:trPr>
          <w:gridAfter w:val="1"/>
          <w:wAfter w:w="43" w:type="dxa"/>
          <w:trHeight w:val="271"/>
        </w:trPr>
        <w:tc>
          <w:tcPr>
            <w:tcW w:w="1164" w:type="dxa"/>
            <w:tcBorders>
              <w:top w:val="nil"/>
              <w:left w:val="nil"/>
              <w:right w:val="nil"/>
            </w:tcBorders>
            <w:shd w:val="clear" w:color="auto" w:fill="auto"/>
            <w:noWrap/>
            <w:vAlign w:val="center"/>
            <w:hideMark/>
          </w:tcPr>
          <w:p w14:paraId="2675F05A" w14:textId="497C47EC"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p>
        </w:tc>
        <w:tc>
          <w:tcPr>
            <w:tcW w:w="1138" w:type="dxa"/>
            <w:gridSpan w:val="2"/>
            <w:tcBorders>
              <w:top w:val="nil"/>
              <w:left w:val="nil"/>
              <w:right w:val="nil"/>
            </w:tcBorders>
            <w:shd w:val="clear" w:color="auto" w:fill="auto"/>
            <w:noWrap/>
            <w:vAlign w:val="center"/>
            <w:hideMark/>
          </w:tcPr>
          <w:p w14:paraId="15927215" w14:textId="77777777" w:rsidR="008D14D6" w:rsidRPr="00344D4B" w:rsidRDefault="008D14D6" w:rsidP="007C0566">
            <w:pPr>
              <w:tabs>
                <w:tab w:val="left" w:pos="8647"/>
              </w:tabs>
              <w:spacing w:after="0" w:line="240" w:lineRule="auto"/>
              <w:jc w:val="center"/>
              <w:rPr>
                <w:rFonts w:eastAsia="Times New Roman" w:cs="Calibri"/>
                <w:i/>
                <w:iCs/>
                <w:color w:val="000000"/>
                <w:sz w:val="20"/>
                <w:szCs w:val="21"/>
                <w:lang w:eastAsia="en-GB"/>
              </w:rPr>
            </w:pPr>
            <w:r w:rsidRPr="00344D4B">
              <w:rPr>
                <w:rFonts w:eastAsia="Times New Roman" w:cs="Calibri"/>
                <w:i/>
                <w:iCs/>
                <w:color w:val="000000"/>
                <w:sz w:val="20"/>
                <w:szCs w:val="21"/>
                <w:lang w:eastAsia="en-GB"/>
              </w:rPr>
              <w:t>TTC25</w:t>
            </w:r>
          </w:p>
        </w:tc>
        <w:tc>
          <w:tcPr>
            <w:tcW w:w="851" w:type="dxa"/>
            <w:tcBorders>
              <w:top w:val="nil"/>
              <w:left w:val="nil"/>
              <w:right w:val="nil"/>
            </w:tcBorders>
            <w:shd w:val="clear" w:color="auto" w:fill="auto"/>
            <w:noWrap/>
            <w:vAlign w:val="center"/>
            <w:hideMark/>
          </w:tcPr>
          <w:p w14:paraId="2E2F4AC0" w14:textId="7777777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617095</w:t>
            </w:r>
          </w:p>
        </w:tc>
        <w:tc>
          <w:tcPr>
            <w:tcW w:w="1701" w:type="dxa"/>
            <w:tcBorders>
              <w:top w:val="nil"/>
              <w:left w:val="nil"/>
              <w:right w:val="nil"/>
            </w:tcBorders>
            <w:shd w:val="clear" w:color="auto" w:fill="auto"/>
            <w:noWrap/>
            <w:vAlign w:val="center"/>
            <w:hideMark/>
          </w:tcPr>
          <w:p w14:paraId="05AE5CED" w14:textId="518CF39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ODA</w:t>
            </w:r>
          </w:p>
        </w:tc>
        <w:tc>
          <w:tcPr>
            <w:tcW w:w="1984" w:type="dxa"/>
            <w:gridSpan w:val="2"/>
            <w:tcBorders>
              <w:top w:val="nil"/>
              <w:left w:val="nil"/>
              <w:right w:val="nil"/>
            </w:tcBorders>
            <w:shd w:val="clear" w:color="auto" w:fill="auto"/>
            <w:noWrap/>
            <w:vAlign w:val="center"/>
            <w:hideMark/>
          </w:tcPr>
          <w:p w14:paraId="0D2F97D0" w14:textId="7034C875"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Static</w:t>
            </w:r>
          </w:p>
        </w:tc>
        <w:tc>
          <w:tcPr>
            <w:tcW w:w="2410" w:type="dxa"/>
            <w:gridSpan w:val="4"/>
            <w:tcBorders>
              <w:top w:val="nil"/>
              <w:left w:val="nil"/>
              <w:right w:val="nil"/>
            </w:tcBorders>
            <w:shd w:val="clear" w:color="auto" w:fill="auto"/>
            <w:noWrap/>
            <w:vAlign w:val="center"/>
          </w:tcPr>
          <w:p w14:paraId="75DFC460" w14:textId="29C5813D" w:rsidR="008D14D6" w:rsidRPr="00344D4B" w:rsidRDefault="008D14D6" w:rsidP="009C5DDC">
            <w:pPr>
              <w:tabs>
                <w:tab w:val="left" w:pos="8647"/>
              </w:tabs>
              <w:spacing w:after="0" w:line="240" w:lineRule="auto"/>
              <w:jc w:val="center"/>
              <w:rPr>
                <w:rFonts w:eastAsia="Times New Roman" w:cs="Calibri"/>
                <w:color w:val="000000"/>
                <w:sz w:val="20"/>
                <w:szCs w:val="21"/>
                <w:lang w:eastAsia="en-GB"/>
              </w:rPr>
            </w:pPr>
          </w:p>
        </w:tc>
        <w:tc>
          <w:tcPr>
            <w:tcW w:w="524" w:type="dxa"/>
            <w:gridSpan w:val="2"/>
            <w:tcBorders>
              <w:top w:val="nil"/>
              <w:left w:val="nil"/>
              <w:right w:val="nil"/>
            </w:tcBorders>
            <w:shd w:val="clear" w:color="auto" w:fill="auto"/>
            <w:noWrap/>
            <w:vAlign w:val="center"/>
          </w:tcPr>
          <w:p w14:paraId="247D9176" w14:textId="13704925" w:rsidR="008D14D6" w:rsidRPr="008C4A1D" w:rsidRDefault="007C7797" w:rsidP="008C4A1D">
            <w:pPr>
              <w:tabs>
                <w:tab w:val="left" w:pos="8647"/>
              </w:tabs>
              <w:spacing w:after="0" w:line="240" w:lineRule="auto"/>
              <w:jc w:val="right"/>
              <w:rPr>
                <w:rFonts w:eastAsia="Times New Roman" w:cs="Times New Roman"/>
                <w:color w:val="000000"/>
                <w:sz w:val="20"/>
                <w:szCs w:val="18"/>
                <w:vertAlign w:val="subscript"/>
                <w:lang w:eastAsia="en-GB"/>
              </w:rPr>
            </w:pPr>
            <w:r w:rsidRPr="008C4A1D">
              <w:rPr>
                <w:rFonts w:eastAsia="Times New Roman" w:cs="Times New Roman"/>
                <w:noProof/>
                <w:color w:val="000000"/>
                <w:sz w:val="20"/>
                <w:szCs w:val="18"/>
                <w:vertAlign w:val="subscript"/>
                <w:lang w:eastAsia="en-GB"/>
              </w:rPr>
              <w:t>76</w:t>
            </w:r>
          </w:p>
        </w:tc>
      </w:tr>
      <w:tr w:rsidR="008D14D6" w:rsidRPr="008C4A1D" w14:paraId="6EE44864" w14:textId="77777777" w:rsidTr="000E4C5D">
        <w:trPr>
          <w:gridAfter w:val="1"/>
          <w:wAfter w:w="43" w:type="dxa"/>
          <w:trHeight w:val="271"/>
        </w:trPr>
        <w:tc>
          <w:tcPr>
            <w:tcW w:w="1164" w:type="dxa"/>
            <w:tcBorders>
              <w:left w:val="nil"/>
              <w:bottom w:val="single" w:sz="4" w:space="0" w:color="auto"/>
              <w:right w:val="nil"/>
            </w:tcBorders>
            <w:shd w:val="clear" w:color="auto" w:fill="auto"/>
            <w:noWrap/>
            <w:vAlign w:val="center"/>
          </w:tcPr>
          <w:p w14:paraId="0244E9C8" w14:textId="7777777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p>
        </w:tc>
        <w:tc>
          <w:tcPr>
            <w:tcW w:w="1138" w:type="dxa"/>
            <w:gridSpan w:val="2"/>
            <w:tcBorders>
              <w:left w:val="nil"/>
              <w:bottom w:val="single" w:sz="4" w:space="0" w:color="auto"/>
              <w:right w:val="nil"/>
            </w:tcBorders>
            <w:shd w:val="clear" w:color="auto" w:fill="auto"/>
            <w:noWrap/>
            <w:vAlign w:val="center"/>
          </w:tcPr>
          <w:p w14:paraId="28C94FC9" w14:textId="77777777" w:rsidR="008D14D6" w:rsidRPr="00344D4B" w:rsidRDefault="008D14D6" w:rsidP="007C0566">
            <w:pPr>
              <w:tabs>
                <w:tab w:val="left" w:pos="8647"/>
              </w:tabs>
              <w:spacing w:after="0" w:line="240" w:lineRule="auto"/>
              <w:jc w:val="center"/>
              <w:rPr>
                <w:rFonts w:eastAsia="Times New Roman" w:cs="Calibri"/>
                <w:i/>
                <w:iCs/>
                <w:color w:val="000000"/>
                <w:sz w:val="20"/>
                <w:szCs w:val="21"/>
                <w:lang w:eastAsia="en-GB"/>
              </w:rPr>
            </w:pPr>
            <w:r w:rsidRPr="00344D4B">
              <w:rPr>
                <w:rFonts w:eastAsia="Times New Roman" w:cs="Calibri"/>
                <w:i/>
                <w:iCs/>
                <w:color w:val="000000"/>
                <w:sz w:val="20"/>
                <w:szCs w:val="21"/>
                <w:lang w:eastAsia="en-GB"/>
              </w:rPr>
              <w:t>MNS1</w:t>
            </w:r>
          </w:p>
        </w:tc>
        <w:tc>
          <w:tcPr>
            <w:tcW w:w="851" w:type="dxa"/>
            <w:tcBorders>
              <w:left w:val="nil"/>
              <w:bottom w:val="single" w:sz="4" w:space="0" w:color="auto"/>
              <w:right w:val="nil"/>
            </w:tcBorders>
            <w:shd w:val="clear" w:color="auto" w:fill="auto"/>
            <w:noWrap/>
            <w:vAlign w:val="center"/>
          </w:tcPr>
          <w:p w14:paraId="4E06A7BA" w14:textId="7777777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610766</w:t>
            </w:r>
          </w:p>
        </w:tc>
        <w:tc>
          <w:tcPr>
            <w:tcW w:w="1701" w:type="dxa"/>
            <w:tcBorders>
              <w:left w:val="nil"/>
              <w:bottom w:val="single" w:sz="4" w:space="0" w:color="auto"/>
              <w:right w:val="nil"/>
            </w:tcBorders>
            <w:shd w:val="clear" w:color="auto" w:fill="auto"/>
            <w:noWrap/>
            <w:vAlign w:val="center"/>
          </w:tcPr>
          <w:p w14:paraId="48BB3F1C" w14:textId="1EB4614A"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ODA</w:t>
            </w:r>
          </w:p>
        </w:tc>
        <w:tc>
          <w:tcPr>
            <w:tcW w:w="1984" w:type="dxa"/>
            <w:gridSpan w:val="2"/>
            <w:tcBorders>
              <w:left w:val="nil"/>
              <w:bottom w:val="single" w:sz="4" w:space="0" w:color="auto"/>
              <w:right w:val="nil"/>
            </w:tcBorders>
            <w:shd w:val="clear" w:color="auto" w:fill="auto"/>
            <w:noWrap/>
            <w:vAlign w:val="center"/>
          </w:tcPr>
          <w:p w14:paraId="5270F29B" w14:textId="130203C3"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Normal</w:t>
            </w:r>
          </w:p>
        </w:tc>
        <w:tc>
          <w:tcPr>
            <w:tcW w:w="2410" w:type="dxa"/>
            <w:gridSpan w:val="4"/>
            <w:tcBorders>
              <w:left w:val="nil"/>
              <w:bottom w:val="single" w:sz="4" w:space="0" w:color="auto"/>
              <w:right w:val="nil"/>
            </w:tcBorders>
            <w:shd w:val="clear" w:color="auto" w:fill="auto"/>
            <w:noWrap/>
            <w:vAlign w:val="center"/>
          </w:tcPr>
          <w:p w14:paraId="5218118E" w14:textId="7C1CD917" w:rsidR="008D14D6" w:rsidRPr="00344D4B" w:rsidRDefault="007C0566" w:rsidP="009C5DDC">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Milder resp. phenotype</w:t>
            </w:r>
          </w:p>
        </w:tc>
        <w:tc>
          <w:tcPr>
            <w:tcW w:w="524" w:type="dxa"/>
            <w:gridSpan w:val="2"/>
            <w:tcBorders>
              <w:left w:val="nil"/>
              <w:bottom w:val="single" w:sz="4" w:space="0" w:color="auto"/>
              <w:right w:val="nil"/>
            </w:tcBorders>
            <w:shd w:val="clear" w:color="auto" w:fill="auto"/>
            <w:noWrap/>
            <w:vAlign w:val="center"/>
          </w:tcPr>
          <w:p w14:paraId="006647FC" w14:textId="3424903A" w:rsidR="008D14D6" w:rsidRPr="008C4A1D" w:rsidRDefault="007C7797" w:rsidP="008C4A1D">
            <w:pPr>
              <w:tabs>
                <w:tab w:val="left" w:pos="8647"/>
              </w:tabs>
              <w:spacing w:after="0" w:line="240" w:lineRule="auto"/>
              <w:jc w:val="right"/>
              <w:rPr>
                <w:sz w:val="20"/>
                <w:vertAlign w:val="subscript"/>
              </w:rPr>
            </w:pPr>
            <w:r w:rsidRPr="008C4A1D">
              <w:rPr>
                <w:noProof/>
                <w:sz w:val="20"/>
                <w:vertAlign w:val="subscript"/>
              </w:rPr>
              <w:t>90</w:t>
            </w:r>
          </w:p>
        </w:tc>
      </w:tr>
      <w:tr w:rsidR="008D14D6" w:rsidRPr="008C4A1D" w14:paraId="0A54642E" w14:textId="77777777" w:rsidTr="000E4C5D">
        <w:trPr>
          <w:gridAfter w:val="1"/>
          <w:wAfter w:w="43" w:type="dxa"/>
          <w:trHeight w:val="181"/>
        </w:trPr>
        <w:tc>
          <w:tcPr>
            <w:tcW w:w="1164" w:type="dxa"/>
            <w:tcBorders>
              <w:top w:val="nil"/>
              <w:left w:val="nil"/>
              <w:bottom w:val="nil"/>
              <w:right w:val="nil"/>
            </w:tcBorders>
            <w:shd w:val="clear" w:color="auto" w:fill="auto"/>
            <w:vAlign w:val="center"/>
            <w:hideMark/>
          </w:tcPr>
          <w:p w14:paraId="46BA06DC" w14:textId="3FE01096" w:rsidR="008D14D6" w:rsidRPr="00344D4B" w:rsidRDefault="008D14D6" w:rsidP="007C0566">
            <w:pPr>
              <w:tabs>
                <w:tab w:val="left" w:pos="8647"/>
              </w:tabs>
              <w:spacing w:after="0" w:line="240" w:lineRule="auto"/>
              <w:jc w:val="center"/>
              <w:rPr>
                <w:rFonts w:eastAsia="Times New Roman" w:cs="Times New Roman"/>
                <w:b/>
                <w:bCs/>
                <w:color w:val="000000"/>
                <w:sz w:val="20"/>
                <w:szCs w:val="21"/>
                <w:lang w:eastAsia="en-GB"/>
              </w:rPr>
            </w:pPr>
            <w:r w:rsidRPr="00344D4B">
              <w:rPr>
                <w:rFonts w:eastAsia="Times New Roman" w:cs="Times New Roman"/>
                <w:b/>
                <w:bCs/>
                <w:color w:val="000000"/>
                <w:sz w:val="20"/>
                <w:szCs w:val="21"/>
                <w:lang w:eastAsia="en-GB"/>
              </w:rPr>
              <w:t>Pre-</w:t>
            </w:r>
          </w:p>
        </w:tc>
        <w:tc>
          <w:tcPr>
            <w:tcW w:w="1138" w:type="dxa"/>
            <w:gridSpan w:val="2"/>
            <w:tcBorders>
              <w:top w:val="nil"/>
              <w:left w:val="nil"/>
              <w:bottom w:val="nil"/>
              <w:right w:val="nil"/>
            </w:tcBorders>
            <w:shd w:val="clear" w:color="auto" w:fill="auto"/>
            <w:vAlign w:val="center"/>
            <w:hideMark/>
          </w:tcPr>
          <w:p w14:paraId="69A608C0" w14:textId="77777777" w:rsidR="008D14D6" w:rsidRPr="00344D4B" w:rsidRDefault="008D14D6" w:rsidP="007C0566">
            <w:pPr>
              <w:tabs>
                <w:tab w:val="left" w:pos="8647"/>
              </w:tabs>
              <w:spacing w:after="0" w:line="240" w:lineRule="auto"/>
              <w:jc w:val="center"/>
              <w:rPr>
                <w:rFonts w:eastAsia="Times New Roman" w:cs="Calibri"/>
                <w:i/>
                <w:iCs/>
                <w:color w:val="000000"/>
                <w:sz w:val="20"/>
                <w:szCs w:val="21"/>
                <w:lang w:eastAsia="en-GB"/>
              </w:rPr>
            </w:pPr>
            <w:r w:rsidRPr="00344D4B">
              <w:rPr>
                <w:rFonts w:eastAsia="Times New Roman" w:cs="Calibri"/>
                <w:i/>
                <w:iCs/>
                <w:color w:val="000000"/>
                <w:sz w:val="20"/>
                <w:szCs w:val="21"/>
                <w:lang w:eastAsia="en-GB"/>
              </w:rPr>
              <w:t>DNAAF1</w:t>
            </w:r>
          </w:p>
        </w:tc>
        <w:tc>
          <w:tcPr>
            <w:tcW w:w="851" w:type="dxa"/>
            <w:tcBorders>
              <w:top w:val="nil"/>
              <w:left w:val="nil"/>
              <w:bottom w:val="nil"/>
              <w:right w:val="nil"/>
            </w:tcBorders>
            <w:shd w:val="clear" w:color="auto" w:fill="auto"/>
            <w:noWrap/>
            <w:vAlign w:val="center"/>
            <w:hideMark/>
          </w:tcPr>
          <w:p w14:paraId="21AA9DFF" w14:textId="7777777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613190</w:t>
            </w:r>
          </w:p>
        </w:tc>
        <w:tc>
          <w:tcPr>
            <w:tcW w:w="1701" w:type="dxa"/>
            <w:tcBorders>
              <w:top w:val="nil"/>
              <w:left w:val="nil"/>
              <w:bottom w:val="nil"/>
              <w:right w:val="nil"/>
            </w:tcBorders>
            <w:shd w:val="clear" w:color="auto" w:fill="auto"/>
            <w:noWrap/>
            <w:vAlign w:val="center"/>
            <w:hideMark/>
          </w:tcPr>
          <w:p w14:paraId="13BA2ABE" w14:textId="1E55B490"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ODA + IDA</w:t>
            </w:r>
          </w:p>
        </w:tc>
        <w:tc>
          <w:tcPr>
            <w:tcW w:w="1984" w:type="dxa"/>
            <w:gridSpan w:val="2"/>
            <w:tcBorders>
              <w:top w:val="nil"/>
              <w:left w:val="nil"/>
              <w:bottom w:val="nil"/>
              <w:right w:val="nil"/>
            </w:tcBorders>
            <w:shd w:val="clear" w:color="auto" w:fill="auto"/>
            <w:noWrap/>
            <w:vAlign w:val="center"/>
            <w:hideMark/>
          </w:tcPr>
          <w:p w14:paraId="6806862D" w14:textId="284D54B2"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Static</w:t>
            </w:r>
          </w:p>
        </w:tc>
        <w:tc>
          <w:tcPr>
            <w:tcW w:w="2410" w:type="dxa"/>
            <w:gridSpan w:val="4"/>
            <w:tcBorders>
              <w:top w:val="nil"/>
              <w:left w:val="nil"/>
              <w:bottom w:val="nil"/>
              <w:right w:val="nil"/>
            </w:tcBorders>
            <w:shd w:val="clear" w:color="auto" w:fill="auto"/>
            <w:noWrap/>
            <w:vAlign w:val="center"/>
          </w:tcPr>
          <w:p w14:paraId="5D564D4E" w14:textId="0E4480BF" w:rsidR="008D14D6" w:rsidRPr="00344D4B" w:rsidRDefault="008D14D6" w:rsidP="009C5DDC">
            <w:pPr>
              <w:tabs>
                <w:tab w:val="left" w:pos="8647"/>
              </w:tabs>
              <w:spacing w:after="0" w:line="240" w:lineRule="auto"/>
              <w:jc w:val="center"/>
              <w:rPr>
                <w:rFonts w:eastAsia="Times New Roman" w:cs="Calibri"/>
                <w:color w:val="000000"/>
                <w:sz w:val="20"/>
                <w:szCs w:val="21"/>
                <w:lang w:eastAsia="en-GB"/>
              </w:rPr>
            </w:pPr>
          </w:p>
        </w:tc>
        <w:tc>
          <w:tcPr>
            <w:tcW w:w="524" w:type="dxa"/>
            <w:gridSpan w:val="2"/>
            <w:tcBorders>
              <w:top w:val="nil"/>
              <w:left w:val="nil"/>
              <w:bottom w:val="nil"/>
              <w:right w:val="nil"/>
            </w:tcBorders>
            <w:shd w:val="clear" w:color="auto" w:fill="auto"/>
            <w:noWrap/>
            <w:vAlign w:val="center"/>
          </w:tcPr>
          <w:p w14:paraId="52E084D3" w14:textId="4E9DF64C" w:rsidR="008D14D6" w:rsidRPr="008C4A1D" w:rsidRDefault="007C7797" w:rsidP="008C4A1D">
            <w:pPr>
              <w:tabs>
                <w:tab w:val="left" w:pos="8647"/>
              </w:tabs>
              <w:spacing w:after="0" w:line="240" w:lineRule="auto"/>
              <w:jc w:val="right"/>
              <w:rPr>
                <w:rFonts w:eastAsia="Times New Roman" w:cs="Times New Roman"/>
                <w:color w:val="000000"/>
                <w:sz w:val="20"/>
                <w:szCs w:val="18"/>
                <w:vertAlign w:val="subscript"/>
                <w:lang w:eastAsia="en-GB"/>
              </w:rPr>
            </w:pPr>
            <w:r w:rsidRPr="008C4A1D">
              <w:rPr>
                <w:rFonts w:eastAsia="Times New Roman" w:cs="Times New Roman"/>
                <w:noProof/>
                <w:color w:val="000000"/>
                <w:sz w:val="20"/>
                <w:szCs w:val="18"/>
                <w:vertAlign w:val="subscript"/>
                <w:lang w:eastAsia="en-GB"/>
              </w:rPr>
              <w:t>79,80</w:t>
            </w:r>
          </w:p>
        </w:tc>
      </w:tr>
      <w:tr w:rsidR="008D14D6" w:rsidRPr="008C4A1D" w14:paraId="635E756D" w14:textId="77777777" w:rsidTr="000E4C5D">
        <w:trPr>
          <w:gridAfter w:val="1"/>
          <w:wAfter w:w="43" w:type="dxa"/>
          <w:trHeight w:val="195"/>
        </w:trPr>
        <w:tc>
          <w:tcPr>
            <w:tcW w:w="1164" w:type="dxa"/>
            <w:tcBorders>
              <w:top w:val="nil"/>
              <w:left w:val="nil"/>
              <w:bottom w:val="nil"/>
              <w:right w:val="nil"/>
            </w:tcBorders>
            <w:shd w:val="clear" w:color="auto" w:fill="auto"/>
            <w:vAlign w:val="center"/>
            <w:hideMark/>
          </w:tcPr>
          <w:p w14:paraId="6293DDCC" w14:textId="11E91AE5" w:rsidR="008D14D6" w:rsidRPr="00344D4B" w:rsidRDefault="008D14D6" w:rsidP="007C0566">
            <w:pPr>
              <w:tabs>
                <w:tab w:val="left" w:pos="8647"/>
              </w:tabs>
              <w:spacing w:after="0" w:line="240" w:lineRule="auto"/>
              <w:jc w:val="center"/>
              <w:rPr>
                <w:rFonts w:eastAsia="Times New Roman" w:cs="Times New Roman"/>
                <w:color w:val="000000"/>
                <w:sz w:val="20"/>
                <w:szCs w:val="21"/>
                <w:lang w:eastAsia="en-GB"/>
              </w:rPr>
            </w:pPr>
            <w:r w:rsidRPr="00344D4B">
              <w:rPr>
                <w:rFonts w:eastAsia="Times New Roman" w:cs="Times New Roman"/>
                <w:b/>
                <w:bCs/>
                <w:color w:val="000000"/>
                <w:sz w:val="20"/>
                <w:szCs w:val="21"/>
                <w:lang w:eastAsia="en-GB"/>
              </w:rPr>
              <w:t>assembly</w:t>
            </w:r>
          </w:p>
        </w:tc>
        <w:tc>
          <w:tcPr>
            <w:tcW w:w="1138" w:type="dxa"/>
            <w:gridSpan w:val="2"/>
            <w:tcBorders>
              <w:top w:val="nil"/>
              <w:left w:val="nil"/>
              <w:bottom w:val="nil"/>
              <w:right w:val="nil"/>
            </w:tcBorders>
            <w:shd w:val="clear" w:color="auto" w:fill="auto"/>
            <w:vAlign w:val="center"/>
            <w:hideMark/>
          </w:tcPr>
          <w:p w14:paraId="5DB0D7F0" w14:textId="77777777" w:rsidR="008D14D6" w:rsidRPr="00344D4B" w:rsidRDefault="008D14D6" w:rsidP="007C0566">
            <w:pPr>
              <w:tabs>
                <w:tab w:val="left" w:pos="8647"/>
              </w:tabs>
              <w:spacing w:after="0" w:line="240" w:lineRule="auto"/>
              <w:jc w:val="center"/>
              <w:rPr>
                <w:rFonts w:eastAsia="Times New Roman" w:cs="Calibri"/>
                <w:i/>
                <w:iCs/>
                <w:color w:val="000000"/>
                <w:sz w:val="20"/>
                <w:szCs w:val="21"/>
                <w:lang w:eastAsia="en-GB"/>
              </w:rPr>
            </w:pPr>
            <w:r w:rsidRPr="00344D4B">
              <w:rPr>
                <w:rFonts w:eastAsia="Times New Roman" w:cs="Calibri"/>
                <w:i/>
                <w:iCs/>
                <w:color w:val="000000"/>
                <w:sz w:val="20"/>
                <w:szCs w:val="21"/>
                <w:lang w:eastAsia="en-GB"/>
              </w:rPr>
              <w:t>DNAAF2</w:t>
            </w:r>
          </w:p>
        </w:tc>
        <w:tc>
          <w:tcPr>
            <w:tcW w:w="851" w:type="dxa"/>
            <w:tcBorders>
              <w:top w:val="nil"/>
              <w:left w:val="nil"/>
              <w:bottom w:val="nil"/>
              <w:right w:val="nil"/>
            </w:tcBorders>
            <w:shd w:val="clear" w:color="auto" w:fill="auto"/>
            <w:noWrap/>
            <w:vAlign w:val="center"/>
            <w:hideMark/>
          </w:tcPr>
          <w:p w14:paraId="6459038D" w14:textId="7777777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612517</w:t>
            </w:r>
          </w:p>
        </w:tc>
        <w:tc>
          <w:tcPr>
            <w:tcW w:w="1701" w:type="dxa"/>
            <w:tcBorders>
              <w:top w:val="nil"/>
              <w:left w:val="nil"/>
              <w:bottom w:val="nil"/>
              <w:right w:val="nil"/>
            </w:tcBorders>
            <w:shd w:val="clear" w:color="auto" w:fill="auto"/>
            <w:noWrap/>
            <w:vAlign w:val="center"/>
            <w:hideMark/>
          </w:tcPr>
          <w:p w14:paraId="447DEB0A" w14:textId="14D3C46A"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ODA + IDA</w:t>
            </w:r>
          </w:p>
        </w:tc>
        <w:tc>
          <w:tcPr>
            <w:tcW w:w="1984" w:type="dxa"/>
            <w:gridSpan w:val="2"/>
            <w:tcBorders>
              <w:top w:val="nil"/>
              <w:left w:val="nil"/>
              <w:bottom w:val="nil"/>
              <w:right w:val="nil"/>
            </w:tcBorders>
            <w:shd w:val="clear" w:color="auto" w:fill="auto"/>
            <w:noWrap/>
            <w:vAlign w:val="center"/>
            <w:hideMark/>
          </w:tcPr>
          <w:p w14:paraId="2DAEAF68" w14:textId="3D48F1FA"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Static</w:t>
            </w:r>
          </w:p>
        </w:tc>
        <w:tc>
          <w:tcPr>
            <w:tcW w:w="2410" w:type="dxa"/>
            <w:gridSpan w:val="4"/>
            <w:tcBorders>
              <w:top w:val="nil"/>
              <w:left w:val="nil"/>
              <w:bottom w:val="nil"/>
              <w:right w:val="nil"/>
            </w:tcBorders>
            <w:shd w:val="clear" w:color="auto" w:fill="auto"/>
            <w:noWrap/>
            <w:vAlign w:val="center"/>
          </w:tcPr>
          <w:p w14:paraId="218BFB48" w14:textId="750BEAFD" w:rsidR="008D14D6" w:rsidRPr="00344D4B" w:rsidRDefault="008D14D6" w:rsidP="009C5DDC">
            <w:pPr>
              <w:tabs>
                <w:tab w:val="left" w:pos="8647"/>
              </w:tabs>
              <w:spacing w:after="0" w:line="240" w:lineRule="auto"/>
              <w:jc w:val="center"/>
              <w:rPr>
                <w:rFonts w:eastAsia="Times New Roman" w:cs="Calibri"/>
                <w:color w:val="000000"/>
                <w:sz w:val="20"/>
                <w:szCs w:val="21"/>
                <w:lang w:eastAsia="en-GB"/>
              </w:rPr>
            </w:pPr>
          </w:p>
        </w:tc>
        <w:tc>
          <w:tcPr>
            <w:tcW w:w="524" w:type="dxa"/>
            <w:gridSpan w:val="2"/>
            <w:tcBorders>
              <w:top w:val="nil"/>
              <w:left w:val="nil"/>
              <w:bottom w:val="nil"/>
              <w:right w:val="nil"/>
            </w:tcBorders>
            <w:shd w:val="clear" w:color="auto" w:fill="auto"/>
            <w:noWrap/>
            <w:vAlign w:val="center"/>
          </w:tcPr>
          <w:p w14:paraId="1233AC1C" w14:textId="51864914" w:rsidR="008D14D6" w:rsidRPr="008C4A1D" w:rsidRDefault="007C7797" w:rsidP="008C4A1D">
            <w:pPr>
              <w:tabs>
                <w:tab w:val="left" w:pos="8647"/>
              </w:tabs>
              <w:spacing w:after="0" w:line="240" w:lineRule="auto"/>
              <w:jc w:val="right"/>
              <w:rPr>
                <w:rFonts w:eastAsia="Times New Roman" w:cs="Calibri"/>
                <w:color w:val="000000"/>
                <w:sz w:val="20"/>
                <w:vertAlign w:val="subscript"/>
                <w:lang w:eastAsia="en-GB"/>
              </w:rPr>
            </w:pPr>
            <w:r w:rsidRPr="008C4A1D">
              <w:rPr>
                <w:rFonts w:eastAsia="Times New Roman" w:cs="Calibri"/>
                <w:noProof/>
                <w:color w:val="000000"/>
                <w:sz w:val="20"/>
                <w:vertAlign w:val="subscript"/>
                <w:lang w:eastAsia="en-GB"/>
              </w:rPr>
              <w:t>81</w:t>
            </w:r>
          </w:p>
        </w:tc>
      </w:tr>
      <w:tr w:rsidR="008D14D6" w:rsidRPr="008C4A1D" w14:paraId="1C7B7E1A" w14:textId="77777777" w:rsidTr="000E4C5D">
        <w:trPr>
          <w:gridAfter w:val="1"/>
          <w:wAfter w:w="43" w:type="dxa"/>
          <w:trHeight w:val="65"/>
        </w:trPr>
        <w:tc>
          <w:tcPr>
            <w:tcW w:w="1164" w:type="dxa"/>
            <w:tcBorders>
              <w:top w:val="nil"/>
              <w:left w:val="nil"/>
              <w:bottom w:val="nil"/>
              <w:right w:val="nil"/>
            </w:tcBorders>
            <w:shd w:val="clear" w:color="auto" w:fill="auto"/>
            <w:noWrap/>
            <w:vAlign w:val="center"/>
            <w:hideMark/>
          </w:tcPr>
          <w:p w14:paraId="39CBCCD6" w14:textId="77777777" w:rsidR="008D14D6" w:rsidRPr="00344D4B" w:rsidRDefault="008D14D6" w:rsidP="007C0566">
            <w:pPr>
              <w:tabs>
                <w:tab w:val="left" w:pos="8647"/>
              </w:tabs>
              <w:spacing w:after="0" w:line="240" w:lineRule="auto"/>
              <w:jc w:val="center"/>
              <w:rPr>
                <w:rFonts w:eastAsia="Times New Roman" w:cs="Times New Roman"/>
                <w:sz w:val="20"/>
                <w:szCs w:val="21"/>
                <w:lang w:eastAsia="en-GB"/>
              </w:rPr>
            </w:pPr>
            <w:r w:rsidRPr="00344D4B">
              <w:rPr>
                <w:rFonts w:eastAsia="Times New Roman" w:cs="Times New Roman"/>
                <w:b/>
                <w:bCs/>
                <w:color w:val="000000"/>
                <w:sz w:val="20"/>
                <w:szCs w:val="21"/>
                <w:lang w:eastAsia="en-GB"/>
              </w:rPr>
              <w:t>Factor</w:t>
            </w:r>
          </w:p>
        </w:tc>
        <w:tc>
          <w:tcPr>
            <w:tcW w:w="1138" w:type="dxa"/>
            <w:gridSpan w:val="2"/>
            <w:tcBorders>
              <w:top w:val="nil"/>
              <w:left w:val="nil"/>
              <w:bottom w:val="nil"/>
              <w:right w:val="nil"/>
            </w:tcBorders>
            <w:shd w:val="clear" w:color="auto" w:fill="auto"/>
            <w:vAlign w:val="center"/>
            <w:hideMark/>
          </w:tcPr>
          <w:p w14:paraId="5A7DF958" w14:textId="77777777" w:rsidR="008D14D6" w:rsidRPr="00344D4B" w:rsidRDefault="008D14D6" w:rsidP="007C0566">
            <w:pPr>
              <w:tabs>
                <w:tab w:val="left" w:pos="8647"/>
              </w:tabs>
              <w:spacing w:after="0" w:line="240" w:lineRule="auto"/>
              <w:jc w:val="center"/>
              <w:rPr>
                <w:rFonts w:eastAsia="Times New Roman" w:cs="Calibri"/>
                <w:i/>
                <w:iCs/>
                <w:color w:val="000000"/>
                <w:sz w:val="20"/>
                <w:szCs w:val="21"/>
                <w:lang w:eastAsia="en-GB"/>
              </w:rPr>
            </w:pPr>
            <w:r w:rsidRPr="00344D4B">
              <w:rPr>
                <w:rFonts w:eastAsia="Times New Roman" w:cs="Calibri"/>
                <w:i/>
                <w:iCs/>
                <w:color w:val="000000"/>
                <w:sz w:val="20"/>
                <w:szCs w:val="21"/>
                <w:lang w:eastAsia="en-GB"/>
              </w:rPr>
              <w:t>DNAAF3</w:t>
            </w:r>
          </w:p>
        </w:tc>
        <w:tc>
          <w:tcPr>
            <w:tcW w:w="851" w:type="dxa"/>
            <w:tcBorders>
              <w:top w:val="nil"/>
              <w:left w:val="nil"/>
              <w:bottom w:val="nil"/>
              <w:right w:val="nil"/>
            </w:tcBorders>
            <w:shd w:val="clear" w:color="auto" w:fill="auto"/>
            <w:noWrap/>
            <w:vAlign w:val="center"/>
            <w:hideMark/>
          </w:tcPr>
          <w:p w14:paraId="2DD38960" w14:textId="7777777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614566</w:t>
            </w:r>
          </w:p>
        </w:tc>
        <w:tc>
          <w:tcPr>
            <w:tcW w:w="1701" w:type="dxa"/>
            <w:tcBorders>
              <w:top w:val="nil"/>
              <w:left w:val="nil"/>
              <w:bottom w:val="nil"/>
              <w:right w:val="nil"/>
            </w:tcBorders>
            <w:shd w:val="clear" w:color="auto" w:fill="auto"/>
            <w:noWrap/>
            <w:vAlign w:val="center"/>
            <w:hideMark/>
          </w:tcPr>
          <w:p w14:paraId="59BB42FC" w14:textId="2323FDC5"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ODA + IDA</w:t>
            </w:r>
          </w:p>
        </w:tc>
        <w:tc>
          <w:tcPr>
            <w:tcW w:w="1984" w:type="dxa"/>
            <w:gridSpan w:val="2"/>
            <w:tcBorders>
              <w:top w:val="nil"/>
              <w:left w:val="nil"/>
              <w:bottom w:val="nil"/>
              <w:right w:val="nil"/>
            </w:tcBorders>
            <w:shd w:val="clear" w:color="auto" w:fill="auto"/>
            <w:noWrap/>
            <w:vAlign w:val="center"/>
            <w:hideMark/>
          </w:tcPr>
          <w:p w14:paraId="00059A3D" w14:textId="3A855952"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Static</w:t>
            </w:r>
          </w:p>
        </w:tc>
        <w:tc>
          <w:tcPr>
            <w:tcW w:w="2410" w:type="dxa"/>
            <w:gridSpan w:val="4"/>
            <w:tcBorders>
              <w:top w:val="nil"/>
              <w:left w:val="nil"/>
              <w:bottom w:val="nil"/>
              <w:right w:val="nil"/>
            </w:tcBorders>
            <w:shd w:val="clear" w:color="auto" w:fill="auto"/>
            <w:noWrap/>
            <w:vAlign w:val="center"/>
          </w:tcPr>
          <w:p w14:paraId="71FABDB8" w14:textId="6542D050" w:rsidR="008D14D6" w:rsidRPr="00344D4B" w:rsidRDefault="008D14D6" w:rsidP="009C5DDC">
            <w:pPr>
              <w:tabs>
                <w:tab w:val="left" w:pos="8647"/>
              </w:tabs>
              <w:spacing w:after="0" w:line="240" w:lineRule="auto"/>
              <w:jc w:val="center"/>
              <w:rPr>
                <w:rFonts w:eastAsia="Times New Roman" w:cs="Calibri"/>
                <w:color w:val="000000"/>
                <w:sz w:val="20"/>
                <w:szCs w:val="21"/>
                <w:lang w:eastAsia="en-GB"/>
              </w:rPr>
            </w:pPr>
          </w:p>
        </w:tc>
        <w:tc>
          <w:tcPr>
            <w:tcW w:w="524" w:type="dxa"/>
            <w:gridSpan w:val="2"/>
            <w:tcBorders>
              <w:top w:val="nil"/>
              <w:left w:val="nil"/>
              <w:bottom w:val="nil"/>
              <w:right w:val="nil"/>
            </w:tcBorders>
            <w:shd w:val="clear" w:color="auto" w:fill="auto"/>
            <w:noWrap/>
            <w:vAlign w:val="center"/>
          </w:tcPr>
          <w:p w14:paraId="3B4D3874" w14:textId="2C49A01B" w:rsidR="008D14D6" w:rsidRPr="008C4A1D" w:rsidRDefault="007C7797" w:rsidP="008C4A1D">
            <w:pPr>
              <w:tabs>
                <w:tab w:val="left" w:pos="8647"/>
              </w:tabs>
              <w:spacing w:after="0" w:line="240" w:lineRule="auto"/>
              <w:jc w:val="right"/>
              <w:rPr>
                <w:rFonts w:eastAsia="Times New Roman" w:cs="Calibri"/>
                <w:color w:val="000000"/>
                <w:sz w:val="20"/>
                <w:vertAlign w:val="subscript"/>
                <w:lang w:eastAsia="en-GB"/>
              </w:rPr>
            </w:pPr>
            <w:r w:rsidRPr="008C4A1D">
              <w:rPr>
                <w:rFonts w:eastAsia="Times New Roman" w:cs="Calibri"/>
                <w:noProof/>
                <w:color w:val="000000"/>
                <w:sz w:val="20"/>
                <w:vertAlign w:val="subscript"/>
                <w:lang w:eastAsia="en-GB"/>
              </w:rPr>
              <w:t>82</w:t>
            </w:r>
          </w:p>
        </w:tc>
      </w:tr>
      <w:tr w:rsidR="008D14D6" w:rsidRPr="008C4A1D" w14:paraId="4AA6636A" w14:textId="77777777" w:rsidTr="000E4C5D">
        <w:trPr>
          <w:gridAfter w:val="1"/>
          <w:wAfter w:w="43" w:type="dxa"/>
          <w:trHeight w:val="216"/>
        </w:trPr>
        <w:tc>
          <w:tcPr>
            <w:tcW w:w="1164" w:type="dxa"/>
            <w:tcBorders>
              <w:top w:val="nil"/>
              <w:left w:val="nil"/>
              <w:bottom w:val="nil"/>
              <w:right w:val="nil"/>
            </w:tcBorders>
            <w:shd w:val="clear" w:color="auto" w:fill="auto"/>
            <w:noWrap/>
            <w:vAlign w:val="center"/>
            <w:hideMark/>
          </w:tcPr>
          <w:p w14:paraId="48A17B9E" w14:textId="77777777" w:rsidR="008D14D6" w:rsidRPr="00344D4B" w:rsidRDefault="008D14D6" w:rsidP="007C0566">
            <w:pPr>
              <w:tabs>
                <w:tab w:val="left" w:pos="8647"/>
              </w:tabs>
              <w:spacing w:after="0" w:line="240" w:lineRule="auto"/>
              <w:jc w:val="center"/>
              <w:rPr>
                <w:rFonts w:eastAsia="Times New Roman" w:cs="Times New Roman"/>
                <w:sz w:val="20"/>
                <w:szCs w:val="21"/>
                <w:lang w:eastAsia="en-GB"/>
              </w:rPr>
            </w:pPr>
          </w:p>
        </w:tc>
        <w:tc>
          <w:tcPr>
            <w:tcW w:w="1138" w:type="dxa"/>
            <w:gridSpan w:val="2"/>
            <w:tcBorders>
              <w:top w:val="nil"/>
              <w:left w:val="nil"/>
              <w:bottom w:val="nil"/>
              <w:right w:val="nil"/>
            </w:tcBorders>
            <w:shd w:val="clear" w:color="auto" w:fill="auto"/>
            <w:vAlign w:val="center"/>
            <w:hideMark/>
          </w:tcPr>
          <w:p w14:paraId="761043DF" w14:textId="77777777" w:rsidR="008D14D6" w:rsidRPr="00344D4B" w:rsidRDefault="008D14D6" w:rsidP="007C0566">
            <w:pPr>
              <w:tabs>
                <w:tab w:val="left" w:pos="8647"/>
              </w:tabs>
              <w:spacing w:after="0" w:line="240" w:lineRule="auto"/>
              <w:jc w:val="center"/>
              <w:rPr>
                <w:rFonts w:eastAsia="Times New Roman" w:cs="Calibri"/>
                <w:i/>
                <w:iCs/>
                <w:color w:val="000000"/>
                <w:sz w:val="20"/>
                <w:szCs w:val="21"/>
                <w:lang w:eastAsia="en-GB"/>
              </w:rPr>
            </w:pPr>
            <w:r w:rsidRPr="00344D4B">
              <w:rPr>
                <w:rFonts w:eastAsia="Times New Roman" w:cs="Calibri"/>
                <w:i/>
                <w:iCs/>
                <w:color w:val="000000"/>
                <w:sz w:val="20"/>
                <w:szCs w:val="21"/>
                <w:lang w:eastAsia="en-GB"/>
              </w:rPr>
              <w:t>DNAAF4</w:t>
            </w:r>
          </w:p>
        </w:tc>
        <w:tc>
          <w:tcPr>
            <w:tcW w:w="851" w:type="dxa"/>
            <w:tcBorders>
              <w:top w:val="nil"/>
              <w:left w:val="nil"/>
              <w:bottom w:val="nil"/>
              <w:right w:val="nil"/>
            </w:tcBorders>
            <w:shd w:val="clear" w:color="auto" w:fill="auto"/>
            <w:noWrap/>
            <w:vAlign w:val="center"/>
            <w:hideMark/>
          </w:tcPr>
          <w:p w14:paraId="6908BC4B" w14:textId="7777777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608706</w:t>
            </w:r>
          </w:p>
        </w:tc>
        <w:tc>
          <w:tcPr>
            <w:tcW w:w="1701" w:type="dxa"/>
            <w:tcBorders>
              <w:top w:val="nil"/>
              <w:left w:val="nil"/>
              <w:bottom w:val="nil"/>
              <w:right w:val="nil"/>
            </w:tcBorders>
            <w:shd w:val="clear" w:color="auto" w:fill="auto"/>
            <w:noWrap/>
            <w:vAlign w:val="center"/>
            <w:hideMark/>
          </w:tcPr>
          <w:p w14:paraId="3765F7B2" w14:textId="30203CF5"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ODA + IDA</w:t>
            </w:r>
          </w:p>
        </w:tc>
        <w:tc>
          <w:tcPr>
            <w:tcW w:w="1984" w:type="dxa"/>
            <w:gridSpan w:val="2"/>
            <w:tcBorders>
              <w:top w:val="nil"/>
              <w:left w:val="nil"/>
              <w:bottom w:val="nil"/>
              <w:right w:val="nil"/>
            </w:tcBorders>
            <w:shd w:val="clear" w:color="auto" w:fill="auto"/>
            <w:noWrap/>
            <w:vAlign w:val="center"/>
            <w:hideMark/>
          </w:tcPr>
          <w:p w14:paraId="5DDC3EA8" w14:textId="770C5642"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Static</w:t>
            </w:r>
          </w:p>
        </w:tc>
        <w:tc>
          <w:tcPr>
            <w:tcW w:w="2410" w:type="dxa"/>
            <w:gridSpan w:val="4"/>
            <w:tcBorders>
              <w:top w:val="nil"/>
              <w:left w:val="nil"/>
              <w:bottom w:val="nil"/>
              <w:right w:val="nil"/>
            </w:tcBorders>
            <w:shd w:val="clear" w:color="auto" w:fill="auto"/>
            <w:noWrap/>
            <w:vAlign w:val="center"/>
          </w:tcPr>
          <w:p w14:paraId="655C8873" w14:textId="4F3E7630" w:rsidR="008D14D6" w:rsidRPr="00344D4B" w:rsidRDefault="008D14D6" w:rsidP="009C5DDC">
            <w:pPr>
              <w:tabs>
                <w:tab w:val="left" w:pos="8647"/>
              </w:tabs>
              <w:spacing w:after="0" w:line="240" w:lineRule="auto"/>
              <w:jc w:val="center"/>
              <w:rPr>
                <w:rFonts w:eastAsia="Times New Roman" w:cs="Calibri"/>
                <w:color w:val="000000"/>
                <w:sz w:val="20"/>
                <w:szCs w:val="21"/>
                <w:lang w:eastAsia="en-GB"/>
              </w:rPr>
            </w:pPr>
          </w:p>
        </w:tc>
        <w:tc>
          <w:tcPr>
            <w:tcW w:w="524" w:type="dxa"/>
            <w:gridSpan w:val="2"/>
            <w:tcBorders>
              <w:top w:val="nil"/>
              <w:left w:val="nil"/>
              <w:bottom w:val="nil"/>
              <w:right w:val="nil"/>
            </w:tcBorders>
            <w:shd w:val="clear" w:color="auto" w:fill="auto"/>
            <w:noWrap/>
            <w:vAlign w:val="center"/>
          </w:tcPr>
          <w:p w14:paraId="29EB8051" w14:textId="28E0CC68" w:rsidR="008D14D6" w:rsidRPr="008C4A1D" w:rsidRDefault="007C7797" w:rsidP="008C4A1D">
            <w:pPr>
              <w:tabs>
                <w:tab w:val="left" w:pos="8647"/>
              </w:tabs>
              <w:spacing w:after="0" w:line="240" w:lineRule="auto"/>
              <w:jc w:val="right"/>
              <w:rPr>
                <w:rFonts w:eastAsia="Times New Roman" w:cs="Calibri"/>
                <w:color w:val="000000"/>
                <w:sz w:val="20"/>
                <w:vertAlign w:val="subscript"/>
                <w:lang w:eastAsia="en-GB"/>
              </w:rPr>
            </w:pPr>
            <w:r w:rsidRPr="008C4A1D">
              <w:rPr>
                <w:rFonts w:eastAsia="Times New Roman" w:cs="Calibri"/>
                <w:noProof/>
                <w:color w:val="000000"/>
                <w:sz w:val="20"/>
                <w:vertAlign w:val="subscript"/>
                <w:lang w:eastAsia="en-GB"/>
              </w:rPr>
              <w:t>83</w:t>
            </w:r>
          </w:p>
        </w:tc>
      </w:tr>
      <w:tr w:rsidR="008D14D6" w:rsidRPr="008C4A1D" w14:paraId="217F4EDD" w14:textId="77777777" w:rsidTr="000E4C5D">
        <w:trPr>
          <w:gridAfter w:val="1"/>
          <w:wAfter w:w="43" w:type="dxa"/>
          <w:trHeight w:val="271"/>
        </w:trPr>
        <w:tc>
          <w:tcPr>
            <w:tcW w:w="1164" w:type="dxa"/>
            <w:tcBorders>
              <w:top w:val="nil"/>
              <w:left w:val="nil"/>
              <w:bottom w:val="nil"/>
              <w:right w:val="nil"/>
            </w:tcBorders>
            <w:shd w:val="clear" w:color="auto" w:fill="auto"/>
            <w:noWrap/>
            <w:vAlign w:val="center"/>
            <w:hideMark/>
          </w:tcPr>
          <w:p w14:paraId="6C40B7FD" w14:textId="77777777" w:rsidR="008D14D6" w:rsidRPr="00344D4B" w:rsidRDefault="008D14D6" w:rsidP="007C0566">
            <w:pPr>
              <w:tabs>
                <w:tab w:val="left" w:pos="8647"/>
              </w:tabs>
              <w:spacing w:after="0" w:line="240" w:lineRule="auto"/>
              <w:jc w:val="center"/>
              <w:rPr>
                <w:rFonts w:eastAsia="Times New Roman" w:cs="Times New Roman"/>
                <w:sz w:val="20"/>
                <w:szCs w:val="21"/>
                <w:lang w:eastAsia="en-GB"/>
              </w:rPr>
            </w:pPr>
          </w:p>
        </w:tc>
        <w:tc>
          <w:tcPr>
            <w:tcW w:w="1138" w:type="dxa"/>
            <w:gridSpan w:val="2"/>
            <w:tcBorders>
              <w:top w:val="nil"/>
              <w:left w:val="nil"/>
              <w:bottom w:val="nil"/>
              <w:right w:val="nil"/>
            </w:tcBorders>
            <w:shd w:val="clear" w:color="auto" w:fill="auto"/>
            <w:noWrap/>
            <w:vAlign w:val="center"/>
            <w:hideMark/>
          </w:tcPr>
          <w:p w14:paraId="09DF66FD" w14:textId="77777777" w:rsidR="008D14D6" w:rsidRPr="00344D4B" w:rsidRDefault="008D14D6" w:rsidP="007C0566">
            <w:pPr>
              <w:tabs>
                <w:tab w:val="left" w:pos="8647"/>
              </w:tabs>
              <w:spacing w:after="0" w:line="240" w:lineRule="auto"/>
              <w:jc w:val="center"/>
              <w:rPr>
                <w:rFonts w:eastAsia="Times New Roman" w:cs="Calibri"/>
                <w:i/>
                <w:iCs/>
                <w:color w:val="000000"/>
                <w:sz w:val="20"/>
                <w:szCs w:val="21"/>
                <w:lang w:eastAsia="en-GB"/>
              </w:rPr>
            </w:pPr>
            <w:r w:rsidRPr="00344D4B">
              <w:rPr>
                <w:rFonts w:eastAsia="Times New Roman" w:cs="Calibri"/>
                <w:i/>
                <w:iCs/>
                <w:color w:val="000000"/>
                <w:sz w:val="20"/>
                <w:szCs w:val="21"/>
                <w:lang w:eastAsia="en-GB"/>
              </w:rPr>
              <w:t>DNAAF5</w:t>
            </w:r>
          </w:p>
        </w:tc>
        <w:tc>
          <w:tcPr>
            <w:tcW w:w="851" w:type="dxa"/>
            <w:tcBorders>
              <w:top w:val="nil"/>
              <w:left w:val="nil"/>
              <w:bottom w:val="nil"/>
              <w:right w:val="nil"/>
            </w:tcBorders>
            <w:shd w:val="clear" w:color="auto" w:fill="auto"/>
            <w:noWrap/>
            <w:vAlign w:val="center"/>
            <w:hideMark/>
          </w:tcPr>
          <w:p w14:paraId="5A7EB7F9" w14:textId="7777777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614864</w:t>
            </w:r>
          </w:p>
        </w:tc>
        <w:tc>
          <w:tcPr>
            <w:tcW w:w="1701" w:type="dxa"/>
            <w:tcBorders>
              <w:top w:val="nil"/>
              <w:left w:val="nil"/>
              <w:bottom w:val="nil"/>
              <w:right w:val="nil"/>
            </w:tcBorders>
            <w:shd w:val="clear" w:color="auto" w:fill="auto"/>
            <w:noWrap/>
            <w:vAlign w:val="center"/>
            <w:hideMark/>
          </w:tcPr>
          <w:p w14:paraId="13E3B23D" w14:textId="304C461A"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ODA + IDA</w:t>
            </w:r>
          </w:p>
        </w:tc>
        <w:tc>
          <w:tcPr>
            <w:tcW w:w="1984" w:type="dxa"/>
            <w:gridSpan w:val="2"/>
            <w:tcBorders>
              <w:top w:val="nil"/>
              <w:left w:val="nil"/>
              <w:bottom w:val="nil"/>
              <w:right w:val="nil"/>
            </w:tcBorders>
            <w:shd w:val="clear" w:color="auto" w:fill="auto"/>
            <w:noWrap/>
            <w:vAlign w:val="center"/>
            <w:hideMark/>
          </w:tcPr>
          <w:p w14:paraId="21398E9A" w14:textId="1439899B"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Static</w:t>
            </w:r>
          </w:p>
        </w:tc>
        <w:tc>
          <w:tcPr>
            <w:tcW w:w="2410" w:type="dxa"/>
            <w:gridSpan w:val="4"/>
            <w:tcBorders>
              <w:top w:val="nil"/>
              <w:left w:val="nil"/>
              <w:bottom w:val="nil"/>
              <w:right w:val="nil"/>
            </w:tcBorders>
            <w:shd w:val="clear" w:color="auto" w:fill="auto"/>
            <w:noWrap/>
            <w:vAlign w:val="center"/>
          </w:tcPr>
          <w:p w14:paraId="38206584" w14:textId="2A48E335" w:rsidR="008D14D6" w:rsidRPr="00344D4B" w:rsidRDefault="008D14D6" w:rsidP="009C5DDC">
            <w:pPr>
              <w:tabs>
                <w:tab w:val="left" w:pos="8647"/>
              </w:tabs>
              <w:spacing w:after="0" w:line="240" w:lineRule="auto"/>
              <w:jc w:val="center"/>
              <w:rPr>
                <w:rFonts w:eastAsia="Times New Roman" w:cs="Calibri"/>
                <w:color w:val="000000"/>
                <w:sz w:val="20"/>
                <w:szCs w:val="21"/>
                <w:lang w:eastAsia="en-GB"/>
              </w:rPr>
            </w:pPr>
          </w:p>
        </w:tc>
        <w:tc>
          <w:tcPr>
            <w:tcW w:w="524" w:type="dxa"/>
            <w:gridSpan w:val="2"/>
            <w:tcBorders>
              <w:top w:val="nil"/>
              <w:left w:val="nil"/>
              <w:bottom w:val="nil"/>
              <w:right w:val="nil"/>
            </w:tcBorders>
            <w:shd w:val="clear" w:color="auto" w:fill="auto"/>
            <w:noWrap/>
            <w:vAlign w:val="center"/>
          </w:tcPr>
          <w:p w14:paraId="4DE33BF0" w14:textId="7DDACA4C" w:rsidR="008D14D6" w:rsidRPr="008C4A1D" w:rsidRDefault="007C7797" w:rsidP="008C4A1D">
            <w:pPr>
              <w:tabs>
                <w:tab w:val="left" w:pos="8647"/>
              </w:tabs>
              <w:spacing w:after="0" w:line="240" w:lineRule="auto"/>
              <w:jc w:val="right"/>
              <w:rPr>
                <w:rFonts w:eastAsia="Times New Roman" w:cs="Calibri"/>
                <w:color w:val="000000"/>
                <w:sz w:val="20"/>
                <w:vertAlign w:val="subscript"/>
                <w:lang w:eastAsia="en-GB"/>
              </w:rPr>
            </w:pPr>
            <w:r w:rsidRPr="008C4A1D">
              <w:rPr>
                <w:rFonts w:eastAsia="Times New Roman" w:cs="Calibri"/>
                <w:noProof/>
                <w:color w:val="000000"/>
                <w:sz w:val="20"/>
                <w:vertAlign w:val="subscript"/>
                <w:lang w:eastAsia="en-GB"/>
              </w:rPr>
              <w:t>84</w:t>
            </w:r>
          </w:p>
        </w:tc>
      </w:tr>
      <w:tr w:rsidR="008D14D6" w:rsidRPr="008C4A1D" w14:paraId="27D1E63A" w14:textId="77777777" w:rsidTr="000E4C5D">
        <w:trPr>
          <w:gridAfter w:val="1"/>
          <w:wAfter w:w="43" w:type="dxa"/>
          <w:trHeight w:val="271"/>
        </w:trPr>
        <w:tc>
          <w:tcPr>
            <w:tcW w:w="1164" w:type="dxa"/>
            <w:tcBorders>
              <w:top w:val="nil"/>
              <w:left w:val="nil"/>
              <w:bottom w:val="nil"/>
              <w:right w:val="nil"/>
            </w:tcBorders>
            <w:shd w:val="clear" w:color="auto" w:fill="auto"/>
            <w:noWrap/>
            <w:vAlign w:val="center"/>
            <w:hideMark/>
          </w:tcPr>
          <w:p w14:paraId="2C01449C" w14:textId="77777777" w:rsidR="008D14D6" w:rsidRPr="00344D4B" w:rsidRDefault="008D14D6" w:rsidP="007C0566">
            <w:pPr>
              <w:tabs>
                <w:tab w:val="left" w:pos="8647"/>
              </w:tabs>
              <w:spacing w:after="0" w:line="240" w:lineRule="auto"/>
              <w:jc w:val="center"/>
              <w:rPr>
                <w:rFonts w:eastAsia="Times New Roman" w:cs="Times New Roman"/>
                <w:sz w:val="20"/>
                <w:szCs w:val="21"/>
                <w:lang w:eastAsia="en-GB"/>
              </w:rPr>
            </w:pPr>
          </w:p>
        </w:tc>
        <w:tc>
          <w:tcPr>
            <w:tcW w:w="1138" w:type="dxa"/>
            <w:gridSpan w:val="2"/>
            <w:tcBorders>
              <w:top w:val="nil"/>
              <w:left w:val="nil"/>
              <w:bottom w:val="nil"/>
              <w:right w:val="nil"/>
            </w:tcBorders>
            <w:shd w:val="clear" w:color="auto" w:fill="auto"/>
            <w:noWrap/>
            <w:vAlign w:val="center"/>
            <w:hideMark/>
          </w:tcPr>
          <w:p w14:paraId="47B1E3B9" w14:textId="77777777" w:rsidR="008D14D6" w:rsidRPr="00344D4B" w:rsidRDefault="008D14D6" w:rsidP="007C0566">
            <w:pPr>
              <w:tabs>
                <w:tab w:val="left" w:pos="8647"/>
              </w:tabs>
              <w:spacing w:after="0" w:line="240" w:lineRule="auto"/>
              <w:jc w:val="center"/>
              <w:rPr>
                <w:rFonts w:eastAsia="Times New Roman" w:cs="Calibri"/>
                <w:i/>
                <w:iCs/>
                <w:color w:val="000000"/>
                <w:sz w:val="20"/>
                <w:szCs w:val="21"/>
                <w:lang w:eastAsia="en-GB"/>
              </w:rPr>
            </w:pPr>
            <w:r w:rsidRPr="00344D4B">
              <w:rPr>
                <w:rFonts w:eastAsia="Times New Roman" w:cs="Calibri"/>
                <w:i/>
                <w:iCs/>
                <w:color w:val="000000"/>
                <w:sz w:val="20"/>
                <w:szCs w:val="21"/>
                <w:lang w:eastAsia="en-GB"/>
              </w:rPr>
              <w:t>LRRC6</w:t>
            </w:r>
          </w:p>
        </w:tc>
        <w:tc>
          <w:tcPr>
            <w:tcW w:w="851" w:type="dxa"/>
            <w:tcBorders>
              <w:top w:val="nil"/>
              <w:left w:val="nil"/>
              <w:bottom w:val="nil"/>
              <w:right w:val="nil"/>
            </w:tcBorders>
            <w:shd w:val="clear" w:color="auto" w:fill="auto"/>
            <w:noWrap/>
            <w:vAlign w:val="center"/>
            <w:hideMark/>
          </w:tcPr>
          <w:p w14:paraId="0E79FBE3" w14:textId="7777777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614930</w:t>
            </w:r>
          </w:p>
        </w:tc>
        <w:tc>
          <w:tcPr>
            <w:tcW w:w="1701" w:type="dxa"/>
            <w:tcBorders>
              <w:top w:val="nil"/>
              <w:left w:val="nil"/>
              <w:bottom w:val="nil"/>
              <w:right w:val="nil"/>
            </w:tcBorders>
            <w:shd w:val="clear" w:color="auto" w:fill="auto"/>
            <w:noWrap/>
            <w:vAlign w:val="center"/>
            <w:hideMark/>
          </w:tcPr>
          <w:p w14:paraId="1E091EF6" w14:textId="5DD6AC34"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ODA + IDA</w:t>
            </w:r>
          </w:p>
        </w:tc>
        <w:tc>
          <w:tcPr>
            <w:tcW w:w="1984" w:type="dxa"/>
            <w:gridSpan w:val="2"/>
            <w:tcBorders>
              <w:top w:val="nil"/>
              <w:left w:val="nil"/>
              <w:bottom w:val="nil"/>
              <w:right w:val="nil"/>
            </w:tcBorders>
            <w:shd w:val="clear" w:color="auto" w:fill="auto"/>
            <w:noWrap/>
            <w:vAlign w:val="center"/>
            <w:hideMark/>
          </w:tcPr>
          <w:p w14:paraId="5EF59783" w14:textId="5E58BEF5"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Static</w:t>
            </w:r>
          </w:p>
        </w:tc>
        <w:tc>
          <w:tcPr>
            <w:tcW w:w="2410" w:type="dxa"/>
            <w:gridSpan w:val="4"/>
            <w:tcBorders>
              <w:top w:val="nil"/>
              <w:left w:val="nil"/>
              <w:bottom w:val="nil"/>
              <w:right w:val="nil"/>
            </w:tcBorders>
            <w:shd w:val="clear" w:color="auto" w:fill="auto"/>
            <w:noWrap/>
            <w:vAlign w:val="center"/>
          </w:tcPr>
          <w:p w14:paraId="0EC255C2" w14:textId="57CA20FA" w:rsidR="008D14D6" w:rsidRPr="00344D4B" w:rsidRDefault="008D14D6" w:rsidP="009C5DDC">
            <w:pPr>
              <w:tabs>
                <w:tab w:val="left" w:pos="8647"/>
              </w:tabs>
              <w:spacing w:after="0" w:line="240" w:lineRule="auto"/>
              <w:jc w:val="center"/>
              <w:rPr>
                <w:rFonts w:eastAsia="Times New Roman" w:cs="Calibri"/>
                <w:color w:val="000000"/>
                <w:sz w:val="20"/>
                <w:szCs w:val="21"/>
                <w:lang w:eastAsia="en-GB"/>
              </w:rPr>
            </w:pPr>
          </w:p>
        </w:tc>
        <w:tc>
          <w:tcPr>
            <w:tcW w:w="524" w:type="dxa"/>
            <w:gridSpan w:val="2"/>
            <w:tcBorders>
              <w:top w:val="nil"/>
              <w:left w:val="nil"/>
              <w:bottom w:val="nil"/>
              <w:right w:val="nil"/>
            </w:tcBorders>
            <w:shd w:val="clear" w:color="auto" w:fill="auto"/>
            <w:noWrap/>
            <w:vAlign w:val="center"/>
          </w:tcPr>
          <w:p w14:paraId="5060ACCC" w14:textId="630C6E9E" w:rsidR="008D14D6" w:rsidRPr="008C4A1D" w:rsidRDefault="007C7797" w:rsidP="008C4A1D">
            <w:pPr>
              <w:tabs>
                <w:tab w:val="left" w:pos="8647"/>
              </w:tabs>
              <w:spacing w:after="0" w:line="240" w:lineRule="auto"/>
              <w:jc w:val="right"/>
              <w:rPr>
                <w:rFonts w:eastAsia="Times New Roman" w:cs="Calibri"/>
                <w:color w:val="000000"/>
                <w:sz w:val="20"/>
                <w:vertAlign w:val="subscript"/>
                <w:lang w:eastAsia="en-GB"/>
              </w:rPr>
            </w:pPr>
            <w:r w:rsidRPr="008C4A1D">
              <w:rPr>
                <w:rFonts w:eastAsia="Times New Roman" w:cs="Calibri"/>
                <w:noProof/>
                <w:color w:val="000000"/>
                <w:sz w:val="20"/>
                <w:vertAlign w:val="subscript"/>
                <w:lang w:eastAsia="en-GB"/>
              </w:rPr>
              <w:t>85</w:t>
            </w:r>
          </w:p>
        </w:tc>
      </w:tr>
      <w:tr w:rsidR="008D14D6" w:rsidRPr="008C4A1D" w14:paraId="59ACC24D" w14:textId="77777777" w:rsidTr="000E4C5D">
        <w:trPr>
          <w:gridAfter w:val="1"/>
          <w:wAfter w:w="43" w:type="dxa"/>
          <w:trHeight w:val="271"/>
        </w:trPr>
        <w:tc>
          <w:tcPr>
            <w:tcW w:w="1164" w:type="dxa"/>
            <w:tcBorders>
              <w:top w:val="nil"/>
              <w:left w:val="nil"/>
              <w:bottom w:val="nil"/>
              <w:right w:val="nil"/>
            </w:tcBorders>
            <w:shd w:val="clear" w:color="auto" w:fill="auto"/>
            <w:noWrap/>
            <w:vAlign w:val="center"/>
            <w:hideMark/>
          </w:tcPr>
          <w:p w14:paraId="3A7A09ED" w14:textId="77777777" w:rsidR="008D14D6" w:rsidRPr="00344D4B" w:rsidRDefault="008D14D6" w:rsidP="007C0566">
            <w:pPr>
              <w:tabs>
                <w:tab w:val="left" w:pos="8647"/>
              </w:tabs>
              <w:spacing w:after="0" w:line="240" w:lineRule="auto"/>
              <w:jc w:val="center"/>
              <w:rPr>
                <w:rFonts w:eastAsia="Times New Roman" w:cs="Times New Roman"/>
                <w:sz w:val="20"/>
                <w:szCs w:val="21"/>
                <w:lang w:eastAsia="en-GB"/>
              </w:rPr>
            </w:pPr>
          </w:p>
        </w:tc>
        <w:tc>
          <w:tcPr>
            <w:tcW w:w="1138" w:type="dxa"/>
            <w:gridSpan w:val="2"/>
            <w:tcBorders>
              <w:top w:val="nil"/>
              <w:left w:val="nil"/>
              <w:bottom w:val="nil"/>
              <w:right w:val="nil"/>
            </w:tcBorders>
            <w:shd w:val="clear" w:color="auto" w:fill="auto"/>
            <w:noWrap/>
            <w:vAlign w:val="center"/>
            <w:hideMark/>
          </w:tcPr>
          <w:p w14:paraId="76DB8E2E" w14:textId="77777777" w:rsidR="008D14D6" w:rsidRPr="00344D4B" w:rsidRDefault="008D14D6" w:rsidP="007C0566">
            <w:pPr>
              <w:tabs>
                <w:tab w:val="left" w:pos="8647"/>
              </w:tabs>
              <w:spacing w:after="0" w:line="240" w:lineRule="auto"/>
              <w:jc w:val="center"/>
              <w:rPr>
                <w:rFonts w:eastAsia="Times New Roman" w:cs="Calibri"/>
                <w:i/>
                <w:iCs/>
                <w:color w:val="000000"/>
                <w:sz w:val="20"/>
                <w:szCs w:val="21"/>
                <w:lang w:eastAsia="en-GB"/>
              </w:rPr>
            </w:pPr>
            <w:r w:rsidRPr="00344D4B">
              <w:rPr>
                <w:rFonts w:eastAsia="Times New Roman" w:cs="Calibri"/>
                <w:i/>
                <w:iCs/>
                <w:color w:val="000000"/>
                <w:sz w:val="20"/>
                <w:szCs w:val="21"/>
                <w:lang w:eastAsia="en-GB"/>
              </w:rPr>
              <w:t>ZMYND10</w:t>
            </w:r>
          </w:p>
        </w:tc>
        <w:tc>
          <w:tcPr>
            <w:tcW w:w="851" w:type="dxa"/>
            <w:tcBorders>
              <w:top w:val="nil"/>
              <w:left w:val="nil"/>
              <w:bottom w:val="nil"/>
              <w:right w:val="nil"/>
            </w:tcBorders>
            <w:shd w:val="clear" w:color="auto" w:fill="auto"/>
            <w:noWrap/>
            <w:vAlign w:val="center"/>
            <w:hideMark/>
          </w:tcPr>
          <w:p w14:paraId="5FEA66AE" w14:textId="7777777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607070</w:t>
            </w:r>
          </w:p>
        </w:tc>
        <w:tc>
          <w:tcPr>
            <w:tcW w:w="1701" w:type="dxa"/>
            <w:tcBorders>
              <w:top w:val="nil"/>
              <w:left w:val="nil"/>
              <w:bottom w:val="nil"/>
              <w:right w:val="nil"/>
            </w:tcBorders>
            <w:shd w:val="clear" w:color="auto" w:fill="auto"/>
            <w:noWrap/>
            <w:vAlign w:val="center"/>
            <w:hideMark/>
          </w:tcPr>
          <w:p w14:paraId="3A0301FE" w14:textId="0494490D"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ODA + IDA</w:t>
            </w:r>
          </w:p>
        </w:tc>
        <w:tc>
          <w:tcPr>
            <w:tcW w:w="1984" w:type="dxa"/>
            <w:gridSpan w:val="2"/>
            <w:tcBorders>
              <w:top w:val="nil"/>
              <w:left w:val="nil"/>
              <w:bottom w:val="nil"/>
              <w:right w:val="nil"/>
            </w:tcBorders>
            <w:shd w:val="clear" w:color="auto" w:fill="auto"/>
            <w:noWrap/>
            <w:vAlign w:val="center"/>
            <w:hideMark/>
          </w:tcPr>
          <w:p w14:paraId="20704551" w14:textId="34954AB5"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Static</w:t>
            </w:r>
          </w:p>
        </w:tc>
        <w:tc>
          <w:tcPr>
            <w:tcW w:w="2410" w:type="dxa"/>
            <w:gridSpan w:val="4"/>
            <w:tcBorders>
              <w:top w:val="nil"/>
              <w:left w:val="nil"/>
              <w:bottom w:val="nil"/>
              <w:right w:val="nil"/>
            </w:tcBorders>
            <w:shd w:val="clear" w:color="auto" w:fill="auto"/>
            <w:noWrap/>
            <w:vAlign w:val="center"/>
          </w:tcPr>
          <w:p w14:paraId="0E1FF850" w14:textId="67FE9F79" w:rsidR="008D14D6" w:rsidRPr="00344D4B" w:rsidRDefault="008D14D6" w:rsidP="009C5DDC">
            <w:pPr>
              <w:tabs>
                <w:tab w:val="left" w:pos="8647"/>
              </w:tabs>
              <w:spacing w:after="0" w:line="240" w:lineRule="auto"/>
              <w:jc w:val="center"/>
              <w:rPr>
                <w:rFonts w:eastAsia="Times New Roman" w:cs="Calibri"/>
                <w:color w:val="000000"/>
                <w:sz w:val="20"/>
                <w:szCs w:val="21"/>
                <w:lang w:eastAsia="en-GB"/>
              </w:rPr>
            </w:pPr>
          </w:p>
        </w:tc>
        <w:tc>
          <w:tcPr>
            <w:tcW w:w="524" w:type="dxa"/>
            <w:gridSpan w:val="2"/>
            <w:tcBorders>
              <w:top w:val="nil"/>
              <w:left w:val="nil"/>
              <w:bottom w:val="nil"/>
              <w:right w:val="nil"/>
            </w:tcBorders>
            <w:shd w:val="clear" w:color="auto" w:fill="auto"/>
            <w:noWrap/>
            <w:vAlign w:val="center"/>
          </w:tcPr>
          <w:p w14:paraId="7B85DE44" w14:textId="561296E4" w:rsidR="008D14D6" w:rsidRPr="008C4A1D" w:rsidRDefault="007C7797" w:rsidP="008C4A1D">
            <w:pPr>
              <w:tabs>
                <w:tab w:val="left" w:pos="8647"/>
              </w:tabs>
              <w:spacing w:after="0" w:line="240" w:lineRule="auto"/>
              <w:jc w:val="right"/>
              <w:rPr>
                <w:rFonts w:eastAsia="Times New Roman" w:cs="Calibri"/>
                <w:color w:val="000000"/>
                <w:sz w:val="20"/>
                <w:vertAlign w:val="subscript"/>
                <w:lang w:eastAsia="en-GB"/>
              </w:rPr>
            </w:pPr>
            <w:r w:rsidRPr="008C4A1D">
              <w:rPr>
                <w:rFonts w:eastAsia="Times New Roman" w:cs="Calibri"/>
                <w:noProof/>
                <w:color w:val="000000"/>
                <w:sz w:val="20"/>
                <w:vertAlign w:val="subscript"/>
                <w:lang w:eastAsia="en-GB"/>
              </w:rPr>
              <w:t>86,87</w:t>
            </w:r>
          </w:p>
        </w:tc>
      </w:tr>
      <w:tr w:rsidR="008D14D6" w:rsidRPr="008C4A1D" w14:paraId="23F85D39" w14:textId="77777777" w:rsidTr="000E4C5D">
        <w:trPr>
          <w:gridAfter w:val="1"/>
          <w:wAfter w:w="43" w:type="dxa"/>
          <w:trHeight w:val="271"/>
        </w:trPr>
        <w:tc>
          <w:tcPr>
            <w:tcW w:w="1164" w:type="dxa"/>
            <w:tcBorders>
              <w:top w:val="nil"/>
              <w:left w:val="nil"/>
              <w:bottom w:val="nil"/>
              <w:right w:val="nil"/>
            </w:tcBorders>
            <w:shd w:val="clear" w:color="auto" w:fill="auto"/>
            <w:noWrap/>
            <w:vAlign w:val="center"/>
            <w:hideMark/>
          </w:tcPr>
          <w:p w14:paraId="53A6D784" w14:textId="77777777" w:rsidR="008D14D6" w:rsidRPr="00344D4B" w:rsidRDefault="008D14D6" w:rsidP="007C0566">
            <w:pPr>
              <w:tabs>
                <w:tab w:val="left" w:pos="8647"/>
              </w:tabs>
              <w:spacing w:after="0" w:line="240" w:lineRule="auto"/>
              <w:jc w:val="center"/>
              <w:rPr>
                <w:rFonts w:eastAsia="Times New Roman" w:cs="Times New Roman"/>
                <w:sz w:val="20"/>
                <w:szCs w:val="21"/>
                <w:lang w:eastAsia="en-GB"/>
              </w:rPr>
            </w:pPr>
          </w:p>
        </w:tc>
        <w:tc>
          <w:tcPr>
            <w:tcW w:w="1138" w:type="dxa"/>
            <w:gridSpan w:val="2"/>
            <w:tcBorders>
              <w:top w:val="nil"/>
              <w:left w:val="nil"/>
              <w:bottom w:val="nil"/>
              <w:right w:val="nil"/>
            </w:tcBorders>
            <w:shd w:val="clear" w:color="auto" w:fill="auto"/>
            <w:noWrap/>
            <w:vAlign w:val="center"/>
            <w:hideMark/>
          </w:tcPr>
          <w:p w14:paraId="42A6D119" w14:textId="77777777" w:rsidR="008D14D6" w:rsidRPr="00344D4B" w:rsidRDefault="008D14D6" w:rsidP="007C0566">
            <w:pPr>
              <w:tabs>
                <w:tab w:val="left" w:pos="8647"/>
              </w:tabs>
              <w:spacing w:after="0" w:line="240" w:lineRule="auto"/>
              <w:jc w:val="center"/>
              <w:rPr>
                <w:rFonts w:eastAsia="Times New Roman" w:cs="Calibri"/>
                <w:i/>
                <w:iCs/>
                <w:color w:val="000000"/>
                <w:sz w:val="20"/>
                <w:szCs w:val="21"/>
                <w:lang w:eastAsia="en-GB"/>
              </w:rPr>
            </w:pPr>
            <w:r w:rsidRPr="00344D4B">
              <w:rPr>
                <w:rFonts w:eastAsia="Times New Roman" w:cs="Calibri"/>
                <w:i/>
                <w:iCs/>
                <w:color w:val="000000"/>
                <w:sz w:val="20"/>
                <w:szCs w:val="21"/>
                <w:lang w:eastAsia="en-GB"/>
              </w:rPr>
              <w:t>SPAG1</w:t>
            </w:r>
          </w:p>
        </w:tc>
        <w:tc>
          <w:tcPr>
            <w:tcW w:w="851" w:type="dxa"/>
            <w:tcBorders>
              <w:top w:val="nil"/>
              <w:left w:val="nil"/>
              <w:bottom w:val="nil"/>
              <w:right w:val="nil"/>
            </w:tcBorders>
            <w:shd w:val="clear" w:color="auto" w:fill="auto"/>
            <w:noWrap/>
            <w:vAlign w:val="center"/>
            <w:hideMark/>
          </w:tcPr>
          <w:p w14:paraId="14B08660" w14:textId="7777777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603395</w:t>
            </w:r>
          </w:p>
        </w:tc>
        <w:tc>
          <w:tcPr>
            <w:tcW w:w="1701" w:type="dxa"/>
            <w:tcBorders>
              <w:top w:val="nil"/>
              <w:left w:val="nil"/>
              <w:bottom w:val="nil"/>
              <w:right w:val="nil"/>
            </w:tcBorders>
            <w:shd w:val="clear" w:color="auto" w:fill="auto"/>
            <w:noWrap/>
            <w:vAlign w:val="center"/>
            <w:hideMark/>
          </w:tcPr>
          <w:p w14:paraId="04076A85" w14:textId="272EC040"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ODA + IDA</w:t>
            </w:r>
          </w:p>
        </w:tc>
        <w:tc>
          <w:tcPr>
            <w:tcW w:w="1984" w:type="dxa"/>
            <w:gridSpan w:val="2"/>
            <w:tcBorders>
              <w:top w:val="nil"/>
              <w:left w:val="nil"/>
              <w:bottom w:val="nil"/>
              <w:right w:val="nil"/>
            </w:tcBorders>
            <w:shd w:val="clear" w:color="auto" w:fill="auto"/>
            <w:noWrap/>
            <w:vAlign w:val="center"/>
            <w:hideMark/>
          </w:tcPr>
          <w:p w14:paraId="2B8E1A6D" w14:textId="1BE8C561"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Static</w:t>
            </w:r>
          </w:p>
        </w:tc>
        <w:tc>
          <w:tcPr>
            <w:tcW w:w="2410" w:type="dxa"/>
            <w:gridSpan w:val="4"/>
            <w:tcBorders>
              <w:top w:val="nil"/>
              <w:left w:val="nil"/>
              <w:bottom w:val="nil"/>
              <w:right w:val="nil"/>
            </w:tcBorders>
            <w:shd w:val="clear" w:color="auto" w:fill="auto"/>
            <w:noWrap/>
            <w:vAlign w:val="center"/>
          </w:tcPr>
          <w:p w14:paraId="0598A496" w14:textId="2E38E190" w:rsidR="008D14D6" w:rsidRPr="00344D4B" w:rsidRDefault="008D14D6" w:rsidP="009C5DDC">
            <w:pPr>
              <w:tabs>
                <w:tab w:val="left" w:pos="8647"/>
              </w:tabs>
              <w:spacing w:after="0" w:line="240" w:lineRule="auto"/>
              <w:jc w:val="center"/>
              <w:rPr>
                <w:rFonts w:eastAsia="Times New Roman" w:cs="Calibri"/>
                <w:color w:val="000000"/>
                <w:sz w:val="20"/>
                <w:szCs w:val="21"/>
                <w:lang w:eastAsia="en-GB"/>
              </w:rPr>
            </w:pPr>
          </w:p>
        </w:tc>
        <w:tc>
          <w:tcPr>
            <w:tcW w:w="524" w:type="dxa"/>
            <w:gridSpan w:val="2"/>
            <w:tcBorders>
              <w:top w:val="nil"/>
              <w:left w:val="nil"/>
              <w:bottom w:val="nil"/>
              <w:right w:val="nil"/>
            </w:tcBorders>
            <w:shd w:val="clear" w:color="auto" w:fill="auto"/>
            <w:noWrap/>
            <w:vAlign w:val="center"/>
          </w:tcPr>
          <w:p w14:paraId="4BEED1ED" w14:textId="1A15A443" w:rsidR="008D14D6" w:rsidRPr="008C4A1D" w:rsidRDefault="007C7797" w:rsidP="008C4A1D">
            <w:pPr>
              <w:tabs>
                <w:tab w:val="left" w:pos="8647"/>
              </w:tabs>
              <w:spacing w:after="0" w:line="240" w:lineRule="auto"/>
              <w:jc w:val="right"/>
              <w:rPr>
                <w:rFonts w:eastAsia="Times New Roman" w:cs="Calibri"/>
                <w:color w:val="000000"/>
                <w:sz w:val="20"/>
                <w:vertAlign w:val="subscript"/>
                <w:lang w:eastAsia="en-GB"/>
              </w:rPr>
            </w:pPr>
            <w:r w:rsidRPr="008C4A1D">
              <w:rPr>
                <w:rFonts w:eastAsia="Times New Roman" w:cs="Calibri"/>
                <w:noProof/>
                <w:color w:val="000000"/>
                <w:sz w:val="20"/>
                <w:vertAlign w:val="subscript"/>
                <w:lang w:eastAsia="en-GB"/>
              </w:rPr>
              <w:t>88</w:t>
            </w:r>
          </w:p>
        </w:tc>
      </w:tr>
      <w:tr w:rsidR="008D14D6" w:rsidRPr="008C4A1D" w14:paraId="34A84FDD" w14:textId="77777777" w:rsidTr="000E4C5D">
        <w:trPr>
          <w:gridAfter w:val="1"/>
          <w:wAfter w:w="43" w:type="dxa"/>
          <w:trHeight w:val="271"/>
        </w:trPr>
        <w:tc>
          <w:tcPr>
            <w:tcW w:w="1164" w:type="dxa"/>
            <w:tcBorders>
              <w:top w:val="nil"/>
              <w:left w:val="nil"/>
              <w:right w:val="nil"/>
            </w:tcBorders>
            <w:shd w:val="clear" w:color="auto" w:fill="auto"/>
            <w:noWrap/>
            <w:vAlign w:val="center"/>
            <w:hideMark/>
          </w:tcPr>
          <w:p w14:paraId="0A1D0B4F" w14:textId="77777777" w:rsidR="008D14D6" w:rsidRPr="00344D4B" w:rsidRDefault="008D14D6" w:rsidP="007C0566">
            <w:pPr>
              <w:tabs>
                <w:tab w:val="left" w:pos="8647"/>
              </w:tabs>
              <w:spacing w:after="0" w:line="240" w:lineRule="auto"/>
              <w:jc w:val="center"/>
              <w:rPr>
                <w:rFonts w:eastAsia="Times New Roman" w:cs="Times New Roman"/>
                <w:sz w:val="20"/>
                <w:szCs w:val="21"/>
                <w:lang w:eastAsia="en-GB"/>
              </w:rPr>
            </w:pPr>
          </w:p>
        </w:tc>
        <w:tc>
          <w:tcPr>
            <w:tcW w:w="1138" w:type="dxa"/>
            <w:gridSpan w:val="2"/>
            <w:tcBorders>
              <w:top w:val="nil"/>
              <w:left w:val="nil"/>
              <w:right w:val="nil"/>
            </w:tcBorders>
            <w:shd w:val="clear" w:color="auto" w:fill="auto"/>
            <w:noWrap/>
            <w:vAlign w:val="center"/>
            <w:hideMark/>
          </w:tcPr>
          <w:p w14:paraId="174780A3" w14:textId="77777777" w:rsidR="008D14D6" w:rsidRPr="00344D4B" w:rsidRDefault="008D14D6" w:rsidP="007C0566">
            <w:pPr>
              <w:tabs>
                <w:tab w:val="left" w:pos="8647"/>
              </w:tabs>
              <w:spacing w:after="0" w:line="240" w:lineRule="auto"/>
              <w:jc w:val="center"/>
              <w:rPr>
                <w:rFonts w:eastAsia="Times New Roman" w:cs="Calibri"/>
                <w:i/>
                <w:iCs/>
                <w:color w:val="000000"/>
                <w:sz w:val="20"/>
                <w:szCs w:val="21"/>
                <w:lang w:eastAsia="en-GB"/>
              </w:rPr>
            </w:pPr>
            <w:r w:rsidRPr="00344D4B">
              <w:rPr>
                <w:rFonts w:eastAsia="Times New Roman" w:cs="Calibri"/>
                <w:i/>
                <w:iCs/>
                <w:color w:val="000000"/>
                <w:sz w:val="20"/>
                <w:szCs w:val="21"/>
                <w:lang w:eastAsia="en-GB"/>
              </w:rPr>
              <w:t>C21ORF59</w:t>
            </w:r>
          </w:p>
        </w:tc>
        <w:tc>
          <w:tcPr>
            <w:tcW w:w="851" w:type="dxa"/>
            <w:tcBorders>
              <w:top w:val="nil"/>
              <w:left w:val="nil"/>
              <w:right w:val="nil"/>
            </w:tcBorders>
            <w:shd w:val="clear" w:color="auto" w:fill="auto"/>
            <w:noWrap/>
            <w:vAlign w:val="center"/>
            <w:hideMark/>
          </w:tcPr>
          <w:p w14:paraId="2D1EA3C4" w14:textId="7777777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615494</w:t>
            </w:r>
          </w:p>
        </w:tc>
        <w:tc>
          <w:tcPr>
            <w:tcW w:w="1701" w:type="dxa"/>
            <w:tcBorders>
              <w:top w:val="nil"/>
              <w:left w:val="nil"/>
              <w:right w:val="nil"/>
            </w:tcBorders>
            <w:shd w:val="clear" w:color="auto" w:fill="auto"/>
            <w:noWrap/>
            <w:vAlign w:val="center"/>
            <w:hideMark/>
          </w:tcPr>
          <w:p w14:paraId="61D95A5D" w14:textId="4C10AC72"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ODA + IDA</w:t>
            </w:r>
          </w:p>
        </w:tc>
        <w:tc>
          <w:tcPr>
            <w:tcW w:w="1984" w:type="dxa"/>
            <w:gridSpan w:val="2"/>
            <w:tcBorders>
              <w:top w:val="nil"/>
              <w:left w:val="nil"/>
              <w:right w:val="nil"/>
            </w:tcBorders>
            <w:shd w:val="clear" w:color="auto" w:fill="auto"/>
            <w:noWrap/>
            <w:vAlign w:val="center"/>
            <w:hideMark/>
          </w:tcPr>
          <w:p w14:paraId="6A6C7F5E" w14:textId="3FEBD75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Static</w:t>
            </w:r>
          </w:p>
        </w:tc>
        <w:tc>
          <w:tcPr>
            <w:tcW w:w="2410" w:type="dxa"/>
            <w:gridSpan w:val="4"/>
            <w:tcBorders>
              <w:top w:val="nil"/>
              <w:left w:val="nil"/>
              <w:right w:val="nil"/>
            </w:tcBorders>
            <w:shd w:val="clear" w:color="auto" w:fill="auto"/>
            <w:noWrap/>
            <w:vAlign w:val="center"/>
          </w:tcPr>
          <w:p w14:paraId="5F5F3454" w14:textId="57322DC6" w:rsidR="008D14D6" w:rsidRPr="009E606D" w:rsidRDefault="008D14D6" w:rsidP="009C5DDC">
            <w:pPr>
              <w:tabs>
                <w:tab w:val="left" w:pos="8647"/>
              </w:tabs>
              <w:spacing w:after="0" w:line="240" w:lineRule="auto"/>
              <w:jc w:val="center"/>
              <w:rPr>
                <w:rFonts w:eastAsia="Times New Roman" w:cs="Calibri"/>
                <w:color w:val="000000"/>
                <w:sz w:val="20"/>
                <w:szCs w:val="21"/>
                <w:lang w:eastAsia="en-GB"/>
              </w:rPr>
            </w:pPr>
          </w:p>
        </w:tc>
        <w:tc>
          <w:tcPr>
            <w:tcW w:w="524" w:type="dxa"/>
            <w:gridSpan w:val="2"/>
            <w:tcBorders>
              <w:top w:val="nil"/>
              <w:left w:val="nil"/>
              <w:right w:val="nil"/>
            </w:tcBorders>
            <w:shd w:val="clear" w:color="auto" w:fill="auto"/>
            <w:noWrap/>
            <w:vAlign w:val="center"/>
          </w:tcPr>
          <w:p w14:paraId="62676C08" w14:textId="709107B4" w:rsidR="008D14D6" w:rsidRPr="008C4A1D" w:rsidRDefault="007C7797" w:rsidP="008C4A1D">
            <w:pPr>
              <w:tabs>
                <w:tab w:val="left" w:pos="8647"/>
              </w:tabs>
              <w:spacing w:after="0" w:line="240" w:lineRule="auto"/>
              <w:jc w:val="right"/>
              <w:rPr>
                <w:rFonts w:eastAsia="Times New Roman" w:cs="Calibri"/>
                <w:color w:val="000000"/>
                <w:sz w:val="20"/>
                <w:vertAlign w:val="subscript"/>
                <w:lang w:eastAsia="en-GB"/>
              </w:rPr>
            </w:pPr>
            <w:r w:rsidRPr="008C4A1D">
              <w:rPr>
                <w:rFonts w:eastAsia="Times New Roman" w:cs="Calibri"/>
                <w:noProof/>
                <w:color w:val="000000"/>
                <w:sz w:val="20"/>
                <w:vertAlign w:val="subscript"/>
                <w:lang w:eastAsia="en-GB"/>
              </w:rPr>
              <w:t>89</w:t>
            </w:r>
          </w:p>
        </w:tc>
      </w:tr>
      <w:tr w:rsidR="008D14D6" w:rsidRPr="008C4A1D" w14:paraId="637A9E0D" w14:textId="77777777" w:rsidTr="000E4C5D">
        <w:trPr>
          <w:gridAfter w:val="1"/>
          <w:wAfter w:w="43" w:type="dxa"/>
          <w:trHeight w:val="271"/>
        </w:trPr>
        <w:tc>
          <w:tcPr>
            <w:tcW w:w="1164" w:type="dxa"/>
            <w:tcBorders>
              <w:top w:val="nil"/>
              <w:left w:val="nil"/>
              <w:right w:val="nil"/>
            </w:tcBorders>
            <w:shd w:val="clear" w:color="auto" w:fill="auto"/>
            <w:noWrap/>
            <w:vAlign w:val="center"/>
            <w:hideMark/>
          </w:tcPr>
          <w:p w14:paraId="380CACC6" w14:textId="48FA6D62"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p>
        </w:tc>
        <w:tc>
          <w:tcPr>
            <w:tcW w:w="1138" w:type="dxa"/>
            <w:gridSpan w:val="2"/>
            <w:tcBorders>
              <w:top w:val="nil"/>
              <w:left w:val="nil"/>
              <w:right w:val="nil"/>
            </w:tcBorders>
            <w:shd w:val="clear" w:color="auto" w:fill="auto"/>
            <w:noWrap/>
            <w:vAlign w:val="center"/>
            <w:hideMark/>
          </w:tcPr>
          <w:p w14:paraId="594CF973" w14:textId="77777777" w:rsidR="008D14D6" w:rsidRPr="00344D4B" w:rsidRDefault="008D14D6" w:rsidP="007C0566">
            <w:pPr>
              <w:tabs>
                <w:tab w:val="left" w:pos="8647"/>
              </w:tabs>
              <w:spacing w:after="0" w:line="240" w:lineRule="auto"/>
              <w:jc w:val="center"/>
              <w:rPr>
                <w:rFonts w:eastAsia="Times New Roman" w:cs="Calibri"/>
                <w:i/>
                <w:iCs/>
                <w:color w:val="000000"/>
                <w:sz w:val="20"/>
                <w:szCs w:val="21"/>
                <w:lang w:eastAsia="en-GB"/>
              </w:rPr>
            </w:pPr>
            <w:r w:rsidRPr="00344D4B">
              <w:rPr>
                <w:rFonts w:eastAsia="Times New Roman" w:cs="Calibri"/>
                <w:i/>
                <w:iCs/>
                <w:color w:val="000000"/>
                <w:sz w:val="20"/>
                <w:szCs w:val="21"/>
                <w:lang w:eastAsia="en-GB"/>
              </w:rPr>
              <w:t>PIH1D3</w:t>
            </w:r>
          </w:p>
        </w:tc>
        <w:tc>
          <w:tcPr>
            <w:tcW w:w="851" w:type="dxa"/>
            <w:tcBorders>
              <w:top w:val="nil"/>
              <w:left w:val="nil"/>
              <w:right w:val="nil"/>
            </w:tcBorders>
            <w:shd w:val="clear" w:color="auto" w:fill="auto"/>
            <w:noWrap/>
            <w:vAlign w:val="center"/>
            <w:hideMark/>
          </w:tcPr>
          <w:p w14:paraId="790AA297" w14:textId="7777777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300933</w:t>
            </w:r>
          </w:p>
        </w:tc>
        <w:tc>
          <w:tcPr>
            <w:tcW w:w="1701" w:type="dxa"/>
            <w:tcBorders>
              <w:top w:val="nil"/>
              <w:left w:val="nil"/>
              <w:right w:val="nil"/>
            </w:tcBorders>
            <w:shd w:val="clear" w:color="auto" w:fill="auto"/>
            <w:noWrap/>
            <w:vAlign w:val="center"/>
            <w:hideMark/>
          </w:tcPr>
          <w:p w14:paraId="01586618" w14:textId="4124BE10"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ODA + IDA</w:t>
            </w:r>
          </w:p>
        </w:tc>
        <w:tc>
          <w:tcPr>
            <w:tcW w:w="1984" w:type="dxa"/>
            <w:gridSpan w:val="2"/>
            <w:tcBorders>
              <w:top w:val="nil"/>
              <w:left w:val="nil"/>
              <w:right w:val="nil"/>
            </w:tcBorders>
            <w:shd w:val="clear" w:color="auto" w:fill="auto"/>
            <w:noWrap/>
            <w:vAlign w:val="center"/>
            <w:hideMark/>
          </w:tcPr>
          <w:p w14:paraId="37516150" w14:textId="7F9A4A0D"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Static</w:t>
            </w:r>
          </w:p>
        </w:tc>
        <w:tc>
          <w:tcPr>
            <w:tcW w:w="2410" w:type="dxa"/>
            <w:gridSpan w:val="4"/>
            <w:tcBorders>
              <w:top w:val="nil"/>
              <w:left w:val="nil"/>
              <w:right w:val="nil"/>
            </w:tcBorders>
            <w:shd w:val="clear" w:color="auto" w:fill="auto"/>
            <w:noWrap/>
            <w:vAlign w:val="center"/>
          </w:tcPr>
          <w:p w14:paraId="480F158D" w14:textId="3B12E450" w:rsidR="008D14D6" w:rsidRPr="009E606D" w:rsidRDefault="008D14D6" w:rsidP="009C5DDC">
            <w:pPr>
              <w:tabs>
                <w:tab w:val="left" w:pos="8647"/>
              </w:tabs>
              <w:spacing w:after="0" w:line="240" w:lineRule="auto"/>
              <w:jc w:val="center"/>
              <w:rPr>
                <w:rFonts w:eastAsia="Times New Roman" w:cs="Calibri"/>
                <w:color w:val="000000"/>
                <w:sz w:val="20"/>
                <w:szCs w:val="21"/>
                <w:lang w:eastAsia="en-GB"/>
              </w:rPr>
            </w:pPr>
          </w:p>
        </w:tc>
        <w:tc>
          <w:tcPr>
            <w:tcW w:w="524" w:type="dxa"/>
            <w:gridSpan w:val="2"/>
            <w:tcBorders>
              <w:top w:val="nil"/>
              <w:left w:val="nil"/>
              <w:right w:val="nil"/>
            </w:tcBorders>
            <w:shd w:val="clear" w:color="auto" w:fill="auto"/>
            <w:noWrap/>
            <w:vAlign w:val="center"/>
          </w:tcPr>
          <w:p w14:paraId="05BA9F36" w14:textId="54421CD3" w:rsidR="008D14D6" w:rsidRPr="008C4A1D" w:rsidRDefault="009111A8" w:rsidP="008C4A1D">
            <w:pPr>
              <w:tabs>
                <w:tab w:val="left" w:pos="8647"/>
              </w:tabs>
              <w:spacing w:after="0" w:line="240" w:lineRule="auto"/>
              <w:jc w:val="right"/>
              <w:rPr>
                <w:rFonts w:eastAsia="Times New Roman" w:cs="Times New Roman"/>
                <w:color w:val="000000"/>
                <w:sz w:val="20"/>
                <w:szCs w:val="18"/>
                <w:vertAlign w:val="subscript"/>
                <w:lang w:eastAsia="en-GB"/>
              </w:rPr>
            </w:pPr>
            <w:r w:rsidRPr="008C4A1D">
              <w:rPr>
                <w:rFonts w:eastAsia="Times New Roman" w:cs="Times New Roman"/>
                <w:noProof/>
                <w:color w:val="000000"/>
                <w:sz w:val="20"/>
                <w:szCs w:val="18"/>
                <w:vertAlign w:val="subscript"/>
                <w:lang w:eastAsia="en-GB"/>
              </w:rPr>
              <w:t>59,60</w:t>
            </w:r>
          </w:p>
        </w:tc>
      </w:tr>
      <w:tr w:rsidR="008D14D6" w:rsidRPr="008C4A1D" w14:paraId="4AEAC637" w14:textId="77777777" w:rsidTr="000E4C5D">
        <w:trPr>
          <w:gridAfter w:val="1"/>
          <w:wAfter w:w="43" w:type="dxa"/>
          <w:trHeight w:val="271"/>
        </w:trPr>
        <w:tc>
          <w:tcPr>
            <w:tcW w:w="1164" w:type="dxa"/>
            <w:tcBorders>
              <w:left w:val="nil"/>
              <w:bottom w:val="single" w:sz="4" w:space="0" w:color="auto"/>
              <w:right w:val="nil"/>
            </w:tcBorders>
            <w:shd w:val="clear" w:color="auto" w:fill="auto"/>
            <w:noWrap/>
            <w:vAlign w:val="center"/>
          </w:tcPr>
          <w:p w14:paraId="720E44D7" w14:textId="7777777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p>
        </w:tc>
        <w:tc>
          <w:tcPr>
            <w:tcW w:w="1138" w:type="dxa"/>
            <w:gridSpan w:val="2"/>
            <w:tcBorders>
              <w:left w:val="nil"/>
              <w:bottom w:val="single" w:sz="4" w:space="0" w:color="auto"/>
              <w:right w:val="nil"/>
            </w:tcBorders>
            <w:shd w:val="clear" w:color="auto" w:fill="auto"/>
            <w:noWrap/>
            <w:vAlign w:val="center"/>
          </w:tcPr>
          <w:p w14:paraId="2873F06E" w14:textId="77777777" w:rsidR="008D14D6" w:rsidRPr="00344D4B" w:rsidRDefault="008D14D6" w:rsidP="007C0566">
            <w:pPr>
              <w:tabs>
                <w:tab w:val="left" w:pos="8647"/>
              </w:tabs>
              <w:spacing w:after="0" w:line="240" w:lineRule="auto"/>
              <w:jc w:val="center"/>
              <w:rPr>
                <w:rFonts w:eastAsia="Times New Roman" w:cs="Calibri"/>
                <w:i/>
                <w:iCs/>
                <w:color w:val="000000"/>
                <w:sz w:val="20"/>
                <w:szCs w:val="21"/>
                <w:lang w:eastAsia="en-GB"/>
              </w:rPr>
            </w:pPr>
            <w:r w:rsidRPr="00344D4B">
              <w:rPr>
                <w:rFonts w:eastAsia="Times New Roman" w:cs="Calibri"/>
                <w:i/>
                <w:iCs/>
                <w:color w:val="000000"/>
                <w:sz w:val="20"/>
                <w:szCs w:val="21"/>
                <w:lang w:eastAsia="en-GB"/>
              </w:rPr>
              <w:t>CFAP300</w:t>
            </w:r>
          </w:p>
        </w:tc>
        <w:tc>
          <w:tcPr>
            <w:tcW w:w="851" w:type="dxa"/>
            <w:tcBorders>
              <w:left w:val="nil"/>
              <w:bottom w:val="single" w:sz="4" w:space="0" w:color="auto"/>
              <w:right w:val="nil"/>
            </w:tcBorders>
            <w:shd w:val="clear" w:color="auto" w:fill="auto"/>
            <w:noWrap/>
            <w:vAlign w:val="center"/>
          </w:tcPr>
          <w:p w14:paraId="02DB7D69" w14:textId="77777777"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618058</w:t>
            </w:r>
          </w:p>
        </w:tc>
        <w:tc>
          <w:tcPr>
            <w:tcW w:w="1701" w:type="dxa"/>
            <w:tcBorders>
              <w:left w:val="nil"/>
              <w:bottom w:val="single" w:sz="4" w:space="0" w:color="auto"/>
              <w:right w:val="nil"/>
            </w:tcBorders>
            <w:shd w:val="clear" w:color="auto" w:fill="auto"/>
            <w:noWrap/>
            <w:vAlign w:val="center"/>
          </w:tcPr>
          <w:p w14:paraId="3C1DA014" w14:textId="3BB2E322"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ODA + IDA</w:t>
            </w:r>
          </w:p>
        </w:tc>
        <w:tc>
          <w:tcPr>
            <w:tcW w:w="1984" w:type="dxa"/>
            <w:gridSpan w:val="2"/>
            <w:tcBorders>
              <w:left w:val="nil"/>
              <w:bottom w:val="single" w:sz="4" w:space="0" w:color="auto"/>
              <w:right w:val="nil"/>
            </w:tcBorders>
            <w:shd w:val="clear" w:color="auto" w:fill="auto"/>
            <w:noWrap/>
            <w:vAlign w:val="center"/>
          </w:tcPr>
          <w:p w14:paraId="579300E5" w14:textId="769B167B" w:rsidR="008D14D6" w:rsidRPr="00344D4B" w:rsidRDefault="008D14D6" w:rsidP="007C0566">
            <w:pPr>
              <w:tabs>
                <w:tab w:val="left" w:pos="8647"/>
              </w:tabs>
              <w:spacing w:after="0" w:line="240" w:lineRule="auto"/>
              <w:jc w:val="center"/>
              <w:rPr>
                <w:rFonts w:eastAsia="Times New Roman" w:cs="Calibri"/>
                <w:color w:val="000000"/>
                <w:sz w:val="20"/>
                <w:szCs w:val="21"/>
                <w:lang w:eastAsia="en-GB"/>
              </w:rPr>
            </w:pPr>
            <w:r w:rsidRPr="00344D4B">
              <w:rPr>
                <w:rFonts w:eastAsia="Times New Roman" w:cs="Calibri"/>
                <w:color w:val="000000"/>
                <w:sz w:val="20"/>
                <w:szCs w:val="21"/>
                <w:lang w:eastAsia="en-GB"/>
              </w:rPr>
              <w:t>Static</w:t>
            </w:r>
          </w:p>
        </w:tc>
        <w:tc>
          <w:tcPr>
            <w:tcW w:w="2410" w:type="dxa"/>
            <w:gridSpan w:val="4"/>
            <w:tcBorders>
              <w:left w:val="nil"/>
              <w:bottom w:val="single" w:sz="4" w:space="0" w:color="auto"/>
              <w:right w:val="nil"/>
            </w:tcBorders>
            <w:shd w:val="clear" w:color="auto" w:fill="auto"/>
            <w:noWrap/>
            <w:vAlign w:val="center"/>
          </w:tcPr>
          <w:p w14:paraId="3D964508" w14:textId="5ECDB3AB" w:rsidR="008D14D6" w:rsidRPr="009E606D" w:rsidRDefault="008D14D6" w:rsidP="009C5DDC">
            <w:pPr>
              <w:tabs>
                <w:tab w:val="left" w:pos="8647"/>
              </w:tabs>
              <w:spacing w:after="0" w:line="240" w:lineRule="auto"/>
              <w:jc w:val="center"/>
              <w:rPr>
                <w:rFonts w:eastAsia="Times New Roman" w:cs="Calibri"/>
                <w:noProof/>
                <w:color w:val="000000"/>
                <w:sz w:val="20"/>
                <w:vertAlign w:val="superscript"/>
                <w:lang w:eastAsia="en-GB"/>
              </w:rPr>
            </w:pPr>
          </w:p>
        </w:tc>
        <w:tc>
          <w:tcPr>
            <w:tcW w:w="524" w:type="dxa"/>
            <w:gridSpan w:val="2"/>
            <w:tcBorders>
              <w:left w:val="nil"/>
              <w:bottom w:val="single" w:sz="4" w:space="0" w:color="auto"/>
              <w:right w:val="nil"/>
            </w:tcBorders>
            <w:shd w:val="clear" w:color="auto" w:fill="auto"/>
            <w:noWrap/>
            <w:vAlign w:val="center"/>
          </w:tcPr>
          <w:p w14:paraId="48E316B4" w14:textId="05902832" w:rsidR="008D14D6" w:rsidRPr="008C4A1D" w:rsidRDefault="007C7797" w:rsidP="008C4A1D">
            <w:pPr>
              <w:tabs>
                <w:tab w:val="left" w:pos="8647"/>
              </w:tabs>
              <w:spacing w:after="0" w:line="240" w:lineRule="auto"/>
              <w:jc w:val="right"/>
              <w:rPr>
                <w:rFonts w:eastAsia="Times New Roman" w:cs="Calibri"/>
                <w:noProof/>
                <w:color w:val="000000"/>
                <w:sz w:val="20"/>
                <w:vertAlign w:val="subscript"/>
                <w:lang w:eastAsia="en-GB"/>
              </w:rPr>
            </w:pPr>
            <w:r w:rsidRPr="008C4A1D">
              <w:rPr>
                <w:rFonts w:eastAsia="Times New Roman" w:cs="Calibri"/>
                <w:noProof/>
                <w:color w:val="000000"/>
                <w:sz w:val="20"/>
                <w:vertAlign w:val="subscript"/>
                <w:lang w:eastAsia="en-GB"/>
              </w:rPr>
              <w:t>155</w:t>
            </w:r>
          </w:p>
        </w:tc>
      </w:tr>
      <w:tr w:rsidR="008D14D6" w:rsidRPr="008C4A1D" w14:paraId="6CFA5F94" w14:textId="77777777" w:rsidTr="000E4C5D">
        <w:trPr>
          <w:gridAfter w:val="1"/>
          <w:wAfter w:w="43" w:type="dxa"/>
          <w:trHeight w:val="262"/>
        </w:trPr>
        <w:tc>
          <w:tcPr>
            <w:tcW w:w="1164" w:type="dxa"/>
            <w:tcBorders>
              <w:top w:val="nil"/>
              <w:left w:val="nil"/>
              <w:bottom w:val="nil"/>
              <w:right w:val="nil"/>
            </w:tcBorders>
            <w:shd w:val="clear" w:color="auto" w:fill="auto"/>
            <w:vAlign w:val="center"/>
            <w:hideMark/>
          </w:tcPr>
          <w:p w14:paraId="2BC3091E" w14:textId="00600498" w:rsidR="008D14D6" w:rsidRPr="004B4020" w:rsidRDefault="00EE2542" w:rsidP="007C0566">
            <w:pPr>
              <w:tabs>
                <w:tab w:val="left" w:pos="8647"/>
              </w:tabs>
              <w:spacing w:after="0" w:line="240" w:lineRule="auto"/>
              <w:jc w:val="center"/>
              <w:rPr>
                <w:rFonts w:eastAsia="Times New Roman" w:cs="Times New Roman"/>
                <w:b/>
                <w:bCs/>
                <w:color w:val="000000"/>
                <w:sz w:val="20"/>
                <w:szCs w:val="21"/>
                <w:lang w:eastAsia="en-GB"/>
              </w:rPr>
            </w:pPr>
            <w:r w:rsidRPr="004B4020">
              <w:rPr>
                <w:rFonts w:eastAsia="Times New Roman" w:cs="Times New Roman"/>
                <w:b/>
                <w:bCs/>
                <w:color w:val="000000"/>
                <w:sz w:val="20"/>
                <w:szCs w:val="21"/>
                <w:lang w:eastAsia="en-GB"/>
              </w:rPr>
              <w:t>A</w:t>
            </w:r>
            <w:r w:rsidR="008D14D6" w:rsidRPr="004B4020">
              <w:rPr>
                <w:rFonts w:eastAsia="Times New Roman" w:cs="Times New Roman"/>
                <w:b/>
                <w:bCs/>
                <w:color w:val="000000"/>
                <w:sz w:val="20"/>
                <w:szCs w:val="21"/>
                <w:lang w:eastAsia="en-GB"/>
              </w:rPr>
              <w:t>xonemal</w:t>
            </w:r>
          </w:p>
        </w:tc>
        <w:tc>
          <w:tcPr>
            <w:tcW w:w="1138" w:type="dxa"/>
            <w:gridSpan w:val="2"/>
            <w:tcBorders>
              <w:top w:val="nil"/>
              <w:left w:val="nil"/>
              <w:bottom w:val="nil"/>
              <w:right w:val="nil"/>
            </w:tcBorders>
            <w:shd w:val="clear" w:color="auto" w:fill="auto"/>
            <w:noWrap/>
            <w:vAlign w:val="center"/>
            <w:hideMark/>
          </w:tcPr>
          <w:p w14:paraId="74419545" w14:textId="77777777" w:rsidR="008D14D6" w:rsidRPr="004B4020" w:rsidRDefault="008D14D6" w:rsidP="007C0566">
            <w:pPr>
              <w:tabs>
                <w:tab w:val="left" w:pos="8647"/>
              </w:tabs>
              <w:spacing w:after="0" w:line="240" w:lineRule="auto"/>
              <w:jc w:val="center"/>
              <w:rPr>
                <w:rFonts w:eastAsia="Times New Roman" w:cs="Calibri"/>
                <w:i/>
                <w:iCs/>
                <w:color w:val="000000"/>
                <w:sz w:val="20"/>
                <w:szCs w:val="21"/>
                <w:lang w:eastAsia="en-GB"/>
              </w:rPr>
            </w:pPr>
            <w:r w:rsidRPr="004B4020">
              <w:rPr>
                <w:rFonts w:eastAsia="Times New Roman" w:cs="Calibri"/>
                <w:i/>
                <w:iCs/>
                <w:color w:val="000000"/>
                <w:sz w:val="20"/>
                <w:szCs w:val="21"/>
                <w:lang w:eastAsia="en-GB"/>
              </w:rPr>
              <w:t>CCDC39</w:t>
            </w:r>
          </w:p>
        </w:tc>
        <w:tc>
          <w:tcPr>
            <w:tcW w:w="851" w:type="dxa"/>
            <w:tcBorders>
              <w:top w:val="nil"/>
              <w:left w:val="nil"/>
              <w:bottom w:val="nil"/>
              <w:right w:val="nil"/>
            </w:tcBorders>
            <w:shd w:val="clear" w:color="auto" w:fill="auto"/>
            <w:noWrap/>
            <w:vAlign w:val="center"/>
            <w:hideMark/>
          </w:tcPr>
          <w:p w14:paraId="13085BF3" w14:textId="77777777"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613798</w:t>
            </w:r>
          </w:p>
        </w:tc>
        <w:tc>
          <w:tcPr>
            <w:tcW w:w="1701" w:type="dxa"/>
            <w:tcBorders>
              <w:top w:val="nil"/>
              <w:left w:val="nil"/>
              <w:bottom w:val="nil"/>
              <w:right w:val="nil"/>
            </w:tcBorders>
            <w:shd w:val="clear" w:color="auto" w:fill="auto"/>
            <w:noWrap/>
            <w:vAlign w:val="center"/>
            <w:hideMark/>
          </w:tcPr>
          <w:p w14:paraId="48CB7140" w14:textId="1C548D1F"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MTD + IDA</w:t>
            </w:r>
          </w:p>
        </w:tc>
        <w:tc>
          <w:tcPr>
            <w:tcW w:w="1984" w:type="dxa"/>
            <w:gridSpan w:val="2"/>
            <w:tcBorders>
              <w:top w:val="nil"/>
              <w:left w:val="nil"/>
              <w:bottom w:val="nil"/>
              <w:right w:val="nil"/>
            </w:tcBorders>
            <w:shd w:val="clear" w:color="auto" w:fill="auto"/>
            <w:noWrap/>
            <w:vAlign w:val="center"/>
            <w:hideMark/>
          </w:tcPr>
          <w:p w14:paraId="3FC47A31" w14:textId="4EC37383"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Reduced bend and amplitude</w:t>
            </w:r>
          </w:p>
        </w:tc>
        <w:tc>
          <w:tcPr>
            <w:tcW w:w="2410" w:type="dxa"/>
            <w:gridSpan w:val="4"/>
            <w:tcBorders>
              <w:top w:val="nil"/>
              <w:left w:val="nil"/>
              <w:bottom w:val="nil"/>
              <w:right w:val="nil"/>
            </w:tcBorders>
            <w:shd w:val="clear" w:color="auto" w:fill="auto"/>
            <w:noWrap/>
            <w:vAlign w:val="center"/>
          </w:tcPr>
          <w:p w14:paraId="6F9090C0" w14:textId="2C09849C" w:rsidR="008D14D6" w:rsidRPr="004B4020" w:rsidRDefault="007C0566" w:rsidP="00936050">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 xml:space="preserve">More severe </w:t>
            </w:r>
            <w:r w:rsidR="000E4C5D" w:rsidRPr="004B4020">
              <w:rPr>
                <w:rFonts w:eastAsia="Times New Roman" w:cs="Calibri"/>
                <w:color w:val="000000"/>
                <w:sz w:val="20"/>
                <w:szCs w:val="21"/>
                <w:lang w:eastAsia="en-GB"/>
              </w:rPr>
              <w:t>resp. pheno</w:t>
            </w:r>
            <w:r w:rsidR="00E76518" w:rsidRPr="004B4020">
              <w:rPr>
                <w:rFonts w:eastAsia="Times New Roman" w:cs="Calibri"/>
                <w:color w:val="000000"/>
                <w:sz w:val="20"/>
                <w:szCs w:val="21"/>
                <w:lang w:eastAsia="en-GB"/>
              </w:rPr>
              <w:t xml:space="preserve"> and poorer nutrition</w:t>
            </w:r>
            <w:r w:rsidR="00936050">
              <w:rPr>
                <w:rFonts w:eastAsia="Times New Roman" w:cs="Calibri"/>
                <w:noProof/>
                <w:color w:val="000000"/>
                <w:sz w:val="20"/>
                <w:szCs w:val="21"/>
                <w:vertAlign w:val="superscript"/>
                <w:lang w:eastAsia="en-GB"/>
              </w:rPr>
              <w:t>8,9</w:t>
            </w:r>
          </w:p>
        </w:tc>
        <w:tc>
          <w:tcPr>
            <w:tcW w:w="524" w:type="dxa"/>
            <w:gridSpan w:val="2"/>
            <w:tcBorders>
              <w:top w:val="nil"/>
              <w:left w:val="nil"/>
              <w:bottom w:val="nil"/>
              <w:right w:val="nil"/>
            </w:tcBorders>
            <w:shd w:val="clear" w:color="auto" w:fill="auto"/>
            <w:noWrap/>
            <w:vAlign w:val="center"/>
          </w:tcPr>
          <w:p w14:paraId="180E059F" w14:textId="161B4773" w:rsidR="008D14D6" w:rsidRPr="008C4A1D" w:rsidRDefault="007C7797" w:rsidP="008C4A1D">
            <w:pPr>
              <w:tabs>
                <w:tab w:val="left" w:pos="8647"/>
              </w:tabs>
              <w:spacing w:after="0" w:line="240" w:lineRule="auto"/>
              <w:jc w:val="right"/>
              <w:rPr>
                <w:rFonts w:eastAsia="Times New Roman" w:cs="Times New Roman"/>
                <w:color w:val="000000"/>
                <w:sz w:val="20"/>
                <w:szCs w:val="18"/>
                <w:vertAlign w:val="subscript"/>
                <w:lang w:eastAsia="en-GB"/>
              </w:rPr>
            </w:pPr>
            <w:r w:rsidRPr="008C4A1D">
              <w:rPr>
                <w:rFonts w:eastAsia="Times New Roman" w:cs="Times New Roman"/>
                <w:noProof/>
                <w:color w:val="000000"/>
                <w:sz w:val="20"/>
                <w:szCs w:val="18"/>
                <w:vertAlign w:val="subscript"/>
                <w:lang w:eastAsia="en-GB"/>
              </w:rPr>
              <w:t>91</w:t>
            </w:r>
          </w:p>
        </w:tc>
      </w:tr>
      <w:tr w:rsidR="008D14D6" w:rsidRPr="008C4A1D" w14:paraId="610F6EDD" w14:textId="77777777" w:rsidTr="000E4C5D">
        <w:trPr>
          <w:gridAfter w:val="1"/>
          <w:wAfter w:w="43" w:type="dxa"/>
          <w:trHeight w:val="271"/>
        </w:trPr>
        <w:tc>
          <w:tcPr>
            <w:tcW w:w="1164" w:type="dxa"/>
            <w:tcBorders>
              <w:top w:val="nil"/>
              <w:left w:val="nil"/>
              <w:bottom w:val="single" w:sz="4" w:space="0" w:color="auto"/>
              <w:right w:val="nil"/>
            </w:tcBorders>
            <w:shd w:val="clear" w:color="auto" w:fill="auto"/>
            <w:vAlign w:val="center"/>
            <w:hideMark/>
          </w:tcPr>
          <w:p w14:paraId="5C31A128" w14:textId="229CDFB7" w:rsidR="008D14D6" w:rsidRPr="004B4020" w:rsidRDefault="008D14D6" w:rsidP="007C0566">
            <w:pPr>
              <w:tabs>
                <w:tab w:val="left" w:pos="8647"/>
              </w:tabs>
              <w:spacing w:after="0" w:line="240" w:lineRule="auto"/>
              <w:jc w:val="center"/>
              <w:rPr>
                <w:rFonts w:eastAsia="Times New Roman" w:cs="Times New Roman"/>
                <w:b/>
                <w:bCs/>
                <w:color w:val="000000"/>
                <w:sz w:val="20"/>
                <w:szCs w:val="21"/>
                <w:lang w:eastAsia="en-GB"/>
              </w:rPr>
            </w:pPr>
            <w:r w:rsidRPr="004B4020">
              <w:rPr>
                <w:rFonts w:eastAsia="Times New Roman" w:cs="Times New Roman"/>
                <w:b/>
                <w:bCs/>
                <w:color w:val="000000"/>
                <w:sz w:val="20"/>
                <w:szCs w:val="21"/>
                <w:lang w:eastAsia="en-GB"/>
              </w:rPr>
              <w:t>ruler</w:t>
            </w:r>
          </w:p>
        </w:tc>
        <w:tc>
          <w:tcPr>
            <w:tcW w:w="1138" w:type="dxa"/>
            <w:gridSpan w:val="2"/>
            <w:tcBorders>
              <w:top w:val="nil"/>
              <w:left w:val="nil"/>
              <w:bottom w:val="single" w:sz="4" w:space="0" w:color="auto"/>
              <w:right w:val="nil"/>
            </w:tcBorders>
            <w:shd w:val="clear" w:color="auto" w:fill="auto"/>
            <w:noWrap/>
            <w:vAlign w:val="center"/>
            <w:hideMark/>
          </w:tcPr>
          <w:p w14:paraId="7700670D" w14:textId="77777777" w:rsidR="008D14D6" w:rsidRPr="004B4020" w:rsidRDefault="008D14D6" w:rsidP="007C0566">
            <w:pPr>
              <w:tabs>
                <w:tab w:val="left" w:pos="8647"/>
              </w:tabs>
              <w:spacing w:after="0" w:line="240" w:lineRule="auto"/>
              <w:jc w:val="center"/>
              <w:rPr>
                <w:rFonts w:eastAsia="Times New Roman" w:cs="Calibri"/>
                <w:i/>
                <w:iCs/>
                <w:color w:val="000000"/>
                <w:sz w:val="20"/>
                <w:szCs w:val="21"/>
                <w:lang w:eastAsia="en-GB"/>
              </w:rPr>
            </w:pPr>
            <w:r w:rsidRPr="004B4020">
              <w:rPr>
                <w:rFonts w:eastAsia="Times New Roman" w:cs="Calibri"/>
                <w:i/>
                <w:iCs/>
                <w:color w:val="000000"/>
                <w:sz w:val="20"/>
                <w:szCs w:val="21"/>
                <w:lang w:eastAsia="en-GB"/>
              </w:rPr>
              <w:t>CCDC40</w:t>
            </w:r>
          </w:p>
        </w:tc>
        <w:tc>
          <w:tcPr>
            <w:tcW w:w="851" w:type="dxa"/>
            <w:tcBorders>
              <w:top w:val="nil"/>
              <w:left w:val="nil"/>
              <w:bottom w:val="single" w:sz="4" w:space="0" w:color="auto"/>
              <w:right w:val="nil"/>
            </w:tcBorders>
            <w:shd w:val="clear" w:color="auto" w:fill="auto"/>
            <w:noWrap/>
            <w:vAlign w:val="center"/>
            <w:hideMark/>
          </w:tcPr>
          <w:p w14:paraId="657E50A9" w14:textId="77777777"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613798</w:t>
            </w:r>
          </w:p>
        </w:tc>
        <w:tc>
          <w:tcPr>
            <w:tcW w:w="1701" w:type="dxa"/>
            <w:tcBorders>
              <w:top w:val="nil"/>
              <w:left w:val="nil"/>
              <w:bottom w:val="single" w:sz="4" w:space="0" w:color="auto"/>
              <w:right w:val="nil"/>
            </w:tcBorders>
            <w:shd w:val="clear" w:color="auto" w:fill="auto"/>
            <w:noWrap/>
            <w:vAlign w:val="center"/>
            <w:hideMark/>
          </w:tcPr>
          <w:p w14:paraId="478DCE0D" w14:textId="43037685"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MTD + IDA</w:t>
            </w:r>
          </w:p>
        </w:tc>
        <w:tc>
          <w:tcPr>
            <w:tcW w:w="1984" w:type="dxa"/>
            <w:gridSpan w:val="2"/>
            <w:tcBorders>
              <w:top w:val="nil"/>
              <w:left w:val="nil"/>
              <w:bottom w:val="single" w:sz="4" w:space="0" w:color="auto"/>
              <w:right w:val="nil"/>
            </w:tcBorders>
            <w:shd w:val="clear" w:color="auto" w:fill="auto"/>
            <w:noWrap/>
            <w:vAlign w:val="center"/>
            <w:hideMark/>
          </w:tcPr>
          <w:p w14:paraId="2626991F" w14:textId="0D94F89E"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Reduced bend and amplitude</w:t>
            </w:r>
          </w:p>
        </w:tc>
        <w:tc>
          <w:tcPr>
            <w:tcW w:w="2410" w:type="dxa"/>
            <w:gridSpan w:val="4"/>
            <w:tcBorders>
              <w:top w:val="nil"/>
              <w:left w:val="nil"/>
              <w:bottom w:val="single" w:sz="4" w:space="0" w:color="auto"/>
              <w:right w:val="nil"/>
            </w:tcBorders>
            <w:shd w:val="clear" w:color="auto" w:fill="auto"/>
            <w:noWrap/>
            <w:vAlign w:val="center"/>
          </w:tcPr>
          <w:p w14:paraId="31CD1048" w14:textId="547DB624" w:rsidR="008D14D6" w:rsidRPr="004B4020" w:rsidRDefault="007C0566" w:rsidP="00936050">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 xml:space="preserve">More severe </w:t>
            </w:r>
            <w:r w:rsidR="000E4C5D" w:rsidRPr="004B4020">
              <w:rPr>
                <w:rFonts w:eastAsia="Times New Roman" w:cs="Calibri"/>
                <w:color w:val="000000"/>
                <w:sz w:val="20"/>
                <w:szCs w:val="21"/>
                <w:lang w:eastAsia="en-GB"/>
              </w:rPr>
              <w:t>resp. pheno</w:t>
            </w:r>
            <w:r w:rsidR="00E76518" w:rsidRPr="004B4020">
              <w:rPr>
                <w:rFonts w:eastAsia="Times New Roman" w:cs="Calibri"/>
                <w:color w:val="000000"/>
                <w:sz w:val="20"/>
                <w:szCs w:val="21"/>
                <w:lang w:eastAsia="en-GB"/>
              </w:rPr>
              <w:t xml:space="preserve"> and poorer nutrition</w:t>
            </w:r>
            <w:r w:rsidR="00936050">
              <w:rPr>
                <w:rFonts w:eastAsia="Times New Roman" w:cs="Calibri"/>
                <w:noProof/>
                <w:color w:val="000000"/>
                <w:sz w:val="20"/>
                <w:szCs w:val="21"/>
                <w:vertAlign w:val="superscript"/>
                <w:lang w:eastAsia="en-GB"/>
              </w:rPr>
              <w:t>8,9</w:t>
            </w:r>
          </w:p>
        </w:tc>
        <w:tc>
          <w:tcPr>
            <w:tcW w:w="524" w:type="dxa"/>
            <w:gridSpan w:val="2"/>
            <w:tcBorders>
              <w:top w:val="nil"/>
              <w:left w:val="nil"/>
              <w:bottom w:val="single" w:sz="4" w:space="0" w:color="auto"/>
              <w:right w:val="nil"/>
            </w:tcBorders>
            <w:shd w:val="clear" w:color="auto" w:fill="auto"/>
            <w:noWrap/>
            <w:vAlign w:val="center"/>
          </w:tcPr>
          <w:p w14:paraId="22F661B7" w14:textId="5607ABE3" w:rsidR="008D14D6" w:rsidRPr="008C4A1D" w:rsidRDefault="007C7797" w:rsidP="008C4A1D">
            <w:pPr>
              <w:tabs>
                <w:tab w:val="left" w:pos="8647"/>
              </w:tabs>
              <w:spacing w:after="0" w:line="240" w:lineRule="auto"/>
              <w:jc w:val="right"/>
              <w:rPr>
                <w:rFonts w:eastAsia="Times New Roman" w:cs="Times New Roman"/>
                <w:color w:val="000000"/>
                <w:sz w:val="20"/>
                <w:szCs w:val="18"/>
                <w:vertAlign w:val="subscript"/>
                <w:lang w:eastAsia="en-GB"/>
              </w:rPr>
            </w:pPr>
            <w:r w:rsidRPr="008C4A1D">
              <w:rPr>
                <w:rFonts w:eastAsia="Times New Roman" w:cs="Times New Roman"/>
                <w:noProof/>
                <w:color w:val="000000"/>
                <w:sz w:val="20"/>
                <w:szCs w:val="18"/>
                <w:vertAlign w:val="subscript"/>
                <w:lang w:eastAsia="en-GB"/>
              </w:rPr>
              <w:t>92,156</w:t>
            </w:r>
          </w:p>
        </w:tc>
      </w:tr>
      <w:tr w:rsidR="008D14D6" w:rsidRPr="008C4A1D" w14:paraId="25FAA299" w14:textId="77777777" w:rsidTr="000E4C5D">
        <w:trPr>
          <w:gridAfter w:val="1"/>
          <w:wAfter w:w="43" w:type="dxa"/>
          <w:trHeight w:val="271"/>
        </w:trPr>
        <w:tc>
          <w:tcPr>
            <w:tcW w:w="1164" w:type="dxa"/>
            <w:tcBorders>
              <w:top w:val="single" w:sz="4" w:space="0" w:color="auto"/>
              <w:left w:val="nil"/>
              <w:bottom w:val="nil"/>
              <w:right w:val="nil"/>
            </w:tcBorders>
            <w:shd w:val="clear" w:color="auto" w:fill="auto"/>
            <w:vAlign w:val="center"/>
            <w:hideMark/>
          </w:tcPr>
          <w:p w14:paraId="281CF5C5" w14:textId="773F2A99" w:rsidR="008D14D6" w:rsidRPr="004B4020" w:rsidRDefault="008D14D6" w:rsidP="007C0566">
            <w:pPr>
              <w:tabs>
                <w:tab w:val="left" w:pos="8647"/>
              </w:tabs>
              <w:spacing w:after="0" w:line="240" w:lineRule="auto"/>
              <w:jc w:val="center"/>
              <w:rPr>
                <w:rFonts w:eastAsia="Times New Roman" w:cs="Times New Roman"/>
                <w:b/>
                <w:bCs/>
                <w:color w:val="000000"/>
                <w:sz w:val="20"/>
                <w:szCs w:val="21"/>
                <w:lang w:eastAsia="en-GB"/>
              </w:rPr>
            </w:pPr>
            <w:r w:rsidRPr="004B4020">
              <w:rPr>
                <w:rFonts w:eastAsia="Times New Roman" w:cs="Times New Roman"/>
                <w:b/>
                <w:bCs/>
                <w:color w:val="000000"/>
                <w:sz w:val="20"/>
                <w:szCs w:val="21"/>
                <w:lang w:eastAsia="en-GB"/>
              </w:rPr>
              <w:t>N-DRC</w:t>
            </w:r>
          </w:p>
        </w:tc>
        <w:tc>
          <w:tcPr>
            <w:tcW w:w="1138" w:type="dxa"/>
            <w:gridSpan w:val="2"/>
            <w:tcBorders>
              <w:top w:val="single" w:sz="4" w:space="0" w:color="auto"/>
              <w:left w:val="nil"/>
              <w:bottom w:val="nil"/>
              <w:right w:val="nil"/>
            </w:tcBorders>
            <w:shd w:val="clear" w:color="auto" w:fill="auto"/>
            <w:noWrap/>
            <w:vAlign w:val="center"/>
            <w:hideMark/>
          </w:tcPr>
          <w:p w14:paraId="7A0D461A" w14:textId="77777777" w:rsidR="008D14D6" w:rsidRPr="004B4020" w:rsidRDefault="008D14D6" w:rsidP="007C0566">
            <w:pPr>
              <w:tabs>
                <w:tab w:val="left" w:pos="8647"/>
              </w:tabs>
              <w:spacing w:after="0" w:line="240" w:lineRule="auto"/>
              <w:jc w:val="center"/>
              <w:rPr>
                <w:rFonts w:eastAsia="Times New Roman" w:cs="Calibri"/>
                <w:i/>
                <w:iCs/>
                <w:color w:val="000000"/>
                <w:sz w:val="20"/>
                <w:szCs w:val="21"/>
                <w:lang w:eastAsia="en-GB"/>
              </w:rPr>
            </w:pPr>
            <w:r w:rsidRPr="004B4020">
              <w:rPr>
                <w:rFonts w:eastAsia="Times New Roman" w:cs="Calibri"/>
                <w:i/>
                <w:iCs/>
                <w:color w:val="000000"/>
                <w:sz w:val="20"/>
                <w:szCs w:val="21"/>
                <w:lang w:eastAsia="en-GB"/>
              </w:rPr>
              <w:t>CCDC164</w:t>
            </w:r>
          </w:p>
        </w:tc>
        <w:tc>
          <w:tcPr>
            <w:tcW w:w="851" w:type="dxa"/>
            <w:tcBorders>
              <w:top w:val="single" w:sz="4" w:space="0" w:color="auto"/>
              <w:left w:val="nil"/>
              <w:bottom w:val="nil"/>
              <w:right w:val="nil"/>
            </w:tcBorders>
            <w:shd w:val="clear" w:color="auto" w:fill="auto"/>
            <w:noWrap/>
            <w:vAlign w:val="center"/>
            <w:hideMark/>
          </w:tcPr>
          <w:p w14:paraId="6A4754D8" w14:textId="77777777"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615288</w:t>
            </w:r>
          </w:p>
        </w:tc>
        <w:tc>
          <w:tcPr>
            <w:tcW w:w="1701" w:type="dxa"/>
            <w:tcBorders>
              <w:top w:val="single" w:sz="4" w:space="0" w:color="auto"/>
              <w:left w:val="nil"/>
              <w:bottom w:val="nil"/>
              <w:right w:val="nil"/>
            </w:tcBorders>
            <w:shd w:val="clear" w:color="auto" w:fill="auto"/>
            <w:noWrap/>
            <w:vAlign w:val="center"/>
            <w:hideMark/>
          </w:tcPr>
          <w:p w14:paraId="7BDA4654" w14:textId="0DB0FF2B"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MTD /normal</w:t>
            </w:r>
          </w:p>
        </w:tc>
        <w:tc>
          <w:tcPr>
            <w:tcW w:w="1984" w:type="dxa"/>
            <w:gridSpan w:val="2"/>
            <w:tcBorders>
              <w:top w:val="single" w:sz="4" w:space="0" w:color="auto"/>
              <w:left w:val="nil"/>
              <w:bottom w:val="nil"/>
              <w:right w:val="nil"/>
            </w:tcBorders>
            <w:shd w:val="clear" w:color="auto" w:fill="auto"/>
            <w:vAlign w:val="center"/>
            <w:hideMark/>
          </w:tcPr>
          <w:p w14:paraId="7FC8FAF9" w14:textId="654C249E"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Hyperfrequent/ dyskinetic/ normal</w:t>
            </w:r>
          </w:p>
        </w:tc>
        <w:tc>
          <w:tcPr>
            <w:tcW w:w="2410" w:type="dxa"/>
            <w:gridSpan w:val="4"/>
            <w:tcBorders>
              <w:top w:val="single" w:sz="4" w:space="0" w:color="auto"/>
              <w:left w:val="nil"/>
              <w:bottom w:val="nil"/>
              <w:right w:val="nil"/>
            </w:tcBorders>
            <w:shd w:val="clear" w:color="auto" w:fill="auto"/>
            <w:noWrap/>
            <w:vAlign w:val="center"/>
          </w:tcPr>
          <w:p w14:paraId="5C512967" w14:textId="4CBA0A33" w:rsidR="008D14D6" w:rsidRPr="004B4020" w:rsidRDefault="00E76518" w:rsidP="009C5DDC">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Situs solitus</w:t>
            </w:r>
          </w:p>
        </w:tc>
        <w:tc>
          <w:tcPr>
            <w:tcW w:w="524" w:type="dxa"/>
            <w:gridSpan w:val="2"/>
            <w:tcBorders>
              <w:top w:val="single" w:sz="4" w:space="0" w:color="auto"/>
              <w:left w:val="nil"/>
              <w:bottom w:val="nil"/>
              <w:right w:val="nil"/>
            </w:tcBorders>
            <w:shd w:val="clear" w:color="auto" w:fill="auto"/>
            <w:noWrap/>
            <w:vAlign w:val="center"/>
          </w:tcPr>
          <w:p w14:paraId="1264428E" w14:textId="1DDB539E" w:rsidR="008D14D6" w:rsidRPr="008C4A1D" w:rsidRDefault="007C7797" w:rsidP="008C4A1D">
            <w:pPr>
              <w:tabs>
                <w:tab w:val="left" w:pos="8647"/>
              </w:tabs>
              <w:spacing w:after="0" w:line="240" w:lineRule="auto"/>
              <w:jc w:val="right"/>
              <w:rPr>
                <w:rFonts w:eastAsia="Times New Roman" w:cs="Times New Roman"/>
                <w:color w:val="000000"/>
                <w:sz w:val="20"/>
                <w:szCs w:val="18"/>
                <w:vertAlign w:val="subscript"/>
                <w:lang w:eastAsia="en-GB"/>
              </w:rPr>
            </w:pPr>
            <w:r w:rsidRPr="008C4A1D">
              <w:rPr>
                <w:rFonts w:eastAsia="Times New Roman" w:cs="Times New Roman"/>
                <w:noProof/>
                <w:color w:val="000000"/>
                <w:sz w:val="20"/>
                <w:szCs w:val="18"/>
                <w:vertAlign w:val="subscript"/>
                <w:lang w:eastAsia="en-GB"/>
              </w:rPr>
              <w:t>93</w:t>
            </w:r>
          </w:p>
          <w:p w14:paraId="2B59F8A9" w14:textId="77777777" w:rsidR="008D14D6" w:rsidRPr="008C4A1D" w:rsidRDefault="008D14D6" w:rsidP="008C4A1D">
            <w:pPr>
              <w:tabs>
                <w:tab w:val="left" w:pos="8647"/>
              </w:tabs>
              <w:spacing w:after="0" w:line="240" w:lineRule="auto"/>
              <w:jc w:val="right"/>
              <w:rPr>
                <w:rFonts w:eastAsia="Times New Roman" w:cs="Times New Roman"/>
                <w:color w:val="000000"/>
                <w:sz w:val="20"/>
                <w:szCs w:val="18"/>
                <w:vertAlign w:val="subscript"/>
                <w:lang w:eastAsia="en-GB"/>
              </w:rPr>
            </w:pPr>
          </w:p>
          <w:p w14:paraId="30AE3381" w14:textId="3F97B46A" w:rsidR="008D14D6" w:rsidRPr="008C4A1D" w:rsidRDefault="008D14D6" w:rsidP="008C4A1D">
            <w:pPr>
              <w:tabs>
                <w:tab w:val="left" w:pos="8647"/>
              </w:tabs>
              <w:spacing w:after="0" w:line="240" w:lineRule="auto"/>
              <w:jc w:val="right"/>
              <w:rPr>
                <w:rFonts w:eastAsia="Times New Roman" w:cs="Times New Roman"/>
                <w:color w:val="000000"/>
                <w:sz w:val="20"/>
                <w:szCs w:val="18"/>
                <w:vertAlign w:val="subscript"/>
                <w:lang w:eastAsia="en-GB"/>
              </w:rPr>
            </w:pPr>
          </w:p>
        </w:tc>
      </w:tr>
      <w:tr w:rsidR="008D14D6" w:rsidRPr="008C4A1D" w14:paraId="4F9D833E" w14:textId="77777777" w:rsidTr="000E4C5D">
        <w:trPr>
          <w:gridAfter w:val="1"/>
          <w:wAfter w:w="43" w:type="dxa"/>
          <w:trHeight w:val="271"/>
        </w:trPr>
        <w:tc>
          <w:tcPr>
            <w:tcW w:w="1164" w:type="dxa"/>
            <w:tcBorders>
              <w:top w:val="nil"/>
              <w:left w:val="nil"/>
              <w:bottom w:val="nil"/>
              <w:right w:val="nil"/>
            </w:tcBorders>
            <w:shd w:val="clear" w:color="auto" w:fill="auto"/>
            <w:noWrap/>
            <w:vAlign w:val="center"/>
            <w:hideMark/>
          </w:tcPr>
          <w:p w14:paraId="1B3C8D0B" w14:textId="77777777" w:rsidR="008D14D6" w:rsidRPr="004B4020" w:rsidRDefault="008D14D6" w:rsidP="007C0566">
            <w:pPr>
              <w:tabs>
                <w:tab w:val="left" w:pos="8647"/>
              </w:tabs>
              <w:spacing w:after="0" w:line="240" w:lineRule="auto"/>
              <w:jc w:val="center"/>
              <w:rPr>
                <w:rFonts w:eastAsia="Times New Roman" w:cs="Times New Roman"/>
                <w:color w:val="000000"/>
                <w:sz w:val="20"/>
                <w:szCs w:val="21"/>
                <w:lang w:eastAsia="en-GB"/>
              </w:rPr>
            </w:pPr>
          </w:p>
        </w:tc>
        <w:tc>
          <w:tcPr>
            <w:tcW w:w="1138" w:type="dxa"/>
            <w:gridSpan w:val="2"/>
            <w:tcBorders>
              <w:top w:val="nil"/>
              <w:left w:val="nil"/>
              <w:bottom w:val="nil"/>
              <w:right w:val="nil"/>
            </w:tcBorders>
            <w:shd w:val="clear" w:color="auto" w:fill="auto"/>
            <w:noWrap/>
            <w:vAlign w:val="center"/>
            <w:hideMark/>
          </w:tcPr>
          <w:p w14:paraId="7CFBA114" w14:textId="77777777" w:rsidR="008D14D6" w:rsidRPr="004B4020" w:rsidRDefault="008D14D6" w:rsidP="007C0566">
            <w:pPr>
              <w:tabs>
                <w:tab w:val="left" w:pos="8647"/>
              </w:tabs>
              <w:spacing w:after="0" w:line="240" w:lineRule="auto"/>
              <w:jc w:val="center"/>
              <w:rPr>
                <w:rFonts w:eastAsia="Times New Roman" w:cs="Calibri"/>
                <w:i/>
                <w:iCs/>
                <w:color w:val="000000"/>
                <w:sz w:val="20"/>
                <w:szCs w:val="21"/>
                <w:lang w:eastAsia="en-GB"/>
              </w:rPr>
            </w:pPr>
            <w:r w:rsidRPr="004B4020">
              <w:rPr>
                <w:rFonts w:eastAsia="Times New Roman" w:cs="Calibri"/>
                <w:i/>
                <w:iCs/>
                <w:color w:val="000000"/>
                <w:sz w:val="20"/>
                <w:szCs w:val="21"/>
                <w:lang w:eastAsia="en-GB"/>
              </w:rPr>
              <w:t>CCDC65</w:t>
            </w:r>
          </w:p>
        </w:tc>
        <w:tc>
          <w:tcPr>
            <w:tcW w:w="851" w:type="dxa"/>
            <w:tcBorders>
              <w:top w:val="nil"/>
              <w:left w:val="nil"/>
              <w:bottom w:val="nil"/>
              <w:right w:val="nil"/>
            </w:tcBorders>
            <w:shd w:val="clear" w:color="auto" w:fill="auto"/>
            <w:noWrap/>
            <w:vAlign w:val="center"/>
            <w:hideMark/>
          </w:tcPr>
          <w:p w14:paraId="5C5F8469" w14:textId="77777777"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611088</w:t>
            </w:r>
          </w:p>
        </w:tc>
        <w:tc>
          <w:tcPr>
            <w:tcW w:w="1701" w:type="dxa"/>
            <w:tcBorders>
              <w:top w:val="nil"/>
              <w:left w:val="nil"/>
              <w:bottom w:val="nil"/>
              <w:right w:val="nil"/>
            </w:tcBorders>
            <w:shd w:val="clear" w:color="auto" w:fill="auto"/>
            <w:noWrap/>
            <w:vAlign w:val="center"/>
            <w:hideMark/>
          </w:tcPr>
          <w:p w14:paraId="3A649760" w14:textId="74EC6231"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MTD /normal</w:t>
            </w:r>
          </w:p>
        </w:tc>
        <w:tc>
          <w:tcPr>
            <w:tcW w:w="1984" w:type="dxa"/>
            <w:gridSpan w:val="2"/>
            <w:tcBorders>
              <w:top w:val="nil"/>
              <w:left w:val="nil"/>
              <w:bottom w:val="nil"/>
              <w:right w:val="nil"/>
            </w:tcBorders>
            <w:shd w:val="clear" w:color="auto" w:fill="auto"/>
            <w:vAlign w:val="center"/>
            <w:hideMark/>
          </w:tcPr>
          <w:p w14:paraId="40100954" w14:textId="595096D5"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Hyperfrequent/ dyskinetic/ normal</w:t>
            </w:r>
          </w:p>
        </w:tc>
        <w:tc>
          <w:tcPr>
            <w:tcW w:w="2410" w:type="dxa"/>
            <w:gridSpan w:val="4"/>
            <w:tcBorders>
              <w:top w:val="nil"/>
              <w:left w:val="nil"/>
              <w:bottom w:val="nil"/>
              <w:right w:val="nil"/>
            </w:tcBorders>
            <w:shd w:val="clear" w:color="auto" w:fill="auto"/>
            <w:noWrap/>
            <w:vAlign w:val="center"/>
          </w:tcPr>
          <w:p w14:paraId="4242B1FC" w14:textId="077DDA5E" w:rsidR="008D14D6" w:rsidRPr="004B4020" w:rsidRDefault="00E76518" w:rsidP="009C5DDC">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Situs solitus</w:t>
            </w:r>
          </w:p>
        </w:tc>
        <w:tc>
          <w:tcPr>
            <w:tcW w:w="524" w:type="dxa"/>
            <w:gridSpan w:val="2"/>
            <w:tcBorders>
              <w:top w:val="nil"/>
              <w:left w:val="nil"/>
              <w:bottom w:val="nil"/>
              <w:right w:val="nil"/>
            </w:tcBorders>
            <w:shd w:val="clear" w:color="auto" w:fill="auto"/>
            <w:noWrap/>
            <w:vAlign w:val="center"/>
          </w:tcPr>
          <w:p w14:paraId="13B2DB8E" w14:textId="3DF8C483" w:rsidR="008D14D6" w:rsidRPr="008C4A1D" w:rsidRDefault="007C7797" w:rsidP="008C4A1D">
            <w:pPr>
              <w:tabs>
                <w:tab w:val="left" w:pos="8647"/>
              </w:tabs>
              <w:spacing w:after="0" w:line="240" w:lineRule="auto"/>
              <w:jc w:val="right"/>
              <w:rPr>
                <w:rFonts w:eastAsia="Times New Roman" w:cs="Calibri"/>
                <w:color w:val="000000"/>
                <w:sz w:val="20"/>
                <w:vertAlign w:val="subscript"/>
                <w:lang w:eastAsia="en-GB"/>
              </w:rPr>
            </w:pPr>
            <w:r w:rsidRPr="008C4A1D">
              <w:rPr>
                <w:rFonts w:eastAsia="Times New Roman" w:cs="Calibri"/>
                <w:noProof/>
                <w:color w:val="000000"/>
                <w:sz w:val="20"/>
                <w:vertAlign w:val="subscript"/>
                <w:lang w:eastAsia="en-GB"/>
              </w:rPr>
              <w:t>89,157</w:t>
            </w:r>
          </w:p>
        </w:tc>
      </w:tr>
      <w:tr w:rsidR="008D14D6" w:rsidRPr="008C4A1D" w14:paraId="55254952" w14:textId="77777777" w:rsidTr="000E4C5D">
        <w:trPr>
          <w:gridAfter w:val="1"/>
          <w:wAfter w:w="43" w:type="dxa"/>
          <w:trHeight w:val="271"/>
        </w:trPr>
        <w:tc>
          <w:tcPr>
            <w:tcW w:w="1164" w:type="dxa"/>
            <w:tcBorders>
              <w:top w:val="nil"/>
              <w:left w:val="nil"/>
              <w:bottom w:val="single" w:sz="4" w:space="0" w:color="auto"/>
              <w:right w:val="nil"/>
            </w:tcBorders>
            <w:shd w:val="clear" w:color="auto" w:fill="auto"/>
            <w:noWrap/>
            <w:vAlign w:val="center"/>
            <w:hideMark/>
          </w:tcPr>
          <w:p w14:paraId="68C0C540" w14:textId="4D52157C"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p>
        </w:tc>
        <w:tc>
          <w:tcPr>
            <w:tcW w:w="1138" w:type="dxa"/>
            <w:gridSpan w:val="2"/>
            <w:tcBorders>
              <w:top w:val="nil"/>
              <w:left w:val="nil"/>
              <w:bottom w:val="single" w:sz="4" w:space="0" w:color="auto"/>
              <w:right w:val="nil"/>
            </w:tcBorders>
            <w:shd w:val="clear" w:color="auto" w:fill="auto"/>
            <w:noWrap/>
            <w:vAlign w:val="center"/>
            <w:hideMark/>
          </w:tcPr>
          <w:p w14:paraId="465C1F63" w14:textId="610F1115" w:rsidR="008D14D6" w:rsidRPr="004B4020" w:rsidRDefault="008D14D6" w:rsidP="007C0566">
            <w:pPr>
              <w:tabs>
                <w:tab w:val="left" w:pos="8647"/>
              </w:tabs>
              <w:spacing w:after="0" w:line="240" w:lineRule="auto"/>
              <w:jc w:val="center"/>
              <w:rPr>
                <w:rFonts w:eastAsia="Times New Roman" w:cs="Calibri"/>
                <w:i/>
                <w:iCs/>
                <w:color w:val="000000"/>
                <w:sz w:val="20"/>
                <w:szCs w:val="21"/>
                <w:lang w:eastAsia="en-GB"/>
              </w:rPr>
            </w:pPr>
            <w:r w:rsidRPr="004B4020">
              <w:rPr>
                <w:rFonts w:eastAsia="Times New Roman" w:cs="Calibri"/>
                <w:i/>
                <w:iCs/>
                <w:color w:val="000000"/>
                <w:sz w:val="20"/>
                <w:szCs w:val="21"/>
                <w:lang w:eastAsia="en-GB"/>
              </w:rPr>
              <w:t>GAS8</w:t>
            </w:r>
          </w:p>
        </w:tc>
        <w:tc>
          <w:tcPr>
            <w:tcW w:w="851" w:type="dxa"/>
            <w:tcBorders>
              <w:top w:val="nil"/>
              <w:left w:val="nil"/>
              <w:bottom w:val="single" w:sz="4" w:space="0" w:color="auto"/>
              <w:right w:val="nil"/>
            </w:tcBorders>
            <w:shd w:val="clear" w:color="auto" w:fill="auto"/>
            <w:noWrap/>
            <w:vAlign w:val="center"/>
            <w:hideMark/>
          </w:tcPr>
          <w:p w14:paraId="572CEB76" w14:textId="77777777"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605178</w:t>
            </w:r>
          </w:p>
        </w:tc>
        <w:tc>
          <w:tcPr>
            <w:tcW w:w="1701" w:type="dxa"/>
            <w:tcBorders>
              <w:top w:val="nil"/>
              <w:left w:val="nil"/>
              <w:bottom w:val="single" w:sz="4" w:space="0" w:color="auto"/>
              <w:right w:val="nil"/>
            </w:tcBorders>
            <w:shd w:val="clear" w:color="auto" w:fill="auto"/>
            <w:noWrap/>
            <w:vAlign w:val="center"/>
            <w:hideMark/>
          </w:tcPr>
          <w:p w14:paraId="6E1EBD54" w14:textId="6579CD49"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MTD /normal</w:t>
            </w:r>
          </w:p>
        </w:tc>
        <w:tc>
          <w:tcPr>
            <w:tcW w:w="1984" w:type="dxa"/>
            <w:gridSpan w:val="2"/>
            <w:tcBorders>
              <w:top w:val="nil"/>
              <w:left w:val="nil"/>
              <w:bottom w:val="single" w:sz="4" w:space="0" w:color="auto"/>
              <w:right w:val="nil"/>
            </w:tcBorders>
            <w:shd w:val="clear" w:color="auto" w:fill="auto"/>
            <w:vAlign w:val="center"/>
            <w:hideMark/>
          </w:tcPr>
          <w:p w14:paraId="2C5235D4" w14:textId="2AFED179"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Hyperfrequent/ dyskinetic/ normal</w:t>
            </w:r>
          </w:p>
        </w:tc>
        <w:tc>
          <w:tcPr>
            <w:tcW w:w="2410" w:type="dxa"/>
            <w:gridSpan w:val="4"/>
            <w:tcBorders>
              <w:top w:val="nil"/>
              <w:left w:val="nil"/>
              <w:bottom w:val="single" w:sz="4" w:space="0" w:color="auto"/>
              <w:right w:val="nil"/>
            </w:tcBorders>
            <w:shd w:val="clear" w:color="auto" w:fill="auto"/>
            <w:noWrap/>
            <w:vAlign w:val="center"/>
          </w:tcPr>
          <w:p w14:paraId="68E7D8A9" w14:textId="186CCB07" w:rsidR="008D14D6" w:rsidRPr="004B4020" w:rsidRDefault="00E76518" w:rsidP="009C5DDC">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Situs solitus</w:t>
            </w:r>
          </w:p>
        </w:tc>
        <w:tc>
          <w:tcPr>
            <w:tcW w:w="524" w:type="dxa"/>
            <w:gridSpan w:val="2"/>
            <w:tcBorders>
              <w:top w:val="nil"/>
              <w:left w:val="nil"/>
              <w:bottom w:val="single" w:sz="4" w:space="0" w:color="auto"/>
              <w:right w:val="nil"/>
            </w:tcBorders>
            <w:shd w:val="clear" w:color="auto" w:fill="auto"/>
            <w:noWrap/>
            <w:vAlign w:val="center"/>
          </w:tcPr>
          <w:p w14:paraId="216FB2A6" w14:textId="7BAF2FDA" w:rsidR="008D14D6" w:rsidRPr="008C4A1D" w:rsidRDefault="00CC7DF5" w:rsidP="008C4A1D">
            <w:pPr>
              <w:tabs>
                <w:tab w:val="left" w:pos="8647"/>
              </w:tabs>
              <w:spacing w:after="0" w:line="240" w:lineRule="auto"/>
              <w:jc w:val="right"/>
              <w:rPr>
                <w:rFonts w:eastAsia="Times New Roman" w:cs="Times New Roman"/>
                <w:color w:val="000000"/>
                <w:sz w:val="20"/>
                <w:szCs w:val="18"/>
                <w:vertAlign w:val="subscript"/>
                <w:lang w:eastAsia="en-GB"/>
              </w:rPr>
            </w:pPr>
            <w:r w:rsidRPr="008C4A1D">
              <w:rPr>
                <w:noProof/>
                <w:sz w:val="20"/>
                <w:vertAlign w:val="subscript"/>
              </w:rPr>
              <w:t>40,88</w:t>
            </w:r>
            <w:r w:rsidR="007C7797" w:rsidRPr="008C4A1D">
              <w:rPr>
                <w:noProof/>
                <w:sz w:val="20"/>
                <w:vertAlign w:val="subscript"/>
              </w:rPr>
              <w:t>45,94</w:t>
            </w:r>
          </w:p>
        </w:tc>
      </w:tr>
      <w:tr w:rsidR="008D14D6" w:rsidRPr="008C4A1D" w14:paraId="75CD408B" w14:textId="77777777" w:rsidTr="000E4C5D">
        <w:trPr>
          <w:gridAfter w:val="1"/>
          <w:wAfter w:w="43" w:type="dxa"/>
          <w:trHeight w:val="271"/>
        </w:trPr>
        <w:tc>
          <w:tcPr>
            <w:tcW w:w="1164" w:type="dxa"/>
            <w:tcBorders>
              <w:top w:val="nil"/>
              <w:left w:val="nil"/>
              <w:bottom w:val="nil"/>
              <w:right w:val="nil"/>
            </w:tcBorders>
            <w:shd w:val="clear" w:color="auto" w:fill="auto"/>
            <w:vAlign w:val="center"/>
            <w:hideMark/>
          </w:tcPr>
          <w:p w14:paraId="127A9F6A" w14:textId="4193379D" w:rsidR="008D14D6" w:rsidRPr="004B4020" w:rsidRDefault="00746D4C" w:rsidP="007C0566">
            <w:pPr>
              <w:tabs>
                <w:tab w:val="left" w:pos="8647"/>
              </w:tabs>
              <w:spacing w:after="0" w:line="240" w:lineRule="auto"/>
              <w:jc w:val="center"/>
              <w:rPr>
                <w:rFonts w:eastAsia="Times New Roman" w:cs="Times New Roman"/>
                <w:b/>
                <w:bCs/>
                <w:color w:val="000000"/>
                <w:sz w:val="20"/>
                <w:szCs w:val="21"/>
                <w:lang w:eastAsia="en-GB"/>
              </w:rPr>
            </w:pPr>
            <w:r w:rsidRPr="004B4020">
              <w:rPr>
                <w:rFonts w:eastAsia="Times New Roman" w:cs="Times New Roman"/>
                <w:b/>
                <w:bCs/>
                <w:color w:val="000000"/>
                <w:sz w:val="20"/>
                <w:szCs w:val="21"/>
                <w:lang w:eastAsia="en-GB"/>
              </w:rPr>
              <w:t>Radial spoke</w:t>
            </w:r>
          </w:p>
        </w:tc>
        <w:tc>
          <w:tcPr>
            <w:tcW w:w="1138" w:type="dxa"/>
            <w:gridSpan w:val="2"/>
            <w:tcBorders>
              <w:top w:val="nil"/>
              <w:left w:val="nil"/>
              <w:bottom w:val="nil"/>
              <w:right w:val="nil"/>
            </w:tcBorders>
            <w:shd w:val="clear" w:color="auto" w:fill="auto"/>
            <w:noWrap/>
            <w:vAlign w:val="center"/>
            <w:hideMark/>
          </w:tcPr>
          <w:p w14:paraId="05426A12" w14:textId="77777777" w:rsidR="008D14D6" w:rsidRPr="004B4020" w:rsidRDefault="008D14D6" w:rsidP="007C0566">
            <w:pPr>
              <w:tabs>
                <w:tab w:val="left" w:pos="8647"/>
              </w:tabs>
              <w:spacing w:after="0" w:line="240" w:lineRule="auto"/>
              <w:jc w:val="center"/>
              <w:rPr>
                <w:rFonts w:eastAsia="Times New Roman" w:cs="Calibri"/>
                <w:i/>
                <w:iCs/>
                <w:color w:val="000000"/>
                <w:sz w:val="20"/>
                <w:szCs w:val="21"/>
                <w:lang w:eastAsia="en-GB"/>
              </w:rPr>
            </w:pPr>
            <w:r w:rsidRPr="004B4020">
              <w:rPr>
                <w:rFonts w:eastAsia="Times New Roman" w:cs="Calibri"/>
                <w:i/>
                <w:iCs/>
                <w:color w:val="000000"/>
                <w:sz w:val="20"/>
                <w:szCs w:val="21"/>
                <w:lang w:eastAsia="en-GB"/>
              </w:rPr>
              <w:t>RSPH1</w:t>
            </w:r>
          </w:p>
        </w:tc>
        <w:tc>
          <w:tcPr>
            <w:tcW w:w="851" w:type="dxa"/>
            <w:tcBorders>
              <w:top w:val="nil"/>
              <w:left w:val="nil"/>
              <w:bottom w:val="nil"/>
              <w:right w:val="nil"/>
            </w:tcBorders>
            <w:shd w:val="clear" w:color="auto" w:fill="auto"/>
            <w:noWrap/>
            <w:vAlign w:val="center"/>
            <w:hideMark/>
          </w:tcPr>
          <w:p w14:paraId="5FEBEFBB" w14:textId="77777777"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609314</w:t>
            </w:r>
          </w:p>
        </w:tc>
        <w:tc>
          <w:tcPr>
            <w:tcW w:w="1701" w:type="dxa"/>
            <w:tcBorders>
              <w:top w:val="nil"/>
              <w:left w:val="nil"/>
              <w:bottom w:val="nil"/>
              <w:right w:val="nil"/>
            </w:tcBorders>
            <w:shd w:val="clear" w:color="auto" w:fill="auto"/>
            <w:noWrap/>
            <w:vAlign w:val="center"/>
            <w:hideMark/>
          </w:tcPr>
          <w:p w14:paraId="5DA946C0" w14:textId="361E176A"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CC/ normal</w:t>
            </w:r>
          </w:p>
        </w:tc>
        <w:tc>
          <w:tcPr>
            <w:tcW w:w="1984" w:type="dxa"/>
            <w:gridSpan w:val="2"/>
            <w:tcBorders>
              <w:top w:val="nil"/>
              <w:left w:val="nil"/>
              <w:bottom w:val="nil"/>
              <w:right w:val="nil"/>
            </w:tcBorders>
            <w:shd w:val="clear" w:color="auto" w:fill="auto"/>
            <w:vAlign w:val="center"/>
            <w:hideMark/>
          </w:tcPr>
          <w:p w14:paraId="420C2890" w14:textId="7E9CF2AA"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Circling</w:t>
            </w:r>
            <w:r w:rsidR="00A72BE0" w:rsidRPr="004B4020">
              <w:rPr>
                <w:rFonts w:eastAsia="Times New Roman" w:cs="Calibri"/>
                <w:color w:val="000000"/>
                <w:sz w:val="20"/>
                <w:szCs w:val="21"/>
                <w:vertAlign w:val="superscript"/>
                <w:lang w:eastAsia="en-GB"/>
              </w:rPr>
              <w:t>$$$</w:t>
            </w:r>
          </w:p>
        </w:tc>
        <w:tc>
          <w:tcPr>
            <w:tcW w:w="2410" w:type="dxa"/>
            <w:gridSpan w:val="4"/>
            <w:tcBorders>
              <w:top w:val="nil"/>
              <w:left w:val="nil"/>
              <w:bottom w:val="nil"/>
              <w:right w:val="nil"/>
            </w:tcBorders>
            <w:shd w:val="clear" w:color="auto" w:fill="auto"/>
            <w:noWrap/>
            <w:vAlign w:val="center"/>
          </w:tcPr>
          <w:p w14:paraId="677CFCF8" w14:textId="6346132D" w:rsidR="008D14D6" w:rsidRPr="004B4020" w:rsidRDefault="000E4C5D" w:rsidP="009C5DDC">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 xml:space="preserve">Normal NO + </w:t>
            </w:r>
            <w:r w:rsidR="008D14D6" w:rsidRPr="004B4020">
              <w:rPr>
                <w:rFonts w:eastAsia="Times New Roman" w:cs="Calibri"/>
                <w:color w:val="000000"/>
                <w:sz w:val="20"/>
                <w:szCs w:val="21"/>
                <w:lang w:eastAsia="en-GB"/>
              </w:rPr>
              <w:t>milder</w:t>
            </w:r>
            <w:r w:rsidR="007C0566" w:rsidRPr="004B4020">
              <w:rPr>
                <w:rFonts w:eastAsia="Times New Roman" w:cs="Calibri"/>
                <w:color w:val="000000"/>
                <w:sz w:val="20"/>
                <w:szCs w:val="21"/>
                <w:lang w:eastAsia="en-GB"/>
              </w:rPr>
              <w:t xml:space="preserve"> resp. phenotype</w:t>
            </w:r>
            <w:r w:rsidR="00F51AAA" w:rsidRPr="004B4020">
              <w:rPr>
                <w:rFonts w:eastAsia="Times New Roman" w:cs="Calibri"/>
                <w:color w:val="000000"/>
                <w:sz w:val="20"/>
                <w:szCs w:val="21"/>
                <w:lang w:eastAsia="en-GB"/>
              </w:rPr>
              <w:t>. Situs solitus</w:t>
            </w:r>
          </w:p>
        </w:tc>
        <w:tc>
          <w:tcPr>
            <w:tcW w:w="524" w:type="dxa"/>
            <w:gridSpan w:val="2"/>
            <w:tcBorders>
              <w:top w:val="nil"/>
              <w:left w:val="nil"/>
              <w:bottom w:val="nil"/>
              <w:right w:val="nil"/>
            </w:tcBorders>
            <w:shd w:val="clear" w:color="auto" w:fill="auto"/>
            <w:noWrap/>
            <w:vAlign w:val="center"/>
          </w:tcPr>
          <w:p w14:paraId="41019C12" w14:textId="58046320" w:rsidR="008D14D6" w:rsidRPr="008C4A1D" w:rsidRDefault="007C7797" w:rsidP="007C7797">
            <w:pPr>
              <w:tabs>
                <w:tab w:val="left" w:pos="8647"/>
              </w:tabs>
              <w:spacing w:after="0" w:line="240" w:lineRule="auto"/>
              <w:jc w:val="center"/>
              <w:rPr>
                <w:rFonts w:eastAsia="Times New Roman" w:cs="Times New Roman"/>
                <w:color w:val="000000"/>
                <w:sz w:val="20"/>
                <w:szCs w:val="18"/>
                <w:vertAlign w:val="subscript"/>
                <w:lang w:eastAsia="en-GB"/>
              </w:rPr>
            </w:pPr>
            <w:r w:rsidRPr="008C4A1D">
              <w:rPr>
                <w:rFonts w:eastAsia="Times New Roman" w:cs="Times New Roman"/>
                <w:noProof/>
                <w:color w:val="000000"/>
                <w:sz w:val="20"/>
                <w:szCs w:val="18"/>
                <w:vertAlign w:val="subscript"/>
                <w:lang w:eastAsia="en-GB"/>
              </w:rPr>
              <w:t>95</w:t>
            </w:r>
          </w:p>
        </w:tc>
      </w:tr>
      <w:tr w:rsidR="008D14D6" w:rsidRPr="008C4A1D" w14:paraId="58A67A8B" w14:textId="77777777" w:rsidTr="000E4C5D">
        <w:trPr>
          <w:gridAfter w:val="1"/>
          <w:wAfter w:w="43" w:type="dxa"/>
          <w:trHeight w:val="271"/>
        </w:trPr>
        <w:tc>
          <w:tcPr>
            <w:tcW w:w="1164" w:type="dxa"/>
            <w:tcBorders>
              <w:top w:val="nil"/>
              <w:left w:val="nil"/>
              <w:bottom w:val="nil"/>
              <w:right w:val="nil"/>
            </w:tcBorders>
            <w:shd w:val="clear" w:color="auto" w:fill="auto"/>
            <w:noWrap/>
            <w:vAlign w:val="center"/>
            <w:hideMark/>
          </w:tcPr>
          <w:p w14:paraId="5E3204D0" w14:textId="77777777" w:rsidR="008D14D6" w:rsidRPr="004B4020" w:rsidRDefault="008D14D6" w:rsidP="007C0566">
            <w:pPr>
              <w:tabs>
                <w:tab w:val="left" w:pos="8647"/>
              </w:tabs>
              <w:spacing w:after="0" w:line="240" w:lineRule="auto"/>
              <w:jc w:val="center"/>
              <w:rPr>
                <w:rFonts w:eastAsia="Times New Roman" w:cs="Times New Roman"/>
                <w:color w:val="000000"/>
                <w:sz w:val="20"/>
                <w:szCs w:val="21"/>
                <w:lang w:eastAsia="en-GB"/>
              </w:rPr>
            </w:pPr>
            <w:r w:rsidRPr="004B4020">
              <w:rPr>
                <w:rFonts w:eastAsia="Times New Roman" w:cs="Times New Roman"/>
                <w:b/>
                <w:bCs/>
                <w:color w:val="000000"/>
                <w:sz w:val="20"/>
                <w:szCs w:val="21"/>
                <w:lang w:eastAsia="en-GB"/>
              </w:rPr>
              <w:t>Subunit</w:t>
            </w:r>
          </w:p>
        </w:tc>
        <w:tc>
          <w:tcPr>
            <w:tcW w:w="1138" w:type="dxa"/>
            <w:gridSpan w:val="2"/>
            <w:tcBorders>
              <w:top w:val="nil"/>
              <w:left w:val="nil"/>
              <w:bottom w:val="nil"/>
              <w:right w:val="nil"/>
            </w:tcBorders>
            <w:shd w:val="clear" w:color="auto" w:fill="auto"/>
            <w:noWrap/>
            <w:vAlign w:val="center"/>
            <w:hideMark/>
          </w:tcPr>
          <w:p w14:paraId="3FEF8431" w14:textId="77777777" w:rsidR="008D14D6" w:rsidRPr="004B4020" w:rsidRDefault="008D14D6" w:rsidP="007C0566">
            <w:pPr>
              <w:tabs>
                <w:tab w:val="left" w:pos="8647"/>
              </w:tabs>
              <w:spacing w:after="0" w:line="240" w:lineRule="auto"/>
              <w:jc w:val="center"/>
              <w:rPr>
                <w:rFonts w:eastAsia="Times New Roman" w:cs="Calibri"/>
                <w:i/>
                <w:iCs/>
                <w:color w:val="000000"/>
                <w:sz w:val="20"/>
                <w:szCs w:val="21"/>
                <w:lang w:eastAsia="en-GB"/>
              </w:rPr>
            </w:pPr>
            <w:r w:rsidRPr="004B4020">
              <w:rPr>
                <w:rFonts w:eastAsia="Times New Roman" w:cs="Calibri"/>
                <w:i/>
                <w:iCs/>
                <w:color w:val="000000"/>
                <w:sz w:val="20"/>
                <w:szCs w:val="21"/>
                <w:lang w:eastAsia="en-GB"/>
              </w:rPr>
              <w:t>RSPH4A</w:t>
            </w:r>
          </w:p>
        </w:tc>
        <w:tc>
          <w:tcPr>
            <w:tcW w:w="851" w:type="dxa"/>
            <w:tcBorders>
              <w:top w:val="nil"/>
              <w:left w:val="nil"/>
              <w:bottom w:val="nil"/>
              <w:right w:val="nil"/>
            </w:tcBorders>
            <w:shd w:val="clear" w:color="auto" w:fill="auto"/>
            <w:noWrap/>
            <w:vAlign w:val="center"/>
            <w:hideMark/>
          </w:tcPr>
          <w:p w14:paraId="62AF2377" w14:textId="77777777"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612647</w:t>
            </w:r>
          </w:p>
        </w:tc>
        <w:tc>
          <w:tcPr>
            <w:tcW w:w="1701" w:type="dxa"/>
            <w:tcBorders>
              <w:top w:val="nil"/>
              <w:left w:val="nil"/>
              <w:bottom w:val="nil"/>
              <w:right w:val="nil"/>
            </w:tcBorders>
            <w:shd w:val="clear" w:color="auto" w:fill="auto"/>
            <w:noWrap/>
            <w:vAlign w:val="center"/>
            <w:hideMark/>
          </w:tcPr>
          <w:p w14:paraId="6B852FCF" w14:textId="3779B6A5"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CC/ normal</w:t>
            </w:r>
          </w:p>
        </w:tc>
        <w:tc>
          <w:tcPr>
            <w:tcW w:w="1984" w:type="dxa"/>
            <w:gridSpan w:val="2"/>
            <w:tcBorders>
              <w:top w:val="nil"/>
              <w:left w:val="nil"/>
              <w:bottom w:val="nil"/>
              <w:right w:val="nil"/>
            </w:tcBorders>
            <w:shd w:val="clear" w:color="auto" w:fill="auto"/>
            <w:vAlign w:val="center"/>
            <w:hideMark/>
          </w:tcPr>
          <w:p w14:paraId="6F8801EC" w14:textId="66164D7B"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Circling</w:t>
            </w:r>
            <w:r w:rsidR="00A72BE0" w:rsidRPr="004B4020">
              <w:rPr>
                <w:rFonts w:eastAsia="Times New Roman" w:cs="Calibri"/>
                <w:color w:val="000000"/>
                <w:sz w:val="20"/>
                <w:szCs w:val="21"/>
                <w:vertAlign w:val="superscript"/>
                <w:lang w:eastAsia="en-GB"/>
              </w:rPr>
              <w:t>$$$</w:t>
            </w:r>
          </w:p>
        </w:tc>
        <w:tc>
          <w:tcPr>
            <w:tcW w:w="2410" w:type="dxa"/>
            <w:gridSpan w:val="4"/>
            <w:tcBorders>
              <w:top w:val="nil"/>
              <w:left w:val="nil"/>
              <w:bottom w:val="nil"/>
              <w:right w:val="nil"/>
            </w:tcBorders>
            <w:shd w:val="clear" w:color="auto" w:fill="auto"/>
            <w:noWrap/>
            <w:vAlign w:val="center"/>
          </w:tcPr>
          <w:p w14:paraId="4FBE9FF6" w14:textId="00A75B4D" w:rsidR="008D14D6" w:rsidRPr="004B4020" w:rsidRDefault="00F51AAA" w:rsidP="007C7797">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val="en-US" w:eastAsia="en-GB"/>
              </w:rPr>
              <w:t>Situs solitus, increased chance of OM</w:t>
            </w:r>
            <w:r w:rsidR="00775930" w:rsidRPr="004B4020">
              <w:rPr>
                <w:rFonts w:eastAsia="Times New Roman" w:cs="Calibri"/>
                <w:noProof/>
                <w:color w:val="000000"/>
                <w:sz w:val="20"/>
                <w:szCs w:val="21"/>
                <w:vertAlign w:val="superscript"/>
                <w:lang w:val="en-US" w:eastAsia="en-GB"/>
              </w:rPr>
              <w:t>132</w:t>
            </w:r>
            <w:r w:rsidR="007C7797">
              <w:rPr>
                <w:rFonts w:eastAsia="Times New Roman" w:cs="Calibri"/>
                <w:noProof/>
                <w:color w:val="000000"/>
                <w:sz w:val="20"/>
                <w:szCs w:val="21"/>
                <w:vertAlign w:val="superscript"/>
                <w:lang w:val="en-US" w:eastAsia="en-GB"/>
              </w:rPr>
              <w:t>149</w:t>
            </w:r>
          </w:p>
        </w:tc>
        <w:tc>
          <w:tcPr>
            <w:tcW w:w="524" w:type="dxa"/>
            <w:gridSpan w:val="2"/>
            <w:tcBorders>
              <w:top w:val="nil"/>
              <w:left w:val="nil"/>
              <w:bottom w:val="nil"/>
              <w:right w:val="nil"/>
            </w:tcBorders>
            <w:shd w:val="clear" w:color="auto" w:fill="auto"/>
            <w:noWrap/>
            <w:vAlign w:val="center"/>
          </w:tcPr>
          <w:p w14:paraId="5F0B897D" w14:textId="304A901A" w:rsidR="008D14D6" w:rsidRPr="008C4A1D" w:rsidRDefault="007C7797" w:rsidP="007C7797">
            <w:pPr>
              <w:tabs>
                <w:tab w:val="left" w:pos="8647"/>
              </w:tabs>
              <w:spacing w:after="0" w:line="240" w:lineRule="auto"/>
              <w:jc w:val="center"/>
              <w:rPr>
                <w:rFonts w:eastAsia="Times New Roman" w:cs="Calibri"/>
                <w:color w:val="000000"/>
                <w:sz w:val="20"/>
                <w:vertAlign w:val="subscript"/>
                <w:lang w:eastAsia="en-GB"/>
              </w:rPr>
            </w:pPr>
            <w:r w:rsidRPr="008C4A1D">
              <w:rPr>
                <w:rFonts w:eastAsia="Times New Roman" w:cs="Calibri"/>
                <w:noProof/>
                <w:color w:val="000000"/>
                <w:sz w:val="20"/>
                <w:vertAlign w:val="subscript"/>
                <w:lang w:eastAsia="en-GB"/>
              </w:rPr>
              <w:t>158</w:t>
            </w:r>
          </w:p>
        </w:tc>
      </w:tr>
      <w:tr w:rsidR="008D14D6" w:rsidRPr="008C4A1D" w14:paraId="3F0F114E" w14:textId="77777777" w:rsidTr="000E4C5D">
        <w:trPr>
          <w:gridAfter w:val="1"/>
          <w:wAfter w:w="43" w:type="dxa"/>
          <w:trHeight w:val="271"/>
        </w:trPr>
        <w:tc>
          <w:tcPr>
            <w:tcW w:w="1164" w:type="dxa"/>
            <w:tcBorders>
              <w:top w:val="nil"/>
              <w:left w:val="nil"/>
              <w:bottom w:val="nil"/>
              <w:right w:val="nil"/>
            </w:tcBorders>
            <w:shd w:val="clear" w:color="auto" w:fill="auto"/>
            <w:noWrap/>
            <w:vAlign w:val="center"/>
            <w:hideMark/>
          </w:tcPr>
          <w:p w14:paraId="05B80330" w14:textId="77777777" w:rsidR="008D14D6" w:rsidRPr="004B4020" w:rsidRDefault="008D14D6" w:rsidP="007C0566">
            <w:pPr>
              <w:tabs>
                <w:tab w:val="left" w:pos="8647"/>
              </w:tabs>
              <w:spacing w:after="0" w:line="240" w:lineRule="auto"/>
              <w:jc w:val="center"/>
              <w:rPr>
                <w:rFonts w:eastAsia="Times New Roman" w:cs="Times New Roman"/>
                <w:sz w:val="20"/>
                <w:szCs w:val="21"/>
                <w:lang w:eastAsia="en-GB"/>
              </w:rPr>
            </w:pPr>
          </w:p>
        </w:tc>
        <w:tc>
          <w:tcPr>
            <w:tcW w:w="1138" w:type="dxa"/>
            <w:gridSpan w:val="2"/>
            <w:tcBorders>
              <w:top w:val="nil"/>
              <w:left w:val="nil"/>
              <w:bottom w:val="nil"/>
              <w:right w:val="nil"/>
            </w:tcBorders>
            <w:shd w:val="clear" w:color="auto" w:fill="auto"/>
            <w:noWrap/>
            <w:vAlign w:val="center"/>
            <w:hideMark/>
          </w:tcPr>
          <w:p w14:paraId="7F5EEFFF" w14:textId="77777777" w:rsidR="008D14D6" w:rsidRPr="004B4020" w:rsidRDefault="008D14D6" w:rsidP="007C0566">
            <w:pPr>
              <w:tabs>
                <w:tab w:val="left" w:pos="8647"/>
              </w:tabs>
              <w:spacing w:after="0" w:line="240" w:lineRule="auto"/>
              <w:jc w:val="center"/>
              <w:rPr>
                <w:rFonts w:eastAsia="Times New Roman" w:cs="Calibri"/>
                <w:i/>
                <w:iCs/>
                <w:color w:val="000000"/>
                <w:sz w:val="20"/>
                <w:szCs w:val="21"/>
                <w:lang w:eastAsia="en-GB"/>
              </w:rPr>
            </w:pPr>
            <w:r w:rsidRPr="004B4020">
              <w:rPr>
                <w:rFonts w:eastAsia="Times New Roman" w:cs="Calibri"/>
                <w:i/>
                <w:iCs/>
                <w:color w:val="000000"/>
                <w:sz w:val="20"/>
                <w:szCs w:val="21"/>
                <w:lang w:eastAsia="en-GB"/>
              </w:rPr>
              <w:t>RSPH9</w:t>
            </w:r>
          </w:p>
        </w:tc>
        <w:tc>
          <w:tcPr>
            <w:tcW w:w="851" w:type="dxa"/>
            <w:tcBorders>
              <w:top w:val="nil"/>
              <w:left w:val="nil"/>
              <w:bottom w:val="nil"/>
              <w:right w:val="nil"/>
            </w:tcBorders>
            <w:shd w:val="clear" w:color="auto" w:fill="auto"/>
            <w:noWrap/>
            <w:vAlign w:val="center"/>
            <w:hideMark/>
          </w:tcPr>
          <w:p w14:paraId="782A063D" w14:textId="77777777"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612648</w:t>
            </w:r>
          </w:p>
        </w:tc>
        <w:tc>
          <w:tcPr>
            <w:tcW w:w="1701" w:type="dxa"/>
            <w:tcBorders>
              <w:top w:val="nil"/>
              <w:left w:val="nil"/>
              <w:bottom w:val="nil"/>
              <w:right w:val="nil"/>
            </w:tcBorders>
            <w:shd w:val="clear" w:color="auto" w:fill="auto"/>
            <w:noWrap/>
            <w:vAlign w:val="center"/>
            <w:hideMark/>
          </w:tcPr>
          <w:p w14:paraId="155206E1" w14:textId="3BF940B7"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CC/ normal</w:t>
            </w:r>
          </w:p>
        </w:tc>
        <w:tc>
          <w:tcPr>
            <w:tcW w:w="1984" w:type="dxa"/>
            <w:gridSpan w:val="2"/>
            <w:tcBorders>
              <w:top w:val="nil"/>
              <w:left w:val="nil"/>
              <w:bottom w:val="nil"/>
              <w:right w:val="nil"/>
            </w:tcBorders>
            <w:shd w:val="clear" w:color="auto" w:fill="auto"/>
            <w:vAlign w:val="center"/>
            <w:hideMark/>
          </w:tcPr>
          <w:p w14:paraId="06DEA4E8" w14:textId="2F6656DD"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Circling</w:t>
            </w:r>
            <w:r w:rsidR="000829A7" w:rsidRPr="004B4020">
              <w:rPr>
                <w:rFonts w:eastAsia="Times New Roman" w:cs="Calibri"/>
                <w:color w:val="000000"/>
                <w:sz w:val="20"/>
                <w:szCs w:val="21"/>
                <w:vertAlign w:val="superscript"/>
                <w:lang w:eastAsia="en-GB"/>
              </w:rPr>
              <w:t>$$$</w:t>
            </w:r>
          </w:p>
        </w:tc>
        <w:tc>
          <w:tcPr>
            <w:tcW w:w="2410" w:type="dxa"/>
            <w:gridSpan w:val="4"/>
            <w:tcBorders>
              <w:top w:val="nil"/>
              <w:left w:val="nil"/>
              <w:bottom w:val="nil"/>
              <w:right w:val="nil"/>
            </w:tcBorders>
            <w:shd w:val="clear" w:color="auto" w:fill="auto"/>
            <w:noWrap/>
            <w:vAlign w:val="center"/>
          </w:tcPr>
          <w:p w14:paraId="2669107B" w14:textId="041F377A" w:rsidR="008D14D6" w:rsidRPr="004B4020" w:rsidRDefault="00F51AAA" w:rsidP="007C7797">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val="en-US" w:eastAsia="en-GB"/>
              </w:rPr>
              <w:t>Situs solitus; increased chan</w:t>
            </w:r>
            <w:r w:rsidR="00344D4B" w:rsidRPr="004B4020">
              <w:rPr>
                <w:rFonts w:eastAsia="Times New Roman" w:cs="Calibri"/>
                <w:color w:val="000000"/>
                <w:sz w:val="20"/>
                <w:szCs w:val="21"/>
                <w:lang w:val="en-US" w:eastAsia="en-GB"/>
              </w:rPr>
              <w:t>ce of OM</w:t>
            </w:r>
            <w:r w:rsidR="007C7797">
              <w:rPr>
                <w:rFonts w:eastAsia="Times New Roman" w:cs="Calibri"/>
                <w:noProof/>
                <w:color w:val="000000"/>
                <w:sz w:val="20"/>
                <w:szCs w:val="21"/>
                <w:vertAlign w:val="superscript"/>
                <w:lang w:val="en-US" w:eastAsia="en-GB"/>
              </w:rPr>
              <w:t>149</w:t>
            </w:r>
          </w:p>
        </w:tc>
        <w:tc>
          <w:tcPr>
            <w:tcW w:w="524" w:type="dxa"/>
            <w:gridSpan w:val="2"/>
            <w:tcBorders>
              <w:top w:val="nil"/>
              <w:left w:val="nil"/>
              <w:bottom w:val="nil"/>
              <w:right w:val="nil"/>
            </w:tcBorders>
            <w:shd w:val="clear" w:color="auto" w:fill="auto"/>
            <w:noWrap/>
            <w:vAlign w:val="center"/>
          </w:tcPr>
          <w:p w14:paraId="27A9FB01" w14:textId="71CA9030" w:rsidR="008D14D6" w:rsidRPr="008C4A1D" w:rsidRDefault="007C7797" w:rsidP="007C7797">
            <w:pPr>
              <w:tabs>
                <w:tab w:val="left" w:pos="8647"/>
              </w:tabs>
              <w:spacing w:after="0" w:line="240" w:lineRule="auto"/>
              <w:jc w:val="center"/>
              <w:rPr>
                <w:rFonts w:eastAsia="Times New Roman" w:cs="Calibri"/>
                <w:color w:val="000000"/>
                <w:sz w:val="20"/>
                <w:vertAlign w:val="subscript"/>
                <w:lang w:eastAsia="en-GB"/>
              </w:rPr>
            </w:pPr>
            <w:r w:rsidRPr="008C4A1D">
              <w:rPr>
                <w:rFonts w:eastAsia="Times New Roman" w:cs="Calibri"/>
                <w:noProof/>
                <w:color w:val="000000"/>
                <w:sz w:val="20"/>
                <w:vertAlign w:val="subscript"/>
                <w:lang w:eastAsia="en-GB"/>
              </w:rPr>
              <w:t>96</w:t>
            </w:r>
          </w:p>
        </w:tc>
      </w:tr>
      <w:tr w:rsidR="008D14D6" w:rsidRPr="008C4A1D" w14:paraId="1B378F61" w14:textId="77777777" w:rsidTr="000E4C5D">
        <w:trPr>
          <w:gridAfter w:val="1"/>
          <w:wAfter w:w="43" w:type="dxa"/>
          <w:trHeight w:val="271"/>
        </w:trPr>
        <w:tc>
          <w:tcPr>
            <w:tcW w:w="1164" w:type="dxa"/>
            <w:tcBorders>
              <w:top w:val="nil"/>
              <w:left w:val="nil"/>
              <w:bottom w:val="nil"/>
              <w:right w:val="nil"/>
            </w:tcBorders>
            <w:shd w:val="clear" w:color="auto" w:fill="auto"/>
            <w:noWrap/>
            <w:vAlign w:val="center"/>
            <w:hideMark/>
          </w:tcPr>
          <w:p w14:paraId="4017C32A" w14:textId="77777777" w:rsidR="008D14D6" w:rsidRPr="004B4020" w:rsidRDefault="008D14D6" w:rsidP="007C0566">
            <w:pPr>
              <w:tabs>
                <w:tab w:val="left" w:pos="8647"/>
              </w:tabs>
              <w:spacing w:after="0" w:line="240" w:lineRule="auto"/>
              <w:jc w:val="center"/>
              <w:rPr>
                <w:rFonts w:eastAsia="Times New Roman" w:cs="Times New Roman"/>
                <w:sz w:val="20"/>
                <w:szCs w:val="21"/>
                <w:lang w:eastAsia="en-GB"/>
              </w:rPr>
            </w:pPr>
          </w:p>
        </w:tc>
        <w:tc>
          <w:tcPr>
            <w:tcW w:w="1138" w:type="dxa"/>
            <w:gridSpan w:val="2"/>
            <w:tcBorders>
              <w:top w:val="nil"/>
              <w:left w:val="nil"/>
              <w:bottom w:val="nil"/>
              <w:right w:val="nil"/>
            </w:tcBorders>
            <w:shd w:val="clear" w:color="auto" w:fill="auto"/>
            <w:noWrap/>
            <w:vAlign w:val="center"/>
            <w:hideMark/>
          </w:tcPr>
          <w:p w14:paraId="6AA6F653" w14:textId="77777777" w:rsidR="008D14D6" w:rsidRPr="004B4020" w:rsidRDefault="008D14D6" w:rsidP="007C0566">
            <w:pPr>
              <w:tabs>
                <w:tab w:val="left" w:pos="8647"/>
              </w:tabs>
              <w:spacing w:after="0" w:line="240" w:lineRule="auto"/>
              <w:jc w:val="center"/>
              <w:rPr>
                <w:rFonts w:eastAsia="Times New Roman" w:cs="Calibri"/>
                <w:i/>
                <w:iCs/>
                <w:color w:val="000000"/>
                <w:sz w:val="20"/>
                <w:szCs w:val="21"/>
                <w:lang w:eastAsia="en-GB"/>
              </w:rPr>
            </w:pPr>
            <w:r w:rsidRPr="004B4020">
              <w:rPr>
                <w:rFonts w:eastAsia="Times New Roman" w:cs="Calibri"/>
                <w:i/>
                <w:iCs/>
                <w:color w:val="000000"/>
                <w:sz w:val="20"/>
                <w:szCs w:val="21"/>
                <w:lang w:eastAsia="en-GB"/>
              </w:rPr>
              <w:t>RSPH3</w:t>
            </w:r>
          </w:p>
        </w:tc>
        <w:tc>
          <w:tcPr>
            <w:tcW w:w="851" w:type="dxa"/>
            <w:tcBorders>
              <w:top w:val="nil"/>
              <w:left w:val="nil"/>
              <w:bottom w:val="nil"/>
              <w:right w:val="nil"/>
            </w:tcBorders>
            <w:shd w:val="clear" w:color="auto" w:fill="auto"/>
            <w:noWrap/>
            <w:vAlign w:val="center"/>
            <w:hideMark/>
          </w:tcPr>
          <w:p w14:paraId="2244C6B7" w14:textId="77777777"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615876</w:t>
            </w:r>
          </w:p>
        </w:tc>
        <w:tc>
          <w:tcPr>
            <w:tcW w:w="1701" w:type="dxa"/>
            <w:tcBorders>
              <w:top w:val="nil"/>
              <w:left w:val="nil"/>
              <w:bottom w:val="nil"/>
              <w:right w:val="nil"/>
            </w:tcBorders>
            <w:shd w:val="clear" w:color="auto" w:fill="auto"/>
            <w:noWrap/>
            <w:vAlign w:val="center"/>
            <w:hideMark/>
          </w:tcPr>
          <w:p w14:paraId="570A9079" w14:textId="4A68B39F"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CC/ normal</w:t>
            </w:r>
          </w:p>
        </w:tc>
        <w:tc>
          <w:tcPr>
            <w:tcW w:w="1984" w:type="dxa"/>
            <w:gridSpan w:val="2"/>
            <w:tcBorders>
              <w:top w:val="nil"/>
              <w:left w:val="nil"/>
              <w:bottom w:val="nil"/>
              <w:right w:val="nil"/>
            </w:tcBorders>
            <w:shd w:val="clear" w:color="auto" w:fill="auto"/>
            <w:vAlign w:val="center"/>
            <w:hideMark/>
          </w:tcPr>
          <w:p w14:paraId="4B5566B2" w14:textId="3CA00479"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Circling</w:t>
            </w:r>
            <w:r w:rsidR="000829A7" w:rsidRPr="004B4020">
              <w:rPr>
                <w:rFonts w:eastAsia="Times New Roman" w:cs="Calibri"/>
                <w:color w:val="000000"/>
                <w:sz w:val="20"/>
                <w:szCs w:val="21"/>
                <w:vertAlign w:val="superscript"/>
                <w:lang w:eastAsia="en-GB"/>
              </w:rPr>
              <w:t>$$$</w:t>
            </w:r>
          </w:p>
        </w:tc>
        <w:tc>
          <w:tcPr>
            <w:tcW w:w="2410" w:type="dxa"/>
            <w:gridSpan w:val="4"/>
            <w:tcBorders>
              <w:top w:val="nil"/>
              <w:left w:val="nil"/>
              <w:bottom w:val="nil"/>
              <w:right w:val="nil"/>
            </w:tcBorders>
            <w:shd w:val="clear" w:color="auto" w:fill="auto"/>
            <w:noWrap/>
            <w:vAlign w:val="center"/>
          </w:tcPr>
          <w:p w14:paraId="2651945B" w14:textId="44086C21" w:rsidR="008D14D6" w:rsidRPr="004B4020" w:rsidRDefault="00F51AAA" w:rsidP="007C7797">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val="en-US" w:eastAsia="en-GB"/>
              </w:rPr>
              <w:t>Situs solitus;</w:t>
            </w:r>
            <w:r w:rsidRPr="004B4020">
              <w:rPr>
                <w:rFonts w:eastAsia="Times New Roman" w:cs="Times New Roman"/>
                <w:sz w:val="20"/>
                <w:szCs w:val="20"/>
                <w:lang w:val="en-US"/>
              </w:rPr>
              <w:t xml:space="preserve"> </w:t>
            </w:r>
            <w:r w:rsidRPr="004B4020">
              <w:rPr>
                <w:rFonts w:eastAsia="Times New Roman" w:cs="Calibri"/>
                <w:color w:val="000000"/>
                <w:sz w:val="20"/>
                <w:szCs w:val="21"/>
                <w:lang w:val="en-US" w:eastAsia="en-GB"/>
              </w:rPr>
              <w:t>increased chance of OM</w:t>
            </w:r>
            <w:r w:rsidR="007C7797">
              <w:rPr>
                <w:rFonts w:eastAsia="Times New Roman" w:cs="Calibri"/>
                <w:noProof/>
                <w:color w:val="000000"/>
                <w:sz w:val="20"/>
                <w:szCs w:val="21"/>
                <w:vertAlign w:val="superscript"/>
                <w:lang w:val="en-US" w:eastAsia="en-GB"/>
              </w:rPr>
              <w:t>149</w:t>
            </w:r>
          </w:p>
        </w:tc>
        <w:tc>
          <w:tcPr>
            <w:tcW w:w="524" w:type="dxa"/>
            <w:gridSpan w:val="2"/>
            <w:tcBorders>
              <w:top w:val="nil"/>
              <w:left w:val="nil"/>
              <w:bottom w:val="nil"/>
              <w:right w:val="nil"/>
            </w:tcBorders>
            <w:shd w:val="clear" w:color="auto" w:fill="auto"/>
            <w:noWrap/>
            <w:vAlign w:val="center"/>
          </w:tcPr>
          <w:p w14:paraId="22B52ACC" w14:textId="22A6CA1F" w:rsidR="008D14D6" w:rsidRPr="008C4A1D" w:rsidRDefault="007C7797" w:rsidP="007C7797">
            <w:pPr>
              <w:tabs>
                <w:tab w:val="left" w:pos="8647"/>
              </w:tabs>
              <w:spacing w:after="0" w:line="240" w:lineRule="auto"/>
              <w:jc w:val="center"/>
              <w:rPr>
                <w:rFonts w:eastAsia="Times New Roman" w:cs="Calibri"/>
                <w:color w:val="000000"/>
                <w:sz w:val="20"/>
                <w:vertAlign w:val="subscript"/>
                <w:lang w:eastAsia="en-GB"/>
              </w:rPr>
            </w:pPr>
            <w:r w:rsidRPr="008C4A1D">
              <w:rPr>
                <w:rFonts w:eastAsia="Times New Roman" w:cs="Calibri"/>
                <w:noProof/>
                <w:color w:val="000000"/>
                <w:sz w:val="20"/>
                <w:vertAlign w:val="subscript"/>
                <w:lang w:eastAsia="en-GB"/>
              </w:rPr>
              <w:t>97</w:t>
            </w:r>
          </w:p>
        </w:tc>
      </w:tr>
      <w:tr w:rsidR="008D14D6" w:rsidRPr="008C4A1D" w14:paraId="5A42F41F" w14:textId="77777777" w:rsidTr="000E4C5D">
        <w:trPr>
          <w:gridAfter w:val="1"/>
          <w:wAfter w:w="43" w:type="dxa"/>
          <w:trHeight w:val="271"/>
        </w:trPr>
        <w:tc>
          <w:tcPr>
            <w:tcW w:w="1164" w:type="dxa"/>
            <w:tcBorders>
              <w:top w:val="nil"/>
              <w:left w:val="nil"/>
              <w:bottom w:val="nil"/>
              <w:right w:val="nil"/>
            </w:tcBorders>
            <w:shd w:val="clear" w:color="auto" w:fill="auto"/>
            <w:noWrap/>
            <w:vAlign w:val="center"/>
            <w:hideMark/>
          </w:tcPr>
          <w:p w14:paraId="3D8449B7" w14:textId="77777777" w:rsidR="008D14D6" w:rsidRPr="004B4020" w:rsidRDefault="008D14D6" w:rsidP="007C0566">
            <w:pPr>
              <w:tabs>
                <w:tab w:val="left" w:pos="8647"/>
              </w:tabs>
              <w:spacing w:after="0" w:line="240" w:lineRule="auto"/>
              <w:jc w:val="center"/>
              <w:rPr>
                <w:rFonts w:eastAsia="Times New Roman" w:cs="Times New Roman"/>
                <w:sz w:val="20"/>
                <w:szCs w:val="21"/>
                <w:lang w:eastAsia="en-GB"/>
              </w:rPr>
            </w:pPr>
          </w:p>
        </w:tc>
        <w:tc>
          <w:tcPr>
            <w:tcW w:w="1138" w:type="dxa"/>
            <w:gridSpan w:val="2"/>
            <w:tcBorders>
              <w:top w:val="nil"/>
              <w:left w:val="nil"/>
              <w:bottom w:val="nil"/>
              <w:right w:val="nil"/>
            </w:tcBorders>
            <w:shd w:val="clear" w:color="auto" w:fill="auto"/>
            <w:noWrap/>
            <w:vAlign w:val="center"/>
            <w:hideMark/>
          </w:tcPr>
          <w:p w14:paraId="170CC447" w14:textId="77777777" w:rsidR="008D14D6" w:rsidRPr="004B4020" w:rsidRDefault="008D14D6" w:rsidP="007C0566">
            <w:pPr>
              <w:tabs>
                <w:tab w:val="left" w:pos="8647"/>
              </w:tabs>
              <w:spacing w:after="0" w:line="240" w:lineRule="auto"/>
              <w:jc w:val="center"/>
              <w:rPr>
                <w:rFonts w:eastAsia="Times New Roman" w:cs="Calibri"/>
                <w:i/>
                <w:iCs/>
                <w:color w:val="000000"/>
                <w:sz w:val="20"/>
                <w:szCs w:val="21"/>
                <w:lang w:eastAsia="en-GB"/>
              </w:rPr>
            </w:pPr>
            <w:r w:rsidRPr="004B4020">
              <w:rPr>
                <w:rFonts w:eastAsia="Times New Roman" w:cs="Calibri"/>
                <w:i/>
                <w:iCs/>
                <w:color w:val="000000"/>
                <w:sz w:val="20"/>
                <w:szCs w:val="21"/>
                <w:lang w:eastAsia="en-GB"/>
              </w:rPr>
              <w:t>DNAJB13</w:t>
            </w:r>
          </w:p>
        </w:tc>
        <w:tc>
          <w:tcPr>
            <w:tcW w:w="851" w:type="dxa"/>
            <w:tcBorders>
              <w:top w:val="nil"/>
              <w:left w:val="nil"/>
              <w:bottom w:val="nil"/>
              <w:right w:val="nil"/>
            </w:tcBorders>
            <w:shd w:val="clear" w:color="auto" w:fill="auto"/>
            <w:noWrap/>
            <w:vAlign w:val="center"/>
            <w:hideMark/>
          </w:tcPr>
          <w:p w14:paraId="5FD2A69E" w14:textId="77777777"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610263</w:t>
            </w:r>
          </w:p>
        </w:tc>
        <w:tc>
          <w:tcPr>
            <w:tcW w:w="1701" w:type="dxa"/>
            <w:tcBorders>
              <w:top w:val="nil"/>
              <w:left w:val="nil"/>
              <w:bottom w:val="nil"/>
              <w:right w:val="nil"/>
            </w:tcBorders>
            <w:shd w:val="clear" w:color="auto" w:fill="auto"/>
            <w:noWrap/>
            <w:vAlign w:val="center"/>
            <w:hideMark/>
          </w:tcPr>
          <w:p w14:paraId="7ED5D123" w14:textId="2E8BC91A"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CC/ normal</w:t>
            </w:r>
          </w:p>
        </w:tc>
        <w:tc>
          <w:tcPr>
            <w:tcW w:w="1984" w:type="dxa"/>
            <w:gridSpan w:val="2"/>
            <w:tcBorders>
              <w:top w:val="nil"/>
              <w:left w:val="nil"/>
              <w:bottom w:val="single" w:sz="4" w:space="0" w:color="auto"/>
              <w:right w:val="nil"/>
            </w:tcBorders>
            <w:shd w:val="clear" w:color="auto" w:fill="auto"/>
            <w:vAlign w:val="center"/>
            <w:hideMark/>
          </w:tcPr>
          <w:p w14:paraId="6BC535F5" w14:textId="12290A87" w:rsidR="00B517B5" w:rsidRPr="004B4020" w:rsidRDefault="008D14D6" w:rsidP="00B517B5">
            <w:pPr>
              <w:tabs>
                <w:tab w:val="left" w:pos="8647"/>
              </w:tabs>
              <w:spacing w:after="0" w:line="240" w:lineRule="auto"/>
              <w:jc w:val="center"/>
              <w:rPr>
                <w:rFonts w:eastAsia="Times New Roman" w:cs="Calibri"/>
                <w:color w:val="000000"/>
                <w:sz w:val="20"/>
                <w:szCs w:val="21"/>
                <w:vertAlign w:val="superscript"/>
                <w:lang w:eastAsia="en-GB"/>
              </w:rPr>
            </w:pPr>
            <w:r w:rsidRPr="004B4020">
              <w:rPr>
                <w:rFonts w:eastAsia="Times New Roman" w:cs="Calibri"/>
                <w:color w:val="000000"/>
                <w:sz w:val="20"/>
                <w:szCs w:val="21"/>
                <w:lang w:eastAsia="en-GB"/>
              </w:rPr>
              <w:t>Circling</w:t>
            </w:r>
            <w:r w:rsidR="000829A7" w:rsidRPr="004B4020">
              <w:rPr>
                <w:rFonts w:eastAsia="Times New Roman" w:cs="Calibri"/>
                <w:color w:val="000000"/>
                <w:sz w:val="20"/>
                <w:szCs w:val="21"/>
                <w:vertAlign w:val="superscript"/>
                <w:lang w:eastAsia="en-GB"/>
              </w:rPr>
              <w:t>$$$</w:t>
            </w:r>
          </w:p>
        </w:tc>
        <w:tc>
          <w:tcPr>
            <w:tcW w:w="2410" w:type="dxa"/>
            <w:gridSpan w:val="4"/>
            <w:tcBorders>
              <w:top w:val="nil"/>
              <w:left w:val="nil"/>
              <w:bottom w:val="nil"/>
              <w:right w:val="nil"/>
            </w:tcBorders>
            <w:shd w:val="clear" w:color="auto" w:fill="auto"/>
            <w:noWrap/>
            <w:vAlign w:val="center"/>
          </w:tcPr>
          <w:p w14:paraId="07B3D6CB" w14:textId="52AA3302" w:rsidR="008D14D6" w:rsidRPr="004B4020" w:rsidRDefault="008D14D6" w:rsidP="009C5DDC">
            <w:pPr>
              <w:tabs>
                <w:tab w:val="left" w:pos="8647"/>
              </w:tabs>
              <w:spacing w:after="0" w:line="240" w:lineRule="auto"/>
              <w:jc w:val="center"/>
              <w:rPr>
                <w:rFonts w:eastAsia="Times New Roman" w:cs="Calibri"/>
                <w:color w:val="000000"/>
                <w:sz w:val="20"/>
                <w:szCs w:val="21"/>
                <w:lang w:eastAsia="en-GB"/>
              </w:rPr>
            </w:pPr>
          </w:p>
        </w:tc>
        <w:tc>
          <w:tcPr>
            <w:tcW w:w="524" w:type="dxa"/>
            <w:gridSpan w:val="2"/>
            <w:tcBorders>
              <w:top w:val="nil"/>
              <w:left w:val="nil"/>
              <w:bottom w:val="nil"/>
              <w:right w:val="nil"/>
            </w:tcBorders>
            <w:shd w:val="clear" w:color="auto" w:fill="auto"/>
            <w:noWrap/>
            <w:vAlign w:val="center"/>
          </w:tcPr>
          <w:p w14:paraId="1943D4AF" w14:textId="640C8565" w:rsidR="008D14D6" w:rsidRPr="008C4A1D" w:rsidRDefault="007C7797" w:rsidP="007C7797">
            <w:pPr>
              <w:tabs>
                <w:tab w:val="left" w:pos="8647"/>
              </w:tabs>
              <w:spacing w:after="0" w:line="240" w:lineRule="auto"/>
              <w:jc w:val="center"/>
              <w:rPr>
                <w:rFonts w:eastAsia="Times New Roman" w:cs="Calibri"/>
                <w:color w:val="000000"/>
                <w:sz w:val="20"/>
                <w:vertAlign w:val="subscript"/>
                <w:lang w:eastAsia="en-GB"/>
              </w:rPr>
            </w:pPr>
            <w:r w:rsidRPr="008C4A1D">
              <w:rPr>
                <w:rFonts w:eastAsia="Times New Roman" w:cs="Calibri"/>
                <w:noProof/>
                <w:color w:val="000000"/>
                <w:sz w:val="20"/>
                <w:vertAlign w:val="subscript"/>
                <w:lang w:eastAsia="en-GB"/>
              </w:rPr>
              <w:t>98</w:t>
            </w:r>
          </w:p>
        </w:tc>
      </w:tr>
      <w:tr w:rsidR="008D14D6" w:rsidRPr="008C4A1D" w14:paraId="48707F84" w14:textId="77777777" w:rsidTr="000E4C5D">
        <w:trPr>
          <w:gridAfter w:val="1"/>
          <w:wAfter w:w="43" w:type="dxa"/>
          <w:trHeight w:val="271"/>
        </w:trPr>
        <w:tc>
          <w:tcPr>
            <w:tcW w:w="1164" w:type="dxa"/>
            <w:tcBorders>
              <w:top w:val="single" w:sz="4" w:space="0" w:color="auto"/>
              <w:left w:val="nil"/>
              <w:bottom w:val="nil"/>
              <w:right w:val="nil"/>
            </w:tcBorders>
            <w:shd w:val="clear" w:color="auto" w:fill="auto"/>
            <w:vAlign w:val="center"/>
            <w:hideMark/>
          </w:tcPr>
          <w:p w14:paraId="559C2C17" w14:textId="2E9D1BBD" w:rsidR="008D14D6" w:rsidRPr="004B4020" w:rsidRDefault="00746D4C" w:rsidP="007C0566">
            <w:pPr>
              <w:tabs>
                <w:tab w:val="left" w:pos="8647"/>
              </w:tabs>
              <w:spacing w:after="0" w:line="240" w:lineRule="auto"/>
              <w:jc w:val="center"/>
              <w:rPr>
                <w:rFonts w:eastAsia="Times New Roman" w:cs="Calibri"/>
                <w:i/>
                <w:iCs/>
                <w:color w:val="000000"/>
                <w:sz w:val="20"/>
                <w:szCs w:val="21"/>
                <w:lang w:eastAsia="en-GB"/>
              </w:rPr>
            </w:pPr>
            <w:r w:rsidRPr="004B4020">
              <w:rPr>
                <w:rFonts w:eastAsia="Times New Roman" w:cs="Times New Roman"/>
                <w:b/>
                <w:bCs/>
                <w:color w:val="000000"/>
                <w:sz w:val="20"/>
                <w:szCs w:val="21"/>
                <w:lang w:eastAsia="en-GB"/>
              </w:rPr>
              <w:t>Central pair</w:t>
            </w:r>
          </w:p>
        </w:tc>
        <w:tc>
          <w:tcPr>
            <w:tcW w:w="1138" w:type="dxa"/>
            <w:gridSpan w:val="2"/>
            <w:tcBorders>
              <w:top w:val="single" w:sz="4" w:space="0" w:color="auto"/>
              <w:left w:val="nil"/>
              <w:bottom w:val="nil"/>
              <w:right w:val="nil"/>
            </w:tcBorders>
            <w:shd w:val="clear" w:color="auto" w:fill="auto"/>
            <w:noWrap/>
            <w:vAlign w:val="center"/>
            <w:hideMark/>
          </w:tcPr>
          <w:p w14:paraId="63545E99" w14:textId="77777777" w:rsidR="008D14D6" w:rsidRPr="004B4020" w:rsidRDefault="008D14D6" w:rsidP="007C0566">
            <w:pPr>
              <w:tabs>
                <w:tab w:val="left" w:pos="8647"/>
              </w:tabs>
              <w:spacing w:after="0" w:line="240" w:lineRule="auto"/>
              <w:jc w:val="center"/>
              <w:rPr>
                <w:rFonts w:eastAsia="Times New Roman" w:cs="Calibri"/>
                <w:i/>
                <w:iCs/>
                <w:color w:val="000000"/>
                <w:sz w:val="20"/>
                <w:szCs w:val="21"/>
                <w:lang w:eastAsia="en-GB"/>
              </w:rPr>
            </w:pPr>
            <w:r w:rsidRPr="004B4020">
              <w:rPr>
                <w:rFonts w:eastAsia="Times New Roman" w:cs="Calibri"/>
                <w:i/>
                <w:iCs/>
                <w:color w:val="000000"/>
                <w:sz w:val="20"/>
                <w:szCs w:val="21"/>
                <w:lang w:eastAsia="en-GB"/>
              </w:rPr>
              <w:t>HYDIN</w:t>
            </w:r>
          </w:p>
        </w:tc>
        <w:tc>
          <w:tcPr>
            <w:tcW w:w="851" w:type="dxa"/>
            <w:tcBorders>
              <w:top w:val="single" w:sz="4" w:space="0" w:color="auto"/>
              <w:left w:val="nil"/>
              <w:bottom w:val="nil"/>
              <w:right w:val="nil"/>
            </w:tcBorders>
            <w:shd w:val="clear" w:color="auto" w:fill="auto"/>
            <w:noWrap/>
            <w:vAlign w:val="center"/>
            <w:hideMark/>
          </w:tcPr>
          <w:p w14:paraId="36BDF12B" w14:textId="77777777" w:rsidR="008D14D6" w:rsidRPr="004B4020" w:rsidRDefault="008D14D6" w:rsidP="007C0566">
            <w:pPr>
              <w:tabs>
                <w:tab w:val="left" w:pos="8647"/>
              </w:tabs>
              <w:spacing w:after="0" w:line="240" w:lineRule="auto"/>
              <w:jc w:val="center"/>
              <w:rPr>
                <w:rFonts w:eastAsia="Times New Roman" w:cs="Calibri"/>
                <w:i/>
                <w:iCs/>
                <w:color w:val="000000"/>
                <w:sz w:val="20"/>
                <w:szCs w:val="21"/>
                <w:lang w:eastAsia="en-GB"/>
              </w:rPr>
            </w:pPr>
            <w:r w:rsidRPr="004B4020">
              <w:rPr>
                <w:rFonts w:eastAsia="Times New Roman" w:cs="Calibri"/>
                <w:color w:val="000000"/>
                <w:sz w:val="20"/>
                <w:szCs w:val="21"/>
                <w:lang w:eastAsia="en-GB"/>
              </w:rPr>
              <w:t>610812</w:t>
            </w:r>
          </w:p>
        </w:tc>
        <w:tc>
          <w:tcPr>
            <w:tcW w:w="1701" w:type="dxa"/>
            <w:tcBorders>
              <w:top w:val="single" w:sz="4" w:space="0" w:color="auto"/>
              <w:left w:val="nil"/>
              <w:bottom w:val="nil"/>
              <w:right w:val="nil"/>
            </w:tcBorders>
            <w:shd w:val="clear" w:color="auto" w:fill="auto"/>
            <w:noWrap/>
            <w:vAlign w:val="center"/>
            <w:hideMark/>
          </w:tcPr>
          <w:p w14:paraId="52916134" w14:textId="6B0CC74B" w:rsidR="008D14D6" w:rsidRPr="004B4020" w:rsidRDefault="008D14D6" w:rsidP="007C0566">
            <w:pPr>
              <w:tabs>
                <w:tab w:val="left" w:pos="8647"/>
              </w:tabs>
              <w:spacing w:after="0" w:line="240" w:lineRule="auto"/>
              <w:jc w:val="center"/>
              <w:rPr>
                <w:rFonts w:eastAsia="Times New Roman" w:cs="Calibri"/>
                <w:i/>
                <w:iCs/>
                <w:color w:val="000000"/>
                <w:sz w:val="20"/>
                <w:szCs w:val="21"/>
                <w:lang w:eastAsia="en-GB"/>
              </w:rPr>
            </w:pPr>
            <w:r w:rsidRPr="004B4020">
              <w:rPr>
                <w:rFonts w:eastAsia="Times New Roman" w:cs="Calibri"/>
                <w:color w:val="000000"/>
                <w:sz w:val="20"/>
                <w:szCs w:val="21"/>
                <w:lang w:eastAsia="en-GB"/>
              </w:rPr>
              <w:t>C2b projection/ normal</w:t>
            </w:r>
          </w:p>
        </w:tc>
        <w:tc>
          <w:tcPr>
            <w:tcW w:w="1984" w:type="dxa"/>
            <w:gridSpan w:val="2"/>
            <w:tcBorders>
              <w:top w:val="nil"/>
              <w:left w:val="nil"/>
              <w:bottom w:val="nil"/>
              <w:right w:val="nil"/>
            </w:tcBorders>
            <w:shd w:val="clear" w:color="auto" w:fill="auto"/>
            <w:vAlign w:val="center"/>
            <w:hideMark/>
          </w:tcPr>
          <w:p w14:paraId="2E4AE8D9" w14:textId="4B859D08" w:rsidR="008D14D6" w:rsidRPr="004B4020" w:rsidRDefault="007C056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Dyskinetic</w:t>
            </w:r>
            <w:r w:rsidR="000829A7" w:rsidRPr="004B4020">
              <w:rPr>
                <w:rFonts w:eastAsia="Times New Roman" w:cs="Calibri"/>
                <w:color w:val="000000"/>
                <w:sz w:val="20"/>
                <w:szCs w:val="21"/>
                <w:vertAlign w:val="superscript"/>
                <w:lang w:eastAsia="en-GB"/>
              </w:rPr>
              <w:t>$$$</w:t>
            </w:r>
          </w:p>
        </w:tc>
        <w:tc>
          <w:tcPr>
            <w:tcW w:w="2410" w:type="dxa"/>
            <w:gridSpan w:val="4"/>
            <w:tcBorders>
              <w:top w:val="single" w:sz="4" w:space="0" w:color="auto"/>
              <w:left w:val="nil"/>
              <w:bottom w:val="nil"/>
              <w:right w:val="nil"/>
            </w:tcBorders>
            <w:shd w:val="clear" w:color="auto" w:fill="auto"/>
            <w:noWrap/>
            <w:vAlign w:val="center"/>
          </w:tcPr>
          <w:p w14:paraId="0AD3A853" w14:textId="49CEB6E7" w:rsidR="008D14D6" w:rsidRPr="004B4020" w:rsidRDefault="00E76518" w:rsidP="009C5DDC">
            <w:pPr>
              <w:tabs>
                <w:tab w:val="left" w:pos="8647"/>
              </w:tabs>
              <w:spacing w:after="0" w:line="240" w:lineRule="auto"/>
              <w:jc w:val="center"/>
              <w:rPr>
                <w:rFonts w:eastAsia="Times New Roman" w:cs="Calibri"/>
                <w:iCs/>
                <w:color w:val="000000"/>
                <w:sz w:val="20"/>
                <w:szCs w:val="21"/>
                <w:lang w:eastAsia="en-GB"/>
              </w:rPr>
            </w:pPr>
            <w:r w:rsidRPr="004B4020">
              <w:rPr>
                <w:rFonts w:eastAsia="Times New Roman" w:cs="Calibri"/>
                <w:iCs/>
                <w:color w:val="000000"/>
                <w:sz w:val="20"/>
                <w:szCs w:val="21"/>
                <w:lang w:val="en-US" w:eastAsia="en-GB"/>
              </w:rPr>
              <w:t>Situs solitus</w:t>
            </w:r>
          </w:p>
        </w:tc>
        <w:tc>
          <w:tcPr>
            <w:tcW w:w="524" w:type="dxa"/>
            <w:gridSpan w:val="2"/>
            <w:tcBorders>
              <w:top w:val="single" w:sz="4" w:space="0" w:color="auto"/>
              <w:left w:val="nil"/>
              <w:bottom w:val="nil"/>
              <w:right w:val="nil"/>
            </w:tcBorders>
            <w:shd w:val="clear" w:color="auto" w:fill="auto"/>
            <w:noWrap/>
            <w:vAlign w:val="center"/>
          </w:tcPr>
          <w:p w14:paraId="74ED234F" w14:textId="071CA32F" w:rsidR="008D14D6" w:rsidRPr="008C4A1D" w:rsidRDefault="007C7797" w:rsidP="007C7797">
            <w:pPr>
              <w:tabs>
                <w:tab w:val="left" w:pos="8647"/>
              </w:tabs>
              <w:spacing w:after="0" w:line="240" w:lineRule="auto"/>
              <w:jc w:val="center"/>
              <w:rPr>
                <w:rFonts w:eastAsia="Times New Roman" w:cs="Calibri"/>
                <w:i/>
                <w:iCs/>
                <w:color w:val="000000"/>
                <w:sz w:val="20"/>
                <w:szCs w:val="21"/>
                <w:vertAlign w:val="subscript"/>
                <w:lang w:eastAsia="en-GB"/>
              </w:rPr>
            </w:pPr>
            <w:r w:rsidRPr="008C4A1D">
              <w:rPr>
                <w:rFonts w:eastAsia="Times New Roman" w:cs="Calibri"/>
                <w:i/>
                <w:iCs/>
                <w:noProof/>
                <w:color w:val="000000"/>
                <w:sz w:val="20"/>
                <w:szCs w:val="21"/>
                <w:vertAlign w:val="subscript"/>
                <w:lang w:eastAsia="en-GB"/>
              </w:rPr>
              <w:t>100</w:t>
            </w:r>
          </w:p>
        </w:tc>
      </w:tr>
      <w:tr w:rsidR="008D14D6" w:rsidRPr="008C4A1D" w14:paraId="5C58BB77" w14:textId="77777777" w:rsidTr="000E4C5D">
        <w:trPr>
          <w:gridAfter w:val="1"/>
          <w:wAfter w:w="43" w:type="dxa"/>
          <w:trHeight w:val="271"/>
        </w:trPr>
        <w:tc>
          <w:tcPr>
            <w:tcW w:w="1164" w:type="dxa"/>
            <w:tcBorders>
              <w:top w:val="nil"/>
              <w:left w:val="nil"/>
              <w:bottom w:val="single" w:sz="4" w:space="0" w:color="auto"/>
              <w:right w:val="nil"/>
            </w:tcBorders>
            <w:shd w:val="clear" w:color="auto" w:fill="auto"/>
            <w:noWrap/>
            <w:vAlign w:val="center"/>
            <w:hideMark/>
          </w:tcPr>
          <w:p w14:paraId="1ED8C17F" w14:textId="77777777"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Times New Roman"/>
                <w:b/>
                <w:bCs/>
                <w:color w:val="000000"/>
                <w:sz w:val="20"/>
                <w:szCs w:val="21"/>
                <w:lang w:eastAsia="en-GB"/>
              </w:rPr>
              <w:t>Subunit</w:t>
            </w:r>
          </w:p>
        </w:tc>
        <w:tc>
          <w:tcPr>
            <w:tcW w:w="1138" w:type="dxa"/>
            <w:gridSpan w:val="2"/>
            <w:tcBorders>
              <w:top w:val="nil"/>
              <w:left w:val="nil"/>
              <w:bottom w:val="single" w:sz="4" w:space="0" w:color="auto"/>
              <w:right w:val="nil"/>
            </w:tcBorders>
            <w:shd w:val="clear" w:color="auto" w:fill="auto"/>
            <w:noWrap/>
            <w:vAlign w:val="center"/>
            <w:hideMark/>
          </w:tcPr>
          <w:p w14:paraId="7C83F71B" w14:textId="77777777" w:rsidR="008D14D6" w:rsidRPr="004B4020" w:rsidRDefault="008D14D6" w:rsidP="007C0566">
            <w:pPr>
              <w:tabs>
                <w:tab w:val="left" w:pos="8647"/>
              </w:tabs>
              <w:spacing w:after="0" w:line="240" w:lineRule="auto"/>
              <w:jc w:val="center"/>
              <w:rPr>
                <w:rFonts w:eastAsia="Times New Roman" w:cs="Calibri"/>
                <w:i/>
                <w:iCs/>
                <w:color w:val="000000"/>
                <w:sz w:val="20"/>
                <w:szCs w:val="21"/>
                <w:lang w:eastAsia="en-GB"/>
              </w:rPr>
            </w:pPr>
            <w:r w:rsidRPr="004B4020">
              <w:rPr>
                <w:rFonts w:eastAsia="Times New Roman" w:cs="Calibri"/>
                <w:i/>
                <w:iCs/>
                <w:color w:val="000000"/>
                <w:sz w:val="20"/>
                <w:szCs w:val="21"/>
                <w:lang w:eastAsia="en-GB"/>
              </w:rPr>
              <w:t>STK36</w:t>
            </w:r>
          </w:p>
        </w:tc>
        <w:tc>
          <w:tcPr>
            <w:tcW w:w="851" w:type="dxa"/>
            <w:tcBorders>
              <w:top w:val="nil"/>
              <w:left w:val="nil"/>
              <w:bottom w:val="single" w:sz="4" w:space="0" w:color="auto"/>
              <w:right w:val="nil"/>
            </w:tcBorders>
            <w:shd w:val="clear" w:color="auto" w:fill="auto"/>
            <w:noWrap/>
            <w:vAlign w:val="center"/>
            <w:hideMark/>
          </w:tcPr>
          <w:p w14:paraId="6DABBC12" w14:textId="77777777"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607652</w:t>
            </w:r>
          </w:p>
        </w:tc>
        <w:tc>
          <w:tcPr>
            <w:tcW w:w="1701" w:type="dxa"/>
            <w:tcBorders>
              <w:top w:val="nil"/>
              <w:left w:val="nil"/>
              <w:bottom w:val="single" w:sz="4" w:space="0" w:color="auto"/>
              <w:right w:val="nil"/>
            </w:tcBorders>
            <w:shd w:val="clear" w:color="auto" w:fill="auto"/>
            <w:noWrap/>
            <w:vAlign w:val="center"/>
            <w:hideMark/>
          </w:tcPr>
          <w:p w14:paraId="69B88123" w14:textId="6446835A"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normal</w:t>
            </w:r>
          </w:p>
        </w:tc>
        <w:tc>
          <w:tcPr>
            <w:tcW w:w="1984" w:type="dxa"/>
            <w:gridSpan w:val="2"/>
            <w:tcBorders>
              <w:top w:val="nil"/>
              <w:left w:val="nil"/>
              <w:bottom w:val="single" w:sz="4" w:space="0" w:color="auto"/>
              <w:right w:val="nil"/>
            </w:tcBorders>
            <w:shd w:val="clear" w:color="auto" w:fill="auto"/>
            <w:vAlign w:val="center"/>
            <w:hideMark/>
          </w:tcPr>
          <w:p w14:paraId="663F02E4" w14:textId="5FE61A64" w:rsidR="008D14D6" w:rsidRPr="004B4020" w:rsidRDefault="007C056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Dyskinetic</w:t>
            </w:r>
            <w:r w:rsidR="000829A7" w:rsidRPr="004B4020">
              <w:rPr>
                <w:rFonts w:eastAsia="Times New Roman" w:cs="Calibri"/>
                <w:color w:val="000000"/>
                <w:sz w:val="20"/>
                <w:szCs w:val="21"/>
                <w:vertAlign w:val="superscript"/>
                <w:lang w:eastAsia="en-GB"/>
              </w:rPr>
              <w:t>$$$</w:t>
            </w:r>
          </w:p>
        </w:tc>
        <w:tc>
          <w:tcPr>
            <w:tcW w:w="2410" w:type="dxa"/>
            <w:gridSpan w:val="4"/>
            <w:tcBorders>
              <w:top w:val="nil"/>
              <w:left w:val="nil"/>
              <w:bottom w:val="single" w:sz="4" w:space="0" w:color="auto"/>
              <w:right w:val="nil"/>
            </w:tcBorders>
            <w:shd w:val="clear" w:color="auto" w:fill="auto"/>
            <w:noWrap/>
            <w:vAlign w:val="center"/>
          </w:tcPr>
          <w:p w14:paraId="1A5EC33E" w14:textId="00AAF046" w:rsidR="008D14D6" w:rsidRPr="004B4020" w:rsidRDefault="008D14D6" w:rsidP="009C5DDC">
            <w:pPr>
              <w:tabs>
                <w:tab w:val="left" w:pos="8647"/>
              </w:tabs>
              <w:spacing w:after="0" w:line="240" w:lineRule="auto"/>
              <w:jc w:val="center"/>
              <w:rPr>
                <w:rFonts w:eastAsia="Times New Roman" w:cs="Calibri"/>
                <w:color w:val="000000"/>
                <w:sz w:val="20"/>
                <w:szCs w:val="21"/>
                <w:lang w:eastAsia="en-GB"/>
              </w:rPr>
            </w:pPr>
          </w:p>
        </w:tc>
        <w:tc>
          <w:tcPr>
            <w:tcW w:w="524" w:type="dxa"/>
            <w:gridSpan w:val="2"/>
            <w:tcBorders>
              <w:top w:val="nil"/>
              <w:left w:val="nil"/>
              <w:bottom w:val="single" w:sz="4" w:space="0" w:color="auto"/>
              <w:right w:val="nil"/>
            </w:tcBorders>
            <w:shd w:val="clear" w:color="auto" w:fill="auto"/>
            <w:noWrap/>
            <w:vAlign w:val="center"/>
          </w:tcPr>
          <w:p w14:paraId="4074CFE8" w14:textId="18CEDB79" w:rsidR="008D14D6" w:rsidRPr="008C4A1D" w:rsidRDefault="009111A8" w:rsidP="009111A8">
            <w:pPr>
              <w:tabs>
                <w:tab w:val="left" w:pos="8647"/>
              </w:tabs>
              <w:spacing w:after="0" w:line="240" w:lineRule="auto"/>
              <w:jc w:val="center"/>
              <w:rPr>
                <w:rFonts w:eastAsia="Times New Roman" w:cs="Times New Roman"/>
                <w:color w:val="000000"/>
                <w:sz w:val="20"/>
                <w:szCs w:val="18"/>
                <w:vertAlign w:val="subscript"/>
                <w:lang w:eastAsia="en-GB"/>
              </w:rPr>
            </w:pPr>
            <w:r w:rsidRPr="008C4A1D">
              <w:rPr>
                <w:rFonts w:eastAsia="Times New Roman" w:cs="Times New Roman"/>
                <w:noProof/>
                <w:color w:val="000000"/>
                <w:sz w:val="20"/>
                <w:szCs w:val="18"/>
                <w:vertAlign w:val="subscript"/>
                <w:lang w:eastAsia="en-GB"/>
              </w:rPr>
              <w:t>46</w:t>
            </w:r>
          </w:p>
        </w:tc>
      </w:tr>
      <w:tr w:rsidR="008D14D6" w:rsidRPr="008C4A1D" w14:paraId="411A036B" w14:textId="77777777" w:rsidTr="000E4C5D">
        <w:trPr>
          <w:gridAfter w:val="1"/>
          <w:wAfter w:w="43" w:type="dxa"/>
          <w:trHeight w:val="309"/>
        </w:trPr>
        <w:tc>
          <w:tcPr>
            <w:tcW w:w="1164" w:type="dxa"/>
            <w:tcBorders>
              <w:top w:val="nil"/>
              <w:left w:val="nil"/>
              <w:right w:val="nil"/>
            </w:tcBorders>
            <w:shd w:val="clear" w:color="auto" w:fill="auto"/>
            <w:vAlign w:val="center"/>
            <w:hideMark/>
          </w:tcPr>
          <w:p w14:paraId="531CA94F" w14:textId="77777777" w:rsidR="008D14D6" w:rsidRPr="004B4020" w:rsidRDefault="008D14D6" w:rsidP="007C0566">
            <w:pPr>
              <w:tabs>
                <w:tab w:val="left" w:pos="8647"/>
              </w:tabs>
              <w:spacing w:after="0" w:line="240" w:lineRule="auto"/>
              <w:jc w:val="center"/>
              <w:rPr>
                <w:rFonts w:eastAsia="Times New Roman" w:cs="Times New Roman"/>
                <w:b/>
                <w:bCs/>
                <w:color w:val="000000"/>
                <w:sz w:val="20"/>
                <w:szCs w:val="21"/>
                <w:lang w:eastAsia="en-GB"/>
              </w:rPr>
            </w:pPr>
            <w:r w:rsidRPr="004B4020">
              <w:rPr>
                <w:rFonts w:eastAsia="Times New Roman" w:cs="Times New Roman"/>
                <w:b/>
                <w:bCs/>
                <w:color w:val="000000"/>
                <w:sz w:val="20"/>
                <w:szCs w:val="21"/>
                <w:lang w:eastAsia="en-GB"/>
              </w:rPr>
              <w:t>Other</w:t>
            </w:r>
          </w:p>
        </w:tc>
        <w:tc>
          <w:tcPr>
            <w:tcW w:w="1138" w:type="dxa"/>
            <w:gridSpan w:val="2"/>
            <w:tcBorders>
              <w:top w:val="nil"/>
              <w:left w:val="nil"/>
              <w:right w:val="nil"/>
            </w:tcBorders>
            <w:shd w:val="clear" w:color="auto" w:fill="auto"/>
            <w:noWrap/>
            <w:vAlign w:val="center"/>
            <w:hideMark/>
          </w:tcPr>
          <w:p w14:paraId="0D9816D1" w14:textId="77777777" w:rsidR="008D14D6" w:rsidRPr="004B4020" w:rsidRDefault="008D14D6" w:rsidP="007C0566">
            <w:pPr>
              <w:tabs>
                <w:tab w:val="left" w:pos="8647"/>
              </w:tabs>
              <w:spacing w:after="0" w:line="240" w:lineRule="auto"/>
              <w:jc w:val="center"/>
              <w:rPr>
                <w:rFonts w:eastAsia="Times New Roman" w:cs="Calibri"/>
                <w:i/>
                <w:iCs/>
                <w:color w:val="000000"/>
                <w:sz w:val="20"/>
                <w:szCs w:val="21"/>
                <w:lang w:eastAsia="en-GB"/>
              </w:rPr>
            </w:pPr>
            <w:r w:rsidRPr="004B4020">
              <w:rPr>
                <w:rFonts w:eastAsia="Times New Roman" w:cs="Calibri"/>
                <w:i/>
                <w:iCs/>
                <w:color w:val="000000"/>
                <w:sz w:val="20"/>
                <w:szCs w:val="21"/>
                <w:lang w:eastAsia="en-GB"/>
              </w:rPr>
              <w:t>CCNO</w:t>
            </w:r>
          </w:p>
        </w:tc>
        <w:tc>
          <w:tcPr>
            <w:tcW w:w="851" w:type="dxa"/>
            <w:tcBorders>
              <w:top w:val="nil"/>
              <w:left w:val="nil"/>
              <w:right w:val="nil"/>
            </w:tcBorders>
            <w:shd w:val="clear" w:color="auto" w:fill="auto"/>
            <w:noWrap/>
            <w:vAlign w:val="center"/>
            <w:hideMark/>
          </w:tcPr>
          <w:p w14:paraId="1EAFFE9C" w14:textId="77777777"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607752</w:t>
            </w:r>
          </w:p>
        </w:tc>
        <w:tc>
          <w:tcPr>
            <w:tcW w:w="1701" w:type="dxa"/>
            <w:tcBorders>
              <w:top w:val="nil"/>
              <w:left w:val="nil"/>
              <w:right w:val="nil"/>
            </w:tcBorders>
            <w:shd w:val="clear" w:color="auto" w:fill="auto"/>
            <w:noWrap/>
            <w:vAlign w:val="center"/>
            <w:hideMark/>
          </w:tcPr>
          <w:p w14:paraId="5BC8CABE" w14:textId="5A727AE7"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Mislocalisation of basal body  + reduction of cilia</w:t>
            </w:r>
          </w:p>
        </w:tc>
        <w:tc>
          <w:tcPr>
            <w:tcW w:w="1984" w:type="dxa"/>
            <w:gridSpan w:val="2"/>
            <w:tcBorders>
              <w:top w:val="nil"/>
              <w:left w:val="nil"/>
              <w:right w:val="nil"/>
            </w:tcBorders>
            <w:shd w:val="clear" w:color="auto" w:fill="auto"/>
            <w:vAlign w:val="center"/>
            <w:hideMark/>
          </w:tcPr>
          <w:p w14:paraId="4116B7A3" w14:textId="77777777"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18"/>
                <w:szCs w:val="18"/>
                <w:lang w:eastAsia="en-GB"/>
              </w:rPr>
              <w:t>RGMC</w:t>
            </w:r>
          </w:p>
        </w:tc>
        <w:tc>
          <w:tcPr>
            <w:tcW w:w="2410" w:type="dxa"/>
            <w:gridSpan w:val="4"/>
            <w:tcBorders>
              <w:top w:val="nil"/>
              <w:left w:val="nil"/>
              <w:right w:val="nil"/>
            </w:tcBorders>
            <w:shd w:val="clear" w:color="auto" w:fill="auto"/>
            <w:noWrap/>
            <w:vAlign w:val="center"/>
          </w:tcPr>
          <w:p w14:paraId="1F8FAF2D" w14:textId="4306B0E1" w:rsidR="008D14D6" w:rsidRPr="004B4020" w:rsidRDefault="007C0566" w:rsidP="009C5DDC">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More severe + Hydrocepahlus</w:t>
            </w:r>
          </w:p>
        </w:tc>
        <w:tc>
          <w:tcPr>
            <w:tcW w:w="524" w:type="dxa"/>
            <w:gridSpan w:val="2"/>
            <w:tcBorders>
              <w:top w:val="nil"/>
              <w:left w:val="nil"/>
              <w:right w:val="nil"/>
            </w:tcBorders>
            <w:shd w:val="clear" w:color="auto" w:fill="auto"/>
            <w:noWrap/>
            <w:vAlign w:val="center"/>
          </w:tcPr>
          <w:p w14:paraId="66400559" w14:textId="31B2ECE2" w:rsidR="008D14D6" w:rsidRPr="008C4A1D" w:rsidRDefault="007C7797" w:rsidP="007C7797">
            <w:pPr>
              <w:tabs>
                <w:tab w:val="left" w:pos="8647"/>
              </w:tabs>
              <w:spacing w:after="0" w:line="240" w:lineRule="auto"/>
              <w:jc w:val="center"/>
              <w:rPr>
                <w:rFonts w:eastAsia="Times New Roman" w:cs="Times New Roman"/>
                <w:color w:val="000000"/>
                <w:sz w:val="20"/>
                <w:szCs w:val="18"/>
                <w:vertAlign w:val="subscript"/>
                <w:lang w:eastAsia="en-GB"/>
              </w:rPr>
            </w:pPr>
            <w:r w:rsidRPr="008C4A1D">
              <w:rPr>
                <w:rFonts w:eastAsia="Times New Roman" w:cs="Times New Roman"/>
                <w:noProof/>
                <w:color w:val="000000"/>
                <w:sz w:val="20"/>
                <w:szCs w:val="18"/>
                <w:vertAlign w:val="subscript"/>
                <w:lang w:eastAsia="en-GB"/>
              </w:rPr>
              <w:t>102</w:t>
            </w:r>
          </w:p>
        </w:tc>
      </w:tr>
      <w:tr w:rsidR="008D14D6" w:rsidRPr="008C4A1D" w14:paraId="5628FD6C" w14:textId="77777777" w:rsidTr="000E4C5D">
        <w:trPr>
          <w:gridAfter w:val="1"/>
          <w:wAfter w:w="43" w:type="dxa"/>
          <w:trHeight w:val="271"/>
        </w:trPr>
        <w:tc>
          <w:tcPr>
            <w:tcW w:w="1164" w:type="dxa"/>
            <w:tcBorders>
              <w:top w:val="nil"/>
              <w:left w:val="nil"/>
              <w:bottom w:val="nil"/>
              <w:right w:val="nil"/>
            </w:tcBorders>
            <w:shd w:val="clear" w:color="auto" w:fill="auto"/>
            <w:noWrap/>
            <w:vAlign w:val="center"/>
            <w:hideMark/>
          </w:tcPr>
          <w:p w14:paraId="1E0202C7" w14:textId="77777777" w:rsidR="008D14D6" w:rsidRPr="004B4020" w:rsidRDefault="008D14D6" w:rsidP="007C0566">
            <w:pPr>
              <w:tabs>
                <w:tab w:val="left" w:pos="8647"/>
              </w:tabs>
              <w:spacing w:after="0" w:line="240" w:lineRule="auto"/>
              <w:jc w:val="center"/>
              <w:rPr>
                <w:rFonts w:eastAsia="Times New Roman" w:cs="Times New Roman"/>
                <w:color w:val="000000"/>
                <w:sz w:val="20"/>
                <w:szCs w:val="21"/>
                <w:lang w:eastAsia="en-GB"/>
              </w:rPr>
            </w:pPr>
          </w:p>
        </w:tc>
        <w:tc>
          <w:tcPr>
            <w:tcW w:w="1138" w:type="dxa"/>
            <w:gridSpan w:val="2"/>
            <w:tcBorders>
              <w:top w:val="nil"/>
              <w:left w:val="nil"/>
              <w:bottom w:val="nil"/>
              <w:right w:val="nil"/>
            </w:tcBorders>
            <w:shd w:val="clear" w:color="auto" w:fill="auto"/>
            <w:noWrap/>
            <w:vAlign w:val="center"/>
            <w:hideMark/>
          </w:tcPr>
          <w:p w14:paraId="4E315D24" w14:textId="0D4D763C" w:rsidR="008D14D6" w:rsidRPr="004B4020" w:rsidRDefault="008D14D6" w:rsidP="007C0566">
            <w:pPr>
              <w:tabs>
                <w:tab w:val="left" w:pos="8647"/>
              </w:tabs>
              <w:spacing w:after="0" w:line="240" w:lineRule="auto"/>
              <w:jc w:val="center"/>
              <w:rPr>
                <w:rFonts w:eastAsia="Times New Roman" w:cs="Calibri"/>
                <w:i/>
                <w:iCs/>
                <w:color w:val="000000"/>
                <w:sz w:val="20"/>
                <w:szCs w:val="21"/>
                <w:lang w:eastAsia="en-GB"/>
              </w:rPr>
            </w:pPr>
            <w:r w:rsidRPr="004B4020">
              <w:rPr>
                <w:rFonts w:eastAsia="Times New Roman" w:cs="Calibri"/>
                <w:i/>
                <w:iCs/>
                <w:color w:val="000000"/>
                <w:sz w:val="20"/>
                <w:szCs w:val="21"/>
                <w:lang w:eastAsia="en-GB"/>
              </w:rPr>
              <w:t>MCIDAS*</w:t>
            </w:r>
          </w:p>
        </w:tc>
        <w:tc>
          <w:tcPr>
            <w:tcW w:w="851" w:type="dxa"/>
            <w:tcBorders>
              <w:top w:val="nil"/>
              <w:left w:val="nil"/>
              <w:bottom w:val="nil"/>
              <w:right w:val="nil"/>
            </w:tcBorders>
            <w:shd w:val="clear" w:color="auto" w:fill="auto"/>
            <w:noWrap/>
            <w:vAlign w:val="center"/>
            <w:hideMark/>
          </w:tcPr>
          <w:p w14:paraId="56CF078B" w14:textId="77777777"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614086</w:t>
            </w:r>
          </w:p>
        </w:tc>
        <w:tc>
          <w:tcPr>
            <w:tcW w:w="1701" w:type="dxa"/>
            <w:tcBorders>
              <w:top w:val="nil"/>
              <w:left w:val="nil"/>
              <w:bottom w:val="nil"/>
              <w:right w:val="nil"/>
            </w:tcBorders>
            <w:shd w:val="clear" w:color="auto" w:fill="auto"/>
            <w:noWrap/>
            <w:vAlign w:val="center"/>
            <w:hideMark/>
          </w:tcPr>
          <w:p w14:paraId="33CED81B" w14:textId="0E09AE0A" w:rsidR="00B517B5"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 xml:space="preserve">Mislocalisation of basal body </w:t>
            </w:r>
            <w:r w:rsidR="00344D4B" w:rsidRPr="004B4020">
              <w:rPr>
                <w:rFonts w:eastAsia="Times New Roman" w:cs="Calibri"/>
                <w:color w:val="000000"/>
                <w:sz w:val="20"/>
                <w:szCs w:val="21"/>
                <w:lang w:eastAsia="en-GB"/>
              </w:rPr>
              <w:t xml:space="preserve">+ </w:t>
            </w:r>
            <w:r w:rsidRPr="004B4020">
              <w:rPr>
                <w:rFonts w:eastAsia="Times New Roman" w:cs="Calibri"/>
                <w:color w:val="000000"/>
                <w:sz w:val="20"/>
                <w:szCs w:val="21"/>
                <w:lang w:eastAsia="en-GB"/>
              </w:rPr>
              <w:t>reduction of cilia</w:t>
            </w:r>
            <w:r w:rsidR="00B517B5" w:rsidRPr="004B4020">
              <w:rPr>
                <w:rFonts w:eastAsia="Times New Roman" w:cs="Calibri"/>
                <w:color w:val="000000"/>
                <w:sz w:val="20"/>
                <w:szCs w:val="21"/>
                <w:lang w:eastAsia="en-GB"/>
              </w:rPr>
              <w:t xml:space="preserve"> </w:t>
            </w:r>
          </w:p>
          <w:p w14:paraId="2F2F31EF" w14:textId="214554E2" w:rsidR="008D14D6" w:rsidRPr="004B4020" w:rsidRDefault="00B517B5" w:rsidP="007C0566">
            <w:pPr>
              <w:tabs>
                <w:tab w:val="left" w:pos="8647"/>
              </w:tabs>
              <w:spacing w:after="0" w:line="240" w:lineRule="auto"/>
              <w:jc w:val="center"/>
              <w:rPr>
                <w:rFonts w:eastAsia="Times New Roman" w:cs="Calibri"/>
                <w:color w:val="000000"/>
                <w:sz w:val="20"/>
                <w:szCs w:val="20"/>
                <w:lang w:eastAsia="en-GB"/>
              </w:rPr>
            </w:pPr>
            <w:r w:rsidRPr="004B4020">
              <w:rPr>
                <w:rFonts w:eastAsia="Times New Roman" w:cs="Calibri"/>
                <w:color w:val="000000"/>
                <w:sz w:val="20"/>
                <w:szCs w:val="21"/>
                <w:lang w:eastAsia="en-GB"/>
              </w:rPr>
              <w:t>ODA+IDA</w:t>
            </w:r>
          </w:p>
        </w:tc>
        <w:tc>
          <w:tcPr>
            <w:tcW w:w="1984" w:type="dxa"/>
            <w:gridSpan w:val="2"/>
            <w:tcBorders>
              <w:top w:val="nil"/>
              <w:left w:val="nil"/>
              <w:bottom w:val="nil"/>
              <w:right w:val="nil"/>
            </w:tcBorders>
            <w:shd w:val="clear" w:color="auto" w:fill="auto"/>
            <w:vAlign w:val="center"/>
            <w:hideMark/>
          </w:tcPr>
          <w:p w14:paraId="409B6A2D" w14:textId="77777777"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18"/>
                <w:szCs w:val="18"/>
                <w:lang w:eastAsia="en-GB"/>
              </w:rPr>
              <w:t>RGMC</w:t>
            </w:r>
          </w:p>
        </w:tc>
        <w:tc>
          <w:tcPr>
            <w:tcW w:w="2410" w:type="dxa"/>
            <w:gridSpan w:val="4"/>
            <w:tcBorders>
              <w:top w:val="nil"/>
              <w:left w:val="nil"/>
              <w:bottom w:val="nil"/>
              <w:right w:val="nil"/>
            </w:tcBorders>
            <w:shd w:val="clear" w:color="auto" w:fill="auto"/>
            <w:noWrap/>
            <w:vAlign w:val="center"/>
          </w:tcPr>
          <w:p w14:paraId="25451DB6" w14:textId="18BC84DD" w:rsidR="008D14D6" w:rsidRPr="004B4020" w:rsidRDefault="007C0566" w:rsidP="009C5DDC">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More severe + Hydrocepahlus</w:t>
            </w:r>
          </w:p>
        </w:tc>
        <w:tc>
          <w:tcPr>
            <w:tcW w:w="524" w:type="dxa"/>
            <w:gridSpan w:val="2"/>
            <w:tcBorders>
              <w:top w:val="nil"/>
              <w:left w:val="nil"/>
              <w:bottom w:val="nil"/>
              <w:right w:val="nil"/>
            </w:tcBorders>
            <w:shd w:val="clear" w:color="auto" w:fill="auto"/>
            <w:noWrap/>
            <w:vAlign w:val="center"/>
          </w:tcPr>
          <w:p w14:paraId="67918F07" w14:textId="5C30FC73" w:rsidR="008D14D6" w:rsidRPr="008C4A1D" w:rsidRDefault="007C7797" w:rsidP="007C7797">
            <w:pPr>
              <w:tabs>
                <w:tab w:val="left" w:pos="8647"/>
              </w:tabs>
              <w:spacing w:after="0" w:line="240" w:lineRule="auto"/>
              <w:jc w:val="center"/>
              <w:rPr>
                <w:rFonts w:eastAsia="Times New Roman" w:cs="Calibri"/>
                <w:color w:val="000000"/>
                <w:sz w:val="20"/>
                <w:vertAlign w:val="subscript"/>
                <w:lang w:eastAsia="en-GB"/>
              </w:rPr>
            </w:pPr>
            <w:r w:rsidRPr="008C4A1D">
              <w:rPr>
                <w:rFonts w:eastAsia="Times New Roman" w:cs="Calibri"/>
                <w:noProof/>
                <w:color w:val="000000"/>
                <w:sz w:val="20"/>
                <w:vertAlign w:val="subscript"/>
                <w:lang w:eastAsia="en-GB"/>
              </w:rPr>
              <w:t>101</w:t>
            </w:r>
          </w:p>
        </w:tc>
      </w:tr>
      <w:tr w:rsidR="008D14D6" w:rsidRPr="008C4A1D" w14:paraId="52639D6B" w14:textId="77777777" w:rsidTr="000E4C5D">
        <w:trPr>
          <w:gridAfter w:val="1"/>
          <w:wAfter w:w="43" w:type="dxa"/>
          <w:trHeight w:val="271"/>
        </w:trPr>
        <w:tc>
          <w:tcPr>
            <w:tcW w:w="1164" w:type="dxa"/>
            <w:tcBorders>
              <w:top w:val="nil"/>
              <w:left w:val="nil"/>
              <w:bottom w:val="nil"/>
              <w:right w:val="nil"/>
            </w:tcBorders>
            <w:shd w:val="clear" w:color="auto" w:fill="auto"/>
            <w:noWrap/>
            <w:vAlign w:val="center"/>
          </w:tcPr>
          <w:p w14:paraId="7D8EF810" w14:textId="77777777" w:rsidR="008D14D6" w:rsidRPr="004B4020" w:rsidRDefault="008D14D6" w:rsidP="007C0566">
            <w:pPr>
              <w:tabs>
                <w:tab w:val="left" w:pos="8647"/>
              </w:tabs>
              <w:spacing w:after="0" w:line="240" w:lineRule="auto"/>
              <w:jc w:val="center"/>
              <w:rPr>
                <w:rFonts w:eastAsia="Times New Roman" w:cs="Times New Roman"/>
                <w:color w:val="000000"/>
                <w:sz w:val="20"/>
                <w:szCs w:val="21"/>
                <w:lang w:eastAsia="en-GB"/>
              </w:rPr>
            </w:pPr>
          </w:p>
        </w:tc>
        <w:tc>
          <w:tcPr>
            <w:tcW w:w="1138" w:type="dxa"/>
            <w:gridSpan w:val="2"/>
            <w:tcBorders>
              <w:top w:val="nil"/>
              <w:left w:val="nil"/>
              <w:bottom w:val="nil"/>
              <w:right w:val="nil"/>
            </w:tcBorders>
            <w:shd w:val="clear" w:color="auto" w:fill="auto"/>
            <w:noWrap/>
            <w:vAlign w:val="center"/>
          </w:tcPr>
          <w:p w14:paraId="70CF8A3A" w14:textId="77777777" w:rsidR="008D14D6" w:rsidRPr="004B4020" w:rsidRDefault="008D14D6" w:rsidP="007C0566">
            <w:pPr>
              <w:tabs>
                <w:tab w:val="left" w:pos="8647"/>
              </w:tabs>
              <w:spacing w:after="0" w:line="240" w:lineRule="auto"/>
              <w:jc w:val="center"/>
              <w:rPr>
                <w:rFonts w:eastAsia="Times New Roman" w:cs="Calibri"/>
                <w:i/>
                <w:iCs/>
                <w:color w:val="000000"/>
                <w:sz w:val="20"/>
                <w:szCs w:val="21"/>
                <w:lang w:eastAsia="en-GB"/>
              </w:rPr>
            </w:pPr>
            <w:r w:rsidRPr="004B4020">
              <w:rPr>
                <w:rFonts w:eastAsia="Times New Roman" w:cs="Calibri"/>
                <w:i/>
                <w:iCs/>
                <w:color w:val="000000"/>
                <w:sz w:val="20"/>
                <w:szCs w:val="21"/>
                <w:lang w:eastAsia="en-GB"/>
              </w:rPr>
              <w:t>CCDC11</w:t>
            </w:r>
          </w:p>
        </w:tc>
        <w:tc>
          <w:tcPr>
            <w:tcW w:w="851" w:type="dxa"/>
            <w:tcBorders>
              <w:top w:val="nil"/>
              <w:left w:val="nil"/>
              <w:bottom w:val="nil"/>
              <w:right w:val="nil"/>
            </w:tcBorders>
            <w:shd w:val="clear" w:color="auto" w:fill="auto"/>
            <w:noWrap/>
            <w:vAlign w:val="center"/>
          </w:tcPr>
          <w:p w14:paraId="64F6BC31" w14:textId="77777777"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614759</w:t>
            </w:r>
          </w:p>
        </w:tc>
        <w:tc>
          <w:tcPr>
            <w:tcW w:w="1701" w:type="dxa"/>
            <w:tcBorders>
              <w:top w:val="nil"/>
              <w:left w:val="nil"/>
              <w:bottom w:val="nil"/>
              <w:right w:val="nil"/>
            </w:tcBorders>
            <w:shd w:val="clear" w:color="auto" w:fill="auto"/>
            <w:noWrap/>
            <w:vAlign w:val="center"/>
          </w:tcPr>
          <w:p w14:paraId="28209662" w14:textId="0029FE53" w:rsidR="008D14D6" w:rsidRPr="004B4020" w:rsidRDefault="008D14D6" w:rsidP="007C0566">
            <w:pPr>
              <w:tabs>
                <w:tab w:val="left" w:pos="8647"/>
              </w:tabs>
              <w:spacing w:after="0" w:line="240" w:lineRule="auto"/>
              <w:jc w:val="center"/>
              <w:rPr>
                <w:rFonts w:eastAsia="Times New Roman" w:cs="Calibri"/>
                <w:color w:val="000000"/>
                <w:sz w:val="20"/>
                <w:szCs w:val="20"/>
                <w:lang w:eastAsia="en-GB"/>
              </w:rPr>
            </w:pPr>
            <w:r w:rsidRPr="004B4020">
              <w:rPr>
                <w:rFonts w:eastAsia="Times New Roman" w:cs="Calibri"/>
                <w:color w:val="000000"/>
                <w:sz w:val="20"/>
                <w:szCs w:val="20"/>
                <w:lang w:eastAsia="en-GB"/>
              </w:rPr>
              <w:t>normal</w:t>
            </w:r>
          </w:p>
        </w:tc>
        <w:tc>
          <w:tcPr>
            <w:tcW w:w="1984" w:type="dxa"/>
            <w:gridSpan w:val="2"/>
            <w:tcBorders>
              <w:top w:val="nil"/>
              <w:left w:val="nil"/>
              <w:bottom w:val="nil"/>
              <w:right w:val="nil"/>
            </w:tcBorders>
            <w:shd w:val="clear" w:color="auto" w:fill="auto"/>
            <w:vAlign w:val="center"/>
          </w:tcPr>
          <w:p w14:paraId="0535F769" w14:textId="221A2173" w:rsidR="008D14D6" w:rsidRPr="004B4020" w:rsidRDefault="009A3EF7"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normal</w:t>
            </w:r>
          </w:p>
        </w:tc>
        <w:tc>
          <w:tcPr>
            <w:tcW w:w="2410" w:type="dxa"/>
            <w:gridSpan w:val="4"/>
            <w:tcBorders>
              <w:top w:val="nil"/>
              <w:left w:val="nil"/>
              <w:bottom w:val="nil"/>
              <w:right w:val="nil"/>
            </w:tcBorders>
            <w:shd w:val="clear" w:color="auto" w:fill="auto"/>
            <w:noWrap/>
            <w:vAlign w:val="center"/>
          </w:tcPr>
          <w:p w14:paraId="02612767" w14:textId="3ED06D1A" w:rsidR="008D14D6" w:rsidRPr="004B4020" w:rsidRDefault="00775930" w:rsidP="009C5DDC">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Normal/mild?</w:t>
            </w:r>
          </w:p>
        </w:tc>
        <w:tc>
          <w:tcPr>
            <w:tcW w:w="524" w:type="dxa"/>
            <w:gridSpan w:val="2"/>
            <w:tcBorders>
              <w:top w:val="nil"/>
              <w:left w:val="nil"/>
              <w:bottom w:val="nil"/>
              <w:right w:val="nil"/>
            </w:tcBorders>
            <w:shd w:val="clear" w:color="auto" w:fill="auto"/>
            <w:noWrap/>
            <w:vAlign w:val="center"/>
          </w:tcPr>
          <w:p w14:paraId="64314CFE" w14:textId="56834027" w:rsidR="008D14D6" w:rsidRPr="008C4A1D" w:rsidRDefault="007C7797" w:rsidP="007C7797">
            <w:pPr>
              <w:tabs>
                <w:tab w:val="left" w:pos="8647"/>
              </w:tabs>
              <w:spacing w:after="0" w:line="240" w:lineRule="auto"/>
              <w:jc w:val="center"/>
              <w:rPr>
                <w:rFonts w:eastAsia="Times New Roman" w:cs="Calibri"/>
                <w:color w:val="000000"/>
                <w:sz w:val="20"/>
                <w:vertAlign w:val="subscript"/>
                <w:lang w:eastAsia="en-GB"/>
              </w:rPr>
            </w:pPr>
            <w:r w:rsidRPr="008C4A1D">
              <w:rPr>
                <w:rFonts w:eastAsia="Times New Roman" w:cs="Calibri"/>
                <w:noProof/>
                <w:color w:val="000000"/>
                <w:sz w:val="20"/>
                <w:vertAlign w:val="subscript"/>
                <w:lang w:eastAsia="en-GB"/>
              </w:rPr>
              <w:t>103</w:t>
            </w:r>
          </w:p>
        </w:tc>
      </w:tr>
      <w:tr w:rsidR="008D14D6" w:rsidRPr="008C4A1D" w14:paraId="15C404A0" w14:textId="77777777" w:rsidTr="000E4C5D">
        <w:trPr>
          <w:gridAfter w:val="1"/>
          <w:wAfter w:w="43" w:type="dxa"/>
          <w:trHeight w:val="282"/>
        </w:trPr>
        <w:tc>
          <w:tcPr>
            <w:tcW w:w="1164" w:type="dxa"/>
            <w:tcBorders>
              <w:top w:val="nil"/>
              <w:left w:val="nil"/>
              <w:bottom w:val="nil"/>
              <w:right w:val="nil"/>
            </w:tcBorders>
            <w:shd w:val="clear" w:color="auto" w:fill="auto"/>
            <w:noWrap/>
            <w:vAlign w:val="center"/>
          </w:tcPr>
          <w:p w14:paraId="529AE6FD" w14:textId="77777777" w:rsidR="008D14D6" w:rsidRPr="004B4020" w:rsidRDefault="008D14D6" w:rsidP="007C0566">
            <w:pPr>
              <w:tabs>
                <w:tab w:val="left" w:pos="8647"/>
              </w:tabs>
              <w:spacing w:after="0" w:line="240" w:lineRule="auto"/>
              <w:jc w:val="center"/>
              <w:rPr>
                <w:rFonts w:eastAsia="Times New Roman" w:cs="Times New Roman"/>
                <w:color w:val="000000"/>
                <w:sz w:val="20"/>
                <w:szCs w:val="21"/>
                <w:lang w:eastAsia="en-GB"/>
              </w:rPr>
            </w:pPr>
          </w:p>
        </w:tc>
        <w:tc>
          <w:tcPr>
            <w:tcW w:w="1138" w:type="dxa"/>
            <w:gridSpan w:val="2"/>
            <w:tcBorders>
              <w:top w:val="nil"/>
              <w:left w:val="nil"/>
              <w:bottom w:val="nil"/>
              <w:right w:val="nil"/>
            </w:tcBorders>
            <w:shd w:val="clear" w:color="auto" w:fill="auto"/>
            <w:noWrap/>
            <w:vAlign w:val="center"/>
          </w:tcPr>
          <w:p w14:paraId="1B9C5EF0" w14:textId="77777777" w:rsidR="008D14D6" w:rsidRPr="004B4020" w:rsidRDefault="008D14D6" w:rsidP="007C0566">
            <w:pPr>
              <w:tabs>
                <w:tab w:val="left" w:pos="8647"/>
              </w:tabs>
              <w:spacing w:after="0" w:line="240" w:lineRule="auto"/>
              <w:jc w:val="center"/>
              <w:rPr>
                <w:rFonts w:eastAsia="Times New Roman" w:cs="Calibri"/>
                <w:i/>
                <w:iCs/>
                <w:color w:val="000000"/>
                <w:sz w:val="20"/>
                <w:szCs w:val="21"/>
                <w:lang w:eastAsia="en-GB"/>
              </w:rPr>
            </w:pPr>
            <w:r w:rsidRPr="004B4020">
              <w:rPr>
                <w:rFonts w:eastAsia="Times New Roman" w:cs="Calibri"/>
                <w:i/>
                <w:iCs/>
                <w:color w:val="000000"/>
                <w:sz w:val="20"/>
                <w:szCs w:val="21"/>
                <w:lang w:eastAsia="en-GB"/>
              </w:rPr>
              <w:t>ENKUR</w:t>
            </w:r>
          </w:p>
        </w:tc>
        <w:tc>
          <w:tcPr>
            <w:tcW w:w="851" w:type="dxa"/>
            <w:tcBorders>
              <w:top w:val="nil"/>
              <w:left w:val="nil"/>
              <w:bottom w:val="nil"/>
              <w:right w:val="nil"/>
            </w:tcBorders>
            <w:shd w:val="clear" w:color="auto" w:fill="auto"/>
            <w:noWrap/>
            <w:vAlign w:val="center"/>
          </w:tcPr>
          <w:p w14:paraId="58F2EDA9" w14:textId="77777777"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611025</w:t>
            </w:r>
          </w:p>
        </w:tc>
        <w:tc>
          <w:tcPr>
            <w:tcW w:w="1701" w:type="dxa"/>
            <w:tcBorders>
              <w:top w:val="nil"/>
              <w:left w:val="nil"/>
              <w:bottom w:val="nil"/>
              <w:right w:val="nil"/>
            </w:tcBorders>
            <w:shd w:val="clear" w:color="auto" w:fill="auto"/>
            <w:noWrap/>
            <w:vAlign w:val="center"/>
          </w:tcPr>
          <w:p w14:paraId="25CFF80A" w14:textId="77777777" w:rsidR="008D14D6" w:rsidRPr="004B4020" w:rsidRDefault="008D14D6" w:rsidP="007C0566">
            <w:pPr>
              <w:tabs>
                <w:tab w:val="left" w:pos="8647"/>
              </w:tabs>
              <w:spacing w:after="0" w:line="240" w:lineRule="auto"/>
              <w:jc w:val="center"/>
              <w:rPr>
                <w:rFonts w:eastAsia="Times New Roman" w:cs="Calibri"/>
                <w:color w:val="000000"/>
                <w:sz w:val="20"/>
                <w:szCs w:val="20"/>
                <w:lang w:eastAsia="en-GB"/>
              </w:rPr>
            </w:pPr>
            <w:r w:rsidRPr="004B4020">
              <w:rPr>
                <w:rFonts w:eastAsia="Times New Roman" w:cs="Calibri"/>
                <w:color w:val="000000"/>
                <w:sz w:val="20"/>
                <w:szCs w:val="20"/>
                <w:lang w:eastAsia="en-GB"/>
              </w:rPr>
              <w:t>N.A.</w:t>
            </w:r>
          </w:p>
        </w:tc>
        <w:tc>
          <w:tcPr>
            <w:tcW w:w="1984" w:type="dxa"/>
            <w:gridSpan w:val="2"/>
            <w:tcBorders>
              <w:top w:val="nil"/>
              <w:left w:val="nil"/>
              <w:bottom w:val="nil"/>
              <w:right w:val="nil"/>
            </w:tcBorders>
            <w:shd w:val="clear" w:color="auto" w:fill="auto"/>
            <w:vAlign w:val="center"/>
          </w:tcPr>
          <w:p w14:paraId="366B5D64" w14:textId="4BA9945F" w:rsidR="008D14D6" w:rsidRPr="004B4020" w:rsidRDefault="007C056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normal</w:t>
            </w:r>
          </w:p>
        </w:tc>
        <w:tc>
          <w:tcPr>
            <w:tcW w:w="2410" w:type="dxa"/>
            <w:gridSpan w:val="4"/>
            <w:tcBorders>
              <w:top w:val="nil"/>
              <w:left w:val="nil"/>
              <w:bottom w:val="nil"/>
              <w:right w:val="nil"/>
            </w:tcBorders>
            <w:shd w:val="clear" w:color="auto" w:fill="auto"/>
            <w:noWrap/>
            <w:vAlign w:val="center"/>
          </w:tcPr>
          <w:p w14:paraId="4FEAA34A" w14:textId="6EFF58B6" w:rsidR="008D14D6" w:rsidRPr="004B4020" w:rsidRDefault="00775930" w:rsidP="009C5DDC">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Normal/mild?</w:t>
            </w:r>
          </w:p>
        </w:tc>
        <w:tc>
          <w:tcPr>
            <w:tcW w:w="524" w:type="dxa"/>
            <w:gridSpan w:val="2"/>
            <w:tcBorders>
              <w:top w:val="nil"/>
              <w:left w:val="nil"/>
              <w:bottom w:val="nil"/>
              <w:right w:val="nil"/>
            </w:tcBorders>
            <w:shd w:val="clear" w:color="auto" w:fill="auto"/>
            <w:noWrap/>
            <w:vAlign w:val="center"/>
          </w:tcPr>
          <w:p w14:paraId="77871F2D" w14:textId="661B305F" w:rsidR="008D14D6" w:rsidRPr="008C4A1D" w:rsidRDefault="007C7797" w:rsidP="007C7797">
            <w:pPr>
              <w:tabs>
                <w:tab w:val="left" w:pos="8647"/>
              </w:tabs>
              <w:spacing w:after="0" w:line="240" w:lineRule="auto"/>
              <w:jc w:val="center"/>
              <w:rPr>
                <w:rFonts w:eastAsia="Times New Roman" w:cs="Calibri"/>
                <w:color w:val="000000"/>
                <w:sz w:val="20"/>
                <w:vertAlign w:val="subscript"/>
                <w:lang w:eastAsia="en-GB"/>
              </w:rPr>
            </w:pPr>
            <w:r w:rsidRPr="008C4A1D">
              <w:rPr>
                <w:rFonts w:eastAsia="Times New Roman" w:cs="Calibri"/>
                <w:noProof/>
                <w:color w:val="000000"/>
                <w:sz w:val="20"/>
                <w:vertAlign w:val="subscript"/>
                <w:lang w:eastAsia="en-GB"/>
              </w:rPr>
              <w:t>104</w:t>
            </w:r>
          </w:p>
        </w:tc>
      </w:tr>
      <w:tr w:rsidR="008D14D6" w:rsidRPr="008C4A1D" w14:paraId="4C328A73" w14:textId="77777777" w:rsidTr="000E4C5D">
        <w:trPr>
          <w:gridAfter w:val="1"/>
          <w:wAfter w:w="43" w:type="dxa"/>
          <w:trHeight w:val="282"/>
        </w:trPr>
        <w:tc>
          <w:tcPr>
            <w:tcW w:w="1164" w:type="dxa"/>
            <w:tcBorders>
              <w:top w:val="nil"/>
              <w:left w:val="nil"/>
              <w:bottom w:val="nil"/>
              <w:right w:val="nil"/>
            </w:tcBorders>
            <w:shd w:val="clear" w:color="auto" w:fill="auto"/>
            <w:noWrap/>
            <w:vAlign w:val="center"/>
          </w:tcPr>
          <w:p w14:paraId="1BF22A98" w14:textId="77777777" w:rsidR="008D14D6" w:rsidRPr="004B4020" w:rsidRDefault="008D14D6" w:rsidP="007C0566">
            <w:pPr>
              <w:tabs>
                <w:tab w:val="left" w:pos="8647"/>
              </w:tabs>
              <w:spacing w:after="0" w:line="240" w:lineRule="auto"/>
              <w:jc w:val="center"/>
              <w:rPr>
                <w:rFonts w:eastAsia="Times New Roman" w:cs="Times New Roman"/>
                <w:color w:val="000000"/>
                <w:sz w:val="20"/>
                <w:szCs w:val="21"/>
                <w:lang w:eastAsia="en-GB"/>
              </w:rPr>
            </w:pPr>
          </w:p>
        </w:tc>
        <w:tc>
          <w:tcPr>
            <w:tcW w:w="1138" w:type="dxa"/>
            <w:gridSpan w:val="2"/>
            <w:tcBorders>
              <w:top w:val="nil"/>
              <w:left w:val="nil"/>
              <w:bottom w:val="nil"/>
              <w:right w:val="nil"/>
            </w:tcBorders>
            <w:shd w:val="clear" w:color="auto" w:fill="auto"/>
            <w:noWrap/>
            <w:vAlign w:val="center"/>
          </w:tcPr>
          <w:p w14:paraId="3458D319" w14:textId="77777777" w:rsidR="008D14D6" w:rsidRPr="004B4020" w:rsidRDefault="008D14D6" w:rsidP="007C0566">
            <w:pPr>
              <w:tabs>
                <w:tab w:val="left" w:pos="8647"/>
              </w:tabs>
              <w:spacing w:after="0" w:line="240" w:lineRule="auto"/>
              <w:jc w:val="center"/>
              <w:rPr>
                <w:rFonts w:eastAsia="Times New Roman" w:cs="Calibri"/>
                <w:i/>
                <w:iCs/>
                <w:color w:val="000000"/>
                <w:sz w:val="20"/>
                <w:szCs w:val="21"/>
                <w:lang w:eastAsia="en-GB"/>
              </w:rPr>
            </w:pPr>
            <w:r w:rsidRPr="004B4020">
              <w:rPr>
                <w:rFonts w:eastAsia="Times New Roman" w:cs="Calibri"/>
                <w:i/>
                <w:iCs/>
                <w:color w:val="000000"/>
                <w:sz w:val="20"/>
                <w:szCs w:val="21"/>
                <w:lang w:eastAsia="en-GB"/>
              </w:rPr>
              <w:t>GAS2L2</w:t>
            </w:r>
          </w:p>
        </w:tc>
        <w:tc>
          <w:tcPr>
            <w:tcW w:w="851" w:type="dxa"/>
            <w:tcBorders>
              <w:top w:val="nil"/>
              <w:left w:val="nil"/>
              <w:bottom w:val="nil"/>
              <w:right w:val="nil"/>
            </w:tcBorders>
            <w:shd w:val="clear" w:color="auto" w:fill="auto"/>
            <w:noWrap/>
            <w:vAlign w:val="center"/>
          </w:tcPr>
          <w:p w14:paraId="4EA743AB" w14:textId="77777777" w:rsidR="008D14D6" w:rsidRPr="004B4020" w:rsidRDefault="008D14D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611398</w:t>
            </w:r>
          </w:p>
        </w:tc>
        <w:tc>
          <w:tcPr>
            <w:tcW w:w="1701" w:type="dxa"/>
            <w:tcBorders>
              <w:top w:val="nil"/>
              <w:left w:val="nil"/>
              <w:bottom w:val="nil"/>
              <w:right w:val="nil"/>
            </w:tcBorders>
            <w:shd w:val="clear" w:color="auto" w:fill="auto"/>
            <w:noWrap/>
            <w:vAlign w:val="center"/>
          </w:tcPr>
          <w:p w14:paraId="682BA7B4" w14:textId="660E5578" w:rsidR="008D14D6" w:rsidRPr="004B4020" w:rsidRDefault="008D14D6" w:rsidP="007C0566">
            <w:pPr>
              <w:tabs>
                <w:tab w:val="left" w:pos="8647"/>
              </w:tabs>
              <w:spacing w:after="0" w:line="240" w:lineRule="auto"/>
              <w:jc w:val="center"/>
              <w:rPr>
                <w:rFonts w:eastAsia="Times New Roman" w:cs="Calibri"/>
                <w:color w:val="000000"/>
                <w:sz w:val="20"/>
                <w:szCs w:val="20"/>
                <w:lang w:eastAsia="en-GB"/>
              </w:rPr>
            </w:pPr>
            <w:r w:rsidRPr="004B4020">
              <w:rPr>
                <w:rFonts w:eastAsia="Times New Roman" w:cs="Calibri"/>
                <w:color w:val="000000"/>
                <w:sz w:val="20"/>
                <w:szCs w:val="20"/>
                <w:lang w:eastAsia="en-GB"/>
              </w:rPr>
              <w:t>normal</w:t>
            </w:r>
          </w:p>
        </w:tc>
        <w:tc>
          <w:tcPr>
            <w:tcW w:w="1984" w:type="dxa"/>
            <w:gridSpan w:val="2"/>
            <w:tcBorders>
              <w:top w:val="nil"/>
              <w:left w:val="nil"/>
              <w:bottom w:val="nil"/>
              <w:right w:val="nil"/>
            </w:tcBorders>
            <w:shd w:val="clear" w:color="auto" w:fill="auto"/>
            <w:vAlign w:val="center"/>
          </w:tcPr>
          <w:p w14:paraId="6DCD8559" w14:textId="57CE1492" w:rsidR="008D14D6" w:rsidRPr="004B4020" w:rsidRDefault="007C0566" w:rsidP="007C0566">
            <w:pPr>
              <w:tabs>
                <w:tab w:val="left" w:pos="8647"/>
              </w:tabs>
              <w:spacing w:after="0" w:line="240" w:lineRule="auto"/>
              <w:jc w:val="center"/>
              <w:rPr>
                <w:rFonts w:eastAsia="Times New Roman" w:cs="Calibri"/>
                <w:color w:val="000000"/>
                <w:sz w:val="20"/>
                <w:szCs w:val="21"/>
                <w:lang w:eastAsia="en-GB"/>
              </w:rPr>
            </w:pPr>
            <w:r w:rsidRPr="004B4020">
              <w:rPr>
                <w:rFonts w:eastAsia="Times New Roman" w:cs="Calibri"/>
                <w:color w:val="000000"/>
                <w:sz w:val="20"/>
                <w:szCs w:val="21"/>
                <w:lang w:eastAsia="en-GB"/>
              </w:rPr>
              <w:t xml:space="preserve">Normal/ </w:t>
            </w:r>
            <w:r w:rsidR="00B517B5" w:rsidRPr="004B4020">
              <w:rPr>
                <w:rFonts w:eastAsia="Times New Roman" w:cs="Calibri"/>
                <w:color w:val="000000"/>
                <w:sz w:val="20"/>
                <w:szCs w:val="21"/>
                <w:lang w:eastAsia="en-GB"/>
              </w:rPr>
              <w:t>dis</w:t>
            </w:r>
            <w:r w:rsidRPr="004B4020">
              <w:rPr>
                <w:rFonts w:eastAsia="Times New Roman" w:cs="Calibri"/>
                <w:color w:val="000000"/>
                <w:sz w:val="20"/>
                <w:szCs w:val="21"/>
                <w:lang w:eastAsia="en-GB"/>
              </w:rPr>
              <w:t>orientation</w:t>
            </w:r>
          </w:p>
        </w:tc>
        <w:tc>
          <w:tcPr>
            <w:tcW w:w="2410" w:type="dxa"/>
            <w:gridSpan w:val="4"/>
            <w:tcBorders>
              <w:top w:val="nil"/>
              <w:left w:val="nil"/>
              <w:bottom w:val="nil"/>
              <w:right w:val="nil"/>
            </w:tcBorders>
            <w:shd w:val="clear" w:color="auto" w:fill="auto"/>
            <w:noWrap/>
            <w:vAlign w:val="center"/>
          </w:tcPr>
          <w:p w14:paraId="008199D4" w14:textId="28C56DDB" w:rsidR="008D14D6" w:rsidRPr="004B4020" w:rsidRDefault="008D14D6" w:rsidP="009C5DDC">
            <w:pPr>
              <w:tabs>
                <w:tab w:val="left" w:pos="8647"/>
              </w:tabs>
              <w:spacing w:after="0" w:line="240" w:lineRule="auto"/>
              <w:jc w:val="center"/>
              <w:rPr>
                <w:rFonts w:eastAsia="Times New Roman" w:cs="Calibri"/>
                <w:color w:val="000000"/>
                <w:sz w:val="20"/>
                <w:szCs w:val="21"/>
                <w:lang w:eastAsia="en-GB"/>
              </w:rPr>
            </w:pPr>
          </w:p>
        </w:tc>
        <w:tc>
          <w:tcPr>
            <w:tcW w:w="524" w:type="dxa"/>
            <w:gridSpan w:val="2"/>
            <w:tcBorders>
              <w:top w:val="nil"/>
              <w:left w:val="nil"/>
              <w:bottom w:val="nil"/>
              <w:right w:val="nil"/>
            </w:tcBorders>
            <w:shd w:val="clear" w:color="auto" w:fill="auto"/>
            <w:noWrap/>
            <w:vAlign w:val="center"/>
          </w:tcPr>
          <w:p w14:paraId="06F6FC1D" w14:textId="7C5BDB2B" w:rsidR="008D14D6" w:rsidRPr="008C4A1D" w:rsidRDefault="009111A8" w:rsidP="009111A8">
            <w:pPr>
              <w:tabs>
                <w:tab w:val="left" w:pos="8647"/>
              </w:tabs>
              <w:spacing w:after="0" w:line="240" w:lineRule="auto"/>
              <w:jc w:val="center"/>
              <w:rPr>
                <w:sz w:val="20"/>
                <w:vertAlign w:val="subscript"/>
              </w:rPr>
            </w:pPr>
            <w:r w:rsidRPr="008C4A1D">
              <w:rPr>
                <w:noProof/>
                <w:sz w:val="20"/>
                <w:vertAlign w:val="subscript"/>
              </w:rPr>
              <w:t>44</w:t>
            </w:r>
          </w:p>
        </w:tc>
      </w:tr>
      <w:tr w:rsidR="008D14D6" w:rsidRPr="008C4A1D" w14:paraId="494C4464" w14:textId="77777777" w:rsidTr="000E4C5D">
        <w:trPr>
          <w:gridAfter w:val="1"/>
          <w:wAfter w:w="43" w:type="dxa"/>
          <w:trHeight w:val="282"/>
        </w:trPr>
        <w:tc>
          <w:tcPr>
            <w:tcW w:w="1164" w:type="dxa"/>
            <w:tcBorders>
              <w:top w:val="nil"/>
              <w:left w:val="nil"/>
              <w:bottom w:val="single" w:sz="4" w:space="0" w:color="auto"/>
              <w:right w:val="nil"/>
            </w:tcBorders>
            <w:shd w:val="clear" w:color="auto" w:fill="auto"/>
            <w:noWrap/>
            <w:vAlign w:val="center"/>
          </w:tcPr>
          <w:p w14:paraId="49F63FAC" w14:textId="77777777" w:rsidR="008D14D6" w:rsidRPr="00B103D8" w:rsidRDefault="008D14D6" w:rsidP="007C0566">
            <w:pPr>
              <w:tabs>
                <w:tab w:val="left" w:pos="8647"/>
              </w:tabs>
              <w:spacing w:after="0" w:line="240" w:lineRule="auto"/>
              <w:jc w:val="center"/>
              <w:rPr>
                <w:rFonts w:eastAsia="Times New Roman" w:cs="Times New Roman"/>
                <w:color w:val="000000"/>
                <w:sz w:val="20"/>
                <w:szCs w:val="21"/>
                <w:lang w:eastAsia="en-GB"/>
              </w:rPr>
            </w:pPr>
          </w:p>
        </w:tc>
        <w:tc>
          <w:tcPr>
            <w:tcW w:w="1138" w:type="dxa"/>
            <w:gridSpan w:val="2"/>
            <w:tcBorders>
              <w:top w:val="nil"/>
              <w:left w:val="nil"/>
              <w:bottom w:val="single" w:sz="4" w:space="0" w:color="auto"/>
              <w:right w:val="nil"/>
            </w:tcBorders>
            <w:shd w:val="clear" w:color="auto" w:fill="auto"/>
            <w:noWrap/>
            <w:vAlign w:val="center"/>
          </w:tcPr>
          <w:p w14:paraId="06F57C36" w14:textId="6FBD8288" w:rsidR="008D14D6" w:rsidRPr="00B103D8" w:rsidRDefault="008D14D6" w:rsidP="007C0566">
            <w:pPr>
              <w:tabs>
                <w:tab w:val="left" w:pos="8647"/>
              </w:tabs>
              <w:spacing w:after="0" w:line="240" w:lineRule="auto"/>
              <w:jc w:val="center"/>
              <w:rPr>
                <w:rFonts w:eastAsia="Times New Roman" w:cs="Calibri"/>
                <w:i/>
                <w:iCs/>
                <w:color w:val="000000"/>
                <w:sz w:val="20"/>
                <w:szCs w:val="21"/>
                <w:lang w:eastAsia="en-GB"/>
              </w:rPr>
            </w:pPr>
            <w:r w:rsidRPr="00B103D8">
              <w:rPr>
                <w:rFonts w:eastAsia="Times New Roman" w:cs="Calibri"/>
                <w:i/>
                <w:iCs/>
                <w:color w:val="000000"/>
                <w:sz w:val="20"/>
                <w:szCs w:val="21"/>
                <w:lang w:eastAsia="en-GB"/>
              </w:rPr>
              <w:t>LRRC56*</w:t>
            </w:r>
          </w:p>
        </w:tc>
        <w:tc>
          <w:tcPr>
            <w:tcW w:w="851" w:type="dxa"/>
            <w:tcBorders>
              <w:top w:val="nil"/>
              <w:left w:val="nil"/>
              <w:bottom w:val="single" w:sz="4" w:space="0" w:color="auto"/>
              <w:right w:val="nil"/>
            </w:tcBorders>
            <w:shd w:val="clear" w:color="auto" w:fill="auto"/>
            <w:noWrap/>
            <w:vAlign w:val="center"/>
          </w:tcPr>
          <w:p w14:paraId="12AAC51D" w14:textId="77777777" w:rsidR="008D14D6" w:rsidRPr="00B103D8" w:rsidRDefault="008D14D6" w:rsidP="007C0566">
            <w:pPr>
              <w:tabs>
                <w:tab w:val="left" w:pos="8647"/>
              </w:tabs>
              <w:spacing w:after="0" w:line="240" w:lineRule="auto"/>
              <w:jc w:val="center"/>
              <w:rPr>
                <w:rFonts w:eastAsia="Times New Roman" w:cs="Calibri"/>
                <w:color w:val="000000"/>
                <w:sz w:val="20"/>
                <w:szCs w:val="21"/>
                <w:lang w:eastAsia="en-GB"/>
              </w:rPr>
            </w:pPr>
            <w:r w:rsidRPr="00B103D8">
              <w:rPr>
                <w:rFonts w:eastAsia="Times New Roman" w:cs="Calibri"/>
                <w:color w:val="000000"/>
                <w:sz w:val="20"/>
                <w:szCs w:val="21"/>
                <w:lang w:eastAsia="en-GB"/>
              </w:rPr>
              <w:t>618227</w:t>
            </w:r>
          </w:p>
        </w:tc>
        <w:tc>
          <w:tcPr>
            <w:tcW w:w="1701" w:type="dxa"/>
            <w:tcBorders>
              <w:top w:val="nil"/>
              <w:left w:val="nil"/>
              <w:bottom w:val="single" w:sz="4" w:space="0" w:color="auto"/>
              <w:right w:val="nil"/>
            </w:tcBorders>
            <w:shd w:val="clear" w:color="auto" w:fill="auto"/>
            <w:noWrap/>
            <w:vAlign w:val="center"/>
          </w:tcPr>
          <w:p w14:paraId="2FA8E0F6" w14:textId="4EF1D9F3" w:rsidR="008D14D6" w:rsidRPr="00B103D8" w:rsidRDefault="008D14D6" w:rsidP="007C0566">
            <w:pPr>
              <w:tabs>
                <w:tab w:val="left" w:pos="8647"/>
              </w:tabs>
              <w:spacing w:after="0" w:line="240" w:lineRule="auto"/>
              <w:jc w:val="center"/>
              <w:rPr>
                <w:rFonts w:eastAsia="Times New Roman" w:cs="Calibri"/>
                <w:color w:val="000000"/>
                <w:sz w:val="20"/>
                <w:szCs w:val="20"/>
                <w:lang w:eastAsia="en-GB"/>
              </w:rPr>
            </w:pPr>
            <w:r w:rsidRPr="00B103D8">
              <w:rPr>
                <w:rFonts w:eastAsia="Times New Roman" w:cs="Calibri"/>
                <w:color w:val="000000"/>
                <w:sz w:val="20"/>
                <w:szCs w:val="20"/>
                <w:lang w:eastAsia="en-GB"/>
              </w:rPr>
              <w:t>normal</w:t>
            </w:r>
          </w:p>
        </w:tc>
        <w:tc>
          <w:tcPr>
            <w:tcW w:w="1984" w:type="dxa"/>
            <w:gridSpan w:val="2"/>
            <w:tcBorders>
              <w:top w:val="nil"/>
              <w:left w:val="nil"/>
              <w:bottom w:val="single" w:sz="4" w:space="0" w:color="auto"/>
              <w:right w:val="nil"/>
            </w:tcBorders>
            <w:shd w:val="clear" w:color="auto" w:fill="auto"/>
            <w:vAlign w:val="center"/>
          </w:tcPr>
          <w:p w14:paraId="7CCAFE67" w14:textId="1B7B8FCC" w:rsidR="008D14D6" w:rsidRPr="00B103D8" w:rsidRDefault="009A3EF7" w:rsidP="007C0566">
            <w:pPr>
              <w:tabs>
                <w:tab w:val="left" w:pos="8647"/>
              </w:tabs>
              <w:spacing w:after="0" w:line="240" w:lineRule="auto"/>
              <w:jc w:val="center"/>
              <w:rPr>
                <w:rFonts w:eastAsia="Times New Roman" w:cs="Calibri"/>
                <w:color w:val="000000"/>
                <w:sz w:val="20"/>
                <w:szCs w:val="21"/>
                <w:lang w:eastAsia="en-GB"/>
              </w:rPr>
            </w:pPr>
            <w:r w:rsidRPr="00B103D8">
              <w:rPr>
                <w:rFonts w:eastAsia="Times New Roman" w:cs="Calibri"/>
                <w:color w:val="000000"/>
                <w:sz w:val="20"/>
                <w:szCs w:val="21"/>
                <w:lang w:eastAsia="en-GB"/>
              </w:rPr>
              <w:t>Dyskinetic</w:t>
            </w:r>
          </w:p>
        </w:tc>
        <w:tc>
          <w:tcPr>
            <w:tcW w:w="2410" w:type="dxa"/>
            <w:gridSpan w:val="4"/>
            <w:tcBorders>
              <w:top w:val="nil"/>
              <w:left w:val="nil"/>
              <w:bottom w:val="single" w:sz="4" w:space="0" w:color="auto"/>
              <w:right w:val="nil"/>
            </w:tcBorders>
            <w:shd w:val="clear" w:color="auto" w:fill="auto"/>
            <w:noWrap/>
            <w:vAlign w:val="center"/>
          </w:tcPr>
          <w:p w14:paraId="128EA8BC" w14:textId="391432CA" w:rsidR="008D14D6" w:rsidRPr="00B103D8" w:rsidRDefault="008D14D6" w:rsidP="002C03D2">
            <w:pPr>
              <w:tabs>
                <w:tab w:val="left" w:pos="8647"/>
              </w:tabs>
              <w:spacing w:after="0" w:line="240" w:lineRule="auto"/>
              <w:rPr>
                <w:rFonts w:eastAsia="Times New Roman" w:cs="Calibri"/>
                <w:color w:val="000000"/>
                <w:sz w:val="20"/>
                <w:szCs w:val="21"/>
                <w:lang w:eastAsia="en-GB"/>
              </w:rPr>
            </w:pPr>
          </w:p>
        </w:tc>
        <w:tc>
          <w:tcPr>
            <w:tcW w:w="524" w:type="dxa"/>
            <w:gridSpan w:val="2"/>
            <w:tcBorders>
              <w:top w:val="nil"/>
              <w:left w:val="nil"/>
              <w:bottom w:val="single" w:sz="4" w:space="0" w:color="auto"/>
              <w:right w:val="nil"/>
            </w:tcBorders>
            <w:shd w:val="clear" w:color="auto" w:fill="auto"/>
            <w:noWrap/>
            <w:vAlign w:val="center"/>
          </w:tcPr>
          <w:p w14:paraId="05EBFCC2" w14:textId="5CCFED95" w:rsidR="008D14D6" w:rsidRPr="008C4A1D" w:rsidRDefault="007C7797" w:rsidP="007C7797">
            <w:pPr>
              <w:tabs>
                <w:tab w:val="left" w:pos="8647"/>
              </w:tabs>
              <w:spacing w:after="0" w:line="240" w:lineRule="auto"/>
              <w:jc w:val="center"/>
              <w:rPr>
                <w:sz w:val="20"/>
                <w:vertAlign w:val="subscript"/>
              </w:rPr>
            </w:pPr>
            <w:r w:rsidRPr="008C4A1D">
              <w:rPr>
                <w:noProof/>
                <w:sz w:val="20"/>
                <w:vertAlign w:val="subscript"/>
              </w:rPr>
              <w:t>78</w:t>
            </w:r>
          </w:p>
        </w:tc>
      </w:tr>
    </w:tbl>
    <w:p w14:paraId="0DE886B9" w14:textId="3D8505C8" w:rsidR="002E5746" w:rsidRDefault="00746D4C" w:rsidP="008D14D6">
      <w:pPr>
        <w:tabs>
          <w:tab w:val="left" w:pos="8647"/>
        </w:tabs>
        <w:spacing w:before="240" w:after="0" w:line="240" w:lineRule="auto"/>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val="en-US" w:eastAsia="en-GB"/>
        </w:rPr>
        <w:t xml:space="preserve">TEM: transmission electron microscopy; HSVMA: high-speed video microscopy analysis; </w:t>
      </w:r>
      <w:r w:rsidR="002E5746" w:rsidRPr="00DB549F">
        <w:rPr>
          <w:rFonts w:ascii="Calibri" w:eastAsia="Times New Roman" w:hAnsi="Calibri" w:cs="Calibri"/>
          <w:color w:val="000000"/>
          <w:sz w:val="18"/>
          <w:szCs w:val="18"/>
          <w:lang w:val="en-US" w:eastAsia="en-GB"/>
        </w:rPr>
        <w:t xml:space="preserve">RGMC: reduced generation of multiple motile cilia; </w:t>
      </w:r>
      <w:r w:rsidR="000E4C5D">
        <w:rPr>
          <w:rFonts w:ascii="Calibri" w:eastAsia="Times New Roman" w:hAnsi="Calibri" w:cs="Calibri"/>
          <w:color w:val="000000"/>
          <w:sz w:val="18"/>
          <w:szCs w:val="18"/>
          <w:lang w:val="en-US" w:eastAsia="en-GB"/>
        </w:rPr>
        <w:t>ODA:</w:t>
      </w:r>
      <w:r w:rsidR="00344D4B">
        <w:rPr>
          <w:rFonts w:ascii="Calibri" w:eastAsia="Times New Roman" w:hAnsi="Calibri" w:cs="Calibri"/>
          <w:color w:val="000000"/>
          <w:sz w:val="18"/>
          <w:szCs w:val="18"/>
          <w:lang w:val="en-US" w:eastAsia="en-GB"/>
        </w:rPr>
        <w:t xml:space="preserve"> </w:t>
      </w:r>
      <w:r w:rsidR="000E4C5D">
        <w:rPr>
          <w:rFonts w:ascii="Calibri" w:eastAsia="Times New Roman" w:hAnsi="Calibri" w:cs="Calibri"/>
          <w:color w:val="000000"/>
          <w:sz w:val="18"/>
          <w:szCs w:val="18"/>
          <w:lang w:val="en-US" w:eastAsia="en-GB"/>
        </w:rPr>
        <w:t xml:space="preserve">outer dynein arm; IDA: Inner dynein arm; </w:t>
      </w:r>
      <w:r w:rsidRPr="00746D4C">
        <w:rPr>
          <w:rFonts w:ascii="Calibri" w:eastAsia="Times New Roman" w:hAnsi="Calibri" w:cs="Calibri"/>
          <w:bCs/>
          <w:color w:val="000000"/>
          <w:sz w:val="18"/>
          <w:szCs w:val="18"/>
          <w:lang w:eastAsia="en-GB"/>
        </w:rPr>
        <w:t>N-DRC</w:t>
      </w:r>
      <w:r w:rsidRPr="00746D4C">
        <w:rPr>
          <w:rFonts w:ascii="Calibri" w:eastAsia="Times New Roman" w:hAnsi="Calibri" w:cs="Calibri"/>
          <w:color w:val="000000"/>
          <w:sz w:val="18"/>
          <w:szCs w:val="18"/>
          <w:lang w:val="en-US" w:eastAsia="en-GB"/>
        </w:rPr>
        <w:t xml:space="preserve">: </w:t>
      </w:r>
      <w:r w:rsidRPr="00746D4C">
        <w:rPr>
          <w:rFonts w:ascii="Calibri" w:eastAsia="Times New Roman" w:hAnsi="Calibri" w:cs="Calibri"/>
          <w:color w:val="000000"/>
          <w:sz w:val="18"/>
          <w:szCs w:val="18"/>
          <w:lang w:eastAsia="en-GB"/>
        </w:rPr>
        <w:t>nexin-dynein regulatory complex</w:t>
      </w:r>
      <w:r w:rsidRPr="00746D4C">
        <w:rPr>
          <w:rFonts w:ascii="Calibri" w:eastAsia="Times New Roman" w:hAnsi="Calibri" w:cs="Calibri"/>
          <w:color w:val="000000"/>
          <w:sz w:val="18"/>
          <w:szCs w:val="18"/>
          <w:lang w:val="en-US" w:eastAsia="en-GB"/>
        </w:rPr>
        <w:t xml:space="preserve"> </w:t>
      </w:r>
      <w:r w:rsidR="000E4C5D">
        <w:rPr>
          <w:rFonts w:ascii="Calibri" w:eastAsia="Times New Roman" w:hAnsi="Calibri" w:cs="Calibri"/>
          <w:color w:val="000000"/>
          <w:sz w:val="18"/>
          <w:szCs w:val="18"/>
          <w:lang w:val="en-US" w:eastAsia="en-GB"/>
        </w:rPr>
        <w:t xml:space="preserve">NO: nasal nitric oxide; MTD: Microtubular disorganization; </w:t>
      </w:r>
      <w:r w:rsidR="002E5746" w:rsidRPr="00DB549F">
        <w:rPr>
          <w:rFonts w:ascii="Calibri" w:eastAsia="Times New Roman" w:hAnsi="Calibri" w:cs="Calibri"/>
          <w:color w:val="000000"/>
          <w:sz w:val="18"/>
          <w:szCs w:val="18"/>
          <w:lang w:val="en-US" w:eastAsia="en-GB"/>
        </w:rPr>
        <w:t>N.A.: not applicable</w:t>
      </w:r>
      <w:r w:rsidR="00344D4B">
        <w:rPr>
          <w:rFonts w:ascii="Calibri" w:eastAsia="Times New Roman" w:hAnsi="Calibri" w:cs="Calibri"/>
          <w:color w:val="000000"/>
          <w:sz w:val="18"/>
          <w:szCs w:val="18"/>
          <w:lang w:val="en-US" w:eastAsia="en-GB"/>
        </w:rPr>
        <w:t>; OM: otitis media</w:t>
      </w:r>
    </w:p>
    <w:p w14:paraId="56ED4D1E" w14:textId="486CF270" w:rsidR="00B51AA4" w:rsidRPr="00344D4B" w:rsidRDefault="00B51AA4" w:rsidP="008D14D6">
      <w:pPr>
        <w:tabs>
          <w:tab w:val="left" w:pos="8647"/>
        </w:tabs>
        <w:spacing w:before="240" w:after="0" w:line="240" w:lineRule="auto"/>
        <w:rPr>
          <w:rFonts w:cs="Times New Roman"/>
          <w:sz w:val="20"/>
          <w:szCs w:val="20"/>
          <w:lang w:val="en-US"/>
        </w:rPr>
      </w:pPr>
      <w:r w:rsidRPr="00344D4B">
        <w:rPr>
          <w:rFonts w:cs="Times New Roman"/>
          <w:sz w:val="20"/>
          <w:szCs w:val="20"/>
          <w:lang w:val="en-US"/>
        </w:rPr>
        <w:t xml:space="preserve">* Not </w:t>
      </w:r>
      <w:r w:rsidR="00B517B5" w:rsidRPr="00344D4B">
        <w:rPr>
          <w:rFonts w:cs="Times New Roman"/>
          <w:sz w:val="20"/>
          <w:szCs w:val="20"/>
          <w:lang w:val="en-US"/>
        </w:rPr>
        <w:t xml:space="preserve">always </w:t>
      </w:r>
      <w:r w:rsidRPr="00344D4B">
        <w:rPr>
          <w:rFonts w:cs="Times New Roman"/>
          <w:sz w:val="20"/>
          <w:szCs w:val="20"/>
          <w:lang w:val="en-US"/>
        </w:rPr>
        <w:t xml:space="preserve">detectable </w:t>
      </w:r>
      <w:r w:rsidR="00B517B5" w:rsidRPr="00344D4B">
        <w:rPr>
          <w:rFonts w:cs="Times New Roman"/>
          <w:sz w:val="20"/>
          <w:szCs w:val="20"/>
          <w:lang w:val="en-US"/>
        </w:rPr>
        <w:t xml:space="preserve">by immunofluorescence </w:t>
      </w:r>
      <w:r w:rsidRPr="00344D4B">
        <w:rPr>
          <w:rFonts w:cs="Times New Roman"/>
          <w:sz w:val="20"/>
          <w:szCs w:val="20"/>
          <w:lang w:val="en-US"/>
        </w:rPr>
        <w:t>using</w:t>
      </w:r>
      <w:r w:rsidR="00B517B5" w:rsidRPr="00344D4B">
        <w:rPr>
          <w:rFonts w:cs="Times New Roman"/>
          <w:sz w:val="20"/>
          <w:szCs w:val="20"/>
          <w:lang w:val="en-US"/>
        </w:rPr>
        <w:t xml:space="preserve"> targeted antibodies</w:t>
      </w:r>
      <w:r w:rsidRPr="00344D4B">
        <w:rPr>
          <w:rFonts w:cs="Times New Roman"/>
          <w:sz w:val="20"/>
          <w:szCs w:val="20"/>
          <w:lang w:val="en-US"/>
        </w:rPr>
        <w:t xml:space="preserve"> </w:t>
      </w:r>
    </w:p>
    <w:p w14:paraId="2AD00788" w14:textId="198F4A0B" w:rsidR="009C3453" w:rsidRPr="00344D4B" w:rsidRDefault="00A72BE0" w:rsidP="008D14D6">
      <w:pPr>
        <w:tabs>
          <w:tab w:val="left" w:pos="8647"/>
        </w:tabs>
        <w:spacing w:before="240" w:after="0" w:line="240" w:lineRule="auto"/>
        <w:rPr>
          <w:rFonts w:eastAsia="Times New Roman" w:cs="Calibri"/>
          <w:color w:val="000000"/>
          <w:sz w:val="20"/>
          <w:szCs w:val="20"/>
          <w:lang w:eastAsia="en-GB"/>
        </w:rPr>
      </w:pPr>
      <w:r>
        <w:rPr>
          <w:rFonts w:eastAsia="Times New Roman" w:cs="Calibri"/>
          <w:color w:val="000000"/>
          <w:sz w:val="20"/>
          <w:szCs w:val="20"/>
          <w:vertAlign w:val="superscript"/>
          <w:lang w:eastAsia="en-GB"/>
        </w:rPr>
        <w:t>$</w:t>
      </w:r>
      <w:r w:rsidR="009C1702" w:rsidRPr="00344D4B">
        <w:rPr>
          <w:rFonts w:eastAsia="Times New Roman" w:cs="Calibri"/>
          <w:color w:val="000000"/>
          <w:sz w:val="20"/>
          <w:szCs w:val="20"/>
          <w:vertAlign w:val="superscript"/>
          <w:lang w:eastAsia="en-GB"/>
        </w:rPr>
        <w:t xml:space="preserve"> </w:t>
      </w:r>
      <w:r w:rsidR="009C3453" w:rsidRPr="00344D4B">
        <w:rPr>
          <w:rFonts w:eastAsia="Times New Roman" w:cs="Calibri"/>
          <w:color w:val="000000"/>
          <w:sz w:val="20"/>
          <w:szCs w:val="20"/>
          <w:lang w:eastAsia="en-GB"/>
        </w:rPr>
        <w:t>Ultrastructural defects can be identified by electron tomography</w:t>
      </w:r>
    </w:p>
    <w:p w14:paraId="5C33A0E6" w14:textId="29184810" w:rsidR="00B517B5" w:rsidRPr="00344D4B" w:rsidRDefault="00A72BE0" w:rsidP="008D14D6">
      <w:pPr>
        <w:tabs>
          <w:tab w:val="left" w:pos="8647"/>
        </w:tabs>
        <w:spacing w:before="240" w:after="0" w:line="240" w:lineRule="auto"/>
        <w:rPr>
          <w:rFonts w:eastAsia="Times New Roman" w:cs="Calibri"/>
          <w:color w:val="000000"/>
          <w:sz w:val="20"/>
          <w:szCs w:val="20"/>
          <w:lang w:eastAsia="en-GB"/>
        </w:rPr>
      </w:pPr>
      <w:r>
        <w:rPr>
          <w:rFonts w:eastAsia="Times New Roman" w:cs="Calibri"/>
          <w:color w:val="000000"/>
          <w:sz w:val="20"/>
          <w:szCs w:val="20"/>
          <w:vertAlign w:val="superscript"/>
          <w:lang w:eastAsia="en-GB"/>
        </w:rPr>
        <w:t>$$</w:t>
      </w:r>
      <w:r w:rsidR="00B517B5" w:rsidRPr="00344D4B">
        <w:rPr>
          <w:rFonts w:eastAsia="Times New Roman" w:cs="Calibri"/>
          <w:color w:val="000000"/>
          <w:sz w:val="20"/>
          <w:szCs w:val="20"/>
          <w:lang w:eastAsia="en-GB"/>
        </w:rPr>
        <w:t xml:space="preserve">Refers only to the His154Pro missense mutation </w:t>
      </w:r>
    </w:p>
    <w:p w14:paraId="2151A9B9" w14:textId="23914CE7" w:rsidR="009C1702" w:rsidRPr="00344D4B" w:rsidRDefault="00A72BE0" w:rsidP="008D14D6">
      <w:pPr>
        <w:tabs>
          <w:tab w:val="left" w:pos="8647"/>
        </w:tabs>
        <w:spacing w:before="240" w:after="0" w:line="240" w:lineRule="auto"/>
        <w:rPr>
          <w:rFonts w:cs="Times New Roman"/>
          <w:sz w:val="20"/>
          <w:szCs w:val="20"/>
          <w:lang w:val="en-US"/>
        </w:rPr>
      </w:pPr>
      <w:r>
        <w:rPr>
          <w:rFonts w:eastAsia="Times New Roman" w:cs="Calibri"/>
          <w:color w:val="000000"/>
          <w:sz w:val="20"/>
          <w:szCs w:val="20"/>
          <w:vertAlign w:val="superscript"/>
          <w:lang w:eastAsia="en-GB"/>
        </w:rPr>
        <w:t>$$$</w:t>
      </w:r>
      <w:r w:rsidR="009C1702" w:rsidRPr="00344D4B">
        <w:rPr>
          <w:rFonts w:eastAsia="Times New Roman" w:cs="Calibri"/>
          <w:color w:val="000000"/>
          <w:sz w:val="20"/>
          <w:szCs w:val="20"/>
          <w:lang w:eastAsia="en-GB"/>
        </w:rPr>
        <w:t xml:space="preserve">When </w:t>
      </w:r>
      <w:r w:rsidR="009C1702" w:rsidRPr="00344D4B">
        <w:rPr>
          <w:rFonts w:cs="Times New Roman"/>
          <w:sz w:val="20"/>
          <w:szCs w:val="20"/>
          <w:lang w:val="en-US"/>
        </w:rPr>
        <w:t>viewed from above. Sometimes can appear dyskinetic or more normal</w:t>
      </w:r>
    </w:p>
    <w:p w14:paraId="2C852B3E" w14:textId="77777777" w:rsidR="002E5746" w:rsidRPr="00DB549F" w:rsidRDefault="002E5746" w:rsidP="008D14D6">
      <w:pPr>
        <w:tabs>
          <w:tab w:val="left" w:pos="8647"/>
        </w:tabs>
        <w:rPr>
          <w:lang w:val="en-US"/>
        </w:rPr>
      </w:pPr>
    </w:p>
    <w:p w14:paraId="0BD8C0AB" w14:textId="77777777" w:rsidR="002E5746" w:rsidRPr="00DB549F" w:rsidRDefault="002E5746" w:rsidP="008D14D6">
      <w:pPr>
        <w:tabs>
          <w:tab w:val="left" w:pos="8647"/>
        </w:tabs>
        <w:rPr>
          <w:lang w:val="en-US"/>
        </w:rPr>
      </w:pPr>
    </w:p>
    <w:p w14:paraId="45D1AEC2" w14:textId="41B7E5D5" w:rsidR="002E5746" w:rsidRDefault="002E5746" w:rsidP="008D14D6">
      <w:pPr>
        <w:tabs>
          <w:tab w:val="left" w:pos="8647"/>
        </w:tabs>
        <w:rPr>
          <w:b/>
        </w:rPr>
      </w:pPr>
      <w:r>
        <w:rPr>
          <w:b/>
        </w:rPr>
        <w:br w:type="page"/>
      </w:r>
    </w:p>
    <w:p w14:paraId="475956DE" w14:textId="46F8FF82" w:rsidR="00215E5E" w:rsidRPr="00D070A6" w:rsidRDefault="00215E5E" w:rsidP="008D14D6">
      <w:pPr>
        <w:tabs>
          <w:tab w:val="left" w:pos="8647"/>
        </w:tabs>
        <w:spacing w:line="360" w:lineRule="auto"/>
        <w:rPr>
          <w:b/>
        </w:rPr>
      </w:pPr>
    </w:p>
    <w:p w14:paraId="042D95D0" w14:textId="3B263FBB" w:rsidR="00C920E6" w:rsidRDefault="009C3453" w:rsidP="008D14D6">
      <w:pPr>
        <w:tabs>
          <w:tab w:val="left" w:pos="8647"/>
        </w:tabs>
        <w:spacing w:line="360" w:lineRule="auto"/>
        <w:rPr>
          <w:b/>
        </w:rPr>
      </w:pPr>
      <w:r w:rsidRPr="009C3453">
        <w:rPr>
          <w:b/>
        </w:rPr>
        <w:t>Figure legends</w:t>
      </w:r>
    </w:p>
    <w:p w14:paraId="665D2CCD" w14:textId="6CEC8F07" w:rsidR="009C3453" w:rsidRDefault="009C3453" w:rsidP="008D14D6">
      <w:pPr>
        <w:tabs>
          <w:tab w:val="left" w:pos="8647"/>
        </w:tabs>
        <w:spacing w:line="360" w:lineRule="auto"/>
        <w:rPr>
          <w:b/>
        </w:rPr>
      </w:pPr>
      <w:r w:rsidRPr="00746D4C">
        <w:rPr>
          <w:b/>
        </w:rPr>
        <w:t>Figure 1:</w:t>
      </w:r>
      <w:r w:rsidR="005C188F" w:rsidRPr="00746D4C">
        <w:rPr>
          <w:b/>
        </w:rPr>
        <w:t xml:space="preserve"> </w:t>
      </w:r>
      <w:r w:rsidR="00746D4C" w:rsidRPr="00746D4C">
        <w:t>Over 40 genes have been reported to cause PCD. This figure summarises the genes which can be associated with PCD by effecting ciliary proteins, transport of those proteins, or docking of structures. ODA= outer dynein arm; CP= central pair; N-DCR=nexin-dynein regulatory complex.</w:t>
      </w:r>
    </w:p>
    <w:p w14:paraId="7981E987" w14:textId="63C28FD1" w:rsidR="009C3453" w:rsidRPr="009C3453" w:rsidRDefault="009C3453" w:rsidP="009C3453">
      <w:pPr>
        <w:tabs>
          <w:tab w:val="left" w:pos="8647"/>
        </w:tabs>
        <w:spacing w:line="360" w:lineRule="auto"/>
        <w:rPr>
          <w:b/>
        </w:rPr>
      </w:pPr>
      <w:r>
        <w:rPr>
          <w:b/>
        </w:rPr>
        <w:t xml:space="preserve">Figure 2: </w:t>
      </w:r>
      <w:r w:rsidR="00523BD7" w:rsidRPr="00523BD7">
        <w:t xml:space="preserve">Transmission electron microscopy images of: A) Outer dynein arm defects B) Inner and outer dynein arm defects C) Microtubular disorganisation and inner dynein arm defect </w:t>
      </w:r>
      <w:r w:rsidR="00523BD7" w:rsidRPr="00523BD7">
        <w:rPr>
          <w:iCs/>
        </w:rPr>
        <w:t>D) Normal ultrastructure E) Central complex defect showing separation of the central pair and translocation of an outer microtubular doublet</w:t>
      </w:r>
      <w:r w:rsidR="00523BD7">
        <w:rPr>
          <w:iCs/>
        </w:rPr>
        <w:t xml:space="preserve">. </w:t>
      </w:r>
    </w:p>
    <w:p w14:paraId="4567B031" w14:textId="4A9C1373" w:rsidR="009C3453" w:rsidRDefault="009C3453" w:rsidP="008D14D6">
      <w:pPr>
        <w:tabs>
          <w:tab w:val="left" w:pos="8647"/>
        </w:tabs>
        <w:spacing w:line="360" w:lineRule="auto"/>
        <w:rPr>
          <w:b/>
        </w:rPr>
      </w:pPr>
    </w:p>
    <w:p w14:paraId="2F417A99" w14:textId="77777777" w:rsidR="008C4A1D" w:rsidRDefault="008C4A1D">
      <w:pPr>
        <w:rPr>
          <w:b/>
        </w:rPr>
      </w:pPr>
      <w:r>
        <w:rPr>
          <w:b/>
        </w:rPr>
        <w:br w:type="page"/>
      </w:r>
    </w:p>
    <w:p w14:paraId="69F29703" w14:textId="3C4146AF" w:rsidR="003E5E70" w:rsidRDefault="008C4A1D" w:rsidP="008D14D6">
      <w:pPr>
        <w:tabs>
          <w:tab w:val="left" w:pos="8647"/>
        </w:tabs>
        <w:spacing w:line="360" w:lineRule="auto"/>
      </w:pPr>
      <w:r>
        <w:rPr>
          <w:b/>
        </w:rPr>
        <w:t>References</w:t>
      </w:r>
    </w:p>
    <w:p w14:paraId="5B8298A6" w14:textId="77777777" w:rsidR="003E5E70" w:rsidRDefault="003E5E70" w:rsidP="008D14D6">
      <w:pPr>
        <w:tabs>
          <w:tab w:val="left" w:pos="8647"/>
        </w:tabs>
        <w:spacing w:line="360" w:lineRule="auto"/>
      </w:pPr>
    </w:p>
    <w:p w14:paraId="5CF01860" w14:textId="7670D237" w:rsidR="007C7797" w:rsidRPr="007C7797" w:rsidRDefault="007C7797" w:rsidP="007C7797">
      <w:pPr>
        <w:pStyle w:val="EndNoteBibliography"/>
        <w:spacing w:after="0"/>
      </w:pPr>
      <w:r w:rsidRPr="007C7797">
        <w:t>1.</w:t>
      </w:r>
      <w:r w:rsidRPr="007C7797">
        <w:tab/>
      </w:r>
      <w:r w:rsidR="002E3749" w:rsidRPr="002E3749">
        <w:rPr>
          <w:lang w:val="en-GB"/>
        </w:rPr>
        <w:t xml:space="preserve">Goutaki M, Meier AB, Halbeisen FS, et al. Clinical manifestations in primary ciliary dyskinesia: systematic review and meta-analysis. </w:t>
      </w:r>
      <w:r w:rsidR="002E3749" w:rsidRPr="002E3749">
        <w:rPr>
          <w:i/>
          <w:lang w:val="da-DK"/>
        </w:rPr>
        <w:t xml:space="preserve">Eur Respir J, </w:t>
      </w:r>
      <w:r w:rsidR="002E3749" w:rsidRPr="002E3749">
        <w:rPr>
          <w:lang w:val="en-GB"/>
        </w:rPr>
        <w:t xml:space="preserve">2016; </w:t>
      </w:r>
      <w:r w:rsidR="002E3749" w:rsidRPr="002E3749">
        <w:rPr>
          <w:b/>
          <w:lang w:val="en-GB"/>
        </w:rPr>
        <w:t>48</w:t>
      </w:r>
      <w:r w:rsidR="002E3749" w:rsidRPr="002E3749">
        <w:rPr>
          <w:lang w:val="en-GB"/>
        </w:rPr>
        <w:t>(4): 1081-95.</w:t>
      </w:r>
    </w:p>
    <w:p w14:paraId="5C52F0C1" w14:textId="6927CF8A" w:rsidR="007C7797" w:rsidRPr="007C7797" w:rsidRDefault="007C7797" w:rsidP="007C7797">
      <w:pPr>
        <w:pStyle w:val="EndNoteBibliography"/>
        <w:spacing w:after="0"/>
      </w:pPr>
      <w:r w:rsidRPr="007C7797">
        <w:t>2.</w:t>
      </w:r>
      <w:r w:rsidRPr="007C7797">
        <w:tab/>
        <w:t xml:space="preserve">Halbeisen FS, Goutaki M, Spycher BD, et al. Lung function in patients with primary ciliary dyskinesia: an iPCD Cohort study. </w:t>
      </w:r>
      <w:r w:rsidR="002E3749">
        <w:rPr>
          <w:i/>
        </w:rPr>
        <w:t>Eur Respir J</w:t>
      </w:r>
      <w:r w:rsidRPr="007C7797">
        <w:t xml:space="preserve"> 2018; </w:t>
      </w:r>
      <w:r w:rsidRPr="007C7797">
        <w:rPr>
          <w:b/>
        </w:rPr>
        <w:t>52</w:t>
      </w:r>
      <w:r w:rsidRPr="007C7797">
        <w:t>(2).</w:t>
      </w:r>
    </w:p>
    <w:p w14:paraId="33A3D6EA" w14:textId="29E1F684" w:rsidR="007C7797" w:rsidRPr="007C7797" w:rsidRDefault="007C7797" w:rsidP="007C7797">
      <w:pPr>
        <w:pStyle w:val="EndNoteBibliography"/>
        <w:spacing w:after="0"/>
      </w:pPr>
      <w:r w:rsidRPr="007C7797">
        <w:t>3.</w:t>
      </w:r>
      <w:r w:rsidRPr="007C7797">
        <w:tab/>
        <w:t xml:space="preserve">Marthin JK, Petersen N, Skovgaard LT, Nielsen KG. Lung function in patients with primary ciliary dyskinesia: a cross-sectional and 3-decade longitudinal study. </w:t>
      </w:r>
      <w:r w:rsidR="002E3749" w:rsidRPr="002E3749">
        <w:rPr>
          <w:i/>
          <w:lang w:val="en-GB"/>
        </w:rPr>
        <w:t xml:space="preserve">Am J Respir Crit Care Med </w:t>
      </w:r>
      <w:r w:rsidRPr="007C7797">
        <w:t xml:space="preserve">2010; </w:t>
      </w:r>
      <w:r w:rsidRPr="007C7797">
        <w:rPr>
          <w:b/>
        </w:rPr>
        <w:t>181</w:t>
      </w:r>
      <w:r w:rsidRPr="007C7797">
        <w:t>(11): 1262-8.</w:t>
      </w:r>
    </w:p>
    <w:p w14:paraId="576CBF50" w14:textId="21FE60AC" w:rsidR="007C7797" w:rsidRPr="007C7797" w:rsidRDefault="007C7797" w:rsidP="007C7797">
      <w:pPr>
        <w:pStyle w:val="EndNoteBibliography"/>
        <w:spacing w:after="0"/>
      </w:pPr>
      <w:r w:rsidRPr="007C7797">
        <w:t>4.</w:t>
      </w:r>
      <w:r w:rsidRPr="007C7797">
        <w:tab/>
        <w:t xml:space="preserve">Lucas JS, Behan L, Dunn Galvin A, et al. A quality-of-life measure for adults with primary ciliary dyskinesia: QOL-PCD. </w:t>
      </w:r>
      <w:r w:rsidR="002E3749" w:rsidRPr="002E3749">
        <w:rPr>
          <w:i/>
          <w:lang w:val="en-GB"/>
        </w:rPr>
        <w:t xml:space="preserve">Eur Respir J </w:t>
      </w:r>
      <w:r w:rsidRPr="007C7797">
        <w:t xml:space="preserve">2015; </w:t>
      </w:r>
      <w:r w:rsidRPr="007C7797">
        <w:rPr>
          <w:b/>
        </w:rPr>
        <w:t>46</w:t>
      </w:r>
      <w:r w:rsidRPr="007C7797">
        <w:t>(2): 375-83.</w:t>
      </w:r>
    </w:p>
    <w:p w14:paraId="13CDE887" w14:textId="6E2DCE31" w:rsidR="007C7797" w:rsidRPr="007C7797" w:rsidRDefault="007C7797" w:rsidP="007C7797">
      <w:pPr>
        <w:pStyle w:val="EndNoteBibliography"/>
        <w:spacing w:after="0"/>
      </w:pPr>
      <w:r w:rsidRPr="007C7797">
        <w:t>5.</w:t>
      </w:r>
      <w:r w:rsidRPr="007C7797">
        <w:tab/>
        <w:t xml:space="preserve">Behan L, Leigh MW, Dell SD, Dunn Galvin A, Quittner AL, Lucas JS. Validation of a health-related quality of life instrument for primary ciliary dyskinesia (QOL-PCD). </w:t>
      </w:r>
      <w:r w:rsidRPr="007C7797">
        <w:rPr>
          <w:i/>
        </w:rPr>
        <w:t>Thorax</w:t>
      </w:r>
      <w:r w:rsidR="002E3749">
        <w:t xml:space="preserve"> 2017;</w:t>
      </w:r>
      <w:r w:rsidR="002E3749" w:rsidRPr="002E3749">
        <w:rPr>
          <w:lang w:val="en"/>
        </w:rPr>
        <w:t xml:space="preserve"> Sep;72(9):832-839.</w:t>
      </w:r>
    </w:p>
    <w:p w14:paraId="762C8CA7" w14:textId="31B78EBD" w:rsidR="007C7797" w:rsidRPr="007C7797" w:rsidRDefault="007C7797" w:rsidP="007C7797">
      <w:pPr>
        <w:pStyle w:val="EndNoteBibliography"/>
        <w:spacing w:after="0"/>
      </w:pPr>
      <w:r w:rsidRPr="007C7797">
        <w:t>6.</w:t>
      </w:r>
      <w:r w:rsidRPr="007C7797">
        <w:tab/>
        <w:t xml:space="preserve">Best S, Shoemark A, Rubbo B, et al. Risk factors for situs defects and congenital heart disease in primary ciliary dyskinesia. </w:t>
      </w:r>
      <w:r w:rsidRPr="007C7797">
        <w:rPr>
          <w:i/>
        </w:rPr>
        <w:t>Thorax</w:t>
      </w:r>
      <w:r w:rsidR="002E3749">
        <w:t xml:space="preserve"> </w:t>
      </w:r>
      <w:r w:rsidR="002E3749" w:rsidRPr="002E3749">
        <w:rPr>
          <w:lang w:val="en-GB"/>
        </w:rPr>
        <w:t>2019 Feb;74(2):203-205</w:t>
      </w:r>
    </w:p>
    <w:p w14:paraId="6688D0B1" w14:textId="62626474" w:rsidR="007C7797" w:rsidRPr="007C7797" w:rsidRDefault="007C7797" w:rsidP="007C7797">
      <w:pPr>
        <w:pStyle w:val="EndNoteBibliography"/>
        <w:spacing w:after="0"/>
      </w:pPr>
      <w:r w:rsidRPr="007C7797">
        <w:t>7.</w:t>
      </w:r>
      <w:r w:rsidRPr="007C7797">
        <w:tab/>
        <w:t xml:space="preserve">Vanaken GJ, Bassinet L, Boon M, et al. Infertility in an adult cohort with primary ciliary dyskinesia: phenotype-gene association. </w:t>
      </w:r>
      <w:r w:rsidR="002E3749" w:rsidRPr="002E3749">
        <w:rPr>
          <w:i/>
          <w:lang w:val="en-GB"/>
        </w:rPr>
        <w:t xml:space="preserve">Eur Respir J </w:t>
      </w:r>
      <w:r w:rsidRPr="007C7797">
        <w:t xml:space="preserve">2017; </w:t>
      </w:r>
      <w:r w:rsidRPr="007C7797">
        <w:rPr>
          <w:b/>
        </w:rPr>
        <w:t>50</w:t>
      </w:r>
      <w:r w:rsidRPr="007C7797">
        <w:t>(5).</w:t>
      </w:r>
    </w:p>
    <w:p w14:paraId="03B82576" w14:textId="5FBDFE66" w:rsidR="007C7797" w:rsidRPr="007C7797" w:rsidRDefault="007C7797" w:rsidP="007C7797">
      <w:pPr>
        <w:pStyle w:val="EndNoteBibliography"/>
        <w:spacing w:after="0"/>
      </w:pPr>
      <w:r w:rsidRPr="007C7797">
        <w:t>8.</w:t>
      </w:r>
      <w:r w:rsidRPr="007C7797">
        <w:tab/>
        <w:t xml:space="preserve">Davis SD, Ferkol TW, Rosenfeld M, et al. Clinical features of childhood primary ciliary dyskinesia by genotype and ultrastructural phenotype. </w:t>
      </w:r>
      <w:r w:rsidR="002E3749" w:rsidRPr="002E3749">
        <w:rPr>
          <w:i/>
          <w:lang w:val="en-GB"/>
        </w:rPr>
        <w:t xml:space="preserve">Am J Respir Crit Care Med </w:t>
      </w:r>
      <w:r w:rsidRPr="007C7797">
        <w:t xml:space="preserve">2015; </w:t>
      </w:r>
      <w:r w:rsidRPr="007C7797">
        <w:rPr>
          <w:b/>
        </w:rPr>
        <w:t>191</w:t>
      </w:r>
      <w:r w:rsidRPr="007C7797">
        <w:t>(3): 316-24.</w:t>
      </w:r>
    </w:p>
    <w:p w14:paraId="215941C8" w14:textId="0F78FC36" w:rsidR="007C7797" w:rsidRPr="007C7797" w:rsidRDefault="007C7797" w:rsidP="007C7797">
      <w:pPr>
        <w:pStyle w:val="EndNoteBibliography"/>
        <w:spacing w:after="0"/>
      </w:pPr>
      <w:r w:rsidRPr="007C7797">
        <w:t>9.</w:t>
      </w:r>
      <w:r w:rsidRPr="007C7797">
        <w:tab/>
        <w:t xml:space="preserve">Davis SD, Rosenfeld M, Lee HS, et al. Primary Ciliary Dyskinesia: Longitudinal Study of Lung Disease by Ultrastructure Defect and Genotype. </w:t>
      </w:r>
      <w:r w:rsidR="002E3749" w:rsidRPr="002E3749">
        <w:rPr>
          <w:i/>
          <w:lang w:val="en-GB"/>
        </w:rPr>
        <w:t xml:space="preserve">Am J Respir Crit Care Med </w:t>
      </w:r>
      <w:r w:rsidRPr="007C7797">
        <w:t xml:space="preserve">2019; </w:t>
      </w:r>
      <w:r w:rsidRPr="007C7797">
        <w:rPr>
          <w:b/>
        </w:rPr>
        <w:t>199</w:t>
      </w:r>
      <w:r w:rsidRPr="007C7797">
        <w:t>(2): 190-8.</w:t>
      </w:r>
    </w:p>
    <w:p w14:paraId="2944277B" w14:textId="4AFBA16B" w:rsidR="007C7797" w:rsidRPr="007C7797" w:rsidRDefault="007C7797" w:rsidP="007C7797">
      <w:pPr>
        <w:pStyle w:val="EndNoteBibliography"/>
        <w:spacing w:after="0"/>
      </w:pPr>
      <w:r w:rsidRPr="007C7797">
        <w:t>10.</w:t>
      </w:r>
      <w:r w:rsidRPr="007C7797">
        <w:tab/>
        <w:t xml:space="preserve">Fassad MR, Shoemark A, Legendre M, et al. Mutations in Outer Dynein Arm Heavy Chain DNAH9 Cause Motile Cilia Defects and Situs Inversus. </w:t>
      </w:r>
      <w:r w:rsidR="002E3749" w:rsidRPr="002E3749">
        <w:rPr>
          <w:i/>
        </w:rPr>
        <w:t xml:space="preserve">Am J Hum Genet </w:t>
      </w:r>
      <w:r w:rsidR="002E3749" w:rsidRPr="002E3749">
        <w:t xml:space="preserve">2018; </w:t>
      </w:r>
      <w:r w:rsidR="002E3749" w:rsidRPr="002E3749">
        <w:rPr>
          <w:b/>
        </w:rPr>
        <w:t>103</w:t>
      </w:r>
      <w:r w:rsidR="002E3749" w:rsidRPr="002E3749">
        <w:t>(6): 995-1008.</w:t>
      </w:r>
    </w:p>
    <w:p w14:paraId="0E09B293" w14:textId="08EFBA17" w:rsidR="007C7797" w:rsidRPr="007C7797" w:rsidRDefault="007C7797" w:rsidP="007C7797">
      <w:pPr>
        <w:pStyle w:val="EndNoteBibliography"/>
        <w:spacing w:after="0"/>
      </w:pPr>
      <w:r w:rsidRPr="007C7797">
        <w:t>11.</w:t>
      </w:r>
      <w:r w:rsidRPr="007C7797">
        <w:tab/>
        <w:t xml:space="preserve">Knowles MR, Ostrowski LE, Leigh MW, et al. Mutations in RSPH1 cause primary ciliary dyskinesia with a unique clinical and ciliary phenotype. </w:t>
      </w:r>
      <w:r w:rsidR="002E3749" w:rsidRPr="002E3749">
        <w:rPr>
          <w:i/>
        </w:rPr>
        <w:t xml:space="preserve">Am J Respir Crit Care Med </w:t>
      </w:r>
      <w:r w:rsidRPr="007C7797">
        <w:t xml:space="preserve">2014; </w:t>
      </w:r>
      <w:r w:rsidRPr="007C7797">
        <w:rPr>
          <w:b/>
        </w:rPr>
        <w:t>189</w:t>
      </w:r>
      <w:r w:rsidRPr="007C7797">
        <w:t>(6): 707-17.</w:t>
      </w:r>
    </w:p>
    <w:p w14:paraId="6F3052E8" w14:textId="4F27942D" w:rsidR="007C7797" w:rsidRPr="007C7797" w:rsidRDefault="007C7797" w:rsidP="007C7797">
      <w:pPr>
        <w:pStyle w:val="EndNoteBibliography"/>
        <w:spacing w:after="0"/>
      </w:pPr>
      <w:r w:rsidRPr="007C7797">
        <w:t>12.</w:t>
      </w:r>
      <w:r w:rsidRPr="007C7797">
        <w:tab/>
        <w:t xml:space="preserve">Kuehni CE, Frischer T, Strippoli MP, et al. Factors influencing age at diagnosis of primary ciliary dyskinesia in European children. </w:t>
      </w:r>
      <w:r w:rsidR="003E75B2" w:rsidRPr="003E75B2">
        <w:rPr>
          <w:i/>
          <w:lang w:val="en-GB"/>
        </w:rPr>
        <w:t xml:space="preserve">Eur Respir J </w:t>
      </w:r>
      <w:r w:rsidRPr="007C7797">
        <w:t xml:space="preserve">2010; </w:t>
      </w:r>
      <w:r w:rsidRPr="007C7797">
        <w:rPr>
          <w:b/>
        </w:rPr>
        <w:t>36</w:t>
      </w:r>
      <w:r w:rsidRPr="007C7797">
        <w:t>(6): 1248-58.</w:t>
      </w:r>
    </w:p>
    <w:p w14:paraId="360F8AA1" w14:textId="27F5855C" w:rsidR="007C7797" w:rsidRPr="007C7797" w:rsidRDefault="007C7797" w:rsidP="007C7797">
      <w:pPr>
        <w:pStyle w:val="EndNoteBibliography"/>
        <w:spacing w:after="0"/>
      </w:pPr>
      <w:r w:rsidRPr="007C7797">
        <w:t>13.</w:t>
      </w:r>
      <w:r w:rsidRPr="007C7797">
        <w:tab/>
      </w:r>
      <w:r w:rsidR="003E75B2" w:rsidRPr="003E75B2">
        <w:rPr>
          <w:lang w:val="en-GB"/>
        </w:rPr>
        <w:t xml:space="preserve">O'Callaghan C, Chetcuti P, Moya E. High prevalence of primary ciliary dyskinesia in a British Asian population. </w:t>
      </w:r>
      <w:r w:rsidR="003E75B2" w:rsidRPr="003E75B2">
        <w:rPr>
          <w:i/>
          <w:lang w:val="da-DK"/>
        </w:rPr>
        <w:t>Arch Dis Child</w:t>
      </w:r>
      <w:r w:rsidR="003E75B2" w:rsidRPr="003E75B2">
        <w:rPr>
          <w:i/>
          <w:lang w:val="en-GB"/>
        </w:rPr>
        <w:t xml:space="preserve"> </w:t>
      </w:r>
      <w:r w:rsidR="003E75B2" w:rsidRPr="003E75B2">
        <w:rPr>
          <w:lang w:val="en-GB"/>
        </w:rPr>
        <w:t xml:space="preserve">2010; </w:t>
      </w:r>
      <w:r w:rsidR="003E75B2" w:rsidRPr="003E75B2">
        <w:rPr>
          <w:b/>
          <w:lang w:val="en-GB"/>
        </w:rPr>
        <w:t>95</w:t>
      </w:r>
      <w:r w:rsidR="003E75B2" w:rsidRPr="003E75B2">
        <w:rPr>
          <w:lang w:val="en-GB"/>
        </w:rPr>
        <w:t>(1): 51-2.</w:t>
      </w:r>
    </w:p>
    <w:p w14:paraId="6ECADDF0" w14:textId="60CF9F4F" w:rsidR="007C7797" w:rsidRPr="007C7797" w:rsidRDefault="007C7797" w:rsidP="007C7797">
      <w:pPr>
        <w:pStyle w:val="EndNoteBibliography"/>
        <w:spacing w:after="0"/>
      </w:pPr>
      <w:r w:rsidRPr="007C7797">
        <w:t>14.</w:t>
      </w:r>
      <w:r w:rsidRPr="007C7797">
        <w:tab/>
        <w:t xml:space="preserve">Onoufriadis A, Paff T, Antony D, et al. Splice-site mutations in the axonemal outer dynein arm docking complex gene CCDC114 cause primary ciliary dyskinesia. </w:t>
      </w:r>
      <w:r w:rsidR="003E75B2" w:rsidRPr="003E75B2">
        <w:rPr>
          <w:i/>
          <w:lang w:val="en-GB"/>
        </w:rPr>
        <w:t xml:space="preserve">Am J Hum Genet </w:t>
      </w:r>
      <w:r w:rsidRPr="007C7797">
        <w:t xml:space="preserve">2013; </w:t>
      </w:r>
      <w:r w:rsidRPr="007C7797">
        <w:rPr>
          <w:b/>
        </w:rPr>
        <w:t>92</w:t>
      </w:r>
      <w:r w:rsidRPr="007C7797">
        <w:t>(1): 88-98.</w:t>
      </w:r>
    </w:p>
    <w:p w14:paraId="0A5735D3" w14:textId="1C634C64" w:rsidR="007C7797" w:rsidRPr="007C7797" w:rsidRDefault="007C7797" w:rsidP="007C7797">
      <w:pPr>
        <w:pStyle w:val="EndNoteBibliography"/>
        <w:spacing w:after="0"/>
      </w:pPr>
      <w:r w:rsidRPr="007C7797">
        <w:t>15.</w:t>
      </w:r>
      <w:r w:rsidRPr="007C7797">
        <w:tab/>
      </w:r>
      <w:r w:rsidR="003E75B2" w:rsidRPr="003E75B2">
        <w:rPr>
          <w:lang w:val="en-GB"/>
        </w:rPr>
        <w:t xml:space="preserve">Ferkol TW, Puffenberger EG, Lie H, et al. Primary ciliary dyskinesia-causing mutations in Amish and Mennonite communities. </w:t>
      </w:r>
      <w:r w:rsidR="003E75B2" w:rsidRPr="003E75B2">
        <w:rPr>
          <w:i/>
          <w:lang w:val="en-GB"/>
        </w:rPr>
        <w:t xml:space="preserve">J Pediatr </w:t>
      </w:r>
      <w:r w:rsidR="003E75B2" w:rsidRPr="003E75B2">
        <w:rPr>
          <w:lang w:val="en-GB"/>
        </w:rPr>
        <w:t xml:space="preserve">2013; </w:t>
      </w:r>
      <w:r w:rsidR="003E75B2" w:rsidRPr="003E75B2">
        <w:rPr>
          <w:b/>
          <w:lang w:val="en-GB"/>
        </w:rPr>
        <w:t>163</w:t>
      </w:r>
      <w:r w:rsidR="003E75B2" w:rsidRPr="003E75B2">
        <w:rPr>
          <w:lang w:val="en-GB"/>
        </w:rPr>
        <w:t>(2): 383-7.</w:t>
      </w:r>
    </w:p>
    <w:p w14:paraId="7D072A15" w14:textId="39DC5988" w:rsidR="007C7797" w:rsidRPr="007C7797" w:rsidRDefault="007C7797" w:rsidP="007C7797">
      <w:pPr>
        <w:pStyle w:val="EndNoteBibliography"/>
        <w:spacing w:after="0"/>
      </w:pPr>
      <w:r w:rsidRPr="007C7797">
        <w:t>16.</w:t>
      </w:r>
      <w:r w:rsidRPr="007C7797">
        <w:tab/>
        <w:t xml:space="preserve">Casey JP, McGettigan PA, Healy F, et al. Unexpected genetic heterogeneity for primary ciliary dyskinesia in the Irish Traveller population. </w:t>
      </w:r>
      <w:r w:rsidR="003E75B2">
        <w:rPr>
          <w:i/>
        </w:rPr>
        <w:t>Eur J Hum Genetics</w:t>
      </w:r>
      <w:r w:rsidRPr="007C7797">
        <w:t xml:space="preserve"> 2015; </w:t>
      </w:r>
      <w:r w:rsidRPr="007C7797">
        <w:rPr>
          <w:b/>
        </w:rPr>
        <w:t>23</w:t>
      </w:r>
      <w:r w:rsidRPr="007C7797">
        <w:t>(2): 210-7.</w:t>
      </w:r>
    </w:p>
    <w:p w14:paraId="22468FD1" w14:textId="2D5E03BC" w:rsidR="007C7797" w:rsidRPr="007C7797" w:rsidRDefault="007C7797" w:rsidP="007C7797">
      <w:pPr>
        <w:pStyle w:val="EndNoteBibliography"/>
        <w:spacing w:after="0"/>
      </w:pPr>
      <w:r w:rsidRPr="007C7797">
        <w:t>17.</w:t>
      </w:r>
      <w:r w:rsidRPr="007C7797">
        <w:tab/>
        <w:t xml:space="preserve">Hammoudeh S, Gadelhak W, Janahi IA. Primary ciliary dyskinesia among Arabs: Where do we go from here? </w:t>
      </w:r>
      <w:r w:rsidR="003E75B2">
        <w:rPr>
          <w:i/>
        </w:rPr>
        <w:t>Paed Respir Rev</w:t>
      </w:r>
      <w:r w:rsidRPr="007C7797">
        <w:t xml:space="preserve"> 2019; </w:t>
      </w:r>
      <w:r w:rsidRPr="007C7797">
        <w:rPr>
          <w:b/>
        </w:rPr>
        <w:t>29</w:t>
      </w:r>
      <w:r w:rsidRPr="007C7797">
        <w:t>: 19-22.</w:t>
      </w:r>
    </w:p>
    <w:p w14:paraId="44C0402B" w14:textId="3AC9F9CE" w:rsidR="007C7797" w:rsidRPr="007C7797" w:rsidRDefault="007C7797" w:rsidP="007C7797">
      <w:pPr>
        <w:pStyle w:val="EndNoteBibliography"/>
        <w:spacing w:after="0"/>
      </w:pPr>
      <w:r w:rsidRPr="007C7797">
        <w:t>18.</w:t>
      </w:r>
      <w:r w:rsidRPr="007C7797">
        <w:tab/>
        <w:t xml:space="preserve">Rumman N, Jackson C, Collins S, Goggin P, Coles J, Lucas JS. Diagnosis of primary ciliary dyskinesia: potential options for resource-limited countries. </w:t>
      </w:r>
      <w:r w:rsidR="003E75B2">
        <w:rPr>
          <w:i/>
        </w:rPr>
        <w:t>Eur Respir Rev</w:t>
      </w:r>
      <w:r w:rsidRPr="007C7797">
        <w:rPr>
          <w:i/>
        </w:rPr>
        <w:t xml:space="preserve"> </w:t>
      </w:r>
      <w:r w:rsidRPr="007C7797">
        <w:t xml:space="preserve">2017; </w:t>
      </w:r>
      <w:r w:rsidRPr="007C7797">
        <w:rPr>
          <w:b/>
        </w:rPr>
        <w:t>26</w:t>
      </w:r>
      <w:r w:rsidRPr="007C7797">
        <w:t>(143).</w:t>
      </w:r>
    </w:p>
    <w:p w14:paraId="76F92A93" w14:textId="794E0C11" w:rsidR="007C7797" w:rsidRPr="007C7797" w:rsidRDefault="007C7797" w:rsidP="007C7797">
      <w:pPr>
        <w:pStyle w:val="EndNoteBibliography"/>
        <w:spacing w:after="0"/>
      </w:pPr>
      <w:r w:rsidRPr="007C7797">
        <w:t>19.</w:t>
      </w:r>
      <w:r w:rsidRPr="007C7797">
        <w:tab/>
        <w:t xml:space="preserve">Behan L, Dunn Galvin A, Rubbo B, et al. Diagnosing primary ciliary dyskinesia: an international patient perspective. </w:t>
      </w:r>
      <w:r w:rsidR="000D46C4" w:rsidRPr="003E75B2">
        <w:rPr>
          <w:i/>
          <w:lang w:val="en-GB"/>
        </w:rPr>
        <w:t xml:space="preserve">Eur Respir J </w:t>
      </w:r>
      <w:r w:rsidRPr="007C7797">
        <w:t xml:space="preserve">2016; </w:t>
      </w:r>
      <w:r w:rsidRPr="007C7797">
        <w:rPr>
          <w:b/>
        </w:rPr>
        <w:t>48</w:t>
      </w:r>
      <w:r w:rsidRPr="007C7797">
        <w:t>(4): 1096-107.</w:t>
      </w:r>
    </w:p>
    <w:p w14:paraId="3B058398" w14:textId="5EC86590" w:rsidR="007C7797" w:rsidRPr="007C7797" w:rsidRDefault="007C7797" w:rsidP="007C7797">
      <w:pPr>
        <w:pStyle w:val="EndNoteBibliography"/>
        <w:spacing w:after="0"/>
      </w:pPr>
      <w:r w:rsidRPr="007C7797">
        <w:t>20.</w:t>
      </w:r>
      <w:r w:rsidRPr="007C7797">
        <w:tab/>
        <w:t xml:space="preserve">Behan L, Dimitrov BD, Kuehni CE, et al. PICADAR: a diagnostic predictive tool for primary ciliary dyskinesia. </w:t>
      </w:r>
      <w:r w:rsidR="000D46C4" w:rsidRPr="000D46C4">
        <w:rPr>
          <w:i/>
          <w:lang w:val="en-GB"/>
        </w:rPr>
        <w:t xml:space="preserve">Eur Respir J </w:t>
      </w:r>
      <w:r w:rsidRPr="007C7797">
        <w:t xml:space="preserve">2016; </w:t>
      </w:r>
      <w:r w:rsidRPr="007C7797">
        <w:rPr>
          <w:b/>
        </w:rPr>
        <w:t>47</w:t>
      </w:r>
      <w:r w:rsidRPr="007C7797">
        <w:t>(4): 1103-12.</w:t>
      </w:r>
    </w:p>
    <w:p w14:paraId="19EFA864" w14:textId="1CC68527" w:rsidR="007C7797" w:rsidRPr="007C7797" w:rsidRDefault="000D46C4" w:rsidP="007C7797">
      <w:pPr>
        <w:pStyle w:val="EndNoteBibliography"/>
        <w:spacing w:after="0"/>
      </w:pPr>
      <w:r>
        <w:t>21.</w:t>
      </w:r>
      <w:r>
        <w:tab/>
      </w:r>
      <w:r w:rsidRPr="000D46C4">
        <w:rPr>
          <w:lang w:val="en-GB"/>
        </w:rPr>
        <w:t xml:space="preserve">Leigh MW, Ferkol TW, Davis SD, et al. Clinical Features and Associated Likelihood of Primary Ciliary Dyskinesia in Children and Adolescents. </w:t>
      </w:r>
      <w:r w:rsidRPr="000D46C4">
        <w:rPr>
          <w:i/>
          <w:lang w:val="en-GB"/>
        </w:rPr>
        <w:t xml:space="preserve">Ann Am Thorac Soc </w:t>
      </w:r>
      <w:r w:rsidRPr="000D46C4">
        <w:rPr>
          <w:lang w:val="en-GB"/>
        </w:rPr>
        <w:t xml:space="preserve">2016; </w:t>
      </w:r>
      <w:r w:rsidRPr="000D46C4">
        <w:rPr>
          <w:b/>
          <w:lang w:val="en-GB"/>
        </w:rPr>
        <w:t>13</w:t>
      </w:r>
      <w:r w:rsidRPr="000D46C4">
        <w:rPr>
          <w:lang w:val="en-GB"/>
        </w:rPr>
        <w:t>(8): 1305-13.</w:t>
      </w:r>
    </w:p>
    <w:p w14:paraId="36CB6FF6" w14:textId="6809718F" w:rsidR="007C7797" w:rsidRPr="007C7797" w:rsidRDefault="007C7797" w:rsidP="007C7797">
      <w:pPr>
        <w:pStyle w:val="EndNoteBibliography"/>
        <w:spacing w:after="0"/>
      </w:pPr>
      <w:r w:rsidRPr="007C7797">
        <w:t>22.</w:t>
      </w:r>
      <w:r w:rsidRPr="007C7797">
        <w:tab/>
        <w:t xml:space="preserve">Barbato A, Frischer T, Kuehni CE, et al. Primary ciliary dyskinesia: a consensus statement on diagnostic and treatment approaches in children. </w:t>
      </w:r>
      <w:r w:rsidR="000D46C4" w:rsidRPr="000D46C4">
        <w:rPr>
          <w:i/>
          <w:lang w:val="en-GB"/>
        </w:rPr>
        <w:t xml:space="preserve">Eur Respir J </w:t>
      </w:r>
      <w:r w:rsidRPr="007C7797">
        <w:t xml:space="preserve">2009; </w:t>
      </w:r>
      <w:r w:rsidRPr="007C7797">
        <w:rPr>
          <w:b/>
        </w:rPr>
        <w:t>34</w:t>
      </w:r>
      <w:r w:rsidRPr="007C7797">
        <w:t>(6): 1264-76.</w:t>
      </w:r>
    </w:p>
    <w:p w14:paraId="4C7C7179" w14:textId="20BD92FE" w:rsidR="007C7797" w:rsidRPr="007C7797" w:rsidRDefault="007C7797" w:rsidP="007C7797">
      <w:pPr>
        <w:pStyle w:val="EndNoteBibliography"/>
        <w:spacing w:after="0"/>
      </w:pPr>
      <w:r w:rsidRPr="007C7797">
        <w:t>23.</w:t>
      </w:r>
      <w:r w:rsidRPr="007C7797">
        <w:tab/>
      </w:r>
      <w:r w:rsidR="002B7827" w:rsidRPr="002B7827">
        <w:rPr>
          <w:lang w:val="en-GB"/>
        </w:rPr>
        <w:t xml:space="preserve">Shapiro AJ, Zariwala MA, Ferkol T, et al. Diagnosis, monitoring, and treatment of primary ciliary dyskinesia: PCD foundation consensus recommendations based on state of the art review. </w:t>
      </w:r>
      <w:r w:rsidR="002B7827" w:rsidRPr="002B7827">
        <w:rPr>
          <w:i/>
          <w:lang w:val="en-GB"/>
        </w:rPr>
        <w:t xml:space="preserve">Pediatr Pulmonol </w:t>
      </w:r>
      <w:r w:rsidR="002B7827" w:rsidRPr="002B7827">
        <w:rPr>
          <w:lang w:val="en-GB"/>
        </w:rPr>
        <w:t xml:space="preserve">2016; </w:t>
      </w:r>
      <w:r w:rsidR="002B7827" w:rsidRPr="002B7827">
        <w:rPr>
          <w:b/>
          <w:lang w:val="en-GB"/>
        </w:rPr>
        <w:t>51</w:t>
      </w:r>
      <w:r w:rsidR="002B7827" w:rsidRPr="002B7827">
        <w:rPr>
          <w:lang w:val="en-GB"/>
        </w:rPr>
        <w:t>(2): 115-32.</w:t>
      </w:r>
    </w:p>
    <w:p w14:paraId="64F9B3EC" w14:textId="258E56D8" w:rsidR="007C7797" w:rsidRPr="007C7797" w:rsidRDefault="007C7797" w:rsidP="007C7797">
      <w:pPr>
        <w:pStyle w:val="EndNoteBibliography"/>
        <w:spacing w:after="0"/>
      </w:pPr>
      <w:r w:rsidRPr="007C7797">
        <w:t>24.</w:t>
      </w:r>
      <w:r w:rsidRPr="007C7797">
        <w:tab/>
      </w:r>
      <w:r w:rsidR="00C02BFE" w:rsidRPr="00C02BFE">
        <w:rPr>
          <w:lang w:val="en-GB"/>
        </w:rPr>
        <w:t xml:space="preserve">Knowles MR, Daniels LA, Davis SD, Zariwala MA, Leigh MW. Primary ciliary dyskinesia. Recent advances in diagnostics, genetics, and characterization of clinical disease. </w:t>
      </w:r>
      <w:r w:rsidR="00C02BFE" w:rsidRPr="00C02BFE">
        <w:rPr>
          <w:i/>
          <w:lang w:val="en-GB"/>
        </w:rPr>
        <w:t xml:space="preserve">Am J Respir Crit Care Med </w:t>
      </w:r>
      <w:r w:rsidR="00C02BFE" w:rsidRPr="00C02BFE">
        <w:rPr>
          <w:lang w:val="en-GB"/>
        </w:rPr>
        <w:t xml:space="preserve">2013; </w:t>
      </w:r>
      <w:r w:rsidR="00C02BFE" w:rsidRPr="00C02BFE">
        <w:rPr>
          <w:b/>
          <w:lang w:val="en-GB"/>
        </w:rPr>
        <w:t>188</w:t>
      </w:r>
      <w:r w:rsidR="00C02BFE" w:rsidRPr="00C02BFE">
        <w:rPr>
          <w:lang w:val="en-GB"/>
        </w:rPr>
        <w:t>(8): 913-22.</w:t>
      </w:r>
    </w:p>
    <w:p w14:paraId="638346A3" w14:textId="77777777" w:rsidR="007C7797" w:rsidRPr="007C7797" w:rsidRDefault="007C7797" w:rsidP="007C7797">
      <w:pPr>
        <w:pStyle w:val="EndNoteBibliography"/>
        <w:spacing w:after="0"/>
      </w:pPr>
      <w:r w:rsidRPr="007C7797">
        <w:t>25.</w:t>
      </w:r>
      <w:r w:rsidRPr="007C7797">
        <w:tab/>
        <w:t xml:space="preserve">Mullowney T, Manson D, Kim R, Stephens D, Shah V, Dell S. Primary ciliary dyskinesia and neonatal respiratory distress. </w:t>
      </w:r>
      <w:r w:rsidRPr="007C7797">
        <w:rPr>
          <w:i/>
        </w:rPr>
        <w:t>Pediatrics</w:t>
      </w:r>
      <w:r w:rsidRPr="007C7797">
        <w:t xml:space="preserve"> 2014; </w:t>
      </w:r>
      <w:r w:rsidRPr="007C7797">
        <w:rPr>
          <w:b/>
        </w:rPr>
        <w:t>134</w:t>
      </w:r>
      <w:r w:rsidRPr="007C7797">
        <w:t>(6): 1160-6.</w:t>
      </w:r>
    </w:p>
    <w:p w14:paraId="214E2476" w14:textId="77777777" w:rsidR="007C7797" w:rsidRPr="007C7797" w:rsidRDefault="007C7797" w:rsidP="007C7797">
      <w:pPr>
        <w:pStyle w:val="EndNoteBibliography"/>
        <w:spacing w:after="0"/>
      </w:pPr>
      <w:r w:rsidRPr="007C7797">
        <w:t>26.</w:t>
      </w:r>
      <w:r w:rsidRPr="007C7797">
        <w:tab/>
        <w:t xml:space="preserve">Frija-Masson J, Bassinet L, Honore I, et al. Clinical characteristics, functional respiratory decline and follow-up in adult patients with primary ciliary dyskinesia. </w:t>
      </w:r>
      <w:r w:rsidRPr="007C7797">
        <w:rPr>
          <w:i/>
        </w:rPr>
        <w:t>Thorax</w:t>
      </w:r>
      <w:r w:rsidRPr="007C7797">
        <w:t xml:space="preserve"> 2017; </w:t>
      </w:r>
      <w:r w:rsidRPr="007C7797">
        <w:rPr>
          <w:b/>
        </w:rPr>
        <w:t>72</w:t>
      </w:r>
      <w:r w:rsidRPr="007C7797">
        <w:t>(2): 154-60.</w:t>
      </w:r>
    </w:p>
    <w:p w14:paraId="300C9AE9" w14:textId="1A90D8BD" w:rsidR="007C7797" w:rsidRPr="007C7797" w:rsidRDefault="007C7797" w:rsidP="007C7797">
      <w:pPr>
        <w:pStyle w:val="EndNoteBibliography"/>
        <w:spacing w:after="0"/>
      </w:pPr>
      <w:r w:rsidRPr="007C7797">
        <w:t>27.</w:t>
      </w:r>
      <w:r w:rsidRPr="007C7797">
        <w:tab/>
      </w:r>
      <w:r w:rsidR="004B2462" w:rsidRPr="004B2462">
        <w:rPr>
          <w:lang w:val="en-GB"/>
        </w:rPr>
        <w:t xml:space="preserve">Sommer JU, Schafer K, Omran H, et al. ENT manifestations in patients with primary ciliary dyskinesia: prevalence and significance of otorhinolaryngologic co-morbidities. </w:t>
      </w:r>
      <w:r w:rsidR="004B2462" w:rsidRPr="004B2462">
        <w:rPr>
          <w:i/>
          <w:lang w:val="en-GB"/>
        </w:rPr>
        <w:t xml:space="preserve">Eur Arch Otorhinolaryngol </w:t>
      </w:r>
      <w:r w:rsidR="004B2462" w:rsidRPr="004B2462">
        <w:rPr>
          <w:lang w:val="en-GB"/>
        </w:rPr>
        <w:t xml:space="preserve">2011; </w:t>
      </w:r>
      <w:r w:rsidR="004B2462" w:rsidRPr="004B2462">
        <w:rPr>
          <w:b/>
          <w:lang w:val="en-GB"/>
        </w:rPr>
        <w:t>268</w:t>
      </w:r>
      <w:r w:rsidR="004B2462" w:rsidRPr="004B2462">
        <w:rPr>
          <w:lang w:val="en-GB"/>
        </w:rPr>
        <w:t>(3): 383-8.</w:t>
      </w:r>
    </w:p>
    <w:p w14:paraId="7CF331ED" w14:textId="3D018A33" w:rsidR="007C7797" w:rsidRPr="006E0013" w:rsidRDefault="007C7797" w:rsidP="007C7797">
      <w:pPr>
        <w:pStyle w:val="EndNoteBibliography"/>
        <w:spacing w:after="0"/>
      </w:pPr>
      <w:r w:rsidRPr="007C7797">
        <w:t>28.</w:t>
      </w:r>
      <w:r w:rsidRPr="007C7797">
        <w:tab/>
      </w:r>
      <w:r w:rsidRPr="006E0013">
        <w:t xml:space="preserve">Noone PG, Leigh MW, Sannuti A, et al. Primary ciliary dyskinesia: diagnostic and phenotypic features. </w:t>
      </w:r>
      <w:r w:rsidR="006E0013" w:rsidRPr="006E0013">
        <w:rPr>
          <w:i/>
          <w:lang w:val="en-GB"/>
        </w:rPr>
        <w:t xml:space="preserve">Am J Respir Crit Care Med </w:t>
      </w:r>
      <w:r w:rsidRPr="006E0013">
        <w:t xml:space="preserve">2004; </w:t>
      </w:r>
      <w:r w:rsidRPr="006E0013">
        <w:rPr>
          <w:b/>
        </w:rPr>
        <w:t>169</w:t>
      </w:r>
      <w:r w:rsidRPr="006E0013">
        <w:t>(4): 459-67.</w:t>
      </w:r>
    </w:p>
    <w:p w14:paraId="12998F86" w14:textId="7B626009" w:rsidR="007C7797" w:rsidRPr="00130A81" w:rsidRDefault="007C7797" w:rsidP="007C7797">
      <w:pPr>
        <w:pStyle w:val="EndNoteBibliography"/>
        <w:spacing w:after="0"/>
      </w:pPr>
      <w:r w:rsidRPr="006E0013">
        <w:t>29.</w:t>
      </w:r>
      <w:r w:rsidRPr="006E0013">
        <w:tab/>
      </w:r>
      <w:r w:rsidR="006E0013" w:rsidRPr="006E0013">
        <w:rPr>
          <w:lang w:val="en-GB"/>
        </w:rPr>
        <w:t xml:space="preserve">Alanin MC, Nielsen KG, von Buchwald C, et al. A longitudinal study of lung bacterial pathogens in patients with primary ciliary dyskinesia. </w:t>
      </w:r>
      <w:r w:rsidR="006E0013" w:rsidRPr="006E0013">
        <w:rPr>
          <w:i/>
          <w:lang w:val="en-GB"/>
        </w:rPr>
        <w:t xml:space="preserve">Clin. Microbiol. Infect </w:t>
      </w:r>
      <w:r w:rsidR="006E0013" w:rsidRPr="006E0013">
        <w:rPr>
          <w:lang w:val="en-GB"/>
        </w:rPr>
        <w:t xml:space="preserve">2015; </w:t>
      </w:r>
      <w:r w:rsidR="006E0013" w:rsidRPr="006E0013">
        <w:rPr>
          <w:b/>
          <w:lang w:val="en-GB"/>
        </w:rPr>
        <w:t>21</w:t>
      </w:r>
      <w:r w:rsidR="006E0013" w:rsidRPr="006E0013">
        <w:rPr>
          <w:lang w:val="en-GB"/>
        </w:rPr>
        <w:t>(12): 1093.e1-7.</w:t>
      </w:r>
    </w:p>
    <w:p w14:paraId="52DCA7D1" w14:textId="12FA5AC9" w:rsidR="007C7797" w:rsidRPr="007C7797" w:rsidRDefault="007C7797" w:rsidP="007C7797">
      <w:pPr>
        <w:pStyle w:val="EndNoteBibliography"/>
        <w:spacing w:after="0"/>
      </w:pPr>
      <w:r w:rsidRPr="00130A81">
        <w:t>30.</w:t>
      </w:r>
      <w:r w:rsidRPr="00130A81">
        <w:tab/>
        <w:t xml:space="preserve">Rogers GB, Carroll MP, Zain NM, et al. Complexity, temporal stability, and clinical correlates of airway bacterial community composition in primary ciliary dyskinesia. </w:t>
      </w:r>
      <w:r w:rsidR="006E0013">
        <w:rPr>
          <w:i/>
        </w:rPr>
        <w:t>J Clinl Micro</w:t>
      </w:r>
      <w:r w:rsidRPr="00130A81">
        <w:t xml:space="preserve"> 2013; </w:t>
      </w:r>
      <w:r w:rsidRPr="00130A81">
        <w:rPr>
          <w:b/>
        </w:rPr>
        <w:t>51</w:t>
      </w:r>
      <w:r w:rsidRPr="00130A81">
        <w:t>(12): 4029-35.</w:t>
      </w:r>
    </w:p>
    <w:p w14:paraId="6672886C" w14:textId="1484C4B3" w:rsidR="007C7797" w:rsidRPr="007C7797" w:rsidRDefault="007C7797" w:rsidP="007C7797">
      <w:pPr>
        <w:pStyle w:val="EndNoteBibliography"/>
        <w:spacing w:after="0"/>
      </w:pPr>
      <w:r w:rsidRPr="007C7797">
        <w:t>31.</w:t>
      </w:r>
      <w:r w:rsidRPr="007C7797">
        <w:tab/>
        <w:t xml:space="preserve">Brown DE, Pittman JE, Leigh MW, Fordham L, Davis SD. Early lung disease in young children with primary ciliary dyskinesia. </w:t>
      </w:r>
      <w:r w:rsidR="006E0013">
        <w:rPr>
          <w:i/>
        </w:rPr>
        <w:t>Ped Pulm</w:t>
      </w:r>
      <w:r w:rsidRPr="007C7797">
        <w:t xml:space="preserve"> 2008; </w:t>
      </w:r>
      <w:r w:rsidRPr="007C7797">
        <w:rPr>
          <w:b/>
        </w:rPr>
        <w:t>43</w:t>
      </w:r>
      <w:r w:rsidRPr="007C7797">
        <w:t>(5): 514-6.</w:t>
      </w:r>
    </w:p>
    <w:p w14:paraId="7AEBE3E7" w14:textId="77777777" w:rsidR="007C7797" w:rsidRPr="007C7797" w:rsidRDefault="007C7797" w:rsidP="007C7797">
      <w:pPr>
        <w:pStyle w:val="EndNoteBibliography"/>
        <w:spacing w:after="0"/>
      </w:pPr>
      <w:r w:rsidRPr="007C7797">
        <w:t>32.</w:t>
      </w:r>
      <w:r w:rsidRPr="007C7797">
        <w:tab/>
        <w:t xml:space="preserve">Kennedy MP, Omran H, Leigh MW, et al. Congenital heart disease and other heterotaxic defects in a large cohort of patients with primary ciliary dyskinesia. </w:t>
      </w:r>
      <w:r w:rsidRPr="007C7797">
        <w:rPr>
          <w:i/>
        </w:rPr>
        <w:t>Circulation</w:t>
      </w:r>
      <w:r w:rsidRPr="007C7797">
        <w:t xml:space="preserve"> 2007; </w:t>
      </w:r>
      <w:r w:rsidRPr="007C7797">
        <w:rPr>
          <w:b/>
        </w:rPr>
        <w:t>115</w:t>
      </w:r>
      <w:r w:rsidRPr="007C7797">
        <w:t>(22): 2814-21.</w:t>
      </w:r>
    </w:p>
    <w:p w14:paraId="13421C26" w14:textId="77777777" w:rsidR="007C7797" w:rsidRPr="00ED3614" w:rsidRDefault="007C7797" w:rsidP="007C7797">
      <w:pPr>
        <w:pStyle w:val="EndNoteBibliography"/>
        <w:spacing w:after="0"/>
      </w:pPr>
      <w:r w:rsidRPr="007C7797">
        <w:t>33.</w:t>
      </w:r>
      <w:r w:rsidRPr="007C7797">
        <w:tab/>
      </w:r>
      <w:r w:rsidRPr="00ED3614">
        <w:t xml:space="preserve">Shapiro AJ, Davis SD, Ferkol T, et al. Laterality defects other than situs inversus totalis in primary ciliary dyskinesia: insights into situs ambiguus and heterotaxy. </w:t>
      </w:r>
      <w:r w:rsidRPr="00ED3614">
        <w:rPr>
          <w:i/>
        </w:rPr>
        <w:t>Chest</w:t>
      </w:r>
      <w:r w:rsidRPr="00ED3614">
        <w:t xml:space="preserve"> 2014; </w:t>
      </w:r>
      <w:r w:rsidRPr="00ED3614">
        <w:rPr>
          <w:b/>
        </w:rPr>
        <w:t>146</w:t>
      </w:r>
      <w:r w:rsidRPr="00ED3614">
        <w:t>(5): 1176-86.</w:t>
      </w:r>
    </w:p>
    <w:p w14:paraId="36796A67" w14:textId="4AE16B89" w:rsidR="007C7797" w:rsidRPr="007C7797" w:rsidRDefault="007C7797" w:rsidP="007C7797">
      <w:pPr>
        <w:pStyle w:val="EndNoteBibliography"/>
        <w:spacing w:after="0"/>
      </w:pPr>
      <w:r w:rsidRPr="00ED3614">
        <w:t>34.</w:t>
      </w:r>
      <w:r w:rsidRPr="00ED3614">
        <w:tab/>
        <w:t>Lucas JS, Barbato A, Collins SA, et al. European Respiratory</w:t>
      </w:r>
      <w:r w:rsidRPr="007C7797">
        <w:t xml:space="preserve"> Society guidelines for the diagnosis of primary ciliary dyskinesia. </w:t>
      </w:r>
      <w:r w:rsidR="006E0013" w:rsidRPr="006E0013">
        <w:rPr>
          <w:i/>
          <w:lang w:val="en-GB"/>
        </w:rPr>
        <w:t xml:space="preserve">Eur Respir J </w:t>
      </w:r>
      <w:r w:rsidRPr="007C7797">
        <w:t xml:space="preserve">2017; </w:t>
      </w:r>
      <w:r w:rsidRPr="007C7797">
        <w:rPr>
          <w:b/>
        </w:rPr>
        <w:t>49</w:t>
      </w:r>
      <w:r w:rsidRPr="007C7797">
        <w:t>(1).</w:t>
      </w:r>
    </w:p>
    <w:p w14:paraId="28DC68DB" w14:textId="3ADE9DB1" w:rsidR="007C7797" w:rsidRPr="007C7797" w:rsidRDefault="007C7797" w:rsidP="007C7797">
      <w:pPr>
        <w:pStyle w:val="EndNoteBibliography"/>
        <w:spacing w:after="0"/>
      </w:pPr>
      <w:r w:rsidRPr="007C7797">
        <w:t>35.</w:t>
      </w:r>
      <w:r w:rsidRPr="007C7797">
        <w:tab/>
        <w:t xml:space="preserve">Rademacher J, Buck A, Schwerk N, et al. Nasal Nitric Oxide Measurement and a Modified PICADAR Score for the Screening of Primary Ciliary Dyskinesia in Adults with Bronchiectasis. </w:t>
      </w:r>
      <w:r w:rsidR="00ED3614">
        <w:rPr>
          <w:i/>
        </w:rPr>
        <w:t>Pneumologie</w:t>
      </w:r>
      <w:r w:rsidRPr="007C7797">
        <w:t xml:space="preserve"> 2017; </w:t>
      </w:r>
      <w:r w:rsidRPr="007C7797">
        <w:rPr>
          <w:b/>
        </w:rPr>
        <w:t>71</w:t>
      </w:r>
      <w:r w:rsidRPr="007C7797">
        <w:t>(8): 543-8.</w:t>
      </w:r>
    </w:p>
    <w:p w14:paraId="5649157D" w14:textId="77777777" w:rsidR="007C7797" w:rsidRPr="008C4A1D" w:rsidRDefault="007C7797" w:rsidP="007C7797">
      <w:pPr>
        <w:pStyle w:val="EndNoteBibliography"/>
        <w:spacing w:after="0"/>
      </w:pPr>
      <w:r w:rsidRPr="007C7797">
        <w:t>36.</w:t>
      </w:r>
      <w:r w:rsidRPr="007C7797">
        <w:tab/>
        <w:t xml:space="preserve">Boon M, </w:t>
      </w:r>
      <w:r w:rsidRPr="008C4A1D">
        <w:t xml:space="preserve">Vermeulen FL, Gysemans W, Proesmans M, Jorissen M, De Boeck K. Lung structure-function correlation in patients with primary ciliary dyskinesia. </w:t>
      </w:r>
      <w:r w:rsidRPr="008C4A1D">
        <w:rPr>
          <w:i/>
        </w:rPr>
        <w:t>Thorax</w:t>
      </w:r>
      <w:r w:rsidRPr="008C4A1D">
        <w:t xml:space="preserve"> 2015; </w:t>
      </w:r>
      <w:r w:rsidRPr="008C4A1D">
        <w:rPr>
          <w:b/>
        </w:rPr>
        <w:t>70</w:t>
      </w:r>
      <w:r w:rsidRPr="008C4A1D">
        <w:t>(4): 339-45.</w:t>
      </w:r>
    </w:p>
    <w:p w14:paraId="72E84DD0" w14:textId="35398B0F" w:rsidR="007C7797" w:rsidRPr="007C7797" w:rsidRDefault="007C7797" w:rsidP="007C7797">
      <w:pPr>
        <w:pStyle w:val="EndNoteBibliography"/>
        <w:spacing w:after="0"/>
      </w:pPr>
      <w:r w:rsidRPr="008C4A1D">
        <w:t>37.</w:t>
      </w:r>
      <w:r w:rsidRPr="008C4A1D">
        <w:tab/>
        <w:t xml:space="preserve">Nyilas S, Bauman G, Pusterla O, et al. Structural and Functional Lung Impairment in Primary Ciliary Dyskinesia. Assessment with Magnetic Resonance Imaging and Multiple Breath Washout in Comparison to Spirometry. </w:t>
      </w:r>
      <w:r w:rsidR="00ED3614" w:rsidRPr="008C4A1D">
        <w:rPr>
          <w:i/>
          <w:lang w:val="en-GB"/>
        </w:rPr>
        <w:t xml:space="preserve">Ann Am Thorac Soc </w:t>
      </w:r>
      <w:r w:rsidRPr="008C4A1D">
        <w:t xml:space="preserve">2018; </w:t>
      </w:r>
      <w:r w:rsidRPr="008C4A1D">
        <w:rPr>
          <w:b/>
        </w:rPr>
        <w:t>15</w:t>
      </w:r>
      <w:r w:rsidRPr="008C4A1D">
        <w:t>(12): 1434-42.</w:t>
      </w:r>
    </w:p>
    <w:p w14:paraId="2BD3C528" w14:textId="5A80F052" w:rsidR="007C7797" w:rsidRPr="007C7797" w:rsidRDefault="007C7797" w:rsidP="007C7797">
      <w:pPr>
        <w:pStyle w:val="EndNoteBibliography"/>
        <w:spacing w:after="0"/>
      </w:pPr>
      <w:r w:rsidRPr="007C7797">
        <w:t>38.</w:t>
      </w:r>
      <w:r w:rsidRPr="007C7797">
        <w:tab/>
        <w:t xml:space="preserve">Shapiro AJ, Davis SD, Polineni D, et al. Diagnosis of Primary Ciliary Dyskinesia. An Official American Thoracic Society Clinical Practice Guideline. </w:t>
      </w:r>
      <w:r w:rsidR="00ED3614" w:rsidRPr="00ED3614">
        <w:rPr>
          <w:i/>
          <w:lang w:val="en-GB"/>
        </w:rPr>
        <w:t xml:space="preserve">Am J Respir Crit Care Med </w:t>
      </w:r>
      <w:r w:rsidRPr="007C7797">
        <w:t xml:space="preserve">2018; </w:t>
      </w:r>
      <w:r w:rsidRPr="007C7797">
        <w:rPr>
          <w:b/>
        </w:rPr>
        <w:t>197</w:t>
      </w:r>
      <w:r w:rsidRPr="007C7797">
        <w:t>(12): e24-e39.</w:t>
      </w:r>
    </w:p>
    <w:p w14:paraId="79D6F1E3" w14:textId="3EBCE3B2" w:rsidR="007C7797" w:rsidRPr="007C7797" w:rsidRDefault="007C7797" w:rsidP="007C7797">
      <w:pPr>
        <w:pStyle w:val="EndNoteBibliography"/>
        <w:spacing w:after="0"/>
      </w:pPr>
      <w:r w:rsidRPr="007C7797">
        <w:t>39.</w:t>
      </w:r>
      <w:r w:rsidRPr="007C7797">
        <w:tab/>
        <w:t xml:space="preserve">Walker WT, Jackson CL, Lackie PM, Hogg C, Lucas JS. Nitric oxide in primary ciliary dyskinesia. </w:t>
      </w:r>
      <w:r w:rsidR="006E0013" w:rsidRPr="006E0013">
        <w:rPr>
          <w:i/>
          <w:lang w:val="en-GB"/>
        </w:rPr>
        <w:t xml:space="preserve">Eur Respir J </w:t>
      </w:r>
      <w:r w:rsidRPr="007C7797">
        <w:t xml:space="preserve">2012; </w:t>
      </w:r>
      <w:r w:rsidRPr="007C7797">
        <w:rPr>
          <w:b/>
        </w:rPr>
        <w:t>40</w:t>
      </w:r>
      <w:r w:rsidRPr="007C7797">
        <w:t>(4): 1024-32.</w:t>
      </w:r>
    </w:p>
    <w:p w14:paraId="3329D7D1" w14:textId="2B54A227" w:rsidR="007C7797" w:rsidRPr="007C7797" w:rsidRDefault="007C7797" w:rsidP="007C7797">
      <w:pPr>
        <w:pStyle w:val="EndNoteBibliography"/>
        <w:spacing w:after="0"/>
      </w:pPr>
      <w:r w:rsidRPr="007C7797">
        <w:t>40.</w:t>
      </w:r>
      <w:r w:rsidRPr="007C7797">
        <w:tab/>
        <w:t xml:space="preserve">ATS/ERS recommendations for standardized procedures for the online and offline measurement of exhaled lower respiratory nitric oxide and nasal nitric oxide, 2005. </w:t>
      </w:r>
      <w:r w:rsidR="00ED3614" w:rsidRPr="00ED3614">
        <w:rPr>
          <w:i/>
          <w:lang w:val="en-GB"/>
        </w:rPr>
        <w:t xml:space="preserve">Am J Respir Crit Care Med </w:t>
      </w:r>
      <w:r w:rsidRPr="007C7797">
        <w:t xml:space="preserve">2005; </w:t>
      </w:r>
      <w:r w:rsidRPr="007C7797">
        <w:rPr>
          <w:b/>
        </w:rPr>
        <w:t>171</w:t>
      </w:r>
      <w:r w:rsidRPr="007C7797">
        <w:t>(8): 912-30.</w:t>
      </w:r>
    </w:p>
    <w:p w14:paraId="7A65BBCC" w14:textId="63FFEEE7" w:rsidR="007C7797" w:rsidRPr="007C7797" w:rsidRDefault="007C7797" w:rsidP="007C7797">
      <w:pPr>
        <w:pStyle w:val="EndNoteBibliography"/>
        <w:spacing w:after="0"/>
      </w:pPr>
      <w:r w:rsidRPr="007C7797">
        <w:t>41.</w:t>
      </w:r>
      <w:r w:rsidRPr="007C7797">
        <w:tab/>
        <w:t xml:space="preserve">Wodehouse T, Kharitonov SA, Mackay IS, Barnes PJ, Wilson R, Cole PJ. Nasal nitric oxide measurements for the screening of primary ciliary dyskinesia. </w:t>
      </w:r>
      <w:r w:rsidR="006E0013" w:rsidRPr="006E0013">
        <w:rPr>
          <w:i/>
          <w:lang w:val="en-GB"/>
        </w:rPr>
        <w:t xml:space="preserve">Eur Respir J </w:t>
      </w:r>
      <w:r w:rsidRPr="007C7797">
        <w:t xml:space="preserve">2003; </w:t>
      </w:r>
      <w:r w:rsidRPr="007C7797">
        <w:rPr>
          <w:b/>
        </w:rPr>
        <w:t>21</w:t>
      </w:r>
      <w:r w:rsidRPr="007C7797">
        <w:t>(1): 43-7.</w:t>
      </w:r>
    </w:p>
    <w:p w14:paraId="5D992EF4" w14:textId="70588C27" w:rsidR="007C7797" w:rsidRPr="007C7797" w:rsidRDefault="007C7797" w:rsidP="007C7797">
      <w:pPr>
        <w:pStyle w:val="EndNoteBibliography"/>
        <w:spacing w:after="0"/>
      </w:pPr>
      <w:r w:rsidRPr="007C7797">
        <w:t>42.</w:t>
      </w:r>
      <w:r w:rsidRPr="007C7797">
        <w:tab/>
        <w:t xml:space="preserve">Marthin JK, Nielsen KG. Choice of nasal nitric oxide technique as first-line test for primary ciliary dyskinesia. </w:t>
      </w:r>
      <w:r w:rsidR="006E0013" w:rsidRPr="006E0013">
        <w:rPr>
          <w:i/>
          <w:lang w:val="en-GB"/>
        </w:rPr>
        <w:t xml:space="preserve">Eur Respir J </w:t>
      </w:r>
      <w:r w:rsidRPr="007C7797">
        <w:t xml:space="preserve">2011; </w:t>
      </w:r>
      <w:r w:rsidRPr="007C7797">
        <w:rPr>
          <w:b/>
        </w:rPr>
        <w:t>37</w:t>
      </w:r>
      <w:r w:rsidRPr="007C7797">
        <w:t>(3): 559-65.</w:t>
      </w:r>
    </w:p>
    <w:p w14:paraId="543E5EC3" w14:textId="77777777" w:rsidR="007C7797" w:rsidRPr="007C7797" w:rsidRDefault="007C7797" w:rsidP="007C7797">
      <w:pPr>
        <w:pStyle w:val="EndNoteBibliography"/>
        <w:spacing w:after="0"/>
      </w:pPr>
      <w:r w:rsidRPr="007C7797">
        <w:t>43.</w:t>
      </w:r>
      <w:r w:rsidRPr="007C7797">
        <w:tab/>
        <w:t xml:space="preserve">Shoemark A, Moya E, Hirst RA, et al. High prevalence of CCDC103 p.His154Pro mutation causing primary ciliary dyskinesia disrupts protein oligomerisation and is associated with normal diagnostic investigations. </w:t>
      </w:r>
      <w:r w:rsidRPr="007C7797">
        <w:rPr>
          <w:i/>
        </w:rPr>
        <w:t>Thorax</w:t>
      </w:r>
      <w:r w:rsidRPr="007C7797">
        <w:t xml:space="preserve"> 2018; </w:t>
      </w:r>
      <w:r w:rsidRPr="007C7797">
        <w:rPr>
          <w:b/>
        </w:rPr>
        <w:t>73</w:t>
      </w:r>
      <w:r w:rsidRPr="007C7797">
        <w:t>(2): 157-66.</w:t>
      </w:r>
    </w:p>
    <w:p w14:paraId="0BA70F4F" w14:textId="77777777" w:rsidR="007C7797" w:rsidRPr="007C7797" w:rsidRDefault="007C7797" w:rsidP="007C7797">
      <w:pPr>
        <w:pStyle w:val="EndNoteBibliography"/>
        <w:spacing w:after="0"/>
      </w:pPr>
      <w:r w:rsidRPr="007C7797">
        <w:t>44.</w:t>
      </w:r>
      <w:r w:rsidRPr="007C7797">
        <w:tab/>
        <w:t xml:space="preserve">Bustamante-Marin XM, Yin WN, Sears PR, et al. Lack of GAS2L2 Causes PCD by Impairing Cilia Orientation and Mucociliary Clearance. </w:t>
      </w:r>
      <w:r w:rsidRPr="007C7797">
        <w:rPr>
          <w:i/>
        </w:rPr>
        <w:t>American journal of human genetics</w:t>
      </w:r>
      <w:r w:rsidRPr="007C7797">
        <w:t xml:space="preserve"> 2019; </w:t>
      </w:r>
      <w:r w:rsidRPr="007C7797">
        <w:rPr>
          <w:b/>
        </w:rPr>
        <w:t>104</w:t>
      </w:r>
      <w:r w:rsidRPr="007C7797">
        <w:t>(2): 229-45.</w:t>
      </w:r>
    </w:p>
    <w:p w14:paraId="0CF55664" w14:textId="02EBD752" w:rsidR="007C7797" w:rsidRPr="007C7797" w:rsidRDefault="007C7797" w:rsidP="007C7797">
      <w:pPr>
        <w:pStyle w:val="EndNoteBibliography"/>
        <w:spacing w:after="0"/>
      </w:pPr>
      <w:r w:rsidRPr="007C7797">
        <w:t>45.</w:t>
      </w:r>
      <w:r w:rsidRPr="007C7797">
        <w:tab/>
      </w:r>
      <w:r w:rsidR="005370CB" w:rsidRPr="005370CB">
        <w:rPr>
          <w:lang w:val="en-GB"/>
        </w:rPr>
        <w:t xml:space="preserve">Olbrich H, Cremers C, Loges NT, et al. Loss-of-Function GAS8 Mutations Cause Primary Ciliary Dyskinesia and Disrupt the Nexin-Dynein Regulatory Complex. </w:t>
      </w:r>
      <w:r w:rsidR="005370CB" w:rsidRPr="005370CB">
        <w:rPr>
          <w:i/>
          <w:lang w:val="en-GB"/>
        </w:rPr>
        <w:t xml:space="preserve">Am J Hum Genet </w:t>
      </w:r>
      <w:r w:rsidR="005370CB" w:rsidRPr="005370CB">
        <w:rPr>
          <w:lang w:val="en-GB"/>
        </w:rPr>
        <w:t xml:space="preserve">2015; </w:t>
      </w:r>
      <w:r w:rsidR="005370CB" w:rsidRPr="005370CB">
        <w:rPr>
          <w:b/>
          <w:lang w:val="en-GB"/>
        </w:rPr>
        <w:t>97</w:t>
      </w:r>
      <w:r w:rsidR="005370CB" w:rsidRPr="005370CB">
        <w:rPr>
          <w:lang w:val="en-GB"/>
        </w:rPr>
        <w:t>(4): 546-54.</w:t>
      </w:r>
    </w:p>
    <w:p w14:paraId="1F84B584" w14:textId="577BAFBE" w:rsidR="007C7797" w:rsidRPr="007C7797" w:rsidRDefault="007C7797" w:rsidP="007C7797">
      <w:pPr>
        <w:pStyle w:val="EndNoteBibliography"/>
        <w:spacing w:after="0"/>
      </w:pPr>
      <w:r w:rsidRPr="007C7797">
        <w:t>46.</w:t>
      </w:r>
      <w:r w:rsidRPr="007C7797">
        <w:tab/>
      </w:r>
      <w:r w:rsidR="005370CB" w:rsidRPr="005370CB">
        <w:t xml:space="preserve">Edelbusch C, Cindric S, Dougherty GW, et al. Mutation of serine/threonine protein kinase 36 (STK36) causes primary ciliary dyskinesia with a central pair defect. </w:t>
      </w:r>
      <w:r w:rsidR="005370CB" w:rsidRPr="005370CB">
        <w:rPr>
          <w:i/>
        </w:rPr>
        <w:t xml:space="preserve">Hum Mutat. </w:t>
      </w:r>
      <w:r w:rsidR="005370CB" w:rsidRPr="005370CB">
        <w:t>2017;</w:t>
      </w:r>
      <w:r w:rsidR="005370CB" w:rsidRPr="005370CB">
        <w:rPr>
          <w:b/>
        </w:rPr>
        <w:t>38</w:t>
      </w:r>
      <w:r w:rsidR="005370CB" w:rsidRPr="005370CB">
        <w:t>(8):964-96</w:t>
      </w:r>
      <w:r w:rsidR="005370CB" w:rsidRPr="005370CB">
        <w:rPr>
          <w:i/>
        </w:rPr>
        <w:t>.</w:t>
      </w:r>
    </w:p>
    <w:p w14:paraId="5A7A1BA5" w14:textId="40C79027" w:rsidR="007C7797" w:rsidRPr="007C7797" w:rsidRDefault="007C7797" w:rsidP="007C7797">
      <w:pPr>
        <w:pStyle w:val="EndNoteBibliography"/>
        <w:spacing w:after="0"/>
      </w:pPr>
      <w:r w:rsidRPr="007C7797">
        <w:t>47.</w:t>
      </w:r>
      <w:r w:rsidRPr="007C7797">
        <w:tab/>
      </w:r>
      <w:r w:rsidR="005370CB" w:rsidRPr="005370CB">
        <w:rPr>
          <w:lang w:val="en-GB"/>
        </w:rPr>
        <w:t xml:space="preserve">Harris A, Bhullar E, Gove K, et al. Validation of a portable nitric oxide analyzer for screening in primary ciliary dyskinesias. </w:t>
      </w:r>
      <w:r w:rsidR="005370CB" w:rsidRPr="005370CB">
        <w:rPr>
          <w:i/>
          <w:lang w:val="en-GB"/>
        </w:rPr>
        <w:t>BMC Pulmon Med</w:t>
      </w:r>
      <w:r w:rsidR="005370CB" w:rsidRPr="005370CB">
        <w:rPr>
          <w:lang w:val="en-GB"/>
        </w:rPr>
        <w:t xml:space="preserve"> 2014; </w:t>
      </w:r>
      <w:r w:rsidR="005370CB" w:rsidRPr="005370CB">
        <w:rPr>
          <w:b/>
          <w:lang w:val="en-GB"/>
        </w:rPr>
        <w:t>14</w:t>
      </w:r>
      <w:r w:rsidR="005370CB" w:rsidRPr="005370CB">
        <w:rPr>
          <w:lang w:val="en-GB"/>
        </w:rPr>
        <w:t>: 18.</w:t>
      </w:r>
    </w:p>
    <w:p w14:paraId="5F12EEE6" w14:textId="49C05438" w:rsidR="007C7797" w:rsidRPr="007C7797" w:rsidRDefault="007C7797" w:rsidP="007C7797">
      <w:pPr>
        <w:pStyle w:val="EndNoteBibliography"/>
        <w:spacing w:after="0"/>
      </w:pPr>
      <w:r w:rsidRPr="007C7797">
        <w:t>48.</w:t>
      </w:r>
      <w:r w:rsidRPr="007C7797">
        <w:tab/>
      </w:r>
      <w:r w:rsidR="005370CB" w:rsidRPr="005370CB">
        <w:rPr>
          <w:lang w:val="en-GB"/>
        </w:rPr>
        <w:t xml:space="preserve">Chilvers MA, Rutman A, O'Callaghan C. Ciliary beat pattern is associated with specific ultrastructural defects in primary ciliary dyskinesia. </w:t>
      </w:r>
      <w:r w:rsidR="005370CB" w:rsidRPr="005370CB">
        <w:rPr>
          <w:i/>
          <w:lang w:val="en-GB"/>
        </w:rPr>
        <w:t xml:space="preserve">J Allergy Clin Immunol </w:t>
      </w:r>
      <w:r w:rsidR="005370CB" w:rsidRPr="005370CB">
        <w:rPr>
          <w:lang w:val="en-GB"/>
        </w:rPr>
        <w:t xml:space="preserve">2003; </w:t>
      </w:r>
      <w:r w:rsidR="005370CB" w:rsidRPr="005370CB">
        <w:rPr>
          <w:b/>
          <w:lang w:val="en-GB"/>
        </w:rPr>
        <w:t>112</w:t>
      </w:r>
      <w:r w:rsidR="005370CB" w:rsidRPr="005370CB">
        <w:rPr>
          <w:lang w:val="en-GB"/>
        </w:rPr>
        <w:t>(3): 518-24.</w:t>
      </w:r>
    </w:p>
    <w:p w14:paraId="3386381F" w14:textId="2D842CAF" w:rsidR="007C7797" w:rsidRPr="007C7797" w:rsidRDefault="007C7797" w:rsidP="007C7797">
      <w:pPr>
        <w:pStyle w:val="EndNoteBibliography"/>
        <w:spacing w:after="0"/>
      </w:pPr>
      <w:r w:rsidRPr="007C7797">
        <w:t>49.</w:t>
      </w:r>
      <w:r w:rsidRPr="007C7797">
        <w:tab/>
        <w:t xml:space="preserve">Raidt J, Wallmeier J, Hjeij R, et al. Ciliary beat pattern and frequency in genetic variants of primary ciliary dyskinesia. </w:t>
      </w:r>
      <w:r w:rsidR="006E0013" w:rsidRPr="006E0013">
        <w:rPr>
          <w:i/>
          <w:lang w:val="en-GB"/>
        </w:rPr>
        <w:t xml:space="preserve">Eur Respir J </w:t>
      </w:r>
      <w:r w:rsidRPr="007C7797">
        <w:t xml:space="preserve">2014; </w:t>
      </w:r>
      <w:r w:rsidRPr="007C7797">
        <w:rPr>
          <w:b/>
        </w:rPr>
        <w:t>44</w:t>
      </w:r>
      <w:r w:rsidRPr="007C7797">
        <w:t>(6): 1579-88.</w:t>
      </w:r>
    </w:p>
    <w:p w14:paraId="31DFAB9A" w14:textId="46912041" w:rsidR="007C7797" w:rsidRPr="007C7797" w:rsidRDefault="007C7797" w:rsidP="007C7797">
      <w:pPr>
        <w:pStyle w:val="EndNoteBibliography"/>
        <w:spacing w:after="0"/>
      </w:pPr>
      <w:r w:rsidRPr="007C7797">
        <w:t>50.</w:t>
      </w:r>
      <w:r w:rsidRPr="007C7797">
        <w:tab/>
        <w:t xml:space="preserve">Jackson CL, Behan L, Collins SA, et al. Accuracy of diagnostic testing in primary ciliary dyskinesia. </w:t>
      </w:r>
      <w:r w:rsidR="006E0013" w:rsidRPr="006E0013">
        <w:rPr>
          <w:i/>
          <w:lang w:val="en-GB"/>
        </w:rPr>
        <w:t xml:space="preserve">Eur Respir J </w:t>
      </w:r>
      <w:r w:rsidRPr="007C7797">
        <w:t xml:space="preserve">2016; </w:t>
      </w:r>
      <w:r w:rsidRPr="007C7797">
        <w:rPr>
          <w:b/>
        </w:rPr>
        <w:t>47</w:t>
      </w:r>
      <w:r w:rsidRPr="007C7797">
        <w:t>(3): 837-48.</w:t>
      </w:r>
    </w:p>
    <w:p w14:paraId="0C620D47" w14:textId="77777777" w:rsidR="007C7797" w:rsidRPr="007C7797" w:rsidRDefault="007C7797" w:rsidP="007C7797">
      <w:pPr>
        <w:pStyle w:val="EndNoteBibliography"/>
        <w:spacing w:after="0"/>
      </w:pPr>
      <w:r w:rsidRPr="007C7797">
        <w:t>51.</w:t>
      </w:r>
      <w:r w:rsidRPr="007C7797">
        <w:tab/>
        <w:t xml:space="preserve">Fliegauf M, Olbrich H, Horvath J, et al. Mislocalization of DNAH5 </w:t>
      </w:r>
      <w:r w:rsidRPr="005370CB">
        <w:t xml:space="preserve">and DNAH9 in respiratory cells from patients with primary ciliary dyskinesia. </w:t>
      </w:r>
      <w:r w:rsidRPr="005370CB">
        <w:rPr>
          <w:i/>
        </w:rPr>
        <w:t>American journal of respiratory</w:t>
      </w:r>
      <w:r w:rsidRPr="007C7797">
        <w:rPr>
          <w:i/>
        </w:rPr>
        <w:t xml:space="preserve"> and critical care medicine</w:t>
      </w:r>
      <w:r w:rsidRPr="007C7797">
        <w:t xml:space="preserve"> 2005; </w:t>
      </w:r>
      <w:r w:rsidRPr="007C7797">
        <w:rPr>
          <w:b/>
        </w:rPr>
        <w:t>171</w:t>
      </w:r>
      <w:r w:rsidRPr="007C7797">
        <w:t>(12): 1343-9.</w:t>
      </w:r>
    </w:p>
    <w:p w14:paraId="2E0E8668" w14:textId="5EAD5DCF" w:rsidR="007C7797" w:rsidRPr="007C7797" w:rsidRDefault="007C7797" w:rsidP="007C7797">
      <w:pPr>
        <w:pStyle w:val="EndNoteBibliography"/>
        <w:spacing w:after="0"/>
      </w:pPr>
      <w:r w:rsidRPr="007C7797">
        <w:t>52.</w:t>
      </w:r>
      <w:r w:rsidRPr="007C7797">
        <w:tab/>
        <w:t xml:space="preserve">Shoemark A, Frost E, Dixon M, et al. Accuracy of Immunofluorescence in the Diagnosis of Primary Ciliary Dyskinesia. </w:t>
      </w:r>
      <w:r w:rsidR="005370CB" w:rsidRPr="005370CB">
        <w:rPr>
          <w:i/>
          <w:lang w:val="en-GB"/>
        </w:rPr>
        <w:t xml:space="preserve">Am J Respir Crit Care Med </w:t>
      </w:r>
      <w:r w:rsidRPr="007C7797">
        <w:t xml:space="preserve">2017; </w:t>
      </w:r>
      <w:r w:rsidRPr="007C7797">
        <w:rPr>
          <w:b/>
        </w:rPr>
        <w:t>196</w:t>
      </w:r>
      <w:r w:rsidRPr="007C7797">
        <w:t>(1): 94-101.</w:t>
      </w:r>
    </w:p>
    <w:p w14:paraId="06F24956" w14:textId="4F31C5F9" w:rsidR="007C7797" w:rsidRPr="007C7797" w:rsidRDefault="007C7797" w:rsidP="007C7797">
      <w:pPr>
        <w:pStyle w:val="EndNoteBibliography"/>
        <w:spacing w:after="0"/>
      </w:pPr>
      <w:r w:rsidRPr="007C7797">
        <w:t>53.</w:t>
      </w:r>
      <w:r w:rsidRPr="007C7797">
        <w:tab/>
        <w:t xml:space="preserve">Afzelius BA. A human syndrome caused by immotile cilia. </w:t>
      </w:r>
      <w:r w:rsidR="005370CB">
        <w:rPr>
          <w:i/>
        </w:rPr>
        <w:t xml:space="preserve">Science </w:t>
      </w:r>
      <w:r w:rsidRPr="007C7797">
        <w:t xml:space="preserve">1976; </w:t>
      </w:r>
      <w:r w:rsidRPr="007C7797">
        <w:rPr>
          <w:b/>
        </w:rPr>
        <w:t>193</w:t>
      </w:r>
      <w:r w:rsidRPr="007C7797">
        <w:t>(4250): 317-9.</w:t>
      </w:r>
    </w:p>
    <w:p w14:paraId="3A8C4D8A" w14:textId="6F8FC7B9" w:rsidR="007C7797" w:rsidRPr="007C7797" w:rsidRDefault="007C7797" w:rsidP="007C7797">
      <w:pPr>
        <w:pStyle w:val="EndNoteBibliography"/>
        <w:spacing w:after="0"/>
      </w:pPr>
      <w:r w:rsidRPr="007C7797">
        <w:t>54.</w:t>
      </w:r>
      <w:r w:rsidRPr="007C7797">
        <w:tab/>
      </w:r>
      <w:r w:rsidR="005370CB" w:rsidRPr="005370CB">
        <w:rPr>
          <w:lang w:val="en-GB"/>
        </w:rPr>
        <w:t xml:space="preserve">Boon M, Smits A, Cuppens H, et al. Primary ciliary dyskinesia: critical evaluation of clinical symptoms and diagnosis in patients with normal and abnormal ultrastructure. </w:t>
      </w:r>
      <w:r w:rsidR="005370CB" w:rsidRPr="005370CB">
        <w:rPr>
          <w:i/>
          <w:lang w:val="en-GB"/>
        </w:rPr>
        <w:t xml:space="preserve">Orphanet J Rare Dis. </w:t>
      </w:r>
      <w:r w:rsidR="005370CB" w:rsidRPr="005370CB">
        <w:rPr>
          <w:lang w:val="en-GB"/>
        </w:rPr>
        <w:t xml:space="preserve">2014; </w:t>
      </w:r>
      <w:r w:rsidR="005370CB" w:rsidRPr="005370CB">
        <w:rPr>
          <w:b/>
          <w:lang w:val="en-GB"/>
        </w:rPr>
        <w:t>9:</w:t>
      </w:r>
      <w:r w:rsidR="005370CB" w:rsidRPr="005370CB">
        <w:rPr>
          <w:lang w:val="en-GB"/>
        </w:rPr>
        <w:t>11.</w:t>
      </w:r>
    </w:p>
    <w:p w14:paraId="0279B243" w14:textId="77777777" w:rsidR="007C7797" w:rsidRPr="007C7797" w:rsidRDefault="007C7797" w:rsidP="007C7797">
      <w:pPr>
        <w:pStyle w:val="EndNoteBibliography"/>
        <w:spacing w:after="0"/>
      </w:pPr>
      <w:r w:rsidRPr="007C7797">
        <w:t>55.</w:t>
      </w:r>
      <w:r w:rsidRPr="007C7797">
        <w:tab/>
        <w:t xml:space="preserve">Knowles MR, Leigh MW, Carson JL, et al. Mutations of DNAH11 in patients with primary ciliary dyskinesia with normal ciliary ultrastructure. </w:t>
      </w:r>
      <w:r w:rsidRPr="007C7797">
        <w:rPr>
          <w:i/>
        </w:rPr>
        <w:t>Thorax</w:t>
      </w:r>
      <w:r w:rsidRPr="007C7797">
        <w:t xml:space="preserve"> 2012; </w:t>
      </w:r>
      <w:r w:rsidRPr="007C7797">
        <w:rPr>
          <w:b/>
        </w:rPr>
        <w:t>67</w:t>
      </w:r>
      <w:r w:rsidRPr="007C7797">
        <w:t>(5): 433-41.</w:t>
      </w:r>
    </w:p>
    <w:p w14:paraId="68122A04" w14:textId="77777777" w:rsidR="007C7797" w:rsidRPr="007C7797" w:rsidRDefault="007C7797" w:rsidP="007C7797">
      <w:pPr>
        <w:pStyle w:val="EndNoteBibliography"/>
        <w:spacing w:after="0"/>
      </w:pPr>
      <w:r w:rsidRPr="007C7797">
        <w:t>56.</w:t>
      </w:r>
      <w:r w:rsidRPr="007C7797">
        <w:tab/>
        <w:t xml:space="preserve">Marthin JK, Mortensen J, Pressler T, Nielsen KG. Pulmonary radioaerosol mucociliary clearance in diagnosis of primary ciliary dyskinesia. </w:t>
      </w:r>
      <w:r w:rsidRPr="007C7797">
        <w:rPr>
          <w:i/>
        </w:rPr>
        <w:t>Chest</w:t>
      </w:r>
      <w:r w:rsidRPr="007C7797">
        <w:t xml:space="preserve"> 2007; </w:t>
      </w:r>
      <w:r w:rsidRPr="007C7797">
        <w:rPr>
          <w:b/>
        </w:rPr>
        <w:t>132</w:t>
      </w:r>
      <w:r w:rsidRPr="007C7797">
        <w:t>(3): 966-76.</w:t>
      </w:r>
    </w:p>
    <w:p w14:paraId="0584C98A" w14:textId="43A52B53" w:rsidR="007C7797" w:rsidRPr="007C7797" w:rsidRDefault="007C7797" w:rsidP="007C7797">
      <w:pPr>
        <w:pStyle w:val="EndNoteBibliography"/>
        <w:spacing w:after="0"/>
      </w:pPr>
      <w:r w:rsidRPr="007C7797">
        <w:t>57.</w:t>
      </w:r>
      <w:r w:rsidRPr="007C7797">
        <w:tab/>
        <w:t xml:space="preserve">Walker WT, Young A, Bennett M, et al. Pulmonary radioaerosol mucociliary clearance in primary ciliary dyskinesia. </w:t>
      </w:r>
      <w:r w:rsidR="006E0013" w:rsidRPr="006E0013">
        <w:rPr>
          <w:i/>
          <w:lang w:val="en-GB"/>
        </w:rPr>
        <w:t xml:space="preserve">Eur Respir J </w:t>
      </w:r>
      <w:r w:rsidRPr="007C7797">
        <w:t xml:space="preserve">2014; </w:t>
      </w:r>
      <w:r w:rsidRPr="007C7797">
        <w:rPr>
          <w:b/>
        </w:rPr>
        <w:t>44</w:t>
      </w:r>
      <w:r w:rsidRPr="007C7797">
        <w:t>(2): 533-5.</w:t>
      </w:r>
    </w:p>
    <w:p w14:paraId="41413921" w14:textId="02C91E04" w:rsidR="007C7797" w:rsidRPr="007C7797" w:rsidRDefault="007C7797" w:rsidP="007C7797">
      <w:pPr>
        <w:pStyle w:val="EndNoteBibliography"/>
        <w:spacing w:after="0"/>
      </w:pPr>
      <w:r w:rsidRPr="007C7797">
        <w:t>58.</w:t>
      </w:r>
      <w:r w:rsidRPr="007C7797">
        <w:tab/>
        <w:t xml:space="preserve">Shoemark A, Burgoyne T, Kwan R, et al. Primary ciliary dyskinesia with normal ultrastructure: three-dimensional tomography detects absence of DNAH11. </w:t>
      </w:r>
      <w:r w:rsidR="006E0013" w:rsidRPr="006E0013">
        <w:rPr>
          <w:i/>
          <w:lang w:val="en-GB"/>
        </w:rPr>
        <w:t xml:space="preserve">Eur Respir J </w:t>
      </w:r>
      <w:r w:rsidRPr="007C7797">
        <w:t xml:space="preserve">2018; </w:t>
      </w:r>
      <w:r w:rsidRPr="007C7797">
        <w:rPr>
          <w:b/>
        </w:rPr>
        <w:t>51</w:t>
      </w:r>
      <w:r w:rsidRPr="007C7797">
        <w:t>(2).</w:t>
      </w:r>
    </w:p>
    <w:p w14:paraId="004F2856" w14:textId="139AF78E" w:rsidR="007C7797" w:rsidRPr="007C7797" w:rsidRDefault="007C7797" w:rsidP="007C7797">
      <w:pPr>
        <w:pStyle w:val="EndNoteBibliography"/>
        <w:spacing w:after="0"/>
      </w:pPr>
      <w:r w:rsidRPr="007C7797">
        <w:t>59.</w:t>
      </w:r>
      <w:r w:rsidRPr="007C7797">
        <w:tab/>
      </w:r>
      <w:r w:rsidR="005370CB" w:rsidRPr="005370CB">
        <w:rPr>
          <w:lang w:val="en-GB"/>
        </w:rPr>
        <w:t xml:space="preserve">Paff T, Loges NT, Aprea I, et al. Mutations in PIH1D3 Cause X-Linked Primary Ciliary Dyskinesia with Outer and Inner Dynein Arm Defects. </w:t>
      </w:r>
      <w:r w:rsidR="005370CB" w:rsidRPr="005370CB">
        <w:rPr>
          <w:i/>
          <w:lang w:val="en-GB"/>
        </w:rPr>
        <w:t xml:space="preserve">Am J Hum Genet </w:t>
      </w:r>
      <w:r w:rsidR="005370CB" w:rsidRPr="005370CB">
        <w:rPr>
          <w:lang w:val="en-GB"/>
        </w:rPr>
        <w:t xml:space="preserve">2017; </w:t>
      </w:r>
      <w:r w:rsidR="005370CB" w:rsidRPr="005370CB">
        <w:rPr>
          <w:b/>
          <w:lang w:val="en-GB"/>
        </w:rPr>
        <w:t>100</w:t>
      </w:r>
      <w:r w:rsidR="005370CB" w:rsidRPr="005370CB">
        <w:rPr>
          <w:lang w:val="en-GB"/>
        </w:rPr>
        <w:t>(1): 160-8.</w:t>
      </w:r>
    </w:p>
    <w:p w14:paraId="029FA204" w14:textId="67C6B237" w:rsidR="007C7797" w:rsidRPr="007C7797" w:rsidRDefault="007C7797" w:rsidP="007C7797">
      <w:pPr>
        <w:pStyle w:val="EndNoteBibliography"/>
        <w:spacing w:after="0"/>
      </w:pPr>
      <w:r w:rsidRPr="00CE1140">
        <w:t>60.</w:t>
      </w:r>
      <w:r w:rsidRPr="00CE1140">
        <w:tab/>
      </w:r>
      <w:r w:rsidR="00CE1140" w:rsidRPr="00E43376">
        <w:rPr>
          <w:lang w:val="en-GB"/>
        </w:rPr>
        <w:t xml:space="preserve">Olcese C, Patel MP, Shoemark A, et al. X-linked primary ciliary dyskinesia due to mutations in the cytoplasmic axonemal dynein assembly factor PIH1D3. </w:t>
      </w:r>
      <w:r w:rsidR="00CE1140" w:rsidRPr="00E43376">
        <w:rPr>
          <w:i/>
          <w:lang w:val="en-GB"/>
        </w:rPr>
        <w:t xml:space="preserve">Nat Commun. </w:t>
      </w:r>
      <w:r w:rsidR="00CE1140" w:rsidRPr="00E43376">
        <w:rPr>
          <w:lang w:val="en-GB"/>
        </w:rPr>
        <w:t xml:space="preserve">2017; </w:t>
      </w:r>
      <w:r w:rsidR="00CE1140" w:rsidRPr="00E43376">
        <w:rPr>
          <w:b/>
          <w:lang w:val="en-GB"/>
        </w:rPr>
        <w:t>8:</w:t>
      </w:r>
      <w:r w:rsidR="00CE1140" w:rsidRPr="00E43376">
        <w:rPr>
          <w:lang w:val="en-GB"/>
        </w:rPr>
        <w:t>14279</w:t>
      </w:r>
      <w:r w:rsidRPr="00E43376">
        <w:t>.</w:t>
      </w:r>
    </w:p>
    <w:p w14:paraId="1ED7A61B" w14:textId="77777777" w:rsidR="007C7797" w:rsidRPr="007C7797" w:rsidRDefault="007C7797" w:rsidP="007C7797">
      <w:pPr>
        <w:pStyle w:val="EndNoteBibliography"/>
        <w:spacing w:after="0"/>
      </w:pPr>
      <w:r w:rsidRPr="007C7797">
        <w:t>61.</w:t>
      </w:r>
      <w:r w:rsidRPr="007C7797">
        <w:tab/>
        <w:t xml:space="preserve">Bush A, Payne D, Pike S, Jenkins G, Henke MO, Rubin BK. Mucus properties in children with primary ciliary dyskinesia: comparison with cystic fibrosis. </w:t>
      </w:r>
      <w:r w:rsidRPr="007C7797">
        <w:rPr>
          <w:i/>
        </w:rPr>
        <w:t>Chest</w:t>
      </w:r>
      <w:r w:rsidRPr="007C7797">
        <w:t xml:space="preserve"> 2006; </w:t>
      </w:r>
      <w:r w:rsidRPr="007C7797">
        <w:rPr>
          <w:b/>
        </w:rPr>
        <w:t>129</w:t>
      </w:r>
      <w:r w:rsidRPr="007C7797">
        <w:t>(1): 118-23.</w:t>
      </w:r>
    </w:p>
    <w:p w14:paraId="1D17272D" w14:textId="498949BC" w:rsidR="007C7797" w:rsidRPr="007C7797" w:rsidRDefault="007C7797" w:rsidP="007C7797">
      <w:pPr>
        <w:pStyle w:val="EndNoteBibliography"/>
        <w:spacing w:after="0"/>
      </w:pPr>
      <w:r w:rsidRPr="007C7797">
        <w:t>62.</w:t>
      </w:r>
      <w:r w:rsidRPr="007C7797">
        <w:tab/>
        <w:t xml:space="preserve">Ratjen F, Waters V, Klingel M, et al. Changes in airway inflammation during pulmonary exacerbations in patients with cystic fibrosis and primary ciliary dyskinesia. </w:t>
      </w:r>
      <w:r w:rsidR="006E0013" w:rsidRPr="006E0013">
        <w:rPr>
          <w:i/>
          <w:lang w:val="en-GB"/>
        </w:rPr>
        <w:t xml:space="preserve">Eur Respir J </w:t>
      </w:r>
      <w:r w:rsidRPr="007C7797">
        <w:t xml:space="preserve">2016; </w:t>
      </w:r>
      <w:r w:rsidRPr="007C7797">
        <w:rPr>
          <w:b/>
        </w:rPr>
        <w:t>47</w:t>
      </w:r>
      <w:r w:rsidRPr="007C7797">
        <w:t>(3): 829-36.</w:t>
      </w:r>
    </w:p>
    <w:p w14:paraId="314B836E" w14:textId="79147C66" w:rsidR="007C7797" w:rsidRPr="007C7797" w:rsidRDefault="007C7797" w:rsidP="007C7797">
      <w:pPr>
        <w:pStyle w:val="EndNoteBibliography"/>
        <w:spacing w:after="0"/>
      </w:pPr>
      <w:r w:rsidRPr="007C7797">
        <w:t>63.</w:t>
      </w:r>
      <w:r w:rsidRPr="007C7797">
        <w:tab/>
        <w:t xml:space="preserve">Cockx M, Gouwy M, Ruytinx P, et al. Monocytes from patients with Primary Ciliary Dyskinesia show enhanced inflammatory properties and produce higher levels of pro-inflammatory cytokines. </w:t>
      </w:r>
      <w:r w:rsidR="00E60D5A">
        <w:rPr>
          <w:i/>
        </w:rPr>
        <w:t>Scientific R</w:t>
      </w:r>
      <w:r w:rsidRPr="007C7797">
        <w:rPr>
          <w:i/>
        </w:rPr>
        <w:t>eports</w:t>
      </w:r>
      <w:r w:rsidRPr="007C7797">
        <w:t xml:space="preserve"> 2017; </w:t>
      </w:r>
      <w:r w:rsidRPr="007C7797">
        <w:rPr>
          <w:b/>
        </w:rPr>
        <w:t>7</w:t>
      </w:r>
      <w:r w:rsidRPr="007C7797">
        <w:t>(1): 14657.</w:t>
      </w:r>
    </w:p>
    <w:p w14:paraId="7EF9B715" w14:textId="1AC06684" w:rsidR="007C7797" w:rsidRPr="007C7797" w:rsidRDefault="007C7797" w:rsidP="007C7797">
      <w:pPr>
        <w:pStyle w:val="EndNoteBibliography"/>
        <w:spacing w:after="0"/>
      </w:pPr>
      <w:r w:rsidRPr="007C7797">
        <w:t>64.</w:t>
      </w:r>
      <w:r w:rsidRPr="007C7797">
        <w:tab/>
        <w:t xml:space="preserve">Olbrich H, Haffner K, Kispert A, et al. Mutations in DNAH5 cause primary ciliary dyskinesia and randomization of left-right asymmetry. </w:t>
      </w:r>
      <w:r w:rsidR="00E60D5A">
        <w:rPr>
          <w:i/>
        </w:rPr>
        <w:t>Nat G</w:t>
      </w:r>
      <w:r w:rsidRPr="007C7797">
        <w:rPr>
          <w:i/>
        </w:rPr>
        <w:t>enetics</w:t>
      </w:r>
      <w:r w:rsidRPr="007C7797">
        <w:t xml:space="preserve"> 2002; </w:t>
      </w:r>
      <w:r w:rsidRPr="007C7797">
        <w:rPr>
          <w:b/>
        </w:rPr>
        <w:t>30</w:t>
      </w:r>
      <w:r w:rsidRPr="007C7797">
        <w:t>(2): 143-4.</w:t>
      </w:r>
    </w:p>
    <w:p w14:paraId="25C0A777" w14:textId="39D725B0" w:rsidR="007C7797" w:rsidRPr="007C7797" w:rsidRDefault="007C7797" w:rsidP="007C7797">
      <w:pPr>
        <w:pStyle w:val="EndNoteBibliography"/>
        <w:spacing w:after="0"/>
      </w:pPr>
      <w:r w:rsidRPr="007C7797">
        <w:t>65.</w:t>
      </w:r>
      <w:r w:rsidRPr="007C7797">
        <w:tab/>
        <w:t xml:space="preserve">Bartoloni L, Blouin JL, Pan Y, et al. Mutations in the DNAH11 (axonemal heavy chain dynein type 11) gene cause one form of situs inversus totalis and most likely primary ciliary dyskinesia. </w:t>
      </w:r>
      <w:r w:rsidR="00E60D5A" w:rsidRPr="00E60D5A">
        <w:rPr>
          <w:i/>
          <w:lang w:val="en-GB"/>
        </w:rPr>
        <w:t xml:space="preserve">Proc Natl Acad Sci U S A. </w:t>
      </w:r>
      <w:r w:rsidRPr="007C7797">
        <w:t xml:space="preserve">2002; </w:t>
      </w:r>
      <w:r w:rsidRPr="007C7797">
        <w:rPr>
          <w:b/>
        </w:rPr>
        <w:t>99</w:t>
      </w:r>
      <w:r w:rsidRPr="007C7797">
        <w:t>(16): 10282-6.</w:t>
      </w:r>
    </w:p>
    <w:p w14:paraId="7A86C42D" w14:textId="79BF9F1F" w:rsidR="007C7797" w:rsidRPr="007C7797" w:rsidRDefault="007C7797" w:rsidP="007C7797">
      <w:pPr>
        <w:pStyle w:val="EndNoteBibliography"/>
        <w:spacing w:after="0"/>
      </w:pPr>
      <w:r w:rsidRPr="007C7797">
        <w:t>66.</w:t>
      </w:r>
      <w:r w:rsidRPr="007C7797">
        <w:tab/>
        <w:t xml:space="preserve">Pennarun G, Escudier E, Chapelin C, et al. Loss-of-function mutations in a human gene related to Chlamydomonas reinhardtii dynein IC78 result in primary ciliary dyskinesia. </w:t>
      </w:r>
      <w:r w:rsidR="00E60D5A" w:rsidRPr="00E60D5A">
        <w:rPr>
          <w:i/>
          <w:lang w:val="en-GB"/>
        </w:rPr>
        <w:t xml:space="preserve">Am J Hum Genet </w:t>
      </w:r>
      <w:r w:rsidRPr="007C7797">
        <w:t xml:space="preserve">1999; </w:t>
      </w:r>
      <w:r w:rsidRPr="007C7797">
        <w:rPr>
          <w:b/>
        </w:rPr>
        <w:t>65</w:t>
      </w:r>
      <w:r w:rsidRPr="007C7797">
        <w:t>(6): 1508-19.</w:t>
      </w:r>
    </w:p>
    <w:p w14:paraId="38C4ED32" w14:textId="36BC9EFF" w:rsidR="007C7797" w:rsidRPr="007C7797" w:rsidRDefault="007C7797" w:rsidP="007C7797">
      <w:pPr>
        <w:pStyle w:val="EndNoteBibliography"/>
        <w:spacing w:after="0"/>
      </w:pPr>
      <w:r w:rsidRPr="007C7797">
        <w:t>67.</w:t>
      </w:r>
      <w:r w:rsidRPr="007C7797">
        <w:tab/>
        <w:t xml:space="preserve">Loges NT, Olbrich H, Fenske L, et al. DNAI2 mutations cause primary ciliary dyskinesia with defects in the outer dynein arm. </w:t>
      </w:r>
      <w:r w:rsidR="00E60D5A" w:rsidRPr="00E60D5A">
        <w:rPr>
          <w:i/>
          <w:lang w:val="en-GB"/>
        </w:rPr>
        <w:t xml:space="preserve">Am J Hum Genet </w:t>
      </w:r>
      <w:r w:rsidRPr="007C7797">
        <w:t xml:space="preserve">2008; </w:t>
      </w:r>
      <w:r w:rsidRPr="007C7797">
        <w:rPr>
          <w:b/>
        </w:rPr>
        <w:t>83</w:t>
      </w:r>
      <w:r w:rsidRPr="007C7797">
        <w:t>(5): 547-58.</w:t>
      </w:r>
    </w:p>
    <w:p w14:paraId="3D5C885F" w14:textId="749D43D3" w:rsidR="007C7797" w:rsidRPr="007C7797" w:rsidRDefault="007C7797" w:rsidP="007C7797">
      <w:pPr>
        <w:pStyle w:val="EndNoteBibliography"/>
        <w:spacing w:after="0"/>
      </w:pPr>
      <w:r w:rsidRPr="007C7797">
        <w:t>68.</w:t>
      </w:r>
      <w:r w:rsidRPr="007C7797">
        <w:tab/>
        <w:t xml:space="preserve">Mazor M, Alkrinawi S, Chalifa-Caspi V, et al. Primary ciliary dyskinesia caused by homozygous mutation in DNAL1, encoding dynein light chain 1. </w:t>
      </w:r>
      <w:r w:rsidR="00E60D5A" w:rsidRPr="00E60D5A">
        <w:rPr>
          <w:i/>
          <w:lang w:val="en-GB"/>
        </w:rPr>
        <w:t xml:space="preserve">Am J Hum Genet </w:t>
      </w:r>
      <w:r w:rsidRPr="007C7797">
        <w:t xml:space="preserve">2011; </w:t>
      </w:r>
      <w:r w:rsidRPr="007C7797">
        <w:rPr>
          <w:b/>
        </w:rPr>
        <w:t>88</w:t>
      </w:r>
      <w:r w:rsidRPr="007C7797">
        <w:t>(5): 599-607.</w:t>
      </w:r>
    </w:p>
    <w:p w14:paraId="34043E13" w14:textId="5B2C866F" w:rsidR="007C7797" w:rsidRPr="007C7797" w:rsidRDefault="007C7797" w:rsidP="007C7797">
      <w:pPr>
        <w:pStyle w:val="EndNoteBibliography"/>
        <w:spacing w:after="0"/>
      </w:pPr>
      <w:r w:rsidRPr="007C7797">
        <w:t>69.</w:t>
      </w:r>
      <w:r w:rsidRPr="007C7797">
        <w:tab/>
        <w:t xml:space="preserve">Duriez B, Duquesnoy P, Escudier E, et al. A common variant in combination with a nonsense mutation in a member of the thioredoxin family causes primary ciliary dyskinesia. </w:t>
      </w:r>
      <w:r w:rsidR="00E60D5A" w:rsidRPr="00E60D5A">
        <w:rPr>
          <w:i/>
          <w:lang w:val="en-GB"/>
        </w:rPr>
        <w:t xml:space="preserve">Proc Natl Acad Sci U S A. </w:t>
      </w:r>
      <w:r w:rsidRPr="007C7797">
        <w:t xml:space="preserve">2007; </w:t>
      </w:r>
      <w:r w:rsidRPr="007C7797">
        <w:rPr>
          <w:b/>
        </w:rPr>
        <w:t>104</w:t>
      </w:r>
      <w:r w:rsidRPr="007C7797">
        <w:t>(9): 3336-41.</w:t>
      </w:r>
    </w:p>
    <w:p w14:paraId="694CCFBE" w14:textId="6F8B7AA0" w:rsidR="007C7797" w:rsidRPr="007C7797" w:rsidRDefault="007C7797" w:rsidP="007C7797">
      <w:pPr>
        <w:pStyle w:val="EndNoteBibliography"/>
        <w:spacing w:after="0"/>
      </w:pPr>
      <w:r w:rsidRPr="007C7797">
        <w:t>70.</w:t>
      </w:r>
      <w:r w:rsidRPr="007C7797">
        <w:tab/>
        <w:t xml:space="preserve">Loges NT, Antony D, Maver A, et al. Recessive DNAH9 Loss-of-Function Mutations Cause Laterality Defects and Subtle Respiratory Ciliary-Beating Defects. </w:t>
      </w:r>
      <w:r w:rsidR="00E60D5A" w:rsidRPr="00E60D5A">
        <w:rPr>
          <w:i/>
          <w:lang w:val="en-GB"/>
        </w:rPr>
        <w:t xml:space="preserve">Am J Hum Genet </w:t>
      </w:r>
      <w:r w:rsidRPr="007C7797">
        <w:t xml:space="preserve">2018; </w:t>
      </w:r>
      <w:r w:rsidRPr="007C7797">
        <w:rPr>
          <w:b/>
        </w:rPr>
        <w:t>103</w:t>
      </w:r>
      <w:r w:rsidRPr="007C7797">
        <w:t>(6): 995-1008.</w:t>
      </w:r>
    </w:p>
    <w:p w14:paraId="6A99C8F6" w14:textId="5BE606D5" w:rsidR="007C7797" w:rsidRPr="007C7797" w:rsidRDefault="007C7797" w:rsidP="007C7797">
      <w:pPr>
        <w:pStyle w:val="EndNoteBibliography"/>
        <w:spacing w:after="0"/>
      </w:pPr>
      <w:r w:rsidRPr="007C7797">
        <w:t>71.</w:t>
      </w:r>
      <w:r w:rsidRPr="007C7797">
        <w:tab/>
        <w:t xml:space="preserve">Dougherty GW, Loges NT, Klinkenbusch JA, et al. DNAH11 Localization in the Proximal Region of Respiratory Cilia Defines Distinct Outer Dynein Arm Complexes. </w:t>
      </w:r>
      <w:r w:rsidR="00E60D5A" w:rsidRPr="00E60D5A">
        <w:rPr>
          <w:i/>
          <w:lang w:val="en-GB"/>
        </w:rPr>
        <w:t xml:space="preserve">Am J Respir Cell Mol Biol </w:t>
      </w:r>
      <w:r w:rsidRPr="007C7797">
        <w:t xml:space="preserve">2016; </w:t>
      </w:r>
      <w:r w:rsidRPr="007C7797">
        <w:rPr>
          <w:b/>
        </w:rPr>
        <w:t>55</w:t>
      </w:r>
      <w:r w:rsidRPr="007C7797">
        <w:t>(2): 213-24.</w:t>
      </w:r>
    </w:p>
    <w:p w14:paraId="7D6D572D" w14:textId="381D2F13" w:rsidR="007C7797" w:rsidRPr="007C7797" w:rsidRDefault="007C7797" w:rsidP="007C7797">
      <w:pPr>
        <w:pStyle w:val="EndNoteBibliography"/>
        <w:spacing w:after="0"/>
      </w:pPr>
      <w:r w:rsidRPr="007C7797">
        <w:t>72.</w:t>
      </w:r>
      <w:r w:rsidRPr="007C7797">
        <w:tab/>
        <w:t xml:space="preserve">Knowles MR, Leigh MW, Ostrowski LE, et al. Exome sequencing identifies mutations in CCDC114 as a cause of primary ciliary dyskinesia. </w:t>
      </w:r>
      <w:r w:rsidR="00E60D5A" w:rsidRPr="00E60D5A">
        <w:rPr>
          <w:i/>
          <w:lang w:val="en-GB"/>
        </w:rPr>
        <w:t xml:space="preserve">Am J Hum Genet </w:t>
      </w:r>
      <w:r w:rsidRPr="007C7797">
        <w:t xml:space="preserve">2013; </w:t>
      </w:r>
      <w:r w:rsidRPr="007C7797">
        <w:rPr>
          <w:b/>
        </w:rPr>
        <w:t>92</w:t>
      </w:r>
      <w:r w:rsidRPr="007C7797">
        <w:t>(1): 99-106.</w:t>
      </w:r>
    </w:p>
    <w:p w14:paraId="7CF523A0" w14:textId="6B0BF710" w:rsidR="007C7797" w:rsidRPr="007C7797" w:rsidRDefault="007C7797" w:rsidP="007C7797">
      <w:pPr>
        <w:pStyle w:val="EndNoteBibliography"/>
        <w:spacing w:after="0"/>
      </w:pPr>
      <w:r w:rsidRPr="007C7797">
        <w:t>73.</w:t>
      </w:r>
      <w:r w:rsidRPr="007C7797">
        <w:tab/>
        <w:t xml:space="preserve">Hjeij R, Lindstrand A, Francis R, et al. ARMC4 mutations cause primary ciliary dyskinesia with randomization of left/right body asymmetry. </w:t>
      </w:r>
      <w:r w:rsidR="00E60D5A" w:rsidRPr="00E60D5A">
        <w:rPr>
          <w:i/>
          <w:lang w:val="en-GB"/>
        </w:rPr>
        <w:t xml:space="preserve">Am J Hum Genet </w:t>
      </w:r>
      <w:r w:rsidRPr="007C7797">
        <w:t xml:space="preserve">2013; </w:t>
      </w:r>
      <w:r w:rsidRPr="007C7797">
        <w:rPr>
          <w:b/>
        </w:rPr>
        <w:t>93</w:t>
      </w:r>
      <w:r w:rsidRPr="007C7797">
        <w:t>(2): 357-67.</w:t>
      </w:r>
    </w:p>
    <w:p w14:paraId="641CA8BA" w14:textId="376A0921" w:rsidR="007C7797" w:rsidRPr="007C7797" w:rsidRDefault="007C7797" w:rsidP="007C7797">
      <w:pPr>
        <w:pStyle w:val="EndNoteBibliography"/>
        <w:spacing w:after="0"/>
      </w:pPr>
      <w:r w:rsidRPr="007C7797">
        <w:t>74.</w:t>
      </w:r>
      <w:r w:rsidRPr="007C7797">
        <w:tab/>
        <w:t xml:space="preserve">Alsaadi MM, Erzurumluoglu AM, Rodriguez S, et al. Nonsense mutation in coiled-coil domain containing 151 gene (CCDC151) causes primary ciliary dyskinesia. </w:t>
      </w:r>
      <w:r w:rsidR="00E60D5A">
        <w:rPr>
          <w:i/>
        </w:rPr>
        <w:t>Hum Mutat</w:t>
      </w:r>
      <w:r w:rsidRPr="007C7797">
        <w:t xml:space="preserve"> 2014; </w:t>
      </w:r>
      <w:r w:rsidRPr="007C7797">
        <w:rPr>
          <w:b/>
        </w:rPr>
        <w:t>35</w:t>
      </w:r>
      <w:r w:rsidRPr="007C7797">
        <w:t>(12): 1446-8.</w:t>
      </w:r>
    </w:p>
    <w:p w14:paraId="224F022D" w14:textId="06F94701" w:rsidR="007C7797" w:rsidRPr="007C7797" w:rsidRDefault="007C7797" w:rsidP="007C7797">
      <w:pPr>
        <w:pStyle w:val="EndNoteBibliography"/>
        <w:spacing w:after="0"/>
      </w:pPr>
      <w:r w:rsidRPr="007C7797">
        <w:t>75.</w:t>
      </w:r>
      <w:r w:rsidRPr="007C7797">
        <w:tab/>
        <w:t xml:space="preserve">Hjeij R, Onoufriadis A, Watson CM, et al. CCDC151 mutations cause primary ciliary dyskinesia by disruption of the outer dynein arm docking complex formation. </w:t>
      </w:r>
      <w:r w:rsidR="00E60D5A" w:rsidRPr="00E60D5A">
        <w:rPr>
          <w:i/>
          <w:lang w:val="en-GB"/>
        </w:rPr>
        <w:t xml:space="preserve">Am J Hum Genet </w:t>
      </w:r>
      <w:r w:rsidRPr="007C7797">
        <w:t xml:space="preserve">2014; </w:t>
      </w:r>
      <w:r w:rsidRPr="007C7797">
        <w:rPr>
          <w:b/>
        </w:rPr>
        <w:t>95</w:t>
      </w:r>
      <w:r w:rsidRPr="007C7797">
        <w:t>(3): 257-74.</w:t>
      </w:r>
    </w:p>
    <w:p w14:paraId="2EE4AFB8" w14:textId="22ABEA12" w:rsidR="007C7797" w:rsidRPr="007C7797" w:rsidRDefault="007C7797" w:rsidP="007C7797">
      <w:pPr>
        <w:pStyle w:val="EndNoteBibliography"/>
        <w:spacing w:after="0"/>
      </w:pPr>
      <w:r w:rsidRPr="007C7797">
        <w:t>76.</w:t>
      </w:r>
      <w:r w:rsidRPr="007C7797">
        <w:tab/>
        <w:t xml:space="preserve">Wallmeier J, Shiratori H, Dougherty GW, et al. TTC25 Deficiency Results in Defects of the Outer Dynein Arm Docking Machinery and Primary Ciliary Dyskinesia with Left-Right Body Asymmetry Randomization. </w:t>
      </w:r>
      <w:r w:rsidR="00E60D5A" w:rsidRPr="00E60D5A">
        <w:rPr>
          <w:i/>
          <w:lang w:val="en-GB"/>
        </w:rPr>
        <w:t xml:space="preserve">Am J Hum Genet </w:t>
      </w:r>
      <w:r w:rsidRPr="007C7797">
        <w:t xml:space="preserve">2016; </w:t>
      </w:r>
      <w:r w:rsidRPr="007C7797">
        <w:rPr>
          <w:b/>
        </w:rPr>
        <w:t>99</w:t>
      </w:r>
      <w:r w:rsidRPr="007C7797">
        <w:t>(2): 460-9.</w:t>
      </w:r>
    </w:p>
    <w:p w14:paraId="3B405B15" w14:textId="2D9C9A0D" w:rsidR="007C7797" w:rsidRPr="007C7797" w:rsidRDefault="007C7797" w:rsidP="007C7797">
      <w:pPr>
        <w:pStyle w:val="EndNoteBibliography"/>
        <w:spacing w:after="0"/>
      </w:pPr>
      <w:r w:rsidRPr="007C7797">
        <w:t>77.</w:t>
      </w:r>
      <w:r w:rsidRPr="007C7797">
        <w:tab/>
        <w:t xml:space="preserve">Panizzi JR, Becker-Heck A, Castleman VH, et al. CCDC103 mutations cause primary ciliary dyskinesia by disrupting assembly of ciliary dynein arms. </w:t>
      </w:r>
      <w:r w:rsidR="00E60D5A" w:rsidRPr="00E60D5A">
        <w:rPr>
          <w:i/>
          <w:lang w:val="en-GB"/>
        </w:rPr>
        <w:t xml:space="preserve">Nat Genetics </w:t>
      </w:r>
      <w:r w:rsidRPr="007C7797">
        <w:t xml:space="preserve">2012; </w:t>
      </w:r>
      <w:r w:rsidRPr="007C7797">
        <w:rPr>
          <w:b/>
        </w:rPr>
        <w:t>44</w:t>
      </w:r>
      <w:r w:rsidRPr="007C7797">
        <w:t>(6): 714-9.</w:t>
      </w:r>
    </w:p>
    <w:p w14:paraId="285B3A1C" w14:textId="73FB3684" w:rsidR="007C7797" w:rsidRPr="007C7797" w:rsidRDefault="007C7797" w:rsidP="007C7797">
      <w:pPr>
        <w:pStyle w:val="EndNoteBibliography"/>
        <w:spacing w:after="0"/>
      </w:pPr>
      <w:r w:rsidRPr="007C7797">
        <w:t>78.</w:t>
      </w:r>
      <w:r w:rsidRPr="007C7797">
        <w:tab/>
        <w:t xml:space="preserve">Bonnefoy S, Watson CM, Kernohan KD, et al. Biallelic Mutations in LRRC56, Encoding a Protein Associated with Intraflagellar Transport, Cause Mucociliary Clearance and Laterality Defects. </w:t>
      </w:r>
      <w:r w:rsidR="00E60D5A" w:rsidRPr="00E60D5A">
        <w:rPr>
          <w:i/>
          <w:lang w:val="en-GB"/>
        </w:rPr>
        <w:t xml:space="preserve">Am J Hum Genet </w:t>
      </w:r>
      <w:r w:rsidRPr="007C7797">
        <w:t xml:space="preserve">2018; </w:t>
      </w:r>
      <w:r w:rsidRPr="007C7797">
        <w:rPr>
          <w:b/>
        </w:rPr>
        <w:t>103</w:t>
      </w:r>
      <w:r w:rsidRPr="007C7797">
        <w:t>(5): 727-39.</w:t>
      </w:r>
    </w:p>
    <w:p w14:paraId="2C28D442" w14:textId="2BF9A09C" w:rsidR="007C7797" w:rsidRPr="007C7797" w:rsidRDefault="007C7797" w:rsidP="007C7797">
      <w:pPr>
        <w:pStyle w:val="EndNoteBibliography"/>
        <w:spacing w:after="0"/>
      </w:pPr>
      <w:r w:rsidRPr="007C7797">
        <w:t>79.</w:t>
      </w:r>
      <w:r w:rsidRPr="007C7797">
        <w:tab/>
        <w:t xml:space="preserve">Duquesnoy P, Escudier E, Vincensini L, et al. Loss-of-function mutations in the human ortholog of Chlamydomonas reinhardtii ODA7 disrupt dynein arm assembly and cause primary ciliary dyskinesia. </w:t>
      </w:r>
      <w:r w:rsidR="00E60D5A" w:rsidRPr="00E60D5A">
        <w:rPr>
          <w:i/>
          <w:lang w:val="en-GB"/>
        </w:rPr>
        <w:t xml:space="preserve">Am J Hum Genet </w:t>
      </w:r>
      <w:r w:rsidRPr="007C7797">
        <w:t xml:space="preserve">2009; </w:t>
      </w:r>
      <w:r w:rsidRPr="007C7797">
        <w:rPr>
          <w:b/>
        </w:rPr>
        <w:t>85</w:t>
      </w:r>
      <w:r w:rsidRPr="007C7797">
        <w:t>(6): 890-6.</w:t>
      </w:r>
    </w:p>
    <w:p w14:paraId="74183212" w14:textId="4CDC8992" w:rsidR="007C7797" w:rsidRPr="007C7797" w:rsidRDefault="007C7797" w:rsidP="007C7797">
      <w:pPr>
        <w:pStyle w:val="EndNoteBibliography"/>
        <w:spacing w:after="0"/>
      </w:pPr>
      <w:r w:rsidRPr="007C7797">
        <w:t>80.</w:t>
      </w:r>
      <w:r w:rsidRPr="007C7797">
        <w:tab/>
        <w:t xml:space="preserve">Loges NT, Olbrich H, Becker-Heck A, et al. Deletions and point mutations of LRRC50 cause primary ciliary dyskinesia due to dynein arm defects. </w:t>
      </w:r>
      <w:r w:rsidR="0024686C" w:rsidRPr="0024686C">
        <w:rPr>
          <w:i/>
          <w:lang w:val="en-GB"/>
        </w:rPr>
        <w:t xml:space="preserve">Am J Hum Genet </w:t>
      </w:r>
      <w:r w:rsidRPr="007C7797">
        <w:t xml:space="preserve">2009; </w:t>
      </w:r>
      <w:r w:rsidRPr="007C7797">
        <w:rPr>
          <w:b/>
        </w:rPr>
        <w:t>85</w:t>
      </w:r>
      <w:r w:rsidRPr="007C7797">
        <w:t>(6): 883-9.</w:t>
      </w:r>
    </w:p>
    <w:p w14:paraId="151E4330" w14:textId="77777777" w:rsidR="007C7797" w:rsidRPr="007C7797" w:rsidRDefault="007C7797" w:rsidP="007C7797">
      <w:pPr>
        <w:pStyle w:val="EndNoteBibliography"/>
        <w:spacing w:after="0"/>
      </w:pPr>
      <w:r w:rsidRPr="007C7797">
        <w:t>81.</w:t>
      </w:r>
      <w:r w:rsidRPr="007C7797">
        <w:tab/>
        <w:t xml:space="preserve">Omran H, Kobayashi D, Olbrich H, et al. Ktu/PF13 is required for cytoplasmic pre-assembly of axonemal dyneins. </w:t>
      </w:r>
      <w:r w:rsidRPr="007C7797">
        <w:rPr>
          <w:i/>
        </w:rPr>
        <w:t>Nature</w:t>
      </w:r>
      <w:r w:rsidRPr="007C7797">
        <w:t xml:space="preserve"> 2008; </w:t>
      </w:r>
      <w:r w:rsidRPr="007C7797">
        <w:rPr>
          <w:b/>
        </w:rPr>
        <w:t>456</w:t>
      </w:r>
      <w:r w:rsidRPr="007C7797">
        <w:t>(7222): 611-6.</w:t>
      </w:r>
    </w:p>
    <w:p w14:paraId="51E98498" w14:textId="5C74B72F" w:rsidR="007C7797" w:rsidRPr="007C7797" w:rsidRDefault="007C7797" w:rsidP="007C7797">
      <w:pPr>
        <w:pStyle w:val="EndNoteBibliography"/>
        <w:spacing w:after="0"/>
      </w:pPr>
      <w:r w:rsidRPr="007C7797">
        <w:t>82.</w:t>
      </w:r>
      <w:r w:rsidRPr="007C7797">
        <w:tab/>
        <w:t xml:space="preserve">Mitchison HM, Schmidts M, Loges NT, et al. Mutations in axonemal dynein assembly factor DNAAF3 cause primary ciliary dyskinesia. </w:t>
      </w:r>
      <w:r w:rsidR="0024686C">
        <w:rPr>
          <w:i/>
        </w:rPr>
        <w:t>Nat G</w:t>
      </w:r>
      <w:r w:rsidRPr="007C7797">
        <w:rPr>
          <w:i/>
        </w:rPr>
        <w:t>enetics</w:t>
      </w:r>
      <w:r w:rsidRPr="007C7797">
        <w:t xml:space="preserve"> 2012; </w:t>
      </w:r>
      <w:r w:rsidRPr="007C7797">
        <w:rPr>
          <w:b/>
        </w:rPr>
        <w:t>44</w:t>
      </w:r>
      <w:r w:rsidRPr="007C7797">
        <w:t>(4): 381-9, s1-2.</w:t>
      </w:r>
    </w:p>
    <w:p w14:paraId="74542AE0" w14:textId="04F83D09" w:rsidR="007C7797" w:rsidRPr="007C7797" w:rsidRDefault="007C7797" w:rsidP="007C7797">
      <w:pPr>
        <w:pStyle w:val="EndNoteBibliography"/>
        <w:spacing w:after="0"/>
      </w:pPr>
      <w:r w:rsidRPr="007C7797">
        <w:t>83.</w:t>
      </w:r>
      <w:r w:rsidRPr="007C7797">
        <w:tab/>
        <w:t xml:space="preserve">Tarkar A, Loges NT, Slagle CE, et al. DYX1C1 is required for axonemal dynein assembly and ciliary motility. </w:t>
      </w:r>
      <w:r w:rsidR="0024686C">
        <w:rPr>
          <w:i/>
        </w:rPr>
        <w:t>Nat G</w:t>
      </w:r>
      <w:r w:rsidRPr="007C7797">
        <w:rPr>
          <w:i/>
        </w:rPr>
        <w:t>enetics</w:t>
      </w:r>
      <w:r w:rsidRPr="007C7797">
        <w:t xml:space="preserve"> 2013; </w:t>
      </w:r>
      <w:r w:rsidRPr="007C7797">
        <w:rPr>
          <w:b/>
        </w:rPr>
        <w:t>45</w:t>
      </w:r>
      <w:r w:rsidRPr="007C7797">
        <w:t>(9): 995-1003.</w:t>
      </w:r>
    </w:p>
    <w:p w14:paraId="2CE9057B" w14:textId="4CB5DC35" w:rsidR="007C7797" w:rsidRPr="007C7797" w:rsidRDefault="007C7797" w:rsidP="007C7797">
      <w:pPr>
        <w:pStyle w:val="EndNoteBibliography"/>
        <w:spacing w:after="0"/>
      </w:pPr>
      <w:r w:rsidRPr="007C7797">
        <w:t>84.</w:t>
      </w:r>
      <w:r w:rsidRPr="007C7797">
        <w:tab/>
        <w:t xml:space="preserve">Horani A, Druley TE, Zariwala MA, et al. Whole-exome capture and sequencing identifies HEATR2 mutation as a cause of primary ciliary dyskinesia. </w:t>
      </w:r>
      <w:r w:rsidR="0024686C" w:rsidRPr="0024686C">
        <w:rPr>
          <w:i/>
          <w:lang w:val="en-GB"/>
        </w:rPr>
        <w:t xml:space="preserve">Am J Hum Genet </w:t>
      </w:r>
      <w:r w:rsidRPr="007C7797">
        <w:t xml:space="preserve">2012; </w:t>
      </w:r>
      <w:r w:rsidRPr="007C7797">
        <w:rPr>
          <w:b/>
        </w:rPr>
        <w:t>91</w:t>
      </w:r>
      <w:r w:rsidRPr="007C7797">
        <w:t>(4): 685-93.</w:t>
      </w:r>
    </w:p>
    <w:p w14:paraId="625AB3B3" w14:textId="17EDF425" w:rsidR="007C7797" w:rsidRPr="007C7797" w:rsidRDefault="007C7797" w:rsidP="007C7797">
      <w:pPr>
        <w:pStyle w:val="EndNoteBibliography"/>
        <w:spacing w:after="0"/>
      </w:pPr>
      <w:r w:rsidRPr="007C7797">
        <w:t>85.</w:t>
      </w:r>
      <w:r w:rsidRPr="007C7797">
        <w:tab/>
        <w:t xml:space="preserve">Kott E, Duquesnoy P, Copin B, et al. Loss-of-function mutations in LRRC6, a gene essential for proper axonemal assembly of inner and outer dynein arms, cause primary ciliary dyskinesia. </w:t>
      </w:r>
      <w:r w:rsidR="0024686C" w:rsidRPr="0024686C">
        <w:rPr>
          <w:i/>
          <w:lang w:val="en-GB"/>
        </w:rPr>
        <w:t xml:space="preserve">Am J Hum Genet </w:t>
      </w:r>
      <w:r w:rsidRPr="007C7797">
        <w:t xml:space="preserve">2012; </w:t>
      </w:r>
      <w:r w:rsidRPr="007C7797">
        <w:rPr>
          <w:b/>
        </w:rPr>
        <w:t>91</w:t>
      </w:r>
      <w:r w:rsidRPr="007C7797">
        <w:t>(5): 958-64.</w:t>
      </w:r>
    </w:p>
    <w:p w14:paraId="2211CCB1" w14:textId="3EA200FF" w:rsidR="007C7797" w:rsidRPr="007C7797" w:rsidRDefault="007C7797" w:rsidP="007C7797">
      <w:pPr>
        <w:pStyle w:val="EndNoteBibliography"/>
        <w:spacing w:after="0"/>
      </w:pPr>
      <w:r w:rsidRPr="007C7797">
        <w:t>86.</w:t>
      </w:r>
      <w:r w:rsidRPr="007C7797">
        <w:tab/>
        <w:t xml:space="preserve">Moore DJ, Onoufriadis A, Shoemark A, et al. Mutations in ZMYND10, a gene essential for proper axonemal assembly of inner and outer dynein arms in humans and flies, cause primary ciliary dyskinesia. </w:t>
      </w:r>
      <w:r w:rsidR="0024686C" w:rsidRPr="0024686C">
        <w:rPr>
          <w:i/>
          <w:lang w:val="en-GB"/>
        </w:rPr>
        <w:t xml:space="preserve">Am J Hum Genet </w:t>
      </w:r>
      <w:r w:rsidRPr="007C7797">
        <w:t xml:space="preserve">2013; </w:t>
      </w:r>
      <w:r w:rsidRPr="007C7797">
        <w:rPr>
          <w:b/>
        </w:rPr>
        <w:t>93</w:t>
      </w:r>
      <w:r w:rsidRPr="007C7797">
        <w:t>(2): 346-56.</w:t>
      </w:r>
    </w:p>
    <w:p w14:paraId="3F44C695" w14:textId="3B105474" w:rsidR="007C7797" w:rsidRPr="007C7797" w:rsidRDefault="007C7797" w:rsidP="007C7797">
      <w:pPr>
        <w:pStyle w:val="EndNoteBibliography"/>
        <w:spacing w:after="0"/>
      </w:pPr>
      <w:r w:rsidRPr="007C7797">
        <w:t>87.</w:t>
      </w:r>
      <w:r w:rsidRPr="007C7797">
        <w:tab/>
        <w:t xml:space="preserve">Zariwala MA, Gee HY, Kurkowiak M, et al. ZMYND10 is mutated in primary ciliary dyskinesia and interacts with LRRC6. </w:t>
      </w:r>
      <w:r w:rsidR="0024686C" w:rsidRPr="0024686C">
        <w:rPr>
          <w:i/>
          <w:lang w:val="en-GB"/>
        </w:rPr>
        <w:t xml:space="preserve">Am J Hum Genet </w:t>
      </w:r>
      <w:r w:rsidRPr="007C7797">
        <w:t xml:space="preserve">2013; </w:t>
      </w:r>
      <w:r w:rsidRPr="007C7797">
        <w:rPr>
          <w:b/>
        </w:rPr>
        <w:t>93</w:t>
      </w:r>
      <w:r w:rsidRPr="007C7797">
        <w:t>(2): 336-45.</w:t>
      </w:r>
    </w:p>
    <w:p w14:paraId="311BB8D1" w14:textId="09AA445D" w:rsidR="007C7797" w:rsidRPr="007C7797" w:rsidRDefault="007C7797" w:rsidP="007C7797">
      <w:pPr>
        <w:pStyle w:val="EndNoteBibliography"/>
        <w:spacing w:after="0"/>
      </w:pPr>
      <w:r w:rsidRPr="007C7797">
        <w:t>88.</w:t>
      </w:r>
      <w:r w:rsidRPr="007C7797">
        <w:tab/>
        <w:t xml:space="preserve">Knowles MR, Ostrowski LE, Loges NT, et al. Mutations in SPAG1 cause primary ciliary dyskinesia associated with defective outer and inner dynein arms. </w:t>
      </w:r>
      <w:r w:rsidR="0024686C" w:rsidRPr="0024686C">
        <w:rPr>
          <w:i/>
          <w:lang w:val="en-GB"/>
        </w:rPr>
        <w:t xml:space="preserve">Am J Hum Genet </w:t>
      </w:r>
      <w:r w:rsidRPr="007C7797">
        <w:t xml:space="preserve">2013; </w:t>
      </w:r>
      <w:r w:rsidRPr="007C7797">
        <w:rPr>
          <w:b/>
        </w:rPr>
        <w:t>93</w:t>
      </w:r>
      <w:r w:rsidRPr="007C7797">
        <w:t>(4): 711-20.</w:t>
      </w:r>
    </w:p>
    <w:p w14:paraId="182BE7D0" w14:textId="7AEC8107" w:rsidR="007C7797" w:rsidRPr="007C7797" w:rsidRDefault="007C7797" w:rsidP="007C7797">
      <w:pPr>
        <w:pStyle w:val="EndNoteBibliography"/>
        <w:spacing w:after="0"/>
      </w:pPr>
      <w:r w:rsidRPr="007C7797">
        <w:t>89.</w:t>
      </w:r>
      <w:r w:rsidRPr="007C7797">
        <w:tab/>
        <w:t xml:space="preserve">Austin-Tse C, Halbritter J, Zariwala MA, et al. Zebrafish Ciliopathy Screen Plus Human Mutational Analysis Identifies C21orf59 and CCDC65 Defects as Causing Primary Ciliary Dyskinesia. </w:t>
      </w:r>
      <w:r w:rsidR="0024686C" w:rsidRPr="0024686C">
        <w:rPr>
          <w:i/>
          <w:lang w:val="en-GB"/>
        </w:rPr>
        <w:t xml:space="preserve">Am J Hum Genet </w:t>
      </w:r>
      <w:r w:rsidRPr="007C7797">
        <w:t xml:space="preserve">2013; </w:t>
      </w:r>
      <w:r w:rsidRPr="007C7797">
        <w:rPr>
          <w:b/>
        </w:rPr>
        <w:t>93</w:t>
      </w:r>
      <w:r w:rsidRPr="007C7797">
        <w:t>(4): 672-86.</w:t>
      </w:r>
    </w:p>
    <w:p w14:paraId="3C0A1D10" w14:textId="48C22B9E" w:rsidR="007C7797" w:rsidRPr="007C7797" w:rsidRDefault="007C7797" w:rsidP="007C7797">
      <w:pPr>
        <w:pStyle w:val="EndNoteBibliography"/>
        <w:spacing w:after="0"/>
      </w:pPr>
      <w:r w:rsidRPr="007C7797">
        <w:t>90.</w:t>
      </w:r>
      <w:r w:rsidRPr="007C7797">
        <w:tab/>
        <w:t xml:space="preserve">Ta-Shma A, Hjeij R, Perles Z, et al. Homozygous loss-of-function mutations in MNS1 cause laterality defects and likely male infertility. </w:t>
      </w:r>
      <w:r w:rsidR="0024686C">
        <w:rPr>
          <w:i/>
        </w:rPr>
        <w:t>PLoS G</w:t>
      </w:r>
      <w:r w:rsidRPr="007C7797">
        <w:rPr>
          <w:i/>
        </w:rPr>
        <w:t>enetics</w:t>
      </w:r>
      <w:r w:rsidRPr="007C7797">
        <w:t xml:space="preserve"> 2018; </w:t>
      </w:r>
      <w:r w:rsidRPr="007C7797">
        <w:rPr>
          <w:b/>
        </w:rPr>
        <w:t>14</w:t>
      </w:r>
      <w:r w:rsidRPr="007C7797">
        <w:t>(8): e1007602.</w:t>
      </w:r>
    </w:p>
    <w:p w14:paraId="607BFA54" w14:textId="5840F711" w:rsidR="007C7797" w:rsidRPr="007C7797" w:rsidRDefault="007C7797" w:rsidP="007C7797">
      <w:pPr>
        <w:pStyle w:val="EndNoteBibliography"/>
        <w:spacing w:after="0"/>
      </w:pPr>
      <w:r w:rsidRPr="007C7797">
        <w:t>91.</w:t>
      </w:r>
      <w:r w:rsidRPr="007C7797">
        <w:tab/>
        <w:t xml:space="preserve">Merveille AC, Davis EE, Becker-Heck A, et al. CCDC39 is required for assembly of inner dynein arms and the dynein regulatory complex and for normal ciliary motility in humans and dogs. </w:t>
      </w:r>
      <w:r w:rsidR="0024686C">
        <w:rPr>
          <w:i/>
        </w:rPr>
        <w:t>Nat G</w:t>
      </w:r>
      <w:r w:rsidRPr="007C7797">
        <w:rPr>
          <w:i/>
        </w:rPr>
        <w:t>enetics</w:t>
      </w:r>
      <w:r w:rsidRPr="007C7797">
        <w:t xml:space="preserve"> 2011; </w:t>
      </w:r>
      <w:r w:rsidRPr="007C7797">
        <w:rPr>
          <w:b/>
        </w:rPr>
        <w:t>43</w:t>
      </w:r>
      <w:r w:rsidRPr="007C7797">
        <w:t>(1): 72-8.</w:t>
      </w:r>
    </w:p>
    <w:p w14:paraId="27B06EE4" w14:textId="77F71363" w:rsidR="007C7797" w:rsidRPr="007C7797" w:rsidRDefault="007C7797" w:rsidP="007C7797">
      <w:pPr>
        <w:pStyle w:val="EndNoteBibliography"/>
        <w:spacing w:after="0"/>
      </w:pPr>
      <w:r w:rsidRPr="007C7797">
        <w:t>92.</w:t>
      </w:r>
      <w:r w:rsidRPr="007C7797">
        <w:tab/>
        <w:t xml:space="preserve">Becker-Heck A, Zohn IE, Okabe N, et al. The coiled-coil domain containing protein CCDC40 is essential for motile cilia function and left-right axis formation. </w:t>
      </w:r>
      <w:r w:rsidR="0024686C">
        <w:rPr>
          <w:i/>
        </w:rPr>
        <w:t>Nat G</w:t>
      </w:r>
      <w:r w:rsidRPr="007C7797">
        <w:rPr>
          <w:i/>
        </w:rPr>
        <w:t>enetics</w:t>
      </w:r>
      <w:r w:rsidRPr="007C7797">
        <w:t xml:space="preserve"> 2011; </w:t>
      </w:r>
      <w:r w:rsidRPr="007C7797">
        <w:rPr>
          <w:b/>
        </w:rPr>
        <w:t>43</w:t>
      </w:r>
      <w:r w:rsidRPr="007C7797">
        <w:t>(1): 79-84.</w:t>
      </w:r>
    </w:p>
    <w:p w14:paraId="793BB6E6" w14:textId="11AA1488" w:rsidR="007C7797" w:rsidRPr="007C7797" w:rsidRDefault="007C7797" w:rsidP="007C7797">
      <w:pPr>
        <w:pStyle w:val="EndNoteBibliography"/>
        <w:spacing w:after="0"/>
      </w:pPr>
      <w:r w:rsidRPr="007C7797">
        <w:t>93.</w:t>
      </w:r>
      <w:r w:rsidRPr="007C7797">
        <w:tab/>
        <w:t xml:space="preserve">Wirschell M, Olbrich H, Werner C, et al. The nexin-dynein regulatory complex subunit DRC1 is essential for motile cilia function in algae and humans. </w:t>
      </w:r>
      <w:r w:rsidR="0024686C">
        <w:rPr>
          <w:i/>
        </w:rPr>
        <w:t>Nat G</w:t>
      </w:r>
      <w:r w:rsidRPr="007C7797">
        <w:rPr>
          <w:i/>
        </w:rPr>
        <w:t>enetics</w:t>
      </w:r>
      <w:r w:rsidRPr="007C7797">
        <w:t xml:space="preserve"> 2013; </w:t>
      </w:r>
      <w:r w:rsidRPr="007C7797">
        <w:rPr>
          <w:b/>
        </w:rPr>
        <w:t>45</w:t>
      </w:r>
      <w:r w:rsidRPr="007C7797">
        <w:t>(3): 262-8.</w:t>
      </w:r>
    </w:p>
    <w:p w14:paraId="67E9789F" w14:textId="23E2E496" w:rsidR="007C7797" w:rsidRPr="007C7797" w:rsidRDefault="007C7797" w:rsidP="007C7797">
      <w:pPr>
        <w:pStyle w:val="EndNoteBibliography"/>
        <w:spacing w:after="0"/>
      </w:pPr>
      <w:r w:rsidRPr="007C7797">
        <w:t>94.</w:t>
      </w:r>
      <w:r w:rsidRPr="007C7797">
        <w:tab/>
        <w:t xml:space="preserve">Jeanson L, Thomas L, Copin B, et al. Mutations in GAS8, a Gene Encoding a Nexin-Dynein Regulatory Complex Subunit, Cause Primary Ciliary Dyskinesia with Axonemal Disorganization. </w:t>
      </w:r>
      <w:r w:rsidR="00346E0B">
        <w:rPr>
          <w:i/>
        </w:rPr>
        <w:t>Hum Mutat</w:t>
      </w:r>
      <w:r w:rsidRPr="007C7797">
        <w:t xml:space="preserve"> 2016; </w:t>
      </w:r>
      <w:r w:rsidRPr="007C7797">
        <w:rPr>
          <w:b/>
        </w:rPr>
        <w:t>37</w:t>
      </w:r>
      <w:r w:rsidRPr="007C7797">
        <w:t>(8): 776-85.</w:t>
      </w:r>
    </w:p>
    <w:p w14:paraId="67143F35" w14:textId="51F5411F" w:rsidR="007C7797" w:rsidRPr="007C7797" w:rsidRDefault="007C7797" w:rsidP="007C7797">
      <w:pPr>
        <w:pStyle w:val="EndNoteBibliography"/>
        <w:spacing w:after="0"/>
      </w:pPr>
      <w:r w:rsidRPr="007C7797">
        <w:t>95.</w:t>
      </w:r>
      <w:r w:rsidRPr="007C7797">
        <w:tab/>
        <w:t xml:space="preserve">Kott E, Legendre M, Copin B, et al. Loss-of-function mutations in RSPH1 cause primary ciliary dyskinesia with central-complex and radial-spoke defects. </w:t>
      </w:r>
      <w:r w:rsidR="00346E0B" w:rsidRPr="00346E0B">
        <w:rPr>
          <w:i/>
          <w:lang w:val="en-GB"/>
        </w:rPr>
        <w:t xml:space="preserve">Am J Hum Genet </w:t>
      </w:r>
      <w:r w:rsidRPr="007C7797">
        <w:t xml:space="preserve">2013; </w:t>
      </w:r>
      <w:r w:rsidRPr="007C7797">
        <w:rPr>
          <w:b/>
        </w:rPr>
        <w:t>93</w:t>
      </w:r>
      <w:r w:rsidRPr="007C7797">
        <w:t>(3): 561-70.</w:t>
      </w:r>
    </w:p>
    <w:p w14:paraId="65CDD582" w14:textId="5613DF44" w:rsidR="007C7797" w:rsidRPr="007C7797" w:rsidRDefault="007C7797" w:rsidP="007C7797">
      <w:pPr>
        <w:pStyle w:val="EndNoteBibliography"/>
        <w:spacing w:after="0"/>
      </w:pPr>
      <w:r w:rsidRPr="007C7797">
        <w:t>96.</w:t>
      </w:r>
      <w:r w:rsidRPr="007C7797">
        <w:tab/>
        <w:t xml:space="preserve">Castleman VH, Romio L, Chodhari R, et al. Mutations in radial spoke head protein genes RSPH9 and RSPH4A cause primary ciliary dyskinesia with central-microtubular-pair abnormalities. </w:t>
      </w:r>
      <w:r w:rsidR="00346E0B" w:rsidRPr="00346E0B">
        <w:rPr>
          <w:i/>
          <w:lang w:val="en-GB"/>
        </w:rPr>
        <w:t xml:space="preserve">Am J Hum Genet </w:t>
      </w:r>
      <w:r w:rsidRPr="007C7797">
        <w:t xml:space="preserve">2009; </w:t>
      </w:r>
      <w:r w:rsidRPr="007C7797">
        <w:rPr>
          <w:b/>
        </w:rPr>
        <w:t>84</w:t>
      </w:r>
      <w:r w:rsidRPr="007C7797">
        <w:t>(2): 197-209.</w:t>
      </w:r>
    </w:p>
    <w:p w14:paraId="5ED75C4B" w14:textId="61726DC0" w:rsidR="007C7797" w:rsidRPr="007C7797" w:rsidRDefault="007C7797" w:rsidP="007C7797">
      <w:pPr>
        <w:pStyle w:val="EndNoteBibliography"/>
        <w:spacing w:after="0"/>
      </w:pPr>
      <w:r w:rsidRPr="007C7797">
        <w:t>97.</w:t>
      </w:r>
      <w:r w:rsidRPr="007C7797">
        <w:tab/>
        <w:t xml:space="preserve">Jeanson L, Copin B, Papon JF, et al. RSPH3 Mutations Cause Primary Ciliary Dyskinesia with Central-Complex Defects and a Near Absence of Radial Spokes. </w:t>
      </w:r>
      <w:r w:rsidR="00346E0B" w:rsidRPr="00346E0B">
        <w:rPr>
          <w:i/>
          <w:lang w:val="en-GB"/>
        </w:rPr>
        <w:t xml:space="preserve">Am J Hum Genet </w:t>
      </w:r>
      <w:r w:rsidRPr="007C7797">
        <w:t xml:space="preserve">2015; </w:t>
      </w:r>
      <w:r w:rsidRPr="007C7797">
        <w:rPr>
          <w:b/>
        </w:rPr>
        <w:t>97</w:t>
      </w:r>
      <w:r w:rsidRPr="007C7797">
        <w:t>(1): 153-62.</w:t>
      </w:r>
    </w:p>
    <w:p w14:paraId="2D8E956A" w14:textId="65A7933A" w:rsidR="007C7797" w:rsidRPr="007C7797" w:rsidRDefault="007C7797" w:rsidP="007C7797">
      <w:pPr>
        <w:pStyle w:val="EndNoteBibliography"/>
        <w:spacing w:after="0"/>
      </w:pPr>
      <w:r w:rsidRPr="007C7797">
        <w:t>98.</w:t>
      </w:r>
      <w:r w:rsidRPr="007C7797">
        <w:tab/>
        <w:t xml:space="preserve">El Khouri E, Thomas L, Jeanson L, et al. Mutations in DNAJB13, Encoding an HSP40 Family Member, Cause Primary Ciliary Dyskinesia and Male Infertility. </w:t>
      </w:r>
      <w:r w:rsidR="00346E0B" w:rsidRPr="00346E0B">
        <w:rPr>
          <w:i/>
          <w:lang w:val="en-GB"/>
        </w:rPr>
        <w:t xml:space="preserve">Am J Hum Genet </w:t>
      </w:r>
      <w:r w:rsidRPr="007C7797">
        <w:t xml:space="preserve">2016; </w:t>
      </w:r>
      <w:r w:rsidRPr="007C7797">
        <w:rPr>
          <w:b/>
        </w:rPr>
        <w:t>99</w:t>
      </w:r>
      <w:r w:rsidRPr="007C7797">
        <w:t>(2): 489-500.</w:t>
      </w:r>
    </w:p>
    <w:p w14:paraId="6CC54705" w14:textId="63CB85C1" w:rsidR="007C7797" w:rsidRPr="007C7797" w:rsidRDefault="007C7797" w:rsidP="007C7797">
      <w:pPr>
        <w:pStyle w:val="EndNoteBibliography"/>
        <w:spacing w:after="0"/>
      </w:pPr>
      <w:r w:rsidRPr="007C7797">
        <w:t>99.</w:t>
      </w:r>
      <w:r w:rsidRPr="007C7797">
        <w:tab/>
        <w:t xml:space="preserve">Frommer A, Hjeij R, Loges NT, et al. Immunofluorescence Analysis and Diagnosis of Primary Ciliary Dyskinesia with Radial Spoke Defects. </w:t>
      </w:r>
      <w:r w:rsidR="00346E0B" w:rsidRPr="00346E0B">
        <w:rPr>
          <w:i/>
          <w:lang w:val="en-GB"/>
        </w:rPr>
        <w:t xml:space="preserve">Am J Respir Cell Mol Biol </w:t>
      </w:r>
      <w:r w:rsidRPr="007C7797">
        <w:t xml:space="preserve">2015; </w:t>
      </w:r>
      <w:r w:rsidRPr="007C7797">
        <w:rPr>
          <w:b/>
        </w:rPr>
        <w:t>53</w:t>
      </w:r>
      <w:r w:rsidRPr="007C7797">
        <w:t>(4): 563-73.</w:t>
      </w:r>
    </w:p>
    <w:p w14:paraId="67F882E2" w14:textId="4ABB40D7" w:rsidR="007C7797" w:rsidRPr="007C7797" w:rsidRDefault="007C7797" w:rsidP="007C7797">
      <w:pPr>
        <w:pStyle w:val="EndNoteBibliography"/>
        <w:spacing w:after="0"/>
      </w:pPr>
      <w:r w:rsidRPr="007C7797">
        <w:t>100.</w:t>
      </w:r>
      <w:r w:rsidRPr="007C7797">
        <w:tab/>
        <w:t xml:space="preserve">Olbrich H, Schmidts M, Werner C, et al. Recessive HYDIN mutations cause primary ciliary dyskinesia without randomization of left-right body asymmetry. </w:t>
      </w:r>
      <w:r w:rsidR="00346E0B" w:rsidRPr="00346E0B">
        <w:rPr>
          <w:i/>
          <w:lang w:val="en-GB"/>
        </w:rPr>
        <w:t xml:space="preserve">Am J Hum Genet </w:t>
      </w:r>
      <w:r w:rsidRPr="007C7797">
        <w:t xml:space="preserve">2012; </w:t>
      </w:r>
      <w:r w:rsidRPr="007C7797">
        <w:rPr>
          <w:b/>
        </w:rPr>
        <w:t>91</w:t>
      </w:r>
      <w:r w:rsidRPr="007C7797">
        <w:t>(4): 672-84.</w:t>
      </w:r>
    </w:p>
    <w:p w14:paraId="077EC1C5" w14:textId="3B3BD04E" w:rsidR="007C7797" w:rsidRPr="007C7797" w:rsidRDefault="007C7797" w:rsidP="007C7797">
      <w:pPr>
        <w:pStyle w:val="EndNoteBibliography"/>
        <w:spacing w:after="0"/>
      </w:pPr>
      <w:r w:rsidRPr="007C7797">
        <w:t>101.</w:t>
      </w:r>
      <w:r w:rsidRPr="007C7797">
        <w:tab/>
        <w:t xml:space="preserve">Boon M, Wallmeier J, Ma L, et al. MCIDAS mutations result in a mucociliary clearance disorder with reduced generation of multiple motile cilia. </w:t>
      </w:r>
      <w:r w:rsidR="00346E0B" w:rsidRPr="00346E0B">
        <w:rPr>
          <w:i/>
          <w:lang w:val="en-GB"/>
        </w:rPr>
        <w:t xml:space="preserve">Nat Commun </w:t>
      </w:r>
      <w:r w:rsidRPr="007C7797">
        <w:t xml:space="preserve">2014; </w:t>
      </w:r>
      <w:r w:rsidRPr="007C7797">
        <w:rPr>
          <w:b/>
        </w:rPr>
        <w:t>5</w:t>
      </w:r>
      <w:r w:rsidRPr="007C7797">
        <w:t>: 4418.</w:t>
      </w:r>
    </w:p>
    <w:p w14:paraId="7C9F0E3C" w14:textId="60560FD0" w:rsidR="007C7797" w:rsidRPr="007C7797" w:rsidRDefault="007C7797" w:rsidP="007C7797">
      <w:pPr>
        <w:pStyle w:val="EndNoteBibliography"/>
        <w:spacing w:after="0"/>
      </w:pPr>
      <w:r w:rsidRPr="007C7797">
        <w:t>102.</w:t>
      </w:r>
      <w:r w:rsidRPr="007C7797">
        <w:tab/>
        <w:t xml:space="preserve">Wallmeier J, Al-Mutairi DA, Chen CT, et al. Mutations in CCNO result in congenital mucociliary clearance disorder with reduced generation of multiple motile cilia. </w:t>
      </w:r>
      <w:r w:rsidR="00173921">
        <w:rPr>
          <w:i/>
        </w:rPr>
        <w:t>Nat G</w:t>
      </w:r>
      <w:r w:rsidRPr="007C7797">
        <w:rPr>
          <w:i/>
        </w:rPr>
        <w:t>enetics</w:t>
      </w:r>
      <w:r w:rsidRPr="007C7797">
        <w:t xml:space="preserve"> 2014; </w:t>
      </w:r>
      <w:r w:rsidRPr="007C7797">
        <w:rPr>
          <w:b/>
        </w:rPr>
        <w:t>46</w:t>
      </w:r>
      <w:r w:rsidRPr="007C7797">
        <w:t>(6): 646-51.</w:t>
      </w:r>
    </w:p>
    <w:p w14:paraId="5BB5763C" w14:textId="2424977E" w:rsidR="007C7797" w:rsidRPr="007C7797" w:rsidRDefault="007C7797" w:rsidP="007C7797">
      <w:pPr>
        <w:pStyle w:val="EndNoteBibliography"/>
        <w:spacing w:after="0"/>
      </w:pPr>
      <w:r w:rsidRPr="007C7797">
        <w:t>103.</w:t>
      </w:r>
      <w:r w:rsidRPr="007C7797">
        <w:tab/>
        <w:t xml:space="preserve">Silva E, Betleja E, John E, et al. Ccdc11 is a novel centriolar satellite protein essential for ciliogenesis and establishment of left-right asymmetry. </w:t>
      </w:r>
      <w:r w:rsidR="00173921" w:rsidRPr="00173921">
        <w:rPr>
          <w:i/>
          <w:lang w:val="en-GB"/>
        </w:rPr>
        <w:t xml:space="preserve">Mol Biol Cell </w:t>
      </w:r>
      <w:r w:rsidRPr="007C7797">
        <w:t xml:space="preserve">2016; </w:t>
      </w:r>
      <w:r w:rsidRPr="007C7797">
        <w:rPr>
          <w:b/>
        </w:rPr>
        <w:t>27</w:t>
      </w:r>
      <w:r w:rsidRPr="007C7797">
        <w:t>(1): 48-63.</w:t>
      </w:r>
    </w:p>
    <w:p w14:paraId="636CD94A" w14:textId="6FB322CB" w:rsidR="007C7797" w:rsidRPr="007C7797" w:rsidRDefault="007C7797" w:rsidP="007C7797">
      <w:pPr>
        <w:pStyle w:val="EndNoteBibliography"/>
        <w:spacing w:after="0"/>
      </w:pPr>
      <w:r w:rsidRPr="007C7797">
        <w:t>104.</w:t>
      </w:r>
      <w:r w:rsidRPr="007C7797">
        <w:tab/>
        <w:t xml:space="preserve">Sigg MA, Menchen T, Lee C, et al. Evolutionary Proteomics Uncovers Ancient Associations of Cilia with Signaling Pathways. </w:t>
      </w:r>
      <w:r w:rsidR="00CB5226" w:rsidRPr="00CB5226">
        <w:rPr>
          <w:i/>
          <w:lang w:val="en-GB"/>
        </w:rPr>
        <w:t xml:space="preserve">Dev Cell </w:t>
      </w:r>
      <w:r w:rsidRPr="007C7797">
        <w:t xml:space="preserve">2017; </w:t>
      </w:r>
      <w:r w:rsidRPr="007C7797">
        <w:rPr>
          <w:b/>
        </w:rPr>
        <w:t>43</w:t>
      </w:r>
      <w:r w:rsidRPr="007C7797">
        <w:t>(6): 744-62.e11.</w:t>
      </w:r>
    </w:p>
    <w:p w14:paraId="7FB9C547" w14:textId="4A0488CE" w:rsidR="007C7797" w:rsidRPr="007C7797" w:rsidRDefault="007C7797" w:rsidP="007C7797">
      <w:pPr>
        <w:pStyle w:val="EndNoteBibliography"/>
        <w:spacing w:after="0"/>
      </w:pPr>
      <w:r w:rsidRPr="007C7797">
        <w:t>105.</w:t>
      </w:r>
      <w:r w:rsidRPr="007C7797">
        <w:tab/>
        <w:t xml:space="preserve">Amirav I, Wallmeier J, Loges NT, et al. Systematic Analysis of CCNO Variants in a Defined Population: Implications for Clinical Phenotype and Differential Diagnosis. </w:t>
      </w:r>
      <w:r w:rsidR="00CB5226">
        <w:rPr>
          <w:i/>
        </w:rPr>
        <w:t>Hum Mutat</w:t>
      </w:r>
      <w:r w:rsidRPr="007C7797">
        <w:t xml:space="preserve"> 2016; </w:t>
      </w:r>
      <w:r w:rsidRPr="007C7797">
        <w:rPr>
          <w:b/>
        </w:rPr>
        <w:t>37</w:t>
      </w:r>
      <w:r w:rsidRPr="007C7797">
        <w:t>(4): 396-405.</w:t>
      </w:r>
    </w:p>
    <w:p w14:paraId="5F36AD28" w14:textId="32DCD9CB" w:rsidR="007C7797" w:rsidRPr="007C7797" w:rsidRDefault="007C7797" w:rsidP="007C7797">
      <w:pPr>
        <w:pStyle w:val="EndNoteBibliography"/>
        <w:spacing w:after="0"/>
      </w:pPr>
      <w:r w:rsidRPr="007C7797">
        <w:t>106.</w:t>
      </w:r>
      <w:r w:rsidRPr="007C7797">
        <w:tab/>
        <w:t xml:space="preserve">Emiralioglu N, Wallmeier J, Olbrich H, Omran H, Ozcelik U. DYNC2H1 mutation causes Jeune syndrome and recurrent lung infections associated with ciliopathy. </w:t>
      </w:r>
      <w:r w:rsidR="00CB5226" w:rsidRPr="00CB5226">
        <w:rPr>
          <w:i/>
          <w:lang w:val="en-GB"/>
        </w:rPr>
        <w:t xml:space="preserve">Clin Respir J </w:t>
      </w:r>
      <w:r w:rsidRPr="007C7797">
        <w:t xml:space="preserve">2018; </w:t>
      </w:r>
      <w:r w:rsidRPr="007C7797">
        <w:rPr>
          <w:b/>
        </w:rPr>
        <w:t>12</w:t>
      </w:r>
      <w:r w:rsidRPr="007C7797">
        <w:t>(3): 1017-20.</w:t>
      </w:r>
    </w:p>
    <w:p w14:paraId="162B6FE0" w14:textId="5AA46598" w:rsidR="007C7797" w:rsidRPr="007C7797" w:rsidRDefault="007C7797" w:rsidP="007C7797">
      <w:pPr>
        <w:pStyle w:val="EndNoteBibliography"/>
        <w:spacing w:after="0"/>
      </w:pPr>
      <w:r w:rsidRPr="007C7797">
        <w:t>107.</w:t>
      </w:r>
      <w:r w:rsidRPr="007C7797">
        <w:tab/>
        <w:t xml:space="preserve">Moalem S, Keating S, Shannon P, et al. Broadening the ciliopathy spectrum: motile cilia dyskinesia, and nephronophthisis associated with a previously unreported homozygous mutation in the INVS/NPHP2 gene. </w:t>
      </w:r>
      <w:r w:rsidR="00CB5226" w:rsidRPr="00CB5226">
        <w:rPr>
          <w:i/>
          <w:lang w:val="en-GB"/>
        </w:rPr>
        <w:t xml:space="preserve">Am J Med Genet </w:t>
      </w:r>
      <w:r w:rsidR="00CB5226">
        <w:rPr>
          <w:i/>
          <w:lang w:val="en-GB"/>
        </w:rPr>
        <w:t xml:space="preserve">Part </w:t>
      </w:r>
      <w:r w:rsidR="00CB5226" w:rsidRPr="00CB5226">
        <w:rPr>
          <w:i/>
          <w:lang w:val="en-GB"/>
        </w:rPr>
        <w:t>A 2013</w:t>
      </w:r>
      <w:r w:rsidRPr="007C7797">
        <w:t xml:space="preserve">; </w:t>
      </w:r>
      <w:r w:rsidRPr="007C7797">
        <w:rPr>
          <w:b/>
        </w:rPr>
        <w:t>161a</w:t>
      </w:r>
      <w:r w:rsidRPr="007C7797">
        <w:t>(7): 1792-6.</w:t>
      </w:r>
    </w:p>
    <w:p w14:paraId="594CBDB8" w14:textId="38331CB0" w:rsidR="007C7797" w:rsidRPr="007C7797" w:rsidRDefault="007C7797" w:rsidP="007C7797">
      <w:pPr>
        <w:pStyle w:val="EndNoteBibliography"/>
        <w:spacing w:after="0"/>
      </w:pPr>
      <w:r w:rsidRPr="007C7797">
        <w:t>108.</w:t>
      </w:r>
      <w:r w:rsidRPr="007C7797">
        <w:tab/>
        <w:t xml:space="preserve">Papon JF, Perrault I, Coste A, et al. Abnormal respiratory cilia in non-syndromic Leber congenital amaurosis with CEP290 mutations. </w:t>
      </w:r>
      <w:r w:rsidR="00CB5226" w:rsidRPr="00CB5226">
        <w:rPr>
          <w:i/>
          <w:lang w:val="en-GB"/>
        </w:rPr>
        <w:t xml:space="preserve">J Med Genet </w:t>
      </w:r>
      <w:r w:rsidRPr="007C7797">
        <w:t xml:space="preserve">2010; </w:t>
      </w:r>
      <w:r w:rsidRPr="007C7797">
        <w:rPr>
          <w:b/>
        </w:rPr>
        <w:t>47</w:t>
      </w:r>
      <w:r w:rsidRPr="007C7797">
        <w:t>(12): 829-34.</w:t>
      </w:r>
    </w:p>
    <w:p w14:paraId="790550C0" w14:textId="77777777" w:rsidR="007C7797" w:rsidRPr="007C7797" w:rsidRDefault="007C7797" w:rsidP="007C7797">
      <w:pPr>
        <w:pStyle w:val="EndNoteBibliography"/>
        <w:spacing w:after="0"/>
      </w:pPr>
      <w:r w:rsidRPr="007C7797">
        <w:t>109.</w:t>
      </w:r>
      <w:r w:rsidRPr="007C7797">
        <w:tab/>
        <w:t xml:space="preserve">Shoemark A, Dixon M, Beales PL, Hogg CL. Bardet Biedl syndrome: motile ciliary phenotype. </w:t>
      </w:r>
      <w:r w:rsidRPr="007C7797">
        <w:rPr>
          <w:i/>
        </w:rPr>
        <w:t>Chest</w:t>
      </w:r>
      <w:r w:rsidRPr="007C7797">
        <w:t xml:space="preserve"> 2015; </w:t>
      </w:r>
      <w:r w:rsidRPr="007C7797">
        <w:rPr>
          <w:b/>
        </w:rPr>
        <w:t>147</w:t>
      </w:r>
      <w:r w:rsidRPr="007C7797">
        <w:t>(3): 764-70.</w:t>
      </w:r>
    </w:p>
    <w:p w14:paraId="015D23ED" w14:textId="6C85C839" w:rsidR="007C7797" w:rsidRPr="007C7797" w:rsidRDefault="007C7797" w:rsidP="007C7797">
      <w:pPr>
        <w:pStyle w:val="EndNoteBibliography"/>
        <w:spacing w:after="0"/>
      </w:pPr>
      <w:r w:rsidRPr="007C7797">
        <w:t>110.</w:t>
      </w:r>
      <w:r w:rsidRPr="007C7797">
        <w:tab/>
        <w:t xml:space="preserve">Moore A, Escudier E, Roger G, et al. RPGR is mutated in patients with a complex X linked phenotype combining primary ciliary dyskinesia and retinitis pigmentosa. </w:t>
      </w:r>
      <w:r w:rsidR="00CB5226">
        <w:rPr>
          <w:i/>
        </w:rPr>
        <w:t>J Med G</w:t>
      </w:r>
      <w:r w:rsidRPr="007C7797">
        <w:rPr>
          <w:i/>
        </w:rPr>
        <w:t>enetics</w:t>
      </w:r>
      <w:r w:rsidRPr="007C7797">
        <w:t xml:space="preserve"> 2006; </w:t>
      </w:r>
      <w:r w:rsidRPr="007C7797">
        <w:rPr>
          <w:b/>
        </w:rPr>
        <w:t>43</w:t>
      </w:r>
      <w:r w:rsidRPr="007C7797">
        <w:t>(4): 326-33.</w:t>
      </w:r>
    </w:p>
    <w:p w14:paraId="15B70FDB" w14:textId="1DF9F1AB" w:rsidR="007C7797" w:rsidRPr="007C7797" w:rsidRDefault="007C7797" w:rsidP="007C7797">
      <w:pPr>
        <w:pStyle w:val="EndNoteBibliography"/>
        <w:spacing w:after="0"/>
      </w:pPr>
      <w:r w:rsidRPr="007C7797">
        <w:t>111.</w:t>
      </w:r>
      <w:r w:rsidRPr="007C7797">
        <w:tab/>
        <w:t xml:space="preserve">Bukowy-Bieryllo Z, Zietkiewicz E, Loges NT, et al. RPGR mutations might cause reduced orientation of respiratory cilia. </w:t>
      </w:r>
      <w:r w:rsidR="00A26F4F">
        <w:rPr>
          <w:i/>
        </w:rPr>
        <w:t>Ped Pulm</w:t>
      </w:r>
      <w:r w:rsidRPr="007C7797">
        <w:t xml:space="preserve"> 2013; </w:t>
      </w:r>
      <w:r w:rsidRPr="007C7797">
        <w:rPr>
          <w:b/>
        </w:rPr>
        <w:t>48</w:t>
      </w:r>
      <w:r w:rsidRPr="007C7797">
        <w:t>(4): 352-63.</w:t>
      </w:r>
    </w:p>
    <w:p w14:paraId="5E71E0A8" w14:textId="7ADE9592" w:rsidR="007C7797" w:rsidRPr="007C7797" w:rsidRDefault="007C7797" w:rsidP="007C7797">
      <w:pPr>
        <w:pStyle w:val="EndNoteBibliography"/>
        <w:spacing w:after="0"/>
      </w:pPr>
      <w:r w:rsidRPr="007C7797">
        <w:t>112.</w:t>
      </w:r>
      <w:r w:rsidRPr="007C7797">
        <w:tab/>
        <w:t xml:space="preserve">Budny B, Chen W, Omran H, et al. A novel X-linked recessive mental retardation syndrome comprising macrocephaly and ciliary dysfunction is allelic to oral-facial-digital type I syndrome. </w:t>
      </w:r>
      <w:r w:rsidR="00A26F4F">
        <w:rPr>
          <w:i/>
        </w:rPr>
        <w:t>Hum G</w:t>
      </w:r>
      <w:r w:rsidRPr="007C7797">
        <w:rPr>
          <w:i/>
        </w:rPr>
        <w:t>enetics</w:t>
      </w:r>
      <w:r w:rsidRPr="007C7797">
        <w:t xml:space="preserve"> 2006; </w:t>
      </w:r>
      <w:r w:rsidRPr="007C7797">
        <w:rPr>
          <w:b/>
        </w:rPr>
        <w:t>120</w:t>
      </w:r>
      <w:r w:rsidRPr="007C7797">
        <w:t>(2): 171-8.</w:t>
      </w:r>
    </w:p>
    <w:p w14:paraId="31CC4E85" w14:textId="77777777" w:rsidR="007C7797" w:rsidRPr="007C7797" w:rsidRDefault="007C7797" w:rsidP="007C7797">
      <w:pPr>
        <w:pStyle w:val="EndNoteBibliography"/>
        <w:spacing w:after="0"/>
      </w:pPr>
      <w:r w:rsidRPr="007C7797">
        <w:t>113.</w:t>
      </w:r>
      <w:r w:rsidRPr="007C7797">
        <w:tab/>
        <w:t xml:space="preserve">Lucas JS, Carroll M. Primary ciliary dyskinesia and cystic fibrosis: different diseases require different treatment. </w:t>
      </w:r>
      <w:r w:rsidRPr="007C7797">
        <w:rPr>
          <w:i/>
        </w:rPr>
        <w:t>Chest</w:t>
      </w:r>
      <w:r w:rsidRPr="007C7797">
        <w:t xml:space="preserve"> 2014; </w:t>
      </w:r>
      <w:r w:rsidRPr="007C7797">
        <w:rPr>
          <w:b/>
        </w:rPr>
        <w:t>145</w:t>
      </w:r>
      <w:r w:rsidRPr="007C7797">
        <w:t>(4): 674-6.</w:t>
      </w:r>
    </w:p>
    <w:p w14:paraId="71ED55C2" w14:textId="724CB607" w:rsidR="007C7797" w:rsidRPr="007C7797" w:rsidRDefault="007C7797" w:rsidP="007C7797">
      <w:pPr>
        <w:pStyle w:val="EndNoteBibliography"/>
        <w:spacing w:after="0"/>
      </w:pPr>
      <w:r w:rsidRPr="007C7797">
        <w:t>114.</w:t>
      </w:r>
      <w:r w:rsidRPr="007C7797">
        <w:tab/>
        <w:t xml:space="preserve">Robinson P, Morgan L. Bronchiectasis in PCD looks different to CF on CT scan. </w:t>
      </w:r>
      <w:r w:rsidR="00A26F4F">
        <w:rPr>
          <w:i/>
        </w:rPr>
        <w:t>Multidisc Respir Med</w:t>
      </w:r>
      <w:r w:rsidRPr="007C7797">
        <w:t xml:space="preserve"> 2018; </w:t>
      </w:r>
      <w:r w:rsidRPr="007C7797">
        <w:rPr>
          <w:b/>
        </w:rPr>
        <w:t>13</w:t>
      </w:r>
      <w:r w:rsidRPr="007C7797">
        <w:t>(Suppl 1): 24.</w:t>
      </w:r>
    </w:p>
    <w:p w14:paraId="25C19F31" w14:textId="77777777" w:rsidR="007C7797" w:rsidRPr="007C7797" w:rsidRDefault="007C7797" w:rsidP="007C7797">
      <w:pPr>
        <w:pStyle w:val="EndNoteBibliography"/>
        <w:spacing w:after="0"/>
      </w:pPr>
      <w:r w:rsidRPr="007C7797">
        <w:t>115.</w:t>
      </w:r>
      <w:r w:rsidRPr="007C7797">
        <w:tab/>
        <w:t xml:space="preserve">Cohen-Cymberknoh M, Simanovsky N, Hiller N, Hillel AG, Shoseyov D, Kerem E. Differences in disease expression between primary ciliary dyskinesia and cystic fibrosis with and without pancreatic insufficiency. </w:t>
      </w:r>
      <w:r w:rsidRPr="007C7797">
        <w:rPr>
          <w:i/>
        </w:rPr>
        <w:t>Chest</w:t>
      </w:r>
      <w:r w:rsidRPr="007C7797">
        <w:t xml:space="preserve"> 2014; </w:t>
      </w:r>
      <w:r w:rsidRPr="007C7797">
        <w:rPr>
          <w:b/>
        </w:rPr>
        <w:t>145</w:t>
      </w:r>
      <w:r w:rsidRPr="007C7797">
        <w:t>(4): 738-44.</w:t>
      </w:r>
    </w:p>
    <w:p w14:paraId="7A6204D1" w14:textId="784BE371" w:rsidR="007C7797" w:rsidRPr="007C7797" w:rsidRDefault="007C7797" w:rsidP="007C7797">
      <w:pPr>
        <w:pStyle w:val="EndNoteBibliography"/>
        <w:spacing w:after="0"/>
      </w:pPr>
      <w:r w:rsidRPr="007C7797">
        <w:t>116.</w:t>
      </w:r>
      <w:r w:rsidRPr="007C7797">
        <w:tab/>
        <w:t xml:space="preserve">Lucas JS, Alanin MC, Collins S, et al. Clinical care of children with primary ciliary dyskinesia. </w:t>
      </w:r>
      <w:r w:rsidR="0033043E">
        <w:rPr>
          <w:i/>
        </w:rPr>
        <w:t>Expert Rev Respir Med</w:t>
      </w:r>
      <w:r w:rsidRPr="007C7797">
        <w:t xml:space="preserve"> 2017; </w:t>
      </w:r>
      <w:r w:rsidRPr="007C7797">
        <w:rPr>
          <w:b/>
        </w:rPr>
        <w:t>11</w:t>
      </w:r>
      <w:r w:rsidRPr="007C7797">
        <w:t>(10): 779-90.</w:t>
      </w:r>
    </w:p>
    <w:p w14:paraId="4C6378AB" w14:textId="3A968C25" w:rsidR="007C7797" w:rsidRPr="007C7797" w:rsidRDefault="007C7797" w:rsidP="007C7797">
      <w:pPr>
        <w:pStyle w:val="EndNoteBibliography"/>
        <w:spacing w:after="0"/>
      </w:pPr>
      <w:r w:rsidRPr="007C7797">
        <w:t>117.</w:t>
      </w:r>
      <w:r w:rsidRPr="007C7797">
        <w:tab/>
        <w:t>Goutaki M, Halbeisen FS, Spycher BD, et al. Growth and nutritional status, and their association with lung function: a study from the international Pri</w:t>
      </w:r>
      <w:r w:rsidR="00F217C1">
        <w:t>mary Ciliary Dyskinesia Cohort.</w:t>
      </w:r>
      <w:r w:rsidRPr="007C7797">
        <w:rPr>
          <w:i/>
        </w:rPr>
        <w:t xml:space="preserve"> </w:t>
      </w:r>
      <w:r w:rsidR="00FA75A1" w:rsidRPr="00FA75A1">
        <w:rPr>
          <w:i/>
          <w:lang w:val="en-GB"/>
        </w:rPr>
        <w:t xml:space="preserve">Eur Respir J </w:t>
      </w:r>
      <w:r w:rsidRPr="007C7797">
        <w:t xml:space="preserve">2017; </w:t>
      </w:r>
      <w:r w:rsidRPr="007C7797">
        <w:rPr>
          <w:b/>
        </w:rPr>
        <w:t>50</w:t>
      </w:r>
      <w:r w:rsidRPr="007C7797">
        <w:t>(6).</w:t>
      </w:r>
    </w:p>
    <w:p w14:paraId="48358635" w14:textId="03BD255E" w:rsidR="007C7797" w:rsidRPr="007C7797" w:rsidRDefault="007C7797" w:rsidP="007C7797">
      <w:pPr>
        <w:pStyle w:val="EndNoteBibliography"/>
        <w:spacing w:after="0"/>
      </w:pPr>
      <w:r w:rsidRPr="007C7797">
        <w:t>118.</w:t>
      </w:r>
      <w:r w:rsidRPr="007C7797">
        <w:tab/>
        <w:t xml:space="preserve">Svobodova T, Djakow J, Zemkova D, Cipra A, Pohunek P, Lebl J. Impaired Growth during Childhood in Patients with Primary Ciliary Dyskinesia. </w:t>
      </w:r>
      <w:r w:rsidR="00801C53" w:rsidRPr="00801C53">
        <w:rPr>
          <w:i/>
          <w:lang w:val="en-GB"/>
        </w:rPr>
        <w:t xml:space="preserve">Int J Endocrinol </w:t>
      </w:r>
      <w:r w:rsidRPr="007C7797">
        <w:t xml:space="preserve">2013; </w:t>
      </w:r>
      <w:r w:rsidRPr="007C7797">
        <w:rPr>
          <w:b/>
        </w:rPr>
        <w:t>2013</w:t>
      </w:r>
      <w:r w:rsidRPr="007C7797">
        <w:t>: 731423.</w:t>
      </w:r>
    </w:p>
    <w:p w14:paraId="36FF478A" w14:textId="5CA323A5" w:rsidR="007C7797" w:rsidRPr="007C7797" w:rsidRDefault="007C7797" w:rsidP="007C7797">
      <w:pPr>
        <w:pStyle w:val="EndNoteBibliography"/>
        <w:spacing w:after="0"/>
      </w:pPr>
      <w:r w:rsidRPr="007C7797">
        <w:t>119.</w:t>
      </w:r>
      <w:r w:rsidRPr="007C7797">
        <w:tab/>
        <w:t xml:space="preserve">Marino LV, Harris A, Johnstone C, et al. Characterising the nutritional status of children with primary ciliary dyskinesia. </w:t>
      </w:r>
      <w:r w:rsidR="00710835" w:rsidRPr="00710835">
        <w:rPr>
          <w:i/>
          <w:lang w:val="en-GB"/>
        </w:rPr>
        <w:t>Clin Nutr. 2018. pii: S0261-5614(18)32428-2</w:t>
      </w:r>
    </w:p>
    <w:p w14:paraId="6364D31E" w14:textId="569F1DC7" w:rsidR="007C7797" w:rsidRPr="007C7797" w:rsidRDefault="007C7797" w:rsidP="007C7797">
      <w:pPr>
        <w:pStyle w:val="EndNoteBibliography"/>
        <w:spacing w:after="0"/>
      </w:pPr>
      <w:r w:rsidRPr="007C7797">
        <w:t>120.</w:t>
      </w:r>
      <w:r w:rsidRPr="007C7797">
        <w:tab/>
        <w:t xml:space="preserve">Maglione M, Bush A, Nielsen KG, et al. Multicenter analysis of body mass index, lung function, and sputum microbiology in primary ciliary dyskinesia. </w:t>
      </w:r>
      <w:r w:rsidR="008F42A9">
        <w:rPr>
          <w:i/>
        </w:rPr>
        <w:t>Ped Pulm</w:t>
      </w:r>
      <w:r w:rsidRPr="007C7797">
        <w:t xml:space="preserve"> 2014; </w:t>
      </w:r>
      <w:r w:rsidRPr="007C7797">
        <w:rPr>
          <w:b/>
        </w:rPr>
        <w:t>49</w:t>
      </w:r>
      <w:r w:rsidRPr="007C7797">
        <w:t>(12): 1243-50.</w:t>
      </w:r>
    </w:p>
    <w:p w14:paraId="147B466D" w14:textId="20D1C978" w:rsidR="007C7797" w:rsidRPr="007C7797" w:rsidRDefault="007C7797" w:rsidP="007C7797">
      <w:pPr>
        <w:pStyle w:val="EndNoteBibliography"/>
        <w:spacing w:after="0"/>
      </w:pPr>
      <w:r w:rsidRPr="007C7797">
        <w:t>121.</w:t>
      </w:r>
      <w:r w:rsidRPr="007C7797">
        <w:tab/>
        <w:t xml:space="preserve">Mirra V, Caffarelli C, Maglione M, et al. Hypovitaminosis D: a novel finding in primary ciliary dyskinesia. </w:t>
      </w:r>
      <w:r w:rsidR="0083311B" w:rsidRPr="0083311B">
        <w:rPr>
          <w:i/>
          <w:lang w:val="en-GB"/>
        </w:rPr>
        <w:t>Ital J Pediatr. 2015;</w:t>
      </w:r>
      <w:r w:rsidR="0083311B" w:rsidRPr="0083311B">
        <w:rPr>
          <w:b/>
          <w:i/>
          <w:lang w:val="en-GB"/>
        </w:rPr>
        <w:t>41:</w:t>
      </w:r>
      <w:r w:rsidR="0083311B" w:rsidRPr="0083311B">
        <w:rPr>
          <w:i/>
          <w:lang w:val="en-GB"/>
        </w:rPr>
        <w:t>14</w:t>
      </w:r>
    </w:p>
    <w:p w14:paraId="155E6618" w14:textId="4A188867" w:rsidR="007C7797" w:rsidRPr="007C7797" w:rsidRDefault="007C7797" w:rsidP="007C7797">
      <w:pPr>
        <w:pStyle w:val="EndNoteBibliography"/>
        <w:spacing w:after="0"/>
      </w:pPr>
      <w:r w:rsidRPr="007C7797">
        <w:t>122.</w:t>
      </w:r>
      <w:r w:rsidRPr="007C7797">
        <w:tab/>
        <w:t xml:space="preserve">Madsen A, Green K, Buchvald F, Hanel B, Nielsen KG. Aerobic fitness in children and young adults with primary ciliary dyskinesia. </w:t>
      </w:r>
      <w:r w:rsidR="0083311B">
        <w:rPr>
          <w:i/>
        </w:rPr>
        <w:t>PloS O</w:t>
      </w:r>
      <w:r w:rsidRPr="007C7797">
        <w:rPr>
          <w:i/>
        </w:rPr>
        <w:t>ne</w:t>
      </w:r>
      <w:r w:rsidRPr="007C7797">
        <w:t xml:space="preserve"> 2013; </w:t>
      </w:r>
      <w:r w:rsidRPr="007C7797">
        <w:rPr>
          <w:b/>
        </w:rPr>
        <w:t>8</w:t>
      </w:r>
      <w:r w:rsidRPr="007C7797">
        <w:t>(8): e71409.</w:t>
      </w:r>
    </w:p>
    <w:p w14:paraId="5C93CCBB" w14:textId="19D3BFF4" w:rsidR="007C7797" w:rsidRPr="007C7797" w:rsidRDefault="007C7797" w:rsidP="007C7797">
      <w:pPr>
        <w:pStyle w:val="EndNoteBibliography"/>
        <w:spacing w:after="0"/>
      </w:pPr>
      <w:r w:rsidRPr="007C7797">
        <w:t>123.</w:t>
      </w:r>
      <w:r w:rsidRPr="007C7797">
        <w:tab/>
        <w:t xml:space="preserve">Valerio G, Giallauria F, Montella S, et al. Cardiopulmonary assessment in primary ciliary dyskinesia. </w:t>
      </w:r>
      <w:r w:rsidR="0083311B" w:rsidRPr="0083311B">
        <w:rPr>
          <w:i/>
          <w:lang w:val="en-GB"/>
        </w:rPr>
        <w:t xml:space="preserve">Eur J Clin Invest </w:t>
      </w:r>
      <w:r w:rsidRPr="007C7797">
        <w:t xml:space="preserve">2012; </w:t>
      </w:r>
      <w:r w:rsidRPr="007C7797">
        <w:rPr>
          <w:b/>
        </w:rPr>
        <w:t>42</w:t>
      </w:r>
      <w:r w:rsidRPr="007C7797">
        <w:t>(6): 617-22.</w:t>
      </w:r>
    </w:p>
    <w:p w14:paraId="1A3D852A" w14:textId="77777777" w:rsidR="007C7797" w:rsidRPr="007C7797" w:rsidRDefault="007C7797" w:rsidP="007C7797">
      <w:pPr>
        <w:pStyle w:val="EndNoteBibliography"/>
        <w:spacing w:after="0"/>
      </w:pPr>
      <w:r w:rsidRPr="007C7797">
        <w:t>124.</w:t>
      </w:r>
      <w:r w:rsidRPr="007C7797">
        <w:tab/>
        <w:t xml:space="preserve">Green K, Buchvald FF, Marthin JK, Hanel B, Gustafsson PM, Nielsen KG. Ventilation inhomogeneity in children with primary ciliary dyskinesia. </w:t>
      </w:r>
      <w:r w:rsidRPr="007C7797">
        <w:rPr>
          <w:i/>
        </w:rPr>
        <w:t>Thorax</w:t>
      </w:r>
      <w:r w:rsidRPr="007C7797">
        <w:t xml:space="preserve"> 2012; </w:t>
      </w:r>
      <w:r w:rsidRPr="007C7797">
        <w:rPr>
          <w:b/>
        </w:rPr>
        <w:t>67</w:t>
      </w:r>
      <w:r w:rsidRPr="007C7797">
        <w:t>(1): 49-53.</w:t>
      </w:r>
    </w:p>
    <w:p w14:paraId="42AD0983" w14:textId="4DC583C2" w:rsidR="007C7797" w:rsidRPr="007C7797" w:rsidRDefault="007C7797" w:rsidP="007C7797">
      <w:pPr>
        <w:pStyle w:val="EndNoteBibliography"/>
        <w:spacing w:after="0"/>
      </w:pPr>
      <w:r w:rsidRPr="007C7797">
        <w:t>125.</w:t>
      </w:r>
      <w:r w:rsidRPr="007C7797">
        <w:tab/>
        <w:t xml:space="preserve">Irving SJ, Ives A, Davies G, et al. Lung clearance index and high-resolution computed tomography scores in primary ciliary dyskinesia. </w:t>
      </w:r>
      <w:r w:rsidR="00096EAB" w:rsidRPr="00096EAB">
        <w:rPr>
          <w:i/>
          <w:lang w:val="en-GB"/>
        </w:rPr>
        <w:t xml:space="preserve">Am J Respir Crit Care Med </w:t>
      </w:r>
      <w:r w:rsidRPr="007C7797">
        <w:t xml:space="preserve">2013; </w:t>
      </w:r>
      <w:r w:rsidRPr="007C7797">
        <w:rPr>
          <w:b/>
        </w:rPr>
        <w:t>188</w:t>
      </w:r>
      <w:r w:rsidRPr="007C7797">
        <w:t>(5): 545-9.</w:t>
      </w:r>
    </w:p>
    <w:p w14:paraId="1828D396" w14:textId="77777777" w:rsidR="007C7797" w:rsidRPr="007C7797" w:rsidRDefault="007C7797" w:rsidP="007C7797">
      <w:pPr>
        <w:pStyle w:val="EndNoteBibliography"/>
        <w:spacing w:after="0"/>
      </w:pPr>
      <w:r w:rsidRPr="007C7797">
        <w:t>126.</w:t>
      </w:r>
      <w:r w:rsidRPr="007C7797">
        <w:tab/>
        <w:t xml:space="preserve">Nyilas S, Schlegtendal A, Yammine S, Casaulta C, Latzin P, Koerner-Rettberg C. Further evidence for an association between LCI and FEV1 in patients with PCD. </w:t>
      </w:r>
      <w:r w:rsidRPr="007C7797">
        <w:rPr>
          <w:i/>
        </w:rPr>
        <w:t>Thorax</w:t>
      </w:r>
      <w:r w:rsidRPr="007C7797">
        <w:t xml:space="preserve"> 2015; </w:t>
      </w:r>
      <w:r w:rsidRPr="007C7797">
        <w:rPr>
          <w:b/>
        </w:rPr>
        <w:t>70</w:t>
      </w:r>
      <w:r w:rsidRPr="007C7797">
        <w:t>(9): 896.</w:t>
      </w:r>
    </w:p>
    <w:p w14:paraId="2E3C2DC7" w14:textId="6DF18AEE" w:rsidR="005F376F" w:rsidRDefault="007C7797" w:rsidP="005F376F">
      <w:pPr>
        <w:pStyle w:val="EndNoteBibliography"/>
        <w:spacing w:after="0"/>
      </w:pPr>
      <w:r w:rsidRPr="007C7797">
        <w:t>127.</w:t>
      </w:r>
      <w:r w:rsidRPr="007C7797">
        <w:tab/>
      </w:r>
      <w:r w:rsidR="005F376F">
        <w:t>Kobbernagel HE, Green K, Ring AM, Buchvald FF, Rosthøj S, Gustafsson PM,</w:t>
      </w:r>
    </w:p>
    <w:p w14:paraId="55B5056E" w14:textId="77777777" w:rsidR="005F376F" w:rsidRDefault="005F376F" w:rsidP="005F376F">
      <w:pPr>
        <w:pStyle w:val="EndNoteBibliography"/>
        <w:spacing w:after="0"/>
      </w:pPr>
      <w:r>
        <w:t>Nielsen KG. One-year evolution and variability in multiple-breath washout indices</w:t>
      </w:r>
    </w:p>
    <w:p w14:paraId="1C9E3A82" w14:textId="77777777" w:rsidR="005F376F" w:rsidRDefault="005F376F" w:rsidP="005F376F">
      <w:pPr>
        <w:pStyle w:val="EndNoteBibliography"/>
        <w:spacing w:after="0"/>
      </w:pPr>
      <w:r>
        <w:t xml:space="preserve">in children and young adults with primary ciliary dyskinesia. Eur Clin Respir J. </w:t>
      </w:r>
    </w:p>
    <w:p w14:paraId="099B6FE7" w14:textId="11E12C3E" w:rsidR="007C7797" w:rsidRPr="007C7797" w:rsidRDefault="005F376F" w:rsidP="005F376F">
      <w:pPr>
        <w:pStyle w:val="EndNoteBibliography"/>
        <w:spacing w:after="0"/>
      </w:pPr>
      <w:r>
        <w:t>2019 Mar 26;6(1):1591841</w:t>
      </w:r>
    </w:p>
    <w:p w14:paraId="77796C73" w14:textId="77777777" w:rsidR="007C7797" w:rsidRPr="007C7797" w:rsidRDefault="007C7797" w:rsidP="007C7797">
      <w:pPr>
        <w:pStyle w:val="EndNoteBibliography"/>
        <w:spacing w:after="0"/>
      </w:pPr>
      <w:r w:rsidRPr="007C7797">
        <w:t>128.</w:t>
      </w:r>
      <w:r w:rsidRPr="007C7797">
        <w:tab/>
        <w:t xml:space="preserve">Santamaria F, Montella S, Tiddens H, et al. Structural and functional lung disease in primary ciliary dyskinesia. </w:t>
      </w:r>
      <w:r w:rsidRPr="007C7797">
        <w:rPr>
          <w:i/>
        </w:rPr>
        <w:t>Chest</w:t>
      </w:r>
      <w:r w:rsidRPr="007C7797">
        <w:t xml:space="preserve"> 2008; </w:t>
      </w:r>
      <w:r w:rsidRPr="007C7797">
        <w:rPr>
          <w:b/>
        </w:rPr>
        <w:t>134</w:t>
      </w:r>
      <w:r w:rsidRPr="007C7797">
        <w:t>(2): 351-7.</w:t>
      </w:r>
    </w:p>
    <w:p w14:paraId="75CB8EEA" w14:textId="6C277D61" w:rsidR="007C7797" w:rsidRPr="007C7797" w:rsidRDefault="007C7797" w:rsidP="007C7797">
      <w:pPr>
        <w:pStyle w:val="EndNoteBibliography"/>
        <w:spacing w:after="0"/>
      </w:pPr>
      <w:r w:rsidRPr="007C7797">
        <w:t>129.</w:t>
      </w:r>
      <w:r w:rsidRPr="007C7797">
        <w:tab/>
        <w:t xml:space="preserve">Magnin ML, Cros P, Beydon N, et al. Longitudinal lung function and structural changes in children with primary ciliary dyskinesia. </w:t>
      </w:r>
      <w:r w:rsidR="00C610F7">
        <w:rPr>
          <w:i/>
        </w:rPr>
        <w:t>Ped Pulmonol</w:t>
      </w:r>
      <w:r w:rsidRPr="007C7797">
        <w:t xml:space="preserve"> 2012; </w:t>
      </w:r>
      <w:r w:rsidRPr="007C7797">
        <w:rPr>
          <w:b/>
        </w:rPr>
        <w:t>47</w:t>
      </w:r>
      <w:r w:rsidRPr="007C7797">
        <w:t>(8): 816-25.</w:t>
      </w:r>
    </w:p>
    <w:p w14:paraId="3D59F449" w14:textId="77777777" w:rsidR="007C7797" w:rsidRPr="007C7797" w:rsidRDefault="007C7797" w:rsidP="007C7797">
      <w:pPr>
        <w:pStyle w:val="EndNoteBibliography"/>
        <w:spacing w:after="0"/>
      </w:pPr>
      <w:r w:rsidRPr="007C7797">
        <w:t>130.</w:t>
      </w:r>
      <w:r w:rsidRPr="007C7797">
        <w:tab/>
        <w:t xml:space="preserve">Bhalla M, Turcios N, Aponte V, et al. Cystic fibrosis: scoring system with thin-section CT. </w:t>
      </w:r>
      <w:r w:rsidRPr="007C7797">
        <w:rPr>
          <w:i/>
        </w:rPr>
        <w:t>Radiology</w:t>
      </w:r>
      <w:r w:rsidRPr="007C7797">
        <w:t xml:space="preserve"> 1991; </w:t>
      </w:r>
      <w:r w:rsidRPr="007C7797">
        <w:rPr>
          <w:b/>
        </w:rPr>
        <w:t>179</w:t>
      </w:r>
      <w:r w:rsidRPr="007C7797">
        <w:t>(3): 783-8.</w:t>
      </w:r>
    </w:p>
    <w:p w14:paraId="5A7C0A24" w14:textId="18575081" w:rsidR="007C7797" w:rsidRPr="007C7797" w:rsidRDefault="007C7797" w:rsidP="007C7797">
      <w:pPr>
        <w:pStyle w:val="EndNoteBibliography"/>
        <w:spacing w:after="0"/>
      </w:pPr>
      <w:r w:rsidRPr="007C7797">
        <w:t>131.</w:t>
      </w:r>
      <w:r w:rsidRPr="007C7797">
        <w:tab/>
        <w:t xml:space="preserve">Brody AS, Klein JS, Molina PL, Quan J, Bean JA, Wilmott RW. High-resolution computed tomography in young patients with cystic fibrosis: distribution of abnormalities and correlation with pulmonary function tests. </w:t>
      </w:r>
      <w:r w:rsidR="00C610F7">
        <w:rPr>
          <w:i/>
        </w:rPr>
        <w:t>J Pediatr</w:t>
      </w:r>
      <w:r w:rsidRPr="007C7797">
        <w:t xml:space="preserve"> 2004; </w:t>
      </w:r>
      <w:r w:rsidRPr="007C7797">
        <w:rPr>
          <w:b/>
        </w:rPr>
        <w:t>145</w:t>
      </w:r>
      <w:r w:rsidRPr="007C7797">
        <w:t>(1): 32-8.</w:t>
      </w:r>
    </w:p>
    <w:p w14:paraId="5A501E81" w14:textId="4C80AE7D" w:rsidR="007C7797" w:rsidRPr="007C7797" w:rsidRDefault="007C7797" w:rsidP="007C7797">
      <w:pPr>
        <w:pStyle w:val="EndNoteBibliography"/>
        <w:spacing w:after="0"/>
      </w:pPr>
      <w:r w:rsidRPr="007C7797">
        <w:t>132.</w:t>
      </w:r>
      <w:r w:rsidRPr="007C7797">
        <w:tab/>
        <w:t xml:space="preserve">Tadd K, Morgan L, Rosenow T, et al. CF derived scoring systems do not fully describe the range of structural changes seen on CT scans in PCD. </w:t>
      </w:r>
      <w:r w:rsidR="00C610F7">
        <w:rPr>
          <w:i/>
        </w:rPr>
        <w:t>Ped Pulm</w:t>
      </w:r>
      <w:r w:rsidRPr="007C7797">
        <w:t xml:space="preserve"> 2019; </w:t>
      </w:r>
      <w:r w:rsidRPr="007C7797">
        <w:rPr>
          <w:b/>
        </w:rPr>
        <w:t>54</w:t>
      </w:r>
      <w:r w:rsidRPr="007C7797">
        <w:t>(4): 471-7.</w:t>
      </w:r>
    </w:p>
    <w:p w14:paraId="304867B5" w14:textId="786E03B5" w:rsidR="007C7797" w:rsidRPr="007C7797" w:rsidRDefault="007C7797" w:rsidP="007C7797">
      <w:pPr>
        <w:pStyle w:val="EndNoteBibliography"/>
        <w:spacing w:after="0"/>
      </w:pPr>
      <w:r w:rsidRPr="007C7797">
        <w:t>133.</w:t>
      </w:r>
      <w:r w:rsidRPr="007C7797">
        <w:tab/>
        <w:t xml:space="preserve">Montella S, Santamaria F, Salvatore M, et al. Lung disease assessment in primary ciliary dyskinesia: a comparison between chest high-field magnetic resonance imaging and high-resolution computed tomography findings. </w:t>
      </w:r>
      <w:r w:rsidR="00C610F7" w:rsidRPr="00C610F7">
        <w:rPr>
          <w:i/>
          <w:lang w:val="en-GB"/>
        </w:rPr>
        <w:t xml:space="preserve">Ital J Pediatr </w:t>
      </w:r>
      <w:r w:rsidRPr="007C7797">
        <w:t xml:space="preserve">2009; </w:t>
      </w:r>
      <w:r w:rsidRPr="007C7797">
        <w:rPr>
          <w:b/>
        </w:rPr>
        <w:t>35</w:t>
      </w:r>
      <w:r w:rsidRPr="007C7797">
        <w:t>(1): 24.</w:t>
      </w:r>
    </w:p>
    <w:p w14:paraId="355766AA" w14:textId="307BF9A9" w:rsidR="007C7797" w:rsidRPr="007C7797" w:rsidRDefault="007C7797" w:rsidP="007C7797">
      <w:pPr>
        <w:pStyle w:val="EndNoteBibliography"/>
        <w:spacing w:after="0"/>
      </w:pPr>
      <w:r w:rsidRPr="007C7797">
        <w:t>134.</w:t>
      </w:r>
      <w:r w:rsidRPr="007C7797">
        <w:tab/>
        <w:t xml:space="preserve">Smith LJ, West N, Hughes D, et al. Imaging Lung Function Abnormalities in Primary Ciliary Dyskinesia Using Hyperpolarized Gas Ventilation MRI. </w:t>
      </w:r>
      <w:r w:rsidR="00ED3614" w:rsidRPr="00ED3614">
        <w:rPr>
          <w:i/>
          <w:lang w:val="en-GB"/>
        </w:rPr>
        <w:t xml:space="preserve">Ann Am Thorac Soc </w:t>
      </w:r>
      <w:r w:rsidRPr="007C7797">
        <w:t xml:space="preserve">2018; </w:t>
      </w:r>
      <w:r w:rsidRPr="007C7797">
        <w:rPr>
          <w:b/>
        </w:rPr>
        <w:t>15</w:t>
      </w:r>
      <w:r w:rsidRPr="007C7797">
        <w:t>(12): 1487-90.</w:t>
      </w:r>
    </w:p>
    <w:p w14:paraId="299144CB" w14:textId="78A44329" w:rsidR="007C7797" w:rsidRPr="007C7797" w:rsidRDefault="007C7797" w:rsidP="007C7797">
      <w:pPr>
        <w:pStyle w:val="EndNoteBibliography"/>
        <w:spacing w:after="0"/>
      </w:pPr>
      <w:r w:rsidRPr="007C7797">
        <w:t>135.</w:t>
      </w:r>
      <w:r w:rsidRPr="007C7797">
        <w:tab/>
        <w:t xml:space="preserve">Schofield LM, Duff A, Brennan C. Airway Clearance Techniques for Primary Ciliary Dyskinesia; is the Cystic Fibrosis literature portable? </w:t>
      </w:r>
      <w:r w:rsidR="00C610F7" w:rsidRPr="00C610F7">
        <w:rPr>
          <w:i/>
          <w:lang w:val="en-GB"/>
        </w:rPr>
        <w:t xml:space="preserve">Paediatr Respir Rev. 2018; </w:t>
      </w:r>
      <w:r w:rsidR="00C610F7" w:rsidRPr="00C610F7">
        <w:rPr>
          <w:b/>
          <w:i/>
          <w:lang w:val="en-GB"/>
        </w:rPr>
        <w:t>25</w:t>
      </w:r>
      <w:r w:rsidR="00C610F7" w:rsidRPr="00C610F7">
        <w:rPr>
          <w:i/>
          <w:lang w:val="en-GB"/>
        </w:rPr>
        <w:t>:73-77</w:t>
      </w:r>
    </w:p>
    <w:p w14:paraId="7D3B0540" w14:textId="48F4F0DA" w:rsidR="007C7797" w:rsidRPr="007C7797" w:rsidRDefault="007C7797" w:rsidP="007C7797">
      <w:pPr>
        <w:pStyle w:val="EndNoteBibliography"/>
        <w:spacing w:after="0"/>
      </w:pPr>
      <w:r w:rsidRPr="007C7797">
        <w:t>136.</w:t>
      </w:r>
      <w:r w:rsidRPr="007C7797">
        <w:tab/>
        <w:t xml:space="preserve">Paff T, Daniels JM, Weersink EJ, Lutter R, Vonk Noordegraaf A, Haarman EG. A randomised controlled trial on the effect of inhaled hypertonic saline on quality of life in primary ciliary dyskinesia. </w:t>
      </w:r>
      <w:r w:rsidR="00FA75A1" w:rsidRPr="00FA75A1">
        <w:rPr>
          <w:i/>
          <w:lang w:val="en-GB"/>
        </w:rPr>
        <w:t xml:space="preserve">Eur Respir J </w:t>
      </w:r>
      <w:r w:rsidRPr="007C7797">
        <w:t xml:space="preserve">2017; </w:t>
      </w:r>
      <w:r w:rsidRPr="007C7797">
        <w:rPr>
          <w:b/>
        </w:rPr>
        <w:t>49</w:t>
      </w:r>
      <w:r w:rsidRPr="007C7797">
        <w:t>(2).</w:t>
      </w:r>
    </w:p>
    <w:p w14:paraId="09A71ACC" w14:textId="3CAE02EB" w:rsidR="007C7797" w:rsidRPr="007C7797" w:rsidRDefault="007C7797" w:rsidP="007C7797">
      <w:pPr>
        <w:pStyle w:val="EndNoteBibliography"/>
        <w:spacing w:after="0"/>
      </w:pPr>
      <w:r w:rsidRPr="007C7797">
        <w:t>137.</w:t>
      </w:r>
      <w:r w:rsidRPr="007C7797">
        <w:tab/>
        <w:t xml:space="preserve">Desai M, Weller PH, Spencer DA. Clinical benefit from nebulized human recombinant DNase in Kartagener's syndrome. </w:t>
      </w:r>
      <w:r w:rsidR="00C610F7">
        <w:rPr>
          <w:i/>
        </w:rPr>
        <w:t>Ped Pulm</w:t>
      </w:r>
      <w:r w:rsidRPr="007C7797">
        <w:t xml:space="preserve"> 1995; </w:t>
      </w:r>
      <w:r w:rsidRPr="007C7797">
        <w:rPr>
          <w:b/>
        </w:rPr>
        <w:t>20</w:t>
      </w:r>
      <w:r w:rsidRPr="007C7797">
        <w:t>(5): 307-8.</w:t>
      </w:r>
    </w:p>
    <w:p w14:paraId="3E2BB576" w14:textId="60CE9368" w:rsidR="007C7797" w:rsidRPr="007C7797" w:rsidRDefault="007C7797" w:rsidP="007C7797">
      <w:pPr>
        <w:pStyle w:val="EndNoteBibliography"/>
        <w:spacing w:after="0"/>
      </w:pPr>
      <w:r w:rsidRPr="007C7797">
        <w:t>138.</w:t>
      </w:r>
      <w:r w:rsidRPr="007C7797">
        <w:tab/>
        <w:t xml:space="preserve">ten Berge M, Brinkhorst G, Kroon AA, de Jongste JC. DNase treatment in primary ciliary dyskinesia--assessment by nocturnal pulse oximetry. </w:t>
      </w:r>
      <w:r w:rsidR="00C610F7">
        <w:rPr>
          <w:i/>
        </w:rPr>
        <w:t>Ped Pulm</w:t>
      </w:r>
      <w:r w:rsidRPr="007C7797">
        <w:t xml:space="preserve"> 1999; </w:t>
      </w:r>
      <w:r w:rsidRPr="007C7797">
        <w:rPr>
          <w:b/>
        </w:rPr>
        <w:t>27</w:t>
      </w:r>
      <w:r w:rsidRPr="007C7797">
        <w:t>(1): 59-61.</w:t>
      </w:r>
    </w:p>
    <w:p w14:paraId="1CC35D8B" w14:textId="203B7F11" w:rsidR="007C7797" w:rsidRPr="007C7797" w:rsidRDefault="007C7797" w:rsidP="007C7797">
      <w:pPr>
        <w:pStyle w:val="EndNoteBibliography"/>
        <w:spacing w:after="0"/>
      </w:pPr>
      <w:r w:rsidRPr="007C7797">
        <w:t>139.</w:t>
      </w:r>
      <w:r w:rsidRPr="007C7797">
        <w:tab/>
        <w:t xml:space="preserve">El-Abiad NM, Clifton S, Nasr SZ. Long-term use of nebulized human recombinant DNase1 in two siblings with primary ciliary dyskinesia. </w:t>
      </w:r>
      <w:r w:rsidR="00C610F7">
        <w:rPr>
          <w:i/>
        </w:rPr>
        <w:t xml:space="preserve">Respir Med </w:t>
      </w:r>
      <w:r w:rsidRPr="007C7797">
        <w:t xml:space="preserve">2007; </w:t>
      </w:r>
      <w:r w:rsidRPr="007C7797">
        <w:rPr>
          <w:b/>
        </w:rPr>
        <w:t>101</w:t>
      </w:r>
      <w:r w:rsidRPr="007C7797">
        <w:t>(10): 2224-6.</w:t>
      </w:r>
    </w:p>
    <w:p w14:paraId="3737092C" w14:textId="45523369" w:rsidR="007C7797" w:rsidRPr="007C7797" w:rsidRDefault="007C7797" w:rsidP="007C7797">
      <w:pPr>
        <w:pStyle w:val="EndNoteBibliography"/>
        <w:spacing w:after="0"/>
      </w:pPr>
      <w:r w:rsidRPr="007C7797">
        <w:t>140.</w:t>
      </w:r>
      <w:r w:rsidRPr="007C7797">
        <w:tab/>
        <w:t xml:space="preserve">Yang C, Montgomery M. Dornase alfa for cystic fibrosis. </w:t>
      </w:r>
      <w:r w:rsidR="00C610F7" w:rsidRPr="00C610F7">
        <w:rPr>
          <w:i/>
          <w:lang w:val="en-GB"/>
        </w:rPr>
        <w:t xml:space="preserve">Cochrane Database Syst Rev. </w:t>
      </w:r>
      <w:r w:rsidR="00C610F7" w:rsidRPr="00C610F7">
        <w:rPr>
          <w:lang w:val="en-GB"/>
        </w:rPr>
        <w:t xml:space="preserve">2018; </w:t>
      </w:r>
      <w:r w:rsidR="00C610F7" w:rsidRPr="00C610F7">
        <w:rPr>
          <w:b/>
          <w:lang w:val="en-GB"/>
        </w:rPr>
        <w:t>9</w:t>
      </w:r>
      <w:r w:rsidR="00C610F7" w:rsidRPr="00C610F7">
        <w:rPr>
          <w:lang w:val="en-GB"/>
        </w:rPr>
        <w:t>: Cd001127.</w:t>
      </w:r>
    </w:p>
    <w:p w14:paraId="1DF7ED7C" w14:textId="77777777" w:rsidR="007C7797" w:rsidRPr="007C7797" w:rsidRDefault="007C7797" w:rsidP="007C7797">
      <w:pPr>
        <w:pStyle w:val="EndNoteBibliography"/>
        <w:spacing w:after="0"/>
      </w:pPr>
      <w:r w:rsidRPr="007C7797">
        <w:t>141.</w:t>
      </w:r>
      <w:r w:rsidRPr="007C7797">
        <w:tab/>
        <w:t xml:space="preserve">O'Donnell AE, Barker AF, Ilowite JS, Fick RB. Treatment of idiopathic bronchiectasis with aerosolized recombinant human DNase I. rhDNase Study Group. </w:t>
      </w:r>
      <w:r w:rsidRPr="007C7797">
        <w:rPr>
          <w:i/>
        </w:rPr>
        <w:t>Chest</w:t>
      </w:r>
      <w:r w:rsidRPr="007C7797">
        <w:t xml:space="preserve"> 1998; </w:t>
      </w:r>
      <w:r w:rsidRPr="007C7797">
        <w:rPr>
          <w:b/>
        </w:rPr>
        <w:t>113</w:t>
      </w:r>
      <w:r w:rsidRPr="007C7797">
        <w:t>(5): 1329-34.</w:t>
      </w:r>
    </w:p>
    <w:p w14:paraId="023CDBE9" w14:textId="2B258C3E" w:rsidR="007C7797" w:rsidRPr="007C7797" w:rsidRDefault="007C7797" w:rsidP="007C7797">
      <w:pPr>
        <w:pStyle w:val="EndNoteBibliography"/>
        <w:spacing w:after="0"/>
      </w:pPr>
      <w:r w:rsidRPr="007C7797">
        <w:t>142.</w:t>
      </w:r>
      <w:r w:rsidRPr="007C7797">
        <w:tab/>
        <w:t xml:space="preserve">Lucas JS, Gahleitner F, Amorim A, et al. Pulmonary exacerbations in patients with primary ciliary dyskinesia: an expert consensus definition for use in clinical trials. </w:t>
      </w:r>
      <w:r w:rsidR="00C610F7" w:rsidRPr="00C610F7">
        <w:rPr>
          <w:i/>
          <w:lang w:val="en-GB"/>
        </w:rPr>
        <w:t xml:space="preserve">ERJ Open Res 2019; </w:t>
      </w:r>
      <w:r w:rsidR="00C610F7" w:rsidRPr="00C610F7">
        <w:rPr>
          <w:b/>
          <w:i/>
          <w:lang w:val="en-GB"/>
        </w:rPr>
        <w:t>5</w:t>
      </w:r>
      <w:r w:rsidR="00C610F7" w:rsidRPr="00C610F7">
        <w:rPr>
          <w:i/>
          <w:lang w:val="en-GB"/>
        </w:rPr>
        <w:t>(1).</w:t>
      </w:r>
    </w:p>
    <w:p w14:paraId="0AFF85A5" w14:textId="331501E8" w:rsidR="007C7797" w:rsidRPr="007C7797" w:rsidRDefault="007C7797" w:rsidP="007C7797">
      <w:pPr>
        <w:pStyle w:val="EndNoteBibliography"/>
        <w:spacing w:after="0"/>
      </w:pPr>
      <w:r w:rsidRPr="007C7797">
        <w:t>143.</w:t>
      </w:r>
      <w:r w:rsidRPr="007C7797">
        <w:tab/>
        <w:t xml:space="preserve">Wijers CD, Chmiel JF, Gaston BM. Bacterial infections in patients with primary ciliary dyskinesia: Comparison with cystic fibrosis. </w:t>
      </w:r>
      <w:r w:rsidR="00C610F7" w:rsidRPr="00C610F7">
        <w:rPr>
          <w:i/>
          <w:lang w:val="en-GB"/>
        </w:rPr>
        <w:t xml:space="preserve">Chron Respir Dis 2017; </w:t>
      </w:r>
      <w:r w:rsidR="00C610F7" w:rsidRPr="00C610F7">
        <w:rPr>
          <w:b/>
          <w:i/>
          <w:lang w:val="en-GB"/>
        </w:rPr>
        <w:t>14</w:t>
      </w:r>
      <w:r w:rsidR="00C610F7" w:rsidRPr="00C610F7">
        <w:rPr>
          <w:i/>
          <w:lang w:val="en-GB"/>
        </w:rPr>
        <w:t>(4): 392-406.</w:t>
      </w:r>
    </w:p>
    <w:p w14:paraId="43F7BB32" w14:textId="1D8C3AEB" w:rsidR="007C7797" w:rsidRPr="007C7797" w:rsidRDefault="007C7797" w:rsidP="007C7797">
      <w:pPr>
        <w:pStyle w:val="EndNoteBibliography"/>
        <w:spacing w:after="0"/>
      </w:pPr>
      <w:r w:rsidRPr="007C7797">
        <w:t>144.</w:t>
      </w:r>
      <w:r w:rsidRPr="007C7797">
        <w:tab/>
        <w:t xml:space="preserve">Kobbernagel HE, Buchvald FF, Haarman EG, et al. Study protocol, rationale and recruitment in a European multi-centre randomized controlled trial to determine the efficacy and safety of azithromycin maintenance therapy for 6 months in primary ciliary dyskinesia. </w:t>
      </w:r>
      <w:r w:rsidR="00C610F7">
        <w:rPr>
          <w:i/>
        </w:rPr>
        <w:t>BMC Pulm Med</w:t>
      </w:r>
      <w:r w:rsidRPr="007C7797">
        <w:t xml:space="preserve"> 2016; </w:t>
      </w:r>
      <w:r w:rsidRPr="007C7797">
        <w:rPr>
          <w:b/>
        </w:rPr>
        <w:t>16</w:t>
      </w:r>
      <w:r w:rsidRPr="007C7797">
        <w:t>(1): 104.</w:t>
      </w:r>
    </w:p>
    <w:p w14:paraId="5C8AF716" w14:textId="5FB941A9" w:rsidR="007C7797" w:rsidRPr="007C7797" w:rsidRDefault="007C7797" w:rsidP="007C7797">
      <w:pPr>
        <w:pStyle w:val="EndNoteBibliography"/>
        <w:spacing w:after="0"/>
      </w:pPr>
      <w:r w:rsidRPr="007C7797">
        <w:t>145.</w:t>
      </w:r>
      <w:r w:rsidRPr="007C7797">
        <w:tab/>
        <w:t xml:space="preserve">Shah A, Shoemark A, MacNeill SJ, et al. A longitudinal study characterising a large adult primary ciliary dyskinesia population. </w:t>
      </w:r>
      <w:r w:rsidR="00C610F7">
        <w:rPr>
          <w:i/>
        </w:rPr>
        <w:t>Eur Respir</w:t>
      </w:r>
      <w:r w:rsidRPr="007C7797">
        <w:rPr>
          <w:i/>
        </w:rPr>
        <w:t xml:space="preserve"> </w:t>
      </w:r>
      <w:r w:rsidR="00C610F7">
        <w:rPr>
          <w:i/>
        </w:rPr>
        <w:t>J</w:t>
      </w:r>
      <w:r w:rsidRPr="007C7797">
        <w:t xml:space="preserve"> 2016; </w:t>
      </w:r>
      <w:r w:rsidRPr="007C7797">
        <w:rPr>
          <w:b/>
        </w:rPr>
        <w:t>48</w:t>
      </w:r>
      <w:r w:rsidRPr="007C7797">
        <w:t>(2): 441-50.</w:t>
      </w:r>
    </w:p>
    <w:p w14:paraId="15563345" w14:textId="7EB24189" w:rsidR="007C7797" w:rsidRPr="007C7797" w:rsidRDefault="007C7797" w:rsidP="007C7797">
      <w:pPr>
        <w:pStyle w:val="EndNoteBibliography"/>
        <w:spacing w:after="0"/>
      </w:pPr>
      <w:r w:rsidRPr="007C7797">
        <w:t>146.</w:t>
      </w:r>
      <w:r w:rsidRPr="007C7797">
        <w:tab/>
        <w:t xml:space="preserve">Dell SD, Leigh MW, Lucas JS, et al. Primary Ciliary Dyskinesia: First Health-related Quality-of-Life Measures for Pediatric Patients. </w:t>
      </w:r>
      <w:r w:rsidR="00ED3614" w:rsidRPr="00ED3614">
        <w:rPr>
          <w:i/>
          <w:lang w:val="en-GB"/>
        </w:rPr>
        <w:t xml:space="preserve">Ann Am Thorac Soc </w:t>
      </w:r>
      <w:r w:rsidRPr="007C7797">
        <w:t xml:space="preserve">2016; </w:t>
      </w:r>
      <w:r w:rsidRPr="007C7797">
        <w:rPr>
          <w:b/>
        </w:rPr>
        <w:t>13</w:t>
      </w:r>
      <w:r w:rsidRPr="007C7797">
        <w:t>(10): 1726-35.</w:t>
      </w:r>
    </w:p>
    <w:p w14:paraId="404E53AE" w14:textId="6DDA6A1C" w:rsidR="007C7797" w:rsidRPr="007C7797" w:rsidRDefault="007C7797" w:rsidP="007C7797">
      <w:pPr>
        <w:pStyle w:val="EndNoteBibliography"/>
        <w:spacing w:after="0"/>
      </w:pPr>
      <w:r w:rsidRPr="007C7797">
        <w:t>147.</w:t>
      </w:r>
      <w:r w:rsidRPr="007C7797">
        <w:tab/>
        <w:t xml:space="preserve">Strippoli MP, Frischer T, Barbato A, et al. Management of primary ciliary dyskinesia in European children: recommendations and clinical practice. </w:t>
      </w:r>
      <w:r w:rsidR="00FA75A1" w:rsidRPr="00FA75A1">
        <w:rPr>
          <w:i/>
          <w:lang w:val="en-GB"/>
        </w:rPr>
        <w:t xml:space="preserve">Eur Respir J </w:t>
      </w:r>
      <w:r w:rsidRPr="007C7797">
        <w:t xml:space="preserve">2012; </w:t>
      </w:r>
      <w:r w:rsidRPr="007C7797">
        <w:rPr>
          <w:b/>
        </w:rPr>
        <w:t>39</w:t>
      </w:r>
      <w:r w:rsidRPr="007C7797">
        <w:t>(6): 1482-91.</w:t>
      </w:r>
    </w:p>
    <w:p w14:paraId="3E31D750" w14:textId="6D14959C" w:rsidR="007C7797" w:rsidRPr="007C7797" w:rsidRDefault="007C7797" w:rsidP="007C7797">
      <w:pPr>
        <w:pStyle w:val="EndNoteBibliography"/>
        <w:spacing w:after="0"/>
      </w:pPr>
      <w:r w:rsidRPr="007C7797">
        <w:t>148.</w:t>
      </w:r>
      <w:r w:rsidRPr="007C7797">
        <w:tab/>
        <w:t xml:space="preserve">Andersen TN, Alanin MC, von Buchwald C, Nielsen LH. A longitudinal evaluation of hearing and ventilation tube insertion in patients with primary ciliary dyskinesia. </w:t>
      </w:r>
      <w:r w:rsidR="002F25F6" w:rsidRPr="002F25F6">
        <w:rPr>
          <w:i/>
          <w:lang w:val="en-GB"/>
        </w:rPr>
        <w:t xml:space="preserve">Int J Ped Otorhinolaryngology 2016; </w:t>
      </w:r>
      <w:r w:rsidR="002F25F6" w:rsidRPr="002F25F6">
        <w:rPr>
          <w:b/>
          <w:i/>
          <w:lang w:val="en-GB"/>
        </w:rPr>
        <w:t>89</w:t>
      </w:r>
      <w:r w:rsidR="002F25F6" w:rsidRPr="002F25F6">
        <w:rPr>
          <w:i/>
          <w:lang w:val="en-GB"/>
        </w:rPr>
        <w:t>: 164-8.</w:t>
      </w:r>
    </w:p>
    <w:p w14:paraId="2A0D1CAA" w14:textId="530A949D" w:rsidR="007C7797" w:rsidRPr="007C7797" w:rsidRDefault="007C7797" w:rsidP="007C7797">
      <w:pPr>
        <w:pStyle w:val="EndNoteBibliography"/>
        <w:spacing w:after="0"/>
      </w:pPr>
      <w:r w:rsidRPr="007C7797">
        <w:t>149.</w:t>
      </w:r>
      <w:r w:rsidRPr="007C7797">
        <w:tab/>
        <w:t xml:space="preserve">Pruliere-Escabasse V, Coste A, Chauvin P, et al. Otologic features in children with primary ciliary dyskinesia. </w:t>
      </w:r>
      <w:r w:rsidR="002F25F6" w:rsidRPr="002F25F6">
        <w:rPr>
          <w:i/>
          <w:lang w:val="en-GB"/>
        </w:rPr>
        <w:t xml:space="preserve">Arch Otolaryngology--Head &amp; Neck Surgery 2010; </w:t>
      </w:r>
      <w:r w:rsidR="002F25F6" w:rsidRPr="002F25F6">
        <w:rPr>
          <w:b/>
          <w:i/>
          <w:lang w:val="en-GB"/>
        </w:rPr>
        <w:t>136</w:t>
      </w:r>
      <w:r w:rsidR="002F25F6" w:rsidRPr="002F25F6">
        <w:rPr>
          <w:i/>
          <w:lang w:val="en-GB"/>
        </w:rPr>
        <w:t>(11): 1121-6.</w:t>
      </w:r>
    </w:p>
    <w:p w14:paraId="1AAA19C8" w14:textId="662C6929" w:rsidR="007C7797" w:rsidRPr="007C7797" w:rsidRDefault="007C7797" w:rsidP="007C7797">
      <w:pPr>
        <w:pStyle w:val="EndNoteBibliography"/>
        <w:spacing w:after="0"/>
      </w:pPr>
      <w:r w:rsidRPr="007C7797">
        <w:t>150.</w:t>
      </w:r>
      <w:r w:rsidRPr="007C7797">
        <w:tab/>
        <w:t xml:space="preserve">Wolter NE, Dell SD, James AL, Campisi P. Middle ear ventilation in children with primary ciliary dyskinesia. </w:t>
      </w:r>
      <w:r w:rsidR="002F25F6" w:rsidRPr="002F25F6">
        <w:rPr>
          <w:i/>
          <w:lang w:val="en-GB"/>
        </w:rPr>
        <w:t xml:space="preserve">Int J Ped Otorhinolaryngology 2012; </w:t>
      </w:r>
      <w:r w:rsidR="002F25F6" w:rsidRPr="002F25F6">
        <w:rPr>
          <w:b/>
          <w:i/>
          <w:lang w:val="en-GB"/>
        </w:rPr>
        <w:t>76</w:t>
      </w:r>
      <w:r w:rsidR="002F25F6" w:rsidRPr="002F25F6">
        <w:rPr>
          <w:i/>
          <w:lang w:val="en-GB"/>
        </w:rPr>
        <w:t>(11): 1565-8.</w:t>
      </w:r>
    </w:p>
    <w:p w14:paraId="625BC96C" w14:textId="76C564F8" w:rsidR="007C7797" w:rsidRPr="007C7797" w:rsidRDefault="007C7797" w:rsidP="007C7797">
      <w:pPr>
        <w:pStyle w:val="EndNoteBibliography"/>
        <w:spacing w:after="0"/>
      </w:pPr>
      <w:r w:rsidRPr="007C7797">
        <w:t>151.</w:t>
      </w:r>
      <w:r w:rsidRPr="007C7797">
        <w:tab/>
        <w:t xml:space="preserve">Chhin B, Negre D, Merrot O, et al. Ciliary beating recovery in deficient human airway epithelial cells after lentivirus ex vivo gene therapy. </w:t>
      </w:r>
      <w:r w:rsidR="002F25F6">
        <w:rPr>
          <w:i/>
        </w:rPr>
        <w:t>PLoS G</w:t>
      </w:r>
      <w:r w:rsidRPr="007C7797">
        <w:rPr>
          <w:i/>
        </w:rPr>
        <w:t>enetics</w:t>
      </w:r>
      <w:r w:rsidRPr="007C7797">
        <w:t xml:space="preserve"> 2009; </w:t>
      </w:r>
      <w:r w:rsidRPr="007C7797">
        <w:rPr>
          <w:b/>
        </w:rPr>
        <w:t>5</w:t>
      </w:r>
      <w:r w:rsidRPr="007C7797">
        <w:t>(3): e1000422.</w:t>
      </w:r>
    </w:p>
    <w:p w14:paraId="3D9D8491" w14:textId="2FE1A4CD" w:rsidR="007C7797" w:rsidRPr="007C7797" w:rsidRDefault="007C7797" w:rsidP="007C7797">
      <w:pPr>
        <w:pStyle w:val="EndNoteBibliography"/>
        <w:spacing w:after="0"/>
      </w:pPr>
      <w:r w:rsidRPr="007C7797">
        <w:t>152.</w:t>
      </w:r>
      <w:r w:rsidRPr="007C7797">
        <w:tab/>
        <w:t xml:space="preserve">Ostrowski LE, Yin W, Patel M, et al. Restoring ciliary function to differentiated primary ciliary dyskinesia cells with a lentiviral vector. </w:t>
      </w:r>
      <w:r w:rsidR="00B87C42">
        <w:rPr>
          <w:i/>
        </w:rPr>
        <w:t>Gene T</w:t>
      </w:r>
      <w:r w:rsidRPr="007C7797">
        <w:rPr>
          <w:i/>
        </w:rPr>
        <w:t>herapy</w:t>
      </w:r>
      <w:r w:rsidRPr="007C7797">
        <w:t xml:space="preserve"> 2014; </w:t>
      </w:r>
      <w:r w:rsidRPr="007C7797">
        <w:rPr>
          <w:b/>
        </w:rPr>
        <w:t>21</w:t>
      </w:r>
      <w:r w:rsidRPr="007C7797">
        <w:t>(3): 253-61.</w:t>
      </w:r>
    </w:p>
    <w:p w14:paraId="40A377CC" w14:textId="33F79FD3" w:rsidR="007C7797" w:rsidRPr="007C7797" w:rsidRDefault="007C7797" w:rsidP="007C7797">
      <w:pPr>
        <w:pStyle w:val="EndNoteBibliography"/>
        <w:spacing w:after="0"/>
      </w:pPr>
      <w:r w:rsidRPr="007C7797">
        <w:t>153.</w:t>
      </w:r>
      <w:r w:rsidRPr="007C7797">
        <w:tab/>
        <w:t xml:space="preserve">Lai M, Pifferi M, Bush A, et al. Gene editing of DNAH11 restores normal cilia motility in primary ciliary dyskinesia. </w:t>
      </w:r>
      <w:r w:rsidR="00B87C42">
        <w:rPr>
          <w:i/>
          <w:lang w:val="en-GB"/>
        </w:rPr>
        <w:t>J Med</w:t>
      </w:r>
      <w:r w:rsidR="00B87C42" w:rsidRPr="00B87C42">
        <w:rPr>
          <w:i/>
          <w:lang w:val="en-GB"/>
        </w:rPr>
        <w:t xml:space="preserve"> Genetics 2016; </w:t>
      </w:r>
      <w:r w:rsidR="00B87C42" w:rsidRPr="00B87C42">
        <w:rPr>
          <w:b/>
          <w:i/>
          <w:lang w:val="en-GB"/>
        </w:rPr>
        <w:t>53</w:t>
      </w:r>
      <w:r w:rsidR="00B87C42" w:rsidRPr="00B87C42">
        <w:rPr>
          <w:i/>
          <w:lang w:val="en-GB"/>
        </w:rPr>
        <w:t>(4): 242-9.</w:t>
      </w:r>
    </w:p>
    <w:p w14:paraId="4B53CE82" w14:textId="536D3C5E" w:rsidR="007C7797" w:rsidRPr="007C7797" w:rsidRDefault="007C7797" w:rsidP="007C7797">
      <w:pPr>
        <w:pStyle w:val="EndNoteBibliography"/>
        <w:spacing w:after="0"/>
      </w:pPr>
      <w:r w:rsidRPr="007C7797">
        <w:t>154.</w:t>
      </w:r>
      <w:r w:rsidRPr="007C7797">
        <w:tab/>
        <w:t xml:space="preserve">Bukowy-Bieryllo Z, Dabrowski M, Witt M, Zietkiewicz E. Aminoglycoside-stimulated readthrough of premature termination codons in selected genes involved in primary ciliary dyskinesia. </w:t>
      </w:r>
      <w:r w:rsidR="00B87C42">
        <w:rPr>
          <w:i/>
        </w:rPr>
        <w:t>RNA B</w:t>
      </w:r>
      <w:r w:rsidRPr="007C7797">
        <w:rPr>
          <w:i/>
        </w:rPr>
        <w:t>iology</w:t>
      </w:r>
      <w:r w:rsidRPr="007C7797">
        <w:t xml:space="preserve"> 2016; </w:t>
      </w:r>
      <w:r w:rsidRPr="007C7797">
        <w:rPr>
          <w:b/>
        </w:rPr>
        <w:t>13</w:t>
      </w:r>
      <w:r w:rsidRPr="007C7797">
        <w:t>(10): 1041-50.</w:t>
      </w:r>
    </w:p>
    <w:p w14:paraId="79B27263" w14:textId="606A2FBC" w:rsidR="007C7797" w:rsidRPr="007C7797" w:rsidRDefault="007C7797" w:rsidP="007C7797">
      <w:pPr>
        <w:pStyle w:val="EndNoteBibliography"/>
        <w:spacing w:after="0"/>
      </w:pPr>
      <w:r w:rsidRPr="007C7797">
        <w:t>155.</w:t>
      </w:r>
      <w:r w:rsidRPr="007C7797">
        <w:tab/>
        <w:t xml:space="preserve">Fassad MR, Shoemark A, le Borgne P, et al. C11orf70 Mutations Disrupting the Intraflagellar Transport-Dependent Assembly of Multiple Axonemal Dyneins Cause Primary Ciliary Dyskinesia. </w:t>
      </w:r>
      <w:r w:rsidR="00663BCC" w:rsidRPr="00663BCC">
        <w:rPr>
          <w:i/>
          <w:lang w:val="en-GB"/>
        </w:rPr>
        <w:t xml:space="preserve">Am J Hum Genet 2018; </w:t>
      </w:r>
      <w:r w:rsidR="00663BCC" w:rsidRPr="00663BCC">
        <w:rPr>
          <w:b/>
          <w:i/>
          <w:lang w:val="en-GB"/>
        </w:rPr>
        <w:t>102</w:t>
      </w:r>
      <w:r w:rsidR="00663BCC" w:rsidRPr="00663BCC">
        <w:rPr>
          <w:i/>
          <w:lang w:val="en-GB"/>
        </w:rPr>
        <w:t>(5): 956-72.</w:t>
      </w:r>
    </w:p>
    <w:p w14:paraId="06BCE152" w14:textId="35FB77B0" w:rsidR="007C7797" w:rsidRPr="007C7797" w:rsidRDefault="007C7797" w:rsidP="007C7797">
      <w:pPr>
        <w:pStyle w:val="EndNoteBibliography"/>
        <w:spacing w:after="0"/>
      </w:pPr>
      <w:r w:rsidRPr="007C7797">
        <w:t>156.</w:t>
      </w:r>
      <w:r w:rsidRPr="007C7797">
        <w:tab/>
        <w:t xml:space="preserve">Antony D, Becker-Heck A, Zariwala MA, et al. Mutations in CCDC39 and CCDC40 are the major cause of primary ciliary dyskinesia with axonemal disorganization and absent inner dynein arms. </w:t>
      </w:r>
      <w:r w:rsidR="00663BCC">
        <w:rPr>
          <w:i/>
        </w:rPr>
        <w:t>Hum Mutat</w:t>
      </w:r>
      <w:r w:rsidRPr="007C7797">
        <w:t xml:space="preserve"> 2013; </w:t>
      </w:r>
      <w:r w:rsidRPr="007C7797">
        <w:rPr>
          <w:b/>
        </w:rPr>
        <w:t>34</w:t>
      </w:r>
      <w:r w:rsidRPr="007C7797">
        <w:t>(3): 462-72.</w:t>
      </w:r>
    </w:p>
    <w:p w14:paraId="54B96211" w14:textId="1A65C7E9" w:rsidR="007C7797" w:rsidRPr="007C7797" w:rsidRDefault="007C7797" w:rsidP="007C7797">
      <w:pPr>
        <w:pStyle w:val="EndNoteBibliography"/>
        <w:spacing w:after="0"/>
      </w:pPr>
      <w:r w:rsidRPr="007C7797">
        <w:t>157.</w:t>
      </w:r>
      <w:r w:rsidRPr="007C7797">
        <w:tab/>
        <w:t xml:space="preserve">Horani A, Brody SL, Ferkol TW, et al. CCDC65 mutation causes primary ciliary dyskinesia with normal ultrastructure and hyperkinetic cilia. </w:t>
      </w:r>
      <w:r w:rsidR="00663BCC">
        <w:rPr>
          <w:i/>
        </w:rPr>
        <w:t>PloS O</w:t>
      </w:r>
      <w:r w:rsidRPr="007C7797">
        <w:rPr>
          <w:i/>
        </w:rPr>
        <w:t>ne</w:t>
      </w:r>
      <w:r w:rsidRPr="007C7797">
        <w:t xml:space="preserve"> 2013; </w:t>
      </w:r>
      <w:r w:rsidRPr="007C7797">
        <w:rPr>
          <w:b/>
        </w:rPr>
        <w:t>8</w:t>
      </w:r>
      <w:r w:rsidRPr="007C7797">
        <w:t>(8): e72299.</w:t>
      </w:r>
    </w:p>
    <w:p w14:paraId="3BF33122" w14:textId="03ED3299" w:rsidR="007C7797" w:rsidRPr="007C7797" w:rsidRDefault="007C7797" w:rsidP="007C7797">
      <w:pPr>
        <w:pStyle w:val="EndNoteBibliography"/>
      </w:pPr>
      <w:r w:rsidRPr="007C7797">
        <w:t>158.</w:t>
      </w:r>
      <w:r w:rsidRPr="007C7797">
        <w:tab/>
        <w:t xml:space="preserve">Daniels ML, Leigh MW, Davis SD, et al. Founder mutation in RSPH4A identified in patients of Hispanic descent with primary ciliary dyskinesia. </w:t>
      </w:r>
      <w:r w:rsidR="00663BCC">
        <w:rPr>
          <w:i/>
        </w:rPr>
        <w:t>Hum Mutat</w:t>
      </w:r>
      <w:r w:rsidRPr="007C7797">
        <w:t xml:space="preserve"> 2013; </w:t>
      </w:r>
      <w:r w:rsidRPr="007C7797">
        <w:rPr>
          <w:b/>
        </w:rPr>
        <w:t>34</w:t>
      </w:r>
      <w:r w:rsidRPr="007C7797">
        <w:t>(10): 1352-6.</w:t>
      </w:r>
    </w:p>
    <w:p w14:paraId="3C19B7B0" w14:textId="5EB69FF6" w:rsidR="00D070A6" w:rsidRDefault="00D070A6" w:rsidP="008D14D6">
      <w:pPr>
        <w:tabs>
          <w:tab w:val="left" w:pos="8647"/>
        </w:tabs>
        <w:spacing w:line="360" w:lineRule="auto"/>
      </w:pPr>
    </w:p>
    <w:p w14:paraId="221198FD" w14:textId="77777777" w:rsidR="00501972" w:rsidRDefault="00501972">
      <w:pPr>
        <w:tabs>
          <w:tab w:val="left" w:pos="8647"/>
        </w:tabs>
        <w:spacing w:line="360" w:lineRule="auto"/>
      </w:pPr>
    </w:p>
    <w:p w14:paraId="28DFDA15" w14:textId="77777777" w:rsidR="00501972" w:rsidRDefault="00501972">
      <w:pPr>
        <w:tabs>
          <w:tab w:val="left" w:pos="8647"/>
        </w:tabs>
        <w:spacing w:line="360" w:lineRule="auto"/>
      </w:pPr>
    </w:p>
    <w:p w14:paraId="61D4E16B" w14:textId="00A81D55" w:rsidR="0042249B" w:rsidRDefault="009A2742">
      <w:pPr>
        <w:tabs>
          <w:tab w:val="left" w:pos="8647"/>
        </w:tabs>
        <w:spacing w:line="360" w:lineRule="auto"/>
      </w:pPr>
      <w:r>
        <w:fldChar w:fldCharType="begin"/>
      </w:r>
      <w:r>
        <w:instrText xml:space="preserve"> ADDIN EN.REFLIST </w:instrText>
      </w:r>
      <w:r>
        <w:fldChar w:fldCharType="separate"/>
      </w:r>
      <w:r>
        <w:fldChar w:fldCharType="end"/>
      </w:r>
    </w:p>
    <w:sectPr w:rsidR="004224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9CA74" w14:textId="77777777" w:rsidR="00B47197" w:rsidRDefault="00B47197" w:rsidP="00355D40">
      <w:pPr>
        <w:spacing w:after="0" w:line="240" w:lineRule="auto"/>
      </w:pPr>
      <w:r>
        <w:separator/>
      </w:r>
    </w:p>
  </w:endnote>
  <w:endnote w:type="continuationSeparator" w:id="0">
    <w:p w14:paraId="58C20151" w14:textId="77777777" w:rsidR="00B47197" w:rsidRDefault="00B47197" w:rsidP="00355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calaLancetPro">
    <w:altName w:val="Times New Roman"/>
    <w:panose1 w:val="00000000000000000000"/>
    <w:charset w:val="A1"/>
    <w:family w:val="roman"/>
    <w:notTrueType/>
    <w:pitch w:val="default"/>
    <w:sig w:usb0="00000081" w:usb1="00000000" w:usb2="00000000" w:usb3="00000000" w:csb0="00000008"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EAB79" w14:textId="77777777" w:rsidR="00B47197" w:rsidRDefault="00B47197" w:rsidP="00355D40">
      <w:pPr>
        <w:spacing w:after="0" w:line="240" w:lineRule="auto"/>
      </w:pPr>
      <w:r>
        <w:separator/>
      </w:r>
    </w:p>
  </w:footnote>
  <w:footnote w:type="continuationSeparator" w:id="0">
    <w:p w14:paraId="58293A84" w14:textId="77777777" w:rsidR="00B47197" w:rsidRDefault="00B47197" w:rsidP="00355D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A06BE"/>
    <w:multiLevelType w:val="hybridMultilevel"/>
    <w:tmpl w:val="CDBC1F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9973428"/>
    <w:multiLevelType w:val="multilevel"/>
    <w:tmpl w:val="628056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7D5710"/>
    <w:multiLevelType w:val="hybridMultilevel"/>
    <w:tmpl w:val="5B1E2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pfwdzpcedx9neza0rpvw9tdxzf0f5tdef9&quot;&gt;PCD july2017-Saved&lt;record-ids&gt;&lt;item&gt;86&lt;/item&gt;&lt;/record-ids&gt;&lt;/item&gt;&lt;/Libraries&gt;"/>
  </w:docVars>
  <w:rsids>
    <w:rsidRoot w:val="00307BE7"/>
    <w:rsid w:val="000006CC"/>
    <w:rsid w:val="00006427"/>
    <w:rsid w:val="00006D54"/>
    <w:rsid w:val="0003669E"/>
    <w:rsid w:val="000536FD"/>
    <w:rsid w:val="00055871"/>
    <w:rsid w:val="00055F7E"/>
    <w:rsid w:val="000567FD"/>
    <w:rsid w:val="0005726F"/>
    <w:rsid w:val="000775CD"/>
    <w:rsid w:val="000829A7"/>
    <w:rsid w:val="000855CF"/>
    <w:rsid w:val="00096EAB"/>
    <w:rsid w:val="00097C5F"/>
    <w:rsid w:val="000A6AA5"/>
    <w:rsid w:val="000B0D81"/>
    <w:rsid w:val="000B1BF3"/>
    <w:rsid w:val="000B3C4A"/>
    <w:rsid w:val="000B5B80"/>
    <w:rsid w:val="000D2D52"/>
    <w:rsid w:val="000D46C4"/>
    <w:rsid w:val="000E0CA8"/>
    <w:rsid w:val="000E4C5D"/>
    <w:rsid w:val="000E4F54"/>
    <w:rsid w:val="000F2E75"/>
    <w:rsid w:val="001034A3"/>
    <w:rsid w:val="00105B43"/>
    <w:rsid w:val="00106D19"/>
    <w:rsid w:val="00111449"/>
    <w:rsid w:val="001170A3"/>
    <w:rsid w:val="00130A81"/>
    <w:rsid w:val="00131298"/>
    <w:rsid w:val="00150E7E"/>
    <w:rsid w:val="00151D53"/>
    <w:rsid w:val="00152F4F"/>
    <w:rsid w:val="001718D1"/>
    <w:rsid w:val="0017299B"/>
    <w:rsid w:val="00173921"/>
    <w:rsid w:val="00181B70"/>
    <w:rsid w:val="00186550"/>
    <w:rsid w:val="00187D45"/>
    <w:rsid w:val="001A6111"/>
    <w:rsid w:val="001B342B"/>
    <w:rsid w:val="001B3571"/>
    <w:rsid w:val="001B7667"/>
    <w:rsid w:val="001C0019"/>
    <w:rsid w:val="001C0566"/>
    <w:rsid w:val="001C60A6"/>
    <w:rsid w:val="001D5D48"/>
    <w:rsid w:val="001F2046"/>
    <w:rsid w:val="001F30D1"/>
    <w:rsid w:val="001F77C7"/>
    <w:rsid w:val="002002B3"/>
    <w:rsid w:val="00204625"/>
    <w:rsid w:val="0021306A"/>
    <w:rsid w:val="00215E5E"/>
    <w:rsid w:val="00221150"/>
    <w:rsid w:val="00222AB4"/>
    <w:rsid w:val="00225322"/>
    <w:rsid w:val="00225A76"/>
    <w:rsid w:val="00231A83"/>
    <w:rsid w:val="0024483B"/>
    <w:rsid w:val="0024686C"/>
    <w:rsid w:val="00246F41"/>
    <w:rsid w:val="00247540"/>
    <w:rsid w:val="00254394"/>
    <w:rsid w:val="00256336"/>
    <w:rsid w:val="00273716"/>
    <w:rsid w:val="00280D8A"/>
    <w:rsid w:val="00284D1B"/>
    <w:rsid w:val="002851EC"/>
    <w:rsid w:val="002A7B35"/>
    <w:rsid w:val="002B7288"/>
    <w:rsid w:val="002B7827"/>
    <w:rsid w:val="002B78FE"/>
    <w:rsid w:val="002C03D2"/>
    <w:rsid w:val="002C523F"/>
    <w:rsid w:val="002C533F"/>
    <w:rsid w:val="002E3749"/>
    <w:rsid w:val="002E5746"/>
    <w:rsid w:val="002E689E"/>
    <w:rsid w:val="002F1FF5"/>
    <w:rsid w:val="002F25F6"/>
    <w:rsid w:val="0030080B"/>
    <w:rsid w:val="00305464"/>
    <w:rsid w:val="00307BE7"/>
    <w:rsid w:val="00310191"/>
    <w:rsid w:val="0031511D"/>
    <w:rsid w:val="00315B7B"/>
    <w:rsid w:val="003258CE"/>
    <w:rsid w:val="0033043E"/>
    <w:rsid w:val="00337668"/>
    <w:rsid w:val="00342996"/>
    <w:rsid w:val="00344D4B"/>
    <w:rsid w:val="0034603E"/>
    <w:rsid w:val="00346E0B"/>
    <w:rsid w:val="00355D40"/>
    <w:rsid w:val="00357012"/>
    <w:rsid w:val="00357975"/>
    <w:rsid w:val="00365047"/>
    <w:rsid w:val="00381718"/>
    <w:rsid w:val="003A45E9"/>
    <w:rsid w:val="003B3290"/>
    <w:rsid w:val="003B58B2"/>
    <w:rsid w:val="003C729F"/>
    <w:rsid w:val="003E5E70"/>
    <w:rsid w:val="003E75B2"/>
    <w:rsid w:val="003F4305"/>
    <w:rsid w:val="004021DA"/>
    <w:rsid w:val="004118D1"/>
    <w:rsid w:val="0042249B"/>
    <w:rsid w:val="00423C4A"/>
    <w:rsid w:val="0042751D"/>
    <w:rsid w:val="00433827"/>
    <w:rsid w:val="004421FC"/>
    <w:rsid w:val="00452C3B"/>
    <w:rsid w:val="004566DE"/>
    <w:rsid w:val="00466D03"/>
    <w:rsid w:val="0047428E"/>
    <w:rsid w:val="00475C37"/>
    <w:rsid w:val="00480510"/>
    <w:rsid w:val="00483CC9"/>
    <w:rsid w:val="004A0438"/>
    <w:rsid w:val="004A7041"/>
    <w:rsid w:val="004B0D19"/>
    <w:rsid w:val="004B2462"/>
    <w:rsid w:val="004B28FF"/>
    <w:rsid w:val="004B4020"/>
    <w:rsid w:val="004B462E"/>
    <w:rsid w:val="004C4F99"/>
    <w:rsid w:val="004D3692"/>
    <w:rsid w:val="004D4637"/>
    <w:rsid w:val="004E36BD"/>
    <w:rsid w:val="00501972"/>
    <w:rsid w:val="00504401"/>
    <w:rsid w:val="0050479A"/>
    <w:rsid w:val="00507F04"/>
    <w:rsid w:val="005113F5"/>
    <w:rsid w:val="00520885"/>
    <w:rsid w:val="00523BD7"/>
    <w:rsid w:val="005256F1"/>
    <w:rsid w:val="005370CB"/>
    <w:rsid w:val="00551B41"/>
    <w:rsid w:val="00561A0A"/>
    <w:rsid w:val="00563405"/>
    <w:rsid w:val="005712D3"/>
    <w:rsid w:val="005A0C62"/>
    <w:rsid w:val="005B0F3A"/>
    <w:rsid w:val="005B39DC"/>
    <w:rsid w:val="005B3B60"/>
    <w:rsid w:val="005B3CA4"/>
    <w:rsid w:val="005C003A"/>
    <w:rsid w:val="005C02E1"/>
    <w:rsid w:val="005C188F"/>
    <w:rsid w:val="005C7B4C"/>
    <w:rsid w:val="005E2A0F"/>
    <w:rsid w:val="005F3606"/>
    <w:rsid w:val="005F376F"/>
    <w:rsid w:val="005F6462"/>
    <w:rsid w:val="006027D7"/>
    <w:rsid w:val="00604B2C"/>
    <w:rsid w:val="006050D2"/>
    <w:rsid w:val="00614558"/>
    <w:rsid w:val="00615E61"/>
    <w:rsid w:val="006203F4"/>
    <w:rsid w:val="0062536E"/>
    <w:rsid w:val="0064551E"/>
    <w:rsid w:val="00650A64"/>
    <w:rsid w:val="00650E68"/>
    <w:rsid w:val="00657E09"/>
    <w:rsid w:val="00663BCC"/>
    <w:rsid w:val="00664C82"/>
    <w:rsid w:val="00664FB2"/>
    <w:rsid w:val="0067093B"/>
    <w:rsid w:val="00684186"/>
    <w:rsid w:val="00684949"/>
    <w:rsid w:val="00693411"/>
    <w:rsid w:val="00694F98"/>
    <w:rsid w:val="006B6139"/>
    <w:rsid w:val="006B7E9F"/>
    <w:rsid w:val="006C0F41"/>
    <w:rsid w:val="006E0013"/>
    <w:rsid w:val="006E761F"/>
    <w:rsid w:val="006E7EDA"/>
    <w:rsid w:val="006F285E"/>
    <w:rsid w:val="006F7FEA"/>
    <w:rsid w:val="0070220A"/>
    <w:rsid w:val="00703C07"/>
    <w:rsid w:val="007058D0"/>
    <w:rsid w:val="00710835"/>
    <w:rsid w:val="007365FB"/>
    <w:rsid w:val="007445A1"/>
    <w:rsid w:val="00744C59"/>
    <w:rsid w:val="00746D4C"/>
    <w:rsid w:val="00763018"/>
    <w:rsid w:val="007702C1"/>
    <w:rsid w:val="00775930"/>
    <w:rsid w:val="00793D02"/>
    <w:rsid w:val="007A341D"/>
    <w:rsid w:val="007B1297"/>
    <w:rsid w:val="007B28E4"/>
    <w:rsid w:val="007C0566"/>
    <w:rsid w:val="007C70D2"/>
    <w:rsid w:val="007C7797"/>
    <w:rsid w:val="007D4884"/>
    <w:rsid w:val="007E13B8"/>
    <w:rsid w:val="007F0788"/>
    <w:rsid w:val="007F1374"/>
    <w:rsid w:val="007F4EA1"/>
    <w:rsid w:val="00801C53"/>
    <w:rsid w:val="00810476"/>
    <w:rsid w:val="00831CEC"/>
    <w:rsid w:val="00832056"/>
    <w:rsid w:val="0083311B"/>
    <w:rsid w:val="00833AB5"/>
    <w:rsid w:val="00837F41"/>
    <w:rsid w:val="00840074"/>
    <w:rsid w:val="00841A5F"/>
    <w:rsid w:val="00846503"/>
    <w:rsid w:val="00851854"/>
    <w:rsid w:val="00851E5D"/>
    <w:rsid w:val="00863E54"/>
    <w:rsid w:val="00873945"/>
    <w:rsid w:val="008812E4"/>
    <w:rsid w:val="00881FA7"/>
    <w:rsid w:val="0089099E"/>
    <w:rsid w:val="008A23BB"/>
    <w:rsid w:val="008A4ED6"/>
    <w:rsid w:val="008A54D6"/>
    <w:rsid w:val="008B7F67"/>
    <w:rsid w:val="008C0F70"/>
    <w:rsid w:val="008C4A1D"/>
    <w:rsid w:val="008C63A9"/>
    <w:rsid w:val="008D14D6"/>
    <w:rsid w:val="008D2375"/>
    <w:rsid w:val="008D2507"/>
    <w:rsid w:val="008E069C"/>
    <w:rsid w:val="008F42A9"/>
    <w:rsid w:val="00900C4C"/>
    <w:rsid w:val="009111A8"/>
    <w:rsid w:val="009131DA"/>
    <w:rsid w:val="009134CA"/>
    <w:rsid w:val="009160F1"/>
    <w:rsid w:val="00924589"/>
    <w:rsid w:val="00936050"/>
    <w:rsid w:val="00936EFF"/>
    <w:rsid w:val="0095208B"/>
    <w:rsid w:val="00952B93"/>
    <w:rsid w:val="009531C1"/>
    <w:rsid w:val="00957554"/>
    <w:rsid w:val="00974137"/>
    <w:rsid w:val="00976791"/>
    <w:rsid w:val="00976C9F"/>
    <w:rsid w:val="009779A0"/>
    <w:rsid w:val="00995A38"/>
    <w:rsid w:val="009A2742"/>
    <w:rsid w:val="009A3459"/>
    <w:rsid w:val="009A3EF7"/>
    <w:rsid w:val="009A5E15"/>
    <w:rsid w:val="009B0336"/>
    <w:rsid w:val="009B0DA2"/>
    <w:rsid w:val="009B1A62"/>
    <w:rsid w:val="009B6627"/>
    <w:rsid w:val="009B6789"/>
    <w:rsid w:val="009C1702"/>
    <w:rsid w:val="009C3453"/>
    <w:rsid w:val="009C5037"/>
    <w:rsid w:val="009C5DDC"/>
    <w:rsid w:val="009D0517"/>
    <w:rsid w:val="009D0613"/>
    <w:rsid w:val="009E606D"/>
    <w:rsid w:val="009E7F42"/>
    <w:rsid w:val="009F00B8"/>
    <w:rsid w:val="009F3E7D"/>
    <w:rsid w:val="00A0030E"/>
    <w:rsid w:val="00A01E50"/>
    <w:rsid w:val="00A0691B"/>
    <w:rsid w:val="00A06AF2"/>
    <w:rsid w:val="00A24CCF"/>
    <w:rsid w:val="00A25BAC"/>
    <w:rsid w:val="00A26F4F"/>
    <w:rsid w:val="00A474C9"/>
    <w:rsid w:val="00A60AC9"/>
    <w:rsid w:val="00A703D9"/>
    <w:rsid w:val="00A714D7"/>
    <w:rsid w:val="00A72BE0"/>
    <w:rsid w:val="00A8339E"/>
    <w:rsid w:val="00A8391F"/>
    <w:rsid w:val="00A92924"/>
    <w:rsid w:val="00A9618F"/>
    <w:rsid w:val="00A97074"/>
    <w:rsid w:val="00AA174C"/>
    <w:rsid w:val="00AB30EB"/>
    <w:rsid w:val="00AB429A"/>
    <w:rsid w:val="00AD01A6"/>
    <w:rsid w:val="00AD44F3"/>
    <w:rsid w:val="00AD70B3"/>
    <w:rsid w:val="00AF2F7F"/>
    <w:rsid w:val="00AF426B"/>
    <w:rsid w:val="00B103D8"/>
    <w:rsid w:val="00B13CDF"/>
    <w:rsid w:val="00B1403A"/>
    <w:rsid w:val="00B339CC"/>
    <w:rsid w:val="00B34B83"/>
    <w:rsid w:val="00B47197"/>
    <w:rsid w:val="00B517B5"/>
    <w:rsid w:val="00B51AA4"/>
    <w:rsid w:val="00B53990"/>
    <w:rsid w:val="00B705C2"/>
    <w:rsid w:val="00B86AC4"/>
    <w:rsid w:val="00B87C42"/>
    <w:rsid w:val="00BB30FB"/>
    <w:rsid w:val="00BB5E9D"/>
    <w:rsid w:val="00BC3777"/>
    <w:rsid w:val="00BC6D8B"/>
    <w:rsid w:val="00BD6640"/>
    <w:rsid w:val="00BE1A38"/>
    <w:rsid w:val="00BF7C95"/>
    <w:rsid w:val="00C0208F"/>
    <w:rsid w:val="00C028CC"/>
    <w:rsid w:val="00C02BFE"/>
    <w:rsid w:val="00C11E29"/>
    <w:rsid w:val="00C253FB"/>
    <w:rsid w:val="00C260D5"/>
    <w:rsid w:val="00C278B2"/>
    <w:rsid w:val="00C352EF"/>
    <w:rsid w:val="00C37DF6"/>
    <w:rsid w:val="00C53960"/>
    <w:rsid w:val="00C610F7"/>
    <w:rsid w:val="00C61A39"/>
    <w:rsid w:val="00C61C73"/>
    <w:rsid w:val="00C67573"/>
    <w:rsid w:val="00C920E6"/>
    <w:rsid w:val="00C97696"/>
    <w:rsid w:val="00CB5226"/>
    <w:rsid w:val="00CB5A10"/>
    <w:rsid w:val="00CB7528"/>
    <w:rsid w:val="00CC1F06"/>
    <w:rsid w:val="00CC60EC"/>
    <w:rsid w:val="00CC7DF5"/>
    <w:rsid w:val="00CD306B"/>
    <w:rsid w:val="00CE1140"/>
    <w:rsid w:val="00CE236F"/>
    <w:rsid w:val="00CF0470"/>
    <w:rsid w:val="00CF55B0"/>
    <w:rsid w:val="00D01DAE"/>
    <w:rsid w:val="00D070A6"/>
    <w:rsid w:val="00D15783"/>
    <w:rsid w:val="00D27E0A"/>
    <w:rsid w:val="00D30DEB"/>
    <w:rsid w:val="00D320E3"/>
    <w:rsid w:val="00D33F0C"/>
    <w:rsid w:val="00D4206F"/>
    <w:rsid w:val="00D5674D"/>
    <w:rsid w:val="00D57D05"/>
    <w:rsid w:val="00D77870"/>
    <w:rsid w:val="00DA42F0"/>
    <w:rsid w:val="00DA622C"/>
    <w:rsid w:val="00DA6D33"/>
    <w:rsid w:val="00DA70D2"/>
    <w:rsid w:val="00DC0239"/>
    <w:rsid w:val="00DD136D"/>
    <w:rsid w:val="00DD26C5"/>
    <w:rsid w:val="00DE10E2"/>
    <w:rsid w:val="00DE5A80"/>
    <w:rsid w:val="00DE7814"/>
    <w:rsid w:val="00DF0846"/>
    <w:rsid w:val="00E01EC7"/>
    <w:rsid w:val="00E0628E"/>
    <w:rsid w:val="00E0794D"/>
    <w:rsid w:val="00E2395B"/>
    <w:rsid w:val="00E251B7"/>
    <w:rsid w:val="00E43376"/>
    <w:rsid w:val="00E4454D"/>
    <w:rsid w:val="00E60D5A"/>
    <w:rsid w:val="00E7380F"/>
    <w:rsid w:val="00E76518"/>
    <w:rsid w:val="00E83FE6"/>
    <w:rsid w:val="00E85253"/>
    <w:rsid w:val="00E869E9"/>
    <w:rsid w:val="00E9398F"/>
    <w:rsid w:val="00E949CD"/>
    <w:rsid w:val="00EC65E0"/>
    <w:rsid w:val="00ED0362"/>
    <w:rsid w:val="00ED3614"/>
    <w:rsid w:val="00EE2542"/>
    <w:rsid w:val="00EF3EB1"/>
    <w:rsid w:val="00F10D96"/>
    <w:rsid w:val="00F1318E"/>
    <w:rsid w:val="00F143AE"/>
    <w:rsid w:val="00F17509"/>
    <w:rsid w:val="00F217C1"/>
    <w:rsid w:val="00F43259"/>
    <w:rsid w:val="00F4578F"/>
    <w:rsid w:val="00F47749"/>
    <w:rsid w:val="00F51AAA"/>
    <w:rsid w:val="00F56643"/>
    <w:rsid w:val="00F64297"/>
    <w:rsid w:val="00F70F67"/>
    <w:rsid w:val="00F9097D"/>
    <w:rsid w:val="00FA50EB"/>
    <w:rsid w:val="00FA519A"/>
    <w:rsid w:val="00FA6A59"/>
    <w:rsid w:val="00FA75A1"/>
    <w:rsid w:val="00FD532B"/>
    <w:rsid w:val="00FF192B"/>
    <w:rsid w:val="00FF2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918E"/>
  <w15:chartTrackingRefBased/>
  <w15:docId w15:val="{87517E6C-488F-45DB-B1AC-746B0F8B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2A0F"/>
    <w:rPr>
      <w:sz w:val="16"/>
      <w:szCs w:val="16"/>
    </w:rPr>
  </w:style>
  <w:style w:type="paragraph" w:styleId="CommentText">
    <w:name w:val="annotation text"/>
    <w:basedOn w:val="Normal"/>
    <w:link w:val="CommentTextChar"/>
    <w:uiPriority w:val="99"/>
    <w:semiHidden/>
    <w:unhideWhenUsed/>
    <w:rsid w:val="005E2A0F"/>
    <w:pPr>
      <w:spacing w:line="240" w:lineRule="auto"/>
    </w:pPr>
    <w:rPr>
      <w:sz w:val="20"/>
      <w:szCs w:val="20"/>
    </w:rPr>
  </w:style>
  <w:style w:type="character" w:customStyle="1" w:styleId="CommentTextChar">
    <w:name w:val="Comment Text Char"/>
    <w:basedOn w:val="DefaultParagraphFont"/>
    <w:link w:val="CommentText"/>
    <w:uiPriority w:val="99"/>
    <w:semiHidden/>
    <w:rsid w:val="005E2A0F"/>
    <w:rPr>
      <w:sz w:val="20"/>
      <w:szCs w:val="20"/>
    </w:rPr>
  </w:style>
  <w:style w:type="paragraph" w:styleId="CommentSubject">
    <w:name w:val="annotation subject"/>
    <w:basedOn w:val="CommentText"/>
    <w:next w:val="CommentText"/>
    <w:link w:val="CommentSubjectChar"/>
    <w:uiPriority w:val="99"/>
    <w:semiHidden/>
    <w:unhideWhenUsed/>
    <w:rsid w:val="005E2A0F"/>
    <w:rPr>
      <w:b/>
      <w:bCs/>
    </w:rPr>
  </w:style>
  <w:style w:type="character" w:customStyle="1" w:styleId="CommentSubjectChar">
    <w:name w:val="Comment Subject Char"/>
    <w:basedOn w:val="CommentTextChar"/>
    <w:link w:val="CommentSubject"/>
    <w:uiPriority w:val="99"/>
    <w:semiHidden/>
    <w:rsid w:val="005E2A0F"/>
    <w:rPr>
      <w:b/>
      <w:bCs/>
      <w:sz w:val="20"/>
      <w:szCs w:val="20"/>
    </w:rPr>
  </w:style>
  <w:style w:type="paragraph" w:styleId="BalloonText">
    <w:name w:val="Balloon Text"/>
    <w:basedOn w:val="Normal"/>
    <w:link w:val="BalloonTextChar"/>
    <w:uiPriority w:val="99"/>
    <w:semiHidden/>
    <w:unhideWhenUsed/>
    <w:rsid w:val="005E2A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A0F"/>
    <w:rPr>
      <w:rFonts w:ascii="Segoe UI" w:hAnsi="Segoe UI" w:cs="Segoe UI"/>
      <w:sz w:val="18"/>
      <w:szCs w:val="18"/>
    </w:rPr>
  </w:style>
  <w:style w:type="character" w:styleId="Hyperlink">
    <w:name w:val="Hyperlink"/>
    <w:basedOn w:val="DefaultParagraphFont"/>
    <w:uiPriority w:val="99"/>
    <w:unhideWhenUsed/>
    <w:rsid w:val="005E2A0F"/>
    <w:rPr>
      <w:color w:val="0563C1" w:themeColor="hyperlink"/>
      <w:u w:val="single"/>
    </w:rPr>
  </w:style>
  <w:style w:type="paragraph" w:customStyle="1" w:styleId="EndNoteBibliographyTitle">
    <w:name w:val="EndNote Bibliography Title"/>
    <w:basedOn w:val="Normal"/>
    <w:link w:val="EndNoteBibliographyTitleChar"/>
    <w:rsid w:val="00C920E6"/>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C920E6"/>
    <w:rPr>
      <w:rFonts w:ascii="Calibri" w:hAnsi="Calibri"/>
      <w:noProof/>
      <w:lang w:val="en-US"/>
    </w:rPr>
  </w:style>
  <w:style w:type="paragraph" w:customStyle="1" w:styleId="EndNoteBibliography">
    <w:name w:val="EndNote Bibliography"/>
    <w:basedOn w:val="Normal"/>
    <w:link w:val="EndNoteBibliographyChar"/>
    <w:rsid w:val="00C920E6"/>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C920E6"/>
    <w:rPr>
      <w:rFonts w:ascii="Calibri" w:hAnsi="Calibri"/>
      <w:noProof/>
      <w:lang w:val="en-US"/>
    </w:rPr>
  </w:style>
  <w:style w:type="paragraph" w:styleId="ListParagraph">
    <w:name w:val="List Paragraph"/>
    <w:basedOn w:val="Normal"/>
    <w:uiPriority w:val="34"/>
    <w:qFormat/>
    <w:rsid w:val="00793D02"/>
    <w:pPr>
      <w:ind w:left="720"/>
      <w:contextualSpacing/>
    </w:pPr>
  </w:style>
  <w:style w:type="paragraph" w:styleId="Caption">
    <w:name w:val="caption"/>
    <w:basedOn w:val="Normal"/>
    <w:next w:val="Normal"/>
    <w:uiPriority w:val="35"/>
    <w:unhideWhenUsed/>
    <w:qFormat/>
    <w:rsid w:val="002E5746"/>
    <w:pPr>
      <w:spacing w:after="200" w:line="240" w:lineRule="auto"/>
    </w:pPr>
    <w:rPr>
      <w:b/>
      <w:bCs/>
      <w:color w:val="5B9BD5" w:themeColor="accent1"/>
      <w:sz w:val="18"/>
      <w:szCs w:val="18"/>
      <w:lang w:val="de-DE"/>
    </w:rPr>
  </w:style>
  <w:style w:type="paragraph" w:styleId="NormalWeb">
    <w:name w:val="Normal (Web)"/>
    <w:basedOn w:val="Normal"/>
    <w:uiPriority w:val="99"/>
    <w:semiHidden/>
    <w:unhideWhenUsed/>
    <w:rsid w:val="009C34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310191"/>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0191"/>
    <w:rPr>
      <w:rFonts w:ascii="Consolas" w:hAnsi="Consolas" w:cs="Consolas"/>
      <w:sz w:val="20"/>
      <w:szCs w:val="20"/>
    </w:rPr>
  </w:style>
  <w:style w:type="paragraph" w:styleId="Header">
    <w:name w:val="header"/>
    <w:basedOn w:val="Normal"/>
    <w:link w:val="HeaderChar"/>
    <w:uiPriority w:val="99"/>
    <w:unhideWhenUsed/>
    <w:rsid w:val="00355D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D40"/>
  </w:style>
  <w:style w:type="paragraph" w:styleId="Footer">
    <w:name w:val="footer"/>
    <w:basedOn w:val="Normal"/>
    <w:link w:val="FooterChar"/>
    <w:uiPriority w:val="99"/>
    <w:unhideWhenUsed/>
    <w:rsid w:val="00355D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49326">
      <w:bodyDiv w:val="1"/>
      <w:marLeft w:val="0"/>
      <w:marRight w:val="0"/>
      <w:marTop w:val="0"/>
      <w:marBottom w:val="0"/>
      <w:divBdr>
        <w:top w:val="none" w:sz="0" w:space="0" w:color="auto"/>
        <w:left w:val="none" w:sz="0" w:space="0" w:color="auto"/>
        <w:bottom w:val="none" w:sz="0" w:space="0" w:color="auto"/>
        <w:right w:val="none" w:sz="0" w:space="0" w:color="auto"/>
      </w:divBdr>
    </w:div>
    <w:div w:id="600769852">
      <w:bodyDiv w:val="1"/>
      <w:marLeft w:val="0"/>
      <w:marRight w:val="0"/>
      <w:marTop w:val="0"/>
      <w:marBottom w:val="0"/>
      <w:divBdr>
        <w:top w:val="none" w:sz="0" w:space="0" w:color="auto"/>
        <w:left w:val="none" w:sz="0" w:space="0" w:color="auto"/>
        <w:bottom w:val="none" w:sz="0" w:space="0" w:color="auto"/>
        <w:right w:val="none" w:sz="0" w:space="0" w:color="auto"/>
      </w:divBdr>
    </w:div>
    <w:div w:id="740828860">
      <w:bodyDiv w:val="1"/>
      <w:marLeft w:val="0"/>
      <w:marRight w:val="0"/>
      <w:marTop w:val="0"/>
      <w:marBottom w:val="0"/>
      <w:divBdr>
        <w:top w:val="none" w:sz="0" w:space="0" w:color="auto"/>
        <w:left w:val="none" w:sz="0" w:space="0" w:color="auto"/>
        <w:bottom w:val="none" w:sz="0" w:space="0" w:color="auto"/>
        <w:right w:val="none" w:sz="0" w:space="0" w:color="auto"/>
      </w:divBdr>
    </w:div>
    <w:div w:id="1137912454">
      <w:bodyDiv w:val="1"/>
      <w:marLeft w:val="0"/>
      <w:marRight w:val="0"/>
      <w:marTop w:val="0"/>
      <w:marBottom w:val="0"/>
      <w:divBdr>
        <w:top w:val="none" w:sz="0" w:space="0" w:color="auto"/>
        <w:left w:val="none" w:sz="0" w:space="0" w:color="auto"/>
        <w:bottom w:val="none" w:sz="0" w:space="0" w:color="auto"/>
        <w:right w:val="none" w:sz="0" w:space="0" w:color="auto"/>
      </w:divBdr>
    </w:div>
    <w:div w:id="1194615616">
      <w:bodyDiv w:val="1"/>
      <w:marLeft w:val="0"/>
      <w:marRight w:val="0"/>
      <w:marTop w:val="0"/>
      <w:marBottom w:val="0"/>
      <w:divBdr>
        <w:top w:val="none" w:sz="0" w:space="0" w:color="auto"/>
        <w:left w:val="none" w:sz="0" w:space="0" w:color="auto"/>
        <w:bottom w:val="none" w:sz="0" w:space="0" w:color="auto"/>
        <w:right w:val="none" w:sz="0" w:space="0" w:color="auto"/>
      </w:divBdr>
    </w:div>
    <w:div w:id="1268780477">
      <w:bodyDiv w:val="1"/>
      <w:marLeft w:val="0"/>
      <w:marRight w:val="0"/>
      <w:marTop w:val="0"/>
      <w:marBottom w:val="0"/>
      <w:divBdr>
        <w:top w:val="none" w:sz="0" w:space="0" w:color="auto"/>
        <w:left w:val="none" w:sz="0" w:space="0" w:color="auto"/>
        <w:bottom w:val="none" w:sz="0" w:space="0" w:color="auto"/>
        <w:right w:val="none" w:sz="0" w:space="0" w:color="auto"/>
      </w:divBdr>
    </w:div>
    <w:div w:id="1317999762">
      <w:bodyDiv w:val="1"/>
      <w:marLeft w:val="0"/>
      <w:marRight w:val="0"/>
      <w:marTop w:val="0"/>
      <w:marBottom w:val="0"/>
      <w:divBdr>
        <w:top w:val="none" w:sz="0" w:space="0" w:color="auto"/>
        <w:left w:val="none" w:sz="0" w:space="0" w:color="auto"/>
        <w:bottom w:val="none" w:sz="0" w:space="0" w:color="auto"/>
        <w:right w:val="none" w:sz="0" w:space="0" w:color="auto"/>
      </w:divBdr>
    </w:div>
    <w:div w:id="145906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13595</Words>
  <Characters>77494</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90908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J.</dc:creator>
  <cp:keywords/>
  <dc:description/>
  <cp:lastModifiedBy>Lapage K.P.</cp:lastModifiedBy>
  <cp:revision>2</cp:revision>
  <cp:lastPrinted>2019-06-14T14:32:00Z</cp:lastPrinted>
  <dcterms:created xsi:type="dcterms:W3CDTF">2019-08-12T13:20:00Z</dcterms:created>
  <dcterms:modified xsi:type="dcterms:W3CDTF">2019-08-12T13:20:00Z</dcterms:modified>
</cp:coreProperties>
</file>