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85A" w:rsidRDefault="00E52BEF">
      <w:bookmarkStart w:id="0" w:name="_GoBack"/>
      <w:bookmarkEnd w:id="0"/>
      <w:r w:rsidRPr="00E52BEF">
        <w:rPr>
          <w:b/>
        </w:rPr>
        <w:t>Title:</w:t>
      </w:r>
      <w:r>
        <w:t xml:space="preserve"> The controversies and difficulties of diagnosing primary ciliary dyskinesia</w:t>
      </w:r>
      <w:r w:rsidR="00F756C7">
        <w:t xml:space="preserve"> (PCD)</w:t>
      </w:r>
    </w:p>
    <w:p w:rsidR="00E52BEF" w:rsidRDefault="00E52BEF"/>
    <w:p w:rsidR="00E52BEF" w:rsidRPr="00E52BEF" w:rsidRDefault="00E52BEF" w:rsidP="00E52BEF">
      <w:r w:rsidRPr="00E52BEF">
        <w:rPr>
          <w:b/>
        </w:rPr>
        <w:t xml:space="preserve">Authors: </w:t>
      </w:r>
      <w:r w:rsidRPr="00E52BEF">
        <w:t xml:space="preserve">Amelia Shoemark, </w:t>
      </w:r>
      <w:r w:rsidRPr="00914B6A">
        <w:t>Bruna</w:t>
      </w:r>
      <w:r w:rsidR="00914B6A">
        <w:t xml:space="preserve"> </w:t>
      </w:r>
      <w:proofErr w:type="spellStart"/>
      <w:r w:rsidR="00914B6A">
        <w:t>Rubbo</w:t>
      </w:r>
      <w:proofErr w:type="spellEnd"/>
      <w:r w:rsidR="00914B6A">
        <w:t xml:space="preserve">, Robert A </w:t>
      </w:r>
      <w:proofErr w:type="spellStart"/>
      <w:r w:rsidR="00914B6A">
        <w:t>Hirst</w:t>
      </w:r>
      <w:proofErr w:type="spellEnd"/>
      <w:r w:rsidR="00914B6A">
        <w:t>, Kim N Nielsen, Phil Robinson,</w:t>
      </w:r>
      <w:r w:rsidRPr="00914B6A">
        <w:t xml:space="preserve"> Jane S Lucas</w:t>
      </w:r>
    </w:p>
    <w:p w:rsidR="00E52BEF" w:rsidRPr="00E52BEF" w:rsidRDefault="00E52BEF" w:rsidP="00E52BEF">
      <w:pPr>
        <w:rPr>
          <w:b/>
        </w:rPr>
      </w:pPr>
      <w:r w:rsidRPr="00E52BEF">
        <w:rPr>
          <w:b/>
        </w:rPr>
        <w:t>Affiliations:</w:t>
      </w:r>
    </w:p>
    <w:p w:rsidR="00E52BEF" w:rsidRPr="00E52BEF" w:rsidRDefault="00E52BEF" w:rsidP="00E52BEF">
      <w:pPr>
        <w:rPr>
          <w:rFonts w:ascii="Calibri" w:eastAsia="Times New Roman" w:hAnsi="Calibri" w:cs="Times New Roman"/>
        </w:rPr>
      </w:pPr>
      <w:r w:rsidRPr="00E52BEF">
        <w:rPr>
          <w:rFonts w:ascii="Calibri" w:eastAsia="Times New Roman" w:hAnsi="Calibri" w:cs="Times New Roman"/>
          <w:b/>
        </w:rPr>
        <w:t xml:space="preserve">Amelia Shoemark PhD  </w:t>
      </w:r>
      <w:r w:rsidRPr="00E52BEF">
        <w:rPr>
          <w:rFonts w:ascii="Calibri" w:eastAsia="Times New Roman" w:hAnsi="Calibri" w:cs="Times New Roman"/>
          <w:u w:val="single"/>
        </w:rPr>
        <w:t>a.shoemark@dundee.ac.uk</w:t>
      </w:r>
      <w:r w:rsidRPr="00E52BEF">
        <w:rPr>
          <w:rFonts w:ascii="Calibri" w:eastAsia="Times New Roman" w:hAnsi="Calibri" w:cs="Times New Roman"/>
          <w:b/>
        </w:rPr>
        <w:t xml:space="preserve"> [1] </w:t>
      </w:r>
      <w:r w:rsidRPr="00E52BEF">
        <w:rPr>
          <w:rFonts w:ascii="Calibri" w:eastAsia="Times New Roman" w:hAnsi="Calibri" w:cs="Times New Roman"/>
        </w:rPr>
        <w:t>Primary Ciliary Dyskinesia Centre, Paediatric Respiratory Medicine, Royal Brompton Hospital, London UK [2] Scottish Centre for Respiratory Research, Division of Molecular and Clinical  Medicine, University of Dundee, Dundee, UK</w:t>
      </w:r>
    </w:p>
    <w:p w:rsidR="00E52BEF" w:rsidRDefault="00E52BEF" w:rsidP="00E52BEF">
      <w:r w:rsidRPr="00E52BEF">
        <w:rPr>
          <w:b/>
        </w:rPr>
        <w:t xml:space="preserve">Bruna Rubbo  MSc </w:t>
      </w:r>
      <w:r w:rsidRPr="00E52BEF">
        <w:t xml:space="preserve"> </w:t>
      </w:r>
      <w:r w:rsidRPr="00E52BEF">
        <w:rPr>
          <w:u w:val="single"/>
        </w:rPr>
        <w:t>B.Rubbo@soton.ac.uk</w:t>
      </w:r>
      <w:r w:rsidRPr="00E52BEF">
        <w:t xml:space="preserve">  [1] Primary Ciliary Dyskinesia Centre, NIHR Biomedical Research Centre, University Hospital Southampton NHS Foundation Trust, Southampton, UK [2]University of Southampton Faculty of Medicine, Academic Unit of Clinical and Experimental Medicine, Southampton, UK</w:t>
      </w:r>
    </w:p>
    <w:p w:rsidR="00A55111" w:rsidRDefault="00A55111" w:rsidP="00E52BEF">
      <w:r w:rsidRPr="00A55111">
        <w:rPr>
          <w:b/>
        </w:rPr>
        <w:t xml:space="preserve">Robert A </w:t>
      </w:r>
      <w:proofErr w:type="spellStart"/>
      <w:r w:rsidRPr="00A55111">
        <w:rPr>
          <w:b/>
        </w:rPr>
        <w:t>Hirst</w:t>
      </w:r>
      <w:proofErr w:type="spellEnd"/>
      <w:r w:rsidRPr="00A55111">
        <w:rPr>
          <w:b/>
        </w:rPr>
        <w:t xml:space="preserve"> PhD</w:t>
      </w:r>
      <w:r w:rsidRPr="00A55111">
        <w:t xml:space="preserve"> </w:t>
      </w:r>
      <w:r w:rsidRPr="0081734A">
        <w:rPr>
          <w:rStyle w:val="Hyperlink"/>
        </w:rPr>
        <w:t>rah9@le.ac.uk</w:t>
      </w:r>
      <w:r w:rsidRPr="00A55111">
        <w:t xml:space="preserve"> Centre for PCD diagnosis and research, Department of Respiratory Sciences, University of Leicester, RKCSB, Leicester, UK.</w:t>
      </w:r>
    </w:p>
    <w:p w:rsidR="00914B6A" w:rsidRDefault="00914B6A" w:rsidP="00E52BEF">
      <w:r w:rsidRPr="00914B6A">
        <w:rPr>
          <w:b/>
        </w:rPr>
        <w:t>Kim G Nielsen</w:t>
      </w:r>
      <w:r w:rsidRPr="00914B6A">
        <w:t xml:space="preserve"> MD </w:t>
      </w:r>
      <w:r w:rsidRPr="0081734A">
        <w:rPr>
          <w:rStyle w:val="Hyperlink"/>
        </w:rPr>
        <w:t>kgn@dadlnet.dk</w:t>
      </w:r>
      <w:r w:rsidRPr="00914B6A">
        <w:t xml:space="preserve"> Danish PCD &amp; </w:t>
      </w:r>
      <w:proofErr w:type="spellStart"/>
      <w:r w:rsidRPr="00914B6A">
        <w:t>chILD</w:t>
      </w:r>
      <w:proofErr w:type="spellEnd"/>
      <w:r w:rsidRPr="00914B6A">
        <w:t xml:space="preserve"> Centre, CF Centre Copenhagen Paediatric Pulmonary Service, ERN Accredited for PCD and CF Health Care, Department of Paediatrics and Adolescent Medicine,  Copenhagen University Hospital, </w:t>
      </w:r>
      <w:proofErr w:type="spellStart"/>
      <w:r w:rsidRPr="00914B6A">
        <w:t>Rigshospitalet</w:t>
      </w:r>
      <w:proofErr w:type="spellEnd"/>
      <w:r w:rsidRPr="00914B6A">
        <w:t xml:space="preserve">, Denmark    </w:t>
      </w:r>
    </w:p>
    <w:p w:rsidR="00A55111" w:rsidRDefault="00A55111" w:rsidP="00E52BEF">
      <w:r w:rsidRPr="00A55111">
        <w:rPr>
          <w:b/>
        </w:rPr>
        <w:t>Phil Robinson</w:t>
      </w:r>
      <w:r w:rsidRPr="00A55111">
        <w:t xml:space="preserve"> </w:t>
      </w:r>
      <w:proofErr w:type="gramStart"/>
      <w:r w:rsidRPr="0081734A">
        <w:rPr>
          <w:rStyle w:val="Hyperlink"/>
        </w:rPr>
        <w:t>Phil.Robinson@rch.org.au</w:t>
      </w:r>
      <w:r w:rsidRPr="00A55111">
        <w:t xml:space="preserve">  PCD</w:t>
      </w:r>
      <w:proofErr w:type="gramEnd"/>
      <w:r w:rsidRPr="00A55111">
        <w:t xml:space="preserve"> Service, Department of Respiratory and Sleep Medicine, Royal Children's Hospital, Melbourne, Australia</w:t>
      </w:r>
    </w:p>
    <w:p w:rsidR="00E52BEF" w:rsidRPr="00E52BEF" w:rsidRDefault="00E52BEF" w:rsidP="00E52BEF">
      <w:r w:rsidRPr="00E52BEF">
        <w:rPr>
          <w:b/>
        </w:rPr>
        <w:t xml:space="preserve">Jane S Lucas MD PhD </w:t>
      </w:r>
      <w:r w:rsidRPr="00E52BEF">
        <w:rPr>
          <w:u w:val="single"/>
        </w:rPr>
        <w:t>jlucas1@soton.ac.uk</w:t>
      </w:r>
      <w:r w:rsidRPr="00E52BEF">
        <w:t xml:space="preserve">  [1] Primary Ciliary Dyskinesia Centre, NIHR Biomedical Research Centre, University Hospital Southampton NHS Foundation Trust, Southampton, UK [2]University of Southampton Faculty of Medicine, Academic Unit of Clinical and Experimental Medicine, Southampton, UK</w:t>
      </w:r>
    </w:p>
    <w:p w:rsidR="00E52BEF" w:rsidRDefault="00E52BEF" w:rsidP="00E52BEF"/>
    <w:p w:rsidR="00E52BEF" w:rsidRDefault="00E52BEF" w:rsidP="00E52BEF">
      <w:pPr>
        <w:rPr>
          <w:u w:val="single"/>
          <w:lang w:val="en-US"/>
        </w:rPr>
      </w:pPr>
      <w:r>
        <w:t xml:space="preserve">Corresponding author: </w:t>
      </w:r>
      <w:r w:rsidRPr="00E52BEF">
        <w:rPr>
          <w:lang w:val="en-US"/>
        </w:rPr>
        <w:t xml:space="preserve">Jane Lucas, Southampton University Hospital, </w:t>
      </w:r>
      <w:proofErr w:type="spellStart"/>
      <w:r w:rsidRPr="00E52BEF">
        <w:rPr>
          <w:lang w:val="en-US"/>
        </w:rPr>
        <w:t>Mailpoint</w:t>
      </w:r>
      <w:proofErr w:type="spellEnd"/>
      <w:r w:rsidRPr="00E52BEF">
        <w:rPr>
          <w:lang w:val="en-US"/>
        </w:rPr>
        <w:t xml:space="preserve"> 803 F level, </w:t>
      </w:r>
      <w:proofErr w:type="spellStart"/>
      <w:r w:rsidRPr="00E52BEF">
        <w:rPr>
          <w:lang w:val="en-US"/>
        </w:rPr>
        <w:t>Tremona</w:t>
      </w:r>
      <w:proofErr w:type="spellEnd"/>
      <w:r w:rsidRPr="00E52BEF">
        <w:rPr>
          <w:lang w:val="en-US"/>
        </w:rPr>
        <w:t xml:space="preserve"> Road, Southampton, SO16 6YD, UK. E-mail: </w:t>
      </w:r>
      <w:r w:rsidRPr="0081734A">
        <w:rPr>
          <w:rStyle w:val="Hyperlink"/>
          <w:lang w:val="en-US"/>
        </w:rPr>
        <w:t>jlucas1@soton.ac.uk</w:t>
      </w:r>
      <w:r>
        <w:rPr>
          <w:u w:val="single"/>
          <w:lang w:val="en-US"/>
        </w:rPr>
        <w:t xml:space="preserve"> </w:t>
      </w:r>
    </w:p>
    <w:p w:rsidR="001035CF" w:rsidRDefault="001035CF" w:rsidP="00E52BEF">
      <w:pPr>
        <w:rPr>
          <w:u w:val="single"/>
          <w:lang w:val="en-US"/>
        </w:rPr>
      </w:pPr>
    </w:p>
    <w:p w:rsidR="009E7048" w:rsidRDefault="009E7048" w:rsidP="00E52BEF">
      <w:pPr>
        <w:rPr>
          <w:lang w:val="en"/>
        </w:rPr>
      </w:pPr>
      <w:r>
        <w:rPr>
          <w:u w:val="single"/>
          <w:lang w:val="en-US"/>
        </w:rPr>
        <w:t xml:space="preserve">Key words: </w:t>
      </w:r>
      <w:r>
        <w:rPr>
          <w:lang w:val="en"/>
        </w:rPr>
        <w:t xml:space="preserve">primary ciliary dyskinesia; </w:t>
      </w:r>
      <w:r>
        <w:t>accuracy</w:t>
      </w:r>
      <w:r>
        <w:rPr>
          <w:lang w:val="en"/>
        </w:rPr>
        <w:t>; diagnostic tests; microscopy</w:t>
      </w:r>
    </w:p>
    <w:p w:rsidR="009E7048" w:rsidRDefault="009E7048" w:rsidP="00E52BEF">
      <w:pPr>
        <w:rPr>
          <w:lang w:val="en"/>
        </w:rPr>
      </w:pPr>
      <w:r>
        <w:rPr>
          <w:lang w:val="en"/>
        </w:rPr>
        <w:t>All authors have declared no conflict of interest</w:t>
      </w:r>
    </w:p>
    <w:p w:rsidR="00E473ED" w:rsidRDefault="00E473ED" w:rsidP="00E52BEF">
      <w:pPr>
        <w:rPr>
          <w:lang w:val="en"/>
        </w:rPr>
      </w:pPr>
      <w:r>
        <w:rPr>
          <w:lang w:val="en"/>
        </w:rPr>
        <w:t>A</w:t>
      </w:r>
      <w:r w:rsidRPr="00E473ED">
        <w:rPr>
          <w:lang w:val="en"/>
        </w:rPr>
        <w:t>uthor's contributions</w:t>
      </w:r>
      <w:r>
        <w:rPr>
          <w:lang w:val="en"/>
        </w:rPr>
        <w:t xml:space="preserve">: AS and JSL had the concept and drafted the correspondence. All authors commented and approved </w:t>
      </w:r>
      <w:proofErr w:type="gramStart"/>
      <w:r>
        <w:rPr>
          <w:lang w:val="en"/>
        </w:rPr>
        <w:t>the  manuscript</w:t>
      </w:r>
      <w:proofErr w:type="gramEnd"/>
      <w:r>
        <w:rPr>
          <w:lang w:val="en"/>
        </w:rPr>
        <w:t>.</w:t>
      </w:r>
    </w:p>
    <w:p w:rsidR="00E473ED" w:rsidRPr="009E7048" w:rsidRDefault="00E473ED" w:rsidP="00E52BEF">
      <w:pPr>
        <w:rPr>
          <w:lang w:val="en-US"/>
        </w:rPr>
      </w:pPr>
      <w:r>
        <w:rPr>
          <w:lang w:val="en-US"/>
        </w:rPr>
        <w:t xml:space="preserve">Support: </w:t>
      </w:r>
      <w:r w:rsidR="008E503E">
        <w:rPr>
          <w:lang w:val="en-US"/>
        </w:rPr>
        <w:t xml:space="preserve">The authors are members of </w:t>
      </w:r>
      <w:r>
        <w:rPr>
          <w:lang w:val="en-US"/>
        </w:rPr>
        <w:t xml:space="preserve">European Respiratory </w:t>
      </w:r>
      <w:r w:rsidR="008E503E">
        <w:rPr>
          <w:lang w:val="en-US"/>
        </w:rPr>
        <w:t>Society Task Force (TF-2014-04) and</w:t>
      </w:r>
      <w:r>
        <w:rPr>
          <w:lang w:val="en-US"/>
        </w:rPr>
        <w:t xml:space="preserve"> </w:t>
      </w:r>
      <w:r w:rsidR="008E503E" w:rsidRPr="008E503E">
        <w:rPr>
          <w:bCs/>
          <w:iCs/>
          <w:lang w:val="en-US"/>
        </w:rPr>
        <w:t xml:space="preserve">BEAT-PCD </w:t>
      </w:r>
      <w:r w:rsidR="008E503E">
        <w:rPr>
          <w:bCs/>
          <w:iCs/>
          <w:lang w:val="en-US"/>
        </w:rPr>
        <w:t>network</w:t>
      </w:r>
      <w:r w:rsidR="008E503E" w:rsidRPr="008E503E">
        <w:rPr>
          <w:bCs/>
          <w:iCs/>
          <w:lang w:val="en-US"/>
        </w:rPr>
        <w:t xml:space="preserve"> </w:t>
      </w:r>
      <w:r w:rsidR="008E503E">
        <w:rPr>
          <w:bCs/>
          <w:iCs/>
          <w:lang w:val="en-US"/>
        </w:rPr>
        <w:t>(</w:t>
      </w:r>
      <w:r w:rsidR="008E503E" w:rsidRPr="008E503E">
        <w:rPr>
          <w:bCs/>
          <w:iCs/>
          <w:lang w:val="en-US"/>
        </w:rPr>
        <w:t>COST Action BM 1407</w:t>
      </w:r>
      <w:r w:rsidR="008E503E">
        <w:rPr>
          <w:bCs/>
          <w:iCs/>
          <w:lang w:val="en-US"/>
        </w:rPr>
        <w:t>)</w:t>
      </w:r>
      <w:r w:rsidR="008E503E" w:rsidRPr="008E503E">
        <w:rPr>
          <w:bCs/>
          <w:iCs/>
          <w:lang w:val="en-US"/>
        </w:rPr>
        <w:t>.</w:t>
      </w:r>
    </w:p>
    <w:p w:rsidR="001035CF" w:rsidRDefault="0081734A" w:rsidP="00E52BEF">
      <w:pPr>
        <w:rPr>
          <w:u w:val="single"/>
          <w:lang w:val="en-US"/>
        </w:rPr>
      </w:pPr>
      <w:r>
        <w:rPr>
          <w:highlight w:val="yellow"/>
          <w:u w:val="single"/>
          <w:lang w:val="en-US"/>
        </w:rPr>
        <w:t>622</w:t>
      </w:r>
      <w:proofErr w:type="gramStart"/>
      <w:r w:rsidR="00F756C7">
        <w:rPr>
          <w:highlight w:val="yellow"/>
          <w:u w:val="single"/>
          <w:lang w:val="en-US"/>
        </w:rPr>
        <w:t xml:space="preserve">/ </w:t>
      </w:r>
      <w:r w:rsidR="001035CF" w:rsidRPr="001035CF">
        <w:rPr>
          <w:highlight w:val="yellow"/>
          <w:u w:val="single"/>
          <w:lang w:val="en-US"/>
        </w:rPr>
        <w:t xml:space="preserve"> 600</w:t>
      </w:r>
      <w:proofErr w:type="gramEnd"/>
      <w:r w:rsidR="001035CF" w:rsidRPr="001035CF">
        <w:rPr>
          <w:highlight w:val="yellow"/>
          <w:u w:val="single"/>
          <w:lang w:val="en-US"/>
        </w:rPr>
        <w:t xml:space="preserve"> words; 6 </w:t>
      </w:r>
      <w:r w:rsidR="00F756C7">
        <w:rPr>
          <w:highlight w:val="yellow"/>
          <w:u w:val="single"/>
          <w:lang w:val="en-US"/>
        </w:rPr>
        <w:t xml:space="preserve">/6 </w:t>
      </w:r>
      <w:r w:rsidR="001035CF" w:rsidRPr="001035CF">
        <w:rPr>
          <w:highlight w:val="yellow"/>
          <w:u w:val="single"/>
          <w:lang w:val="en-US"/>
        </w:rPr>
        <w:t>references.</w:t>
      </w:r>
      <w:r w:rsidR="001035CF">
        <w:rPr>
          <w:u w:val="single"/>
          <w:lang w:val="en-US"/>
        </w:rPr>
        <w:t xml:space="preserve"> </w:t>
      </w:r>
    </w:p>
    <w:p w:rsidR="00E52BEF" w:rsidRDefault="008D6C08" w:rsidP="00E52BEF">
      <w:pPr>
        <w:rPr>
          <w:lang w:val="en-US"/>
        </w:rPr>
      </w:pPr>
      <w:r>
        <w:rPr>
          <w:u w:val="single"/>
          <w:lang w:val="en-US"/>
        </w:rPr>
        <w:br w:type="page"/>
      </w:r>
      <w:r>
        <w:rPr>
          <w:lang w:val="en-US"/>
        </w:rPr>
        <w:lastRenderedPageBreak/>
        <w:t xml:space="preserve">We </w:t>
      </w:r>
      <w:r w:rsidR="00E21FB7">
        <w:rPr>
          <w:lang w:val="en-US"/>
        </w:rPr>
        <w:t>welcome</w:t>
      </w:r>
      <w:r w:rsidR="00071C9F">
        <w:rPr>
          <w:lang w:val="en-US"/>
        </w:rPr>
        <w:t xml:space="preserve"> the</w:t>
      </w:r>
      <w:r>
        <w:rPr>
          <w:lang w:val="en-US"/>
        </w:rPr>
        <w:t xml:space="preserve"> correspondence from </w:t>
      </w:r>
      <w:proofErr w:type="spellStart"/>
      <w:r>
        <w:rPr>
          <w:lang w:val="en-US"/>
        </w:rPr>
        <w:t>Lavie</w:t>
      </w:r>
      <w:proofErr w:type="spellEnd"/>
      <w:r>
        <w:rPr>
          <w:lang w:val="en-US"/>
        </w:rPr>
        <w:t xml:space="preserve"> and Amirav</w:t>
      </w:r>
      <w:r w:rsidRPr="008D6C08">
        <w:rPr>
          <w:noProof/>
          <w:vertAlign w:val="superscript"/>
          <w:lang w:val="en-US"/>
        </w:rPr>
        <w:t>1</w:t>
      </w:r>
      <w:r w:rsidR="003A5FCB">
        <w:rPr>
          <w:lang w:val="en-US"/>
        </w:rPr>
        <w:t xml:space="preserve">, highlighting </w:t>
      </w:r>
      <w:r w:rsidR="00C31A3A">
        <w:rPr>
          <w:lang w:val="en-US"/>
        </w:rPr>
        <w:t>the difficulties</w:t>
      </w:r>
      <w:r>
        <w:rPr>
          <w:lang w:val="en-US"/>
        </w:rPr>
        <w:t xml:space="preserve"> diag</w:t>
      </w:r>
      <w:r w:rsidR="007A7696">
        <w:rPr>
          <w:lang w:val="en-US"/>
        </w:rPr>
        <w:t xml:space="preserve">nosing PCD, and the </w:t>
      </w:r>
      <w:r w:rsidR="00607295">
        <w:rPr>
          <w:lang w:val="en-US"/>
        </w:rPr>
        <w:t>role of</w:t>
      </w:r>
      <w:r>
        <w:rPr>
          <w:lang w:val="en-US"/>
        </w:rPr>
        <w:t xml:space="preserve"> high-speed video </w:t>
      </w:r>
      <w:r w:rsidR="00E94CC5">
        <w:rPr>
          <w:lang w:val="en-US"/>
        </w:rPr>
        <w:t>analysis (HSVA)</w:t>
      </w:r>
      <w:r w:rsidR="00071C9F">
        <w:rPr>
          <w:lang w:val="en-US"/>
        </w:rPr>
        <w:t xml:space="preserve">. As members of the </w:t>
      </w:r>
      <w:r w:rsidR="003A5FCB">
        <w:rPr>
          <w:lang w:val="en-US"/>
        </w:rPr>
        <w:t>European Respiratory Society (</w:t>
      </w:r>
      <w:r w:rsidR="00071C9F">
        <w:rPr>
          <w:lang w:val="en-US"/>
        </w:rPr>
        <w:t>ERS</w:t>
      </w:r>
      <w:r w:rsidR="003A5FCB">
        <w:rPr>
          <w:lang w:val="en-US"/>
        </w:rPr>
        <w:t>)</w:t>
      </w:r>
      <w:r w:rsidR="00071C9F">
        <w:rPr>
          <w:lang w:val="en-US"/>
        </w:rPr>
        <w:t xml:space="preserve"> PCD Diagnostic Task Force</w:t>
      </w:r>
      <w:r w:rsidR="003A5FCB" w:rsidRPr="003A5FCB">
        <w:rPr>
          <w:vertAlign w:val="superscript"/>
          <w:lang w:val="en-US"/>
        </w:rPr>
        <w:t>2</w:t>
      </w:r>
      <w:r w:rsidR="003A5FCB">
        <w:rPr>
          <w:lang w:val="en-US"/>
        </w:rPr>
        <w:t xml:space="preserve"> and/or large </w:t>
      </w:r>
      <w:r w:rsidR="00832855">
        <w:rPr>
          <w:lang w:val="en-US"/>
        </w:rPr>
        <w:t xml:space="preserve">PCD </w:t>
      </w:r>
      <w:proofErr w:type="spellStart"/>
      <w:r w:rsidR="00832855">
        <w:rPr>
          <w:lang w:val="en-US"/>
        </w:rPr>
        <w:t>Centres</w:t>
      </w:r>
      <w:proofErr w:type="spellEnd"/>
      <w:r w:rsidR="00071C9F">
        <w:rPr>
          <w:lang w:val="en-US"/>
        </w:rPr>
        <w:t>, we</w:t>
      </w:r>
      <w:r>
        <w:rPr>
          <w:lang w:val="en-US"/>
        </w:rPr>
        <w:t xml:space="preserve"> </w:t>
      </w:r>
      <w:r w:rsidR="00C035CF">
        <w:rPr>
          <w:lang w:val="en-US"/>
        </w:rPr>
        <w:t>agree that HSVA has an important role which is not recognized by the</w:t>
      </w:r>
      <w:r>
        <w:rPr>
          <w:lang w:val="en-US"/>
        </w:rPr>
        <w:t xml:space="preserve"> ATS </w:t>
      </w:r>
      <w:r w:rsidR="003200F5">
        <w:rPr>
          <w:lang w:val="en-US"/>
        </w:rPr>
        <w:t>PCD Diagnostic Guideline</w:t>
      </w:r>
      <w:r w:rsidR="003A5FCB" w:rsidRPr="003A5FCB">
        <w:rPr>
          <w:noProof/>
          <w:vertAlign w:val="superscript"/>
          <w:lang w:val="en-US"/>
        </w:rPr>
        <w:t>3</w:t>
      </w:r>
      <w:r w:rsidR="00C035CF">
        <w:rPr>
          <w:lang w:val="en-US"/>
        </w:rPr>
        <w:t xml:space="preserve">. This </w:t>
      </w:r>
      <w:r w:rsidR="003A5FCB">
        <w:rPr>
          <w:lang w:val="en-US"/>
        </w:rPr>
        <w:t xml:space="preserve">risks a </w:t>
      </w:r>
      <w:r w:rsidR="003200F5">
        <w:rPr>
          <w:lang w:val="en-US"/>
        </w:rPr>
        <w:t>large proportion of false negative</w:t>
      </w:r>
      <w:r w:rsidR="003A5FCB">
        <w:rPr>
          <w:lang w:val="en-US"/>
        </w:rPr>
        <w:t xml:space="preserve"> ‘missed’</w:t>
      </w:r>
      <w:r w:rsidR="003200F5">
        <w:rPr>
          <w:lang w:val="en-US"/>
        </w:rPr>
        <w:t xml:space="preserve"> diagnoses and a sizable number of false positive cases</w:t>
      </w:r>
      <w:r w:rsidR="00071C9F">
        <w:rPr>
          <w:lang w:val="en-US"/>
        </w:rPr>
        <w:t>; we make</w:t>
      </w:r>
      <w:r w:rsidR="00324208">
        <w:rPr>
          <w:lang w:val="en-US"/>
        </w:rPr>
        <w:t xml:space="preserve"> additiona</w:t>
      </w:r>
      <w:r w:rsidR="00071C9F">
        <w:rPr>
          <w:lang w:val="en-US"/>
        </w:rPr>
        <w:t>l important observations</w:t>
      </w:r>
      <w:r w:rsidR="003200F5">
        <w:rPr>
          <w:lang w:val="en-US"/>
        </w:rPr>
        <w:t xml:space="preserve">. </w:t>
      </w:r>
    </w:p>
    <w:p w:rsidR="00D956A8" w:rsidRDefault="00C31A3A" w:rsidP="00071C9F">
      <w:r>
        <w:t xml:space="preserve">We agree </w:t>
      </w:r>
      <w:r w:rsidR="001035CF">
        <w:t xml:space="preserve">with </w:t>
      </w:r>
      <w:proofErr w:type="spellStart"/>
      <w:r w:rsidR="001035CF">
        <w:t>Lavie</w:t>
      </w:r>
      <w:proofErr w:type="spellEnd"/>
      <w:r w:rsidR="001035CF">
        <w:t xml:space="preserve"> that</w:t>
      </w:r>
      <w:r w:rsidR="00071C9F">
        <w:t xml:space="preserve"> </w:t>
      </w:r>
      <w:r w:rsidR="00D956A8">
        <w:t>nasal nitric</w:t>
      </w:r>
      <w:r w:rsidR="00193495">
        <w:t xml:space="preserve"> oxide</w:t>
      </w:r>
      <w:r w:rsidR="001035CF">
        <w:t xml:space="preserve"> (</w:t>
      </w:r>
      <w:proofErr w:type="spellStart"/>
      <w:r w:rsidR="001035CF">
        <w:t>nNO</w:t>
      </w:r>
      <w:proofErr w:type="spellEnd"/>
      <w:r w:rsidR="001035CF">
        <w:t>)</w:t>
      </w:r>
      <w:r w:rsidR="00193495">
        <w:t xml:space="preserve"> should not</w:t>
      </w:r>
      <w:r w:rsidR="00D956A8">
        <w:t xml:space="preserve"> be used </w:t>
      </w:r>
      <w:r w:rsidR="00193495">
        <w:t xml:space="preserve">in isolation </w:t>
      </w:r>
      <w:r w:rsidR="00D956A8">
        <w:t>to make a diagnosis, nor to exclude PCD</w:t>
      </w:r>
      <w:r w:rsidR="001035CF">
        <w:t xml:space="preserve">. </w:t>
      </w:r>
      <w:r w:rsidR="00D364ED" w:rsidRPr="00D364ED">
        <w:t>This risk of ‘false negatives’ is clearly described in the literature</w:t>
      </w:r>
      <w:r w:rsidR="001035CF">
        <w:t xml:space="preserve"> </w:t>
      </w:r>
      <w:r w:rsidR="001035CF" w:rsidRPr="001035CF">
        <w:t>(reviewed in</w:t>
      </w:r>
      <w:r w:rsidR="003A5FCB" w:rsidRPr="003A5FCB">
        <w:rPr>
          <w:noProof/>
          <w:vertAlign w:val="superscript"/>
        </w:rPr>
        <w:t>2</w:t>
      </w:r>
      <w:r w:rsidR="00BB0073">
        <w:t>)</w:t>
      </w:r>
      <w:r w:rsidR="00D956A8">
        <w:t xml:space="preserve">. </w:t>
      </w:r>
      <w:r w:rsidR="00C035CF">
        <w:t>ERS Guidelines therefore</w:t>
      </w:r>
      <w:r w:rsidR="00607295">
        <w:t xml:space="preserve"> suggest that both </w:t>
      </w:r>
      <w:proofErr w:type="spellStart"/>
      <w:r w:rsidR="00607295">
        <w:t>nNO</w:t>
      </w:r>
      <w:proofErr w:type="spellEnd"/>
      <w:r w:rsidR="00607295">
        <w:t xml:space="preserve"> </w:t>
      </w:r>
      <w:r w:rsidR="00607295" w:rsidRPr="007A7696">
        <w:rPr>
          <w:u w:val="single"/>
        </w:rPr>
        <w:t>and</w:t>
      </w:r>
      <w:r w:rsidR="00607295">
        <w:t xml:space="preserve"> HSVA should be entirely normal before deciding that </w:t>
      </w:r>
      <w:r w:rsidR="00D364ED">
        <w:t>further investigation</w:t>
      </w:r>
      <w:r w:rsidR="00607295">
        <w:t xml:space="preserve"> </w:t>
      </w:r>
      <w:r w:rsidR="001035CF">
        <w:t xml:space="preserve">is </w:t>
      </w:r>
      <w:r w:rsidR="00607295">
        <w:t>not warranted</w:t>
      </w:r>
      <w:r w:rsidR="003A5FCB" w:rsidRPr="003A5FCB">
        <w:rPr>
          <w:noProof/>
          <w:vertAlign w:val="superscript"/>
        </w:rPr>
        <w:t>2</w:t>
      </w:r>
      <w:r w:rsidR="00607295">
        <w:t xml:space="preserve">. </w:t>
      </w:r>
      <w:r w:rsidR="00C035CF">
        <w:t>We</w:t>
      </w:r>
      <w:r w:rsidR="00E94CC5">
        <w:t xml:space="preserve"> </w:t>
      </w:r>
      <w:r w:rsidR="00BB0073">
        <w:t xml:space="preserve">all </w:t>
      </w:r>
      <w:r w:rsidR="00E94CC5">
        <w:t>have</w:t>
      </w:r>
      <w:r w:rsidR="00D364ED">
        <w:t xml:space="preserve"> </w:t>
      </w:r>
      <w:r w:rsidR="002F12A2">
        <w:t xml:space="preserve">patients </w:t>
      </w:r>
      <w:r w:rsidR="00E94CC5">
        <w:t xml:space="preserve">who proceeded to further testing because </w:t>
      </w:r>
      <w:r w:rsidR="00F756C7">
        <w:t xml:space="preserve">clinical history was strong or </w:t>
      </w:r>
      <w:r w:rsidR="00E94CC5">
        <w:t>HSVA was abnormal</w:t>
      </w:r>
      <w:r w:rsidR="003A5FCB">
        <w:t xml:space="preserve"> despite normal </w:t>
      </w:r>
      <w:proofErr w:type="spellStart"/>
      <w:r w:rsidR="003A5FCB">
        <w:t>nNO</w:t>
      </w:r>
      <w:proofErr w:type="spellEnd"/>
      <w:r w:rsidR="00E94CC5">
        <w:t xml:space="preserve">, </w:t>
      </w:r>
      <w:r w:rsidR="00D30F08">
        <w:t>and then had</w:t>
      </w:r>
      <w:r w:rsidR="00724EED">
        <w:t xml:space="preserve"> a diagnosis confirmed by</w:t>
      </w:r>
      <w:r w:rsidR="002F12A2">
        <w:t xml:space="preserve"> </w:t>
      </w:r>
      <w:r w:rsidR="00D364ED">
        <w:t>transmission el</w:t>
      </w:r>
      <w:r w:rsidR="001035CF">
        <w:t>e</w:t>
      </w:r>
      <w:r w:rsidR="00D364ED">
        <w:t>ctron microscopy (</w:t>
      </w:r>
      <w:r w:rsidR="002F12A2">
        <w:t>TEM</w:t>
      </w:r>
      <w:r w:rsidR="00D364ED">
        <w:t>)</w:t>
      </w:r>
      <w:r w:rsidR="002F12A2">
        <w:t xml:space="preserve"> or genetics (e.g. </w:t>
      </w:r>
      <w:r w:rsidR="002F12A2" w:rsidRPr="002F12A2">
        <w:rPr>
          <w:i/>
        </w:rPr>
        <w:t>CCDC103</w:t>
      </w:r>
      <w:r w:rsidR="00F756C7">
        <w:rPr>
          <w:i/>
        </w:rPr>
        <w:t>, DNAH9</w:t>
      </w:r>
      <w:r w:rsidR="002F12A2" w:rsidRPr="002F12A2">
        <w:t xml:space="preserve"> or </w:t>
      </w:r>
      <w:r w:rsidR="002F12A2" w:rsidRPr="002F12A2">
        <w:rPr>
          <w:i/>
        </w:rPr>
        <w:t>RSPH1</w:t>
      </w:r>
      <w:r w:rsidR="002F12A2" w:rsidRPr="002F12A2">
        <w:t xml:space="preserve"> mutations</w:t>
      </w:r>
      <w:r w:rsidR="002F12A2">
        <w:rPr>
          <w:u w:val="single"/>
        </w:rPr>
        <w:t>)</w:t>
      </w:r>
      <w:r>
        <w:t>. Co</w:t>
      </w:r>
      <w:r w:rsidR="00F67BD5">
        <w:t xml:space="preserve">ntrary to </w:t>
      </w:r>
      <w:proofErr w:type="spellStart"/>
      <w:r w:rsidR="00F67BD5">
        <w:t>Lavie</w:t>
      </w:r>
      <w:proofErr w:type="spellEnd"/>
      <w:r w:rsidR="00F67BD5">
        <w:t xml:space="preserve"> and </w:t>
      </w:r>
      <w:proofErr w:type="spellStart"/>
      <w:r w:rsidR="00F67BD5">
        <w:t>Amirav</w:t>
      </w:r>
      <w:proofErr w:type="spellEnd"/>
      <w:r w:rsidR="00F67BD5">
        <w:t>, neither ATS nor ERS guidelines would</w:t>
      </w:r>
      <w:r>
        <w:t xml:space="preserve"> ex</w:t>
      </w:r>
      <w:r w:rsidR="001035CF">
        <w:t xml:space="preserve">clude the diagnosis of PCD in </w:t>
      </w:r>
      <w:r>
        <w:t>patient</w:t>
      </w:r>
      <w:r w:rsidR="001035CF">
        <w:t>s</w:t>
      </w:r>
      <w:r>
        <w:t xml:space="preserve"> with a compatible history and diagnostically </w:t>
      </w:r>
      <w:r w:rsidR="00D364ED">
        <w:t xml:space="preserve">low </w:t>
      </w:r>
      <w:proofErr w:type="spellStart"/>
      <w:r w:rsidR="00D364ED">
        <w:t>nNO</w:t>
      </w:r>
      <w:proofErr w:type="spellEnd"/>
      <w:r w:rsidR="00D364ED">
        <w:t xml:space="preserve"> despite</w:t>
      </w:r>
      <w:r>
        <w:t xml:space="preserve"> normal HSVA, without proceeding to further tests including TEM and genetics</w:t>
      </w:r>
      <w:r w:rsidR="00E94CC5">
        <w:t>.</w:t>
      </w:r>
    </w:p>
    <w:p w:rsidR="00607295" w:rsidRPr="00607295" w:rsidRDefault="001035CF" w:rsidP="00607295">
      <w:pPr>
        <w:rPr>
          <w:lang w:val="en-US"/>
        </w:rPr>
      </w:pPr>
      <w:r>
        <w:rPr>
          <w:lang w:val="en-US"/>
        </w:rPr>
        <w:t xml:space="preserve">Similarly to </w:t>
      </w:r>
      <w:proofErr w:type="spellStart"/>
      <w:r>
        <w:rPr>
          <w:lang w:val="en-US"/>
        </w:rPr>
        <w:t>Lavie</w:t>
      </w:r>
      <w:proofErr w:type="spellEnd"/>
      <w:r>
        <w:rPr>
          <w:lang w:val="en-US"/>
        </w:rPr>
        <w:t>, we were</w:t>
      </w:r>
      <w:r w:rsidR="00607295" w:rsidRPr="00607295">
        <w:rPr>
          <w:lang w:val="en-US"/>
        </w:rPr>
        <w:t xml:space="preserve"> surprised</w:t>
      </w:r>
      <w:r w:rsidR="00607295">
        <w:rPr>
          <w:lang w:val="en-US"/>
        </w:rPr>
        <w:t xml:space="preserve"> that the ATS guideline specifically suggests</w:t>
      </w:r>
      <w:r w:rsidR="00607295" w:rsidRPr="00607295">
        <w:rPr>
          <w:lang w:val="en-US"/>
        </w:rPr>
        <w:t xml:space="preserve"> </w:t>
      </w:r>
      <w:r w:rsidR="00607295" w:rsidRPr="00607295">
        <w:rPr>
          <w:i/>
          <w:lang w:val="en-US"/>
        </w:rPr>
        <w:t>not</w:t>
      </w:r>
      <w:r w:rsidR="00D30F08">
        <w:rPr>
          <w:lang w:val="en-US"/>
        </w:rPr>
        <w:t xml:space="preserve"> assessing</w:t>
      </w:r>
      <w:r w:rsidR="00607295" w:rsidRPr="00607295">
        <w:rPr>
          <w:lang w:val="en-US"/>
        </w:rPr>
        <w:t xml:space="preserve"> ciliary beat </w:t>
      </w:r>
      <w:r w:rsidR="00781805">
        <w:rPr>
          <w:lang w:val="en-US"/>
        </w:rPr>
        <w:t>pattern</w:t>
      </w:r>
      <w:r w:rsidR="00607295" w:rsidRPr="00607295">
        <w:rPr>
          <w:lang w:val="en-US"/>
        </w:rPr>
        <w:t xml:space="preserve">. </w:t>
      </w:r>
      <w:r w:rsidR="006A60C9" w:rsidRPr="006A60C9">
        <w:rPr>
          <w:u w:val="single"/>
          <w:lang w:val="en-US"/>
        </w:rPr>
        <w:t>Dyskinesia</w:t>
      </w:r>
      <w:r w:rsidR="006A60C9">
        <w:rPr>
          <w:lang w:val="en-US"/>
        </w:rPr>
        <w:t xml:space="preserve"> is a key featur</w:t>
      </w:r>
      <w:r>
        <w:rPr>
          <w:lang w:val="en-US"/>
        </w:rPr>
        <w:t xml:space="preserve">e of the condition and can </w:t>
      </w:r>
      <w:r w:rsidR="006A60C9">
        <w:rPr>
          <w:lang w:val="en-US"/>
        </w:rPr>
        <w:t xml:space="preserve">be </w:t>
      </w:r>
      <w:r>
        <w:rPr>
          <w:lang w:val="en-US"/>
        </w:rPr>
        <w:t xml:space="preserve">accurately </w:t>
      </w:r>
      <w:r w:rsidR="006A60C9">
        <w:rPr>
          <w:lang w:val="en-US"/>
        </w:rPr>
        <w:t>detected by HSVA</w:t>
      </w:r>
      <w:r w:rsidR="003A5FCB" w:rsidRPr="003A5FCB">
        <w:rPr>
          <w:noProof/>
          <w:vertAlign w:val="superscript"/>
          <w:lang w:val="en-US"/>
        </w:rPr>
        <w:t>4</w:t>
      </w:r>
      <w:r w:rsidR="006A60C9">
        <w:rPr>
          <w:lang w:val="en-US"/>
        </w:rPr>
        <w:t xml:space="preserve">. </w:t>
      </w:r>
      <w:r w:rsidR="00BB0073">
        <w:rPr>
          <w:lang w:val="en-US"/>
        </w:rPr>
        <w:t>A</w:t>
      </w:r>
      <w:r w:rsidR="00BB0073" w:rsidRPr="00BB0073">
        <w:rPr>
          <w:lang w:val="en-US"/>
        </w:rPr>
        <w:t>ccording to ERS Guidelines</w:t>
      </w:r>
      <w:r w:rsidR="00BB0073">
        <w:rPr>
          <w:lang w:val="en-US"/>
        </w:rPr>
        <w:t>,</w:t>
      </w:r>
      <w:r w:rsidR="00BB0073" w:rsidRPr="00BB0073">
        <w:rPr>
          <w:lang w:val="en-US"/>
        </w:rPr>
        <w:t xml:space="preserve"> </w:t>
      </w:r>
      <w:r w:rsidR="00BB0073">
        <w:rPr>
          <w:lang w:val="en-US"/>
        </w:rPr>
        <w:t xml:space="preserve">repeatedly </w:t>
      </w:r>
      <w:proofErr w:type="spellStart"/>
      <w:r w:rsidR="00BB0073">
        <w:rPr>
          <w:lang w:val="en-US"/>
        </w:rPr>
        <w:t>dyskine</w:t>
      </w:r>
      <w:r w:rsidR="00607295">
        <w:rPr>
          <w:lang w:val="en-US"/>
        </w:rPr>
        <w:t>tic</w:t>
      </w:r>
      <w:proofErr w:type="spellEnd"/>
      <w:r w:rsidR="00607295">
        <w:rPr>
          <w:lang w:val="en-US"/>
        </w:rPr>
        <w:t xml:space="preserve"> cilia or abnormal beat </w:t>
      </w:r>
      <w:r w:rsidR="00324208">
        <w:rPr>
          <w:lang w:val="en-US"/>
        </w:rPr>
        <w:t>pattern</w:t>
      </w:r>
      <w:r w:rsidR="00607295">
        <w:rPr>
          <w:lang w:val="en-US"/>
        </w:rPr>
        <w:t xml:space="preserve"> </w:t>
      </w:r>
      <w:r w:rsidR="00607295" w:rsidRPr="00607295">
        <w:rPr>
          <w:lang w:val="en-US"/>
        </w:rPr>
        <w:t>f</w:t>
      </w:r>
      <w:r w:rsidR="00BB0073">
        <w:rPr>
          <w:lang w:val="en-US"/>
        </w:rPr>
        <w:t>ollowing reanalysis following culture</w:t>
      </w:r>
      <w:r w:rsidR="00324208">
        <w:rPr>
          <w:lang w:val="en-US"/>
        </w:rPr>
        <w:t xml:space="preserve">, with normal </w:t>
      </w:r>
      <w:r w:rsidR="007A7696">
        <w:rPr>
          <w:lang w:val="en-US"/>
        </w:rPr>
        <w:t>genetics and TEM, indicates PCD is</w:t>
      </w:r>
      <w:r w:rsidR="00324208">
        <w:rPr>
          <w:lang w:val="en-US"/>
        </w:rPr>
        <w:t xml:space="preserve"> ‘</w:t>
      </w:r>
      <w:r w:rsidR="001B2F72">
        <w:rPr>
          <w:lang w:val="en-US"/>
        </w:rPr>
        <w:t>highly likely’</w:t>
      </w:r>
      <w:r w:rsidR="001B2F72" w:rsidRPr="001B2F72">
        <w:rPr>
          <w:noProof/>
          <w:vertAlign w:val="superscript"/>
          <w:lang w:val="en-US"/>
        </w:rPr>
        <w:t>2</w:t>
      </w:r>
      <w:r w:rsidR="001B2F72">
        <w:rPr>
          <w:lang w:val="en-US"/>
        </w:rPr>
        <w:t>;</w:t>
      </w:r>
      <w:r w:rsidR="00324208">
        <w:rPr>
          <w:lang w:val="en-US"/>
        </w:rPr>
        <w:t xml:space="preserve"> </w:t>
      </w:r>
      <w:r w:rsidR="007A7696">
        <w:rPr>
          <w:lang w:val="en-US"/>
        </w:rPr>
        <w:t xml:space="preserve">patients </w:t>
      </w:r>
      <w:r w:rsidR="00324208">
        <w:rPr>
          <w:lang w:val="en-US"/>
        </w:rPr>
        <w:t>should follow a PCD treatment plan</w:t>
      </w:r>
      <w:r w:rsidR="003A5FCB" w:rsidRPr="003A5FCB">
        <w:rPr>
          <w:noProof/>
          <w:vertAlign w:val="superscript"/>
          <w:lang w:val="en-US"/>
        </w:rPr>
        <w:t>2</w:t>
      </w:r>
      <w:r w:rsidR="00324208">
        <w:rPr>
          <w:lang w:val="en-US"/>
        </w:rPr>
        <w:t>. This recognizes that TEM and genetics will each be normal in 20-30%</w:t>
      </w:r>
      <w:r w:rsidR="00781805" w:rsidRPr="00781805">
        <w:rPr>
          <w:noProof/>
          <w:vertAlign w:val="superscript"/>
          <w:lang w:val="en-US"/>
        </w:rPr>
        <w:t>2</w:t>
      </w:r>
      <w:r w:rsidR="00324208">
        <w:rPr>
          <w:lang w:val="en-US"/>
        </w:rPr>
        <w:t xml:space="preserve"> of patients who truly have PCD</w:t>
      </w:r>
      <w:r w:rsidR="00D364ED">
        <w:rPr>
          <w:lang w:val="en-US"/>
        </w:rPr>
        <w:t xml:space="preserve"> (false negative)</w:t>
      </w:r>
      <w:r w:rsidR="00324208">
        <w:rPr>
          <w:lang w:val="en-US"/>
        </w:rPr>
        <w:t xml:space="preserve"> and</w:t>
      </w:r>
      <w:r>
        <w:rPr>
          <w:lang w:val="en-US"/>
        </w:rPr>
        <w:t xml:space="preserve"> that HSVA will detect most of these patients who </w:t>
      </w:r>
      <w:r w:rsidR="009D40D2">
        <w:rPr>
          <w:lang w:val="en-US"/>
        </w:rPr>
        <w:t>require</w:t>
      </w:r>
      <w:r w:rsidR="00324208">
        <w:rPr>
          <w:lang w:val="en-US"/>
        </w:rPr>
        <w:t xml:space="preserve"> specialist </w:t>
      </w:r>
      <w:r>
        <w:rPr>
          <w:lang w:val="en-US"/>
        </w:rPr>
        <w:t xml:space="preserve">PCD </w:t>
      </w:r>
      <w:r w:rsidR="00324208">
        <w:rPr>
          <w:lang w:val="en-US"/>
        </w:rPr>
        <w:t xml:space="preserve">care. </w:t>
      </w:r>
      <w:r w:rsidR="00F756C7">
        <w:rPr>
          <w:lang w:val="en-US"/>
        </w:rPr>
        <w:t xml:space="preserve">Until HYDIN, DNAH11 and GAS8 were discovered as PCD genes, the patients were recognized by abnormal HSVA, and until all genetic causes are identified, HSVA is needed. </w:t>
      </w:r>
      <w:r w:rsidR="00324208">
        <w:rPr>
          <w:lang w:val="en-US"/>
        </w:rPr>
        <w:t xml:space="preserve">It also acknowledges </w:t>
      </w:r>
      <w:r w:rsidR="00D364ED">
        <w:rPr>
          <w:lang w:val="en-US"/>
        </w:rPr>
        <w:t>that even repeated</w:t>
      </w:r>
      <w:r>
        <w:rPr>
          <w:lang w:val="en-US"/>
        </w:rPr>
        <w:t>ly abnormal</w:t>
      </w:r>
      <w:r w:rsidR="00324208">
        <w:rPr>
          <w:lang w:val="en-US"/>
        </w:rPr>
        <w:t xml:space="preserve"> HSVA</w:t>
      </w:r>
      <w:r>
        <w:rPr>
          <w:lang w:val="en-US"/>
        </w:rPr>
        <w:t xml:space="preserve"> may be</w:t>
      </w:r>
      <w:r w:rsidR="00D364ED">
        <w:rPr>
          <w:lang w:val="en-US"/>
        </w:rPr>
        <w:t xml:space="preserve"> false</w:t>
      </w:r>
      <w:r>
        <w:rPr>
          <w:lang w:val="en-US"/>
        </w:rPr>
        <w:t>ly</w:t>
      </w:r>
      <w:r w:rsidR="00D364ED">
        <w:rPr>
          <w:lang w:val="en-US"/>
        </w:rPr>
        <w:t xml:space="preserve"> positive</w:t>
      </w:r>
      <w:r w:rsidR="004F542C">
        <w:rPr>
          <w:lang w:val="en-US"/>
        </w:rPr>
        <w:t>, therefore</w:t>
      </w:r>
      <w:r w:rsidR="00324208">
        <w:rPr>
          <w:lang w:val="en-US"/>
        </w:rPr>
        <w:t xml:space="preserve"> </w:t>
      </w:r>
      <w:r w:rsidR="004F542C">
        <w:rPr>
          <w:lang w:val="en-US"/>
        </w:rPr>
        <w:t>ERS Guidelines</w:t>
      </w:r>
      <w:r w:rsidR="00BB0073">
        <w:rPr>
          <w:lang w:val="en-US"/>
        </w:rPr>
        <w:t xml:space="preserve"> </w:t>
      </w:r>
      <w:r>
        <w:rPr>
          <w:lang w:val="en-US"/>
        </w:rPr>
        <w:t>recommend</w:t>
      </w:r>
      <w:r w:rsidR="00BB0073">
        <w:rPr>
          <w:lang w:val="en-US"/>
        </w:rPr>
        <w:t>ed</w:t>
      </w:r>
      <w:r>
        <w:rPr>
          <w:lang w:val="en-US"/>
        </w:rPr>
        <w:t xml:space="preserve"> that patients are </w:t>
      </w:r>
      <w:r w:rsidR="00324208">
        <w:rPr>
          <w:lang w:val="en-US"/>
        </w:rPr>
        <w:t>not labelled as definitely having PCD</w:t>
      </w:r>
      <w:r w:rsidR="00D364ED">
        <w:rPr>
          <w:lang w:val="en-US"/>
        </w:rPr>
        <w:t xml:space="preserve"> based on HSVA alone</w:t>
      </w:r>
      <w:r w:rsidR="003A5FCB" w:rsidRPr="003A5FCB">
        <w:rPr>
          <w:noProof/>
          <w:vertAlign w:val="superscript"/>
          <w:lang w:val="en-US"/>
        </w:rPr>
        <w:t>2,4</w:t>
      </w:r>
      <w:r w:rsidR="00324208">
        <w:rPr>
          <w:lang w:val="en-US"/>
        </w:rPr>
        <w:t>. Importantly HSVA provides a</w:t>
      </w:r>
      <w:r w:rsidR="00BB0073">
        <w:rPr>
          <w:lang w:val="en-US"/>
        </w:rPr>
        <w:t>n accurate</w:t>
      </w:r>
      <w:r w:rsidR="00324208">
        <w:rPr>
          <w:lang w:val="en-US"/>
        </w:rPr>
        <w:t xml:space="preserve"> result on the day of testing which can be used to counsel patients and commence treatment whilst awaiting confirmatory TEM and genetics</w:t>
      </w:r>
      <w:r w:rsidR="003A5FCB" w:rsidRPr="003A5FCB">
        <w:rPr>
          <w:noProof/>
          <w:vertAlign w:val="superscript"/>
          <w:lang w:val="en-US"/>
        </w:rPr>
        <w:t>4</w:t>
      </w:r>
      <w:r w:rsidR="00324208">
        <w:rPr>
          <w:lang w:val="en-US"/>
        </w:rPr>
        <w:t xml:space="preserve">. </w:t>
      </w:r>
    </w:p>
    <w:p w:rsidR="00E52BEF" w:rsidRDefault="00D364ED" w:rsidP="00E52BEF">
      <w:pPr>
        <w:rPr>
          <w:u w:val="single"/>
          <w:lang w:val="en-US"/>
        </w:rPr>
      </w:pPr>
      <w:r>
        <w:rPr>
          <w:lang w:val="en-US"/>
        </w:rPr>
        <w:t>T</w:t>
      </w:r>
      <w:r w:rsidR="006A60C9">
        <w:rPr>
          <w:lang w:val="en-US"/>
        </w:rPr>
        <w:t>here are a large number of PCD genes and becaus</w:t>
      </w:r>
      <w:r w:rsidR="001035CF">
        <w:rPr>
          <w:lang w:val="en-US"/>
        </w:rPr>
        <w:t>e of their size</w:t>
      </w:r>
      <w:r w:rsidR="00BB0073">
        <w:rPr>
          <w:lang w:val="en-US"/>
        </w:rPr>
        <w:t>,</w:t>
      </w:r>
      <w:r w:rsidR="001035CF">
        <w:rPr>
          <w:lang w:val="en-US"/>
        </w:rPr>
        <w:t xml:space="preserve"> variants are comm</w:t>
      </w:r>
      <w:r w:rsidR="00781805">
        <w:rPr>
          <w:lang w:val="en-US"/>
        </w:rPr>
        <w:t xml:space="preserve">on; </w:t>
      </w:r>
      <w:r w:rsidR="009D40D2">
        <w:rPr>
          <w:lang w:val="en-US"/>
        </w:rPr>
        <w:t xml:space="preserve">not infrequently, </w:t>
      </w:r>
      <w:r w:rsidR="00781805">
        <w:rPr>
          <w:lang w:val="en-US"/>
        </w:rPr>
        <w:t>p</w:t>
      </w:r>
      <w:r w:rsidR="006A60C9">
        <w:rPr>
          <w:lang w:val="en-US"/>
        </w:rPr>
        <w:t>atients witho</w:t>
      </w:r>
      <w:r w:rsidR="004F542C">
        <w:rPr>
          <w:lang w:val="en-US"/>
        </w:rPr>
        <w:t>ut PCD have bi-</w:t>
      </w:r>
      <w:r w:rsidR="001B2F72">
        <w:rPr>
          <w:lang w:val="en-US"/>
        </w:rPr>
        <w:t>allelic</w:t>
      </w:r>
      <w:r w:rsidR="004F542C">
        <w:rPr>
          <w:lang w:val="en-US"/>
        </w:rPr>
        <w:t xml:space="preserve"> variants of unknown significance</w:t>
      </w:r>
      <w:r w:rsidR="00BB0073">
        <w:rPr>
          <w:lang w:val="en-US"/>
        </w:rPr>
        <w:t xml:space="preserve"> in PCD-related genes</w:t>
      </w:r>
      <w:r w:rsidR="006A60C9">
        <w:rPr>
          <w:lang w:val="en-US"/>
        </w:rPr>
        <w:t>. The speci</w:t>
      </w:r>
      <w:r w:rsidR="00781805">
        <w:rPr>
          <w:lang w:val="en-US"/>
        </w:rPr>
        <w:t>ficity of genetic testing is</w:t>
      </w:r>
      <w:r w:rsidR="006A60C9">
        <w:rPr>
          <w:lang w:val="en-US"/>
        </w:rPr>
        <w:t xml:space="preserve"> </w:t>
      </w:r>
      <w:r w:rsidR="004F542C">
        <w:rPr>
          <w:lang w:val="en-US"/>
        </w:rPr>
        <w:t>severely reduced,</w:t>
      </w:r>
      <w:r w:rsidR="006A60C9">
        <w:rPr>
          <w:lang w:val="en-US"/>
        </w:rPr>
        <w:t xml:space="preserve"> and</w:t>
      </w:r>
      <w:r>
        <w:rPr>
          <w:lang w:val="en-US"/>
        </w:rPr>
        <w:t xml:space="preserve"> many individuals could</w:t>
      </w:r>
      <w:r w:rsidR="006A60C9">
        <w:rPr>
          <w:lang w:val="en-US"/>
        </w:rPr>
        <w:t xml:space="preserve"> be incorrectly diagnosed with </w:t>
      </w:r>
      <w:r w:rsidR="004F542C">
        <w:rPr>
          <w:lang w:val="en-US"/>
        </w:rPr>
        <w:t>PCD (false positive) unless the mutations are confirmed pathogenic</w:t>
      </w:r>
      <w:r w:rsidR="007A7696">
        <w:rPr>
          <w:lang w:val="en-US"/>
        </w:rPr>
        <w:t>.  It</w:t>
      </w:r>
      <w:r>
        <w:rPr>
          <w:lang w:val="en-US"/>
        </w:rPr>
        <w:t xml:space="preserve"> is </w:t>
      </w:r>
      <w:r w:rsidR="007A7696">
        <w:rPr>
          <w:lang w:val="en-US"/>
        </w:rPr>
        <w:t xml:space="preserve">therefore </w:t>
      </w:r>
      <w:r>
        <w:rPr>
          <w:lang w:val="en-US"/>
        </w:rPr>
        <w:t>essential</w:t>
      </w:r>
      <w:r w:rsidR="006A60C9">
        <w:rPr>
          <w:lang w:val="en-US"/>
        </w:rPr>
        <w:t xml:space="preserve"> to ensure that the genotype is compatible wit</w:t>
      </w:r>
      <w:r w:rsidR="00781805">
        <w:rPr>
          <w:lang w:val="en-US"/>
        </w:rPr>
        <w:t>h the ciliary phenotype using TEM</w:t>
      </w:r>
      <w:r w:rsidR="007A7696">
        <w:rPr>
          <w:lang w:val="en-US"/>
        </w:rPr>
        <w:t>, immunofluorescence labelling</w:t>
      </w:r>
      <w:r w:rsidR="00781805">
        <w:rPr>
          <w:lang w:val="en-US"/>
        </w:rPr>
        <w:t xml:space="preserve"> and/or HSVA,</w:t>
      </w:r>
      <w:r w:rsidR="006A60C9">
        <w:rPr>
          <w:lang w:val="en-US"/>
        </w:rPr>
        <w:t xml:space="preserve"> as well as </w:t>
      </w:r>
      <w:r w:rsidR="00781805">
        <w:rPr>
          <w:lang w:val="en-US"/>
        </w:rPr>
        <w:t xml:space="preserve">with </w:t>
      </w:r>
      <w:r w:rsidR="00071C9F">
        <w:rPr>
          <w:lang w:val="en-US"/>
        </w:rPr>
        <w:t>the clinical phenotype</w:t>
      </w:r>
      <w:r w:rsidR="00781805" w:rsidRPr="00781805">
        <w:rPr>
          <w:noProof/>
          <w:vertAlign w:val="superscript"/>
          <w:lang w:val="en-US"/>
        </w:rPr>
        <w:t>2</w:t>
      </w:r>
      <w:r w:rsidR="00071C9F">
        <w:rPr>
          <w:lang w:val="en-US"/>
        </w:rPr>
        <w:t xml:space="preserve">. </w:t>
      </w:r>
    </w:p>
    <w:p w:rsidR="008D6C08" w:rsidRDefault="003A5FCB">
      <w:r>
        <w:rPr>
          <w:lang w:val="en-US"/>
        </w:rPr>
        <w:t>Importantly, there</w:t>
      </w:r>
      <w:r w:rsidRPr="003A5FCB">
        <w:rPr>
          <w:lang w:val="en-US"/>
        </w:rPr>
        <w:t xml:space="preserve"> is no perfect way to identify patients</w:t>
      </w:r>
      <w:r w:rsidR="009D40D2">
        <w:rPr>
          <w:lang w:val="en-US"/>
        </w:rPr>
        <w:t xml:space="preserve"> for diagnostic testing</w:t>
      </w:r>
      <w:r w:rsidRPr="003A5FCB">
        <w:rPr>
          <w:lang w:val="en-US"/>
        </w:rPr>
        <w:t xml:space="preserve"> based on clinical assessment. </w:t>
      </w:r>
      <w:proofErr w:type="spellStart"/>
      <w:r w:rsidRPr="003A5FCB">
        <w:rPr>
          <w:lang w:val="en-US"/>
        </w:rPr>
        <w:t>Lavie</w:t>
      </w:r>
      <w:proofErr w:type="spellEnd"/>
      <w:r w:rsidRPr="003A5FCB">
        <w:rPr>
          <w:lang w:val="en-US"/>
        </w:rPr>
        <w:t xml:space="preserve"> outlines the approach proposed by the ATS Guideline, using a four point clinical symptoms score. Having two of four clinical features provides specificity (0.72) ensuring that the diagnostic service only see the most likely cases, but </w:t>
      </w:r>
      <w:r w:rsidR="001B2F72">
        <w:rPr>
          <w:lang w:val="en-US"/>
        </w:rPr>
        <w:t xml:space="preserve">we suggest </w:t>
      </w:r>
      <w:r w:rsidRPr="003A5FCB">
        <w:rPr>
          <w:lang w:val="en-US"/>
        </w:rPr>
        <w:t>it has insufficient sensitivity for screening (0.8), meaning that 20% of PCD patients are not tested and will therefore never be correctly diagnosed</w:t>
      </w:r>
      <w:r w:rsidRPr="003A5FCB">
        <w:rPr>
          <w:noProof/>
          <w:vertAlign w:val="superscript"/>
          <w:lang w:val="en-US"/>
        </w:rPr>
        <w:t>5</w:t>
      </w:r>
      <w:r w:rsidRPr="003A5FCB">
        <w:rPr>
          <w:lang w:val="en-US"/>
        </w:rPr>
        <w:t>. T</w:t>
      </w:r>
      <w:r w:rsidR="001B2F72">
        <w:rPr>
          <w:lang w:val="en-US"/>
        </w:rPr>
        <w:t>he ERS Guideline</w:t>
      </w:r>
      <w:r w:rsidRPr="003A5FCB">
        <w:rPr>
          <w:lang w:val="en-US"/>
        </w:rPr>
        <w:t xml:space="preserve"> </w:t>
      </w:r>
      <w:r>
        <w:rPr>
          <w:lang w:val="en-US"/>
        </w:rPr>
        <w:t>provides a flexible approach (‘patients with several typical features’</w:t>
      </w:r>
      <w:r w:rsidR="00397709" w:rsidRPr="00397709">
        <w:rPr>
          <w:noProof/>
          <w:vertAlign w:val="superscript"/>
          <w:lang w:val="en-US"/>
        </w:rPr>
        <w:t>2</w:t>
      </w:r>
      <w:r>
        <w:rPr>
          <w:lang w:val="en-US"/>
        </w:rPr>
        <w:t xml:space="preserve">), or </w:t>
      </w:r>
      <w:r w:rsidR="00781805">
        <w:rPr>
          <w:lang w:val="en-US"/>
        </w:rPr>
        <w:t>suggests</w:t>
      </w:r>
      <w:r>
        <w:rPr>
          <w:lang w:val="en-US"/>
        </w:rPr>
        <w:t xml:space="preserve"> a </w:t>
      </w:r>
      <w:r w:rsidRPr="003A5FCB">
        <w:rPr>
          <w:lang w:val="en-US"/>
        </w:rPr>
        <w:t xml:space="preserve">clinical predictive </w:t>
      </w:r>
      <w:r w:rsidR="00781805">
        <w:rPr>
          <w:lang w:val="en-US"/>
        </w:rPr>
        <w:t>score called</w:t>
      </w:r>
      <w:r w:rsidRPr="003A5FCB">
        <w:rPr>
          <w:lang w:val="en-US"/>
        </w:rPr>
        <w:t xml:space="preserve"> PICADAR, which has good sensiti</w:t>
      </w:r>
      <w:r w:rsidR="00781805">
        <w:rPr>
          <w:lang w:val="en-US"/>
        </w:rPr>
        <w:t>vity and specificity (cut off 4;</w:t>
      </w:r>
      <w:r w:rsidRPr="003A5FCB">
        <w:rPr>
          <w:lang w:val="en-US"/>
        </w:rPr>
        <w:t xml:space="preserve"> </w:t>
      </w:r>
      <w:r w:rsidRPr="003A5FCB">
        <w:t>0.97, specificity 0.48)</w:t>
      </w:r>
      <w:r w:rsidRPr="003A5FCB">
        <w:rPr>
          <w:noProof/>
          <w:vertAlign w:val="superscript"/>
        </w:rPr>
        <w:t>6</w:t>
      </w:r>
      <w:r w:rsidRPr="003A5FCB">
        <w:t>. Thereby, PICADAR may correctly identify 97% who require further testing, whilst not inappropriately overwhelming diagnostic services since approximately 50% of patients will turn out to have PCD. Both scores need validating in primary care settings.</w:t>
      </w:r>
    </w:p>
    <w:p w:rsidR="008D6C08" w:rsidRDefault="008D6C08"/>
    <w:p w:rsidR="00397709" w:rsidRPr="00397709" w:rsidRDefault="00397709" w:rsidP="00397709">
      <w:pPr>
        <w:pStyle w:val="EndNoteBibliography"/>
        <w:spacing w:after="0"/>
      </w:pPr>
      <w:r w:rsidRPr="00397709">
        <w:lastRenderedPageBreak/>
        <w:t>1.</w:t>
      </w:r>
      <w:r w:rsidRPr="00397709">
        <w:tab/>
        <w:t xml:space="preserve">Lavie M, Amirav I. In Defense of High-Speed Video Microscopy in Evaluating Patients with Suspected Primary Ciliary Dyskinesia. </w:t>
      </w:r>
      <w:r w:rsidR="0081734A" w:rsidRPr="0081734A">
        <w:rPr>
          <w:i/>
          <w:lang w:val="en-GB"/>
        </w:rPr>
        <w:t xml:space="preserve">Am J Respir Crit Care Med </w:t>
      </w:r>
      <w:r w:rsidR="006B524B">
        <w:t>2019</w:t>
      </w:r>
      <w:r w:rsidR="0081734A" w:rsidRPr="0081734A">
        <w:rPr>
          <w:rFonts w:ascii="Arial" w:hAnsi="Arial" w:cs="Arial"/>
          <w:noProof w:val="0"/>
          <w:sz w:val="18"/>
          <w:szCs w:val="18"/>
          <w:lang w:val="en"/>
        </w:rPr>
        <w:t xml:space="preserve"> </w:t>
      </w:r>
      <w:r w:rsidR="0081734A" w:rsidRPr="0081734A">
        <w:rPr>
          <w:lang w:val="en"/>
        </w:rPr>
        <w:t>[Epub ahead of print]</w:t>
      </w:r>
      <w:r w:rsidR="006B524B">
        <w:rPr>
          <w:lang w:val="en"/>
        </w:rPr>
        <w:t>.</w:t>
      </w:r>
    </w:p>
    <w:p w:rsidR="00397709" w:rsidRPr="00397709" w:rsidRDefault="00397709" w:rsidP="00397709">
      <w:pPr>
        <w:pStyle w:val="EndNoteBibliography"/>
        <w:spacing w:after="0"/>
      </w:pPr>
      <w:r w:rsidRPr="00397709">
        <w:t>2.</w:t>
      </w:r>
      <w:r w:rsidRPr="00397709">
        <w:tab/>
      </w:r>
      <w:r w:rsidR="0081734A" w:rsidRPr="0081734A">
        <w:t xml:space="preserve">Lucas JS, Barbato A, Collins SA, et al. European Respiratory Society guidelines for the diagnosis of primary ciliary dyskinesia. </w:t>
      </w:r>
      <w:r w:rsidR="0081734A" w:rsidRPr="0081734A">
        <w:rPr>
          <w:i/>
        </w:rPr>
        <w:t>Eur Respir J</w:t>
      </w:r>
      <w:r w:rsidR="0081734A" w:rsidRPr="0081734A">
        <w:t xml:space="preserve"> 2017; 49(1).</w:t>
      </w:r>
    </w:p>
    <w:p w:rsidR="00397709" w:rsidRPr="00397709" w:rsidRDefault="00397709" w:rsidP="00397709">
      <w:pPr>
        <w:pStyle w:val="EndNoteBibliography"/>
        <w:spacing w:after="0"/>
      </w:pPr>
      <w:r w:rsidRPr="00397709">
        <w:t>3.</w:t>
      </w:r>
      <w:r w:rsidRPr="00397709">
        <w:tab/>
      </w:r>
      <w:r w:rsidR="0081734A" w:rsidRPr="0081734A">
        <w:t xml:space="preserve">Shapiro AJ, Davis SD, Polineni D, et al. Diagnosis of Primary Ciliary Dyskinesia. An Official American Thoracic Society Clinical Practice Guideline. </w:t>
      </w:r>
      <w:r w:rsidR="0081734A" w:rsidRPr="0081734A">
        <w:rPr>
          <w:i/>
        </w:rPr>
        <w:t>Am J Respir Crit Care Med</w:t>
      </w:r>
      <w:r w:rsidR="0081734A" w:rsidRPr="0081734A">
        <w:t xml:space="preserve"> 2018; 197(12): e24-e39.</w:t>
      </w:r>
    </w:p>
    <w:p w:rsidR="00397709" w:rsidRPr="00397709" w:rsidRDefault="00397709" w:rsidP="00397709">
      <w:pPr>
        <w:pStyle w:val="EndNoteBibliography"/>
        <w:spacing w:after="0"/>
      </w:pPr>
      <w:r w:rsidRPr="00397709">
        <w:t>4.</w:t>
      </w:r>
      <w:r w:rsidRPr="00397709">
        <w:tab/>
        <w:t xml:space="preserve">Rubbo B, Shoemark A, Jackson CL, et al. Accuracy of high-speed video analysis to diagnose primary ciliary dyskinesia. </w:t>
      </w:r>
      <w:r w:rsidR="0081734A" w:rsidRPr="0081734A">
        <w:rPr>
          <w:i/>
        </w:rPr>
        <w:t xml:space="preserve">Chest. </w:t>
      </w:r>
      <w:r w:rsidR="0081734A" w:rsidRPr="0081734A">
        <w:t>2019 May;155(5):1008-1017</w:t>
      </w:r>
    </w:p>
    <w:p w:rsidR="00397709" w:rsidRPr="00397709" w:rsidRDefault="00397709" w:rsidP="00397709">
      <w:pPr>
        <w:pStyle w:val="EndNoteBibliography"/>
        <w:spacing w:after="0"/>
      </w:pPr>
      <w:r w:rsidRPr="00397709">
        <w:t>5.</w:t>
      </w:r>
      <w:r w:rsidRPr="00397709">
        <w:tab/>
      </w:r>
      <w:r w:rsidR="0081734A" w:rsidRPr="0081734A">
        <w:t xml:space="preserve">Leigh MW, Ferkol TW, Davis SD, et al. Clinical Features and Associated Likelihood of Primary Ciliary Dyskinesia in Children and Adolescents. </w:t>
      </w:r>
      <w:r w:rsidR="0081734A" w:rsidRPr="0081734A">
        <w:rPr>
          <w:i/>
        </w:rPr>
        <w:t>Ann Am Thorac Soc</w:t>
      </w:r>
      <w:r w:rsidR="0081734A" w:rsidRPr="0081734A">
        <w:t xml:space="preserve"> 2016; 13(8): 1305-13</w:t>
      </w:r>
    </w:p>
    <w:p w:rsidR="00397709" w:rsidRPr="00397709" w:rsidRDefault="00397709" w:rsidP="00397709">
      <w:pPr>
        <w:pStyle w:val="EndNoteBibliography"/>
      </w:pPr>
      <w:r w:rsidRPr="00397709">
        <w:t>6.</w:t>
      </w:r>
      <w:r w:rsidRPr="00397709">
        <w:tab/>
        <w:t xml:space="preserve">Behan L, Dimitrov BD, Kuehni CE, et al. PICADAR: a diagnostic predictive tool for primary ciliary dyskinesia. </w:t>
      </w:r>
      <w:r w:rsidR="0081734A">
        <w:rPr>
          <w:i/>
        </w:rPr>
        <w:t>Eur Respir J</w:t>
      </w:r>
      <w:r w:rsidRPr="00397709">
        <w:t xml:space="preserve"> 2016; </w:t>
      </w:r>
      <w:r w:rsidRPr="00397709">
        <w:rPr>
          <w:b/>
        </w:rPr>
        <w:t>47</w:t>
      </w:r>
      <w:r w:rsidRPr="00397709">
        <w:t>(4): 1103-12.</w:t>
      </w:r>
    </w:p>
    <w:p w:rsidR="00E52BEF" w:rsidRDefault="00E52BEF"/>
    <w:sectPr w:rsidR="00E52B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Lancet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9pfwdzpcedx9neza0rpvw9tdxzf0f5tdef9&quot;&gt;PCD july2017-Saved&lt;record-ids&gt;&lt;item&gt;35&lt;/item&gt;&lt;item&gt;68&lt;/item&gt;&lt;item&gt;74&lt;/item&gt;&lt;item&gt;638&lt;/item&gt;&lt;item&gt;678&lt;/item&gt;&lt;item&gt;728&lt;/item&gt;&lt;/record-ids&gt;&lt;/item&gt;&lt;/Libraries&gt;"/>
  </w:docVars>
  <w:rsids>
    <w:rsidRoot w:val="00E52BEF"/>
    <w:rsid w:val="00063F21"/>
    <w:rsid w:val="00071C9F"/>
    <w:rsid w:val="000A085A"/>
    <w:rsid w:val="001035CF"/>
    <w:rsid w:val="00193495"/>
    <w:rsid w:val="001B2F72"/>
    <w:rsid w:val="001D6338"/>
    <w:rsid w:val="002B57D0"/>
    <w:rsid w:val="002F12A2"/>
    <w:rsid w:val="003200F5"/>
    <w:rsid w:val="00324208"/>
    <w:rsid w:val="003577C4"/>
    <w:rsid w:val="00397709"/>
    <w:rsid w:val="003A5FCB"/>
    <w:rsid w:val="004F542C"/>
    <w:rsid w:val="0052530F"/>
    <w:rsid w:val="00607295"/>
    <w:rsid w:val="006A60C9"/>
    <w:rsid w:val="006B524B"/>
    <w:rsid w:val="00724EED"/>
    <w:rsid w:val="00772B87"/>
    <w:rsid w:val="00781805"/>
    <w:rsid w:val="007A7696"/>
    <w:rsid w:val="0081734A"/>
    <w:rsid w:val="00832855"/>
    <w:rsid w:val="008D6C08"/>
    <w:rsid w:val="008E503E"/>
    <w:rsid w:val="00914B6A"/>
    <w:rsid w:val="009D40D2"/>
    <w:rsid w:val="009E7048"/>
    <w:rsid w:val="00A55111"/>
    <w:rsid w:val="00BB0073"/>
    <w:rsid w:val="00BC3535"/>
    <w:rsid w:val="00C035CF"/>
    <w:rsid w:val="00C31A3A"/>
    <w:rsid w:val="00CA666B"/>
    <w:rsid w:val="00D30F08"/>
    <w:rsid w:val="00D364ED"/>
    <w:rsid w:val="00D956A8"/>
    <w:rsid w:val="00E21FB7"/>
    <w:rsid w:val="00E473ED"/>
    <w:rsid w:val="00E52BEF"/>
    <w:rsid w:val="00E94CC5"/>
    <w:rsid w:val="00ED4F10"/>
    <w:rsid w:val="00F67BD5"/>
    <w:rsid w:val="00F7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2B54F-9B70-4E3D-BED3-83C9BEF7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2BEF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8D6C08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D6C08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8D6C08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8D6C08"/>
    <w:rPr>
      <w:rFonts w:ascii="Calibri" w:hAnsi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8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J.</dc:creator>
  <cp:keywords/>
  <dc:description/>
  <cp:lastModifiedBy>Lapage K.P.</cp:lastModifiedBy>
  <cp:revision>2</cp:revision>
  <dcterms:created xsi:type="dcterms:W3CDTF">2019-08-12T13:24:00Z</dcterms:created>
  <dcterms:modified xsi:type="dcterms:W3CDTF">2019-08-12T13:24:00Z</dcterms:modified>
</cp:coreProperties>
</file>