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B45E3" w14:textId="378E52FD" w:rsidR="00323494" w:rsidRPr="003C68F0" w:rsidRDefault="00323494" w:rsidP="00872FC1">
      <w:pPr>
        <w:rPr>
          <w:rFonts w:ascii="Calibri" w:hAnsi="Calibri" w:cs="Calibri"/>
          <w:b/>
          <w:sz w:val="20"/>
          <w:szCs w:val="20"/>
        </w:rPr>
      </w:pPr>
      <w:r w:rsidRPr="003C68F0">
        <w:rPr>
          <w:rFonts w:ascii="Calibri" w:hAnsi="Calibri" w:cs="Calibri"/>
          <w:b/>
          <w:sz w:val="20"/>
          <w:szCs w:val="20"/>
        </w:rPr>
        <w:t xml:space="preserve">Title Page  </w:t>
      </w:r>
    </w:p>
    <w:p w14:paraId="2B4A9D0C" w14:textId="77777777" w:rsidR="009F09B4" w:rsidRPr="003C68F0" w:rsidRDefault="009F09B4" w:rsidP="00323494">
      <w:pPr>
        <w:spacing w:line="360" w:lineRule="auto"/>
        <w:rPr>
          <w:rFonts w:ascii="Calibri" w:hAnsi="Calibri" w:cs="Calibri"/>
          <w:b/>
          <w:sz w:val="20"/>
          <w:szCs w:val="20"/>
        </w:rPr>
      </w:pPr>
    </w:p>
    <w:p w14:paraId="4114FDD7" w14:textId="78994720" w:rsidR="00323494" w:rsidRPr="003C68F0" w:rsidRDefault="00323494" w:rsidP="00323494">
      <w:pPr>
        <w:spacing w:line="360" w:lineRule="auto"/>
        <w:rPr>
          <w:rFonts w:ascii="Calibri" w:hAnsi="Calibri" w:cs="Calibri"/>
          <w:sz w:val="20"/>
          <w:szCs w:val="20"/>
        </w:rPr>
      </w:pPr>
      <w:r w:rsidRPr="003C68F0">
        <w:rPr>
          <w:rFonts w:ascii="Calibri" w:hAnsi="Calibri" w:cs="Calibri"/>
          <w:b/>
          <w:sz w:val="20"/>
          <w:szCs w:val="20"/>
        </w:rPr>
        <w:t>Title</w:t>
      </w:r>
      <w:r w:rsidRPr="003C68F0">
        <w:rPr>
          <w:rFonts w:ascii="Calibri" w:hAnsi="Calibri" w:cs="Calibri"/>
          <w:sz w:val="20"/>
          <w:szCs w:val="20"/>
        </w:rPr>
        <w:t xml:space="preserve">: </w:t>
      </w:r>
      <w:r w:rsidRPr="003C68F0">
        <w:rPr>
          <w:rFonts w:ascii="Calibri" w:hAnsi="Calibri" w:cs="Calibri"/>
          <w:bCs/>
          <w:sz w:val="20"/>
          <w:szCs w:val="20"/>
          <w:lang w:val="en-US"/>
        </w:rPr>
        <w:t xml:space="preserve">A phase II study to assess the safety and efficacy of the </w:t>
      </w:r>
      <w:r w:rsidRPr="003C68F0">
        <w:rPr>
          <w:rFonts w:ascii="Calibri" w:hAnsi="Calibri" w:cs="Calibri"/>
          <w:bCs/>
          <w:sz w:val="20"/>
          <w:szCs w:val="20"/>
          <w:lang w:eastAsia="en-GB"/>
        </w:rPr>
        <w:t xml:space="preserve">dual mTORC1/2 inhibitor </w:t>
      </w:r>
      <w:r w:rsidRPr="003C68F0">
        <w:rPr>
          <w:rFonts w:ascii="Calibri" w:hAnsi="Calibri" w:cs="Calibri"/>
          <w:bCs/>
          <w:sz w:val="20"/>
          <w:szCs w:val="20"/>
          <w:lang w:val="en-US"/>
        </w:rPr>
        <w:t>vistuserti</w:t>
      </w:r>
      <w:r w:rsidR="00B70A75" w:rsidRPr="003C68F0">
        <w:rPr>
          <w:rFonts w:ascii="Calibri" w:hAnsi="Calibri" w:cs="Calibri"/>
          <w:bCs/>
          <w:sz w:val="20"/>
          <w:szCs w:val="20"/>
          <w:lang w:val="en-US"/>
        </w:rPr>
        <w:t>b in relapsed, refractory DLBCL</w:t>
      </w:r>
    </w:p>
    <w:p w14:paraId="51C591FE" w14:textId="77777777" w:rsidR="009F09B4" w:rsidRPr="003C68F0" w:rsidRDefault="009F09B4" w:rsidP="00323494">
      <w:pPr>
        <w:spacing w:line="360" w:lineRule="auto"/>
        <w:rPr>
          <w:rFonts w:ascii="Calibri" w:hAnsi="Calibri" w:cs="Calibri"/>
          <w:b/>
          <w:sz w:val="20"/>
          <w:szCs w:val="20"/>
        </w:rPr>
      </w:pPr>
    </w:p>
    <w:p w14:paraId="4C2731CF" w14:textId="4BD4A846" w:rsidR="009F09B4" w:rsidRPr="003C68F0" w:rsidRDefault="00872FC1" w:rsidP="00B16B37">
      <w:pPr>
        <w:spacing w:line="360" w:lineRule="auto"/>
        <w:rPr>
          <w:rFonts w:ascii="Calibri" w:hAnsi="Calibri" w:cs="Calibri"/>
          <w:sz w:val="20"/>
          <w:szCs w:val="20"/>
        </w:rPr>
      </w:pPr>
      <w:r w:rsidRPr="003C68F0">
        <w:rPr>
          <w:rFonts w:ascii="Calibri" w:hAnsi="Calibri" w:cs="Calibri"/>
          <w:b/>
          <w:sz w:val="20"/>
          <w:szCs w:val="20"/>
        </w:rPr>
        <w:t>R</w:t>
      </w:r>
      <w:r w:rsidR="00323494" w:rsidRPr="003C68F0">
        <w:rPr>
          <w:rFonts w:ascii="Calibri" w:hAnsi="Calibri" w:cs="Calibri"/>
          <w:b/>
          <w:sz w:val="20"/>
          <w:szCs w:val="20"/>
        </w:rPr>
        <w:t>unning head</w:t>
      </w:r>
      <w:r w:rsidR="00323494" w:rsidRPr="003C68F0">
        <w:rPr>
          <w:rFonts w:ascii="Calibri" w:hAnsi="Calibri" w:cs="Calibri"/>
          <w:sz w:val="20"/>
          <w:szCs w:val="20"/>
        </w:rPr>
        <w:t xml:space="preserve">: </w:t>
      </w:r>
      <w:r w:rsidRPr="003C68F0">
        <w:rPr>
          <w:rFonts w:ascii="Calibri" w:hAnsi="Calibri" w:cs="Calibri"/>
          <w:sz w:val="20"/>
          <w:szCs w:val="20"/>
        </w:rPr>
        <w:t xml:space="preserve">dual mTORC1/2 inhibition </w:t>
      </w:r>
      <w:r w:rsidR="00323494" w:rsidRPr="003C68F0">
        <w:rPr>
          <w:rFonts w:ascii="Calibri" w:hAnsi="Calibri" w:cs="Calibri"/>
          <w:sz w:val="20"/>
          <w:szCs w:val="20"/>
        </w:rPr>
        <w:t>in relapsed, refractory DLBCL</w:t>
      </w:r>
    </w:p>
    <w:p w14:paraId="3528DB9D" w14:textId="77777777" w:rsidR="00B16B37" w:rsidRPr="003C68F0" w:rsidRDefault="00B16B37" w:rsidP="00B16B37">
      <w:pPr>
        <w:spacing w:line="360" w:lineRule="auto"/>
        <w:rPr>
          <w:rFonts w:ascii="Calibri" w:hAnsi="Calibri" w:cs="Calibri"/>
          <w:sz w:val="20"/>
          <w:szCs w:val="20"/>
        </w:rPr>
      </w:pPr>
    </w:p>
    <w:p w14:paraId="2C98B9AD" w14:textId="079B3C51" w:rsidR="00F72411" w:rsidRPr="00EB2D6D" w:rsidRDefault="00323494" w:rsidP="00323494">
      <w:pPr>
        <w:spacing w:after="75" w:line="360" w:lineRule="auto"/>
        <w:rPr>
          <w:rFonts w:ascii="Calibri" w:hAnsi="Calibri" w:cs="Calibri"/>
          <w:sz w:val="20"/>
          <w:szCs w:val="20"/>
        </w:rPr>
      </w:pPr>
      <w:r w:rsidRPr="00EB2D6D">
        <w:rPr>
          <w:rFonts w:ascii="Calibri" w:hAnsi="Calibri" w:cs="Calibri"/>
          <w:b/>
          <w:sz w:val="20"/>
          <w:szCs w:val="20"/>
        </w:rPr>
        <w:t xml:space="preserve">Authors: </w:t>
      </w:r>
      <w:r w:rsidRPr="00EB2D6D">
        <w:rPr>
          <w:rFonts w:ascii="Calibri" w:hAnsi="Calibri" w:cs="Calibri"/>
          <w:sz w:val="20"/>
          <w:szCs w:val="20"/>
        </w:rPr>
        <w:t>Toby A. Eyre</w:t>
      </w:r>
      <w:r w:rsidR="00EB2D6D">
        <w:rPr>
          <w:rFonts w:ascii="Calibri" w:hAnsi="Calibri" w:cs="Calibri"/>
          <w:sz w:val="20"/>
          <w:szCs w:val="20"/>
        </w:rPr>
        <w:t xml:space="preserve"> </w:t>
      </w:r>
      <w:r w:rsidRPr="00EB2D6D">
        <w:rPr>
          <w:rFonts w:ascii="Calibri" w:hAnsi="Calibri" w:cs="Calibri"/>
          <w:sz w:val="20"/>
          <w:szCs w:val="20"/>
        </w:rPr>
        <w:t>1*, Catherine Hildyard</w:t>
      </w:r>
      <w:r w:rsidR="00EB2D6D">
        <w:rPr>
          <w:rFonts w:ascii="Calibri" w:hAnsi="Calibri" w:cs="Calibri"/>
          <w:sz w:val="20"/>
          <w:szCs w:val="20"/>
        </w:rPr>
        <w:t xml:space="preserve"> </w:t>
      </w:r>
      <w:r w:rsidRPr="00EB2D6D">
        <w:rPr>
          <w:rFonts w:ascii="Calibri" w:hAnsi="Calibri" w:cs="Calibri"/>
          <w:sz w:val="20"/>
          <w:szCs w:val="20"/>
        </w:rPr>
        <w:t xml:space="preserve">1*, </w:t>
      </w:r>
      <w:r w:rsidR="00170022" w:rsidRPr="00EB2D6D">
        <w:rPr>
          <w:rFonts w:ascii="Calibri" w:hAnsi="Calibri" w:cs="Calibri"/>
          <w:sz w:val="20"/>
          <w:szCs w:val="20"/>
        </w:rPr>
        <w:t>Angela Hamblin</w:t>
      </w:r>
      <w:r w:rsidR="00EB2D6D">
        <w:rPr>
          <w:rFonts w:ascii="Calibri" w:hAnsi="Calibri" w:cs="Calibri"/>
          <w:sz w:val="20"/>
          <w:szCs w:val="20"/>
        </w:rPr>
        <w:t xml:space="preserve"> </w:t>
      </w:r>
      <w:r w:rsidR="00170022" w:rsidRPr="00EB2D6D">
        <w:rPr>
          <w:rFonts w:ascii="Calibri" w:hAnsi="Calibri" w:cs="Calibri"/>
          <w:sz w:val="20"/>
          <w:szCs w:val="20"/>
        </w:rPr>
        <w:t xml:space="preserve">1, </w:t>
      </w:r>
      <w:r w:rsidR="001534CC" w:rsidRPr="00EB2D6D">
        <w:rPr>
          <w:rFonts w:ascii="Calibri" w:hAnsi="Calibri" w:cs="Calibri"/>
          <w:sz w:val="20"/>
          <w:szCs w:val="20"/>
        </w:rPr>
        <w:t>Ayesha</w:t>
      </w:r>
      <w:r w:rsidR="00D749EC" w:rsidRPr="00EB2D6D">
        <w:rPr>
          <w:rFonts w:ascii="Calibri" w:hAnsi="Calibri" w:cs="Calibri"/>
          <w:sz w:val="20"/>
          <w:szCs w:val="20"/>
        </w:rPr>
        <w:t xml:space="preserve"> S.</w:t>
      </w:r>
      <w:r w:rsidR="001534CC" w:rsidRPr="00EB2D6D">
        <w:rPr>
          <w:rFonts w:ascii="Calibri" w:hAnsi="Calibri" w:cs="Calibri"/>
          <w:sz w:val="20"/>
          <w:szCs w:val="20"/>
        </w:rPr>
        <w:t xml:space="preserve"> Ali</w:t>
      </w:r>
      <w:r w:rsidR="00EB2D6D">
        <w:rPr>
          <w:rFonts w:ascii="Calibri" w:hAnsi="Calibri" w:cs="Calibri"/>
          <w:sz w:val="20"/>
          <w:szCs w:val="20"/>
        </w:rPr>
        <w:t xml:space="preserve"> </w:t>
      </w:r>
      <w:r w:rsidR="001534CC" w:rsidRPr="00EB2D6D">
        <w:rPr>
          <w:rFonts w:ascii="Calibri" w:hAnsi="Calibri" w:cs="Calibri"/>
          <w:sz w:val="20"/>
          <w:szCs w:val="20"/>
        </w:rPr>
        <w:t>2,</w:t>
      </w:r>
      <w:r w:rsidR="001534CC" w:rsidRPr="00EB2D6D" w:rsidDel="001534CC">
        <w:rPr>
          <w:rFonts w:ascii="Calibri" w:hAnsi="Calibri" w:cs="Calibri"/>
          <w:sz w:val="20"/>
          <w:szCs w:val="20"/>
        </w:rPr>
        <w:t xml:space="preserve"> </w:t>
      </w:r>
      <w:r w:rsidRPr="00EB2D6D">
        <w:rPr>
          <w:rFonts w:ascii="Calibri" w:hAnsi="Calibri" w:cs="Calibri"/>
          <w:sz w:val="20"/>
          <w:szCs w:val="20"/>
        </w:rPr>
        <w:t>Aimee Houlton</w:t>
      </w:r>
      <w:r w:rsidR="00EB2D6D">
        <w:rPr>
          <w:rFonts w:ascii="Calibri" w:hAnsi="Calibri" w:cs="Calibri"/>
          <w:sz w:val="20"/>
          <w:szCs w:val="20"/>
        </w:rPr>
        <w:t xml:space="preserve"> </w:t>
      </w:r>
      <w:r w:rsidRPr="00EB2D6D">
        <w:rPr>
          <w:rFonts w:ascii="Calibri" w:hAnsi="Calibri" w:cs="Calibri"/>
          <w:sz w:val="20"/>
          <w:szCs w:val="20"/>
        </w:rPr>
        <w:t>2, Louise Hopkins</w:t>
      </w:r>
      <w:r w:rsidR="00EB2D6D">
        <w:rPr>
          <w:rFonts w:ascii="Calibri" w:hAnsi="Calibri" w:cs="Calibri"/>
          <w:sz w:val="20"/>
          <w:szCs w:val="20"/>
        </w:rPr>
        <w:t xml:space="preserve"> </w:t>
      </w:r>
      <w:r w:rsidRPr="00EB2D6D">
        <w:rPr>
          <w:rFonts w:ascii="Calibri" w:hAnsi="Calibri" w:cs="Calibri"/>
          <w:sz w:val="20"/>
          <w:szCs w:val="20"/>
        </w:rPr>
        <w:t xml:space="preserve">2, </w:t>
      </w:r>
      <w:r w:rsidR="00764E6F" w:rsidRPr="00EB2D6D">
        <w:rPr>
          <w:rFonts w:ascii="Calibri" w:hAnsi="Calibri" w:cs="Calibri"/>
          <w:sz w:val="20"/>
          <w:szCs w:val="20"/>
        </w:rPr>
        <w:t>Daniel Royston</w:t>
      </w:r>
      <w:r w:rsidR="00EB2D6D">
        <w:rPr>
          <w:rFonts w:ascii="Calibri" w:hAnsi="Calibri" w:cs="Calibri"/>
          <w:sz w:val="20"/>
          <w:szCs w:val="20"/>
        </w:rPr>
        <w:t xml:space="preserve"> </w:t>
      </w:r>
      <w:r w:rsidR="00764E6F" w:rsidRPr="00EB2D6D">
        <w:rPr>
          <w:rFonts w:ascii="Calibri" w:hAnsi="Calibri" w:cs="Calibri"/>
          <w:sz w:val="20"/>
          <w:szCs w:val="20"/>
        </w:rPr>
        <w:t xml:space="preserve">3, </w:t>
      </w:r>
      <w:r w:rsidRPr="00EB2D6D">
        <w:rPr>
          <w:rFonts w:ascii="Calibri" w:hAnsi="Calibri" w:cs="Calibri"/>
          <w:sz w:val="20"/>
          <w:szCs w:val="20"/>
        </w:rPr>
        <w:t xml:space="preserve">Kim </w:t>
      </w:r>
      <w:r w:rsidR="003F08EB">
        <w:rPr>
          <w:rFonts w:ascii="Calibri" w:hAnsi="Calibri" w:cs="Calibri"/>
          <w:sz w:val="20"/>
          <w:szCs w:val="20"/>
        </w:rPr>
        <w:t xml:space="preserve">M. </w:t>
      </w:r>
      <w:r w:rsidRPr="00EB2D6D">
        <w:rPr>
          <w:rFonts w:ascii="Calibri" w:hAnsi="Calibri" w:cs="Calibri"/>
          <w:sz w:val="20"/>
          <w:szCs w:val="20"/>
        </w:rPr>
        <w:t>Linton</w:t>
      </w:r>
      <w:r w:rsidR="00EB2D6D">
        <w:rPr>
          <w:rFonts w:ascii="Calibri" w:hAnsi="Calibri" w:cs="Calibri"/>
          <w:sz w:val="20"/>
          <w:szCs w:val="20"/>
        </w:rPr>
        <w:t xml:space="preserve"> </w:t>
      </w:r>
      <w:r w:rsidR="00764E6F" w:rsidRPr="00EB2D6D">
        <w:rPr>
          <w:rFonts w:ascii="Calibri" w:hAnsi="Calibri" w:cs="Calibri"/>
          <w:sz w:val="20"/>
          <w:szCs w:val="20"/>
        </w:rPr>
        <w:t>4</w:t>
      </w:r>
      <w:r w:rsidRPr="00EB2D6D">
        <w:rPr>
          <w:rFonts w:ascii="Calibri" w:hAnsi="Calibri" w:cs="Calibri"/>
          <w:sz w:val="20"/>
          <w:szCs w:val="20"/>
        </w:rPr>
        <w:t>, Andrew Pettitt</w:t>
      </w:r>
      <w:r w:rsidR="00EB2D6D">
        <w:rPr>
          <w:rFonts w:ascii="Calibri" w:hAnsi="Calibri" w:cs="Calibri"/>
          <w:sz w:val="20"/>
          <w:szCs w:val="20"/>
        </w:rPr>
        <w:t xml:space="preserve"> </w:t>
      </w:r>
      <w:r w:rsidR="00764E6F" w:rsidRPr="00EB2D6D">
        <w:rPr>
          <w:rFonts w:ascii="Calibri" w:hAnsi="Calibri" w:cs="Calibri"/>
          <w:sz w:val="20"/>
          <w:szCs w:val="20"/>
        </w:rPr>
        <w:t>5</w:t>
      </w:r>
      <w:r w:rsidRPr="00EB2D6D">
        <w:rPr>
          <w:rFonts w:ascii="Calibri" w:hAnsi="Calibri" w:cs="Calibri"/>
          <w:sz w:val="20"/>
          <w:szCs w:val="20"/>
        </w:rPr>
        <w:t>, Simon Rule</w:t>
      </w:r>
      <w:r w:rsidR="00EB2D6D">
        <w:rPr>
          <w:rFonts w:ascii="Calibri" w:hAnsi="Calibri" w:cs="Calibri"/>
          <w:sz w:val="20"/>
          <w:szCs w:val="20"/>
        </w:rPr>
        <w:t xml:space="preserve"> </w:t>
      </w:r>
      <w:r w:rsidR="00764E6F" w:rsidRPr="00EB2D6D">
        <w:rPr>
          <w:rFonts w:ascii="Calibri" w:hAnsi="Calibri" w:cs="Calibri"/>
          <w:sz w:val="20"/>
          <w:szCs w:val="20"/>
        </w:rPr>
        <w:t>6</w:t>
      </w:r>
      <w:r w:rsidRPr="00EB2D6D">
        <w:rPr>
          <w:rFonts w:ascii="Calibri" w:hAnsi="Calibri" w:cs="Calibri"/>
          <w:sz w:val="20"/>
          <w:szCs w:val="20"/>
        </w:rPr>
        <w:t>, Kate Cwynarski</w:t>
      </w:r>
      <w:r w:rsidR="00EB2D6D">
        <w:rPr>
          <w:rFonts w:ascii="Calibri" w:hAnsi="Calibri" w:cs="Calibri"/>
          <w:sz w:val="20"/>
          <w:szCs w:val="20"/>
        </w:rPr>
        <w:t xml:space="preserve"> </w:t>
      </w:r>
      <w:r w:rsidR="00764E6F" w:rsidRPr="00EB2D6D">
        <w:rPr>
          <w:rFonts w:ascii="Calibri" w:hAnsi="Calibri" w:cs="Calibri"/>
          <w:sz w:val="20"/>
          <w:szCs w:val="20"/>
        </w:rPr>
        <w:t>7</w:t>
      </w:r>
      <w:r w:rsidRPr="00EB2D6D">
        <w:rPr>
          <w:rFonts w:ascii="Calibri" w:hAnsi="Calibri" w:cs="Calibri"/>
          <w:sz w:val="20"/>
          <w:szCs w:val="20"/>
        </w:rPr>
        <w:t>, Sally F</w:t>
      </w:r>
      <w:r w:rsidR="003F08EB">
        <w:rPr>
          <w:rFonts w:ascii="Calibri" w:hAnsi="Calibri" w:cs="Calibri"/>
          <w:sz w:val="20"/>
          <w:szCs w:val="20"/>
        </w:rPr>
        <w:t>.</w:t>
      </w:r>
      <w:r w:rsidRPr="00EB2D6D">
        <w:rPr>
          <w:rFonts w:ascii="Calibri" w:hAnsi="Calibri" w:cs="Calibri"/>
          <w:sz w:val="20"/>
          <w:szCs w:val="20"/>
        </w:rPr>
        <w:t xml:space="preserve"> Barrington</w:t>
      </w:r>
      <w:r w:rsidR="00EB2D6D">
        <w:rPr>
          <w:rFonts w:ascii="Calibri" w:hAnsi="Calibri" w:cs="Calibri"/>
          <w:sz w:val="20"/>
          <w:szCs w:val="20"/>
        </w:rPr>
        <w:t xml:space="preserve"> </w:t>
      </w:r>
      <w:r w:rsidR="00764E6F" w:rsidRPr="00EB2D6D">
        <w:rPr>
          <w:rFonts w:ascii="Calibri" w:hAnsi="Calibri" w:cs="Calibri"/>
          <w:sz w:val="20"/>
          <w:szCs w:val="20"/>
        </w:rPr>
        <w:t>8</w:t>
      </w:r>
      <w:r w:rsidRPr="00EB2D6D">
        <w:rPr>
          <w:rFonts w:ascii="Calibri" w:hAnsi="Calibri" w:cs="Calibri"/>
          <w:sz w:val="20"/>
          <w:szCs w:val="20"/>
        </w:rPr>
        <w:t xml:space="preserve">, </w:t>
      </w:r>
      <w:r w:rsidR="00C63B75" w:rsidRPr="00EB2D6D">
        <w:rPr>
          <w:rFonts w:ascii="Calibri" w:hAnsi="Calibri" w:cs="Calibri"/>
          <w:sz w:val="20"/>
          <w:szCs w:val="20"/>
        </w:rPr>
        <w:t>Victoria Warbey</w:t>
      </w:r>
      <w:r w:rsidR="00EB2D6D">
        <w:rPr>
          <w:rFonts w:ascii="Calibri" w:hAnsi="Calibri" w:cs="Calibri"/>
          <w:sz w:val="20"/>
          <w:szCs w:val="20"/>
        </w:rPr>
        <w:t xml:space="preserve"> </w:t>
      </w:r>
      <w:r w:rsidR="00764E6F" w:rsidRPr="00EB2D6D">
        <w:rPr>
          <w:rFonts w:ascii="Calibri" w:hAnsi="Calibri" w:cs="Calibri"/>
          <w:sz w:val="20"/>
          <w:szCs w:val="20"/>
        </w:rPr>
        <w:t>8</w:t>
      </w:r>
      <w:r w:rsidR="00C63B75" w:rsidRPr="00EB2D6D">
        <w:rPr>
          <w:rFonts w:ascii="Calibri" w:hAnsi="Calibri" w:cs="Calibri"/>
          <w:sz w:val="20"/>
          <w:szCs w:val="20"/>
        </w:rPr>
        <w:t xml:space="preserve">, </w:t>
      </w:r>
      <w:r w:rsidRPr="00EB2D6D">
        <w:rPr>
          <w:rFonts w:ascii="Calibri" w:hAnsi="Calibri" w:cs="Calibri"/>
          <w:sz w:val="20"/>
          <w:szCs w:val="20"/>
        </w:rPr>
        <w:t>David Wrench</w:t>
      </w:r>
      <w:r w:rsidR="00EB2D6D">
        <w:rPr>
          <w:rFonts w:ascii="Calibri" w:hAnsi="Calibri" w:cs="Calibri"/>
          <w:sz w:val="20"/>
          <w:szCs w:val="20"/>
        </w:rPr>
        <w:t xml:space="preserve"> </w:t>
      </w:r>
      <w:r w:rsidR="00764E6F" w:rsidRPr="00EB2D6D">
        <w:rPr>
          <w:rFonts w:ascii="Calibri" w:hAnsi="Calibri" w:cs="Calibri"/>
          <w:sz w:val="20"/>
          <w:szCs w:val="20"/>
        </w:rPr>
        <w:t>9</w:t>
      </w:r>
      <w:r w:rsidRPr="00EB2D6D">
        <w:rPr>
          <w:rFonts w:ascii="Calibri" w:hAnsi="Calibri" w:cs="Calibri"/>
          <w:sz w:val="20"/>
          <w:szCs w:val="20"/>
        </w:rPr>
        <w:t xml:space="preserve">, </w:t>
      </w:r>
      <w:r w:rsidR="004B31CD" w:rsidRPr="00EB2D6D">
        <w:rPr>
          <w:rFonts w:ascii="Calibri" w:hAnsi="Calibri" w:cs="Calibri"/>
          <w:sz w:val="20"/>
          <w:szCs w:val="20"/>
        </w:rPr>
        <w:t>Sharon Barrans</w:t>
      </w:r>
      <w:r w:rsidR="00EB2D6D">
        <w:rPr>
          <w:rFonts w:ascii="Calibri" w:hAnsi="Calibri" w:cs="Calibri"/>
          <w:sz w:val="20"/>
          <w:szCs w:val="20"/>
        </w:rPr>
        <w:t xml:space="preserve"> </w:t>
      </w:r>
      <w:r w:rsidR="004B31CD" w:rsidRPr="00EB2D6D">
        <w:rPr>
          <w:rFonts w:ascii="Calibri" w:hAnsi="Calibri" w:cs="Calibri"/>
          <w:sz w:val="20"/>
          <w:szCs w:val="20"/>
        </w:rPr>
        <w:t xml:space="preserve">10, </w:t>
      </w:r>
      <w:r w:rsidR="004B6FEF" w:rsidRPr="00EB2D6D">
        <w:rPr>
          <w:rFonts w:ascii="Calibri" w:hAnsi="Calibri" w:cs="Calibri"/>
          <w:sz w:val="20"/>
          <w:szCs w:val="20"/>
        </w:rPr>
        <w:t>Caroline S. Hirst</w:t>
      </w:r>
      <w:r w:rsidR="00EB2D6D">
        <w:rPr>
          <w:rFonts w:ascii="Calibri" w:hAnsi="Calibri" w:cs="Calibri"/>
          <w:sz w:val="20"/>
          <w:szCs w:val="20"/>
        </w:rPr>
        <w:t xml:space="preserve"> </w:t>
      </w:r>
      <w:r w:rsidR="004B6FEF" w:rsidRPr="00EB2D6D">
        <w:rPr>
          <w:rFonts w:ascii="Calibri" w:hAnsi="Calibri" w:cs="Calibri"/>
          <w:sz w:val="20"/>
          <w:szCs w:val="20"/>
        </w:rPr>
        <w:t>1</w:t>
      </w:r>
      <w:r w:rsidR="004B31CD" w:rsidRPr="00EB2D6D">
        <w:rPr>
          <w:rFonts w:ascii="Calibri" w:hAnsi="Calibri" w:cs="Calibri"/>
          <w:sz w:val="20"/>
          <w:szCs w:val="20"/>
        </w:rPr>
        <w:t>1</w:t>
      </w:r>
      <w:r w:rsidR="004B6FEF" w:rsidRPr="00EB2D6D">
        <w:rPr>
          <w:rFonts w:ascii="Calibri" w:hAnsi="Calibri" w:cs="Calibri"/>
          <w:sz w:val="20"/>
          <w:szCs w:val="20"/>
        </w:rPr>
        <w:t xml:space="preserve">, </w:t>
      </w:r>
      <w:r w:rsidR="00D749EC" w:rsidRPr="00EB2D6D">
        <w:rPr>
          <w:rFonts w:ascii="Calibri" w:hAnsi="Calibri" w:cs="Calibri"/>
          <w:sz w:val="20"/>
          <w:szCs w:val="20"/>
        </w:rPr>
        <w:t>Anesh Panchal</w:t>
      </w:r>
      <w:r w:rsidR="00EB2D6D">
        <w:rPr>
          <w:rFonts w:ascii="Calibri" w:hAnsi="Calibri" w:cs="Calibri"/>
          <w:sz w:val="20"/>
          <w:szCs w:val="20"/>
        </w:rPr>
        <w:t xml:space="preserve"> </w:t>
      </w:r>
      <w:r w:rsidR="00D749EC" w:rsidRPr="00EB2D6D">
        <w:rPr>
          <w:rFonts w:ascii="Calibri" w:hAnsi="Calibri" w:cs="Calibri"/>
          <w:sz w:val="20"/>
          <w:szCs w:val="20"/>
        </w:rPr>
        <w:t xml:space="preserve">2, </w:t>
      </w:r>
      <w:r w:rsidR="004B6FEF" w:rsidRPr="00EB2D6D">
        <w:rPr>
          <w:rFonts w:ascii="Calibri" w:hAnsi="Calibri" w:cs="Calibri"/>
          <w:sz w:val="20"/>
          <w:szCs w:val="20"/>
        </w:rPr>
        <w:t>Martine P. Roudier</w:t>
      </w:r>
      <w:r w:rsidR="00EB2D6D">
        <w:rPr>
          <w:rFonts w:ascii="Calibri" w:hAnsi="Calibri" w:cs="Calibri"/>
          <w:sz w:val="20"/>
          <w:szCs w:val="20"/>
        </w:rPr>
        <w:t xml:space="preserve"> </w:t>
      </w:r>
      <w:r w:rsidR="00F72411" w:rsidRPr="00EB2D6D">
        <w:rPr>
          <w:rFonts w:ascii="Calibri" w:hAnsi="Calibri" w:cs="Calibri"/>
          <w:sz w:val="20"/>
          <w:szCs w:val="20"/>
        </w:rPr>
        <w:t>1</w:t>
      </w:r>
      <w:r w:rsidR="004B31CD" w:rsidRPr="00EB2D6D">
        <w:rPr>
          <w:rFonts w:ascii="Calibri" w:hAnsi="Calibri" w:cs="Calibri"/>
          <w:sz w:val="20"/>
          <w:szCs w:val="20"/>
        </w:rPr>
        <w:t>1</w:t>
      </w:r>
      <w:r w:rsidR="004B6FEF" w:rsidRPr="00EB2D6D">
        <w:rPr>
          <w:rFonts w:ascii="Calibri" w:hAnsi="Calibri" w:cs="Calibri"/>
          <w:sz w:val="20"/>
          <w:szCs w:val="20"/>
        </w:rPr>
        <w:t>, Elizabeth A. Harrington</w:t>
      </w:r>
      <w:r w:rsidR="00EB2D6D">
        <w:rPr>
          <w:rFonts w:ascii="Calibri" w:hAnsi="Calibri" w:cs="Calibri"/>
          <w:sz w:val="20"/>
          <w:szCs w:val="20"/>
        </w:rPr>
        <w:t xml:space="preserve"> </w:t>
      </w:r>
      <w:r w:rsidR="00F72411" w:rsidRPr="00EB2D6D">
        <w:rPr>
          <w:rFonts w:ascii="Calibri" w:hAnsi="Calibri" w:cs="Calibri"/>
          <w:sz w:val="20"/>
          <w:szCs w:val="20"/>
        </w:rPr>
        <w:t>1</w:t>
      </w:r>
      <w:r w:rsidR="004B31CD" w:rsidRPr="00EB2D6D">
        <w:rPr>
          <w:rFonts w:ascii="Calibri" w:hAnsi="Calibri" w:cs="Calibri"/>
          <w:sz w:val="20"/>
          <w:szCs w:val="20"/>
        </w:rPr>
        <w:t>1</w:t>
      </w:r>
      <w:r w:rsidR="00F72411" w:rsidRPr="00EB2D6D">
        <w:rPr>
          <w:rFonts w:ascii="Calibri" w:hAnsi="Calibri" w:cs="Calibri"/>
          <w:sz w:val="20"/>
          <w:szCs w:val="20"/>
        </w:rPr>
        <w:t xml:space="preserve">, </w:t>
      </w:r>
      <w:r w:rsidRPr="00EB2D6D">
        <w:rPr>
          <w:rFonts w:ascii="Calibri" w:hAnsi="Calibri" w:cs="Calibri"/>
          <w:sz w:val="20"/>
          <w:szCs w:val="20"/>
        </w:rPr>
        <w:t>Andrew Davies</w:t>
      </w:r>
      <w:r w:rsidR="00EB2D6D">
        <w:rPr>
          <w:rFonts w:ascii="Calibri" w:hAnsi="Calibri" w:cs="Calibri"/>
          <w:sz w:val="20"/>
          <w:szCs w:val="20"/>
        </w:rPr>
        <w:t xml:space="preserve"> </w:t>
      </w:r>
      <w:r w:rsidR="00764E6F" w:rsidRPr="00EB2D6D">
        <w:rPr>
          <w:rFonts w:ascii="Calibri" w:hAnsi="Calibri" w:cs="Calibri"/>
          <w:sz w:val="20"/>
          <w:szCs w:val="20"/>
        </w:rPr>
        <w:t>1</w:t>
      </w:r>
      <w:r w:rsidR="004B31CD" w:rsidRPr="00EB2D6D">
        <w:rPr>
          <w:rFonts w:ascii="Calibri" w:hAnsi="Calibri" w:cs="Calibri"/>
          <w:sz w:val="20"/>
          <w:szCs w:val="20"/>
        </w:rPr>
        <w:t>2</w:t>
      </w:r>
      <w:r w:rsidRPr="00EB2D6D">
        <w:rPr>
          <w:rFonts w:ascii="Calibri" w:hAnsi="Calibri" w:cs="Calibri"/>
          <w:sz w:val="20"/>
          <w:szCs w:val="20"/>
        </w:rPr>
        <w:t>,</w:t>
      </w:r>
      <w:r w:rsidR="00C26531" w:rsidRPr="00EB2D6D">
        <w:rPr>
          <w:rFonts w:ascii="Calibri" w:hAnsi="Calibri" w:cs="Calibri"/>
          <w:sz w:val="20"/>
          <w:szCs w:val="20"/>
        </w:rPr>
        <w:t xml:space="preserve"> </w:t>
      </w:r>
      <w:r w:rsidRPr="00EB2D6D">
        <w:rPr>
          <w:rFonts w:ascii="Calibri" w:hAnsi="Calibri" w:cs="Calibri"/>
          <w:sz w:val="20"/>
          <w:szCs w:val="20"/>
        </w:rPr>
        <w:t>Graham P. Collins</w:t>
      </w:r>
      <w:r w:rsidR="00EB2D6D">
        <w:rPr>
          <w:rFonts w:ascii="Calibri" w:hAnsi="Calibri" w:cs="Calibri"/>
          <w:sz w:val="20"/>
          <w:szCs w:val="20"/>
        </w:rPr>
        <w:t xml:space="preserve"> </w:t>
      </w:r>
      <w:r w:rsidRPr="00EB2D6D">
        <w:rPr>
          <w:rFonts w:ascii="Calibri" w:hAnsi="Calibri" w:cs="Calibri"/>
          <w:sz w:val="20"/>
          <w:szCs w:val="20"/>
        </w:rPr>
        <w:t>1</w:t>
      </w:r>
      <w:r w:rsidR="00A016E1">
        <w:rPr>
          <w:rFonts w:ascii="Calibri" w:hAnsi="Calibri" w:cs="Calibri"/>
          <w:sz w:val="20"/>
          <w:szCs w:val="20"/>
        </w:rPr>
        <w:t>.</w:t>
      </w:r>
    </w:p>
    <w:p w14:paraId="6A894886" w14:textId="77777777" w:rsidR="00B16B37" w:rsidRPr="003C68F0" w:rsidRDefault="00B16B37" w:rsidP="00323494">
      <w:pPr>
        <w:spacing w:after="75" w:line="360" w:lineRule="auto"/>
        <w:rPr>
          <w:rFonts w:ascii="Calibri" w:hAnsi="Calibri" w:cs="Calibri"/>
          <w:sz w:val="20"/>
          <w:szCs w:val="20"/>
        </w:rPr>
      </w:pPr>
    </w:p>
    <w:p w14:paraId="155744F7" w14:textId="77777777" w:rsidR="00323494" w:rsidRPr="003C68F0" w:rsidRDefault="00323494" w:rsidP="00323494">
      <w:pPr>
        <w:spacing w:after="75" w:line="360" w:lineRule="auto"/>
        <w:rPr>
          <w:rFonts w:ascii="Calibri" w:hAnsi="Calibri" w:cs="Calibri"/>
          <w:sz w:val="20"/>
          <w:szCs w:val="20"/>
        </w:rPr>
      </w:pPr>
      <w:r w:rsidRPr="003C68F0">
        <w:rPr>
          <w:rFonts w:ascii="Calibri" w:hAnsi="Calibri" w:cs="Calibri"/>
          <w:sz w:val="20"/>
          <w:szCs w:val="20"/>
        </w:rPr>
        <w:t xml:space="preserve">1. Department of Haematology, Oxford University Hospitals NHS Foundation Trust, Churchill Hospital, Oxford, OX3 7EJ, UK. </w:t>
      </w:r>
    </w:p>
    <w:p w14:paraId="53C2C370" w14:textId="77777777" w:rsidR="00764E6F" w:rsidRPr="003C68F0" w:rsidRDefault="00323494" w:rsidP="00764E6F">
      <w:pPr>
        <w:spacing w:after="75" w:line="360" w:lineRule="auto"/>
        <w:rPr>
          <w:rFonts w:ascii="Calibri" w:hAnsi="Calibri" w:cs="Calibri"/>
          <w:sz w:val="20"/>
          <w:szCs w:val="20"/>
        </w:rPr>
      </w:pPr>
      <w:r w:rsidRPr="003C68F0">
        <w:rPr>
          <w:rFonts w:ascii="Calibri" w:hAnsi="Calibri" w:cs="Calibri"/>
          <w:sz w:val="20"/>
          <w:szCs w:val="20"/>
        </w:rPr>
        <w:t xml:space="preserve">2. Cancer Research UK Clinical Trials Unit, University of Birmingham. </w:t>
      </w:r>
    </w:p>
    <w:p w14:paraId="4FC22A75" w14:textId="0826CE3E" w:rsidR="00764E6F" w:rsidRPr="003C68F0" w:rsidRDefault="00323494" w:rsidP="00764E6F">
      <w:pPr>
        <w:spacing w:after="75" w:line="360" w:lineRule="auto"/>
        <w:rPr>
          <w:rFonts w:ascii="Calibri" w:hAnsi="Calibri" w:cs="Calibri"/>
          <w:sz w:val="20"/>
          <w:szCs w:val="20"/>
        </w:rPr>
      </w:pPr>
      <w:r w:rsidRPr="003C68F0">
        <w:rPr>
          <w:rFonts w:ascii="Calibri" w:hAnsi="Calibri" w:cs="Calibri"/>
          <w:sz w:val="20"/>
          <w:szCs w:val="20"/>
        </w:rPr>
        <w:t xml:space="preserve">3. </w:t>
      </w:r>
      <w:r w:rsidR="00764E6F" w:rsidRPr="003C68F0">
        <w:rPr>
          <w:rFonts w:ascii="Calibri" w:hAnsi="Calibri" w:cs="Calibri"/>
          <w:sz w:val="20"/>
          <w:szCs w:val="20"/>
        </w:rPr>
        <w:t xml:space="preserve">Department of Cellular Pathology, Oxford University Hospitals NHS Foundation Trust, John Radcliffe Hospital, Oxford, OX3 9DU, UK. </w:t>
      </w:r>
    </w:p>
    <w:p w14:paraId="4A8D64D4" w14:textId="1DC417B3" w:rsidR="00323494" w:rsidRPr="003C68F0" w:rsidRDefault="00764E6F" w:rsidP="00323494">
      <w:pPr>
        <w:spacing w:after="75" w:line="360" w:lineRule="auto"/>
        <w:rPr>
          <w:rFonts w:ascii="Calibri" w:hAnsi="Calibri" w:cs="Calibri"/>
          <w:sz w:val="20"/>
          <w:szCs w:val="20"/>
        </w:rPr>
      </w:pPr>
      <w:r w:rsidRPr="003C68F0">
        <w:rPr>
          <w:rFonts w:ascii="Calibri" w:hAnsi="Calibri" w:cs="Calibri"/>
          <w:sz w:val="20"/>
          <w:szCs w:val="20"/>
        </w:rPr>
        <w:t xml:space="preserve">4. </w:t>
      </w:r>
      <w:r w:rsidR="00323494" w:rsidRPr="003C68F0">
        <w:rPr>
          <w:rFonts w:ascii="Calibri" w:hAnsi="Calibri" w:cs="Calibri"/>
          <w:sz w:val="20"/>
          <w:szCs w:val="20"/>
        </w:rPr>
        <w:t xml:space="preserve">Department of Medical Oncology, The Christie Hospital NHS Trust, Wimslow Road, Manchester, M20 4BX, UK. </w:t>
      </w:r>
    </w:p>
    <w:p w14:paraId="2D61EBE3" w14:textId="25708CAF" w:rsidR="00323494" w:rsidRPr="003C68F0" w:rsidRDefault="00764E6F" w:rsidP="00323494">
      <w:pPr>
        <w:spacing w:after="75" w:line="360" w:lineRule="auto"/>
        <w:rPr>
          <w:rFonts w:ascii="Calibri" w:hAnsi="Calibri" w:cs="Calibri"/>
          <w:sz w:val="20"/>
          <w:szCs w:val="20"/>
        </w:rPr>
      </w:pPr>
      <w:r w:rsidRPr="003C68F0">
        <w:rPr>
          <w:rFonts w:ascii="Calibri" w:hAnsi="Calibri" w:cs="Calibri"/>
          <w:sz w:val="20"/>
          <w:szCs w:val="20"/>
        </w:rPr>
        <w:t xml:space="preserve">5. </w:t>
      </w:r>
      <w:r w:rsidR="00323494" w:rsidRPr="003C68F0">
        <w:rPr>
          <w:rFonts w:ascii="Calibri" w:hAnsi="Calibri" w:cs="Calibri"/>
          <w:sz w:val="20"/>
          <w:szCs w:val="20"/>
        </w:rPr>
        <w:t xml:space="preserve">Royal Liverpool and Broadgreen University Hospitals NHS Trust, Prescot Street, Liverpool, Merseyside L7 8XP, UK. </w:t>
      </w:r>
    </w:p>
    <w:p w14:paraId="3B40BEC0" w14:textId="3367E360" w:rsidR="00323494" w:rsidRPr="003C68F0" w:rsidRDefault="00764E6F" w:rsidP="00323494">
      <w:pPr>
        <w:spacing w:after="75" w:line="360" w:lineRule="auto"/>
        <w:rPr>
          <w:rFonts w:ascii="Calibri" w:hAnsi="Calibri" w:cs="Calibri"/>
          <w:sz w:val="20"/>
          <w:szCs w:val="20"/>
        </w:rPr>
      </w:pPr>
      <w:r w:rsidRPr="003C68F0">
        <w:rPr>
          <w:rFonts w:ascii="Calibri" w:hAnsi="Calibri" w:cs="Calibri"/>
          <w:sz w:val="20"/>
          <w:szCs w:val="20"/>
        </w:rPr>
        <w:t>6</w:t>
      </w:r>
      <w:r w:rsidR="00323494" w:rsidRPr="003C68F0">
        <w:rPr>
          <w:rFonts w:ascii="Calibri" w:hAnsi="Calibri" w:cs="Calibri"/>
          <w:sz w:val="20"/>
          <w:szCs w:val="20"/>
        </w:rPr>
        <w:t xml:space="preserve">. </w:t>
      </w:r>
      <w:r w:rsidR="00A72208" w:rsidRPr="003C68F0">
        <w:rPr>
          <w:rFonts w:ascii="Calibri" w:hAnsi="Calibri" w:cs="Calibri"/>
          <w:sz w:val="20"/>
          <w:szCs w:val="20"/>
        </w:rPr>
        <w:t>University of Plymouth Medical School</w:t>
      </w:r>
      <w:r w:rsidR="00323494" w:rsidRPr="003C68F0">
        <w:rPr>
          <w:rFonts w:ascii="Calibri" w:hAnsi="Calibri" w:cs="Calibri"/>
          <w:sz w:val="20"/>
          <w:szCs w:val="20"/>
        </w:rPr>
        <w:t xml:space="preserve">, Derriford Road, Plymouth, PL6 8DH, UK. </w:t>
      </w:r>
    </w:p>
    <w:p w14:paraId="4FE214CC" w14:textId="67B36C77" w:rsidR="00323494" w:rsidRPr="003C68F0" w:rsidRDefault="00764E6F" w:rsidP="00323494">
      <w:pPr>
        <w:spacing w:after="75" w:line="360" w:lineRule="auto"/>
        <w:rPr>
          <w:rFonts w:ascii="Calibri" w:hAnsi="Calibri" w:cs="Calibri"/>
          <w:sz w:val="20"/>
          <w:szCs w:val="20"/>
        </w:rPr>
      </w:pPr>
      <w:r w:rsidRPr="003C68F0">
        <w:rPr>
          <w:rFonts w:ascii="Calibri" w:hAnsi="Calibri" w:cs="Calibri"/>
          <w:sz w:val="20"/>
          <w:szCs w:val="20"/>
        </w:rPr>
        <w:t>7</w:t>
      </w:r>
      <w:r w:rsidR="00323494" w:rsidRPr="003C68F0">
        <w:rPr>
          <w:rFonts w:ascii="Calibri" w:hAnsi="Calibri" w:cs="Calibri"/>
          <w:sz w:val="20"/>
          <w:szCs w:val="20"/>
        </w:rPr>
        <w:t xml:space="preserve">. Department of Haematology, University College London Hospitals 235 Euston Road, London, NW1 2BU. </w:t>
      </w:r>
    </w:p>
    <w:p w14:paraId="7A99EF04" w14:textId="7D7F7888" w:rsidR="00323494" w:rsidRPr="003C68F0" w:rsidRDefault="00764E6F" w:rsidP="00323494">
      <w:pPr>
        <w:spacing w:after="75" w:line="360" w:lineRule="auto"/>
        <w:rPr>
          <w:rFonts w:ascii="Calibri" w:hAnsi="Calibri" w:cs="Calibri"/>
          <w:sz w:val="20"/>
          <w:szCs w:val="20"/>
        </w:rPr>
      </w:pPr>
      <w:r w:rsidRPr="003C68F0">
        <w:rPr>
          <w:rFonts w:ascii="Calibri" w:hAnsi="Calibri" w:cs="Calibri"/>
          <w:sz w:val="20"/>
          <w:szCs w:val="20"/>
        </w:rPr>
        <w:t>8</w:t>
      </w:r>
      <w:r w:rsidR="00323494" w:rsidRPr="003C68F0">
        <w:rPr>
          <w:rFonts w:ascii="Calibri" w:hAnsi="Calibri" w:cs="Calibri"/>
          <w:sz w:val="20"/>
          <w:szCs w:val="20"/>
        </w:rPr>
        <w:t>.</w:t>
      </w:r>
      <w:r w:rsidR="00323494" w:rsidRPr="003C68F0">
        <w:rPr>
          <w:rStyle w:val="Hyperlink"/>
          <w:rFonts w:ascii="Calibri" w:hAnsi="Calibri" w:cs="Calibri"/>
          <w:sz w:val="20"/>
          <w:szCs w:val="20"/>
        </w:rPr>
        <w:t xml:space="preserve"> </w:t>
      </w:r>
      <w:r w:rsidR="00323494" w:rsidRPr="003C68F0">
        <w:rPr>
          <w:rFonts w:ascii="Calibri" w:hAnsi="Calibri" w:cs="Calibri"/>
          <w:sz w:val="20"/>
          <w:szCs w:val="20"/>
          <w:shd w:val="clear" w:color="auto" w:fill="FFFFFF"/>
        </w:rPr>
        <w:t>Clinical PET Centre</w:t>
      </w:r>
      <w:r w:rsidR="00323494" w:rsidRPr="003C68F0">
        <w:rPr>
          <w:rFonts w:ascii="Calibri" w:hAnsi="Calibri" w:cs="Calibri"/>
          <w:sz w:val="20"/>
          <w:szCs w:val="20"/>
        </w:rPr>
        <w:t xml:space="preserve">, St Thomas’ Hospital, Westminster Bridge Road, London, SE1 7EH. </w:t>
      </w:r>
    </w:p>
    <w:p w14:paraId="3A468AF6" w14:textId="77777777" w:rsidR="004B31CD" w:rsidRPr="003C68F0" w:rsidRDefault="00764E6F" w:rsidP="004B31CD">
      <w:pPr>
        <w:spacing w:after="75" w:line="360" w:lineRule="auto"/>
        <w:rPr>
          <w:rFonts w:ascii="Calibri" w:hAnsi="Calibri" w:cs="Calibri"/>
          <w:color w:val="000000" w:themeColor="text1"/>
          <w:sz w:val="20"/>
          <w:szCs w:val="20"/>
        </w:rPr>
      </w:pPr>
      <w:r w:rsidRPr="003C68F0">
        <w:rPr>
          <w:rFonts w:ascii="Calibri" w:hAnsi="Calibri" w:cs="Calibri"/>
          <w:color w:val="000000" w:themeColor="text1"/>
          <w:sz w:val="20"/>
          <w:szCs w:val="20"/>
        </w:rPr>
        <w:t>9</w:t>
      </w:r>
      <w:r w:rsidR="00323494" w:rsidRPr="003C68F0">
        <w:rPr>
          <w:rFonts w:ascii="Calibri" w:hAnsi="Calibri" w:cs="Calibri"/>
          <w:color w:val="000000" w:themeColor="text1"/>
          <w:sz w:val="20"/>
          <w:szCs w:val="20"/>
        </w:rPr>
        <w:t>. Department of Haematology, Guy’s and St Thomas’ Hospital, Westminster Bridge Road, London, SE1 7EH.</w:t>
      </w:r>
    </w:p>
    <w:p w14:paraId="7BCB43D3" w14:textId="77777777" w:rsidR="003F08EB" w:rsidRDefault="004B31CD" w:rsidP="003F08EB">
      <w:pPr>
        <w:spacing w:after="75" w:line="360" w:lineRule="auto"/>
        <w:rPr>
          <w:rFonts w:ascii="Calibri" w:hAnsi="Calibri" w:cs="Calibri"/>
          <w:color w:val="000000" w:themeColor="text1"/>
          <w:sz w:val="20"/>
          <w:szCs w:val="20"/>
        </w:rPr>
      </w:pPr>
      <w:r w:rsidRPr="003C68F0">
        <w:rPr>
          <w:rFonts w:ascii="Calibri" w:hAnsi="Calibri" w:cs="Calibri"/>
          <w:color w:val="000000" w:themeColor="text1"/>
          <w:sz w:val="20"/>
          <w:szCs w:val="20"/>
        </w:rPr>
        <w:t xml:space="preserve">10. </w:t>
      </w:r>
      <w:r w:rsidRPr="003C68F0">
        <w:rPr>
          <w:rFonts w:ascii="Calibri" w:hAnsi="Calibri" w:cs="Calibri"/>
          <w:sz w:val="20"/>
          <w:szCs w:val="20"/>
        </w:rPr>
        <w:t>St James’ University Hospital, Leeds, United Kingdom</w:t>
      </w:r>
    </w:p>
    <w:p w14:paraId="1EBA9C18" w14:textId="77777777" w:rsidR="003F08EB" w:rsidRDefault="00FD40A5" w:rsidP="003F08EB">
      <w:pPr>
        <w:spacing w:after="75" w:line="360" w:lineRule="auto"/>
        <w:rPr>
          <w:rFonts w:ascii="Calibri" w:hAnsi="Calibri" w:cs="Calibri"/>
          <w:color w:val="000000" w:themeColor="text1"/>
          <w:sz w:val="20"/>
          <w:szCs w:val="20"/>
        </w:rPr>
      </w:pPr>
      <w:r w:rsidRPr="003C68F0">
        <w:rPr>
          <w:rFonts w:ascii="Calibri" w:hAnsi="Calibri" w:cs="Calibri"/>
          <w:color w:val="000000" w:themeColor="text1"/>
          <w:sz w:val="20"/>
          <w:szCs w:val="20"/>
        </w:rPr>
        <w:t xml:space="preserve">11. </w:t>
      </w:r>
      <w:r w:rsidR="003F08EB" w:rsidRPr="003F08EB">
        <w:rPr>
          <w:rFonts w:ascii="Calibri" w:hAnsi="Calibri" w:cs="Segoe UI"/>
          <w:color w:val="212121"/>
          <w:sz w:val="20"/>
          <w:szCs w:val="20"/>
          <w:shd w:val="clear" w:color="auto" w:fill="FFFFFF"/>
        </w:rPr>
        <w:t>Translational Medicine, AstraZeneca Oncology R&amp;D I Research &amp; Early Development</w:t>
      </w:r>
      <w:r w:rsidRPr="003C68F0">
        <w:rPr>
          <w:rFonts w:ascii="Calibri" w:hAnsi="Calibri" w:cs="Calibri"/>
          <w:color w:val="000000" w:themeColor="text1"/>
          <w:sz w:val="20"/>
          <w:szCs w:val="20"/>
        </w:rPr>
        <w:t>, Cambridge, United Kingdom</w:t>
      </w:r>
    </w:p>
    <w:p w14:paraId="2E164F9A" w14:textId="5A2D80FF" w:rsidR="00323494" w:rsidRPr="003F08EB" w:rsidRDefault="00764E6F" w:rsidP="003F08EB">
      <w:pPr>
        <w:spacing w:after="75" w:line="360" w:lineRule="auto"/>
        <w:rPr>
          <w:rFonts w:ascii="Calibri" w:hAnsi="Calibri" w:cs="Calibri"/>
          <w:color w:val="000000" w:themeColor="text1"/>
          <w:sz w:val="20"/>
          <w:szCs w:val="20"/>
        </w:rPr>
      </w:pPr>
      <w:r w:rsidRPr="003C68F0">
        <w:rPr>
          <w:rFonts w:ascii="Calibri" w:hAnsi="Calibri" w:cs="Calibri"/>
          <w:sz w:val="20"/>
          <w:szCs w:val="20"/>
        </w:rPr>
        <w:t>1</w:t>
      </w:r>
      <w:r w:rsidR="004B31CD" w:rsidRPr="003C68F0">
        <w:rPr>
          <w:rFonts w:ascii="Calibri" w:hAnsi="Calibri" w:cs="Calibri"/>
          <w:sz w:val="20"/>
          <w:szCs w:val="20"/>
        </w:rPr>
        <w:t>2</w:t>
      </w:r>
      <w:r w:rsidR="00323494" w:rsidRPr="003C68F0">
        <w:rPr>
          <w:rFonts w:ascii="Calibri" w:hAnsi="Calibri" w:cs="Calibri"/>
          <w:sz w:val="20"/>
          <w:szCs w:val="20"/>
        </w:rPr>
        <w:t>. Cancer Research UK Centre, Cancer Sciences Unit, University of Southampton,</w:t>
      </w:r>
      <w:r w:rsidR="00323494" w:rsidRPr="003C68F0" w:rsidDel="002B2C07">
        <w:rPr>
          <w:rFonts w:ascii="Calibri" w:hAnsi="Calibri" w:cs="Calibri"/>
          <w:sz w:val="20"/>
          <w:szCs w:val="20"/>
        </w:rPr>
        <w:t xml:space="preserve"> </w:t>
      </w:r>
      <w:r w:rsidR="00323494" w:rsidRPr="003C68F0">
        <w:rPr>
          <w:rFonts w:ascii="Calibri" w:hAnsi="Calibri" w:cs="Calibri"/>
          <w:sz w:val="20"/>
          <w:szCs w:val="20"/>
        </w:rPr>
        <w:t xml:space="preserve">Southampton General Hospital, Tremona Road, Southampton, SO16 6YD. </w:t>
      </w:r>
    </w:p>
    <w:p w14:paraId="28F8A116" w14:textId="77777777" w:rsidR="00323494" w:rsidRPr="003C68F0" w:rsidRDefault="00323494" w:rsidP="00323494">
      <w:pPr>
        <w:spacing w:line="360" w:lineRule="auto"/>
        <w:rPr>
          <w:rFonts w:ascii="Calibri" w:hAnsi="Calibri" w:cs="Calibri"/>
          <w:bCs/>
          <w:sz w:val="20"/>
          <w:szCs w:val="20"/>
        </w:rPr>
      </w:pPr>
    </w:p>
    <w:p w14:paraId="6548902C" w14:textId="77777777" w:rsidR="00323494" w:rsidRPr="003C68F0" w:rsidRDefault="00323494" w:rsidP="00323494">
      <w:pPr>
        <w:spacing w:line="360" w:lineRule="auto"/>
        <w:rPr>
          <w:rFonts w:ascii="Calibri" w:hAnsi="Calibri" w:cs="Calibri"/>
          <w:sz w:val="20"/>
          <w:szCs w:val="20"/>
        </w:rPr>
      </w:pPr>
      <w:r w:rsidRPr="003C68F0">
        <w:rPr>
          <w:rFonts w:ascii="Calibri" w:hAnsi="Calibri" w:cs="Calibri"/>
          <w:sz w:val="20"/>
          <w:szCs w:val="20"/>
        </w:rPr>
        <w:t>*Joint first authors. Corresponding author and author responsible for reprint requests: Toby A. Eyre toby.eyre@ouh.nhs.uk Telephone 01865 235886 Fax 01865 235260</w:t>
      </w:r>
    </w:p>
    <w:p w14:paraId="5139AAB3" w14:textId="0C7A7A38" w:rsidR="0082421C" w:rsidRPr="003C68F0" w:rsidRDefault="00323494" w:rsidP="0082421C">
      <w:pPr>
        <w:spacing w:line="360" w:lineRule="auto"/>
        <w:rPr>
          <w:rFonts w:ascii="Calibri" w:hAnsi="Calibri" w:cs="Calibri"/>
          <w:sz w:val="20"/>
          <w:szCs w:val="20"/>
        </w:rPr>
      </w:pPr>
      <w:r w:rsidRPr="003C68F0">
        <w:rPr>
          <w:rFonts w:ascii="Calibri" w:hAnsi="Calibri" w:cs="Calibri"/>
          <w:b/>
          <w:sz w:val="20"/>
          <w:szCs w:val="20"/>
        </w:rPr>
        <w:t>Disclaimers</w:t>
      </w:r>
      <w:r w:rsidRPr="003C68F0">
        <w:rPr>
          <w:rFonts w:ascii="Calibri" w:hAnsi="Calibri" w:cs="Calibri"/>
          <w:sz w:val="20"/>
          <w:szCs w:val="20"/>
        </w:rPr>
        <w:t xml:space="preserve"> </w:t>
      </w:r>
      <w:r w:rsidR="0082421C" w:rsidRPr="003C68F0">
        <w:rPr>
          <w:rFonts w:ascii="Calibri" w:hAnsi="Calibri" w:cs="Calibri"/>
          <w:sz w:val="20"/>
          <w:szCs w:val="20"/>
        </w:rPr>
        <w:t>–</w:t>
      </w:r>
      <w:r w:rsidRPr="003C68F0">
        <w:rPr>
          <w:rFonts w:ascii="Calibri" w:hAnsi="Calibri" w:cs="Calibri"/>
          <w:sz w:val="20"/>
          <w:szCs w:val="20"/>
        </w:rPr>
        <w:t xml:space="preserve"> Nil</w:t>
      </w:r>
    </w:p>
    <w:p w14:paraId="5A137578" w14:textId="77777777" w:rsidR="002F6C55" w:rsidRPr="003C68F0" w:rsidRDefault="002F6C55" w:rsidP="0082421C">
      <w:pPr>
        <w:spacing w:line="360" w:lineRule="auto"/>
        <w:rPr>
          <w:rFonts w:ascii="Calibri" w:hAnsi="Calibri" w:cs="Calibri"/>
          <w:b/>
          <w:sz w:val="20"/>
          <w:szCs w:val="20"/>
        </w:rPr>
      </w:pPr>
    </w:p>
    <w:p w14:paraId="5F81A856" w14:textId="288038E5" w:rsidR="00323494" w:rsidRPr="003C68F0" w:rsidRDefault="00323494" w:rsidP="0082421C">
      <w:pPr>
        <w:spacing w:line="360" w:lineRule="auto"/>
        <w:rPr>
          <w:rFonts w:ascii="Calibri" w:hAnsi="Calibri" w:cs="Calibri"/>
          <w:sz w:val="20"/>
          <w:szCs w:val="20"/>
        </w:rPr>
      </w:pPr>
      <w:r w:rsidRPr="003C68F0">
        <w:rPr>
          <w:rFonts w:ascii="Calibri" w:hAnsi="Calibri" w:cs="Calibri"/>
          <w:b/>
          <w:sz w:val="20"/>
          <w:szCs w:val="20"/>
        </w:rPr>
        <w:lastRenderedPageBreak/>
        <w:t>Conflict of Interest</w:t>
      </w:r>
      <w:r w:rsidRPr="003C68F0">
        <w:rPr>
          <w:rFonts w:ascii="Calibri" w:hAnsi="Calibri" w:cs="Calibri"/>
          <w:sz w:val="20"/>
          <w:szCs w:val="20"/>
        </w:rPr>
        <w:t xml:space="preserve"> </w:t>
      </w:r>
      <w:r w:rsidR="009B1847" w:rsidRPr="003C68F0">
        <w:rPr>
          <w:rFonts w:ascii="Calibri" w:hAnsi="Calibri" w:cs="Calibri"/>
          <w:sz w:val="20"/>
          <w:szCs w:val="20"/>
        </w:rPr>
        <w:t xml:space="preserve">– CH, MR and EH are employees of </w:t>
      </w:r>
      <w:r w:rsidR="005A651E" w:rsidRPr="003C68F0">
        <w:rPr>
          <w:rFonts w:ascii="Calibri" w:hAnsi="Calibri" w:cs="Calibri"/>
          <w:sz w:val="20"/>
          <w:szCs w:val="20"/>
        </w:rPr>
        <w:t>AstraZeneca</w:t>
      </w:r>
      <w:r w:rsidR="009B1847" w:rsidRPr="003C68F0">
        <w:rPr>
          <w:rFonts w:ascii="Calibri" w:hAnsi="Calibri" w:cs="Calibri"/>
          <w:sz w:val="20"/>
          <w:szCs w:val="20"/>
        </w:rPr>
        <w:t xml:space="preserve">. None of the other authors have relevant COIs to declare. </w:t>
      </w:r>
    </w:p>
    <w:p w14:paraId="1EA73FAE" w14:textId="77777777" w:rsidR="009B1847" w:rsidRPr="003C68F0" w:rsidRDefault="009B1847" w:rsidP="00323494">
      <w:pPr>
        <w:rPr>
          <w:rFonts w:ascii="Calibri" w:hAnsi="Calibri" w:cs="Calibri"/>
          <w:sz w:val="20"/>
          <w:szCs w:val="20"/>
          <w:lang w:val="en-US"/>
        </w:rPr>
      </w:pPr>
    </w:p>
    <w:p w14:paraId="0C23CF46" w14:textId="40305A9A" w:rsidR="00323494" w:rsidRPr="003C68F0" w:rsidRDefault="00323494" w:rsidP="00323494">
      <w:pPr>
        <w:spacing w:line="360" w:lineRule="auto"/>
        <w:rPr>
          <w:rFonts w:ascii="Calibri" w:hAnsi="Calibri" w:cs="Calibri"/>
          <w:sz w:val="20"/>
          <w:szCs w:val="20"/>
        </w:rPr>
      </w:pPr>
      <w:r w:rsidRPr="003C68F0">
        <w:rPr>
          <w:rFonts w:ascii="Calibri" w:hAnsi="Calibri" w:cs="Calibri"/>
          <w:b/>
          <w:sz w:val="20"/>
          <w:szCs w:val="20"/>
        </w:rPr>
        <w:t>Role of funding source</w:t>
      </w:r>
      <w:r w:rsidRPr="003C68F0">
        <w:rPr>
          <w:rFonts w:ascii="Calibri" w:hAnsi="Calibri" w:cs="Calibri"/>
          <w:sz w:val="20"/>
          <w:szCs w:val="20"/>
        </w:rPr>
        <w:t xml:space="preserve">: This trial is funded by </w:t>
      </w:r>
      <w:r w:rsidR="005A651E" w:rsidRPr="003C68F0">
        <w:rPr>
          <w:rFonts w:ascii="Calibri" w:hAnsi="Calibri" w:cs="Calibri"/>
          <w:sz w:val="20"/>
          <w:szCs w:val="20"/>
        </w:rPr>
        <w:t>BloodWise</w:t>
      </w:r>
      <w:r w:rsidRPr="003C68F0">
        <w:rPr>
          <w:rFonts w:ascii="Calibri" w:hAnsi="Calibri" w:cs="Calibri"/>
          <w:sz w:val="20"/>
          <w:szCs w:val="20"/>
        </w:rPr>
        <w:t xml:space="preserve"> under the Trials Acceleration Programme (TAP). AstraZeneca provided free of charge Vistusertib under the terms of pa</w:t>
      </w:r>
      <w:r w:rsidR="00B70A75" w:rsidRPr="003C68F0">
        <w:rPr>
          <w:rFonts w:ascii="Calibri" w:hAnsi="Calibri" w:cs="Calibri"/>
          <w:sz w:val="20"/>
          <w:szCs w:val="20"/>
        </w:rPr>
        <w:t>rtnership agreements between</w:t>
      </w:r>
      <w:r w:rsidRPr="003C68F0">
        <w:rPr>
          <w:rFonts w:ascii="Calibri" w:hAnsi="Calibri" w:cs="Calibri"/>
          <w:sz w:val="20"/>
          <w:szCs w:val="20"/>
        </w:rPr>
        <w:t xml:space="preserve"> AstraZeneca and the University of Birmingham as Sponsor. An unrestricted educational grant was provided to support the trial &amp; adjunctive science by AstraZeneca. </w:t>
      </w:r>
    </w:p>
    <w:p w14:paraId="29FB4B30" w14:textId="77777777" w:rsidR="002F6C55" w:rsidRPr="003C68F0" w:rsidRDefault="002F6C55" w:rsidP="00323494">
      <w:pPr>
        <w:spacing w:line="360" w:lineRule="auto"/>
        <w:rPr>
          <w:rFonts w:ascii="Calibri" w:hAnsi="Calibri" w:cs="Calibri"/>
          <w:b/>
          <w:sz w:val="20"/>
          <w:szCs w:val="20"/>
        </w:rPr>
      </w:pPr>
    </w:p>
    <w:p w14:paraId="40605F22" w14:textId="6A34C700" w:rsidR="007C04AC" w:rsidRPr="003C68F0" w:rsidRDefault="00323494" w:rsidP="00323494">
      <w:pPr>
        <w:spacing w:line="360" w:lineRule="auto"/>
        <w:rPr>
          <w:rFonts w:ascii="Calibri" w:hAnsi="Calibri" w:cs="Calibri"/>
          <w:sz w:val="20"/>
          <w:szCs w:val="20"/>
        </w:rPr>
      </w:pPr>
      <w:r w:rsidRPr="003C68F0">
        <w:rPr>
          <w:rFonts w:ascii="Calibri" w:hAnsi="Calibri" w:cs="Calibri"/>
          <w:b/>
          <w:sz w:val="20"/>
          <w:szCs w:val="20"/>
        </w:rPr>
        <w:t>Ethical approval</w:t>
      </w:r>
      <w:r w:rsidRPr="003C68F0">
        <w:rPr>
          <w:rFonts w:ascii="Calibri" w:hAnsi="Calibri" w:cs="Calibri"/>
          <w:sz w:val="20"/>
          <w:szCs w:val="20"/>
        </w:rPr>
        <w:t>: REC number: 10/H0604/85</w:t>
      </w:r>
    </w:p>
    <w:p w14:paraId="18661207" w14:textId="39E9EDD7" w:rsidR="00323494" w:rsidRPr="003C68F0" w:rsidRDefault="00323494" w:rsidP="00323494">
      <w:pPr>
        <w:spacing w:line="360" w:lineRule="auto"/>
        <w:rPr>
          <w:rFonts w:ascii="Calibri" w:hAnsi="Calibri" w:cs="Calibri"/>
          <w:sz w:val="20"/>
          <w:szCs w:val="20"/>
        </w:rPr>
      </w:pPr>
      <w:r w:rsidRPr="003C68F0">
        <w:rPr>
          <w:rFonts w:ascii="Calibri" w:hAnsi="Calibri" w:cs="Calibri"/>
          <w:b/>
          <w:sz w:val="20"/>
          <w:szCs w:val="20"/>
        </w:rPr>
        <w:t>Contributions</w:t>
      </w:r>
      <w:r w:rsidRPr="003C68F0">
        <w:rPr>
          <w:rFonts w:ascii="Calibri" w:hAnsi="Calibri" w:cs="Calibri"/>
          <w:sz w:val="20"/>
          <w:szCs w:val="20"/>
        </w:rPr>
        <w:t xml:space="preserve"> – TE and GC designed the trial. SB </w:t>
      </w:r>
      <w:r w:rsidR="00AD0D40" w:rsidRPr="003C68F0">
        <w:rPr>
          <w:rFonts w:ascii="Calibri" w:hAnsi="Calibri" w:cs="Calibri"/>
          <w:sz w:val="20"/>
          <w:szCs w:val="20"/>
        </w:rPr>
        <w:t xml:space="preserve">and VW </w:t>
      </w:r>
      <w:r w:rsidRPr="003C68F0">
        <w:rPr>
          <w:rFonts w:ascii="Calibri" w:hAnsi="Calibri" w:cs="Calibri"/>
          <w:sz w:val="20"/>
          <w:szCs w:val="20"/>
        </w:rPr>
        <w:t xml:space="preserve">centrally reviewed and interpreted the PET-CT studies. TE wrote the manuscript. GC, TE, CH, KL, KC, SR, AP, AD, DW recruited patients and managed them whilst on study. </w:t>
      </w:r>
      <w:r w:rsidR="00F87789" w:rsidRPr="003C68F0">
        <w:rPr>
          <w:rFonts w:ascii="Calibri" w:hAnsi="Calibri" w:cs="Calibri"/>
          <w:sz w:val="20"/>
          <w:szCs w:val="20"/>
        </w:rPr>
        <w:t xml:space="preserve">ASA, </w:t>
      </w:r>
      <w:r w:rsidRPr="003C68F0">
        <w:rPr>
          <w:rFonts w:ascii="Calibri" w:hAnsi="Calibri" w:cs="Calibri"/>
          <w:sz w:val="20"/>
          <w:szCs w:val="20"/>
        </w:rPr>
        <w:t xml:space="preserve">AP, AH and LH provided expert data management, administrative and statistical input. </w:t>
      </w:r>
      <w:r w:rsidR="00F72411" w:rsidRPr="003C68F0">
        <w:rPr>
          <w:rFonts w:ascii="Calibri" w:hAnsi="Calibri" w:cs="Calibri"/>
          <w:sz w:val="20"/>
          <w:szCs w:val="20"/>
        </w:rPr>
        <w:t xml:space="preserve">EH </w:t>
      </w:r>
      <w:r w:rsidR="00F72411" w:rsidRPr="003C68F0">
        <w:rPr>
          <w:rFonts w:ascii="Calibri" w:hAnsi="Calibri" w:cs="Calibri"/>
          <w:color w:val="212121"/>
          <w:sz w:val="20"/>
          <w:szCs w:val="20"/>
          <w:shd w:val="clear" w:color="auto" w:fill="FFFFFF"/>
        </w:rPr>
        <w:t>designed the PD biomarker strategy, selection of mTORC1 and mTORC2 markers and experimental planning. CH, MR developed the experimental design for pharmacodynamic biomarker analysis and assay optimization</w:t>
      </w:r>
      <w:r w:rsidR="00F72411" w:rsidRPr="003C68F0">
        <w:rPr>
          <w:rFonts w:ascii="Calibri" w:hAnsi="Calibri" w:cs="Calibri"/>
          <w:sz w:val="20"/>
          <w:szCs w:val="20"/>
        </w:rPr>
        <w:t xml:space="preserve">. </w:t>
      </w:r>
      <w:r w:rsidRPr="003C68F0">
        <w:rPr>
          <w:rFonts w:ascii="Calibri" w:hAnsi="Calibri" w:cs="Calibri"/>
          <w:sz w:val="20"/>
          <w:szCs w:val="20"/>
        </w:rPr>
        <w:t>All authors reviewed the final manuscript.</w:t>
      </w:r>
    </w:p>
    <w:p w14:paraId="302386AD" w14:textId="77777777" w:rsidR="004B6FEF" w:rsidRPr="003C68F0" w:rsidRDefault="004B6FEF" w:rsidP="00323494">
      <w:pPr>
        <w:spacing w:line="360" w:lineRule="auto"/>
        <w:rPr>
          <w:rFonts w:ascii="Calibri" w:hAnsi="Calibri" w:cs="Calibri"/>
          <w:sz w:val="20"/>
          <w:szCs w:val="20"/>
        </w:rPr>
      </w:pPr>
    </w:p>
    <w:p w14:paraId="1ECE60B9" w14:textId="01AD6316" w:rsidR="00323494" w:rsidRDefault="00323494" w:rsidP="00323494">
      <w:pPr>
        <w:spacing w:line="360" w:lineRule="auto"/>
        <w:rPr>
          <w:rFonts w:ascii="Calibri" w:hAnsi="Calibri" w:cs="Calibri"/>
          <w:sz w:val="20"/>
          <w:szCs w:val="20"/>
          <w:lang w:val="en-US"/>
        </w:rPr>
      </w:pPr>
      <w:r w:rsidRPr="003C68F0">
        <w:rPr>
          <w:rFonts w:ascii="Calibri" w:hAnsi="Calibri" w:cs="Calibri"/>
          <w:b/>
          <w:sz w:val="20"/>
          <w:szCs w:val="20"/>
        </w:rPr>
        <w:t>Acknowledgements</w:t>
      </w:r>
      <w:r w:rsidRPr="003C68F0">
        <w:rPr>
          <w:rFonts w:ascii="Calibri" w:hAnsi="Calibri" w:cs="Calibri"/>
          <w:sz w:val="20"/>
          <w:szCs w:val="20"/>
        </w:rPr>
        <w:t xml:space="preserve"> – The team would like to thank all the patients involved in the study and their families. TE acknowledges support from the Julian Starmer-Smith lymphoma fund. GC acknowledges support from the </w:t>
      </w:r>
      <w:r w:rsidR="001A3EF9" w:rsidRPr="003C68F0">
        <w:rPr>
          <w:rFonts w:ascii="Calibri" w:hAnsi="Calibri" w:cs="Calibri"/>
          <w:sz w:val="20"/>
          <w:szCs w:val="20"/>
        </w:rPr>
        <w:t xml:space="preserve">Haematology and Stem cells </w:t>
      </w:r>
      <w:r w:rsidRPr="003C68F0">
        <w:rPr>
          <w:rFonts w:ascii="Calibri" w:hAnsi="Calibri" w:cs="Calibri"/>
          <w:sz w:val="20"/>
          <w:szCs w:val="20"/>
        </w:rPr>
        <w:t>theme of the National Institute for Health Research (NIHR) Oxford Biomedical Research Centre Programme and the CRUK Experimental Cancer Medicines Centre (ECMC)</w:t>
      </w:r>
      <w:r w:rsidRPr="003C68F0">
        <w:rPr>
          <w:rFonts w:ascii="Calibri" w:hAnsi="Calibri" w:cs="Calibri"/>
          <w:color w:val="212121"/>
          <w:sz w:val="20"/>
          <w:szCs w:val="20"/>
          <w:shd w:val="clear" w:color="auto" w:fill="FFFFFF"/>
        </w:rPr>
        <w:t>.</w:t>
      </w:r>
      <w:r w:rsidRPr="003C68F0">
        <w:rPr>
          <w:rStyle w:val="apple-converted-space"/>
          <w:rFonts w:ascii="Calibri" w:hAnsi="Calibri" w:cs="Calibri"/>
          <w:color w:val="212121"/>
          <w:sz w:val="20"/>
          <w:szCs w:val="20"/>
          <w:shd w:val="clear" w:color="auto" w:fill="FFFFFF"/>
        </w:rPr>
        <w:t> </w:t>
      </w:r>
      <w:r w:rsidRPr="003C68F0">
        <w:rPr>
          <w:rFonts w:ascii="Calibri" w:hAnsi="Calibri" w:cs="Calibri"/>
          <w:sz w:val="20"/>
          <w:szCs w:val="20"/>
        </w:rPr>
        <w:t>The views expressed are those of the authors and not necessarily those of the funding bodies. The trial was supported by the Trials Acceleration Programme (TAP) in affiliation with Blood</w:t>
      </w:r>
      <w:r w:rsidR="007C04AC" w:rsidRPr="003C68F0">
        <w:rPr>
          <w:rFonts w:ascii="Calibri" w:hAnsi="Calibri" w:cs="Calibri"/>
          <w:sz w:val="20"/>
          <w:szCs w:val="20"/>
        </w:rPr>
        <w:t>W</w:t>
      </w:r>
      <w:r w:rsidRPr="003C68F0">
        <w:rPr>
          <w:rFonts w:ascii="Calibri" w:hAnsi="Calibri" w:cs="Calibri"/>
          <w:sz w:val="20"/>
          <w:szCs w:val="20"/>
        </w:rPr>
        <w:t xml:space="preserve">ise. </w:t>
      </w:r>
      <w:r w:rsidRPr="003C68F0">
        <w:rPr>
          <w:rFonts w:ascii="Calibri" w:hAnsi="Calibri" w:cs="Calibri"/>
          <w:sz w:val="20"/>
          <w:szCs w:val="20"/>
          <w:lang w:val="en-US"/>
        </w:rPr>
        <w:t>An unrestricted educational grant was provided to support the trial and adjunctive science by AstraZeneca. AZD2014 (Vistusertib) was provided free of charge by AstraZeneca.</w:t>
      </w:r>
    </w:p>
    <w:p w14:paraId="73BEECF3" w14:textId="77777777" w:rsidR="00E34E07" w:rsidRDefault="00E34E07" w:rsidP="00323494">
      <w:pPr>
        <w:spacing w:line="360" w:lineRule="auto"/>
        <w:rPr>
          <w:rFonts w:ascii="Calibri" w:hAnsi="Calibri" w:cs="Calibri"/>
          <w:sz w:val="20"/>
          <w:szCs w:val="20"/>
          <w:lang w:val="en-US"/>
        </w:rPr>
      </w:pPr>
    </w:p>
    <w:p w14:paraId="45786115" w14:textId="6E80FD5B" w:rsidR="002F6C55" w:rsidRPr="003C68F0" w:rsidRDefault="00E34E07" w:rsidP="00323494">
      <w:pPr>
        <w:spacing w:line="360" w:lineRule="auto"/>
        <w:rPr>
          <w:rFonts w:ascii="Calibri" w:hAnsi="Calibri" w:cs="Calibri"/>
          <w:sz w:val="20"/>
          <w:szCs w:val="20"/>
        </w:rPr>
      </w:pPr>
      <w:r w:rsidRPr="003C68F0">
        <w:rPr>
          <w:rFonts w:ascii="Calibri" w:hAnsi="Calibri" w:cs="Calibri"/>
          <w:b/>
          <w:sz w:val="20"/>
          <w:szCs w:val="20"/>
        </w:rPr>
        <w:t>Keywords</w:t>
      </w:r>
      <w:r w:rsidRPr="003C68F0">
        <w:rPr>
          <w:rFonts w:ascii="Calibri" w:hAnsi="Calibri" w:cs="Calibri"/>
          <w:sz w:val="20"/>
          <w:szCs w:val="20"/>
        </w:rPr>
        <w:t xml:space="preserve"> AZD2014, Vistusertib, DLBCL, mTORC1, mTORC2</w:t>
      </w:r>
    </w:p>
    <w:p w14:paraId="798E33DC" w14:textId="589AC52F" w:rsidR="002F6C55" w:rsidRPr="003C68F0" w:rsidRDefault="002F6C55" w:rsidP="009117A6">
      <w:pPr>
        <w:pStyle w:val="NormalWeb"/>
        <w:spacing w:line="360" w:lineRule="auto"/>
        <w:rPr>
          <w:rFonts w:ascii="Calibri" w:hAnsi="Calibri" w:cs="Calibri"/>
          <w:b/>
          <w:sz w:val="20"/>
          <w:szCs w:val="20"/>
        </w:rPr>
      </w:pPr>
      <w:r w:rsidRPr="003C68F0">
        <w:rPr>
          <w:rFonts w:ascii="Calibri" w:hAnsi="Calibri" w:cs="Calibri"/>
          <w:b/>
          <w:sz w:val="20"/>
          <w:szCs w:val="20"/>
        </w:rPr>
        <w:t xml:space="preserve">Word count of main manuscript: </w:t>
      </w:r>
      <w:r w:rsidR="009117A6">
        <w:rPr>
          <w:rFonts w:ascii="Calibri" w:hAnsi="Calibri" w:cs="Calibri"/>
          <w:b/>
          <w:sz w:val="20"/>
          <w:szCs w:val="20"/>
        </w:rPr>
        <w:t>words 27</w:t>
      </w:r>
      <w:r w:rsidR="00B22123">
        <w:rPr>
          <w:rFonts w:ascii="Calibri" w:hAnsi="Calibri" w:cs="Calibri"/>
          <w:b/>
          <w:sz w:val="20"/>
          <w:szCs w:val="20"/>
        </w:rPr>
        <w:t>95</w:t>
      </w:r>
    </w:p>
    <w:p w14:paraId="79BB4A9C" w14:textId="191F9C06" w:rsidR="0084584E" w:rsidRPr="003C68F0" w:rsidRDefault="00E34E07" w:rsidP="00323494">
      <w:pPr>
        <w:pStyle w:val="NormalWeb"/>
        <w:spacing w:line="360" w:lineRule="auto"/>
        <w:rPr>
          <w:rFonts w:ascii="Calibri" w:hAnsi="Calibri" w:cs="Calibri"/>
          <w:b/>
          <w:sz w:val="20"/>
          <w:szCs w:val="20"/>
        </w:rPr>
      </w:pPr>
      <w:r>
        <w:rPr>
          <w:rFonts w:ascii="Calibri" w:hAnsi="Calibri" w:cs="Calibri"/>
          <w:b/>
          <w:sz w:val="20"/>
          <w:szCs w:val="20"/>
        </w:rPr>
        <w:t>ABSTRACT SUMMARY</w:t>
      </w:r>
      <w:r w:rsidR="0084584E" w:rsidRPr="003C68F0">
        <w:rPr>
          <w:rFonts w:ascii="Calibri" w:hAnsi="Calibri" w:cs="Calibri"/>
          <w:b/>
          <w:sz w:val="20"/>
          <w:szCs w:val="20"/>
        </w:rPr>
        <w:t xml:space="preserve"> (</w:t>
      </w:r>
      <w:r w:rsidR="00AA202D" w:rsidRPr="003C68F0">
        <w:rPr>
          <w:rFonts w:ascii="Calibri" w:hAnsi="Calibri" w:cs="Calibri"/>
          <w:b/>
          <w:sz w:val="20"/>
          <w:szCs w:val="20"/>
        </w:rPr>
        <w:t>2</w:t>
      </w:r>
      <w:r w:rsidR="00D040F2">
        <w:rPr>
          <w:rFonts w:ascii="Calibri" w:hAnsi="Calibri" w:cs="Calibri"/>
          <w:b/>
          <w:sz w:val="20"/>
          <w:szCs w:val="20"/>
        </w:rPr>
        <w:t>9</w:t>
      </w:r>
      <w:r w:rsidR="00B23522">
        <w:rPr>
          <w:rFonts w:ascii="Calibri" w:hAnsi="Calibri" w:cs="Calibri"/>
          <w:b/>
          <w:sz w:val="20"/>
          <w:szCs w:val="20"/>
        </w:rPr>
        <w:t>0</w:t>
      </w:r>
      <w:r w:rsidR="0084584E" w:rsidRPr="003C68F0">
        <w:rPr>
          <w:rFonts w:ascii="Calibri" w:hAnsi="Calibri" w:cs="Calibri"/>
          <w:b/>
          <w:sz w:val="20"/>
          <w:szCs w:val="20"/>
        </w:rPr>
        <w:t xml:space="preserve"> words)</w:t>
      </w:r>
    </w:p>
    <w:p w14:paraId="65EEC06C" w14:textId="1DAE5DBA" w:rsidR="00B604FB" w:rsidRPr="003C68F0" w:rsidRDefault="00E104A9" w:rsidP="00323494">
      <w:pPr>
        <w:pStyle w:val="NormalWeb"/>
        <w:spacing w:line="360" w:lineRule="auto"/>
        <w:rPr>
          <w:rFonts w:ascii="Calibri" w:hAnsi="Calibri" w:cs="Calibri"/>
          <w:color w:val="000000" w:themeColor="text1"/>
          <w:sz w:val="20"/>
          <w:szCs w:val="20"/>
        </w:rPr>
      </w:pPr>
      <w:r w:rsidRPr="003C68F0">
        <w:rPr>
          <w:rFonts w:ascii="Calibri" w:hAnsi="Calibri" w:cs="Calibri"/>
          <w:sz w:val="20"/>
          <w:szCs w:val="20"/>
        </w:rPr>
        <w:t xml:space="preserve">Patients with </w:t>
      </w:r>
      <w:r w:rsidR="000C0422" w:rsidRPr="003C68F0">
        <w:rPr>
          <w:rFonts w:ascii="Calibri" w:hAnsi="Calibri" w:cs="Calibri"/>
          <w:sz w:val="20"/>
          <w:szCs w:val="20"/>
        </w:rPr>
        <w:t>relapsed or</w:t>
      </w:r>
      <w:r w:rsidR="00AA202D" w:rsidRPr="003C68F0">
        <w:rPr>
          <w:rFonts w:ascii="Calibri" w:hAnsi="Calibri" w:cs="Calibri"/>
          <w:sz w:val="20"/>
          <w:szCs w:val="20"/>
        </w:rPr>
        <w:t xml:space="preserve"> </w:t>
      </w:r>
      <w:r w:rsidR="00EB0779" w:rsidRPr="003C68F0">
        <w:rPr>
          <w:rFonts w:ascii="Calibri" w:hAnsi="Calibri" w:cs="Calibri"/>
          <w:sz w:val="20"/>
          <w:szCs w:val="20"/>
        </w:rPr>
        <w:t>r</w:t>
      </w:r>
      <w:r w:rsidRPr="003C68F0">
        <w:rPr>
          <w:rFonts w:ascii="Calibri" w:hAnsi="Calibri" w:cs="Calibri"/>
          <w:sz w:val="20"/>
          <w:szCs w:val="20"/>
        </w:rPr>
        <w:t>efractory</w:t>
      </w:r>
      <w:r w:rsidR="0084584E" w:rsidRPr="003C68F0">
        <w:rPr>
          <w:rFonts w:ascii="Calibri" w:hAnsi="Calibri" w:cs="Calibri"/>
          <w:sz w:val="20"/>
          <w:szCs w:val="20"/>
        </w:rPr>
        <w:t xml:space="preserve"> </w:t>
      </w:r>
      <w:r w:rsidR="00AA202D" w:rsidRPr="003C68F0">
        <w:rPr>
          <w:rFonts w:ascii="Calibri" w:hAnsi="Calibri" w:cs="Calibri"/>
          <w:sz w:val="20"/>
          <w:szCs w:val="20"/>
        </w:rPr>
        <w:t>diffuse large B cell lymphoma (</w:t>
      </w:r>
      <w:r w:rsidRPr="003C68F0">
        <w:rPr>
          <w:rFonts w:ascii="Calibri" w:hAnsi="Calibri" w:cs="Calibri"/>
          <w:sz w:val="20"/>
          <w:szCs w:val="20"/>
        </w:rPr>
        <w:t>DLBCL</w:t>
      </w:r>
      <w:r w:rsidR="00AA202D" w:rsidRPr="003C68F0">
        <w:rPr>
          <w:rFonts w:ascii="Calibri" w:hAnsi="Calibri" w:cs="Calibri"/>
          <w:sz w:val="20"/>
          <w:szCs w:val="20"/>
        </w:rPr>
        <w:t>)</w:t>
      </w:r>
      <w:r w:rsidR="00B065BA" w:rsidRPr="003C68F0">
        <w:rPr>
          <w:rFonts w:ascii="Calibri" w:hAnsi="Calibri" w:cs="Calibri"/>
          <w:sz w:val="20"/>
          <w:szCs w:val="20"/>
        </w:rPr>
        <w:t xml:space="preserve"> who are</w:t>
      </w:r>
      <w:r w:rsidRPr="003C68F0">
        <w:rPr>
          <w:rFonts w:ascii="Calibri" w:hAnsi="Calibri" w:cs="Calibri"/>
          <w:sz w:val="20"/>
          <w:szCs w:val="20"/>
        </w:rPr>
        <w:t xml:space="preserve"> unfit for </w:t>
      </w:r>
      <w:r w:rsidR="00372CB0" w:rsidRPr="003C68F0">
        <w:rPr>
          <w:rFonts w:ascii="Calibri" w:hAnsi="Calibri" w:cs="Calibri"/>
          <w:sz w:val="20"/>
          <w:szCs w:val="20"/>
        </w:rPr>
        <w:t xml:space="preserve">or relapsed post </w:t>
      </w:r>
      <w:r w:rsidRPr="003C68F0">
        <w:rPr>
          <w:rFonts w:ascii="Calibri" w:hAnsi="Calibri" w:cs="Calibri"/>
          <w:sz w:val="20"/>
          <w:szCs w:val="20"/>
        </w:rPr>
        <w:t>autologous stem</w:t>
      </w:r>
      <w:r w:rsidR="00372CB0" w:rsidRPr="003C68F0">
        <w:rPr>
          <w:rFonts w:ascii="Calibri" w:hAnsi="Calibri" w:cs="Calibri"/>
          <w:sz w:val="20"/>
          <w:szCs w:val="20"/>
        </w:rPr>
        <w:t>-</w:t>
      </w:r>
      <w:r w:rsidRPr="003C68F0">
        <w:rPr>
          <w:rFonts w:ascii="Calibri" w:hAnsi="Calibri" w:cs="Calibri"/>
          <w:sz w:val="20"/>
          <w:szCs w:val="20"/>
        </w:rPr>
        <w:t xml:space="preserve">cell transplantation have poor outcomes. </w:t>
      </w:r>
      <w:r w:rsidR="00AA202D" w:rsidRPr="003C68F0">
        <w:rPr>
          <w:rFonts w:ascii="Calibri" w:hAnsi="Calibri" w:cs="Calibri"/>
          <w:sz w:val="20"/>
          <w:szCs w:val="20"/>
        </w:rPr>
        <w:t xml:space="preserve">Historically, </w:t>
      </w:r>
      <w:r w:rsidRPr="003C68F0">
        <w:rPr>
          <w:rFonts w:ascii="Calibri" w:hAnsi="Calibri" w:cs="Calibri"/>
          <w:sz w:val="20"/>
          <w:szCs w:val="20"/>
        </w:rPr>
        <w:t xml:space="preserve">mTORC1 inhibitors </w:t>
      </w:r>
      <w:r w:rsidR="009E24D1">
        <w:rPr>
          <w:rFonts w:ascii="Calibri" w:hAnsi="Calibri" w:cs="Calibri"/>
          <w:sz w:val="20"/>
          <w:szCs w:val="20"/>
        </w:rPr>
        <w:t xml:space="preserve">have </w:t>
      </w:r>
      <w:r w:rsidRPr="003C68F0">
        <w:rPr>
          <w:rFonts w:ascii="Calibri" w:hAnsi="Calibri" w:cs="Calibri"/>
          <w:sz w:val="20"/>
          <w:szCs w:val="20"/>
        </w:rPr>
        <w:t>pro</w:t>
      </w:r>
      <w:r w:rsidR="009E24D1">
        <w:rPr>
          <w:rFonts w:ascii="Calibri" w:hAnsi="Calibri" w:cs="Calibri"/>
          <w:sz w:val="20"/>
          <w:szCs w:val="20"/>
        </w:rPr>
        <w:t>duced</w:t>
      </w:r>
      <w:r w:rsidRPr="003C68F0">
        <w:rPr>
          <w:rFonts w:ascii="Calibri" w:hAnsi="Calibri" w:cs="Calibri"/>
          <w:sz w:val="20"/>
          <w:szCs w:val="20"/>
        </w:rPr>
        <w:t xml:space="preserve"> responses in </w:t>
      </w:r>
      <w:r w:rsidR="00B065BA" w:rsidRPr="003C68F0">
        <w:rPr>
          <w:rFonts w:ascii="Calibri" w:hAnsi="Calibri" w:cs="Calibri"/>
          <w:sz w:val="20"/>
          <w:szCs w:val="20"/>
        </w:rPr>
        <w:t xml:space="preserve">approximately </w:t>
      </w:r>
      <w:r w:rsidRPr="003C68F0">
        <w:rPr>
          <w:rFonts w:ascii="Calibri" w:hAnsi="Calibri" w:cs="Calibri"/>
          <w:sz w:val="20"/>
          <w:szCs w:val="20"/>
        </w:rPr>
        <w:t>30%</w:t>
      </w:r>
      <w:r w:rsidR="00AA202D" w:rsidRPr="003C68F0">
        <w:rPr>
          <w:rFonts w:ascii="Calibri" w:hAnsi="Calibri" w:cs="Calibri"/>
          <w:sz w:val="20"/>
          <w:szCs w:val="20"/>
        </w:rPr>
        <w:t xml:space="preserve"> of patients in this setting</w:t>
      </w:r>
      <w:r w:rsidRPr="003C68F0">
        <w:rPr>
          <w:rFonts w:ascii="Calibri" w:hAnsi="Calibri" w:cs="Calibri"/>
          <w:sz w:val="20"/>
          <w:szCs w:val="20"/>
        </w:rPr>
        <w:t xml:space="preserve">. </w:t>
      </w:r>
      <w:r w:rsidR="009E24D1" w:rsidRPr="003C68F0">
        <w:rPr>
          <w:rFonts w:ascii="Calibri" w:hAnsi="Calibri" w:cs="Calibri"/>
          <w:sz w:val="20"/>
          <w:szCs w:val="20"/>
        </w:rPr>
        <w:t>mTORC1</w:t>
      </w:r>
      <w:r w:rsidR="009E24D1">
        <w:rPr>
          <w:rFonts w:ascii="Calibri" w:hAnsi="Calibri" w:cs="Calibri"/>
          <w:sz w:val="20"/>
          <w:szCs w:val="20"/>
        </w:rPr>
        <w:t xml:space="preserve"> inhibitor</w:t>
      </w:r>
      <w:r w:rsidR="009E24D1" w:rsidRPr="003C68F0">
        <w:rPr>
          <w:rFonts w:ascii="Calibri" w:hAnsi="Calibri" w:cs="Calibri"/>
          <w:sz w:val="20"/>
          <w:szCs w:val="20"/>
        </w:rPr>
        <w:t xml:space="preserve"> efficacy may be limited by resistance mechanisms including AKT activation by mTORC2</w:t>
      </w:r>
      <w:r w:rsidR="009E24D1">
        <w:rPr>
          <w:rFonts w:ascii="Calibri" w:hAnsi="Calibri" w:cs="Calibri"/>
          <w:sz w:val="20"/>
          <w:szCs w:val="20"/>
        </w:rPr>
        <w:t xml:space="preserve">. </w:t>
      </w:r>
      <w:r w:rsidR="00B065BA" w:rsidRPr="003C68F0">
        <w:rPr>
          <w:rFonts w:ascii="Calibri" w:hAnsi="Calibri" w:cs="Calibri"/>
          <w:sz w:val="20"/>
          <w:szCs w:val="20"/>
        </w:rPr>
        <w:t>To date, d</w:t>
      </w:r>
      <w:r w:rsidR="00EB0779" w:rsidRPr="003C68F0">
        <w:rPr>
          <w:rFonts w:ascii="Calibri" w:hAnsi="Calibri" w:cs="Calibri"/>
          <w:sz w:val="20"/>
          <w:szCs w:val="20"/>
        </w:rPr>
        <w:t xml:space="preserve">ual </w:t>
      </w:r>
      <w:r w:rsidRPr="003C68F0">
        <w:rPr>
          <w:rFonts w:ascii="Calibri" w:hAnsi="Calibri" w:cs="Calibri"/>
          <w:sz w:val="20"/>
          <w:szCs w:val="20"/>
        </w:rPr>
        <w:t>mTORC1/2</w:t>
      </w:r>
      <w:r w:rsidR="004B1915">
        <w:rPr>
          <w:rFonts w:ascii="Calibri" w:hAnsi="Calibri" w:cs="Calibri"/>
          <w:sz w:val="20"/>
          <w:szCs w:val="20"/>
        </w:rPr>
        <w:t xml:space="preserve"> </w:t>
      </w:r>
      <w:r w:rsidR="004B1915" w:rsidRPr="003C68F0">
        <w:rPr>
          <w:rFonts w:ascii="Calibri" w:hAnsi="Calibri" w:cs="Calibri"/>
          <w:sz w:val="20"/>
          <w:szCs w:val="20"/>
        </w:rPr>
        <w:t>inhibitors</w:t>
      </w:r>
      <w:r w:rsidR="00B065BA" w:rsidRPr="003C68F0">
        <w:rPr>
          <w:rFonts w:ascii="Calibri" w:hAnsi="Calibri" w:cs="Calibri"/>
          <w:sz w:val="20"/>
          <w:szCs w:val="20"/>
        </w:rPr>
        <w:t xml:space="preserve"> targeting </w:t>
      </w:r>
      <w:r w:rsidR="00AA202D" w:rsidRPr="003C68F0">
        <w:rPr>
          <w:rFonts w:ascii="Calibri" w:hAnsi="Calibri" w:cs="Calibri"/>
          <w:sz w:val="20"/>
          <w:szCs w:val="20"/>
        </w:rPr>
        <w:t xml:space="preserve">both the </w:t>
      </w:r>
      <w:r w:rsidR="00B065BA" w:rsidRPr="003C68F0">
        <w:rPr>
          <w:rFonts w:ascii="Calibri" w:hAnsi="Calibri" w:cs="Calibri"/>
          <w:sz w:val="20"/>
          <w:szCs w:val="20"/>
        </w:rPr>
        <w:t>TORC1 and TORC2 complexes</w:t>
      </w:r>
      <w:r w:rsidR="00EB0779" w:rsidRPr="003C68F0">
        <w:rPr>
          <w:rFonts w:ascii="Calibri" w:hAnsi="Calibri" w:cs="Calibri"/>
          <w:sz w:val="20"/>
          <w:szCs w:val="20"/>
        </w:rPr>
        <w:t xml:space="preserve"> </w:t>
      </w:r>
      <w:r w:rsidRPr="003C68F0">
        <w:rPr>
          <w:rFonts w:ascii="Calibri" w:hAnsi="Calibri" w:cs="Calibri"/>
          <w:sz w:val="20"/>
          <w:szCs w:val="20"/>
        </w:rPr>
        <w:t>have not</w:t>
      </w:r>
      <w:r w:rsidR="0082421C" w:rsidRPr="003C68F0">
        <w:rPr>
          <w:rFonts w:ascii="Calibri" w:hAnsi="Calibri" w:cs="Calibri"/>
          <w:sz w:val="20"/>
          <w:szCs w:val="20"/>
        </w:rPr>
        <w:t xml:space="preserve"> been</w:t>
      </w:r>
      <w:r w:rsidRPr="003C68F0">
        <w:rPr>
          <w:rFonts w:ascii="Calibri" w:hAnsi="Calibri" w:cs="Calibri"/>
          <w:sz w:val="20"/>
          <w:szCs w:val="20"/>
        </w:rPr>
        <w:t xml:space="preserve"> </w:t>
      </w:r>
      <w:r w:rsidR="00372CB0" w:rsidRPr="003C68F0">
        <w:rPr>
          <w:rFonts w:ascii="Calibri" w:hAnsi="Calibri" w:cs="Calibri"/>
          <w:sz w:val="20"/>
          <w:szCs w:val="20"/>
        </w:rPr>
        <w:t>investigated in DLBCL</w:t>
      </w:r>
      <w:r w:rsidRPr="003C68F0">
        <w:rPr>
          <w:rFonts w:ascii="Calibri" w:hAnsi="Calibri" w:cs="Calibri"/>
          <w:sz w:val="20"/>
          <w:szCs w:val="20"/>
        </w:rPr>
        <w:t xml:space="preserve">. </w:t>
      </w:r>
      <w:r w:rsidR="00B065BA" w:rsidRPr="003C68F0">
        <w:rPr>
          <w:rFonts w:ascii="Calibri" w:hAnsi="Calibri" w:cs="Calibri"/>
          <w:sz w:val="20"/>
          <w:szCs w:val="20"/>
        </w:rPr>
        <w:t>This phase II trial investigated the oral dual mTORC1/2</w:t>
      </w:r>
      <w:r w:rsidR="004B1915">
        <w:rPr>
          <w:rFonts w:ascii="Calibri" w:hAnsi="Calibri" w:cs="Calibri"/>
          <w:sz w:val="20"/>
          <w:szCs w:val="20"/>
        </w:rPr>
        <w:t xml:space="preserve"> </w:t>
      </w:r>
      <w:r w:rsidR="004B1915" w:rsidRPr="003C68F0">
        <w:rPr>
          <w:rFonts w:ascii="Calibri" w:hAnsi="Calibri" w:cs="Calibri"/>
          <w:sz w:val="20"/>
          <w:szCs w:val="20"/>
        </w:rPr>
        <w:t>inhibitors</w:t>
      </w:r>
      <w:r w:rsidR="00B065BA" w:rsidRPr="003C68F0">
        <w:rPr>
          <w:rFonts w:ascii="Calibri" w:hAnsi="Calibri" w:cs="Calibri"/>
          <w:sz w:val="20"/>
          <w:szCs w:val="20"/>
        </w:rPr>
        <w:t xml:space="preserve"> vistusertib in an intermittent dosing schedule of 125 mg b.d. for </w:t>
      </w:r>
      <w:r w:rsidR="00CE60CC">
        <w:rPr>
          <w:rFonts w:ascii="Calibri" w:hAnsi="Calibri" w:cs="Calibri"/>
          <w:color w:val="C00000"/>
          <w:sz w:val="20"/>
          <w:szCs w:val="20"/>
        </w:rPr>
        <w:t>two</w:t>
      </w:r>
      <w:r w:rsidR="00B065BA" w:rsidRPr="003C68F0">
        <w:rPr>
          <w:rFonts w:ascii="Calibri" w:hAnsi="Calibri" w:cs="Calibri"/>
          <w:sz w:val="20"/>
          <w:szCs w:val="20"/>
        </w:rPr>
        <w:t xml:space="preserve"> days per week. </w:t>
      </w:r>
      <w:r w:rsidRPr="003C68F0">
        <w:rPr>
          <w:rFonts w:ascii="Calibri" w:hAnsi="Calibri" w:cs="Calibri"/>
          <w:sz w:val="20"/>
          <w:szCs w:val="20"/>
        </w:rPr>
        <w:t xml:space="preserve">Thirty patients received </w:t>
      </w:r>
      <w:r w:rsidRPr="003C68F0">
        <w:rPr>
          <w:rFonts w:ascii="Calibri" w:hAnsi="Calibri" w:cs="Calibri"/>
          <w:color w:val="000000" w:themeColor="text1"/>
          <w:sz w:val="20"/>
          <w:szCs w:val="20"/>
        </w:rPr>
        <w:t>vistusertib</w:t>
      </w:r>
      <w:r w:rsidRPr="003C68F0">
        <w:rPr>
          <w:rFonts w:ascii="Calibri" w:hAnsi="Calibri" w:cs="Calibri"/>
          <w:sz w:val="20"/>
          <w:szCs w:val="20"/>
        </w:rPr>
        <w:t xml:space="preserve"> </w:t>
      </w:r>
      <w:r w:rsidR="00EB0779" w:rsidRPr="003C68F0">
        <w:rPr>
          <w:rFonts w:ascii="Calibri" w:hAnsi="Calibri" w:cs="Calibri"/>
          <w:sz w:val="20"/>
          <w:szCs w:val="20"/>
        </w:rPr>
        <w:t xml:space="preserve">and </w:t>
      </w:r>
      <w:r w:rsidR="00CE60CC">
        <w:rPr>
          <w:rFonts w:ascii="Calibri" w:hAnsi="Calibri" w:cs="Calibri"/>
          <w:color w:val="C00000"/>
          <w:sz w:val="20"/>
          <w:szCs w:val="20"/>
        </w:rPr>
        <w:t>six</w:t>
      </w:r>
      <w:r w:rsidR="00EB0779" w:rsidRPr="003C68F0">
        <w:rPr>
          <w:rFonts w:ascii="Calibri" w:hAnsi="Calibri" w:cs="Calibri"/>
          <w:sz w:val="20"/>
          <w:szCs w:val="20"/>
        </w:rPr>
        <w:t xml:space="preserve"> received</w:t>
      </w:r>
      <w:r w:rsidRPr="003C68F0">
        <w:rPr>
          <w:rFonts w:ascii="Calibri" w:hAnsi="Calibri" w:cs="Calibri"/>
          <w:sz w:val="20"/>
          <w:szCs w:val="20"/>
        </w:rPr>
        <w:t xml:space="preserve"> </w:t>
      </w:r>
      <w:r w:rsidRPr="003C68F0">
        <w:rPr>
          <w:rFonts w:ascii="Calibri" w:hAnsi="Calibri" w:cs="Calibri"/>
          <w:color w:val="000000" w:themeColor="text1"/>
          <w:sz w:val="20"/>
          <w:szCs w:val="20"/>
        </w:rPr>
        <w:t>vistusertib</w:t>
      </w:r>
      <w:r w:rsidRPr="003C68F0">
        <w:rPr>
          <w:rFonts w:ascii="Calibri" w:hAnsi="Calibri" w:cs="Calibri"/>
          <w:sz w:val="20"/>
          <w:szCs w:val="20"/>
        </w:rPr>
        <w:t>-rituximab</w:t>
      </w:r>
      <w:r w:rsidR="00AA202D" w:rsidRPr="003C68F0">
        <w:rPr>
          <w:rFonts w:ascii="Calibri" w:hAnsi="Calibri" w:cs="Calibri"/>
          <w:sz w:val="20"/>
          <w:szCs w:val="20"/>
        </w:rPr>
        <w:t xml:space="preserve"> for up to </w:t>
      </w:r>
      <w:r w:rsidR="00CE60CC">
        <w:rPr>
          <w:rFonts w:ascii="Calibri" w:hAnsi="Calibri" w:cs="Calibri"/>
          <w:color w:val="C00000"/>
          <w:sz w:val="20"/>
          <w:szCs w:val="20"/>
        </w:rPr>
        <w:t>six</w:t>
      </w:r>
      <w:r w:rsidR="00AA202D" w:rsidRPr="003C68F0">
        <w:rPr>
          <w:rFonts w:ascii="Calibri" w:hAnsi="Calibri" w:cs="Calibri"/>
          <w:sz w:val="20"/>
          <w:szCs w:val="20"/>
        </w:rPr>
        <w:t xml:space="preserve"> cycles (</w:t>
      </w:r>
      <w:r w:rsidR="004B2B59" w:rsidRPr="003C68F0">
        <w:rPr>
          <w:rFonts w:ascii="Calibri" w:hAnsi="Calibri" w:cs="Calibri"/>
          <w:sz w:val="20"/>
          <w:szCs w:val="20"/>
        </w:rPr>
        <w:t>28</w:t>
      </w:r>
      <w:r w:rsidR="004B2B59">
        <w:rPr>
          <w:rFonts w:ascii="Calibri" w:hAnsi="Calibri" w:cs="Calibri"/>
          <w:sz w:val="20"/>
          <w:szCs w:val="20"/>
        </w:rPr>
        <w:t>-day</w:t>
      </w:r>
      <w:r w:rsidR="004B1915">
        <w:rPr>
          <w:rFonts w:ascii="Calibri" w:hAnsi="Calibri" w:cs="Calibri"/>
          <w:sz w:val="20"/>
          <w:szCs w:val="20"/>
        </w:rPr>
        <w:t xml:space="preserve"> cycles</w:t>
      </w:r>
      <w:r w:rsidR="00AA202D" w:rsidRPr="003C68F0">
        <w:rPr>
          <w:rFonts w:ascii="Calibri" w:hAnsi="Calibri" w:cs="Calibri"/>
          <w:sz w:val="20"/>
          <w:szCs w:val="20"/>
        </w:rPr>
        <w:t>)</w:t>
      </w:r>
      <w:r w:rsidRPr="003C68F0">
        <w:rPr>
          <w:rFonts w:ascii="Calibri" w:hAnsi="Calibri" w:cs="Calibri"/>
          <w:sz w:val="20"/>
          <w:szCs w:val="20"/>
        </w:rPr>
        <w:t xml:space="preserve">. Two </w:t>
      </w:r>
      <w:r w:rsidR="008E12EE" w:rsidRPr="003C68F0">
        <w:rPr>
          <w:rFonts w:ascii="Calibri" w:hAnsi="Calibri" w:cs="Calibri"/>
          <w:sz w:val="20"/>
          <w:szCs w:val="20"/>
        </w:rPr>
        <w:t xml:space="preserve">partial responses were achieved </w:t>
      </w:r>
      <w:r w:rsidR="00372CB0" w:rsidRPr="003C68F0">
        <w:rPr>
          <w:rFonts w:ascii="Calibri" w:hAnsi="Calibri" w:cs="Calibri"/>
          <w:sz w:val="20"/>
          <w:szCs w:val="20"/>
        </w:rPr>
        <w:t>on monotherapy</w:t>
      </w:r>
      <w:r w:rsidR="008E12EE" w:rsidRPr="003C68F0">
        <w:rPr>
          <w:rFonts w:ascii="Calibri" w:hAnsi="Calibri" w:cs="Calibri"/>
          <w:sz w:val="20"/>
          <w:szCs w:val="20"/>
        </w:rPr>
        <w:t>. Duration of response w</w:t>
      </w:r>
      <w:r w:rsidR="008C10A3" w:rsidRPr="003C68F0">
        <w:rPr>
          <w:rFonts w:ascii="Calibri" w:hAnsi="Calibri" w:cs="Calibri"/>
          <w:sz w:val="20"/>
          <w:szCs w:val="20"/>
        </w:rPr>
        <w:t xml:space="preserve">ere </w:t>
      </w:r>
      <w:r w:rsidR="008E12EE" w:rsidRPr="003C68F0">
        <w:rPr>
          <w:rFonts w:ascii="Calibri" w:hAnsi="Calibri" w:cs="Calibri"/>
          <w:sz w:val="20"/>
          <w:szCs w:val="20"/>
        </w:rPr>
        <w:t>57</w:t>
      </w:r>
      <w:r w:rsidR="00021B50" w:rsidRPr="003C68F0">
        <w:rPr>
          <w:rFonts w:ascii="Calibri" w:hAnsi="Calibri" w:cs="Calibri"/>
          <w:sz w:val="20"/>
          <w:szCs w:val="20"/>
        </w:rPr>
        <w:t xml:space="preserve"> </w:t>
      </w:r>
      <w:r w:rsidR="008C10A3" w:rsidRPr="003C68F0">
        <w:rPr>
          <w:rFonts w:ascii="Calibri" w:hAnsi="Calibri" w:cs="Calibri"/>
          <w:sz w:val="20"/>
          <w:szCs w:val="20"/>
        </w:rPr>
        <w:t xml:space="preserve">and </w:t>
      </w:r>
      <w:r w:rsidR="00021B50" w:rsidRPr="003C68F0">
        <w:rPr>
          <w:rFonts w:ascii="Calibri" w:hAnsi="Calibri" w:cs="Calibri"/>
          <w:sz w:val="20"/>
          <w:szCs w:val="20"/>
        </w:rPr>
        <w:t>6</w:t>
      </w:r>
      <w:r w:rsidR="008C10A3" w:rsidRPr="003C68F0">
        <w:rPr>
          <w:rFonts w:ascii="Calibri" w:hAnsi="Calibri" w:cs="Calibri"/>
          <w:sz w:val="20"/>
          <w:szCs w:val="20"/>
        </w:rPr>
        <w:t>2</w:t>
      </w:r>
      <w:r w:rsidR="008E12EE" w:rsidRPr="003C68F0">
        <w:rPr>
          <w:rFonts w:ascii="Calibri" w:hAnsi="Calibri" w:cs="Calibri"/>
          <w:sz w:val="20"/>
          <w:szCs w:val="20"/>
        </w:rPr>
        <w:t xml:space="preserve"> days</w:t>
      </w:r>
      <w:r w:rsidR="00DC63A2" w:rsidRPr="003C68F0">
        <w:rPr>
          <w:rFonts w:ascii="Calibri" w:hAnsi="Calibri" w:cs="Calibri"/>
          <w:sz w:val="20"/>
          <w:szCs w:val="20"/>
        </w:rPr>
        <w:t xml:space="preserve"> respectively</w:t>
      </w:r>
      <w:r w:rsidR="00021AD6">
        <w:rPr>
          <w:rFonts w:ascii="Calibri" w:hAnsi="Calibri" w:cs="Calibri"/>
          <w:sz w:val="20"/>
          <w:szCs w:val="20"/>
        </w:rPr>
        <w:t xml:space="preserve"> </w:t>
      </w:r>
      <w:r w:rsidR="00021AD6">
        <w:rPr>
          <w:rFonts w:ascii="Calibri" w:hAnsi="Calibri" w:cs="Calibri"/>
          <w:sz w:val="20"/>
          <w:szCs w:val="20"/>
        </w:rPr>
        <w:lastRenderedPageBreak/>
        <w:t>for these patients</w:t>
      </w:r>
      <w:r w:rsidR="008E12EE" w:rsidRPr="003C68F0">
        <w:rPr>
          <w:rFonts w:ascii="Calibri" w:hAnsi="Calibri" w:cs="Calibri"/>
          <w:sz w:val="20"/>
          <w:szCs w:val="20"/>
        </w:rPr>
        <w:t xml:space="preserve">. </w:t>
      </w:r>
      <w:r w:rsidR="00AA202D" w:rsidRPr="003C68F0">
        <w:rPr>
          <w:rFonts w:ascii="Calibri" w:hAnsi="Calibri" w:cs="Calibri"/>
          <w:sz w:val="20"/>
          <w:szCs w:val="20"/>
        </w:rPr>
        <w:t>19</w:t>
      </w:r>
      <w:r w:rsidRPr="003C68F0">
        <w:rPr>
          <w:rFonts w:ascii="Calibri" w:hAnsi="Calibri" w:cs="Calibri"/>
          <w:sz w:val="20"/>
          <w:szCs w:val="20"/>
        </w:rPr>
        <w:t xml:space="preserve">% had </w:t>
      </w:r>
      <w:r w:rsidR="00AA202D" w:rsidRPr="003C68F0">
        <w:rPr>
          <w:rFonts w:ascii="Calibri" w:hAnsi="Calibri" w:cs="Calibri"/>
          <w:sz w:val="20"/>
          <w:szCs w:val="20"/>
        </w:rPr>
        <w:t>stable disease</w:t>
      </w:r>
      <w:r w:rsidR="001534CC" w:rsidRPr="003C68F0">
        <w:rPr>
          <w:rFonts w:ascii="Calibri" w:hAnsi="Calibri" w:cs="Calibri"/>
          <w:sz w:val="20"/>
          <w:szCs w:val="20"/>
        </w:rPr>
        <w:t xml:space="preserve"> within </w:t>
      </w:r>
      <w:r w:rsidR="00CE60CC">
        <w:rPr>
          <w:rFonts w:ascii="Calibri" w:hAnsi="Calibri" w:cs="Calibri"/>
          <w:color w:val="C00000"/>
          <w:sz w:val="20"/>
          <w:szCs w:val="20"/>
        </w:rPr>
        <w:t>six</w:t>
      </w:r>
      <w:r w:rsidR="001534CC" w:rsidRPr="003C68F0">
        <w:rPr>
          <w:rFonts w:ascii="Calibri" w:hAnsi="Calibri" w:cs="Calibri"/>
          <w:sz w:val="20"/>
          <w:szCs w:val="20"/>
        </w:rPr>
        <w:t xml:space="preserve"> cycles</w:t>
      </w:r>
      <w:r w:rsidRPr="003C68F0">
        <w:rPr>
          <w:rFonts w:ascii="Calibri" w:hAnsi="Calibri" w:cs="Calibri"/>
          <w:sz w:val="20"/>
          <w:szCs w:val="20"/>
        </w:rPr>
        <w:t xml:space="preserve">. </w:t>
      </w:r>
      <w:r w:rsidR="00AA202D" w:rsidRPr="003C68F0">
        <w:rPr>
          <w:rFonts w:ascii="Calibri" w:hAnsi="Calibri" w:cs="Calibri"/>
          <w:color w:val="000000" w:themeColor="text1"/>
          <w:sz w:val="20"/>
          <w:szCs w:val="20"/>
        </w:rPr>
        <w:t>In the monotherapy arm, the median progression-free survival was 1.69 (95% confidence interval 1.61-2.14) months and median overall survival was 6.58 (95% CI 3.81-not reached) months</w:t>
      </w:r>
      <w:r w:rsidR="00021AD6">
        <w:rPr>
          <w:rFonts w:ascii="Calibri" w:hAnsi="Calibri" w:cs="Calibri"/>
          <w:color w:val="000000" w:themeColor="text1"/>
          <w:sz w:val="20"/>
          <w:szCs w:val="20"/>
        </w:rPr>
        <w:t xml:space="preserve"> respectively</w:t>
      </w:r>
      <w:r w:rsidR="00AA202D" w:rsidRPr="003C68F0">
        <w:rPr>
          <w:rFonts w:ascii="Calibri" w:hAnsi="Calibri" w:cs="Calibri"/>
          <w:color w:val="000000" w:themeColor="text1"/>
          <w:sz w:val="20"/>
          <w:szCs w:val="20"/>
        </w:rPr>
        <w:t xml:space="preserve">. The median duration of response or stable disease across the trial duration was 153 days (95% </w:t>
      </w:r>
      <w:r w:rsidR="004B1915">
        <w:rPr>
          <w:rFonts w:ascii="Calibri" w:hAnsi="Calibri" w:cs="Calibri"/>
          <w:color w:val="000000" w:themeColor="text1"/>
          <w:sz w:val="20"/>
          <w:szCs w:val="20"/>
        </w:rPr>
        <w:t>confidence interval</w:t>
      </w:r>
      <w:r w:rsidR="00AA202D" w:rsidRPr="003C68F0">
        <w:rPr>
          <w:rFonts w:ascii="Calibri" w:hAnsi="Calibri" w:cs="Calibri"/>
          <w:color w:val="000000" w:themeColor="text1"/>
          <w:sz w:val="20"/>
          <w:szCs w:val="20"/>
        </w:rPr>
        <w:t xml:space="preserve"> 112-not reached). Tumour responses according to PET/CT versus CT were concordant. There were no differences noted in tumour volume response according to cell of origin by either gene expression profiling or immunohistochemistry. </w:t>
      </w:r>
      <w:r w:rsidRPr="003C68F0">
        <w:rPr>
          <w:rFonts w:ascii="Calibri" w:hAnsi="Calibri" w:cs="Calibri"/>
          <w:sz w:val="20"/>
          <w:szCs w:val="20"/>
        </w:rPr>
        <w:t>Vistusertib</w:t>
      </w:r>
      <w:r w:rsidR="00DC63A2" w:rsidRPr="003C68F0">
        <w:rPr>
          <w:rFonts w:ascii="Calibri" w:hAnsi="Calibri" w:cs="Calibri"/>
          <w:sz w:val="20"/>
          <w:szCs w:val="20"/>
        </w:rPr>
        <w:t xml:space="preserve"> </w:t>
      </w:r>
      <w:r w:rsidRPr="003C68F0">
        <w:rPr>
          <w:rFonts w:ascii="Calibri" w:hAnsi="Calibri" w:cs="Calibri"/>
          <w:sz w:val="20"/>
          <w:szCs w:val="20"/>
        </w:rPr>
        <w:t>+/</w:t>
      </w:r>
      <w:r w:rsidR="0082421C" w:rsidRPr="003C68F0">
        <w:rPr>
          <w:rFonts w:ascii="Calibri" w:hAnsi="Calibri" w:cs="Calibri"/>
          <w:sz w:val="20"/>
          <w:szCs w:val="20"/>
        </w:rPr>
        <w:t>-</w:t>
      </w:r>
      <w:r w:rsidR="00DC63A2" w:rsidRPr="003C68F0">
        <w:rPr>
          <w:rFonts w:ascii="Calibri" w:hAnsi="Calibri" w:cs="Calibri"/>
          <w:sz w:val="20"/>
          <w:szCs w:val="20"/>
        </w:rPr>
        <w:t xml:space="preserve"> </w:t>
      </w:r>
      <w:r w:rsidR="0082421C" w:rsidRPr="003C68F0">
        <w:rPr>
          <w:rFonts w:ascii="Calibri" w:hAnsi="Calibri" w:cs="Calibri"/>
          <w:sz w:val="20"/>
          <w:szCs w:val="20"/>
        </w:rPr>
        <w:t>rituximab</w:t>
      </w:r>
      <w:r w:rsidRPr="003C68F0">
        <w:rPr>
          <w:rFonts w:ascii="Calibri" w:hAnsi="Calibri" w:cs="Calibri"/>
          <w:sz w:val="20"/>
          <w:szCs w:val="20"/>
        </w:rPr>
        <w:t xml:space="preserve"> was well tolerated; </w:t>
      </w:r>
      <w:r w:rsidR="002870DC" w:rsidRPr="003C68F0">
        <w:rPr>
          <w:rFonts w:ascii="Calibri" w:hAnsi="Calibri" w:cs="Calibri"/>
          <w:sz w:val="20"/>
          <w:szCs w:val="20"/>
        </w:rPr>
        <w:t xml:space="preserve">across 36 patients </w:t>
      </w:r>
      <w:r w:rsidRPr="003C68F0">
        <w:rPr>
          <w:rFonts w:ascii="Calibri" w:hAnsi="Calibri" w:cs="Calibri"/>
          <w:sz w:val="20"/>
          <w:szCs w:val="20"/>
        </w:rPr>
        <w:t xml:space="preserve">86% of adverse events were grade </w:t>
      </w:r>
      <w:r w:rsidR="004B1915">
        <w:rPr>
          <w:rFonts w:ascii="Calibri" w:hAnsi="Calibri" w:cs="Calibri"/>
          <w:sz w:val="20"/>
          <w:szCs w:val="20"/>
        </w:rPr>
        <w:t xml:space="preserve">(G) </w:t>
      </w:r>
      <w:r w:rsidRPr="003C68F0">
        <w:rPr>
          <w:rFonts w:ascii="Calibri" w:hAnsi="Calibri" w:cs="Calibri"/>
          <w:sz w:val="20"/>
          <w:szCs w:val="20"/>
        </w:rPr>
        <w:t>1-2.</w:t>
      </w:r>
      <w:r w:rsidR="00372CB0" w:rsidRPr="003C68F0">
        <w:rPr>
          <w:rFonts w:ascii="Calibri" w:hAnsi="Calibri" w:cs="Calibri"/>
          <w:sz w:val="20"/>
          <w:szCs w:val="20"/>
        </w:rPr>
        <w:t xml:space="preserve"> </w:t>
      </w:r>
      <w:r w:rsidR="00AA202D" w:rsidRPr="003C68F0">
        <w:rPr>
          <w:rFonts w:ascii="Calibri" w:hAnsi="Calibri" w:cs="Calibri"/>
          <w:sz w:val="20"/>
          <w:szCs w:val="20"/>
        </w:rPr>
        <w:t>Common vistusertib-related</w:t>
      </w:r>
      <w:r w:rsidR="00AA202D" w:rsidRPr="003C68F0">
        <w:rPr>
          <w:rFonts w:ascii="Calibri" w:hAnsi="Calibri" w:cs="Calibri"/>
          <w:sz w:val="20"/>
          <w:szCs w:val="20"/>
          <w:shd w:val="clear" w:color="auto" w:fill="FFFFFF"/>
        </w:rPr>
        <w:t xml:space="preserve"> </w:t>
      </w:r>
      <w:r w:rsidR="004B1915">
        <w:rPr>
          <w:rFonts w:ascii="Calibri" w:hAnsi="Calibri" w:cs="Calibri"/>
          <w:sz w:val="20"/>
          <w:szCs w:val="20"/>
          <w:shd w:val="clear" w:color="auto" w:fill="FFFFFF"/>
        </w:rPr>
        <w:t>adverse event</w:t>
      </w:r>
      <w:r w:rsidR="00AA202D" w:rsidRPr="003C68F0">
        <w:rPr>
          <w:rFonts w:ascii="Calibri" w:hAnsi="Calibri" w:cs="Calibri"/>
          <w:sz w:val="20"/>
          <w:szCs w:val="20"/>
          <w:shd w:val="clear" w:color="auto" w:fill="FFFFFF"/>
        </w:rPr>
        <w:t>s were</w:t>
      </w:r>
      <w:r w:rsidR="009E24D1">
        <w:rPr>
          <w:rFonts w:ascii="Calibri" w:hAnsi="Calibri" w:cs="Calibri"/>
          <w:sz w:val="20"/>
          <w:szCs w:val="20"/>
          <w:shd w:val="clear" w:color="auto" w:fill="FFFFFF"/>
        </w:rPr>
        <w:t xml:space="preserve"> similar to those described with mTORC1 inhibitors</w:t>
      </w:r>
      <w:r w:rsidR="00AA202D" w:rsidRPr="003C68F0">
        <w:rPr>
          <w:rFonts w:ascii="Calibri" w:hAnsi="Calibri" w:cs="Calibri"/>
          <w:sz w:val="20"/>
          <w:szCs w:val="20"/>
          <w:shd w:val="clear" w:color="auto" w:fill="FFFFFF"/>
        </w:rPr>
        <w:t xml:space="preserve">: nausea (47% G1-2), diarrhoea (27% G1-2, 6% G3), fatigue (30% G1-2, 3% G3), mucositis (25% G1-2, 6% G3), vomiting (17% G1-2) and dyspepsia (14% G1-2). </w:t>
      </w:r>
      <w:r w:rsidR="00372CB0" w:rsidRPr="003C68F0">
        <w:rPr>
          <w:rFonts w:ascii="Calibri" w:hAnsi="Calibri" w:cs="Calibri"/>
          <w:color w:val="000000" w:themeColor="text1"/>
          <w:sz w:val="20"/>
          <w:szCs w:val="20"/>
        </w:rPr>
        <w:t>Dual mTORC1/2</w:t>
      </w:r>
      <w:r w:rsidR="004B1915">
        <w:rPr>
          <w:rFonts w:ascii="Calibri" w:hAnsi="Calibri" w:cs="Calibri"/>
          <w:color w:val="000000" w:themeColor="text1"/>
          <w:sz w:val="20"/>
          <w:szCs w:val="20"/>
        </w:rPr>
        <w:t xml:space="preserve"> </w:t>
      </w:r>
      <w:r w:rsidR="004B1915" w:rsidRPr="003C68F0">
        <w:rPr>
          <w:rFonts w:ascii="Calibri" w:hAnsi="Calibri" w:cs="Calibri"/>
          <w:sz w:val="20"/>
          <w:szCs w:val="20"/>
        </w:rPr>
        <w:t xml:space="preserve">inhibitors </w:t>
      </w:r>
      <w:r w:rsidR="004B2B59" w:rsidRPr="003C68F0">
        <w:rPr>
          <w:rFonts w:ascii="Calibri" w:hAnsi="Calibri" w:cs="Calibri"/>
          <w:color w:val="000000" w:themeColor="text1"/>
          <w:sz w:val="20"/>
          <w:szCs w:val="20"/>
        </w:rPr>
        <w:t>do</w:t>
      </w:r>
      <w:r w:rsidR="00372CB0" w:rsidRPr="003C68F0">
        <w:rPr>
          <w:rFonts w:ascii="Calibri" w:hAnsi="Calibri" w:cs="Calibri"/>
          <w:color w:val="000000" w:themeColor="text1"/>
          <w:sz w:val="20"/>
          <w:szCs w:val="20"/>
        </w:rPr>
        <w:t xml:space="preserve"> not </w:t>
      </w:r>
      <w:r w:rsidR="00AA202D" w:rsidRPr="003C68F0">
        <w:rPr>
          <w:rFonts w:ascii="Calibri" w:hAnsi="Calibri" w:cs="Calibri"/>
          <w:color w:val="000000" w:themeColor="text1"/>
          <w:sz w:val="20"/>
          <w:szCs w:val="20"/>
        </w:rPr>
        <w:t xml:space="preserve">clearly </w:t>
      </w:r>
      <w:r w:rsidR="004B2B59" w:rsidRPr="003C68F0">
        <w:rPr>
          <w:rFonts w:ascii="Calibri" w:hAnsi="Calibri" w:cs="Calibri"/>
          <w:color w:val="000000" w:themeColor="text1"/>
          <w:sz w:val="20"/>
          <w:szCs w:val="20"/>
        </w:rPr>
        <w:t>confer</w:t>
      </w:r>
      <w:r w:rsidR="00372CB0" w:rsidRPr="003C68F0">
        <w:rPr>
          <w:rFonts w:ascii="Calibri" w:hAnsi="Calibri" w:cs="Calibri"/>
          <w:color w:val="000000" w:themeColor="text1"/>
          <w:sz w:val="20"/>
          <w:szCs w:val="20"/>
        </w:rPr>
        <w:t xml:space="preserve"> an advantage over mTORC1</w:t>
      </w:r>
      <w:r w:rsidR="004B1915">
        <w:rPr>
          <w:rFonts w:ascii="Calibri" w:hAnsi="Calibri" w:cs="Calibri"/>
          <w:color w:val="000000" w:themeColor="text1"/>
          <w:sz w:val="20"/>
          <w:szCs w:val="20"/>
        </w:rPr>
        <w:t xml:space="preserve"> </w:t>
      </w:r>
      <w:r w:rsidR="004B1915" w:rsidRPr="003C68F0">
        <w:rPr>
          <w:rFonts w:ascii="Calibri" w:hAnsi="Calibri" w:cs="Calibri"/>
          <w:sz w:val="20"/>
          <w:szCs w:val="20"/>
        </w:rPr>
        <w:t>inhibitors</w:t>
      </w:r>
      <w:r w:rsidR="00EB0779" w:rsidRPr="003C68F0">
        <w:rPr>
          <w:rFonts w:ascii="Calibri" w:hAnsi="Calibri" w:cs="Calibri"/>
          <w:color w:val="000000" w:themeColor="text1"/>
          <w:sz w:val="20"/>
          <w:szCs w:val="20"/>
        </w:rPr>
        <w:t xml:space="preserve"> </w:t>
      </w:r>
      <w:r w:rsidR="0084584E" w:rsidRPr="003C68F0">
        <w:rPr>
          <w:rFonts w:ascii="Calibri" w:hAnsi="Calibri" w:cs="Calibri"/>
          <w:color w:val="000000" w:themeColor="text1"/>
          <w:sz w:val="20"/>
          <w:szCs w:val="20"/>
        </w:rPr>
        <w:t xml:space="preserve">in </w:t>
      </w:r>
      <w:r w:rsidR="00EB0779" w:rsidRPr="003C68F0">
        <w:rPr>
          <w:rFonts w:ascii="Calibri" w:hAnsi="Calibri" w:cs="Calibri"/>
          <w:sz w:val="20"/>
          <w:szCs w:val="20"/>
        </w:rPr>
        <w:t>relapsed</w:t>
      </w:r>
      <w:r w:rsidR="004B1915">
        <w:rPr>
          <w:rFonts w:ascii="Calibri" w:hAnsi="Calibri" w:cs="Calibri"/>
          <w:sz w:val="20"/>
          <w:szCs w:val="20"/>
        </w:rPr>
        <w:t xml:space="preserve"> or </w:t>
      </w:r>
      <w:r w:rsidR="00EB0779" w:rsidRPr="003C68F0">
        <w:rPr>
          <w:rFonts w:ascii="Calibri" w:hAnsi="Calibri" w:cs="Calibri"/>
          <w:sz w:val="20"/>
          <w:szCs w:val="20"/>
        </w:rPr>
        <w:t xml:space="preserve">refractory </w:t>
      </w:r>
      <w:r w:rsidR="0084584E" w:rsidRPr="003C68F0">
        <w:rPr>
          <w:rFonts w:ascii="Calibri" w:hAnsi="Calibri" w:cs="Calibri"/>
          <w:color w:val="000000" w:themeColor="text1"/>
          <w:sz w:val="20"/>
          <w:szCs w:val="20"/>
        </w:rPr>
        <w:t>DLBCL</w:t>
      </w:r>
      <w:r w:rsidR="00372CB0" w:rsidRPr="003C68F0">
        <w:rPr>
          <w:rFonts w:ascii="Calibri" w:hAnsi="Calibri" w:cs="Calibri"/>
          <w:color w:val="000000" w:themeColor="text1"/>
          <w:sz w:val="20"/>
          <w:szCs w:val="20"/>
        </w:rPr>
        <w:t>.</w:t>
      </w:r>
      <w:r w:rsidR="00021B50" w:rsidRPr="003C68F0">
        <w:rPr>
          <w:rFonts w:ascii="Calibri" w:hAnsi="Calibri" w:cs="Calibri"/>
          <w:color w:val="000000" w:themeColor="text1"/>
          <w:sz w:val="20"/>
          <w:szCs w:val="20"/>
        </w:rPr>
        <w:t xml:space="preserve"> Potential resistance mechanisms are discussed</w:t>
      </w:r>
      <w:r w:rsidR="00AA202D" w:rsidRPr="003C68F0">
        <w:rPr>
          <w:rFonts w:ascii="Calibri" w:hAnsi="Calibri" w:cs="Calibri"/>
          <w:color w:val="000000" w:themeColor="text1"/>
          <w:sz w:val="20"/>
          <w:szCs w:val="20"/>
        </w:rPr>
        <w:t xml:space="preserve"> within</w:t>
      </w:r>
      <w:r w:rsidR="00021B50" w:rsidRPr="003C68F0">
        <w:rPr>
          <w:rFonts w:ascii="Calibri" w:hAnsi="Calibri" w:cs="Calibri"/>
          <w:color w:val="000000" w:themeColor="text1"/>
          <w:sz w:val="20"/>
          <w:szCs w:val="20"/>
        </w:rPr>
        <w:t xml:space="preserve">. </w:t>
      </w:r>
    </w:p>
    <w:p w14:paraId="6CC351C9" w14:textId="251D808F" w:rsidR="00074FD9" w:rsidRPr="003C68F0" w:rsidRDefault="002F6C55" w:rsidP="00323494">
      <w:pPr>
        <w:pStyle w:val="NormalWeb"/>
        <w:spacing w:line="360" w:lineRule="auto"/>
        <w:rPr>
          <w:rFonts w:ascii="Calibri" w:hAnsi="Calibri" w:cs="Calibri"/>
          <w:b/>
          <w:sz w:val="20"/>
          <w:szCs w:val="20"/>
        </w:rPr>
      </w:pPr>
      <w:r w:rsidRPr="003C68F0">
        <w:rPr>
          <w:rFonts w:ascii="Calibri" w:hAnsi="Calibri" w:cs="Calibri"/>
          <w:b/>
          <w:sz w:val="20"/>
          <w:szCs w:val="20"/>
        </w:rPr>
        <w:t>ORIGINAL ARTICLE</w:t>
      </w:r>
      <w:r w:rsidR="00E34E07">
        <w:rPr>
          <w:rFonts w:ascii="Calibri" w:hAnsi="Calibri" w:cs="Calibri"/>
          <w:b/>
          <w:sz w:val="20"/>
          <w:szCs w:val="20"/>
        </w:rPr>
        <w:t>: MAIN TEXT</w:t>
      </w:r>
      <w:r w:rsidR="00A016E1">
        <w:rPr>
          <w:rFonts w:ascii="Calibri" w:hAnsi="Calibri" w:cs="Calibri"/>
          <w:b/>
          <w:sz w:val="20"/>
          <w:szCs w:val="20"/>
        </w:rPr>
        <w:t xml:space="preserve"> </w:t>
      </w:r>
    </w:p>
    <w:p w14:paraId="07DF2E6C" w14:textId="77777777" w:rsidR="002F6C55" w:rsidRPr="003C68F0" w:rsidRDefault="002F6C55" w:rsidP="00B049F9">
      <w:pPr>
        <w:pStyle w:val="NormalWeb"/>
        <w:spacing w:line="360" w:lineRule="auto"/>
        <w:rPr>
          <w:rFonts w:ascii="Calibri" w:hAnsi="Calibri" w:cs="Calibri"/>
          <w:b/>
          <w:sz w:val="20"/>
          <w:szCs w:val="20"/>
        </w:rPr>
      </w:pPr>
      <w:r w:rsidRPr="003C68F0">
        <w:rPr>
          <w:rFonts w:ascii="Calibri" w:hAnsi="Calibri" w:cs="Calibri"/>
          <w:b/>
          <w:sz w:val="20"/>
          <w:szCs w:val="20"/>
        </w:rPr>
        <w:t>Introduction</w:t>
      </w:r>
    </w:p>
    <w:p w14:paraId="6AEDAF35" w14:textId="3257832E" w:rsidR="00B049F9" w:rsidRPr="003C68F0" w:rsidRDefault="00B049F9" w:rsidP="00B049F9">
      <w:pPr>
        <w:pStyle w:val="NormalWeb"/>
        <w:spacing w:line="360" w:lineRule="auto"/>
        <w:rPr>
          <w:rFonts w:ascii="Calibri" w:hAnsi="Calibri" w:cs="Calibri"/>
          <w:sz w:val="20"/>
          <w:szCs w:val="20"/>
        </w:rPr>
      </w:pPr>
      <w:r w:rsidRPr="003C68F0">
        <w:rPr>
          <w:rFonts w:ascii="Calibri" w:hAnsi="Calibri" w:cs="Calibri"/>
          <w:sz w:val="20"/>
          <w:szCs w:val="20"/>
        </w:rPr>
        <w:t>P</w:t>
      </w:r>
      <w:r w:rsidR="0040240B" w:rsidRPr="003C68F0">
        <w:rPr>
          <w:rFonts w:ascii="Calibri" w:hAnsi="Calibri" w:cs="Calibri"/>
          <w:sz w:val="20"/>
          <w:szCs w:val="20"/>
        </w:rPr>
        <w:t>atients with diffuse large B-</w:t>
      </w:r>
      <w:r w:rsidRPr="003C68F0">
        <w:rPr>
          <w:rFonts w:ascii="Calibri" w:hAnsi="Calibri" w:cs="Calibri"/>
          <w:sz w:val="20"/>
          <w:szCs w:val="20"/>
        </w:rPr>
        <w:t>cell lymphoma (DLBCL) undergoing first-line</w:t>
      </w:r>
      <w:r w:rsidR="00853ECF" w:rsidRPr="003C68F0">
        <w:rPr>
          <w:rFonts w:ascii="Calibri" w:hAnsi="Calibri" w:cs="Calibri"/>
          <w:sz w:val="20"/>
          <w:szCs w:val="20"/>
        </w:rPr>
        <w:t xml:space="preserve"> </w:t>
      </w:r>
      <w:r w:rsidRPr="003C68F0">
        <w:rPr>
          <w:rFonts w:ascii="Calibri" w:hAnsi="Calibri" w:cs="Calibri"/>
          <w:sz w:val="20"/>
          <w:szCs w:val="20"/>
        </w:rPr>
        <w:t xml:space="preserve">treatment </w:t>
      </w:r>
      <w:r w:rsidR="007D7C69">
        <w:rPr>
          <w:rFonts w:ascii="Calibri" w:hAnsi="Calibri" w:cs="Calibri"/>
          <w:color w:val="C00000"/>
          <w:sz w:val="20"/>
          <w:szCs w:val="20"/>
        </w:rPr>
        <w:t xml:space="preserve">with curative intent </w:t>
      </w:r>
      <w:r w:rsidRPr="003C68F0">
        <w:rPr>
          <w:rFonts w:ascii="Calibri" w:hAnsi="Calibri" w:cs="Calibri"/>
          <w:sz w:val="20"/>
          <w:szCs w:val="20"/>
        </w:rPr>
        <w:t xml:space="preserve">have </w:t>
      </w:r>
      <w:r w:rsidR="00853ECF" w:rsidRPr="003C68F0">
        <w:rPr>
          <w:rFonts w:ascii="Calibri" w:hAnsi="Calibri" w:cs="Calibri"/>
          <w:sz w:val="20"/>
          <w:szCs w:val="20"/>
        </w:rPr>
        <w:t xml:space="preserve">a </w:t>
      </w:r>
      <w:r w:rsidRPr="003C68F0">
        <w:rPr>
          <w:rFonts w:ascii="Calibri" w:hAnsi="Calibri" w:cs="Calibri"/>
          <w:sz w:val="20"/>
          <w:szCs w:val="20"/>
        </w:rPr>
        <w:t xml:space="preserve">60-70% </w:t>
      </w:r>
      <w:r w:rsidR="0040240B" w:rsidRPr="003C68F0">
        <w:rPr>
          <w:rFonts w:ascii="Calibri" w:hAnsi="Calibri" w:cs="Calibri"/>
          <w:sz w:val="20"/>
          <w:szCs w:val="20"/>
        </w:rPr>
        <w:t>long-</w:t>
      </w:r>
      <w:r w:rsidRPr="003C68F0">
        <w:rPr>
          <w:rFonts w:ascii="Calibri" w:hAnsi="Calibri" w:cs="Calibri"/>
          <w:sz w:val="20"/>
          <w:szCs w:val="20"/>
        </w:rPr>
        <w:t xml:space="preserve">term </w:t>
      </w:r>
      <w:r w:rsidR="00AC1591" w:rsidRPr="003C68F0">
        <w:rPr>
          <w:rFonts w:ascii="Calibri" w:hAnsi="Calibri" w:cs="Calibri"/>
          <w:sz w:val="20"/>
          <w:szCs w:val="20"/>
        </w:rPr>
        <w:t>progression</w:t>
      </w:r>
      <w:r w:rsidR="0040240B" w:rsidRPr="003C68F0">
        <w:rPr>
          <w:rFonts w:ascii="Calibri" w:hAnsi="Calibri" w:cs="Calibri"/>
          <w:sz w:val="20"/>
          <w:szCs w:val="20"/>
        </w:rPr>
        <w:t>-</w:t>
      </w:r>
      <w:r w:rsidRPr="003C68F0">
        <w:rPr>
          <w:rFonts w:ascii="Calibri" w:hAnsi="Calibri" w:cs="Calibri"/>
          <w:sz w:val="20"/>
          <w:szCs w:val="20"/>
        </w:rPr>
        <w:t>free survival</w:t>
      </w:r>
      <w:r w:rsidR="00AC1591" w:rsidRPr="003C68F0">
        <w:rPr>
          <w:rFonts w:ascii="Calibri" w:hAnsi="Calibri" w:cs="Calibri"/>
          <w:sz w:val="20"/>
          <w:szCs w:val="20"/>
        </w:rPr>
        <w:t xml:space="preserve"> (PFS)</w:t>
      </w:r>
      <w:r w:rsidRPr="003C68F0">
        <w:rPr>
          <w:rFonts w:ascii="Calibri" w:hAnsi="Calibri" w:cs="Calibri"/>
          <w:sz w:val="20"/>
          <w:szCs w:val="20"/>
        </w:rPr>
        <w:t>.</w:t>
      </w:r>
      <w:r w:rsidR="00853ECF" w:rsidRPr="003C68F0">
        <w:rPr>
          <w:rFonts w:ascii="Calibri" w:hAnsi="Calibri" w:cs="Calibri"/>
          <w:sz w:val="20"/>
          <w:szCs w:val="20"/>
        </w:rPr>
        <w:t xml:space="preserve"> </w:t>
      </w:r>
      <w:r w:rsidRPr="003C68F0">
        <w:rPr>
          <w:rFonts w:ascii="Calibri" w:hAnsi="Calibri" w:cs="Calibri"/>
          <w:sz w:val="20"/>
          <w:szCs w:val="20"/>
        </w:rPr>
        <w:t>30-40%</w:t>
      </w:r>
      <w:r w:rsidR="00853ECF" w:rsidRPr="003C68F0">
        <w:rPr>
          <w:rFonts w:ascii="Calibri" w:hAnsi="Calibri" w:cs="Calibri"/>
          <w:sz w:val="20"/>
          <w:szCs w:val="20"/>
        </w:rPr>
        <w:t xml:space="preserve"> </w:t>
      </w:r>
      <w:r w:rsidRPr="003C68F0">
        <w:rPr>
          <w:rFonts w:ascii="Calibri" w:hAnsi="Calibri" w:cs="Calibri"/>
          <w:sz w:val="20"/>
          <w:szCs w:val="20"/>
        </w:rPr>
        <w:t>are</w:t>
      </w:r>
      <w:r w:rsidR="00853ECF" w:rsidRPr="003C68F0">
        <w:rPr>
          <w:rFonts w:ascii="Calibri" w:hAnsi="Calibri" w:cs="Calibri"/>
          <w:sz w:val="20"/>
          <w:szCs w:val="20"/>
        </w:rPr>
        <w:t xml:space="preserve"> </w:t>
      </w:r>
      <w:r w:rsidRPr="003C68F0">
        <w:rPr>
          <w:rFonts w:ascii="Calibri" w:hAnsi="Calibri" w:cs="Calibri"/>
          <w:sz w:val="20"/>
          <w:szCs w:val="20"/>
        </w:rPr>
        <w:t>primary refractory or relapse</w:t>
      </w:r>
      <w:r w:rsidR="00853ECF" w:rsidRPr="003C68F0">
        <w:rPr>
          <w:rFonts w:ascii="Calibri" w:hAnsi="Calibri" w:cs="Calibri"/>
          <w:sz w:val="20"/>
          <w:szCs w:val="20"/>
        </w:rPr>
        <w:t xml:space="preserve"> (R/R)</w:t>
      </w:r>
      <w:r w:rsidRPr="003C68F0">
        <w:rPr>
          <w:rFonts w:ascii="Calibri" w:hAnsi="Calibri" w:cs="Calibri"/>
          <w:sz w:val="20"/>
          <w:szCs w:val="20"/>
        </w:rPr>
        <w:t xml:space="preserve"> </w:t>
      </w:r>
      <w:r w:rsidR="00853ECF" w:rsidRPr="003C68F0">
        <w:rPr>
          <w:rFonts w:ascii="Calibri" w:hAnsi="Calibri" w:cs="Calibri"/>
          <w:sz w:val="20"/>
          <w:szCs w:val="20"/>
        </w:rPr>
        <w:t>and</w:t>
      </w:r>
      <w:r w:rsidRPr="003C68F0">
        <w:rPr>
          <w:rFonts w:ascii="Calibri" w:hAnsi="Calibri" w:cs="Calibri"/>
          <w:sz w:val="20"/>
          <w:szCs w:val="20"/>
        </w:rPr>
        <w:t xml:space="preserve"> typically </w:t>
      </w:r>
      <w:r w:rsidR="00853ECF" w:rsidRPr="003C68F0">
        <w:rPr>
          <w:rFonts w:ascii="Calibri" w:hAnsi="Calibri" w:cs="Calibri"/>
          <w:sz w:val="20"/>
          <w:szCs w:val="20"/>
        </w:rPr>
        <w:t xml:space="preserve">have a </w:t>
      </w:r>
      <w:r w:rsidR="001A3EF9" w:rsidRPr="003C68F0">
        <w:rPr>
          <w:rFonts w:ascii="Calibri" w:hAnsi="Calibri" w:cs="Calibri"/>
          <w:sz w:val="20"/>
          <w:szCs w:val="20"/>
        </w:rPr>
        <w:t xml:space="preserve">poor </w:t>
      </w:r>
      <w:r w:rsidRPr="003C68F0">
        <w:rPr>
          <w:rFonts w:ascii="Calibri" w:hAnsi="Calibri" w:cs="Calibri"/>
          <w:sz w:val="20"/>
          <w:szCs w:val="20"/>
        </w:rPr>
        <w:t>prognosis.</w:t>
      </w:r>
      <w:r w:rsidRPr="003C68F0">
        <w:rPr>
          <w:rFonts w:ascii="Calibri" w:eastAsiaTheme="minorHAnsi" w:hAnsi="Calibri" w:cs="Calibri"/>
          <w:sz w:val="20"/>
          <w:szCs w:val="20"/>
          <w:lang w:eastAsia="en-US"/>
        </w:rPr>
        <w:t xml:space="preserve"> </w:t>
      </w:r>
      <w:r w:rsidR="00853ECF" w:rsidRPr="003C68F0">
        <w:rPr>
          <w:rFonts w:ascii="Calibri" w:eastAsiaTheme="minorHAnsi" w:hAnsi="Calibri" w:cs="Calibri"/>
          <w:sz w:val="20"/>
          <w:szCs w:val="20"/>
          <w:lang w:eastAsia="en-US"/>
        </w:rPr>
        <w:t>30-</w:t>
      </w:r>
      <w:r w:rsidRPr="003C68F0">
        <w:rPr>
          <w:rFonts w:ascii="Calibri" w:eastAsiaTheme="minorHAnsi" w:hAnsi="Calibri" w:cs="Calibri"/>
          <w:sz w:val="20"/>
          <w:szCs w:val="20"/>
          <w:lang w:eastAsia="en-US"/>
        </w:rPr>
        <w:t xml:space="preserve">40% respond to salvage chemotherapy and may undergo </w:t>
      </w:r>
      <w:r w:rsidR="00583435" w:rsidRPr="003C68F0">
        <w:rPr>
          <w:rFonts w:ascii="Calibri" w:eastAsiaTheme="minorHAnsi" w:hAnsi="Calibri" w:cs="Calibri"/>
          <w:sz w:val="20"/>
          <w:szCs w:val="20"/>
          <w:lang w:eastAsia="en-US"/>
        </w:rPr>
        <w:t>autologous stem-</w:t>
      </w:r>
      <w:r w:rsidRPr="003C68F0">
        <w:rPr>
          <w:rFonts w:ascii="Calibri" w:eastAsiaTheme="minorHAnsi" w:hAnsi="Calibri" w:cs="Calibri"/>
          <w:sz w:val="20"/>
          <w:szCs w:val="20"/>
          <w:lang w:eastAsia="en-US"/>
        </w:rPr>
        <w:t>cell transplantation (ASCT)</w:t>
      </w:r>
      <w:r w:rsidR="00346325" w:rsidRPr="003C68F0">
        <w:rPr>
          <w:rFonts w:ascii="Calibri" w:eastAsiaTheme="minorHAnsi" w:hAnsi="Calibri" w:cs="Calibri"/>
          <w:sz w:val="20"/>
          <w:szCs w:val="20"/>
          <w:lang w:eastAsia="en-US"/>
        </w:rPr>
        <w:t xml:space="preserve"> consolidation</w:t>
      </w:r>
      <w:r w:rsidR="003C68F0">
        <w:rPr>
          <w:rFonts w:ascii="Calibri" w:eastAsiaTheme="minorHAnsi" w:hAnsi="Calibri" w:cs="Calibri"/>
          <w:sz w:val="20"/>
          <w:szCs w:val="20"/>
          <w:lang w:eastAsia="en-US"/>
        </w:rPr>
        <w:t xml:space="preserve"> </w:t>
      </w:r>
      <w:r w:rsidR="00633C41" w:rsidRPr="003C68F0">
        <w:rPr>
          <w:rFonts w:ascii="Calibri" w:eastAsiaTheme="minorHAnsi" w:hAnsi="Calibri" w:cs="Calibri"/>
          <w:sz w:val="20"/>
          <w:szCs w:val="20"/>
          <w:lang w:eastAsia="en-US"/>
        </w:rPr>
        <w:fldChar w:fldCharType="begin" w:fldLock="1"/>
      </w:r>
      <w:r w:rsidR="008836A0" w:rsidRPr="003C68F0">
        <w:rPr>
          <w:rFonts w:ascii="Calibri" w:eastAsiaTheme="minorHAnsi" w:hAnsi="Calibri" w:cs="Calibri"/>
          <w:sz w:val="20"/>
          <w:szCs w:val="20"/>
          <w:lang w:eastAsia="en-US"/>
        </w:rPr>
        <w:instrText>ADDIN CSL_CITATION {"citationItems":[{"id":"ITEM-1","itemData":{"DOI":"10.1038/bmt.2015.213","ISBN":"0006-4971","ISSN":"14765365","PMID":"26367239","abstract":"Salvage chemotherapy followed by autologous stem cell transplantation (ASCT) is the standard second-line treatment for relapsed and refractory diffuse large B-cell lymphoma (DLBCL). However, the strategy is less clear in patients who require third-line treatment. Updated outcomes of 203 patients who could not proceed to scheduled ASCT in the Collaborative Trial in Relapsed Aggressive Lymphoma (CORAL) are herein reviewed. In the intent-to-treat analysis, overall response rate to third-line chemotherapy was 39%, with 27% CR or CR unconfirmed, and 12% PR. Among the 203 patients, 64 (31.5%) were eventually transplanted (ASCT 56, allogeneic SCT 8). Median overall survival (OS) of the entire population was 4.4 months. OS was significantly improved in patients with lower tertiary International Prognostic Index (IPI), patients responding to third-line treatment and patients transplanted with a 1-year OS of 41.6% compared with 16.3% for the not transplanted (P&lt;0.0001). In multivariate analysis, IPI at relapse (hazard ratio (HR) 2.409) and transplantation (HR 0.375) independently predicted OS. Third-line salvage chemotherapy can lead to response followed by transplantation and long-term survival in DLBCL patients. However, improvement of salvage efficacy is an urgent need with new drugs.Bone Marrow Transplantation advance online publication, 14 September 2015; doi:10.1038/bmt.2015.213.","author":[{"dropping-particle":"","family":"Neste","given":"E.","non-dropping-particle":"Van Den","parse-names":false,"suffix":""},{"dropping-particle":"","family":"Schmitz","given":"N.","non-dropping-particle":"","parse-names":false,"suffix":""},{"dropping-particle":"","family":"Mounier","given":"N.","non-dropping-particle":"","parse-names":false,"suffix":""},{"dropping-particle":"","family":"Gill","given":"D.","non-dropping-particle":"","parse-names":false,"suffix":""},{"dropping-particle":"","family":"Linch","given":"D.","non-dropping-particle":"","parse-names":false,"suffix":""},{"dropping-particle":"","family":"Trneny","given":"M.","non-dropping-particle":"","parse-names":false,"suffix":""},{"dropping-particle":"","family":"Milpied","given":"N.","non-dropping-particle":"","parse-names":false,"suffix":""},{"dropping-particle":"","family":"Radford","given":"J.","non-dropping-particle":"","parse-names":false,"suffix":""},{"dropping-particle":"","family":"Ketterer","given":"N.","non-dropping-particle":"","parse-names":false,"suffix":""},{"dropping-particle":"","family":"Shpilberg","given":"O.","non-dropping-particle":"","parse-names":false,"suffix":""},{"dropping-particle":"","family":"Dührsen","given":"U.","non-dropping-particle":"","parse-names":false,"suffix":""},{"dropping-particle":"","family":"Ma","given":"D.","non-dropping-particle":"","parse-names":false,"suffix":""},{"dropping-particle":"","family":"Brière","given":"J.","non-dropping-particle":"","parse-names":false,"suffix":""},{"dropping-particle":"","family":"Thieblemont","given":"C.","non-dropping-particle":"","parse-names":false,"suffix":""},{"dropping-particle":"","family":"Salles","given":"G.","non-dropping-particle":"","parse-names":false,"suffix":""},{"dropping-particle":"","family":"Moskowitz","given":"C. H.","non-dropping-particle":"","parse-names":false,"suffix":""},{"dropping-particle":"","family":"Glass","given":"B.","non-dropping-particle":"","parse-names":false,"suffix":""},{"dropping-particle":"","family":"Gisselbrecht","given":"C.","non-dropping-particle":"","parse-names":false,"suffix":""}],"container-title":"Bone Marrow Transplantation","id":"ITEM-1","issue":"1","issued":{"date-parts":[["2016"]]},"page":"51-57","title":"Outcome of patients with relapsed diffuse large B-cell lymphoma who fail second-line salvage regimens in the International CORAL study","type":"article-journal","volume":"51"},"uris":["http://www.mendeley.com/documents/?uuid=7a1291e7-133f-4eac-a48b-606416c883cd"]}],"mendeley":{"formattedCitation":"&lt;sup&gt;1&lt;/sup&gt;","plainTextFormattedCitation":"1","previouslyFormattedCitation":"&lt;sup&gt;1&lt;/sup&gt;"},"properties":{"noteIndex":0},"schema":"https://github.com/citation-style-language/schema/raw/master/csl-citation.json"}</w:instrText>
      </w:r>
      <w:r w:rsidR="00633C41" w:rsidRPr="003C68F0">
        <w:rPr>
          <w:rFonts w:ascii="Calibri" w:eastAsiaTheme="minorHAnsi" w:hAnsi="Calibri" w:cs="Calibri"/>
          <w:sz w:val="20"/>
          <w:szCs w:val="20"/>
          <w:lang w:eastAsia="en-US"/>
        </w:rPr>
        <w:fldChar w:fldCharType="separate"/>
      </w:r>
      <w:r w:rsidR="00633C41" w:rsidRPr="003C68F0">
        <w:rPr>
          <w:rFonts w:ascii="Calibri" w:eastAsiaTheme="minorHAnsi" w:hAnsi="Calibri" w:cs="Calibri"/>
          <w:noProof/>
          <w:sz w:val="20"/>
          <w:szCs w:val="20"/>
          <w:lang w:eastAsia="en-US"/>
        </w:rPr>
        <w:t>1</w:t>
      </w:r>
      <w:r w:rsidR="00633C41" w:rsidRPr="003C68F0">
        <w:rPr>
          <w:rFonts w:ascii="Calibri" w:eastAsiaTheme="minorHAnsi" w:hAnsi="Calibri" w:cs="Calibri"/>
          <w:sz w:val="20"/>
          <w:szCs w:val="20"/>
          <w:lang w:eastAsia="en-US"/>
        </w:rPr>
        <w:fldChar w:fldCharType="end"/>
      </w:r>
      <w:r w:rsidR="00346325" w:rsidRPr="003C68F0">
        <w:rPr>
          <w:rFonts w:ascii="Calibri" w:eastAsiaTheme="minorHAnsi" w:hAnsi="Calibri" w:cs="Calibri"/>
          <w:sz w:val="20"/>
          <w:szCs w:val="20"/>
          <w:lang w:eastAsia="en-US"/>
        </w:rPr>
        <w:t xml:space="preserve"> although 50% </w:t>
      </w:r>
      <w:r w:rsidR="007D7C69" w:rsidRPr="007D7C69">
        <w:rPr>
          <w:rFonts w:ascii="Calibri" w:eastAsiaTheme="minorHAnsi" w:hAnsi="Calibri" w:cs="Calibri"/>
          <w:color w:val="C00000"/>
          <w:sz w:val="20"/>
          <w:szCs w:val="20"/>
          <w:lang w:eastAsia="en-US"/>
        </w:rPr>
        <w:t xml:space="preserve">of these DLBCL cases </w:t>
      </w:r>
      <w:r w:rsidR="00346325" w:rsidRPr="007D7C69">
        <w:rPr>
          <w:rFonts w:ascii="Calibri" w:eastAsiaTheme="minorHAnsi" w:hAnsi="Calibri" w:cs="Calibri"/>
          <w:color w:val="C00000"/>
          <w:sz w:val="20"/>
          <w:szCs w:val="20"/>
          <w:lang w:eastAsia="en-US"/>
        </w:rPr>
        <w:t xml:space="preserve">will </w:t>
      </w:r>
      <w:r w:rsidRPr="007D7C69">
        <w:rPr>
          <w:rFonts w:ascii="Calibri" w:eastAsiaTheme="minorHAnsi" w:hAnsi="Calibri" w:cs="Calibri"/>
          <w:color w:val="C00000"/>
          <w:sz w:val="20"/>
          <w:szCs w:val="20"/>
          <w:lang w:eastAsia="en-US"/>
        </w:rPr>
        <w:t>relapse</w:t>
      </w:r>
      <w:r w:rsidRPr="003C68F0">
        <w:rPr>
          <w:rFonts w:ascii="Calibri" w:eastAsiaTheme="minorHAnsi" w:hAnsi="Calibri" w:cs="Calibri"/>
          <w:sz w:val="20"/>
          <w:szCs w:val="20"/>
          <w:lang w:eastAsia="en-US"/>
        </w:rPr>
        <w:t xml:space="preserve">. Primary refractory </w:t>
      </w:r>
      <w:r w:rsidR="007D7C69">
        <w:rPr>
          <w:rFonts w:ascii="Calibri" w:eastAsiaTheme="minorHAnsi" w:hAnsi="Calibri" w:cs="Calibri"/>
          <w:color w:val="C00000"/>
          <w:sz w:val="20"/>
          <w:szCs w:val="20"/>
          <w:lang w:eastAsia="en-US"/>
        </w:rPr>
        <w:t xml:space="preserve">DLBCL </w:t>
      </w:r>
      <w:r w:rsidRPr="003C68F0">
        <w:rPr>
          <w:rFonts w:ascii="Calibri" w:eastAsiaTheme="minorHAnsi" w:hAnsi="Calibri" w:cs="Calibri"/>
          <w:sz w:val="20"/>
          <w:szCs w:val="20"/>
          <w:lang w:eastAsia="en-US"/>
        </w:rPr>
        <w:t xml:space="preserve">or </w:t>
      </w:r>
      <w:r w:rsidRPr="007D7C69">
        <w:rPr>
          <w:rFonts w:ascii="Calibri" w:eastAsiaTheme="minorHAnsi" w:hAnsi="Calibri" w:cs="Calibri"/>
          <w:color w:val="C00000"/>
          <w:sz w:val="20"/>
          <w:szCs w:val="20"/>
          <w:lang w:eastAsia="en-US"/>
        </w:rPr>
        <w:t>relapse</w:t>
      </w:r>
      <w:r w:rsidR="007D7C69" w:rsidRPr="007D7C69">
        <w:rPr>
          <w:rFonts w:ascii="Calibri" w:eastAsiaTheme="minorHAnsi" w:hAnsi="Calibri" w:cs="Calibri"/>
          <w:color w:val="C00000"/>
          <w:sz w:val="20"/>
          <w:szCs w:val="20"/>
          <w:lang w:eastAsia="en-US"/>
        </w:rPr>
        <w:t>d DLBCL</w:t>
      </w:r>
      <w:r w:rsidR="007D7C69">
        <w:rPr>
          <w:rFonts w:ascii="Calibri" w:eastAsiaTheme="minorHAnsi" w:hAnsi="Calibri" w:cs="Calibri"/>
          <w:color w:val="C00000"/>
          <w:sz w:val="20"/>
          <w:szCs w:val="20"/>
          <w:lang w:eastAsia="en-US"/>
        </w:rPr>
        <w:t xml:space="preserve"> in patients</w:t>
      </w:r>
      <w:r w:rsidRPr="007D7C69">
        <w:rPr>
          <w:rFonts w:ascii="Calibri" w:eastAsiaTheme="minorHAnsi" w:hAnsi="Calibri" w:cs="Calibri"/>
          <w:color w:val="C00000"/>
          <w:sz w:val="20"/>
          <w:szCs w:val="20"/>
          <w:lang w:eastAsia="en-US"/>
        </w:rPr>
        <w:t xml:space="preserve"> </w:t>
      </w:r>
      <w:r w:rsidR="00394F92" w:rsidRPr="003C68F0">
        <w:rPr>
          <w:rFonts w:ascii="Calibri" w:eastAsiaTheme="minorHAnsi" w:hAnsi="Calibri" w:cs="Calibri"/>
          <w:sz w:val="20"/>
          <w:szCs w:val="20"/>
          <w:lang w:eastAsia="en-US"/>
        </w:rPr>
        <w:t>&lt;</w:t>
      </w:r>
      <w:r w:rsidRPr="003C68F0">
        <w:rPr>
          <w:rFonts w:ascii="Calibri" w:eastAsiaTheme="minorHAnsi" w:hAnsi="Calibri" w:cs="Calibri"/>
          <w:sz w:val="20"/>
          <w:szCs w:val="20"/>
          <w:lang w:eastAsia="en-US"/>
        </w:rPr>
        <w:t xml:space="preserve">12 months </w:t>
      </w:r>
      <w:r w:rsidR="00394F92" w:rsidRPr="003C68F0">
        <w:rPr>
          <w:rFonts w:ascii="Calibri" w:eastAsiaTheme="minorHAnsi" w:hAnsi="Calibri" w:cs="Calibri"/>
          <w:sz w:val="20"/>
          <w:szCs w:val="20"/>
          <w:lang w:eastAsia="en-US"/>
        </w:rPr>
        <w:t>post-</w:t>
      </w:r>
      <w:r w:rsidRPr="003C68F0">
        <w:rPr>
          <w:rFonts w:ascii="Calibri" w:eastAsiaTheme="minorHAnsi" w:hAnsi="Calibri" w:cs="Calibri"/>
          <w:sz w:val="20"/>
          <w:szCs w:val="20"/>
          <w:lang w:eastAsia="en-US"/>
        </w:rPr>
        <w:t>ASCT have a median overall survival (OS) of 6.3 months</w:t>
      </w:r>
      <w:r w:rsidR="003C68F0">
        <w:rPr>
          <w:rFonts w:ascii="Calibri" w:eastAsiaTheme="minorHAnsi" w:hAnsi="Calibri" w:cs="Calibri"/>
          <w:sz w:val="20"/>
          <w:szCs w:val="20"/>
          <w:lang w:eastAsia="en-US"/>
        </w:rPr>
        <w:t xml:space="preserve"> </w:t>
      </w:r>
      <w:r w:rsidR="00633C41" w:rsidRPr="003C68F0">
        <w:rPr>
          <w:rFonts w:ascii="Calibri" w:eastAsiaTheme="minorHAnsi" w:hAnsi="Calibri" w:cs="Calibri"/>
          <w:sz w:val="20"/>
          <w:szCs w:val="20"/>
          <w:lang w:eastAsia="en-US"/>
        </w:rPr>
        <w:fldChar w:fldCharType="begin" w:fldLock="1"/>
      </w:r>
      <w:r w:rsidR="008836A0" w:rsidRPr="003C68F0">
        <w:rPr>
          <w:rFonts w:ascii="Calibri" w:eastAsiaTheme="minorHAnsi" w:hAnsi="Calibri" w:cs="Calibri"/>
          <w:sz w:val="20"/>
          <w:szCs w:val="20"/>
          <w:lang w:eastAsia="en-US"/>
        </w:rPr>
        <w:instrText>ADDIN CSL_CITATION {"citationItems":[{"id":"ITEM-1","itemData":{"DOI":"10.1182/blood-2017-03-769620","ISBN":"0006-4971","ISSN":"15280020","PMID":"28774879","abstract":"Diffuse large B-cell lymphoma (DLBCL) is the most common subtype of non-Hodgkin lymphoma. Although 5-year survival rates in the first-line setting range from 60% to 70%, up to 50% of patients become refractory to or relapse after treatment. Published analyses of large-scale outcome data from patients with refractory DLBCL are limited. SCHOLAR-1, an international, multicohort retrospective non-Hodgkin lymphoma research study, retrospectively evaluated outcomes in patients with refractory DLBCL which, for this study, was defined as progressive disease or stable disease as best response at any point during chemotherapy (&gt;4 cycles of first-line or 2 cycles of later-line therapy) or relapsed at ≤12 months from autologous stem cell transplantation. SCHOLAR-1 pooled data from 2 phase 3 clinical trials (Lymphoma Academic Research Organization-CORAL and Canadian Cancer Trials Group LY.12) and 2 observational cohorts (MD Anderson Cancer Center and University of Iowa/Mayo Clinic Lymphoma Specialized Program of Research Excellence). Response rates and overall survival were estimated from the time of initiation of salvage therapy for refractory disease. Among 861 patients, 636 were included on the basis of refractory disease inclusion criteria. For patients with refractory DLBCL, the objective response rate was 26% (complete response rate, 7%) to the next line of therapy, and the median overall survival was 6.3 months. Twenty percent of patients were alive at 2 years. Outcomes were consistently poor across patient subgroups and study cohorts. SCHOLAR-1 is the largest patient-level pooled retrospective analysis to characterize response rates and survival for a population of patients with refractory DLBCL.","author":[{"dropping-particle":"","family":"Crump","given":"Michael","non-dropping-particle":"","parse-names":false,"suffix":""},{"dropping-particle":"","family":"Neelapu","given":"Sattva S.","non-dropping-particle":"","parse-names":false,"suffix":""},{"dropping-particle":"","family":"Farooq","given":"Umar","non-dropping-particle":"","parse-names":false,"suffix":""},{"dropping-particle":"","family":"Neste","given":"Eric","non-dropping-particle":"Van Den","parse-names":false,"suffix":""},{"dropping-particle":"","family":"Kuruvilla","given":"John","non-dropping-particle":"","parse-names":false,"suffix":""},{"dropping-particle":"","family":"Westin","given":"Jason","non-dropping-particle":"","parse-names":false,"suffix":""},{"dropping-particle":"","family":"Link","given":"Brian K.","non-dropping-particle":"","parse-names":false,"suffix":""},{"dropping-particle":"","family":"Hay","given":"Annette","non-dropping-particle":"","parse-names":false,"suffix":""},{"dropping-particle":"","family":"Cerhan","given":"James R.","non-dropping-particle":"","parse-names":false,"suffix":""},{"dropping-particle":"","family":"Zhu","given":"Liting","non-dropping-particle":"","parse-names":false,"suffix":""},{"dropping-particle":"","family":"Boussetta","given":"Sami","non-dropping-particle":"","parse-names":false,"suffix":""},{"dropping-particle":"","family":"Feng","given":"Lei","non-dropping-particle":"","parse-names":false,"suffix":""},{"dropping-particle":"","family":"Maurer","given":"Matthew J.","non-dropping-particle":"","parse-names":false,"suffix":""},{"dropping-particle":"","family":"Navale","given":"Lynn","non-dropping-particle":"","parse-names":false,"suffix":""},{"dropping-particle":"","family":"Wiezorek","given":"Jeff","non-dropping-particle":"","parse-names":false,"suffix":""},{"dropping-particle":"","family":"Go","given":"William Y.","non-dropping-particle":"","parse-names":false,"suffix":""},{"dropping-particle":"","family":"Gisselbrecht","given":"Christian","non-dropping-particle":"","parse-names":false,"suffix":""}],"container-title":"Blood","id":"ITEM-1","issue":"16","issued":{"date-parts":[["2017"]]},"page":"1800-1808","title":"Outcomes in refractory diffuse large B-cell lymphoma: Results from the international SCHOLAR-1 study","type":"article-journal","volume":"130"},"uris":["http://www.mendeley.com/documents/?uuid=c0ecf200-e5e1-43ab-b17d-faaccf7380fc"]}],"mendeley":{"formattedCitation":"&lt;sup&gt;2&lt;/sup&gt;","plainTextFormattedCitation":"2","previouslyFormattedCitation":"&lt;sup&gt;2&lt;/sup&gt;"},"properties":{"noteIndex":0},"schema":"https://github.com/citation-style-language/schema/raw/master/csl-citation.json"}</w:instrText>
      </w:r>
      <w:r w:rsidR="00633C41" w:rsidRPr="003C68F0">
        <w:rPr>
          <w:rFonts w:ascii="Calibri" w:eastAsiaTheme="minorHAnsi" w:hAnsi="Calibri" w:cs="Calibri"/>
          <w:sz w:val="20"/>
          <w:szCs w:val="20"/>
          <w:lang w:eastAsia="en-US"/>
        </w:rPr>
        <w:fldChar w:fldCharType="separate"/>
      </w:r>
      <w:r w:rsidR="00633C41" w:rsidRPr="003C68F0">
        <w:rPr>
          <w:rFonts w:ascii="Calibri" w:eastAsiaTheme="minorHAnsi" w:hAnsi="Calibri" w:cs="Calibri"/>
          <w:noProof/>
          <w:sz w:val="20"/>
          <w:szCs w:val="20"/>
          <w:lang w:eastAsia="en-US"/>
        </w:rPr>
        <w:t>2</w:t>
      </w:r>
      <w:r w:rsidR="00633C41" w:rsidRPr="003C68F0">
        <w:rPr>
          <w:rFonts w:ascii="Calibri" w:eastAsiaTheme="minorHAnsi" w:hAnsi="Calibri" w:cs="Calibri"/>
          <w:sz w:val="20"/>
          <w:szCs w:val="20"/>
          <w:lang w:eastAsia="en-US"/>
        </w:rPr>
        <w:fldChar w:fldCharType="end"/>
      </w:r>
      <w:r w:rsidRPr="003C68F0">
        <w:rPr>
          <w:rFonts w:ascii="Calibri" w:eastAsiaTheme="minorHAnsi" w:hAnsi="Calibri" w:cs="Calibri"/>
          <w:sz w:val="20"/>
          <w:szCs w:val="20"/>
          <w:lang w:eastAsia="en-US"/>
        </w:rPr>
        <w:t xml:space="preserve">. </w:t>
      </w:r>
      <w:r w:rsidR="00853ECF" w:rsidRPr="003C68F0">
        <w:rPr>
          <w:rFonts w:ascii="Calibri" w:hAnsi="Calibri" w:cs="Calibri"/>
          <w:sz w:val="20"/>
          <w:szCs w:val="20"/>
        </w:rPr>
        <w:t>There remains no widely applicable</w:t>
      </w:r>
      <w:r w:rsidRPr="003C68F0">
        <w:rPr>
          <w:rFonts w:ascii="Calibri" w:hAnsi="Calibri" w:cs="Calibri"/>
          <w:sz w:val="20"/>
          <w:szCs w:val="20"/>
        </w:rPr>
        <w:t xml:space="preserve"> standard of care in this setting. </w:t>
      </w:r>
    </w:p>
    <w:p w14:paraId="3B6768E2" w14:textId="172E104F" w:rsidR="00B049F9" w:rsidRPr="003C68F0" w:rsidRDefault="00B049F9" w:rsidP="00B049F9">
      <w:pPr>
        <w:pStyle w:val="NormalWeb"/>
        <w:spacing w:line="360" w:lineRule="auto"/>
        <w:rPr>
          <w:rFonts w:ascii="Calibri" w:hAnsi="Calibri" w:cs="Calibri"/>
          <w:sz w:val="20"/>
          <w:szCs w:val="20"/>
        </w:rPr>
      </w:pPr>
      <w:r w:rsidRPr="003C68F0">
        <w:rPr>
          <w:rFonts w:ascii="Calibri" w:hAnsi="Calibri" w:cs="Calibri"/>
          <w:sz w:val="20"/>
          <w:szCs w:val="20"/>
        </w:rPr>
        <w:t xml:space="preserve">PI3K/AKT/mTOR is </w:t>
      </w:r>
      <w:r w:rsidRPr="007D7C69">
        <w:rPr>
          <w:rFonts w:ascii="Calibri" w:hAnsi="Calibri" w:cs="Calibri"/>
          <w:color w:val="C00000"/>
          <w:sz w:val="20"/>
          <w:szCs w:val="20"/>
        </w:rPr>
        <w:t>a</w:t>
      </w:r>
      <w:r w:rsidR="007D7C69" w:rsidRPr="007D7C69">
        <w:rPr>
          <w:rFonts w:ascii="Calibri" w:hAnsi="Calibri" w:cs="Calibri"/>
          <w:color w:val="C00000"/>
          <w:sz w:val="20"/>
          <w:szCs w:val="20"/>
        </w:rPr>
        <w:t>n</w:t>
      </w:r>
      <w:r w:rsidRPr="003C68F0">
        <w:rPr>
          <w:rFonts w:ascii="Calibri" w:hAnsi="Calibri" w:cs="Calibri"/>
          <w:sz w:val="20"/>
          <w:szCs w:val="20"/>
        </w:rPr>
        <w:t xml:space="preserve"> </w:t>
      </w:r>
      <w:r w:rsidRPr="007D7C69">
        <w:rPr>
          <w:rFonts w:ascii="Calibri" w:hAnsi="Calibri" w:cs="Calibri"/>
          <w:color w:val="C00000"/>
          <w:sz w:val="20"/>
          <w:szCs w:val="20"/>
        </w:rPr>
        <w:t xml:space="preserve">evolutionarily </w:t>
      </w:r>
      <w:r w:rsidR="007D7C69" w:rsidRPr="007D7C69">
        <w:rPr>
          <w:rFonts w:ascii="Calibri" w:hAnsi="Calibri" w:cs="Calibri"/>
          <w:color w:val="C00000"/>
          <w:sz w:val="20"/>
          <w:szCs w:val="20"/>
        </w:rPr>
        <w:t xml:space="preserve">conserved </w:t>
      </w:r>
      <w:r w:rsidRPr="003C68F0">
        <w:rPr>
          <w:rFonts w:ascii="Calibri" w:hAnsi="Calibri" w:cs="Calibri"/>
          <w:sz w:val="20"/>
          <w:szCs w:val="20"/>
        </w:rPr>
        <w:t>pathway that adjusts protein synthesis to regulate cell</w:t>
      </w:r>
      <w:r w:rsidR="00346325" w:rsidRPr="003C68F0">
        <w:rPr>
          <w:rFonts w:ascii="Calibri" w:hAnsi="Calibri" w:cs="Calibri"/>
          <w:sz w:val="20"/>
          <w:szCs w:val="20"/>
        </w:rPr>
        <w:t xml:space="preserve"> </w:t>
      </w:r>
      <w:r w:rsidRPr="003C68F0">
        <w:rPr>
          <w:rFonts w:ascii="Calibri" w:hAnsi="Calibri" w:cs="Calibri"/>
          <w:sz w:val="20"/>
          <w:szCs w:val="20"/>
        </w:rPr>
        <w:t xml:space="preserve">proliferation by integrating signals from growth factors, hormones, nutrients and energy metabolism. It is a commonly deregulated </w:t>
      </w:r>
      <w:r w:rsidR="00853ECF" w:rsidRPr="003C68F0">
        <w:rPr>
          <w:rFonts w:ascii="Calibri" w:hAnsi="Calibri" w:cs="Calibri"/>
          <w:sz w:val="20"/>
          <w:szCs w:val="20"/>
        </w:rPr>
        <w:t>pathway in B-</w:t>
      </w:r>
      <w:r w:rsidRPr="003C68F0">
        <w:rPr>
          <w:rFonts w:ascii="Calibri" w:hAnsi="Calibri" w:cs="Calibri"/>
          <w:sz w:val="20"/>
          <w:szCs w:val="20"/>
        </w:rPr>
        <w:t xml:space="preserve">cell malignancies </w:t>
      </w:r>
      <w:r w:rsidR="00853ECF" w:rsidRPr="003C68F0">
        <w:rPr>
          <w:rFonts w:ascii="Calibri" w:hAnsi="Calibri" w:cs="Calibri"/>
          <w:sz w:val="20"/>
          <w:szCs w:val="20"/>
        </w:rPr>
        <w:t>with</w:t>
      </w:r>
      <w:r w:rsidRPr="003C68F0">
        <w:rPr>
          <w:rFonts w:ascii="Calibri" w:hAnsi="Calibri" w:cs="Calibri"/>
          <w:sz w:val="20"/>
          <w:szCs w:val="20"/>
        </w:rPr>
        <w:t xml:space="preserve"> aberrant activation </w:t>
      </w:r>
      <w:r w:rsidR="00853ECF" w:rsidRPr="003C68F0">
        <w:rPr>
          <w:rFonts w:ascii="Calibri" w:hAnsi="Calibri" w:cs="Calibri"/>
          <w:sz w:val="20"/>
          <w:szCs w:val="20"/>
        </w:rPr>
        <w:t>associated with</w:t>
      </w:r>
      <w:r w:rsidRPr="003C68F0">
        <w:rPr>
          <w:rFonts w:ascii="Calibri" w:hAnsi="Calibri" w:cs="Calibri"/>
          <w:sz w:val="20"/>
          <w:szCs w:val="20"/>
        </w:rPr>
        <w:t xml:space="preserve"> poor prognosis</w:t>
      </w:r>
      <w:r w:rsidR="003C68F0">
        <w:rPr>
          <w:rFonts w:ascii="Calibri" w:hAnsi="Calibri" w:cs="Calibri"/>
          <w:sz w:val="20"/>
          <w:szCs w:val="20"/>
        </w:rPr>
        <w:t xml:space="preserve"> </w:t>
      </w:r>
      <w:r w:rsidR="00633C41" w:rsidRPr="003C68F0">
        <w:rPr>
          <w:rFonts w:ascii="Calibri" w:hAnsi="Calibri" w:cs="Calibri"/>
          <w:sz w:val="20"/>
          <w:szCs w:val="20"/>
        </w:rPr>
        <w:fldChar w:fldCharType="begin" w:fldLock="1"/>
      </w:r>
      <w:r w:rsidR="008836A0" w:rsidRPr="003C68F0">
        <w:rPr>
          <w:rFonts w:ascii="Calibri" w:hAnsi="Calibri" w:cs="Calibri"/>
          <w:sz w:val="20"/>
          <w:szCs w:val="20"/>
        </w:rPr>
        <w:instrText>ADDIN CSL_CITATION {"citationItems":[{"id":"ITEM-1","itemData":{"DOI":"10.1182/blood-2006-04-016907","ISBN":"0006-4971 (Print)\\r0006-4971 (Linking)","ISSN":"00064971","PMID":"16946303","abstract":"Phosphatidylinositol 3'-kinase (PI3K) is a key player in cell-growth signaling in a number of lymphoid malignancies, but its role in diffuse large B-cell lymphoma (DLBCL) has not been fully elucidated. Therefore, we investigated the role of the PI3K/AKT pathway in a panel of 5 DLBCL cell lines and 100 clinical samples. Inhibition of PI3K by a specific inhibitor, LY294002, induced apoptosis in SUDHL4, SUDHL5, and SUDHL10 (LY-sensitive) cells, whereas SUDHL8 and OCI-LY19 (LY-resistant) cells were refractory to LY294002-induced apoptosis. AKT was phosphorylated in 5 of 5 DLBCL cell lines and inhibition of PI3K caused dephosphorylation/inactivation of constitutively active AKT, FOXO transcription factor, and GSK3 in LY-sensitive cell lines. In addition, there was a decrease in the expression level of inhibitory apoptotic protein, XIAP, in the DLBCL cell lines sensitive to LY294002 after treatment. However, no effect was observed in XIAP protein levels in the resistant DLBCL cell lines following LY294002 treatment. Finally, using immunohistochemistry, p-AKT was detected in 52% of DLBCL tumors tested. Furthermore, in univariate analysis, high p-AKT expression was associated with short survival. In multivariate analysis, this correlation was no longer significant. Altogether, these results suggest that the PI3K/AKT pathway may be a potential target for therapeutic intervention in DLBCL.","author":[{"dropping-particle":"","family":"Uddin","given":"Shahab","non-dropping-particle":"","parse-names":false,"suffix":""},{"dropping-particle":"","family":"Hussain","given":"Azhar R.","non-dropping-particle":"","parse-names":false,"suffix":""},{"dropping-particle":"","family":"Siraj","given":"Abdul K.","non-dropping-particle":"","parse-names":false,"suffix":""},{"dropping-particle":"","family":"Manogaran","given":"Pulicat S.","non-dropping-particle":"","parse-names":false,"suffix":""},{"dropping-particle":"","family":"Al-Jomah","given":"Naif A.","non-dropping-particle":"","parse-names":false,"suffix":""},{"dropping-particle":"","family":"Moorji","given":"Azadali","non-dropping-particle":"","parse-names":false,"suffix":""},{"dropping-particle":"","family":"Atizado","given":"Valerie","non-dropping-particle":"","parse-names":false,"suffix":""},{"dropping-particle":"","family":"Al-Dayel","given":"Fouad","non-dropping-particle":"","parse-names":false,"suffix":""},{"dropping-particle":"","family":"Belgaumi","given":"Asim","non-dropping-particle":"","parse-names":false,"suffix":""},{"dropping-particle":"","family":"El-Solh","given":"Hassan","non-dropping-particle":"","parse-names":false,"suffix":""},{"dropping-particle":"","family":"Ezzat","given":"Adnan","non-dropping-particle":"","parse-names":false,"suffix":""},{"dropping-particle":"","family":"Bavi","given":"Prashant","non-dropping-particle":"","parse-names":false,"suffix":""},{"dropping-particle":"","family":"Al-Kuraya","given":"Khawla S.","non-dropping-particle":"","parse-names":false,"suffix":""}],"container-title":"Blood","id":"ITEM-1","issue":"13","issued":{"date-parts":[["2006"]]},"page":"4178-4186","title":"Role of phosphatidylinositol 3???-kinase/AKT pathway in diffuse large B-cell lymphoma survival","type":"article-journal","volume":"108"},"uris":["http://www.mendeley.com/documents/?uuid=510a631f-82b3-469a-8b08-9ce5d45e0d05"]}],"mendeley":{"formattedCitation":"&lt;sup&gt;3&lt;/sup&gt;","plainTextFormattedCitation":"3","previouslyFormattedCitation":"&lt;sup&gt;3&lt;/sup&gt;"},"properties":{"noteIndex":0},"schema":"https://github.com/citation-style-language/schema/raw/master/csl-citation.json"}</w:instrText>
      </w:r>
      <w:r w:rsidR="00633C41" w:rsidRPr="003C68F0">
        <w:rPr>
          <w:rFonts w:ascii="Calibri" w:hAnsi="Calibri" w:cs="Calibri"/>
          <w:sz w:val="20"/>
          <w:szCs w:val="20"/>
        </w:rPr>
        <w:fldChar w:fldCharType="separate"/>
      </w:r>
      <w:r w:rsidR="00633C41" w:rsidRPr="003C68F0">
        <w:rPr>
          <w:rFonts w:ascii="Calibri" w:hAnsi="Calibri" w:cs="Calibri"/>
          <w:noProof/>
          <w:sz w:val="20"/>
          <w:szCs w:val="20"/>
        </w:rPr>
        <w:t>3</w:t>
      </w:r>
      <w:r w:rsidR="00633C41" w:rsidRPr="003C68F0">
        <w:rPr>
          <w:rFonts w:ascii="Calibri" w:hAnsi="Calibri" w:cs="Calibri"/>
          <w:sz w:val="20"/>
          <w:szCs w:val="20"/>
        </w:rPr>
        <w:fldChar w:fldCharType="end"/>
      </w:r>
      <w:r w:rsidRPr="003C68F0">
        <w:rPr>
          <w:rFonts w:ascii="Calibri" w:hAnsi="Calibri" w:cs="Calibri"/>
          <w:sz w:val="20"/>
          <w:szCs w:val="20"/>
        </w:rPr>
        <w:t>. Mechanisms of abe</w:t>
      </w:r>
      <w:r w:rsidR="00394F92" w:rsidRPr="003C68F0">
        <w:rPr>
          <w:rFonts w:ascii="Calibri" w:hAnsi="Calibri" w:cs="Calibri"/>
          <w:sz w:val="20"/>
          <w:szCs w:val="20"/>
        </w:rPr>
        <w:t>rrant activation</w:t>
      </w:r>
      <w:r w:rsidRPr="003C68F0">
        <w:rPr>
          <w:rFonts w:ascii="Calibri" w:hAnsi="Calibri" w:cs="Calibri"/>
          <w:sz w:val="20"/>
          <w:szCs w:val="20"/>
        </w:rPr>
        <w:t xml:space="preserve"> include activating PI3K and AKT mutations; inactivation of the negative </w:t>
      </w:r>
      <w:r w:rsidR="00346325" w:rsidRPr="003C68F0">
        <w:rPr>
          <w:rFonts w:ascii="Calibri" w:hAnsi="Calibri" w:cs="Calibri"/>
          <w:sz w:val="20"/>
          <w:szCs w:val="20"/>
        </w:rPr>
        <w:t xml:space="preserve">pathway </w:t>
      </w:r>
      <w:r w:rsidRPr="003C68F0">
        <w:rPr>
          <w:rFonts w:ascii="Calibri" w:hAnsi="Calibri" w:cs="Calibri"/>
          <w:sz w:val="20"/>
          <w:szCs w:val="20"/>
        </w:rPr>
        <w:t xml:space="preserve">regulator, PTEN, in germinal centre </w:t>
      </w:r>
      <w:r w:rsidR="00853ECF" w:rsidRPr="003C68F0">
        <w:rPr>
          <w:rFonts w:ascii="Calibri" w:hAnsi="Calibri" w:cs="Calibri"/>
          <w:sz w:val="20"/>
          <w:szCs w:val="20"/>
        </w:rPr>
        <w:t>B-</w:t>
      </w:r>
      <w:r w:rsidRPr="003C68F0">
        <w:rPr>
          <w:rFonts w:ascii="Calibri" w:hAnsi="Calibri" w:cs="Calibri"/>
          <w:sz w:val="20"/>
          <w:szCs w:val="20"/>
        </w:rPr>
        <w:t xml:space="preserve">cell (GCB) type DLBCL and upregulation of downstream effector molecules in </w:t>
      </w:r>
      <w:r w:rsidR="00853ECF" w:rsidRPr="003C68F0">
        <w:rPr>
          <w:rFonts w:ascii="Calibri" w:hAnsi="Calibri" w:cs="Calibri"/>
          <w:sz w:val="20"/>
          <w:szCs w:val="20"/>
        </w:rPr>
        <w:t>activated B-</w:t>
      </w:r>
      <w:r w:rsidRPr="003C68F0">
        <w:rPr>
          <w:rFonts w:ascii="Calibri" w:hAnsi="Calibri" w:cs="Calibri"/>
          <w:sz w:val="20"/>
          <w:szCs w:val="20"/>
        </w:rPr>
        <w:t>cell (ABC) DLBCL</w:t>
      </w:r>
      <w:r w:rsidR="003C68F0">
        <w:rPr>
          <w:rFonts w:ascii="Calibri" w:hAnsi="Calibri" w:cs="Calibri"/>
          <w:sz w:val="20"/>
          <w:szCs w:val="20"/>
        </w:rPr>
        <w:t xml:space="preserve"> </w:t>
      </w:r>
      <w:r w:rsidR="00633C41" w:rsidRPr="003C68F0">
        <w:rPr>
          <w:rFonts w:ascii="Calibri" w:hAnsi="Calibri" w:cs="Calibri"/>
          <w:sz w:val="20"/>
          <w:szCs w:val="20"/>
        </w:rPr>
        <w:fldChar w:fldCharType="begin" w:fldLock="1"/>
      </w:r>
      <w:r w:rsidR="008836A0" w:rsidRPr="003C68F0">
        <w:rPr>
          <w:rFonts w:ascii="Calibri" w:hAnsi="Calibri" w:cs="Calibri"/>
          <w:sz w:val="20"/>
          <w:szCs w:val="20"/>
        </w:rPr>
        <w:instrText>ADDIN CSL_CITATION {"citationItems":[{"id":"ITEM-1","itemData":{"DOI":"10.18632/oncotarget.7036","ISBN":"1949-2553","ISSN":"1949-2553","PMID":"26824321","abstract":"//     Scott A. Ezell 1 , Suping Wang 1 , Teeru Bihani 1 , Zhongwu Lai 1 , Shaun E. Grosskurth 1 , Suprawee Tepsuporn 1 , Barry R. Davies 2 , Dennis Huszar 1  and Kate F. Byth 1     1  AstraZeneca Oncology, Waltham, Massachusetts, MA, USA    2  AstraZeneca Oncology, Macclesfield, Cheshire, UK   Correspondence to:   Kate F. Byth, email:  //       Keywords : mTOR, DLBCL, AKT, Ibrutinib, S6K1    Received : July 15, 2015  Accepted : January 19, 2016  Published : January 27, 2016    Abstract   Agents that target components of the PI3K/AKT/mTOR pathway are under investigation for the treatment of diffuse large B cell lymphoma (DLBCL). Given the highly heterogeneous nature of DLBCL, it is not clear whether all subtypes of DLBCL will be susceptible to PI3K pathway inhibition, or which kinase within this pathway is the most favorable target. Pharmacological profiling of a panel of DLBCL cell lines revealed a subset of DLBCL that was resistant to AKT inhibition. Strikingly, sensitivity to AKT inhibitors correlated with the ability of these inhibitors to block phosphorylation of S6K1 and ribosomal protein S6. Cell lines resistant to AKT inhibition activated S6K1 independent of AKT either through upregulation of PIM2 or through activation by B cell receptor (BCR) signaling components. Finally, combined inhibition of AKT and BTK, PIM2, or S6K1 proved to be an effective strategy to overcome resistance to AKT inhibition in DLBCL.","author":[{"dropping-particle":"","family":"Ezell","given":"Scott A.","non-dropping-particle":"","parse-names":false,"suffix":""},{"dropping-particle":"","family":"Wang","given":"Suping","non-dropping-particle":"","parse-names":false,"suffix":""},{"dropping-particle":"","family":"Bihani","given":"Teeru","non-dropping-particle":"","parse-names":false,"suffix":""},{"dropping-particle":"","family":"Lai","given":"Zhongwu","non-dropping-particle":"","parse-names":false,"suffix":""},{"dropping-particle":"","family":"Grosskurth","given":"Shaun E.","non-dropping-particle":"","parse-names":false,"suffix":""},{"dropping-particle":"","family":"Tepsuporn","given":"Suprawee","non-dropping-particle":"","parse-names":false,"suffix":""},{"dropping-particle":"","family":"Davies","given":"Barry R.","non-dropping-particle":"","parse-names":false,"suffix":""},{"dropping-particle":"","family":"Huszar","given":"Dennis","non-dropping-particle":"","parse-names":false,"suffix":""},{"dropping-particle":"","family":"Byth","given":"Kate F.","non-dropping-particle":"","parse-names":false,"suffix":""}],"container-title":"Oncotarget","id":"ITEM-1","issue":"8","issued":{"date-parts":[["2016"]]},"title":"Differential regulation of mTOR signaling determines sensitivity to AKT inhibition in diffuse large B cell lymphoma","type":"article-journal","volume":"5"},"uris":["http://www.mendeley.com/documents/?uuid=a12d13e0-6807-4516-90ce-8a348cd9290d"]}],"mendeley":{"formattedCitation":"&lt;sup&gt;4&lt;/sup&gt;","plainTextFormattedCitation":"4","previouslyFormattedCitation":"&lt;sup&gt;4&lt;/sup&gt;"},"properties":{"noteIndex":0},"schema":"https://github.com/citation-style-language/schema/raw/master/csl-citation.json"}</w:instrText>
      </w:r>
      <w:r w:rsidR="00633C41" w:rsidRPr="003C68F0">
        <w:rPr>
          <w:rFonts w:ascii="Calibri" w:hAnsi="Calibri" w:cs="Calibri"/>
          <w:sz w:val="20"/>
          <w:szCs w:val="20"/>
        </w:rPr>
        <w:fldChar w:fldCharType="separate"/>
      </w:r>
      <w:r w:rsidR="00633C41" w:rsidRPr="003C68F0">
        <w:rPr>
          <w:rFonts w:ascii="Calibri" w:hAnsi="Calibri" w:cs="Calibri"/>
          <w:noProof/>
          <w:sz w:val="20"/>
          <w:szCs w:val="20"/>
        </w:rPr>
        <w:t>4</w:t>
      </w:r>
      <w:r w:rsidR="00633C41" w:rsidRPr="003C68F0">
        <w:rPr>
          <w:rFonts w:ascii="Calibri" w:hAnsi="Calibri" w:cs="Calibri"/>
          <w:sz w:val="20"/>
          <w:szCs w:val="20"/>
        </w:rPr>
        <w:fldChar w:fldCharType="end"/>
      </w:r>
      <w:r w:rsidRPr="003C68F0">
        <w:rPr>
          <w:rFonts w:ascii="Calibri" w:hAnsi="Calibri" w:cs="Calibri"/>
          <w:sz w:val="20"/>
          <w:szCs w:val="20"/>
        </w:rPr>
        <w:t xml:space="preserve">.  </w:t>
      </w:r>
    </w:p>
    <w:p w14:paraId="6FFF82D6" w14:textId="4426F979" w:rsidR="00B70A75" w:rsidRPr="003C68F0" w:rsidRDefault="00B049F9" w:rsidP="00B049F9">
      <w:pPr>
        <w:pStyle w:val="NormalWeb"/>
        <w:spacing w:line="360" w:lineRule="auto"/>
        <w:rPr>
          <w:rFonts w:ascii="Calibri" w:hAnsi="Calibri" w:cs="Calibri"/>
          <w:sz w:val="20"/>
          <w:szCs w:val="20"/>
        </w:rPr>
      </w:pPr>
      <w:r w:rsidRPr="003C68F0">
        <w:rPr>
          <w:rFonts w:ascii="Calibri" w:hAnsi="Calibri" w:cs="Calibri"/>
          <w:sz w:val="20"/>
          <w:szCs w:val="20"/>
        </w:rPr>
        <w:t xml:space="preserve">mTOR comprises </w:t>
      </w:r>
      <w:r w:rsidR="007D7C69">
        <w:rPr>
          <w:rFonts w:ascii="Calibri" w:hAnsi="Calibri" w:cs="Calibri"/>
          <w:color w:val="C00000"/>
          <w:sz w:val="20"/>
          <w:szCs w:val="20"/>
        </w:rPr>
        <w:t>two</w:t>
      </w:r>
      <w:r w:rsidRPr="003C68F0">
        <w:rPr>
          <w:rFonts w:ascii="Calibri" w:hAnsi="Calibri" w:cs="Calibri"/>
          <w:sz w:val="20"/>
          <w:szCs w:val="20"/>
        </w:rPr>
        <w:t xml:space="preserve"> distinct multi-protein complexes, mTORC1 and mTORC2, which </w:t>
      </w:r>
      <w:r w:rsidR="004B6FEF" w:rsidRPr="003C68F0">
        <w:rPr>
          <w:rFonts w:ascii="Calibri" w:hAnsi="Calibri" w:cs="Calibri"/>
          <w:sz w:val="20"/>
          <w:szCs w:val="20"/>
        </w:rPr>
        <w:t>contain</w:t>
      </w:r>
      <w:r w:rsidRPr="003C68F0">
        <w:rPr>
          <w:rFonts w:ascii="Calibri" w:hAnsi="Calibri" w:cs="Calibri"/>
          <w:sz w:val="20"/>
          <w:szCs w:val="20"/>
        </w:rPr>
        <w:t xml:space="preserve"> different </w:t>
      </w:r>
      <w:r w:rsidR="004B6FEF" w:rsidRPr="003C68F0">
        <w:rPr>
          <w:rFonts w:ascii="Calibri" w:hAnsi="Calibri" w:cs="Calibri"/>
          <w:sz w:val="20"/>
          <w:szCs w:val="20"/>
        </w:rPr>
        <w:t>proteins</w:t>
      </w:r>
      <w:r w:rsidRPr="003C68F0">
        <w:rPr>
          <w:rFonts w:ascii="Calibri" w:hAnsi="Calibri" w:cs="Calibri"/>
          <w:sz w:val="20"/>
          <w:szCs w:val="20"/>
        </w:rPr>
        <w:t>, Raptor and Rictor</w:t>
      </w:r>
      <w:r w:rsidR="00E96393" w:rsidRPr="003C68F0">
        <w:rPr>
          <w:rFonts w:ascii="Calibri" w:hAnsi="Calibri" w:cs="Calibri"/>
          <w:sz w:val="20"/>
          <w:szCs w:val="20"/>
        </w:rPr>
        <w:t>,</w:t>
      </w:r>
      <w:r w:rsidRPr="003C68F0">
        <w:rPr>
          <w:rFonts w:ascii="Calibri" w:hAnsi="Calibri" w:cs="Calibri"/>
          <w:sz w:val="20"/>
          <w:szCs w:val="20"/>
        </w:rPr>
        <w:t xml:space="preserve"> respectively</w:t>
      </w:r>
      <w:r w:rsidR="0063232C" w:rsidRPr="003C68F0">
        <w:rPr>
          <w:rFonts w:ascii="Calibri" w:hAnsi="Calibri" w:cs="Calibri"/>
          <w:sz w:val="20"/>
          <w:szCs w:val="20"/>
        </w:rPr>
        <w:t xml:space="preserve"> </w:t>
      </w:r>
      <w:r w:rsidRPr="003C68F0">
        <w:rPr>
          <w:rFonts w:ascii="Calibri" w:hAnsi="Calibri" w:cs="Calibri"/>
          <w:sz w:val="20"/>
          <w:szCs w:val="20"/>
        </w:rPr>
        <w:t xml:space="preserve">and localise to different subcellular compartments. mTORC1 </w:t>
      </w:r>
      <w:r w:rsidR="00853ECF" w:rsidRPr="003C68F0">
        <w:rPr>
          <w:rFonts w:ascii="Calibri" w:hAnsi="Calibri" w:cs="Calibri"/>
          <w:sz w:val="20"/>
          <w:szCs w:val="20"/>
        </w:rPr>
        <w:t>regulates</w:t>
      </w:r>
      <w:r w:rsidRPr="003C68F0">
        <w:rPr>
          <w:rFonts w:ascii="Calibri" w:hAnsi="Calibri" w:cs="Calibri"/>
          <w:sz w:val="20"/>
          <w:szCs w:val="20"/>
        </w:rPr>
        <w:t xml:space="preserve"> cell proliferation, angiogenesis and metabolism by phosphorylation of its downstream</w:t>
      </w:r>
      <w:r w:rsidR="00853ECF" w:rsidRPr="003C68F0">
        <w:rPr>
          <w:rFonts w:ascii="Calibri" w:hAnsi="Calibri" w:cs="Calibri"/>
          <w:sz w:val="20"/>
          <w:szCs w:val="20"/>
        </w:rPr>
        <w:t xml:space="preserve"> </w:t>
      </w:r>
      <w:r w:rsidRPr="003C68F0">
        <w:rPr>
          <w:rFonts w:ascii="Calibri" w:hAnsi="Calibri" w:cs="Calibri"/>
          <w:sz w:val="20"/>
          <w:szCs w:val="20"/>
        </w:rPr>
        <w:t>S6K1 and 4E-BP1, which promote mRNA translation of oncogenic proteins</w:t>
      </w:r>
      <w:r w:rsidR="00853ECF" w:rsidRPr="003C68F0">
        <w:rPr>
          <w:rFonts w:ascii="Calibri" w:hAnsi="Calibri" w:cs="Calibri"/>
          <w:sz w:val="20"/>
          <w:szCs w:val="20"/>
        </w:rPr>
        <w:t xml:space="preserve">. </w:t>
      </w:r>
      <w:r w:rsidR="00E96393" w:rsidRPr="003C68F0">
        <w:rPr>
          <w:rFonts w:ascii="Calibri" w:hAnsi="Calibri" w:cs="Calibri"/>
          <w:sz w:val="20"/>
          <w:szCs w:val="20"/>
        </w:rPr>
        <w:t xml:space="preserve">AKT activates mTORC1 directly by phosphorylation of PRAS40, a component of mTORC1, and indirectly by inhibiting TSC2 mediated repression of Rheb, a selective activator of mTORC1. </w:t>
      </w:r>
      <w:r w:rsidRPr="003C68F0">
        <w:rPr>
          <w:rFonts w:ascii="Calibri" w:hAnsi="Calibri" w:cs="Calibri"/>
          <w:sz w:val="20"/>
          <w:szCs w:val="20"/>
        </w:rPr>
        <w:t>mTORC2</w:t>
      </w:r>
      <w:r w:rsidR="00853ECF" w:rsidRPr="003C68F0">
        <w:rPr>
          <w:rFonts w:ascii="Calibri" w:hAnsi="Calibri" w:cs="Calibri"/>
          <w:sz w:val="20"/>
          <w:szCs w:val="20"/>
        </w:rPr>
        <w:t xml:space="preserve"> function</w:t>
      </w:r>
      <w:r w:rsidRPr="003C68F0">
        <w:rPr>
          <w:rFonts w:ascii="Calibri" w:hAnsi="Calibri" w:cs="Calibri"/>
          <w:sz w:val="20"/>
          <w:szCs w:val="20"/>
        </w:rPr>
        <w:t xml:space="preserve"> is less understood but is </w:t>
      </w:r>
      <w:r w:rsidR="00853ECF" w:rsidRPr="003C68F0">
        <w:rPr>
          <w:rFonts w:ascii="Calibri" w:hAnsi="Calibri" w:cs="Calibri"/>
          <w:sz w:val="20"/>
          <w:szCs w:val="20"/>
        </w:rPr>
        <w:t>likely involved in</w:t>
      </w:r>
      <w:r w:rsidRPr="003C68F0">
        <w:rPr>
          <w:rFonts w:ascii="Calibri" w:hAnsi="Calibri" w:cs="Calibri"/>
          <w:sz w:val="20"/>
          <w:szCs w:val="20"/>
        </w:rPr>
        <w:t xml:space="preserve"> cell proliferation, survival and nutrient uptake, partially through its ability to stimulate AKT, which is itself a critical survival kinase</w:t>
      </w:r>
      <w:r w:rsidR="00EB2D6D">
        <w:rPr>
          <w:rFonts w:ascii="Calibri" w:hAnsi="Calibri" w:cs="Calibri"/>
          <w:sz w:val="20"/>
          <w:szCs w:val="20"/>
        </w:rPr>
        <w:t xml:space="preserve"> </w:t>
      </w:r>
      <w:r w:rsidR="00633C41" w:rsidRPr="003C68F0">
        <w:rPr>
          <w:rFonts w:ascii="Calibri" w:hAnsi="Calibri" w:cs="Calibri"/>
          <w:sz w:val="20"/>
          <w:szCs w:val="20"/>
        </w:rPr>
        <w:fldChar w:fldCharType="begin" w:fldLock="1"/>
      </w:r>
      <w:r w:rsidR="008836A0" w:rsidRPr="003C68F0">
        <w:rPr>
          <w:rFonts w:ascii="Calibri" w:hAnsi="Calibri" w:cs="Calibri"/>
          <w:sz w:val="20"/>
          <w:szCs w:val="20"/>
        </w:rPr>
        <w:instrText>ADDIN CSL_CITATION {"citationItems":[{"id":"ITEM-1","itemData":{"DOI":"10.1111/bjh.12945","ISSN":"1365-2141","PMID":"24842496","abstract":"Since the discovery of rapamycin in Easter Island soil in 1975, more has been learnt about the relevance and importance of the mammalian target of rapamycin (mTOR) pathway in cell signalling, proliferation and ultimately tumourigenesis. Rapamycin targets the mTORC1 complex alone. Despite initial excitement, rapamycin and its analogues, everolimus and temsirolimus, have displayed limited efficacy in the treatment of lymphoid malignancies. This review highlights the important and well-described aspects of the critical phosphatidylinositol-4,5-bisphosphate 3-kinase (PI3K)/AKT/mTOR pathway and discusses the mechanisms of action of rapamycin, its clinical efficacy in lymphoid malignancies, and the mechanisms of resistance. Renewed interest in targeting the pathway has evolved through the discovery of mTORC2, a protein complex associated with a key mechanism of resistance to first generation mTOR inhibitors. As such, novel dual inhibitors of mTORC1 and mTORC2 have been developed, along with other dual inhibitors of the mTOR pathway. The evolution in the development of dual inhibitors is described herein, along with the burgeoning in vitro, pre-clinical data and the early phase clinical data available. Although historically mTOR inhibitors have been used extensively in haematopoietic and solid organ transplant prophylaxis, this review will focus on developments of their use in lymphoid malignancies.","author":[{"dropping-particle":"","family":"Eyre","given":"Toby A","non-dropping-particle":"","parse-names":false,"suffix":""},{"dropping-particle":"","family":"Collins","given":"Graham P","non-dropping-particle":"","parse-names":false,"suffix":""},{"dropping-particle":"","family":"Goldstone","given":"Anthony H","non-dropping-particle":"","parse-names":false,"suffix":""},{"dropping-particle":"","family":"Cwynarski","given":"Kate","non-dropping-particle":"","parse-names":false,"suffix":""}],"container-title":"British journal of haematology","id":"ITEM-1","issued":{"date-parts":[["2014","5","19"]]},"title":"Time now to TORC the TORC? New developments in mTOR pathway inhibition in lymphoid malignancies.","type":"article-journal"},"uris":["http://www.mendeley.com/documents/?uuid=a2cf3098-4aac-4fe9-9c5b-438905730392"]}],"mendeley":{"formattedCitation":"&lt;sup&gt;5&lt;/sup&gt;","plainTextFormattedCitation":"5","previouslyFormattedCitation":"&lt;sup&gt;5&lt;/sup&gt;"},"properties":{"noteIndex":0},"schema":"https://github.com/citation-style-language/schema/raw/master/csl-citation.json"}</w:instrText>
      </w:r>
      <w:r w:rsidR="00633C41" w:rsidRPr="003C68F0">
        <w:rPr>
          <w:rFonts w:ascii="Calibri" w:hAnsi="Calibri" w:cs="Calibri"/>
          <w:sz w:val="20"/>
          <w:szCs w:val="20"/>
        </w:rPr>
        <w:fldChar w:fldCharType="separate"/>
      </w:r>
      <w:r w:rsidR="00633C41" w:rsidRPr="003C68F0">
        <w:rPr>
          <w:rFonts w:ascii="Calibri" w:hAnsi="Calibri" w:cs="Calibri"/>
          <w:noProof/>
          <w:sz w:val="20"/>
          <w:szCs w:val="20"/>
        </w:rPr>
        <w:t>5</w:t>
      </w:r>
      <w:r w:rsidR="00633C41" w:rsidRPr="003C68F0">
        <w:rPr>
          <w:rFonts w:ascii="Calibri" w:hAnsi="Calibri" w:cs="Calibri"/>
          <w:sz w:val="20"/>
          <w:szCs w:val="20"/>
        </w:rPr>
        <w:fldChar w:fldCharType="end"/>
      </w:r>
      <w:r w:rsidR="00B70A75" w:rsidRPr="003C68F0">
        <w:rPr>
          <w:rFonts w:ascii="Calibri" w:hAnsi="Calibri" w:cs="Calibri"/>
          <w:sz w:val="20"/>
          <w:szCs w:val="20"/>
        </w:rPr>
        <w:t xml:space="preserve">. </w:t>
      </w:r>
    </w:p>
    <w:p w14:paraId="098FA8D7" w14:textId="5DC21F66" w:rsidR="004B6FEF" w:rsidRPr="003C68F0" w:rsidRDefault="00920BCD" w:rsidP="004B6FEF">
      <w:pPr>
        <w:pStyle w:val="NormalWeb"/>
        <w:spacing w:line="360" w:lineRule="auto"/>
        <w:rPr>
          <w:rFonts w:ascii="Calibri" w:hAnsi="Calibri" w:cs="Calibri"/>
          <w:sz w:val="20"/>
          <w:szCs w:val="20"/>
        </w:rPr>
      </w:pPr>
      <w:r w:rsidRPr="003C68F0">
        <w:rPr>
          <w:rFonts w:ascii="Calibri" w:hAnsi="Calibri" w:cs="Calibri"/>
          <w:sz w:val="20"/>
          <w:szCs w:val="20"/>
        </w:rPr>
        <w:lastRenderedPageBreak/>
        <w:t>R</w:t>
      </w:r>
      <w:r w:rsidR="00B049F9" w:rsidRPr="003C68F0">
        <w:rPr>
          <w:rFonts w:ascii="Calibri" w:hAnsi="Calibri" w:cs="Calibri"/>
          <w:sz w:val="20"/>
          <w:szCs w:val="20"/>
        </w:rPr>
        <w:t>apamycin analogues</w:t>
      </w:r>
      <w:r w:rsidR="00853ECF" w:rsidRPr="003C68F0">
        <w:rPr>
          <w:rFonts w:ascii="Calibri" w:hAnsi="Calibri" w:cs="Calibri"/>
          <w:sz w:val="20"/>
          <w:szCs w:val="20"/>
        </w:rPr>
        <w:t xml:space="preserve"> (mTORC1 inhibitors</w:t>
      </w:r>
      <w:r w:rsidR="00302811" w:rsidRPr="003C68F0">
        <w:rPr>
          <w:rFonts w:ascii="Calibri" w:hAnsi="Calibri" w:cs="Calibri"/>
          <w:sz w:val="20"/>
          <w:szCs w:val="20"/>
        </w:rPr>
        <w:t xml:space="preserve"> (i)</w:t>
      </w:r>
      <w:r w:rsidR="00853ECF" w:rsidRPr="003C68F0">
        <w:rPr>
          <w:rFonts w:ascii="Calibri" w:hAnsi="Calibri" w:cs="Calibri"/>
          <w:sz w:val="20"/>
          <w:szCs w:val="20"/>
        </w:rPr>
        <w:t>)</w:t>
      </w:r>
      <w:r w:rsidR="00A17D72" w:rsidRPr="003C68F0">
        <w:rPr>
          <w:rFonts w:ascii="Calibri" w:hAnsi="Calibri" w:cs="Calibri"/>
          <w:sz w:val="20"/>
          <w:szCs w:val="20"/>
        </w:rPr>
        <w:t xml:space="preserve">, </w:t>
      </w:r>
      <w:r w:rsidR="00B049F9" w:rsidRPr="003C68F0">
        <w:rPr>
          <w:rFonts w:ascii="Calibri" w:hAnsi="Calibri" w:cs="Calibri"/>
          <w:sz w:val="20"/>
          <w:szCs w:val="20"/>
        </w:rPr>
        <w:t>everolimus and temsirolimus, display an overall response rate (ORR) of 28-30% with a</w:t>
      </w:r>
      <w:r w:rsidR="00302811" w:rsidRPr="003C68F0">
        <w:rPr>
          <w:rFonts w:ascii="Calibri" w:hAnsi="Calibri" w:cs="Calibri"/>
          <w:sz w:val="20"/>
          <w:szCs w:val="20"/>
        </w:rPr>
        <w:t xml:space="preserve"> short</w:t>
      </w:r>
      <w:r w:rsidR="00B049F9" w:rsidRPr="003C68F0">
        <w:rPr>
          <w:rFonts w:ascii="Calibri" w:hAnsi="Calibri" w:cs="Calibri"/>
          <w:sz w:val="20"/>
          <w:szCs w:val="20"/>
        </w:rPr>
        <w:t xml:space="preserve"> median </w:t>
      </w:r>
      <w:r w:rsidR="0040240B" w:rsidRPr="003C68F0">
        <w:rPr>
          <w:rFonts w:ascii="Calibri" w:hAnsi="Calibri" w:cs="Calibri"/>
          <w:sz w:val="20"/>
          <w:szCs w:val="20"/>
        </w:rPr>
        <w:t>PFS (</w:t>
      </w:r>
      <w:r w:rsidR="00B049F9" w:rsidRPr="003C68F0">
        <w:rPr>
          <w:rFonts w:ascii="Calibri" w:hAnsi="Calibri" w:cs="Calibri"/>
          <w:sz w:val="20"/>
          <w:szCs w:val="20"/>
        </w:rPr>
        <w:t>2.6 months</w:t>
      </w:r>
      <w:r w:rsidR="0040240B" w:rsidRPr="003C68F0">
        <w:rPr>
          <w:rFonts w:ascii="Calibri" w:hAnsi="Calibri" w:cs="Calibri"/>
          <w:sz w:val="20"/>
          <w:szCs w:val="20"/>
        </w:rPr>
        <w:t>)</w:t>
      </w:r>
      <w:r w:rsidRPr="003C68F0">
        <w:rPr>
          <w:rFonts w:ascii="Calibri" w:hAnsi="Calibri" w:cs="Calibri"/>
          <w:sz w:val="20"/>
          <w:szCs w:val="20"/>
        </w:rPr>
        <w:t xml:space="preserve"> in R/R DLBCL</w:t>
      </w:r>
      <w:r w:rsidR="00EB2D6D">
        <w:rPr>
          <w:rFonts w:ascii="Calibri" w:hAnsi="Calibri" w:cs="Calibri"/>
          <w:sz w:val="20"/>
          <w:szCs w:val="20"/>
        </w:rPr>
        <w:t xml:space="preserve"> </w:t>
      </w:r>
      <w:r w:rsidR="00633C41" w:rsidRPr="003C68F0">
        <w:rPr>
          <w:rFonts w:ascii="Calibri" w:hAnsi="Calibri" w:cs="Calibri"/>
          <w:sz w:val="20"/>
          <w:szCs w:val="20"/>
        </w:rPr>
        <w:fldChar w:fldCharType="begin" w:fldLock="1"/>
      </w:r>
      <w:r w:rsidR="00491CFD" w:rsidRPr="003C68F0">
        <w:rPr>
          <w:rFonts w:ascii="Calibri" w:hAnsi="Calibri" w:cs="Calibri"/>
          <w:sz w:val="20"/>
          <w:szCs w:val="20"/>
        </w:rPr>
        <w:instrText>ADDIN CSL_CITATION {"citationItems":[{"id":"ITEM-1","itemData":{"DOI":"10.1200/JCO.2010.29.2813","ISBN":"1527-7755 (Electronic) 0732-183X (Linking)","ISSN":"0732-183X","PMID":"20837940","abstract":"Despite high initial remission rates, most lymphomas relapse and require further therapy. The mammalian target of rapamycin (mTOR) pathway is a validated target in mantle cell lymphoma, but has not been extensively evaluated in other lymphomas.","author":[{"dropping-particle":"","family":"Smith","given":"Sonali M","non-dropping-particle":"","parse-names":false,"suffix":""},{"dropping-particle":"","family":"Besien","given":"Koen","non-dropping-particle":"van","parse-names":false,"suffix":""},{"dropping-particle":"","family":"Karrison","given":"Theodore","non-dropping-particle":"","parse-names":false,"suffix":""},{"dropping-particle":"","family":"Dancey","given":"Janet","non-dropping-particle":"","parse-names":false,"suffix":""},{"dropping-particle":"","family":"McLaughlin","given":"Peter","non-dropping-particle":"","parse-names":false,"suffix":""},{"dropping-particle":"","family":"Younes","given":"Anas","non-dropping-particle":"","parse-names":false,"suffix":""},{"dropping-particle":"","family":"Smith","given":"Scott","non-dropping-particle":"","parse-names":false,"suffix":""},{"dropping-particle":"","family":"Stiff","given":"Patrick","non-dropping-particle":"","parse-names":false,"suffix":""},{"dropping-particle":"","family":"Lester","given":"Eric","non-dropping-particle":"","parse-names":false,"suffix":""},{"dropping-particle":"","family":"Modi","given":"Sanjiv","non-dropping-particle":"","parse-names":false,"suffix":""},{"dropping-particle":"","family":"Doyle","given":"L Austin","non-dropping-particle":"","parse-names":false,"suffix":""},{"dropping-particle":"","family":"Vokes","given":"Everett E","non-dropping-particle":"","parse-names":false,"suffix":""},{"dropping-particle":"","family":"Pro","given":"Barbara","non-dropping-particle":"","parse-names":false,"suffix":""}],"container-title":"Journal of clinical oncology : official journal of the American Society of Clinical Oncology","id":"ITEM-1","issued":{"date-parts":[["2010"]]},"number-of-pages":"4740-4746","title":"Temsirolimus has activity in non-mantle cell non-Hodgkin's lymphoma subtypes: The University of Chicago phase II consortium.","type":"report","volume":"28"},"uris":["http://www.mendeley.com/documents/?uuid=36246765-e852-432e-8aae-da86f0fa8299"]}],"mendeley":{"formattedCitation":"&lt;sup&gt;6&lt;/sup&gt;","plainTextFormattedCitation":"6","previouslyFormattedCitation":"&lt;sup&gt;6&lt;/sup&gt;"},"properties":{"noteIndex":0},"schema":"https://github.com/citation-style-language/schema/raw/master/csl-citation.json"}</w:instrText>
      </w:r>
      <w:r w:rsidR="00633C41" w:rsidRPr="003C68F0">
        <w:rPr>
          <w:rFonts w:ascii="Calibri" w:hAnsi="Calibri" w:cs="Calibri"/>
          <w:sz w:val="20"/>
          <w:szCs w:val="20"/>
        </w:rPr>
        <w:fldChar w:fldCharType="separate"/>
      </w:r>
      <w:r w:rsidR="008836A0" w:rsidRPr="003C68F0">
        <w:rPr>
          <w:rFonts w:ascii="Calibri" w:hAnsi="Calibri" w:cs="Calibri"/>
          <w:noProof/>
          <w:sz w:val="20"/>
          <w:szCs w:val="20"/>
        </w:rPr>
        <w:t>6</w:t>
      </w:r>
      <w:r w:rsidR="00633C41" w:rsidRPr="003C68F0">
        <w:rPr>
          <w:rFonts w:ascii="Calibri" w:hAnsi="Calibri" w:cs="Calibri"/>
          <w:sz w:val="20"/>
          <w:szCs w:val="20"/>
        </w:rPr>
        <w:fldChar w:fldCharType="end"/>
      </w:r>
      <w:r w:rsidR="00B049F9" w:rsidRPr="003C68F0">
        <w:rPr>
          <w:rFonts w:ascii="Calibri" w:hAnsi="Calibri" w:cs="Calibri"/>
          <w:sz w:val="20"/>
          <w:szCs w:val="20"/>
        </w:rPr>
        <w:t xml:space="preserve">. </w:t>
      </w:r>
      <w:r w:rsidR="00B70A75" w:rsidRPr="003C68F0">
        <w:rPr>
          <w:rFonts w:ascii="Calibri" w:hAnsi="Calibri" w:cs="Calibri"/>
          <w:sz w:val="20"/>
          <w:szCs w:val="20"/>
        </w:rPr>
        <w:t>The addition of r</w:t>
      </w:r>
      <w:r w:rsidR="00B049F9" w:rsidRPr="003C68F0">
        <w:rPr>
          <w:rFonts w:ascii="Calibri" w:hAnsi="Calibri" w:cs="Calibri"/>
          <w:sz w:val="20"/>
          <w:szCs w:val="20"/>
        </w:rPr>
        <w:t>ituximab</w:t>
      </w:r>
      <w:r w:rsidR="00B70A75" w:rsidRPr="003C68F0">
        <w:rPr>
          <w:rFonts w:ascii="Calibri" w:hAnsi="Calibri" w:cs="Calibri"/>
          <w:sz w:val="20"/>
          <w:szCs w:val="20"/>
        </w:rPr>
        <w:t xml:space="preserve"> </w:t>
      </w:r>
      <w:r w:rsidR="00890CD0" w:rsidRPr="003C68F0">
        <w:rPr>
          <w:rFonts w:ascii="Calibri" w:hAnsi="Calibri" w:cs="Calibri"/>
          <w:sz w:val="20"/>
          <w:szCs w:val="20"/>
        </w:rPr>
        <w:t>results in</w:t>
      </w:r>
      <w:r w:rsidR="00B70A75" w:rsidRPr="003C68F0">
        <w:rPr>
          <w:rFonts w:ascii="Calibri" w:hAnsi="Calibri" w:cs="Calibri"/>
          <w:sz w:val="20"/>
          <w:szCs w:val="20"/>
        </w:rPr>
        <w:t xml:space="preserve"> a </w:t>
      </w:r>
      <w:r w:rsidR="00B049F9" w:rsidRPr="003C68F0">
        <w:rPr>
          <w:rFonts w:ascii="Calibri" w:hAnsi="Calibri" w:cs="Calibri"/>
          <w:sz w:val="20"/>
          <w:szCs w:val="20"/>
        </w:rPr>
        <w:t xml:space="preserve">modest improvement in ORR </w:t>
      </w:r>
      <w:r w:rsidR="0040240B" w:rsidRPr="003C68F0">
        <w:rPr>
          <w:rFonts w:ascii="Calibri" w:hAnsi="Calibri" w:cs="Calibri"/>
          <w:sz w:val="20"/>
          <w:szCs w:val="20"/>
        </w:rPr>
        <w:t>(</w:t>
      </w:r>
      <w:r w:rsidR="00B049F9" w:rsidRPr="003C68F0">
        <w:rPr>
          <w:rFonts w:ascii="Calibri" w:hAnsi="Calibri" w:cs="Calibri"/>
          <w:sz w:val="20"/>
          <w:szCs w:val="20"/>
        </w:rPr>
        <w:t>38%</w:t>
      </w:r>
      <w:r w:rsidR="0040240B" w:rsidRPr="003C68F0">
        <w:rPr>
          <w:rFonts w:ascii="Calibri" w:hAnsi="Calibri" w:cs="Calibri"/>
          <w:sz w:val="20"/>
          <w:szCs w:val="20"/>
        </w:rPr>
        <w:t>)</w:t>
      </w:r>
      <w:r w:rsidR="003C68F0">
        <w:rPr>
          <w:rFonts w:ascii="Calibri" w:hAnsi="Calibri" w:cs="Calibri"/>
          <w:sz w:val="20"/>
          <w:szCs w:val="20"/>
        </w:rPr>
        <w:t xml:space="preserve"> </w:t>
      </w:r>
      <w:r w:rsidR="00633C41" w:rsidRPr="003C68F0">
        <w:rPr>
          <w:rFonts w:ascii="Calibri" w:hAnsi="Calibri" w:cs="Calibri"/>
          <w:sz w:val="20"/>
          <w:szCs w:val="20"/>
        </w:rPr>
        <w:fldChar w:fldCharType="begin" w:fldLock="1"/>
      </w:r>
      <w:r w:rsidR="00491CFD" w:rsidRPr="003C68F0">
        <w:rPr>
          <w:rFonts w:ascii="Calibri" w:hAnsi="Calibri" w:cs="Calibri"/>
          <w:sz w:val="20"/>
          <w:szCs w:val="20"/>
        </w:rPr>
        <w:instrText>ADDIN CSL_CITATION {"citationItems":[{"id":"ITEM-1","itemData":{"DOI":"10.3324/haematol.2012.075184","ISSN":"1592-8721","PMID":"23144193","abstract":"Diffuse large B-cell lymphoma is an aggressive non-Hodgkin's lymphoma without a standard therapy for patients who relapse after or are not eligible for salvage autologous stem cell transplantation. In vitro analysis of lymphoma cell lines has shown that everolimus can inhibit cell cycle progression in vitro and inhibitors of the mammalian target of rapamycin have already demonstrated single-agent activity in relapsed non-Hodgkin's lymphomas including diffuse large B-cell lymphoma, validating mammalian target of rapamycin as a viable therapeutic target. We performed an open label phase II study of everolimus, an inhibitor of mammalian target of rapamycin, in combination with rituximab to examine efficacy and tolerability in patients with relapsed/refractory diffuse large B-cell lymphoma. Eligible patients were treated with everolimus 10 mg by mouth once daily on days 1-28 of a 28-day cycle with rituximab administered weekly during cycle one and then on day one of subsequent cycles. Patients were treated for a total of 12 cycles or until disease progression. The primary end-point was objective response rate, with secondary end-points being toxicity, progression-free survival, duration of response, and overall survival. Twenty-six patients (24 evaluable) were enrolled and had an overall response rate of 38% [90% CI (21%-56%)] with three complete responses and six partial responses among these 24 patients. The median duration of response among responders was 8.1 months. At a median follow-up of 12 months, the overall survival rate was 37% [90% CI (20%-54%)]. The most common grade 3 to 4 toxicities were neutropenia, anemia, and thrombocytopenia. In conclusion, everolimus in combination with rituximab is well tolerated and demonstrates activity in relapsed diffuse large B-cell lymphoma. Further studies of this combination are warranted. Clinicaltrials.gov identifier: NCT00869999.","author":[{"dropping-particle":"","family":"Barnes","given":"Jeffrey a","non-dropping-particle":"","parse-names":false,"suffix":""},{"dropping-particle":"","family":"Jacobsen","given":"Eric","non-dropping-particle":"","parse-names":false,"suffix":""},{"dropping-particle":"","family":"Feng","given":"Yang","non-dropping-particle":"","parse-names":false,"suffix":""},{"dropping-particle":"","family":"Freedman","given":"Arnold","non-dropping-particle":"","parse-names":false,"suffix":""},{"dropping-particle":"","family":"Hochberg","given":"Ephraim P","non-dropping-particle":"","parse-names":false,"suffix":""},{"dropping-particle":"","family":"Lacasce","given":"Ann S","non-dropping-particle":"","parse-names":false,"suffix":""},{"dropping-particle":"","family":"Armand","given":"Philippe","non-dropping-particle":"","parse-names":false,"suffix":""},{"dropping-particle":"","family":"Joyce","given":"Robin","non-dropping-particle":"","parse-names":false,"suffix":""},{"dropping-particle":"","family":"Sohani","given":"Aliyah R","non-dropping-particle":"","parse-names":false,"suffix":""},{"dropping-particle":"","family":"Rodig","given":"Scott J","non-dropping-particle":"","parse-names":false,"suffix":""},{"dropping-particle":"","family":"Neuberg","given":"Donna","non-dropping-particle":"","parse-names":false,"suffix":""},{"dropping-particle":"","family":"Fisher","given":"David C","non-dropping-particle":"","parse-names":false,"suffix":""},{"dropping-particle":"","family":"Abramson","given":"Jeremy S","non-dropping-particle":"","parse-names":false,"suffix":""}],"container-title":"Haematologica","id":"ITEM-1","issued":{"date-parts":[["2013"]]},"page":"615-9","title":"Everolimus in combination with rituximab induces complete responses in heavily pretreated diffuse large B-cell lymphoma.","type":"article-journal","volume":"98"},"uris":["http://www.mendeley.com/documents/?uuid=96d6fa06-125d-41aa-b14e-acf4fe4823c6"]}],"mendeley":{"formattedCitation":"&lt;sup&gt;7&lt;/sup&gt;","plainTextFormattedCitation":"7","previouslyFormattedCitation":"&lt;sup&gt;7&lt;/sup&gt;"},"properties":{"noteIndex":0},"schema":"https://github.com/citation-style-language/schema/raw/master/csl-citation.json"}</w:instrText>
      </w:r>
      <w:r w:rsidR="00633C41" w:rsidRPr="003C68F0">
        <w:rPr>
          <w:rFonts w:ascii="Calibri" w:hAnsi="Calibri" w:cs="Calibri"/>
          <w:sz w:val="20"/>
          <w:szCs w:val="20"/>
        </w:rPr>
        <w:fldChar w:fldCharType="separate"/>
      </w:r>
      <w:r w:rsidR="008836A0" w:rsidRPr="003C68F0">
        <w:rPr>
          <w:rFonts w:ascii="Calibri" w:hAnsi="Calibri" w:cs="Calibri"/>
          <w:noProof/>
          <w:sz w:val="20"/>
          <w:szCs w:val="20"/>
        </w:rPr>
        <w:t>7</w:t>
      </w:r>
      <w:r w:rsidR="00633C41" w:rsidRPr="003C68F0">
        <w:rPr>
          <w:rFonts w:ascii="Calibri" w:hAnsi="Calibri" w:cs="Calibri"/>
          <w:sz w:val="20"/>
          <w:szCs w:val="20"/>
        </w:rPr>
        <w:fldChar w:fldCharType="end"/>
      </w:r>
      <w:r w:rsidR="00B049F9" w:rsidRPr="003C68F0">
        <w:rPr>
          <w:rFonts w:ascii="Calibri" w:hAnsi="Calibri" w:cs="Calibri"/>
          <w:sz w:val="20"/>
          <w:szCs w:val="20"/>
        </w:rPr>
        <w:t>. mTORC1</w:t>
      </w:r>
      <w:r w:rsidR="000F55C5">
        <w:rPr>
          <w:rFonts w:ascii="Calibri" w:hAnsi="Calibri" w:cs="Calibri"/>
          <w:sz w:val="20"/>
          <w:szCs w:val="20"/>
        </w:rPr>
        <w:t xml:space="preserve"> </w:t>
      </w:r>
      <w:r w:rsidR="00302811" w:rsidRPr="003C68F0">
        <w:rPr>
          <w:rFonts w:ascii="Calibri" w:hAnsi="Calibri" w:cs="Calibri"/>
          <w:sz w:val="20"/>
          <w:szCs w:val="20"/>
        </w:rPr>
        <w:t>i</w:t>
      </w:r>
      <w:r w:rsidR="000F55C5">
        <w:rPr>
          <w:rFonts w:ascii="Calibri" w:hAnsi="Calibri" w:cs="Calibri"/>
          <w:sz w:val="20"/>
          <w:szCs w:val="20"/>
        </w:rPr>
        <w:t>nhibitor</w:t>
      </w:r>
      <w:r w:rsidR="00B049F9" w:rsidRPr="003C68F0">
        <w:rPr>
          <w:rFonts w:ascii="Calibri" w:hAnsi="Calibri" w:cs="Calibri"/>
          <w:sz w:val="20"/>
          <w:szCs w:val="20"/>
        </w:rPr>
        <w:t xml:space="preserve"> efficacy may be limited by resistance mechanisms including AKT </w:t>
      </w:r>
      <w:r w:rsidR="00346325" w:rsidRPr="003C68F0">
        <w:rPr>
          <w:rFonts w:ascii="Calibri" w:hAnsi="Calibri" w:cs="Calibri"/>
          <w:sz w:val="20"/>
          <w:szCs w:val="20"/>
        </w:rPr>
        <w:t xml:space="preserve">activation </w:t>
      </w:r>
      <w:r w:rsidR="00B049F9" w:rsidRPr="003C68F0">
        <w:rPr>
          <w:rFonts w:ascii="Calibri" w:hAnsi="Calibri" w:cs="Calibri"/>
          <w:sz w:val="20"/>
          <w:szCs w:val="20"/>
        </w:rPr>
        <w:t>by mTORC2</w:t>
      </w:r>
      <w:r w:rsidR="00EB2D6D">
        <w:rPr>
          <w:rFonts w:ascii="Calibri" w:hAnsi="Calibri" w:cs="Calibri"/>
          <w:sz w:val="20"/>
          <w:szCs w:val="20"/>
        </w:rPr>
        <w:t xml:space="preserve"> </w:t>
      </w:r>
      <w:r w:rsidR="00633C41" w:rsidRPr="003C68F0">
        <w:rPr>
          <w:rFonts w:ascii="Calibri" w:hAnsi="Calibri" w:cs="Calibri"/>
          <w:sz w:val="20"/>
          <w:szCs w:val="20"/>
        </w:rPr>
        <w:fldChar w:fldCharType="begin" w:fldLock="1"/>
      </w:r>
      <w:r w:rsidR="00491CFD" w:rsidRPr="003C68F0">
        <w:rPr>
          <w:rFonts w:ascii="Calibri" w:hAnsi="Calibri" w:cs="Calibri"/>
          <w:sz w:val="20"/>
          <w:szCs w:val="20"/>
        </w:rPr>
        <w:instrText>ADDIN CSL_CITATION {"citationItems":[{"id":"ITEM-1","itemData":{"DOI":"10.1182/blood-2011-04-346601","ISBN":"1528-0020 (Electronic)\\r0006-4971 (Linking)","ISSN":"0006-4971","PMID":"22080480","abstract":"The mammalian target of rapamycin (mTOR) plays crucial roles in proliferative and antiapoptotic signaling in lymphoid malignancies. Rapamycin analogs, which are allosteric mTOR complex 1 (mTORC1) inhibitors, are active in mantle cell lymphoma and other lymphoid neoplasms, but responses are usually partial and short-lived. In the present study we compared the effects of rapamycin with the dual mTORC1/mTORC2 inhibitor OSI-027 in cell lines and clinical samples representing divers lymphoid malignancies. In contrast to rapamycin, OSI-027 markedly diminished proliferation and induced apoptosis in a variety of lymphoid cell lines and clinical samples, including specimens of B-cell acute lymphocytic leukemia (ALL), mantle cell lymphoma, marginal zone lymphoma and Sezary syndrome. Additional analysis demonstrated that OSI-027-induced apoptosis depended on transcriptional activation of the PUMA and BIM genes. Overexpression of Bcl-2, which neutralizes Puma and Bim, or loss of procaspase 9 diminished OSI-027-induced apoptosis in vitro. Moreover, OSI-027 inhibited phosphorylation of mTORC1 and mTORC2 substrates, up-regulated Puma, and induced regressions in Jeko xenografts. Collectively, these results not only identify a pathway that is critical for the cytotoxicity of dual mTORC1/mTORC2 inhibitors, but also suggest that simultaneously targeting mTORC1 and mTORC2 might be an effective anti-lymphoma strategy in vivo.","author":[{"dropping-particle":"","family":"Gupta","given":"M.","non-dropping-particle":"","parse-names":false,"suffix":""},{"dropping-particle":"","family":"Hendrickson","given":"A. E. W.","non-dropping-particle":"","parse-names":false,"suffix":""},{"dropping-particle":"","family":"Yun","given":"S. S.","non-dropping-particle":"","parse-names":false,"suffix":""},{"dropping-particle":"","family":"Han","given":"J. J.","non-dropping-particle":"","parse-names":false,"suffix":""},{"dropping-particle":"","family":"Schneider","given":"P. A.","non-dropping-particle":"","parse-names":false,"suffix":""},{"dropping-particle":"","family":"Koh","given":"B. D.","non-dropping-particle":"","parse-names":false,"suffix":""},{"dropping-particle":"","family":"Stenson","given":"M. J.","non-dropping-particle":"","parse-names":false,"suffix":""},{"dropping-particle":"","family":"Wellik","given":"L. E.","non-dropping-particle":"","parse-names":false,"suffix":""},{"dropping-particle":"","family":"Shing","given":"J. C.","non-dropping-particle":"","parse-names":false,"suffix":""},{"dropping-particle":"","family":"Peterson","given":"K. L.","non-dropping-particle":"","parse-names":false,"suffix":""},{"dropping-particle":"","family":"Flatten","given":"K. S.","non-dropping-particle":"","parse-names":false,"suffix":""},{"dropping-particle":"","family":"Hess","given":"A. D.","non-dropping-particle":"","parse-names":false,"suffix":""},{"dropping-particle":"","family":"Smith","given":"B. D.","non-dropping-particle":"","parse-names":false,"suffix":""},{"dropping-particle":"","family":"Karp","given":"J. E.","non-dropping-particle":"","parse-names":false,"suffix":""},{"dropping-particle":"","family":"Barr","given":"S.","non-dropping-particle":"","parse-names":false,"suffix":""},{"dropping-particle":"","family":"Witzig","given":"T. E.","non-dropping-particle":"","parse-names":false,"suffix":""},{"dropping-particle":"","family":"Kaufmann","given":"S. H.","non-dropping-particle":"","parse-names":false,"suffix":""}],"container-title":"Blood","id":"ITEM-1","issued":{"date-parts":[["2012"]]},"page":"476-487","title":"Dual mTORC1/mTORC2 inhibition diminishes Akt activation and induces Puma-dependent apoptosis in lymphoid malignancies","type":"article","volume":"119"},"uris":["http://www.mendeley.com/documents/?uuid=16b7cf1c-2766-461e-976c-f74d79f00f93"]}],"mendeley":{"formattedCitation":"&lt;sup&gt;8&lt;/sup&gt;","plainTextFormattedCitation":"8","previouslyFormattedCitation":"&lt;sup&gt;8&lt;/sup&gt;"},"properties":{"noteIndex":0},"schema":"https://github.com/citation-style-language/schema/raw/master/csl-citation.json"}</w:instrText>
      </w:r>
      <w:r w:rsidR="00633C41" w:rsidRPr="003C68F0">
        <w:rPr>
          <w:rFonts w:ascii="Calibri" w:hAnsi="Calibri" w:cs="Calibri"/>
          <w:sz w:val="20"/>
          <w:szCs w:val="20"/>
        </w:rPr>
        <w:fldChar w:fldCharType="separate"/>
      </w:r>
      <w:r w:rsidR="008836A0" w:rsidRPr="003C68F0">
        <w:rPr>
          <w:rFonts w:ascii="Calibri" w:hAnsi="Calibri" w:cs="Calibri"/>
          <w:noProof/>
          <w:sz w:val="20"/>
          <w:szCs w:val="20"/>
        </w:rPr>
        <w:t>8</w:t>
      </w:r>
      <w:r w:rsidR="00633C41" w:rsidRPr="003C68F0">
        <w:rPr>
          <w:rFonts w:ascii="Calibri" w:hAnsi="Calibri" w:cs="Calibri"/>
          <w:sz w:val="20"/>
          <w:szCs w:val="20"/>
        </w:rPr>
        <w:fldChar w:fldCharType="end"/>
      </w:r>
      <w:r w:rsidR="00B049F9" w:rsidRPr="003C68F0">
        <w:rPr>
          <w:rFonts w:ascii="Calibri" w:hAnsi="Calibri" w:cs="Calibri"/>
          <w:sz w:val="20"/>
          <w:szCs w:val="20"/>
        </w:rPr>
        <w:t xml:space="preserve">, </w:t>
      </w:r>
      <w:r w:rsidR="00302811" w:rsidRPr="003C68F0">
        <w:rPr>
          <w:rFonts w:ascii="Calibri" w:hAnsi="Calibri" w:cs="Calibri"/>
          <w:sz w:val="20"/>
          <w:szCs w:val="20"/>
        </w:rPr>
        <w:t>incomplete</w:t>
      </w:r>
      <w:r w:rsidR="00B049F9" w:rsidRPr="003C68F0">
        <w:rPr>
          <w:rFonts w:ascii="Calibri" w:hAnsi="Calibri" w:cs="Calibri"/>
          <w:sz w:val="20"/>
          <w:szCs w:val="20"/>
        </w:rPr>
        <w:t xml:space="preserve"> mTORC1 activation of its downstream effector 4E-BP1, activation of feedback loop</w:t>
      </w:r>
      <w:r w:rsidR="00685D72" w:rsidRPr="003C68F0">
        <w:rPr>
          <w:rFonts w:ascii="Calibri" w:hAnsi="Calibri" w:cs="Calibri"/>
          <w:sz w:val="20"/>
          <w:szCs w:val="20"/>
        </w:rPr>
        <w:t>s</w:t>
      </w:r>
      <w:r w:rsidR="00B049F9" w:rsidRPr="003C68F0">
        <w:rPr>
          <w:rFonts w:ascii="Calibri" w:hAnsi="Calibri" w:cs="Calibri"/>
          <w:sz w:val="20"/>
          <w:szCs w:val="20"/>
        </w:rPr>
        <w:t>, and activation of parallel signalling pathways</w:t>
      </w:r>
      <w:r w:rsidR="00EB2D6D">
        <w:rPr>
          <w:rFonts w:ascii="Calibri" w:hAnsi="Calibri" w:cs="Calibri"/>
          <w:sz w:val="20"/>
          <w:szCs w:val="20"/>
        </w:rPr>
        <w:t xml:space="preserve"> </w:t>
      </w:r>
      <w:r w:rsidR="00633C41" w:rsidRPr="003C68F0">
        <w:rPr>
          <w:rFonts w:ascii="Calibri" w:hAnsi="Calibri" w:cs="Calibri"/>
          <w:sz w:val="20"/>
          <w:szCs w:val="20"/>
        </w:rPr>
        <w:fldChar w:fldCharType="begin" w:fldLock="1"/>
      </w:r>
      <w:r w:rsidR="008836A0" w:rsidRPr="003C68F0">
        <w:rPr>
          <w:rFonts w:ascii="Calibri" w:hAnsi="Calibri" w:cs="Calibri"/>
          <w:sz w:val="20"/>
          <w:szCs w:val="20"/>
        </w:rPr>
        <w:instrText>ADDIN CSL_CITATION {"citationItems":[{"id":"ITEM-1","itemData":{"DOI":"10.1111/bjh.12945","ISSN":"1365-2141","PMID":"24842496","abstract":"Since the discovery of rapamycin in Easter Island soil in 1975, more has been learnt about the relevance and importance of the mammalian target of rapamycin (mTOR) pathway in cell signalling, proliferation and ultimately tumourigenesis. Rapamycin targets the mTORC1 complex alone. Despite initial excitement, rapamycin and its analogues, everolimus and temsirolimus, have displayed limited efficacy in the treatment of lymphoid malignancies. This review highlights the important and well-described aspects of the critical phosphatidylinositol-4,5-bisphosphate 3-kinase (PI3K)/AKT/mTOR pathway and discusses the mechanisms of action of rapamycin, its clinical efficacy in lymphoid malignancies, and the mechanisms of resistance. Renewed interest in targeting the pathway has evolved through the discovery of mTORC2, a protein complex associated with a key mechanism of resistance to first generation mTOR inhibitors. As such, novel dual inhibitors of mTORC1 and mTORC2 have been developed, along with other dual inhibitors of the mTOR pathway. The evolution in the development of dual inhibitors is described herein, along with the burgeoning in vitro, pre-clinical data and the early phase clinical data available. Although historically mTOR inhibitors have been used extensively in haematopoietic and solid organ transplant prophylaxis, this review will focus on developments of their use in lymphoid malignancies.","author":[{"dropping-particle":"","family":"Eyre","given":"Toby A","non-dropping-particle":"","parse-names":false,"suffix":""},{"dropping-particle":"","family":"Collins","given":"Graham P","non-dropping-particle":"","parse-names":false,"suffix":""},{"dropping-particle":"","family":"Goldstone","given":"Anthony H","non-dropping-particle":"","parse-names":false,"suffix":""},{"dropping-particle":"","family":"Cwynarski","given":"Kate","non-dropping-particle":"","parse-names":false,"suffix":""}],"container-title":"British journal of haematology","id":"ITEM-1","issued":{"date-parts":[["2014","5","19"]]},"title":"Time now to TORC the TORC? New developments in mTOR pathway inhibition in lymphoid malignancies.","type":"article-journal"},"uris":["http://www.mendeley.com/documents/?uuid=a2cf3098-4aac-4fe9-9c5b-438905730392"]}],"mendeley":{"formattedCitation":"&lt;sup&gt;5&lt;/sup&gt;","plainTextFormattedCitation":"5","previouslyFormattedCitation":"&lt;sup&gt;5&lt;/sup&gt;"},"properties":{"noteIndex":0},"schema":"https://github.com/citation-style-language/schema/raw/master/csl-citation.json"}</w:instrText>
      </w:r>
      <w:r w:rsidR="00633C41" w:rsidRPr="003C68F0">
        <w:rPr>
          <w:rFonts w:ascii="Calibri" w:hAnsi="Calibri" w:cs="Calibri"/>
          <w:sz w:val="20"/>
          <w:szCs w:val="20"/>
        </w:rPr>
        <w:fldChar w:fldCharType="separate"/>
      </w:r>
      <w:r w:rsidR="00633C41" w:rsidRPr="003C68F0">
        <w:rPr>
          <w:rFonts w:ascii="Calibri" w:hAnsi="Calibri" w:cs="Calibri"/>
          <w:noProof/>
          <w:sz w:val="20"/>
          <w:szCs w:val="20"/>
        </w:rPr>
        <w:t>5</w:t>
      </w:r>
      <w:r w:rsidR="00633C41" w:rsidRPr="003C68F0">
        <w:rPr>
          <w:rFonts w:ascii="Calibri" w:hAnsi="Calibri" w:cs="Calibri"/>
          <w:sz w:val="20"/>
          <w:szCs w:val="20"/>
        </w:rPr>
        <w:fldChar w:fldCharType="end"/>
      </w:r>
      <w:r w:rsidR="00B049F9" w:rsidRPr="003C68F0">
        <w:rPr>
          <w:rFonts w:ascii="Calibri" w:hAnsi="Calibri" w:cs="Calibri"/>
          <w:sz w:val="20"/>
          <w:szCs w:val="20"/>
        </w:rPr>
        <w:t xml:space="preserve">. </w:t>
      </w:r>
    </w:p>
    <w:p w14:paraId="35F97BCB" w14:textId="33EF45FE" w:rsidR="000735B2" w:rsidRPr="003C68F0" w:rsidRDefault="004B6FEF" w:rsidP="004B6FEF">
      <w:pPr>
        <w:pStyle w:val="NormalWeb"/>
        <w:spacing w:line="360" w:lineRule="auto"/>
        <w:rPr>
          <w:rFonts w:ascii="Calibri" w:hAnsi="Calibri" w:cs="Calibri"/>
          <w:sz w:val="20"/>
          <w:szCs w:val="20"/>
        </w:rPr>
      </w:pPr>
      <w:r w:rsidRPr="003C68F0">
        <w:rPr>
          <w:rFonts w:ascii="Calibri" w:hAnsi="Calibri" w:cs="Calibri"/>
          <w:sz w:val="20"/>
          <w:szCs w:val="20"/>
        </w:rPr>
        <w:t xml:space="preserve">Dual mTORC1/2 selective ATP competitive inhibitors block phosphorylation of all downstream targets of both mTORC complexes </w:t>
      </w:r>
      <w:r w:rsidR="00B049F9" w:rsidRPr="003C68F0">
        <w:rPr>
          <w:rFonts w:ascii="Calibri" w:hAnsi="Calibri" w:cs="Calibri"/>
          <w:sz w:val="20"/>
          <w:szCs w:val="20"/>
        </w:rPr>
        <w:t xml:space="preserve">without affecting other kinases.  Pre-clinical </w:t>
      </w:r>
      <w:r w:rsidR="00A17D72" w:rsidRPr="003C68F0">
        <w:rPr>
          <w:rFonts w:ascii="Calibri" w:hAnsi="Calibri" w:cs="Calibri"/>
          <w:sz w:val="20"/>
          <w:szCs w:val="20"/>
        </w:rPr>
        <w:t>data suggest</w:t>
      </w:r>
      <w:r w:rsidR="00346325" w:rsidRPr="003C68F0">
        <w:rPr>
          <w:rFonts w:ascii="Calibri" w:hAnsi="Calibri" w:cs="Calibri"/>
          <w:sz w:val="20"/>
          <w:szCs w:val="20"/>
        </w:rPr>
        <w:t>s</w:t>
      </w:r>
      <w:r w:rsidR="00A17D72" w:rsidRPr="003C68F0">
        <w:rPr>
          <w:rFonts w:ascii="Calibri" w:hAnsi="Calibri" w:cs="Calibri"/>
          <w:sz w:val="20"/>
          <w:szCs w:val="20"/>
        </w:rPr>
        <w:t xml:space="preserve"> dual mTORC1/2</w:t>
      </w:r>
      <w:r w:rsidR="000F55C5">
        <w:rPr>
          <w:rFonts w:ascii="Calibri" w:hAnsi="Calibri" w:cs="Calibri"/>
          <w:sz w:val="20"/>
          <w:szCs w:val="20"/>
        </w:rPr>
        <w:t xml:space="preserve"> </w:t>
      </w:r>
      <w:r w:rsidR="00A17D72" w:rsidRPr="003C68F0">
        <w:rPr>
          <w:rFonts w:ascii="Calibri" w:hAnsi="Calibri" w:cs="Calibri"/>
          <w:sz w:val="20"/>
          <w:szCs w:val="20"/>
        </w:rPr>
        <w:t>i</w:t>
      </w:r>
      <w:r w:rsidR="000F55C5">
        <w:rPr>
          <w:rFonts w:ascii="Calibri" w:hAnsi="Calibri" w:cs="Calibri"/>
          <w:sz w:val="20"/>
          <w:szCs w:val="20"/>
        </w:rPr>
        <w:t>nhibition</w:t>
      </w:r>
      <w:r w:rsidR="00A17D72" w:rsidRPr="003C68F0">
        <w:rPr>
          <w:rFonts w:ascii="Calibri" w:hAnsi="Calibri" w:cs="Calibri"/>
          <w:sz w:val="20"/>
          <w:szCs w:val="20"/>
        </w:rPr>
        <w:t xml:space="preserve"> </w:t>
      </w:r>
      <w:r w:rsidR="00B049F9" w:rsidRPr="003C68F0">
        <w:rPr>
          <w:rFonts w:ascii="Calibri" w:hAnsi="Calibri" w:cs="Calibri"/>
          <w:sz w:val="20"/>
          <w:szCs w:val="20"/>
        </w:rPr>
        <w:t>overcome</w:t>
      </w:r>
      <w:r w:rsidR="00346325" w:rsidRPr="003C68F0">
        <w:rPr>
          <w:rFonts w:ascii="Calibri" w:hAnsi="Calibri" w:cs="Calibri"/>
          <w:sz w:val="20"/>
          <w:szCs w:val="20"/>
        </w:rPr>
        <w:t>s</w:t>
      </w:r>
      <w:r w:rsidR="00B049F9" w:rsidRPr="003C68F0">
        <w:rPr>
          <w:rFonts w:ascii="Calibri" w:hAnsi="Calibri" w:cs="Calibri"/>
          <w:sz w:val="20"/>
          <w:szCs w:val="20"/>
        </w:rPr>
        <w:t xml:space="preserve"> resistance to mTORC1</w:t>
      </w:r>
      <w:r w:rsidR="000F55C5">
        <w:rPr>
          <w:rFonts w:ascii="Calibri" w:hAnsi="Calibri" w:cs="Calibri"/>
          <w:sz w:val="20"/>
          <w:szCs w:val="20"/>
        </w:rPr>
        <w:t xml:space="preserve"> </w:t>
      </w:r>
      <w:r w:rsidR="00A17D72" w:rsidRPr="003C68F0">
        <w:rPr>
          <w:rFonts w:ascii="Calibri" w:hAnsi="Calibri" w:cs="Calibri"/>
          <w:sz w:val="20"/>
          <w:szCs w:val="20"/>
        </w:rPr>
        <w:t>i</w:t>
      </w:r>
      <w:r w:rsidR="000F55C5">
        <w:rPr>
          <w:rFonts w:ascii="Calibri" w:hAnsi="Calibri" w:cs="Calibri"/>
          <w:sz w:val="20"/>
          <w:szCs w:val="20"/>
        </w:rPr>
        <w:t>nhibition</w:t>
      </w:r>
      <w:r w:rsidR="00B049F9" w:rsidRPr="003C68F0">
        <w:rPr>
          <w:rFonts w:ascii="Calibri" w:hAnsi="Calibri" w:cs="Calibri"/>
          <w:sz w:val="20"/>
          <w:szCs w:val="20"/>
        </w:rPr>
        <w:t>, and have superior anti-proliferative and pro-apoptotic effects</w:t>
      </w:r>
      <w:r w:rsidR="00EB2D6D">
        <w:rPr>
          <w:rFonts w:ascii="Calibri" w:hAnsi="Calibri" w:cs="Calibri"/>
          <w:sz w:val="20"/>
          <w:szCs w:val="20"/>
        </w:rPr>
        <w:t xml:space="preserve"> </w:t>
      </w:r>
      <w:r w:rsidR="00633C41" w:rsidRPr="003C68F0">
        <w:rPr>
          <w:rFonts w:ascii="Calibri" w:hAnsi="Calibri" w:cs="Calibri"/>
          <w:sz w:val="20"/>
          <w:szCs w:val="20"/>
        </w:rPr>
        <w:fldChar w:fldCharType="begin" w:fldLock="1"/>
      </w:r>
      <w:r w:rsidR="008836A0" w:rsidRPr="003C68F0">
        <w:rPr>
          <w:rFonts w:ascii="Calibri" w:hAnsi="Calibri" w:cs="Calibri"/>
          <w:sz w:val="20"/>
          <w:szCs w:val="20"/>
        </w:rPr>
        <w:instrText>ADDIN CSL_CITATION {"citationItems":[{"id":"ITEM-1","itemData":{"DOI":"10.1111/bjh.12945","ISSN":"1365-2141","PMID":"24842496","abstract":"Since the discovery of rapamycin in Easter Island soil in 1975, more has been learnt about the relevance and importance of the mammalian target of rapamycin (mTOR) pathway in cell signalling, proliferation and ultimately tumourigenesis. Rapamycin targets the mTORC1 complex alone. Despite initial excitement, rapamycin and its analogues, everolimus and temsirolimus, have displayed limited efficacy in the treatment of lymphoid malignancies. This review highlights the important and well-described aspects of the critical phosphatidylinositol-4,5-bisphosphate 3-kinase (PI3K)/AKT/mTOR pathway and discusses the mechanisms of action of rapamycin, its clinical efficacy in lymphoid malignancies, and the mechanisms of resistance. Renewed interest in targeting the pathway has evolved through the discovery of mTORC2, a protein complex associated with a key mechanism of resistance to first generation mTOR inhibitors. As such, novel dual inhibitors of mTORC1 and mTORC2 have been developed, along with other dual inhibitors of the mTOR pathway. The evolution in the development of dual inhibitors is described herein, along with the burgeoning in vitro, pre-clinical data and the early phase clinical data available. Although historically mTOR inhibitors have been used extensively in haematopoietic and solid organ transplant prophylaxis, this review will focus on developments of their use in lymphoid malignancies.","author":[{"dropping-particle":"","family":"Eyre","given":"Toby A","non-dropping-particle":"","parse-names":false,"suffix":""},{"dropping-particle":"","family":"Collins","given":"Graham P","non-dropping-particle":"","parse-names":false,"suffix":""},{"dropping-particle":"","family":"Goldstone","given":"Anthony H","non-dropping-particle":"","parse-names":false,"suffix":""},{"dropping-particle":"","family":"Cwynarski","given":"Kate","non-dropping-particle":"","parse-names":false,"suffix":""}],"container-title":"British journal of haematology","id":"ITEM-1","issued":{"date-parts":[["2014","5","19"]]},"title":"Time now to TORC the TORC? New developments in mTOR pathway inhibition in lymphoid malignancies.","type":"article-journal"},"uris":["http://www.mendeley.com/documents/?uuid=a2cf3098-4aac-4fe9-9c5b-438905730392"]}],"mendeley":{"formattedCitation":"&lt;sup&gt;5&lt;/sup&gt;","plainTextFormattedCitation":"5","previouslyFormattedCitation":"&lt;sup&gt;5&lt;/sup&gt;"},"properties":{"noteIndex":0},"schema":"https://github.com/citation-style-language/schema/raw/master/csl-citation.json"}</w:instrText>
      </w:r>
      <w:r w:rsidR="00633C41" w:rsidRPr="003C68F0">
        <w:rPr>
          <w:rFonts w:ascii="Calibri" w:hAnsi="Calibri" w:cs="Calibri"/>
          <w:sz w:val="20"/>
          <w:szCs w:val="20"/>
        </w:rPr>
        <w:fldChar w:fldCharType="separate"/>
      </w:r>
      <w:r w:rsidR="00633C41" w:rsidRPr="003C68F0">
        <w:rPr>
          <w:rFonts w:ascii="Calibri" w:hAnsi="Calibri" w:cs="Calibri"/>
          <w:noProof/>
          <w:sz w:val="20"/>
          <w:szCs w:val="20"/>
        </w:rPr>
        <w:t>5</w:t>
      </w:r>
      <w:r w:rsidR="00633C41" w:rsidRPr="003C68F0">
        <w:rPr>
          <w:rFonts w:ascii="Calibri" w:hAnsi="Calibri" w:cs="Calibri"/>
          <w:sz w:val="20"/>
          <w:szCs w:val="20"/>
        </w:rPr>
        <w:fldChar w:fldCharType="end"/>
      </w:r>
      <w:r w:rsidR="00B049F9" w:rsidRPr="003C68F0">
        <w:rPr>
          <w:rFonts w:ascii="Calibri" w:hAnsi="Calibri" w:cs="Calibri"/>
          <w:sz w:val="20"/>
          <w:szCs w:val="20"/>
        </w:rPr>
        <w:t>. AZD2014 (vistusertib) is a po</w:t>
      </w:r>
      <w:r w:rsidR="001455F4" w:rsidRPr="003C68F0">
        <w:rPr>
          <w:rFonts w:ascii="Calibri" w:hAnsi="Calibri" w:cs="Calibri"/>
          <w:sz w:val="20"/>
          <w:szCs w:val="20"/>
        </w:rPr>
        <w:t xml:space="preserve">tent, </w:t>
      </w:r>
      <w:r w:rsidR="00A17D72" w:rsidRPr="003C68F0">
        <w:rPr>
          <w:rFonts w:ascii="Calibri" w:hAnsi="Calibri" w:cs="Calibri"/>
          <w:sz w:val="20"/>
          <w:szCs w:val="20"/>
        </w:rPr>
        <w:t>specific dual mTORC1/2</w:t>
      </w:r>
      <w:r w:rsidR="000F55C5">
        <w:rPr>
          <w:rFonts w:ascii="Calibri" w:hAnsi="Calibri" w:cs="Calibri"/>
          <w:sz w:val="20"/>
          <w:szCs w:val="20"/>
        </w:rPr>
        <w:t xml:space="preserve"> </w:t>
      </w:r>
      <w:r w:rsidR="00A17D72" w:rsidRPr="003C68F0">
        <w:rPr>
          <w:rFonts w:ascii="Calibri" w:hAnsi="Calibri" w:cs="Calibri"/>
          <w:sz w:val="20"/>
          <w:szCs w:val="20"/>
        </w:rPr>
        <w:t>i</w:t>
      </w:r>
      <w:r w:rsidR="000F55C5">
        <w:rPr>
          <w:rFonts w:ascii="Calibri" w:hAnsi="Calibri" w:cs="Calibri"/>
          <w:sz w:val="20"/>
          <w:szCs w:val="20"/>
        </w:rPr>
        <w:t>nhibitor</w:t>
      </w:r>
      <w:r w:rsidR="00A17D72" w:rsidRPr="003C68F0">
        <w:rPr>
          <w:rFonts w:ascii="Calibri" w:hAnsi="Calibri" w:cs="Calibri"/>
          <w:sz w:val="20"/>
          <w:szCs w:val="20"/>
        </w:rPr>
        <w:t xml:space="preserve"> </w:t>
      </w:r>
      <w:r w:rsidR="00B049F9" w:rsidRPr="003C68F0">
        <w:rPr>
          <w:rFonts w:ascii="Calibri" w:hAnsi="Calibri" w:cs="Calibri"/>
          <w:sz w:val="20"/>
          <w:szCs w:val="20"/>
        </w:rPr>
        <w:t>with superior pharmacokinetics compared with previously developed dual mTOR</w:t>
      </w:r>
      <w:r w:rsidR="00890CD0" w:rsidRPr="003C68F0">
        <w:rPr>
          <w:rFonts w:ascii="Calibri" w:hAnsi="Calibri" w:cs="Calibri"/>
          <w:sz w:val="20"/>
          <w:szCs w:val="20"/>
        </w:rPr>
        <w:t>C1/2</w:t>
      </w:r>
      <w:r w:rsidR="000F55C5">
        <w:rPr>
          <w:rFonts w:ascii="Calibri" w:hAnsi="Calibri" w:cs="Calibri"/>
          <w:sz w:val="20"/>
          <w:szCs w:val="20"/>
        </w:rPr>
        <w:t xml:space="preserve"> </w:t>
      </w:r>
      <w:r w:rsidR="001455F4" w:rsidRPr="003C68F0">
        <w:rPr>
          <w:rFonts w:ascii="Calibri" w:hAnsi="Calibri" w:cs="Calibri"/>
          <w:sz w:val="20"/>
          <w:szCs w:val="20"/>
        </w:rPr>
        <w:t>i</w:t>
      </w:r>
      <w:r w:rsidR="000F55C5">
        <w:rPr>
          <w:rFonts w:ascii="Calibri" w:hAnsi="Calibri" w:cs="Calibri"/>
          <w:sz w:val="20"/>
          <w:szCs w:val="20"/>
        </w:rPr>
        <w:t>nhibitors</w:t>
      </w:r>
      <w:r w:rsidR="00EB2D6D">
        <w:rPr>
          <w:rFonts w:ascii="Calibri" w:hAnsi="Calibri" w:cs="Calibri"/>
          <w:sz w:val="20"/>
          <w:szCs w:val="20"/>
        </w:rPr>
        <w:t xml:space="preserve"> </w:t>
      </w:r>
      <w:r w:rsidR="00633C41" w:rsidRPr="003C68F0">
        <w:rPr>
          <w:rFonts w:ascii="Calibri" w:hAnsi="Calibri" w:cs="Calibri"/>
          <w:sz w:val="20"/>
          <w:szCs w:val="20"/>
        </w:rPr>
        <w:fldChar w:fldCharType="begin" w:fldLock="1"/>
      </w:r>
      <w:r w:rsidR="00491CFD" w:rsidRPr="003C68F0">
        <w:rPr>
          <w:rFonts w:ascii="Calibri" w:hAnsi="Calibri" w:cs="Calibri"/>
          <w:sz w:val="20"/>
          <w:szCs w:val="20"/>
        </w:rPr>
        <w:instrText>ADDIN CSL_CITATION {"citationItems":[{"id":"ITEM-1","itemData":{"DOI":"10.1016/j.bmcl.2013.01.019","ISSN":"1464-3405","PMID":"23375793","abstract":"The optimization of a potent and highly selective series of dual mTORC1 and mTORC2 inhibitors is described. An initial focus on improving cellular potency whilst maintaining or improving other key parameters, such as aqueous solubility and margins over hERG IC(50), led to the discovery of the clinical candidate AZD8055 (14). Further optimization, particularly aimed at reducing the rate of metabolism in human hepatocyte incubations, resulted in the discovery of the clinical candidate AZD2014 (21).","author":[{"dropping-particle":"","family":"Pike","given":"Kurt G","non-dropping-particle":"","parse-names":false,"suffix":""},{"dropping-particle":"","family":"Malagu","given":"Karine","non-dropping-particle":"","parse-names":false,"suffix":""},{"dropping-particle":"","family":"Hummersone","given":"Marc G","non-dropping-particle":"","parse-names":false,"suffix":""},{"dropping-particle":"","family":"Menear","given":"Keith a","non-dropping-particle":"","parse-names":false,"suffix":""},{"dropping-particle":"","family":"Duggan","given":"Heather M E","non-dropping-particle":"","parse-names":false,"suffix":""},{"dropping-particle":"","family":"Gomez","given":"Sylvie","non-dropping-particle":"","parse-names":false,"suffix":""},{"dropping-particle":"","family":"Martin","given":"Niall M B","non-dropping-particle":"","parse-names":false,"suffix":""},{"dropping-particle":"","family":"Ruston","given":"Linette","non-dropping-particle":"","parse-names":false,"suffix":""},{"dropping-particle":"","family":"Pass","given":"Sarah L","non-dropping-particle":"","parse-names":false,"suffix":""},{"dropping-particle":"","family":"Pass","given":"Martin","non-dropping-particle":"","parse-names":false,"suffix":""}],"container-title":"Bioorg. Med. Chem. Lett.","id":"ITEM-1","issued":{"date-parts":[["2013"]]},"page":"1212-6","title":"Optimization of potent and selective dual mTORC1 and mTORC2 inhibitors: the discovery of AZD8055 and AZD2014.","type":"article-journal","volume":"23"},"uris":["http://www.mendeley.com/documents/?uuid=3c16a0d6-4412-4a17-8d00-0529c85540ce"]}],"mendeley":{"formattedCitation":"&lt;sup&gt;9&lt;/sup&gt;","plainTextFormattedCitation":"9","previouslyFormattedCitation":"&lt;sup&gt;9&lt;/sup&gt;"},"properties":{"noteIndex":0},"schema":"https://github.com/citation-style-language/schema/raw/master/csl-citation.json"}</w:instrText>
      </w:r>
      <w:r w:rsidR="00633C41" w:rsidRPr="003C68F0">
        <w:rPr>
          <w:rFonts w:ascii="Calibri" w:hAnsi="Calibri" w:cs="Calibri"/>
          <w:sz w:val="20"/>
          <w:szCs w:val="20"/>
        </w:rPr>
        <w:fldChar w:fldCharType="separate"/>
      </w:r>
      <w:r w:rsidR="008836A0" w:rsidRPr="003C68F0">
        <w:rPr>
          <w:rFonts w:ascii="Calibri" w:hAnsi="Calibri" w:cs="Calibri"/>
          <w:noProof/>
          <w:sz w:val="20"/>
          <w:szCs w:val="20"/>
        </w:rPr>
        <w:t>9</w:t>
      </w:r>
      <w:r w:rsidR="00633C41" w:rsidRPr="003C68F0">
        <w:rPr>
          <w:rFonts w:ascii="Calibri" w:hAnsi="Calibri" w:cs="Calibri"/>
          <w:sz w:val="20"/>
          <w:szCs w:val="20"/>
        </w:rPr>
        <w:fldChar w:fldCharType="end"/>
      </w:r>
      <w:r w:rsidR="00B049F9" w:rsidRPr="003C68F0">
        <w:rPr>
          <w:rFonts w:ascii="Calibri" w:hAnsi="Calibri" w:cs="Calibri"/>
          <w:sz w:val="20"/>
          <w:szCs w:val="20"/>
        </w:rPr>
        <w:t xml:space="preserve">. Using continuous </w:t>
      </w:r>
      <w:r w:rsidR="00890CD0" w:rsidRPr="003C68F0">
        <w:rPr>
          <w:rFonts w:ascii="Calibri" w:hAnsi="Calibri" w:cs="Calibri"/>
          <w:sz w:val="20"/>
          <w:szCs w:val="20"/>
        </w:rPr>
        <w:t>or</w:t>
      </w:r>
      <w:r w:rsidR="00B049F9" w:rsidRPr="003C68F0">
        <w:rPr>
          <w:rFonts w:ascii="Calibri" w:hAnsi="Calibri" w:cs="Calibri"/>
          <w:sz w:val="20"/>
          <w:szCs w:val="20"/>
        </w:rPr>
        <w:t xml:space="preserve"> intermittent schedule</w:t>
      </w:r>
      <w:r w:rsidR="00346325" w:rsidRPr="003C68F0">
        <w:rPr>
          <w:rFonts w:ascii="Calibri" w:hAnsi="Calibri" w:cs="Calibri"/>
          <w:sz w:val="20"/>
          <w:szCs w:val="20"/>
        </w:rPr>
        <w:t>s</w:t>
      </w:r>
      <w:r w:rsidR="00B049F9" w:rsidRPr="003C68F0">
        <w:rPr>
          <w:rFonts w:ascii="Calibri" w:hAnsi="Calibri" w:cs="Calibri"/>
          <w:sz w:val="20"/>
          <w:szCs w:val="20"/>
        </w:rPr>
        <w:t>, it was well-tolerated in a phase I trial in solid tumours</w:t>
      </w:r>
      <w:r w:rsidR="00EB2D6D">
        <w:rPr>
          <w:rFonts w:ascii="Calibri" w:hAnsi="Calibri" w:cs="Calibri"/>
          <w:sz w:val="20"/>
          <w:szCs w:val="20"/>
        </w:rPr>
        <w:t xml:space="preserve"> </w:t>
      </w:r>
      <w:r w:rsidR="00633C41" w:rsidRPr="003C68F0">
        <w:rPr>
          <w:rFonts w:ascii="Calibri" w:hAnsi="Calibri" w:cs="Calibri"/>
          <w:sz w:val="20"/>
          <w:szCs w:val="20"/>
        </w:rPr>
        <w:fldChar w:fldCharType="begin" w:fldLock="1"/>
      </w:r>
      <w:r w:rsidR="00491CFD" w:rsidRPr="003C68F0">
        <w:rPr>
          <w:rFonts w:ascii="Calibri" w:hAnsi="Calibri" w:cs="Calibri"/>
          <w:sz w:val="20"/>
          <w:szCs w:val="20"/>
        </w:rPr>
        <w:instrText>ADDIN CSL_CITATION {"citationItems":[{"id":"ITEM-1","itemData":{"DOI":"10.1158/1078-0432.CCR-14-2422","ISSN":"1078-0432","PMID":"25805799","abstract":"PURPOSE AZD2014 is a novel, oral, m-TORC 1/2 inhibitor that has shown in vitro and in vivo efficacy across a range of preclinical human cancer models. EXPERIMENTAL DESIGN A rolling six-dose escalation was performed to define an MTD (part A), and at MTD a further cohort of patients was treated to further characterize toxicities and perform pre- and posttreatment biopsies (part B). AZD2014 was administered orally twice a day continuously. Flow cytometry, ELISA, and immunohistochemistry were used to quantify pharmacodynamic biomarkers. Pharmacokinetic analysis was carried out by mass spectrometry. RESULTS A total of 56 patients were treated across a dose range of 25 to 100 mg. The MTD was 50 mg twice daily. The dose-limiting toxicities were fatigue and mucositis. At the MTD, the most common adverse events (AE) were fatigue (78%), nausea (51%), and mucositis (49%), but these were equal to or greater than grade 3 in only 5% of patients. Drug levels achieved at the MTD (AUC SS: 6686 ng·h/mL, Cmax ss 1,664 ng/mL) were consistent with activity in preclinical models. A reduction in p-S6 levels and Ki67 staining was observed in 8 of 8 and 5 of 9 evaluable paired biopsy samples. Partial responses were seen in a patient with pancreatic cancer and a patient with breast cancer, who were found to have a PDGFR and ERBB2 mutation, respectively. CONCLUSIONS The recommended phase II dose for further evaluation of AZD2014 is 50 mg twice daily, and at this dose it has been possible to demonstrate pharmacologically relevant plasma concentrations, target inhibition in tumor, and clinical responses.","author":[{"dropping-particle":"","family":"Basu","given":"Bristi","non-dropping-particle":"","parse-names":false,"suffix":""},{"dropping-particle":"","family":"Dean","given":"Emma","non-dropping-particle":"","parse-names":false,"suffix":""},{"dropping-particle":"","family":"Puglisi","given":"Martina","non-dropping-particle":"","parse-names":false,"suffix":""},{"dropping-particle":"","family":"Greystoke","given":"Alastair","non-dropping-particle":"","parse-names":false,"suffix":""},{"dropping-particle":"","family":"Ong","given":"Michael","non-dropping-particle":"","parse-names":false,"suffix":""},{"dropping-particle":"","family":"Burke","given":"Wendy","non-dropping-particle":"","parse-names":false,"suffix":""},{"dropping-particle":"","family":"Cavallin","given":"Maria","non-dropping-particle":"","parse-names":false,"suffix":""},{"dropping-particle":"","family":"Bigley","given":"Graham","non-dropping-particle":"","parse-names":false,"suffix":""},{"dropping-particle":"","family":"Womack","given":"Christopher","non-dropping-particle":"","parse-names":false,"suffix":""},{"dropping-particle":"","family":"Harrington","given":"Elizabeth A","non-dropping-particle":"","parse-names":false,"suffix":""},{"dropping-particle":"","family":"Green","given":"Stephen","non-dropping-particle":"","parse-names":false,"suffix":""},{"dropping-particle":"","family":"Oelmann","given":"Elisabeth","non-dropping-particle":"","parse-names":false,"suffix":""},{"dropping-particle":"","family":"Bono","given":"Johann S","non-dropping-particle":"de","parse-names":false,"suffix":""},{"dropping-particle":"","family":"Ranson","given":"Malcolm","non-dropping-particle":"","parse-names":false,"suffix":""},{"dropping-particle":"","family":"Banerji","given":"Udai","non-dropping-particle":"","parse-names":false,"suffix":""}],"container-title":"Clinical cancer research : an official journal of the American Association for Cancer Research","id":"ITEM-1","issue":"15","issued":{"date-parts":[["2015","8","1"]]},"page":"3412-9","publisher":"American Association for Cancer Research","title":"First-in-Human Pharmacokinetic and Pharmacodynamic Study of the Dual m-TORC 1/2 Inhibitor AZD2014.","type":"article-journal","volume":"21"},"uris":["http://www.mendeley.com/documents/?uuid=ab119289-9461-3683-a380-0d2e15ac4a65"]}],"mendeley":{"formattedCitation":"&lt;sup&gt;10&lt;/sup&gt;","plainTextFormattedCitation":"10","previouslyFormattedCitation":"&lt;sup&gt;10&lt;/sup&gt;"},"properties":{"noteIndex":0},"schema":"https://github.com/citation-style-language/schema/raw/master/csl-citation.json"}</w:instrText>
      </w:r>
      <w:r w:rsidR="00633C41" w:rsidRPr="003C68F0">
        <w:rPr>
          <w:rFonts w:ascii="Calibri" w:hAnsi="Calibri" w:cs="Calibri"/>
          <w:sz w:val="20"/>
          <w:szCs w:val="20"/>
        </w:rPr>
        <w:fldChar w:fldCharType="separate"/>
      </w:r>
      <w:r w:rsidR="008836A0" w:rsidRPr="003C68F0">
        <w:rPr>
          <w:rFonts w:ascii="Calibri" w:hAnsi="Calibri" w:cs="Calibri"/>
          <w:noProof/>
          <w:sz w:val="20"/>
          <w:szCs w:val="20"/>
        </w:rPr>
        <w:t>10</w:t>
      </w:r>
      <w:r w:rsidR="00633C41" w:rsidRPr="003C68F0">
        <w:rPr>
          <w:rFonts w:ascii="Calibri" w:hAnsi="Calibri" w:cs="Calibri"/>
          <w:sz w:val="20"/>
          <w:szCs w:val="20"/>
        </w:rPr>
        <w:fldChar w:fldCharType="end"/>
      </w:r>
      <w:r w:rsidR="00B049F9" w:rsidRPr="003C68F0">
        <w:rPr>
          <w:rFonts w:ascii="Calibri" w:hAnsi="Calibri" w:cs="Calibri"/>
          <w:sz w:val="20"/>
          <w:szCs w:val="20"/>
        </w:rPr>
        <w:t xml:space="preserve">. </w:t>
      </w:r>
      <w:r w:rsidR="00A17D72" w:rsidRPr="003C68F0">
        <w:rPr>
          <w:rFonts w:ascii="Calibri" w:hAnsi="Calibri" w:cs="Calibri"/>
          <w:sz w:val="20"/>
          <w:szCs w:val="20"/>
        </w:rPr>
        <w:t>An</w:t>
      </w:r>
      <w:r w:rsidR="00B049F9" w:rsidRPr="003C68F0">
        <w:rPr>
          <w:rFonts w:ascii="Calibri" w:hAnsi="Calibri" w:cs="Calibri"/>
          <w:sz w:val="20"/>
          <w:szCs w:val="20"/>
        </w:rPr>
        <w:t xml:space="preserve"> intermittent schedule of </w:t>
      </w:r>
      <w:r w:rsidR="007D7C69">
        <w:rPr>
          <w:rFonts w:ascii="Calibri" w:hAnsi="Calibri" w:cs="Calibri"/>
          <w:color w:val="C00000"/>
          <w:sz w:val="20"/>
          <w:szCs w:val="20"/>
        </w:rPr>
        <w:t>two</w:t>
      </w:r>
      <w:r w:rsidR="00B049F9" w:rsidRPr="003C68F0">
        <w:rPr>
          <w:rFonts w:ascii="Calibri" w:hAnsi="Calibri" w:cs="Calibri"/>
          <w:sz w:val="20"/>
          <w:szCs w:val="20"/>
        </w:rPr>
        <w:t xml:space="preserve"> </w:t>
      </w:r>
      <w:r w:rsidR="00A17D72" w:rsidRPr="003C68F0">
        <w:rPr>
          <w:rFonts w:ascii="Calibri" w:hAnsi="Calibri" w:cs="Calibri"/>
          <w:sz w:val="20"/>
          <w:szCs w:val="20"/>
        </w:rPr>
        <w:t xml:space="preserve">consecutive </w:t>
      </w:r>
      <w:r w:rsidR="00B049F9" w:rsidRPr="003C68F0">
        <w:rPr>
          <w:rFonts w:ascii="Calibri" w:hAnsi="Calibri" w:cs="Calibri"/>
          <w:sz w:val="20"/>
          <w:szCs w:val="20"/>
        </w:rPr>
        <w:t xml:space="preserve">days </w:t>
      </w:r>
      <w:r w:rsidR="005C5510" w:rsidRPr="003C68F0">
        <w:rPr>
          <w:rFonts w:ascii="Calibri" w:hAnsi="Calibri" w:cs="Calibri"/>
          <w:sz w:val="20"/>
          <w:szCs w:val="20"/>
        </w:rPr>
        <w:t>per week (</w:t>
      </w:r>
      <w:r w:rsidR="007D7C69">
        <w:rPr>
          <w:rFonts w:ascii="Calibri" w:hAnsi="Calibri" w:cs="Calibri"/>
          <w:color w:val="C00000"/>
          <w:sz w:val="20"/>
          <w:szCs w:val="20"/>
        </w:rPr>
        <w:t>four</w:t>
      </w:r>
      <w:r w:rsidR="005C5510" w:rsidRPr="003C68F0">
        <w:rPr>
          <w:rFonts w:ascii="Calibri" w:hAnsi="Calibri" w:cs="Calibri"/>
          <w:sz w:val="20"/>
          <w:szCs w:val="20"/>
        </w:rPr>
        <w:t xml:space="preserve">-weekly cycle) </w:t>
      </w:r>
      <w:r w:rsidR="00B049F9" w:rsidRPr="003C68F0">
        <w:rPr>
          <w:rFonts w:ascii="Calibri" w:hAnsi="Calibri" w:cs="Calibri"/>
          <w:sz w:val="20"/>
          <w:szCs w:val="20"/>
        </w:rPr>
        <w:t xml:space="preserve">starting </w:t>
      </w:r>
      <w:r w:rsidR="005C5510" w:rsidRPr="003C68F0">
        <w:rPr>
          <w:rFonts w:ascii="Calibri" w:hAnsi="Calibri" w:cs="Calibri"/>
          <w:sz w:val="20"/>
          <w:szCs w:val="20"/>
        </w:rPr>
        <w:t xml:space="preserve">at </w:t>
      </w:r>
      <w:r w:rsidR="00B049F9" w:rsidRPr="003C68F0">
        <w:rPr>
          <w:rFonts w:ascii="Calibri" w:hAnsi="Calibri" w:cs="Calibri"/>
          <w:sz w:val="20"/>
          <w:szCs w:val="20"/>
        </w:rPr>
        <w:t>12</w:t>
      </w:r>
      <w:r w:rsidR="00A17D72" w:rsidRPr="003C68F0">
        <w:rPr>
          <w:rFonts w:ascii="Calibri" w:hAnsi="Calibri" w:cs="Calibri"/>
          <w:sz w:val="20"/>
          <w:szCs w:val="20"/>
        </w:rPr>
        <w:t>5</w:t>
      </w:r>
      <w:r w:rsidR="00EB2D6D">
        <w:rPr>
          <w:rFonts w:ascii="Calibri" w:hAnsi="Calibri" w:cs="Calibri"/>
          <w:sz w:val="20"/>
          <w:szCs w:val="20"/>
        </w:rPr>
        <w:t xml:space="preserve"> </w:t>
      </w:r>
      <w:r w:rsidR="00A17D72" w:rsidRPr="003C68F0">
        <w:rPr>
          <w:rFonts w:ascii="Calibri" w:hAnsi="Calibri" w:cs="Calibri"/>
          <w:sz w:val="20"/>
          <w:szCs w:val="20"/>
        </w:rPr>
        <w:t>mg b.d.</w:t>
      </w:r>
      <w:r w:rsidRPr="003C68F0">
        <w:rPr>
          <w:rFonts w:ascii="Calibri" w:hAnsi="Calibri" w:cs="Calibri"/>
          <w:sz w:val="20"/>
          <w:szCs w:val="20"/>
        </w:rPr>
        <w:t xml:space="preserve"> was </w:t>
      </w:r>
      <w:r w:rsidR="00A17D72" w:rsidRPr="003C68F0">
        <w:rPr>
          <w:rFonts w:ascii="Calibri" w:hAnsi="Calibri" w:cs="Calibri"/>
          <w:sz w:val="20"/>
          <w:szCs w:val="20"/>
        </w:rPr>
        <w:t>recommended based on</w:t>
      </w:r>
      <w:r w:rsidR="00A934C7" w:rsidRPr="003C68F0">
        <w:rPr>
          <w:rFonts w:ascii="Calibri" w:hAnsi="Calibri" w:cs="Calibri"/>
          <w:sz w:val="20"/>
          <w:szCs w:val="20"/>
        </w:rPr>
        <w:t xml:space="preserve"> </w:t>
      </w:r>
      <w:r w:rsidR="00920BCD" w:rsidRPr="003C68F0">
        <w:rPr>
          <w:rFonts w:ascii="Calibri" w:hAnsi="Calibri" w:cs="Calibri"/>
          <w:sz w:val="20"/>
          <w:szCs w:val="20"/>
        </w:rPr>
        <w:t>pharmacokinetics</w:t>
      </w:r>
      <w:r w:rsidR="00A934C7" w:rsidRPr="003C68F0">
        <w:rPr>
          <w:rFonts w:ascii="Calibri" w:hAnsi="Calibri" w:cs="Calibri"/>
          <w:sz w:val="20"/>
          <w:szCs w:val="20"/>
        </w:rPr>
        <w:t>, pharmacodynamics</w:t>
      </w:r>
      <w:r w:rsidR="00B049F9" w:rsidRPr="003C68F0">
        <w:rPr>
          <w:rFonts w:ascii="Calibri" w:hAnsi="Calibri" w:cs="Calibri"/>
          <w:sz w:val="20"/>
          <w:szCs w:val="20"/>
        </w:rPr>
        <w:t xml:space="preserve">, and </w:t>
      </w:r>
      <w:r w:rsidR="00D16AC0" w:rsidRPr="003C68F0">
        <w:rPr>
          <w:rFonts w:ascii="Calibri" w:hAnsi="Calibri" w:cs="Calibri"/>
          <w:sz w:val="20"/>
          <w:szCs w:val="20"/>
        </w:rPr>
        <w:t xml:space="preserve">potentially improved </w:t>
      </w:r>
      <w:r w:rsidR="00B049F9" w:rsidRPr="003C68F0">
        <w:rPr>
          <w:rFonts w:ascii="Calibri" w:hAnsi="Calibri" w:cs="Calibri"/>
          <w:sz w:val="20"/>
          <w:szCs w:val="20"/>
        </w:rPr>
        <w:t>tolerability</w:t>
      </w:r>
      <w:r w:rsidR="00D16AC0" w:rsidRPr="003C68F0">
        <w:rPr>
          <w:rFonts w:ascii="Calibri" w:hAnsi="Calibri" w:cs="Calibri"/>
          <w:sz w:val="20"/>
          <w:szCs w:val="20"/>
        </w:rPr>
        <w:t xml:space="preserve"> rather than 50</w:t>
      </w:r>
      <w:r w:rsidR="00EB2D6D">
        <w:rPr>
          <w:rFonts w:ascii="Calibri" w:hAnsi="Calibri" w:cs="Calibri"/>
          <w:sz w:val="20"/>
          <w:szCs w:val="20"/>
        </w:rPr>
        <w:t xml:space="preserve"> </w:t>
      </w:r>
      <w:r w:rsidR="00D16AC0" w:rsidRPr="003C68F0">
        <w:rPr>
          <w:rFonts w:ascii="Calibri" w:hAnsi="Calibri" w:cs="Calibri"/>
          <w:sz w:val="20"/>
          <w:szCs w:val="20"/>
        </w:rPr>
        <w:t>mg b.d. daily</w:t>
      </w:r>
      <w:r w:rsidR="00B049F9" w:rsidRPr="003C68F0">
        <w:rPr>
          <w:rFonts w:ascii="Calibri" w:hAnsi="Calibri" w:cs="Calibri"/>
          <w:sz w:val="20"/>
          <w:szCs w:val="20"/>
        </w:rPr>
        <w:t xml:space="preserve">. We performed a phase II, </w:t>
      </w:r>
      <w:r w:rsidR="00A17D72" w:rsidRPr="003C68F0">
        <w:rPr>
          <w:rFonts w:ascii="Calibri" w:hAnsi="Calibri" w:cs="Calibri"/>
          <w:sz w:val="20"/>
          <w:szCs w:val="20"/>
        </w:rPr>
        <w:t>single-</w:t>
      </w:r>
      <w:r w:rsidR="00B049F9" w:rsidRPr="003C68F0">
        <w:rPr>
          <w:rFonts w:ascii="Calibri" w:hAnsi="Calibri" w:cs="Calibri"/>
          <w:sz w:val="20"/>
          <w:szCs w:val="20"/>
        </w:rPr>
        <w:t xml:space="preserve">arm, multicentre </w:t>
      </w:r>
      <w:r w:rsidR="00A17D72" w:rsidRPr="003C68F0">
        <w:rPr>
          <w:rFonts w:ascii="Calibri" w:hAnsi="Calibri" w:cs="Calibri"/>
          <w:sz w:val="20"/>
          <w:szCs w:val="20"/>
        </w:rPr>
        <w:t>open-</w:t>
      </w:r>
      <w:r w:rsidR="00B049F9" w:rsidRPr="003C68F0">
        <w:rPr>
          <w:rFonts w:ascii="Calibri" w:hAnsi="Calibri" w:cs="Calibri"/>
          <w:sz w:val="20"/>
          <w:szCs w:val="20"/>
        </w:rPr>
        <w:t>label trial to determine the activity and tolerability of vistusertib in R/R DLBCL</w:t>
      </w:r>
      <w:r w:rsidR="00B70A75" w:rsidRPr="003C68F0">
        <w:rPr>
          <w:rFonts w:ascii="Calibri" w:hAnsi="Calibri" w:cs="Calibri"/>
          <w:sz w:val="20"/>
          <w:szCs w:val="20"/>
        </w:rPr>
        <w:t>, delivered as monotherapy or in combination with rituximab.</w:t>
      </w:r>
    </w:p>
    <w:p w14:paraId="167B9546" w14:textId="3344CC01" w:rsidR="009F1E21" w:rsidRPr="009E24D1" w:rsidRDefault="000735B2" w:rsidP="009E24D1">
      <w:pPr>
        <w:pStyle w:val="NormalWeb"/>
        <w:spacing w:line="360" w:lineRule="auto"/>
        <w:rPr>
          <w:rFonts w:ascii="Calibri" w:hAnsi="Calibri" w:cs="Calibri"/>
          <w:b/>
          <w:sz w:val="20"/>
          <w:szCs w:val="20"/>
        </w:rPr>
      </w:pPr>
      <w:r w:rsidRPr="003C68F0">
        <w:rPr>
          <w:rFonts w:ascii="Calibri" w:hAnsi="Calibri" w:cs="Calibri"/>
          <w:b/>
          <w:sz w:val="20"/>
          <w:szCs w:val="20"/>
        </w:rPr>
        <w:t>Methodology</w:t>
      </w:r>
      <w:r w:rsidR="00B70A75" w:rsidRPr="003C68F0">
        <w:rPr>
          <w:rFonts w:ascii="Calibri" w:hAnsi="Calibri" w:cs="Calibri"/>
          <w:b/>
          <w:sz w:val="20"/>
          <w:szCs w:val="20"/>
        </w:rPr>
        <w:t xml:space="preserve"> </w:t>
      </w:r>
    </w:p>
    <w:p w14:paraId="336D752E" w14:textId="77777777" w:rsidR="002F6C55" w:rsidRPr="003C68F0" w:rsidRDefault="002F6C55" w:rsidP="009F1E21">
      <w:pPr>
        <w:autoSpaceDE w:val="0"/>
        <w:autoSpaceDN w:val="0"/>
        <w:adjustRightInd w:val="0"/>
        <w:spacing w:line="360" w:lineRule="auto"/>
        <w:rPr>
          <w:rFonts w:ascii="Calibri" w:hAnsi="Calibri" w:cs="Calibri"/>
          <w:i/>
          <w:sz w:val="20"/>
          <w:szCs w:val="20"/>
        </w:rPr>
      </w:pPr>
      <w:r w:rsidRPr="003C68F0">
        <w:rPr>
          <w:rFonts w:ascii="Calibri" w:hAnsi="Calibri" w:cs="Calibri"/>
          <w:i/>
          <w:sz w:val="20"/>
          <w:szCs w:val="20"/>
        </w:rPr>
        <w:t xml:space="preserve">Eligibility </w:t>
      </w:r>
    </w:p>
    <w:p w14:paraId="6B0B3653" w14:textId="710E7E85" w:rsidR="009F1E21" w:rsidRPr="003C68F0" w:rsidRDefault="00F34C6A" w:rsidP="009F1E21">
      <w:pPr>
        <w:autoSpaceDE w:val="0"/>
        <w:autoSpaceDN w:val="0"/>
        <w:adjustRightInd w:val="0"/>
        <w:spacing w:line="360" w:lineRule="auto"/>
        <w:rPr>
          <w:rFonts w:ascii="Calibri" w:hAnsi="Calibri" w:cs="Calibri"/>
          <w:color w:val="000000" w:themeColor="text1"/>
          <w:sz w:val="20"/>
          <w:szCs w:val="20"/>
        </w:rPr>
      </w:pPr>
      <w:r w:rsidRPr="003C68F0">
        <w:rPr>
          <w:rFonts w:ascii="Calibri" w:hAnsi="Calibri" w:cs="Calibri"/>
          <w:sz w:val="20"/>
          <w:szCs w:val="20"/>
        </w:rPr>
        <w:t xml:space="preserve">To be eligible for the trial, patients 18 years or over with an ECOG performance status of 0-2 with </w:t>
      </w:r>
      <w:r w:rsidR="009F1E21" w:rsidRPr="003C68F0">
        <w:rPr>
          <w:rFonts w:ascii="Calibri" w:hAnsi="Calibri" w:cs="Calibri"/>
          <w:sz w:val="20"/>
          <w:szCs w:val="20"/>
        </w:rPr>
        <w:t xml:space="preserve">histologically-proven </w:t>
      </w:r>
      <w:r w:rsidRPr="003C68F0">
        <w:rPr>
          <w:rFonts w:ascii="Calibri" w:hAnsi="Calibri" w:cs="Calibri"/>
          <w:sz w:val="20"/>
          <w:szCs w:val="20"/>
        </w:rPr>
        <w:t xml:space="preserve">relapsed or refractory DLBCL </w:t>
      </w:r>
      <w:r w:rsidR="007D7C69" w:rsidRPr="007D7C69">
        <w:rPr>
          <w:rFonts w:ascii="Calibri" w:hAnsi="Calibri" w:cs="Calibri"/>
          <w:color w:val="C00000"/>
          <w:sz w:val="20"/>
          <w:szCs w:val="20"/>
        </w:rPr>
        <w:t xml:space="preserve">and </w:t>
      </w:r>
      <w:r w:rsidRPr="003C68F0">
        <w:rPr>
          <w:rFonts w:ascii="Calibri" w:hAnsi="Calibri" w:cs="Calibri"/>
          <w:sz w:val="20"/>
          <w:szCs w:val="20"/>
        </w:rPr>
        <w:t xml:space="preserve">must have received at least </w:t>
      </w:r>
      <w:r w:rsidR="007D7C69">
        <w:rPr>
          <w:rFonts w:ascii="Calibri" w:hAnsi="Calibri" w:cs="Calibri"/>
          <w:color w:val="C00000"/>
          <w:sz w:val="20"/>
          <w:szCs w:val="20"/>
        </w:rPr>
        <w:t>one</w:t>
      </w:r>
      <w:r w:rsidRPr="003C68F0">
        <w:rPr>
          <w:rFonts w:ascii="Calibri" w:hAnsi="Calibri" w:cs="Calibri"/>
          <w:sz w:val="20"/>
          <w:szCs w:val="20"/>
        </w:rPr>
        <w:t xml:space="preserve"> therapeutic line of potentially curative immunochemotherapy containing an anti-CD20 </w:t>
      </w:r>
      <w:r w:rsidR="009E24D1">
        <w:rPr>
          <w:rFonts w:ascii="Calibri" w:hAnsi="Calibri" w:cs="Calibri"/>
          <w:sz w:val="20"/>
          <w:szCs w:val="20"/>
        </w:rPr>
        <w:t xml:space="preserve">monoclonal </w:t>
      </w:r>
      <w:r w:rsidRPr="003C68F0">
        <w:rPr>
          <w:rFonts w:ascii="Calibri" w:hAnsi="Calibri" w:cs="Calibri"/>
          <w:sz w:val="20"/>
          <w:szCs w:val="20"/>
        </w:rPr>
        <w:t xml:space="preserve">antibody. Patients with high grade transformation from an underlying indolent lymphoma or chronic lymphocytic leukaemia (CLL) were permitted if they had also failed </w:t>
      </w:r>
      <w:r w:rsidRPr="007D7C69">
        <w:rPr>
          <w:rFonts w:ascii="Calibri" w:hAnsi="Calibri" w:cs="Calibri"/>
          <w:color w:val="C00000"/>
          <w:sz w:val="20"/>
          <w:szCs w:val="20"/>
        </w:rPr>
        <w:t xml:space="preserve">one </w:t>
      </w:r>
      <w:r w:rsidRPr="003C68F0">
        <w:rPr>
          <w:rFonts w:ascii="Calibri" w:hAnsi="Calibri" w:cs="Calibri"/>
          <w:sz w:val="20"/>
          <w:szCs w:val="20"/>
        </w:rPr>
        <w:t xml:space="preserve">potentially curative line of therapy. </w:t>
      </w:r>
      <w:r w:rsidRPr="003C68F0">
        <w:rPr>
          <w:rFonts w:ascii="Calibri" w:eastAsiaTheme="minorHAnsi" w:hAnsi="Calibri" w:cs="Calibri"/>
          <w:sz w:val="20"/>
          <w:szCs w:val="20"/>
          <w:lang w:val="en-US"/>
        </w:rPr>
        <w:t>Patients must have</w:t>
      </w:r>
      <w:r w:rsidRPr="003C68F0">
        <w:rPr>
          <w:rFonts w:ascii="Calibri" w:hAnsi="Calibri" w:cs="Calibri"/>
          <w:color w:val="000000" w:themeColor="text1"/>
          <w:sz w:val="20"/>
          <w:szCs w:val="20"/>
        </w:rPr>
        <w:t xml:space="preserve"> </w:t>
      </w:r>
      <w:r w:rsidRPr="003C68F0">
        <w:rPr>
          <w:rFonts w:ascii="Calibri" w:eastAsiaTheme="minorHAnsi" w:hAnsi="Calibri" w:cs="Calibri"/>
          <w:sz w:val="20"/>
          <w:szCs w:val="20"/>
          <w:lang w:val="en-US"/>
        </w:rPr>
        <w:t>relapsed following salvage chemotherapy +/- ASCT or be considered not suitable for ASCT for any reason.</w:t>
      </w:r>
      <w:r w:rsidR="009F1E21" w:rsidRPr="003C68F0">
        <w:rPr>
          <w:rFonts w:ascii="Calibri" w:hAnsi="Calibri" w:cs="Calibri"/>
          <w:color w:val="000000" w:themeColor="text1"/>
          <w:sz w:val="20"/>
          <w:szCs w:val="20"/>
        </w:rPr>
        <w:t xml:space="preserve"> Patient must have measurable disease with a single lesion having a long axis diameter of </w:t>
      </w:r>
      <w:r w:rsidR="009F1E21" w:rsidRPr="003C68F0">
        <w:rPr>
          <w:rFonts w:ascii="Calibri" w:eastAsiaTheme="minorHAnsi" w:hAnsi="Calibri" w:cs="Calibri"/>
          <w:sz w:val="20"/>
          <w:szCs w:val="20"/>
          <w:lang w:val="en-US"/>
        </w:rPr>
        <w:t xml:space="preserve">≥ 1.5cm or splenomegaly ≥ 14cm in cranio-caudal length attributable to relapsed lymphoma. Eligible patients were HIV negative, Hepatitis C negative and Hepatitis B surface antigen negative. </w:t>
      </w:r>
    </w:p>
    <w:p w14:paraId="56924B95" w14:textId="77777777" w:rsidR="009F1E21" w:rsidRPr="003C68F0" w:rsidRDefault="009F1E21" w:rsidP="000735B2">
      <w:pPr>
        <w:autoSpaceDE w:val="0"/>
        <w:autoSpaceDN w:val="0"/>
        <w:adjustRightInd w:val="0"/>
        <w:spacing w:line="360" w:lineRule="auto"/>
        <w:rPr>
          <w:rFonts w:ascii="Calibri" w:hAnsi="Calibri" w:cs="Calibri"/>
          <w:sz w:val="20"/>
          <w:szCs w:val="20"/>
        </w:rPr>
      </w:pPr>
    </w:p>
    <w:p w14:paraId="379ECACD" w14:textId="31E594C7" w:rsidR="000735B2" w:rsidRPr="00B22123" w:rsidRDefault="000735B2" w:rsidP="00B22123">
      <w:pPr>
        <w:spacing w:line="360" w:lineRule="auto"/>
        <w:rPr>
          <w:rFonts w:ascii="Calibri" w:hAnsi="Calibri" w:cs="Calibri"/>
          <w:color w:val="C00000"/>
          <w:sz w:val="20"/>
          <w:szCs w:val="20"/>
        </w:rPr>
      </w:pPr>
      <w:r w:rsidRPr="003C68F0">
        <w:rPr>
          <w:rFonts w:ascii="Calibri" w:hAnsi="Calibri" w:cs="Calibri"/>
          <w:sz w:val="20"/>
          <w:szCs w:val="20"/>
        </w:rPr>
        <w:t>Key exclusion criteria included</w:t>
      </w:r>
      <w:r w:rsidR="009F1E21" w:rsidRPr="003C68F0">
        <w:rPr>
          <w:rFonts w:ascii="Calibri" w:hAnsi="Calibri" w:cs="Calibri"/>
          <w:sz w:val="20"/>
          <w:szCs w:val="20"/>
        </w:rPr>
        <w:t xml:space="preserve"> are listed as follows</w:t>
      </w:r>
      <w:r w:rsidRPr="003C68F0">
        <w:rPr>
          <w:rFonts w:ascii="Calibri" w:hAnsi="Calibri" w:cs="Calibri"/>
          <w:sz w:val="20"/>
          <w:szCs w:val="20"/>
        </w:rPr>
        <w:t>: (i) anti-cancer therapy (radiotherapy, endocrine, investigational or immunotherapy) within 21 days (</w:t>
      </w:r>
      <w:r w:rsidRPr="003C68F0">
        <w:rPr>
          <w:rFonts w:ascii="Calibri" w:hAnsi="Calibri" w:cs="Calibri"/>
          <w:color w:val="000000" w:themeColor="text1"/>
          <w:sz w:val="20"/>
          <w:szCs w:val="20"/>
        </w:rPr>
        <w:t>not including palliative radiotherapy at focal sites)</w:t>
      </w:r>
      <w:r w:rsidRPr="003C68F0">
        <w:rPr>
          <w:rFonts w:ascii="Calibri" w:hAnsi="Calibri" w:cs="Calibri"/>
          <w:sz w:val="20"/>
          <w:szCs w:val="20"/>
        </w:rPr>
        <w:t xml:space="preserve">. Corticosteroids </w:t>
      </w:r>
      <w:r w:rsidRPr="003C68F0">
        <w:rPr>
          <w:rFonts w:ascii="Calibri" w:hAnsi="Calibri" w:cs="Calibri"/>
          <w:color w:val="000000" w:themeColor="text1"/>
          <w:sz w:val="20"/>
          <w:szCs w:val="20"/>
        </w:rPr>
        <w:t xml:space="preserve">were permitted within 21 days of registration as long as the maximum dose was 10 mg (equivalent) of prednisolone on cycle </w:t>
      </w:r>
      <w:r w:rsidR="007D7C69">
        <w:rPr>
          <w:rFonts w:ascii="Calibri" w:hAnsi="Calibri" w:cs="Calibri"/>
          <w:color w:val="C00000"/>
          <w:sz w:val="20"/>
          <w:szCs w:val="20"/>
        </w:rPr>
        <w:t>one</w:t>
      </w:r>
      <w:r w:rsidRPr="003C68F0">
        <w:rPr>
          <w:rFonts w:ascii="Calibri" w:hAnsi="Calibri" w:cs="Calibri"/>
          <w:color w:val="000000" w:themeColor="text1"/>
          <w:sz w:val="20"/>
          <w:szCs w:val="20"/>
        </w:rPr>
        <w:t xml:space="preserve">, day </w:t>
      </w:r>
      <w:r w:rsidR="007D7C69">
        <w:rPr>
          <w:rFonts w:ascii="Calibri" w:hAnsi="Calibri" w:cs="Calibri"/>
          <w:color w:val="C00000"/>
          <w:sz w:val="20"/>
          <w:szCs w:val="20"/>
        </w:rPr>
        <w:t>one</w:t>
      </w:r>
      <w:r w:rsidRPr="003C68F0">
        <w:rPr>
          <w:rFonts w:ascii="Calibri" w:hAnsi="Calibri" w:cs="Calibri"/>
          <w:sz w:val="20"/>
          <w:szCs w:val="20"/>
        </w:rPr>
        <w:t xml:space="preserve"> (ii) unresolved toxicity from prior therapy &gt; grade </w:t>
      </w:r>
      <w:r w:rsidR="007D7C69">
        <w:rPr>
          <w:rFonts w:ascii="Calibri" w:hAnsi="Calibri" w:cs="Calibri"/>
          <w:color w:val="C00000"/>
          <w:sz w:val="20"/>
          <w:szCs w:val="20"/>
        </w:rPr>
        <w:t>two</w:t>
      </w:r>
      <w:r w:rsidRPr="003C68F0">
        <w:rPr>
          <w:rFonts w:ascii="Calibri" w:hAnsi="Calibri" w:cs="Calibri"/>
          <w:sz w:val="20"/>
          <w:szCs w:val="20"/>
        </w:rPr>
        <w:t xml:space="preserve"> (CTCAE v 4.03) (iii) previous exposure to mTORC1 or mTORC1/2 inhibitors (iv) requiring </w:t>
      </w:r>
      <w:r w:rsidRPr="003C68F0">
        <w:rPr>
          <w:rFonts w:ascii="Calibri" w:hAnsi="Calibri" w:cs="Calibri"/>
          <w:color w:val="000000" w:themeColor="text1"/>
          <w:sz w:val="20"/>
          <w:szCs w:val="20"/>
        </w:rPr>
        <w:t xml:space="preserve">potent and moderate inhibitors and inducers of CYP3A4/5 </w:t>
      </w:r>
      <w:r w:rsidRPr="003C68F0">
        <w:rPr>
          <w:rFonts w:ascii="Calibri" w:hAnsi="Calibri" w:cs="Calibri"/>
          <w:sz w:val="20"/>
          <w:szCs w:val="20"/>
        </w:rPr>
        <w:t xml:space="preserve">(v) proven DLBCL central nervous system involvement (vi) clinically significant and uncontrolled major medical condition(s) including but not limited to: infection, bleeding diathesis, symptomatic cardiac failure, cardiac arrhythmia or psychiatric illness  which would limit protocol compliance (vii) left ventricular ejection fraction &lt;50% </w:t>
      </w:r>
      <w:r w:rsidRPr="003C68F0">
        <w:rPr>
          <w:rFonts w:ascii="Calibri" w:hAnsi="Calibri" w:cs="Calibri"/>
          <w:color w:val="000000" w:themeColor="text1"/>
          <w:sz w:val="20"/>
          <w:szCs w:val="20"/>
        </w:rPr>
        <w:t>(</w:t>
      </w:r>
      <w:r w:rsidRPr="003C68F0">
        <w:rPr>
          <w:rFonts w:ascii="Calibri" w:hAnsi="Calibri" w:cs="Calibri"/>
          <w:sz w:val="20"/>
          <w:szCs w:val="20"/>
        </w:rPr>
        <w:t xml:space="preserve">viii) major surgery &lt; </w:t>
      </w:r>
      <w:r w:rsidR="007D7C69">
        <w:rPr>
          <w:rFonts w:ascii="Calibri" w:hAnsi="Calibri" w:cs="Calibri"/>
          <w:color w:val="C00000"/>
          <w:sz w:val="20"/>
          <w:szCs w:val="20"/>
        </w:rPr>
        <w:t>four</w:t>
      </w:r>
      <w:r w:rsidRPr="003C68F0">
        <w:rPr>
          <w:rFonts w:ascii="Calibri" w:hAnsi="Calibri" w:cs="Calibri"/>
          <w:sz w:val="20"/>
          <w:szCs w:val="20"/>
        </w:rPr>
        <w:t xml:space="preserve"> weeks (ix) </w:t>
      </w:r>
      <w:r w:rsidRPr="003C68F0">
        <w:rPr>
          <w:rFonts w:ascii="Calibri" w:hAnsi="Calibri" w:cs="Calibri"/>
          <w:color w:val="000000" w:themeColor="text1"/>
          <w:sz w:val="20"/>
          <w:szCs w:val="20"/>
        </w:rPr>
        <w:t xml:space="preserve">type I or </w:t>
      </w:r>
      <w:r w:rsidRPr="003C68F0">
        <w:rPr>
          <w:rFonts w:ascii="Calibri" w:hAnsi="Calibri" w:cs="Calibri"/>
          <w:color w:val="000000" w:themeColor="text1"/>
          <w:sz w:val="20"/>
          <w:szCs w:val="20"/>
        </w:rPr>
        <w:lastRenderedPageBreak/>
        <w:t xml:space="preserve">uncontrolled type II diabetes (HbA1c &gt;7 mmol/L) (x) </w:t>
      </w:r>
      <w:r w:rsidRPr="003C68F0">
        <w:rPr>
          <w:rFonts w:ascii="Calibri" w:hAnsi="Calibri" w:cs="Calibri"/>
          <w:sz w:val="20"/>
          <w:szCs w:val="20"/>
        </w:rPr>
        <w:t xml:space="preserve">refractory nausea and vomiting, chronic gastrointestinal diseases or bowel resection precluding adequate oral medication. </w:t>
      </w:r>
      <w:r w:rsidR="009F1E21" w:rsidRPr="003C68F0">
        <w:rPr>
          <w:rFonts w:ascii="Calibri" w:hAnsi="Calibri" w:cs="Calibri"/>
          <w:sz w:val="20"/>
          <w:szCs w:val="20"/>
        </w:rPr>
        <w:t>All patients provided written informed consent. The study was conducted in accordance with the Declaration of Helsinki</w:t>
      </w:r>
      <w:r w:rsidR="00B22123">
        <w:rPr>
          <w:rFonts w:ascii="Calibri" w:hAnsi="Calibri" w:cs="Calibri"/>
          <w:sz w:val="20"/>
          <w:szCs w:val="20"/>
        </w:rPr>
        <w:t xml:space="preserve"> </w:t>
      </w:r>
      <w:r w:rsidR="00B22123" w:rsidRPr="00B22123">
        <w:rPr>
          <w:rFonts w:ascii="Calibri" w:hAnsi="Calibri" w:cs="Calibri"/>
          <w:color w:val="C00000"/>
          <w:sz w:val="20"/>
          <w:szCs w:val="20"/>
        </w:rPr>
        <w:t>and received ethical approval (REC number: 10/H0604/85)</w:t>
      </w:r>
      <w:r w:rsidR="009F1E21" w:rsidRPr="00B22123">
        <w:rPr>
          <w:rFonts w:ascii="Calibri" w:hAnsi="Calibri" w:cs="Calibri"/>
          <w:color w:val="C00000"/>
          <w:sz w:val="20"/>
          <w:szCs w:val="20"/>
        </w:rPr>
        <w:t>.</w:t>
      </w:r>
    </w:p>
    <w:p w14:paraId="2159C5E8" w14:textId="77777777" w:rsidR="00B049F9" w:rsidRPr="003C68F0" w:rsidRDefault="00B049F9" w:rsidP="00B049F9">
      <w:pPr>
        <w:pStyle w:val="PlainText"/>
        <w:rPr>
          <w:rFonts w:cs="Calibri"/>
          <w:i/>
          <w:sz w:val="20"/>
          <w:szCs w:val="20"/>
        </w:rPr>
      </w:pPr>
    </w:p>
    <w:p w14:paraId="499AE8B1" w14:textId="08CFA6E8" w:rsidR="000735B2" w:rsidRPr="000F6B15" w:rsidRDefault="00B049F9" w:rsidP="000735B2">
      <w:pPr>
        <w:spacing w:line="360" w:lineRule="auto"/>
        <w:rPr>
          <w:rFonts w:ascii="Calibri" w:hAnsi="Calibri" w:cs="Calibri"/>
          <w:color w:val="C00000"/>
          <w:sz w:val="20"/>
          <w:szCs w:val="20"/>
        </w:rPr>
      </w:pPr>
      <w:r w:rsidRPr="003C68F0">
        <w:rPr>
          <w:rFonts w:ascii="Calibri" w:hAnsi="Calibri" w:cs="Calibri"/>
          <w:sz w:val="20"/>
          <w:szCs w:val="20"/>
        </w:rPr>
        <w:t>The primary end</w:t>
      </w:r>
      <w:r w:rsidR="00AC1591" w:rsidRPr="003C68F0">
        <w:rPr>
          <w:rFonts w:ascii="Calibri" w:hAnsi="Calibri" w:cs="Calibri"/>
          <w:sz w:val="20"/>
          <w:szCs w:val="20"/>
        </w:rPr>
        <w:t xml:space="preserve">point </w:t>
      </w:r>
      <w:r w:rsidRPr="003C68F0">
        <w:rPr>
          <w:rFonts w:ascii="Calibri" w:hAnsi="Calibri" w:cs="Calibri"/>
          <w:sz w:val="20"/>
          <w:szCs w:val="20"/>
        </w:rPr>
        <w:t xml:space="preserve">was </w:t>
      </w:r>
      <w:r w:rsidR="00CE60CC">
        <w:rPr>
          <w:rFonts w:ascii="Calibri" w:hAnsi="Calibri" w:cs="Calibri"/>
          <w:color w:val="C00000"/>
          <w:sz w:val="20"/>
          <w:szCs w:val="20"/>
        </w:rPr>
        <w:t xml:space="preserve">the best </w:t>
      </w:r>
      <w:r w:rsidRPr="003C68F0">
        <w:rPr>
          <w:rFonts w:ascii="Calibri" w:hAnsi="Calibri" w:cs="Calibri"/>
          <w:sz w:val="20"/>
          <w:szCs w:val="20"/>
        </w:rPr>
        <w:t xml:space="preserve">ORR </w:t>
      </w:r>
      <w:r w:rsidR="00BD3091" w:rsidRPr="003C68F0">
        <w:rPr>
          <w:rFonts w:ascii="Calibri" w:hAnsi="Calibri" w:cs="Calibri"/>
          <w:sz w:val="20"/>
          <w:szCs w:val="20"/>
        </w:rPr>
        <w:t xml:space="preserve">achieved </w:t>
      </w:r>
      <w:r w:rsidRPr="003C68F0">
        <w:rPr>
          <w:rFonts w:ascii="Calibri" w:hAnsi="Calibri" w:cs="Calibri"/>
          <w:sz w:val="20"/>
          <w:szCs w:val="20"/>
        </w:rPr>
        <w:t>during</w:t>
      </w:r>
      <w:r w:rsidR="00394F92" w:rsidRPr="003C68F0">
        <w:rPr>
          <w:rFonts w:ascii="Calibri" w:hAnsi="Calibri" w:cs="Calibri"/>
          <w:sz w:val="20"/>
          <w:szCs w:val="20"/>
        </w:rPr>
        <w:t xml:space="preserve"> </w:t>
      </w:r>
      <w:r w:rsidRPr="003C68F0">
        <w:rPr>
          <w:rFonts w:ascii="Calibri" w:hAnsi="Calibri" w:cs="Calibri"/>
          <w:sz w:val="20"/>
          <w:szCs w:val="20"/>
        </w:rPr>
        <w:t>cycles</w:t>
      </w:r>
      <w:r w:rsidR="00394F92" w:rsidRPr="003C68F0">
        <w:rPr>
          <w:rFonts w:ascii="Calibri" w:hAnsi="Calibri" w:cs="Calibri"/>
          <w:sz w:val="20"/>
          <w:szCs w:val="20"/>
        </w:rPr>
        <w:t xml:space="preserve"> </w:t>
      </w:r>
      <w:r w:rsidR="007D7C69" w:rsidRPr="007D7C69">
        <w:rPr>
          <w:rFonts w:ascii="Calibri" w:hAnsi="Calibri" w:cs="Calibri"/>
          <w:color w:val="C00000"/>
          <w:sz w:val="20"/>
          <w:szCs w:val="20"/>
        </w:rPr>
        <w:t>one to six</w:t>
      </w:r>
      <w:r w:rsidR="00964CC5" w:rsidRPr="007D7C69">
        <w:rPr>
          <w:rFonts w:ascii="Calibri" w:hAnsi="Calibri" w:cs="Calibri"/>
          <w:color w:val="C00000"/>
          <w:sz w:val="20"/>
          <w:szCs w:val="20"/>
        </w:rPr>
        <w:t xml:space="preserve"> </w:t>
      </w:r>
      <w:r w:rsidR="00964CC5" w:rsidRPr="003C68F0">
        <w:rPr>
          <w:rFonts w:ascii="Calibri" w:hAnsi="Calibri" w:cs="Calibri"/>
          <w:sz w:val="20"/>
          <w:szCs w:val="20"/>
        </w:rPr>
        <w:t>assessed by standard cross-sectional CT imaging</w:t>
      </w:r>
      <w:r w:rsidRPr="003C68F0">
        <w:rPr>
          <w:rFonts w:ascii="Calibri" w:hAnsi="Calibri" w:cs="Calibri"/>
          <w:sz w:val="20"/>
          <w:szCs w:val="20"/>
        </w:rPr>
        <w:t>.  Secondary endpoints included PFS, OS, duration of response (DOR), change in tumour volume and tolerability</w:t>
      </w:r>
      <w:r w:rsidR="00AC1591" w:rsidRPr="003C68F0">
        <w:rPr>
          <w:rFonts w:ascii="Calibri" w:hAnsi="Calibri" w:cs="Calibri"/>
          <w:sz w:val="20"/>
          <w:szCs w:val="20"/>
        </w:rPr>
        <w:t xml:space="preserve">. </w:t>
      </w:r>
      <w:r w:rsidR="000735B2" w:rsidRPr="003C68F0">
        <w:rPr>
          <w:rFonts w:ascii="Calibri" w:hAnsi="Calibri" w:cs="Calibri"/>
          <w:sz w:val="20"/>
          <w:szCs w:val="20"/>
        </w:rPr>
        <w:t xml:space="preserve">Overall survival (OS) was defined as the time from registration to date of death. Progression free survival (PFS) was defined as time from registration to date of progression or death from any cause. For both OS and PFS, patients without an event were censored at their latest assessment. Duration of response was the time from first documented response to time of death or progression. Time to event outcomes were assessed using Kaplan Meier survival plots. Maximum percentage decrease in the radiological </w:t>
      </w:r>
      <w:r w:rsidR="00CE60CC">
        <w:rPr>
          <w:rFonts w:ascii="Calibri" w:hAnsi="Calibri" w:cs="Calibri"/>
          <w:color w:val="C00000"/>
          <w:sz w:val="20"/>
          <w:szCs w:val="20"/>
        </w:rPr>
        <w:t>sum of the products of the diameter (</w:t>
      </w:r>
      <w:r w:rsidR="000735B2" w:rsidRPr="003C68F0">
        <w:rPr>
          <w:rFonts w:ascii="Calibri" w:hAnsi="Calibri" w:cs="Calibri"/>
          <w:sz w:val="20"/>
          <w:szCs w:val="20"/>
        </w:rPr>
        <w:t>SPD</w:t>
      </w:r>
      <w:r w:rsidR="00CE60CC">
        <w:rPr>
          <w:rFonts w:ascii="Calibri" w:hAnsi="Calibri" w:cs="Calibri"/>
          <w:sz w:val="20"/>
          <w:szCs w:val="20"/>
        </w:rPr>
        <w:t>)</w:t>
      </w:r>
      <w:r w:rsidR="00B23522">
        <w:rPr>
          <w:rFonts w:ascii="Calibri" w:hAnsi="Calibri" w:cs="Calibri"/>
          <w:sz w:val="20"/>
          <w:szCs w:val="20"/>
        </w:rPr>
        <w:t xml:space="preserve"> </w:t>
      </w:r>
      <w:r w:rsidR="000735B2" w:rsidRPr="003C68F0">
        <w:rPr>
          <w:rFonts w:ascii="Calibri" w:hAnsi="Calibri" w:cs="Calibri"/>
          <w:sz w:val="20"/>
          <w:szCs w:val="20"/>
        </w:rPr>
        <w:t xml:space="preserve">during the first </w:t>
      </w:r>
      <w:r w:rsidR="007D7C69">
        <w:rPr>
          <w:rFonts w:ascii="Calibri" w:hAnsi="Calibri" w:cs="Calibri"/>
          <w:color w:val="C00000"/>
          <w:sz w:val="20"/>
          <w:szCs w:val="20"/>
        </w:rPr>
        <w:t>six</w:t>
      </w:r>
      <w:r w:rsidR="000735B2" w:rsidRPr="003C68F0">
        <w:rPr>
          <w:rFonts w:ascii="Calibri" w:hAnsi="Calibri" w:cs="Calibri"/>
          <w:sz w:val="20"/>
          <w:szCs w:val="20"/>
        </w:rPr>
        <w:t xml:space="preserve"> cycles was assessed using the Revised Response Criteria for Malignant Lymphoma</w:t>
      </w:r>
      <w:r w:rsidR="00EB2D6D">
        <w:rPr>
          <w:rFonts w:ascii="Calibri" w:hAnsi="Calibri" w:cs="Calibri"/>
          <w:sz w:val="20"/>
          <w:szCs w:val="20"/>
        </w:rPr>
        <w:t xml:space="preserve"> </w:t>
      </w:r>
      <w:r w:rsidR="00B065BA" w:rsidRPr="003C68F0">
        <w:rPr>
          <w:rFonts w:ascii="Calibri" w:hAnsi="Calibri" w:cs="Calibri"/>
          <w:sz w:val="20"/>
          <w:szCs w:val="20"/>
        </w:rPr>
        <w:fldChar w:fldCharType="begin" w:fldLock="1"/>
      </w:r>
      <w:r w:rsidR="003C68F0" w:rsidRPr="003C68F0">
        <w:rPr>
          <w:rFonts w:ascii="Calibri" w:hAnsi="Calibri" w:cs="Calibri"/>
          <w:sz w:val="20"/>
          <w:szCs w:val="20"/>
        </w:rPr>
        <w:instrText>ADDIN CSL_CITATION {"citationItems":[{"id":"ITEM-1","itemData":{"DOI":"10.1200/JCO.2013.54.8800","ISSN":"0732-183X","PMID":"25113753","abstract":"The purpose of this work was to modernize recommendations for evaluation, staging, and response assessment of patients with Hodgkin lymphoma (HL) and non-Hodgkin lymphoma (NHL). A workshop was held at the 11th International Conference on Malignant Lymphoma in Lugano, Switzerland, in June 2011, that included leading hematologists, oncologists, radiation oncologists, pathologists, radiologists, and nuclear medicine physicians, representing major international lymphoma clinical trials groups and cancer centers. Clinical and imaging subcommittees presented their conclusions at a subsequent workshop at the 12th International Conference on Malignant Lymphoma, leading to revised criteria for staging and of the International Working Group Guidelines of 2007 for response. As a result, fluorodeoxyglucose (FDG) positron emission tomography (PET)-computed tomography (CT) was formally incorporated into standard staging for FDG-avid lymphomas. A modification of the Ann Arbor descriptive terminology will be used for anatomic distribution of disease extent, but the suffixes A or B for symptoms will only be included for HL. A bone marrow biopsy is no longer indicated for the routine staging of HL and most diffuse large B-cell lymphomas. However, regardless of stage, general practice is to treat patients based on limited (stages I and II, nonbulky) or advanced (stage III or IV) disease, with stage II bulky disease considered as limited or advanced disease based on histology and a number of prognostic factors. PET-CT will be used to assess response in FDG-avid histologies using the 5-point scale. The product of the perpendicular diameters of a single node can be used to identify progressive disease. Routine surveillance scans are discouraged. These recommendations should improve evaluation of patients with lymphoma and enhance the ability to compare outcomes of clinical trials.","author":[{"dropping-particle":"","family":"Cheson","given":"B. D.","non-dropping-particle":"","parse-names":false,"suffix":""},{"dropping-particle":"","family":"Fisher","given":"R. I.","non-dropping-particle":"","parse-names":false,"suffix":""},{"dropping-particle":"","family":"Barrington","given":"S. F.","non-dropping-particle":"","parse-names":false,"suffix":""},{"dropping-particle":"","family":"Cavalli","given":"F.","non-dropping-particle":"","parse-names":false,"suffix":""},{"dropping-particle":"","family":"Schwartz","given":"L. H.","non-dropping-particle":"","parse-names":false,"suffix":""},{"dropping-particle":"","family":"Zucca","given":"E.","non-dropping-particle":"","parse-names":false,"suffix":""},{"dropping-particle":"","family":"Lister","given":"T. A.","non-dropping-particle":"","parse-names":false,"suffix":""}],"container-title":"Journal of Clinical Oncology","id":"ITEM-1","issued":{"date-parts":[["2014","8","11"]]},"title":"Recommendations for Initial Evaluation, Staging, and Response Assessment of Hodgkin and Non-Hodgkin Lymphoma: The Lugano Classification","type":"article-journal"},"uris":["http://www.mendeley.com/documents/?uuid=8c0de57f-94a3-4120-abd8-328362317c7e"]}],"mendeley":{"formattedCitation":"&lt;sup&gt;11&lt;/sup&gt;","plainTextFormattedCitation":"11","previouslyFormattedCitation":"&lt;sup&gt;11&lt;/sup&gt;"},"properties":{"noteIndex":0},"schema":"https://github.com/citation-style-language/schema/raw/master/csl-citation.json"}</w:instrText>
      </w:r>
      <w:r w:rsidR="00B065BA" w:rsidRPr="003C68F0">
        <w:rPr>
          <w:rFonts w:ascii="Calibri" w:hAnsi="Calibri" w:cs="Calibri"/>
          <w:sz w:val="20"/>
          <w:szCs w:val="20"/>
        </w:rPr>
        <w:fldChar w:fldCharType="separate"/>
      </w:r>
      <w:r w:rsidR="00B065BA" w:rsidRPr="003C68F0">
        <w:rPr>
          <w:rFonts w:ascii="Calibri" w:hAnsi="Calibri" w:cs="Calibri"/>
          <w:noProof/>
          <w:sz w:val="20"/>
          <w:szCs w:val="20"/>
        </w:rPr>
        <w:t>11</w:t>
      </w:r>
      <w:r w:rsidR="00B065BA" w:rsidRPr="003C68F0">
        <w:rPr>
          <w:rFonts w:ascii="Calibri" w:hAnsi="Calibri" w:cs="Calibri"/>
          <w:sz w:val="20"/>
          <w:szCs w:val="20"/>
        </w:rPr>
        <w:fldChar w:fldCharType="end"/>
      </w:r>
      <w:r w:rsidR="000735B2" w:rsidRPr="003C68F0">
        <w:rPr>
          <w:rFonts w:ascii="Calibri" w:hAnsi="Calibri" w:cs="Calibri"/>
          <w:sz w:val="20"/>
          <w:szCs w:val="20"/>
        </w:rPr>
        <w:t xml:space="preserve">. Specific timing of PET-CT scan on the days of reassessment during the </w:t>
      </w:r>
      <w:r w:rsidR="007D7C69">
        <w:rPr>
          <w:rFonts w:ascii="Calibri" w:hAnsi="Calibri" w:cs="Calibri"/>
          <w:color w:val="C00000"/>
          <w:sz w:val="20"/>
          <w:szCs w:val="20"/>
        </w:rPr>
        <w:t>six</w:t>
      </w:r>
      <w:r w:rsidR="000735B2" w:rsidRPr="003C68F0">
        <w:rPr>
          <w:rFonts w:ascii="Calibri" w:hAnsi="Calibri" w:cs="Calibri"/>
          <w:sz w:val="20"/>
          <w:szCs w:val="20"/>
        </w:rPr>
        <w:t xml:space="preserve"> cycles was not mandated. </w:t>
      </w:r>
      <w:r w:rsidR="000F6B15" w:rsidRPr="000F6B15">
        <w:rPr>
          <w:rFonts w:ascii="Calibri" w:hAnsi="Calibri" w:cs="Calibri"/>
          <w:color w:val="C00000"/>
          <w:sz w:val="20"/>
          <w:szCs w:val="20"/>
        </w:rPr>
        <w:t xml:space="preserve">In light of the unknown effect of dual mTORC inhibition on FDG-activity in DLBCL, the PET-based assessment was considered exploratory. </w:t>
      </w:r>
    </w:p>
    <w:p w14:paraId="735B4A7C" w14:textId="77777777" w:rsidR="00F34C6A" w:rsidRPr="003C68F0" w:rsidRDefault="00F34C6A" w:rsidP="00B049F9">
      <w:pPr>
        <w:spacing w:line="360" w:lineRule="auto"/>
        <w:rPr>
          <w:rFonts w:ascii="Calibri" w:hAnsi="Calibri" w:cs="Calibri"/>
          <w:b/>
          <w:sz w:val="20"/>
          <w:szCs w:val="20"/>
        </w:rPr>
      </w:pPr>
    </w:p>
    <w:p w14:paraId="115CF52F" w14:textId="72604C48" w:rsidR="000735B2" w:rsidRPr="003C68F0" w:rsidRDefault="00F34C6A" w:rsidP="00B049F9">
      <w:pPr>
        <w:spacing w:line="360" w:lineRule="auto"/>
        <w:rPr>
          <w:rFonts w:ascii="Calibri" w:hAnsi="Calibri" w:cs="Calibri"/>
          <w:i/>
          <w:sz w:val="20"/>
          <w:szCs w:val="20"/>
        </w:rPr>
      </w:pPr>
      <w:r w:rsidRPr="003C68F0">
        <w:rPr>
          <w:rFonts w:ascii="Calibri" w:hAnsi="Calibri" w:cs="Calibri"/>
          <w:i/>
          <w:sz w:val="20"/>
          <w:szCs w:val="20"/>
        </w:rPr>
        <w:t>Statistical analysis</w:t>
      </w:r>
    </w:p>
    <w:p w14:paraId="1AEF5166" w14:textId="7BB383D2" w:rsidR="000735B2" w:rsidRPr="003C68F0" w:rsidRDefault="003A015B" w:rsidP="00B049F9">
      <w:pPr>
        <w:spacing w:line="360" w:lineRule="auto"/>
        <w:rPr>
          <w:rFonts w:ascii="Calibri" w:hAnsi="Calibri" w:cs="Calibri"/>
          <w:sz w:val="20"/>
          <w:szCs w:val="20"/>
        </w:rPr>
      </w:pPr>
      <w:r w:rsidRPr="003C68F0">
        <w:rPr>
          <w:rFonts w:ascii="Calibri" w:hAnsi="Calibri" w:cs="Calibri"/>
          <w:sz w:val="20"/>
          <w:szCs w:val="20"/>
        </w:rPr>
        <w:t xml:space="preserve">Response rate (and therefore sample size) was determined </w:t>
      </w:r>
      <w:r w:rsidR="00DB4F25" w:rsidRPr="003C68F0">
        <w:rPr>
          <w:rFonts w:ascii="Calibri" w:hAnsi="Calibri" w:cs="Calibri"/>
          <w:sz w:val="20"/>
          <w:szCs w:val="20"/>
        </w:rPr>
        <w:t xml:space="preserve">for the monotherapy cohort </w:t>
      </w:r>
      <w:r w:rsidRPr="003C68F0">
        <w:rPr>
          <w:rFonts w:ascii="Calibri" w:hAnsi="Calibri" w:cs="Calibri"/>
          <w:sz w:val="20"/>
          <w:szCs w:val="20"/>
        </w:rPr>
        <w:t xml:space="preserve">using a </w:t>
      </w:r>
      <w:r w:rsidR="003A7EC7" w:rsidRPr="003C68F0">
        <w:rPr>
          <w:rFonts w:ascii="Calibri" w:hAnsi="Calibri" w:cs="Calibri"/>
          <w:sz w:val="20"/>
          <w:szCs w:val="20"/>
        </w:rPr>
        <w:t>s</w:t>
      </w:r>
      <w:r w:rsidRPr="003C68F0">
        <w:rPr>
          <w:rFonts w:ascii="Calibri" w:hAnsi="Calibri" w:cs="Calibri"/>
          <w:sz w:val="20"/>
          <w:szCs w:val="20"/>
        </w:rPr>
        <w:t xml:space="preserve">ingle stage A’hern </w:t>
      </w:r>
      <w:r w:rsidR="006833FF" w:rsidRPr="003C68F0">
        <w:rPr>
          <w:rFonts w:ascii="Calibri" w:hAnsi="Calibri" w:cs="Calibri"/>
          <w:sz w:val="20"/>
          <w:szCs w:val="20"/>
        </w:rPr>
        <w:t>design</w:t>
      </w:r>
      <w:r w:rsidRPr="003C68F0">
        <w:rPr>
          <w:rFonts w:ascii="Calibri" w:hAnsi="Calibri" w:cs="Calibri"/>
          <w:sz w:val="20"/>
          <w:szCs w:val="20"/>
        </w:rPr>
        <w:t xml:space="preserve"> and tolerability was assessed </w:t>
      </w:r>
      <w:r w:rsidR="00DB4F25" w:rsidRPr="003C68F0">
        <w:rPr>
          <w:rFonts w:ascii="Calibri" w:hAnsi="Calibri" w:cs="Calibri"/>
          <w:sz w:val="20"/>
          <w:szCs w:val="20"/>
        </w:rPr>
        <w:t xml:space="preserve">in both treatment cohorts </w:t>
      </w:r>
      <w:r w:rsidRPr="003C68F0">
        <w:rPr>
          <w:rFonts w:ascii="Calibri" w:hAnsi="Calibri" w:cs="Calibri"/>
          <w:sz w:val="20"/>
          <w:szCs w:val="20"/>
        </w:rPr>
        <w:t>using a Simon 2-stage design</w:t>
      </w:r>
      <w:r w:rsidR="00B049F9" w:rsidRPr="003C68F0">
        <w:rPr>
          <w:rFonts w:ascii="Calibri" w:hAnsi="Calibri" w:cs="Calibri"/>
          <w:sz w:val="20"/>
          <w:szCs w:val="20"/>
        </w:rPr>
        <w:t xml:space="preserve">. </w:t>
      </w:r>
      <w:r w:rsidR="000735B2" w:rsidRPr="003C68F0">
        <w:rPr>
          <w:rFonts w:ascii="Calibri" w:hAnsi="Calibri" w:cs="Calibri"/>
          <w:sz w:val="20"/>
          <w:szCs w:val="20"/>
        </w:rPr>
        <w:t xml:space="preserve">The sample size for activity of vistusertib was based on an A’hern’s single arm design (n=30). We would have 90% power for further investigation with a 40% ORR, if </w:t>
      </w:r>
      <w:r w:rsidR="007D7C69">
        <w:rPr>
          <w:rFonts w:ascii="Calibri" w:hAnsi="Calibri" w:cs="Calibri"/>
          <w:color w:val="C00000"/>
          <w:sz w:val="20"/>
          <w:szCs w:val="20"/>
        </w:rPr>
        <w:t>nine</w:t>
      </w:r>
      <w:r w:rsidR="000735B2" w:rsidRPr="003C68F0">
        <w:rPr>
          <w:rFonts w:ascii="Calibri" w:hAnsi="Calibri" w:cs="Calibri"/>
          <w:sz w:val="20"/>
          <w:szCs w:val="20"/>
        </w:rPr>
        <w:t xml:space="preserve"> or more responses were observed. A further </w:t>
      </w:r>
      <w:r w:rsidR="007D7C69">
        <w:rPr>
          <w:rFonts w:ascii="Calibri" w:hAnsi="Calibri" w:cs="Calibri"/>
          <w:color w:val="C00000"/>
          <w:sz w:val="20"/>
          <w:szCs w:val="20"/>
        </w:rPr>
        <w:t>six</w:t>
      </w:r>
      <w:r w:rsidR="000735B2" w:rsidRPr="003C68F0">
        <w:rPr>
          <w:rFonts w:ascii="Calibri" w:hAnsi="Calibri" w:cs="Calibri"/>
          <w:sz w:val="20"/>
          <w:szCs w:val="20"/>
        </w:rPr>
        <w:t xml:space="preserve"> patients received vistusertib-R, although this assessment was not statistically powered</w:t>
      </w:r>
      <w:r w:rsidR="00342417">
        <w:rPr>
          <w:rFonts w:ascii="Calibri" w:hAnsi="Calibri" w:cs="Calibri"/>
          <w:sz w:val="20"/>
          <w:szCs w:val="20"/>
        </w:rPr>
        <w:t xml:space="preserve">, </w:t>
      </w:r>
      <w:r w:rsidR="00342417" w:rsidRPr="00342417">
        <w:rPr>
          <w:rFonts w:ascii="Calibri" w:hAnsi="Calibri" w:cs="Calibri"/>
          <w:color w:val="C00000"/>
          <w:sz w:val="20"/>
          <w:szCs w:val="20"/>
        </w:rPr>
        <w:t>it was planned from the outset of the trial</w:t>
      </w:r>
      <w:r w:rsidR="00342417">
        <w:rPr>
          <w:rFonts w:ascii="Calibri" w:hAnsi="Calibri" w:cs="Calibri"/>
          <w:color w:val="C00000"/>
          <w:sz w:val="20"/>
          <w:szCs w:val="20"/>
        </w:rPr>
        <w:t>.</w:t>
      </w:r>
      <w:r w:rsidR="000735B2" w:rsidRPr="003C68F0">
        <w:rPr>
          <w:rFonts w:ascii="Calibri" w:hAnsi="Calibri" w:cs="Calibri"/>
          <w:sz w:val="20"/>
          <w:szCs w:val="20"/>
        </w:rPr>
        <w:t xml:space="preserve"> Tolerability </w:t>
      </w:r>
      <w:r w:rsidR="00342417" w:rsidRPr="00342417">
        <w:rPr>
          <w:rFonts w:ascii="Calibri" w:hAnsi="Calibri" w:cs="Calibri"/>
          <w:color w:val="C00000"/>
          <w:sz w:val="20"/>
          <w:szCs w:val="20"/>
        </w:rPr>
        <w:t xml:space="preserve">of vistusertib </w:t>
      </w:r>
      <w:r w:rsidR="000735B2" w:rsidRPr="003C68F0">
        <w:rPr>
          <w:rFonts w:ascii="Calibri" w:hAnsi="Calibri" w:cs="Calibri"/>
          <w:sz w:val="20"/>
          <w:szCs w:val="20"/>
        </w:rPr>
        <w:t>was assessed using a Simon 2</w:t>
      </w:r>
      <w:r w:rsidR="007D7C69">
        <w:rPr>
          <w:rFonts w:ascii="Calibri" w:hAnsi="Calibri" w:cs="Calibri"/>
          <w:sz w:val="20"/>
          <w:szCs w:val="20"/>
        </w:rPr>
        <w:t>-</w:t>
      </w:r>
      <w:r w:rsidR="000735B2" w:rsidRPr="003C68F0">
        <w:rPr>
          <w:rFonts w:ascii="Calibri" w:hAnsi="Calibri" w:cs="Calibri"/>
          <w:sz w:val="20"/>
          <w:szCs w:val="20"/>
        </w:rPr>
        <w:t>stage design</w:t>
      </w:r>
      <w:r w:rsidR="00021AD6">
        <w:rPr>
          <w:rFonts w:ascii="Calibri" w:hAnsi="Calibri" w:cs="Calibri"/>
          <w:sz w:val="20"/>
          <w:szCs w:val="20"/>
        </w:rPr>
        <w:t xml:space="preserve"> for </w:t>
      </w:r>
      <w:r w:rsidR="00342417" w:rsidRPr="00342417">
        <w:rPr>
          <w:rFonts w:ascii="Calibri" w:hAnsi="Calibri" w:cs="Calibri"/>
          <w:color w:val="C00000"/>
          <w:sz w:val="20"/>
          <w:szCs w:val="20"/>
        </w:rPr>
        <w:t xml:space="preserve">the </w:t>
      </w:r>
      <w:r w:rsidR="00B23522">
        <w:rPr>
          <w:rFonts w:ascii="Calibri" w:hAnsi="Calibri" w:cs="Calibri"/>
          <w:color w:val="C00000"/>
          <w:sz w:val="20"/>
          <w:szCs w:val="20"/>
        </w:rPr>
        <w:t>monotherapy</w:t>
      </w:r>
      <w:r w:rsidR="00021AD6" w:rsidRPr="00342417">
        <w:rPr>
          <w:rFonts w:ascii="Calibri" w:hAnsi="Calibri" w:cs="Calibri"/>
          <w:color w:val="C00000"/>
          <w:sz w:val="20"/>
          <w:szCs w:val="20"/>
        </w:rPr>
        <w:t xml:space="preserve"> </w:t>
      </w:r>
      <w:r w:rsidR="00021AD6">
        <w:rPr>
          <w:rFonts w:ascii="Calibri" w:hAnsi="Calibri" w:cs="Calibri"/>
          <w:sz w:val="20"/>
          <w:szCs w:val="20"/>
        </w:rPr>
        <w:t>treatment cohort</w:t>
      </w:r>
      <w:r w:rsidR="000735B2" w:rsidRPr="003C68F0">
        <w:rPr>
          <w:rFonts w:ascii="Calibri" w:hAnsi="Calibri" w:cs="Calibri"/>
          <w:sz w:val="20"/>
          <w:szCs w:val="20"/>
        </w:rPr>
        <w:t xml:space="preserve">. The </w:t>
      </w:r>
      <w:r w:rsidR="007D7C69">
        <w:rPr>
          <w:rFonts w:ascii="Calibri" w:hAnsi="Calibri" w:cs="Calibri"/>
          <w:color w:val="C00000"/>
          <w:sz w:val="20"/>
          <w:szCs w:val="20"/>
        </w:rPr>
        <w:t xml:space="preserve">investigators </w:t>
      </w:r>
      <w:r w:rsidR="000735B2" w:rsidRPr="003C68F0">
        <w:rPr>
          <w:rFonts w:ascii="Calibri" w:hAnsi="Calibri" w:cs="Calibri"/>
          <w:sz w:val="20"/>
          <w:szCs w:val="20"/>
        </w:rPr>
        <w:t xml:space="preserve">needed to observe at least 10 ‘tolerable’ outcomes i.e. at most 5 toxicities leading to delays or dose modifications during cycle </w:t>
      </w:r>
      <w:r w:rsidR="007D7C69" w:rsidRPr="007D7C69">
        <w:rPr>
          <w:rFonts w:ascii="Calibri" w:hAnsi="Calibri" w:cs="Calibri"/>
          <w:color w:val="C00000"/>
          <w:sz w:val="20"/>
          <w:szCs w:val="20"/>
        </w:rPr>
        <w:t>one to two</w:t>
      </w:r>
      <w:r w:rsidR="000735B2" w:rsidRPr="003C68F0">
        <w:rPr>
          <w:rFonts w:ascii="Calibri" w:hAnsi="Calibri" w:cs="Calibri"/>
          <w:sz w:val="20"/>
          <w:szCs w:val="20"/>
        </w:rPr>
        <w:t xml:space="preserve"> from the first 15 patients to have passed the interim assessment. If 21 or more ‘tolerable’ outcomes from the 30 monotherapy patients were observed</w:t>
      </w:r>
      <w:r w:rsidR="007D7C69">
        <w:rPr>
          <w:rFonts w:ascii="Calibri" w:hAnsi="Calibri" w:cs="Calibri"/>
          <w:sz w:val="20"/>
          <w:szCs w:val="20"/>
        </w:rPr>
        <w:t xml:space="preserve"> </w:t>
      </w:r>
      <w:r w:rsidR="007D7C69" w:rsidRPr="007D7C69">
        <w:rPr>
          <w:rFonts w:ascii="Calibri" w:hAnsi="Calibri" w:cs="Calibri"/>
          <w:color w:val="C00000"/>
          <w:sz w:val="20"/>
          <w:szCs w:val="20"/>
        </w:rPr>
        <w:t>by the study investigators</w:t>
      </w:r>
      <w:r w:rsidR="000735B2" w:rsidRPr="003C68F0">
        <w:rPr>
          <w:rFonts w:ascii="Calibri" w:hAnsi="Calibri" w:cs="Calibri"/>
          <w:sz w:val="20"/>
          <w:szCs w:val="20"/>
        </w:rPr>
        <w:t xml:space="preserve">, we would conclude with 90.4% power that vistusertib dosing was tolerable. All analysis has been conducted on the intention to treat population. </w:t>
      </w:r>
    </w:p>
    <w:p w14:paraId="5ECC1F0F" w14:textId="71530F16" w:rsidR="000735B2" w:rsidRDefault="000735B2" w:rsidP="00B049F9">
      <w:pPr>
        <w:spacing w:line="360" w:lineRule="auto"/>
        <w:rPr>
          <w:rFonts w:ascii="Calibri" w:hAnsi="Calibri" w:cs="Calibri"/>
          <w:color w:val="000000" w:themeColor="text1"/>
          <w:sz w:val="20"/>
          <w:szCs w:val="20"/>
        </w:rPr>
      </w:pPr>
    </w:p>
    <w:p w14:paraId="3DEDAC17" w14:textId="39ED2F8B" w:rsidR="00BA4621" w:rsidRPr="003C68F0" w:rsidRDefault="009E24D1" w:rsidP="009E24D1">
      <w:pPr>
        <w:autoSpaceDE w:val="0"/>
        <w:autoSpaceDN w:val="0"/>
        <w:adjustRightInd w:val="0"/>
        <w:spacing w:line="360" w:lineRule="auto"/>
        <w:rPr>
          <w:rFonts w:ascii="Calibri" w:hAnsi="Calibri" w:cs="Calibri"/>
          <w:color w:val="000000" w:themeColor="text1"/>
          <w:sz w:val="20"/>
          <w:szCs w:val="20"/>
        </w:rPr>
      </w:pPr>
      <w:r w:rsidRPr="003C68F0">
        <w:rPr>
          <w:rFonts w:ascii="Calibri" w:hAnsi="Calibri" w:cs="Calibri"/>
          <w:color w:val="000000" w:themeColor="text1"/>
          <w:sz w:val="20"/>
          <w:szCs w:val="20"/>
        </w:rPr>
        <w:t xml:space="preserve">In the monotherapy cohort, </w:t>
      </w:r>
      <w:r w:rsidR="00CE60CC" w:rsidRPr="00CE60CC">
        <w:rPr>
          <w:rFonts w:ascii="Calibri" w:hAnsi="Calibri" w:cs="Calibri"/>
          <w:color w:val="C00000"/>
          <w:sz w:val="20"/>
          <w:szCs w:val="20"/>
        </w:rPr>
        <w:t>30</w:t>
      </w:r>
      <w:r w:rsidRPr="00CE60CC">
        <w:rPr>
          <w:rFonts w:ascii="Calibri" w:hAnsi="Calibri" w:cs="Calibri"/>
          <w:color w:val="C00000"/>
          <w:sz w:val="20"/>
          <w:szCs w:val="20"/>
        </w:rPr>
        <w:t xml:space="preserve"> </w:t>
      </w:r>
      <w:r w:rsidRPr="003C68F0">
        <w:rPr>
          <w:rFonts w:ascii="Calibri" w:hAnsi="Calibri" w:cs="Calibri"/>
          <w:color w:val="000000" w:themeColor="text1"/>
          <w:sz w:val="20"/>
          <w:szCs w:val="20"/>
        </w:rPr>
        <w:t xml:space="preserve">patients initially received up to </w:t>
      </w:r>
      <w:r w:rsidR="007D7C69">
        <w:rPr>
          <w:rFonts w:ascii="Calibri" w:hAnsi="Calibri" w:cs="Calibri"/>
          <w:color w:val="C00000"/>
          <w:sz w:val="20"/>
          <w:szCs w:val="20"/>
        </w:rPr>
        <w:t>six</w:t>
      </w:r>
      <w:r w:rsidRPr="003C68F0">
        <w:rPr>
          <w:rFonts w:ascii="Calibri" w:hAnsi="Calibri" w:cs="Calibri"/>
          <w:color w:val="000000" w:themeColor="text1"/>
          <w:sz w:val="20"/>
          <w:szCs w:val="20"/>
        </w:rPr>
        <w:t xml:space="preserve"> cycles of orally administered vistusertib. For the combination cohort (n=6), rituximab 375</w:t>
      </w:r>
      <w:r>
        <w:rPr>
          <w:rFonts w:ascii="Calibri" w:hAnsi="Calibri" w:cs="Calibri"/>
          <w:color w:val="000000" w:themeColor="text1"/>
          <w:sz w:val="20"/>
          <w:szCs w:val="20"/>
        </w:rPr>
        <w:t xml:space="preserve"> </w:t>
      </w:r>
      <w:r w:rsidRPr="003C68F0">
        <w:rPr>
          <w:rFonts w:ascii="Calibri" w:hAnsi="Calibri" w:cs="Calibri"/>
          <w:color w:val="000000" w:themeColor="text1"/>
          <w:sz w:val="20"/>
          <w:szCs w:val="20"/>
        </w:rPr>
        <w:t xml:space="preserve">mg/m2 was administered on day </w:t>
      </w:r>
      <w:r w:rsidR="007D7C69">
        <w:rPr>
          <w:rFonts w:ascii="Calibri" w:hAnsi="Calibri" w:cs="Calibri"/>
          <w:color w:val="C00000"/>
          <w:sz w:val="20"/>
          <w:szCs w:val="20"/>
        </w:rPr>
        <w:t>one</w:t>
      </w:r>
      <w:r w:rsidRPr="003C68F0">
        <w:rPr>
          <w:rFonts w:ascii="Calibri" w:hAnsi="Calibri" w:cs="Calibri"/>
          <w:color w:val="000000" w:themeColor="text1"/>
          <w:sz w:val="20"/>
          <w:szCs w:val="20"/>
        </w:rPr>
        <w:t xml:space="preserve"> of each cycle for </w:t>
      </w:r>
      <w:r w:rsidR="007D7C69">
        <w:rPr>
          <w:rFonts w:ascii="Calibri" w:hAnsi="Calibri" w:cs="Calibri"/>
          <w:color w:val="C00000"/>
          <w:sz w:val="20"/>
          <w:szCs w:val="20"/>
        </w:rPr>
        <w:t>six</w:t>
      </w:r>
      <w:r w:rsidRPr="003C68F0">
        <w:rPr>
          <w:rFonts w:ascii="Calibri" w:hAnsi="Calibri" w:cs="Calibri"/>
          <w:color w:val="000000" w:themeColor="text1"/>
          <w:sz w:val="20"/>
          <w:szCs w:val="20"/>
        </w:rPr>
        <w:t xml:space="preserve"> cycles alongside vistusertib. The safety of this combination was assessed after the recruitment to the monotherapy cohort. </w:t>
      </w:r>
      <w:r w:rsidRPr="000F6B15">
        <w:rPr>
          <w:rFonts w:ascii="Calibri" w:hAnsi="Calibri" w:cs="Calibri"/>
          <w:color w:val="C00000"/>
          <w:sz w:val="20"/>
          <w:szCs w:val="20"/>
        </w:rPr>
        <w:t xml:space="preserve">Vistusertib was continued until progression, toxicity or patient choice. </w:t>
      </w:r>
      <w:r w:rsidR="000F6B15" w:rsidRPr="000F6B15">
        <w:rPr>
          <w:rFonts w:ascii="Calibri" w:hAnsi="Calibri" w:cs="Calibri"/>
          <w:color w:val="C00000"/>
          <w:sz w:val="20"/>
          <w:szCs w:val="20"/>
        </w:rPr>
        <w:t xml:space="preserve">Rituximab was given until progression, toxicity, or patient choice for a maximum of six 28-day cycles. </w:t>
      </w:r>
      <w:r w:rsidR="00B049F9" w:rsidRPr="003C68F0">
        <w:rPr>
          <w:rFonts w:ascii="Calibri" w:hAnsi="Calibri" w:cs="Calibri"/>
          <w:color w:val="000000" w:themeColor="text1"/>
          <w:sz w:val="20"/>
          <w:szCs w:val="20"/>
        </w:rPr>
        <w:t>Patients with stable disease (SD), partial (PR) or complete r</w:t>
      </w:r>
      <w:r w:rsidR="00B70A75" w:rsidRPr="003C68F0">
        <w:rPr>
          <w:rFonts w:ascii="Calibri" w:hAnsi="Calibri" w:cs="Calibri"/>
          <w:color w:val="000000" w:themeColor="text1"/>
          <w:sz w:val="20"/>
          <w:szCs w:val="20"/>
        </w:rPr>
        <w:t xml:space="preserve">esponse (CR) remained on study; </w:t>
      </w:r>
      <w:r w:rsidR="00B049F9" w:rsidRPr="003C68F0">
        <w:rPr>
          <w:rFonts w:ascii="Calibri" w:hAnsi="Calibri" w:cs="Calibri"/>
          <w:color w:val="000000" w:themeColor="text1"/>
          <w:sz w:val="20"/>
          <w:szCs w:val="20"/>
        </w:rPr>
        <w:t>patients with</w:t>
      </w:r>
      <w:r w:rsidR="00394F92" w:rsidRPr="003C68F0">
        <w:rPr>
          <w:rFonts w:ascii="Calibri" w:hAnsi="Calibri" w:cs="Calibri"/>
          <w:color w:val="000000" w:themeColor="text1"/>
          <w:sz w:val="20"/>
          <w:szCs w:val="20"/>
        </w:rPr>
        <w:t xml:space="preserve"> radiological or clinical</w:t>
      </w:r>
      <w:r w:rsidR="00B049F9" w:rsidRPr="003C68F0">
        <w:rPr>
          <w:rFonts w:ascii="Calibri" w:hAnsi="Calibri" w:cs="Calibri"/>
          <w:color w:val="000000" w:themeColor="text1"/>
          <w:sz w:val="20"/>
          <w:szCs w:val="20"/>
        </w:rPr>
        <w:t xml:space="preserve"> progressive disease (PD) were withdrawn</w:t>
      </w:r>
      <w:r w:rsidR="00EC0B7B" w:rsidRPr="003C68F0">
        <w:rPr>
          <w:rFonts w:ascii="Calibri" w:hAnsi="Calibri" w:cs="Calibri"/>
          <w:color w:val="000000" w:themeColor="text1"/>
          <w:sz w:val="20"/>
          <w:szCs w:val="20"/>
        </w:rPr>
        <w:t xml:space="preserve">. </w:t>
      </w:r>
    </w:p>
    <w:p w14:paraId="01673A5F" w14:textId="70371218" w:rsidR="002F6C55" w:rsidRPr="003C68F0" w:rsidRDefault="002F6C55" w:rsidP="00B049F9">
      <w:pPr>
        <w:spacing w:line="360" w:lineRule="auto"/>
        <w:rPr>
          <w:rFonts w:ascii="Calibri" w:hAnsi="Calibri" w:cs="Calibri"/>
          <w:color w:val="000000" w:themeColor="text1"/>
          <w:sz w:val="20"/>
          <w:szCs w:val="20"/>
        </w:rPr>
      </w:pPr>
    </w:p>
    <w:p w14:paraId="1762DFA1" w14:textId="3B3B487F" w:rsidR="002F6C55" w:rsidRPr="003C68F0" w:rsidRDefault="002F6C55" w:rsidP="002F6C55">
      <w:pPr>
        <w:autoSpaceDE w:val="0"/>
        <w:autoSpaceDN w:val="0"/>
        <w:adjustRightInd w:val="0"/>
        <w:spacing w:line="360" w:lineRule="auto"/>
        <w:rPr>
          <w:rFonts w:ascii="Calibri" w:hAnsi="Calibri" w:cs="Calibri"/>
          <w:color w:val="000000" w:themeColor="text1"/>
          <w:sz w:val="20"/>
          <w:szCs w:val="20"/>
        </w:rPr>
      </w:pPr>
      <w:r w:rsidRPr="003C68F0">
        <w:rPr>
          <w:rFonts w:ascii="Calibri" w:hAnsi="Calibri" w:cs="Calibri"/>
          <w:sz w:val="20"/>
          <w:szCs w:val="20"/>
        </w:rPr>
        <w:lastRenderedPageBreak/>
        <w:t>Adverse events (AEs) were evaluated according to CTCAE</w:t>
      </w:r>
      <w:r w:rsidR="009E24D1">
        <w:rPr>
          <w:rFonts w:ascii="Calibri" w:hAnsi="Calibri" w:cs="Calibri"/>
          <w:sz w:val="20"/>
          <w:szCs w:val="20"/>
        </w:rPr>
        <w:t xml:space="preserve"> </w:t>
      </w:r>
      <w:r w:rsidRPr="003C68F0">
        <w:rPr>
          <w:rFonts w:ascii="Calibri" w:hAnsi="Calibri" w:cs="Calibri"/>
          <w:sz w:val="20"/>
          <w:szCs w:val="20"/>
        </w:rPr>
        <w:t>v</w:t>
      </w:r>
      <w:r w:rsidR="009E24D1">
        <w:rPr>
          <w:rFonts w:ascii="Calibri" w:hAnsi="Calibri" w:cs="Calibri"/>
          <w:sz w:val="20"/>
          <w:szCs w:val="20"/>
        </w:rPr>
        <w:t xml:space="preserve">ersion </w:t>
      </w:r>
      <w:r w:rsidRPr="003C68F0">
        <w:rPr>
          <w:rFonts w:ascii="Calibri" w:hAnsi="Calibri" w:cs="Calibri"/>
          <w:sz w:val="20"/>
          <w:szCs w:val="20"/>
        </w:rPr>
        <w:t xml:space="preserve">4.03. </w:t>
      </w:r>
      <w:r w:rsidRPr="003C68F0">
        <w:rPr>
          <w:rFonts w:ascii="Calibri" w:hAnsi="Calibri" w:cs="Calibri"/>
          <w:color w:val="000000" w:themeColor="text1"/>
          <w:sz w:val="20"/>
          <w:szCs w:val="20"/>
        </w:rPr>
        <w:t xml:space="preserve">G-CSF was permitted for grade (G) </w:t>
      </w:r>
      <w:r w:rsidR="007D7C69">
        <w:rPr>
          <w:rFonts w:ascii="Calibri" w:hAnsi="Calibri" w:cs="Calibri"/>
          <w:color w:val="C00000"/>
          <w:sz w:val="20"/>
          <w:szCs w:val="20"/>
        </w:rPr>
        <w:t>four</w:t>
      </w:r>
      <w:r w:rsidRPr="003C68F0">
        <w:rPr>
          <w:rFonts w:ascii="Calibri" w:hAnsi="Calibri" w:cs="Calibri"/>
          <w:color w:val="000000" w:themeColor="text1"/>
          <w:sz w:val="20"/>
          <w:szCs w:val="20"/>
        </w:rPr>
        <w:t xml:space="preserve"> neutropenia and was continued until neutrophil count normalised. Neutropenic fever was managed according to local practice. Primary anti-viral, anti-fungal and anti-pneumocystis prophylaxis was not mandated. </w:t>
      </w:r>
    </w:p>
    <w:p w14:paraId="0BBE1CC8" w14:textId="77777777" w:rsidR="002F6C55" w:rsidRPr="003C68F0" w:rsidRDefault="002F6C55" w:rsidP="00B049F9">
      <w:pPr>
        <w:spacing w:line="360" w:lineRule="auto"/>
        <w:rPr>
          <w:rFonts w:ascii="Calibri" w:hAnsi="Calibri" w:cs="Calibri"/>
          <w:color w:val="000000" w:themeColor="text1"/>
          <w:sz w:val="20"/>
          <w:szCs w:val="20"/>
        </w:rPr>
      </w:pPr>
    </w:p>
    <w:p w14:paraId="76E40C4A" w14:textId="77777777" w:rsidR="00A934C7" w:rsidRPr="003C68F0" w:rsidRDefault="00A934C7" w:rsidP="00B049F9">
      <w:pPr>
        <w:spacing w:line="360" w:lineRule="auto"/>
        <w:rPr>
          <w:rFonts w:ascii="Calibri" w:hAnsi="Calibri" w:cs="Calibri"/>
          <w:color w:val="000000" w:themeColor="text1"/>
          <w:sz w:val="20"/>
          <w:szCs w:val="20"/>
        </w:rPr>
      </w:pPr>
    </w:p>
    <w:p w14:paraId="65CA8628" w14:textId="77777777" w:rsidR="003F3A38" w:rsidRPr="003C68F0" w:rsidRDefault="00B049F9" w:rsidP="003F3A38">
      <w:pPr>
        <w:spacing w:line="360" w:lineRule="auto"/>
        <w:jc w:val="both"/>
        <w:rPr>
          <w:rFonts w:ascii="Calibri" w:hAnsi="Calibri" w:cs="Calibri"/>
          <w:sz w:val="20"/>
          <w:szCs w:val="20"/>
        </w:rPr>
      </w:pPr>
      <w:r w:rsidRPr="003C68F0">
        <w:rPr>
          <w:rFonts w:ascii="Calibri" w:hAnsi="Calibri" w:cs="Calibri"/>
          <w:sz w:val="20"/>
          <w:szCs w:val="20"/>
        </w:rPr>
        <w:t>Exploratory outcomes included as</w:t>
      </w:r>
      <w:r w:rsidR="008A21AC" w:rsidRPr="003C68F0">
        <w:rPr>
          <w:rFonts w:ascii="Calibri" w:hAnsi="Calibri" w:cs="Calibri"/>
          <w:sz w:val="20"/>
          <w:szCs w:val="20"/>
        </w:rPr>
        <w:t>sessment of response by cell-of-</w:t>
      </w:r>
      <w:r w:rsidRPr="003C68F0">
        <w:rPr>
          <w:rFonts w:ascii="Calibri" w:hAnsi="Calibri" w:cs="Calibri"/>
          <w:sz w:val="20"/>
          <w:szCs w:val="20"/>
        </w:rPr>
        <w:t xml:space="preserve">origin (COO) </w:t>
      </w:r>
      <w:r w:rsidR="008A5F4A" w:rsidRPr="003C68F0">
        <w:rPr>
          <w:rFonts w:ascii="Calibri" w:hAnsi="Calibri" w:cs="Calibri"/>
          <w:sz w:val="20"/>
          <w:szCs w:val="20"/>
        </w:rPr>
        <w:t>(</w:t>
      </w:r>
      <w:r w:rsidR="00E96393" w:rsidRPr="003C68F0">
        <w:rPr>
          <w:rFonts w:ascii="Calibri" w:hAnsi="Calibri" w:cs="Calibri"/>
          <w:sz w:val="20"/>
          <w:szCs w:val="20"/>
        </w:rPr>
        <w:t>i</w:t>
      </w:r>
      <w:r w:rsidR="00583435" w:rsidRPr="003C68F0">
        <w:rPr>
          <w:rFonts w:ascii="Calibri" w:hAnsi="Calibri" w:cs="Calibri"/>
          <w:sz w:val="20"/>
          <w:szCs w:val="20"/>
        </w:rPr>
        <w:t xml:space="preserve">mmunohistochemistry </w:t>
      </w:r>
      <w:r w:rsidR="00F72411" w:rsidRPr="003C68F0">
        <w:rPr>
          <w:rFonts w:ascii="Calibri" w:hAnsi="Calibri" w:cs="Calibri"/>
          <w:sz w:val="20"/>
          <w:szCs w:val="20"/>
        </w:rPr>
        <w:t>(IHC)</w:t>
      </w:r>
      <w:r w:rsidR="00E96393" w:rsidRPr="003C68F0">
        <w:rPr>
          <w:rFonts w:ascii="Calibri" w:hAnsi="Calibri" w:cs="Calibri"/>
          <w:sz w:val="20"/>
          <w:szCs w:val="20"/>
        </w:rPr>
        <w:t xml:space="preserve"> </w:t>
      </w:r>
      <w:r w:rsidR="008A5F4A" w:rsidRPr="003C68F0">
        <w:rPr>
          <w:rFonts w:ascii="Calibri" w:hAnsi="Calibri" w:cs="Calibri"/>
          <w:sz w:val="20"/>
          <w:szCs w:val="20"/>
        </w:rPr>
        <w:t xml:space="preserve">and gene expression </w:t>
      </w:r>
      <w:r w:rsidR="00CA5718" w:rsidRPr="003C68F0">
        <w:rPr>
          <w:rFonts w:ascii="Calibri" w:hAnsi="Calibri" w:cs="Calibri"/>
          <w:sz w:val="20"/>
          <w:szCs w:val="20"/>
        </w:rPr>
        <w:t>profiling</w:t>
      </w:r>
      <w:r w:rsidR="009B4E97" w:rsidRPr="003C68F0">
        <w:rPr>
          <w:rFonts w:ascii="Calibri" w:hAnsi="Calibri" w:cs="Calibri"/>
          <w:sz w:val="20"/>
          <w:szCs w:val="20"/>
        </w:rPr>
        <w:t xml:space="preserve"> (GEP)</w:t>
      </w:r>
      <w:r w:rsidR="00346325" w:rsidRPr="003C68F0">
        <w:rPr>
          <w:rFonts w:ascii="Calibri" w:hAnsi="Calibri" w:cs="Calibri"/>
          <w:sz w:val="20"/>
          <w:szCs w:val="20"/>
        </w:rPr>
        <w:t xml:space="preserve"> using the HTG EdgeSeq DLBCL COO assay</w:t>
      </w:r>
      <w:r w:rsidR="008A5F4A" w:rsidRPr="003C68F0">
        <w:rPr>
          <w:rFonts w:ascii="Calibri" w:hAnsi="Calibri" w:cs="Calibri"/>
          <w:sz w:val="20"/>
          <w:szCs w:val="20"/>
        </w:rPr>
        <w:t xml:space="preserve">) </w:t>
      </w:r>
      <w:r w:rsidRPr="003C68F0">
        <w:rPr>
          <w:rFonts w:ascii="Calibri" w:hAnsi="Calibri" w:cs="Calibri"/>
          <w:sz w:val="20"/>
          <w:szCs w:val="20"/>
        </w:rPr>
        <w:t xml:space="preserve">and </w:t>
      </w:r>
      <w:r w:rsidR="00394F92" w:rsidRPr="003C68F0">
        <w:rPr>
          <w:rFonts w:ascii="Calibri" w:hAnsi="Calibri" w:cs="Calibri"/>
          <w:sz w:val="20"/>
          <w:szCs w:val="20"/>
        </w:rPr>
        <w:t xml:space="preserve">pharmacodynamic </w:t>
      </w:r>
      <w:r w:rsidR="008A21AC" w:rsidRPr="003C68F0">
        <w:rPr>
          <w:rFonts w:ascii="Calibri" w:hAnsi="Calibri" w:cs="Calibri"/>
          <w:sz w:val="20"/>
          <w:szCs w:val="20"/>
        </w:rPr>
        <w:t xml:space="preserve">immunohistochemical </w:t>
      </w:r>
      <w:r w:rsidRPr="003C68F0">
        <w:rPr>
          <w:rFonts w:ascii="Calibri" w:hAnsi="Calibri" w:cs="Calibri"/>
          <w:sz w:val="20"/>
          <w:szCs w:val="20"/>
        </w:rPr>
        <w:t xml:space="preserve">assessment of </w:t>
      </w:r>
      <w:r w:rsidR="00FB0B00" w:rsidRPr="003C68F0">
        <w:rPr>
          <w:rFonts w:ascii="Calibri" w:hAnsi="Calibri" w:cs="Calibri"/>
          <w:sz w:val="20"/>
          <w:szCs w:val="20"/>
        </w:rPr>
        <w:t xml:space="preserve">the </w:t>
      </w:r>
      <w:r w:rsidR="008A21AC" w:rsidRPr="003C68F0">
        <w:rPr>
          <w:rFonts w:ascii="Calibri" w:hAnsi="Calibri" w:cs="Calibri"/>
          <w:sz w:val="20"/>
          <w:szCs w:val="20"/>
        </w:rPr>
        <w:t>mTOR pathway</w:t>
      </w:r>
      <w:r w:rsidR="00F72411" w:rsidRPr="003C68F0">
        <w:rPr>
          <w:rFonts w:ascii="Calibri" w:hAnsi="Calibri" w:cs="Calibri"/>
          <w:sz w:val="20"/>
          <w:szCs w:val="20"/>
        </w:rPr>
        <w:t xml:space="preserve">. </w:t>
      </w:r>
    </w:p>
    <w:p w14:paraId="2B95326A" w14:textId="77777777" w:rsidR="003F3A38" w:rsidRPr="003C68F0" w:rsidRDefault="003F3A38" w:rsidP="003F3A38">
      <w:pPr>
        <w:spacing w:line="360" w:lineRule="auto"/>
        <w:jc w:val="both"/>
        <w:rPr>
          <w:rFonts w:ascii="Calibri" w:hAnsi="Calibri" w:cs="Calibri"/>
          <w:iCs/>
          <w:sz w:val="20"/>
          <w:szCs w:val="20"/>
        </w:rPr>
      </w:pPr>
    </w:p>
    <w:p w14:paraId="60378B87" w14:textId="2AE0B6A3" w:rsidR="003F3A38" w:rsidRPr="003C68F0" w:rsidRDefault="002F6C55" w:rsidP="003F3A38">
      <w:pPr>
        <w:spacing w:line="360" w:lineRule="auto"/>
        <w:jc w:val="both"/>
        <w:rPr>
          <w:rFonts w:ascii="Calibri" w:hAnsi="Calibri" w:cs="Calibri"/>
          <w:i/>
          <w:sz w:val="20"/>
          <w:szCs w:val="20"/>
        </w:rPr>
      </w:pPr>
      <w:r w:rsidRPr="003C68F0">
        <w:rPr>
          <w:rFonts w:ascii="Calibri" w:hAnsi="Calibri" w:cs="Calibri"/>
          <w:i/>
          <w:sz w:val="20"/>
          <w:szCs w:val="20"/>
        </w:rPr>
        <w:t>I</w:t>
      </w:r>
      <w:r w:rsidR="003F3A38" w:rsidRPr="003C68F0">
        <w:rPr>
          <w:rFonts w:ascii="Calibri" w:hAnsi="Calibri" w:cs="Calibri"/>
          <w:i/>
          <w:sz w:val="20"/>
          <w:szCs w:val="20"/>
        </w:rPr>
        <w:t>mmunohistochemistry (IHC) for Cell of Origin (COO)</w:t>
      </w:r>
    </w:p>
    <w:p w14:paraId="7D1964DD" w14:textId="4FCC35EC" w:rsidR="003F3A38" w:rsidRPr="003C68F0" w:rsidRDefault="003F3A38" w:rsidP="003F3A38">
      <w:pPr>
        <w:spacing w:line="360" w:lineRule="auto"/>
        <w:jc w:val="both"/>
        <w:rPr>
          <w:rFonts w:ascii="Calibri" w:hAnsi="Calibri" w:cs="Calibri"/>
          <w:sz w:val="20"/>
          <w:szCs w:val="20"/>
        </w:rPr>
      </w:pPr>
      <w:r w:rsidRPr="003C68F0">
        <w:rPr>
          <w:rFonts w:ascii="Calibri" w:hAnsi="Calibri" w:cs="Calibri"/>
          <w:iCs/>
          <w:sz w:val="20"/>
          <w:szCs w:val="20"/>
        </w:rPr>
        <w:t xml:space="preserve">IHC was performed on formalin-fixed paraffin embedded biopsy sections (4um) using either </w:t>
      </w:r>
      <w:r w:rsidRPr="003C68F0">
        <w:rPr>
          <w:rFonts w:ascii="Calibri" w:hAnsi="Calibri" w:cs="Calibri"/>
          <w:sz w:val="20"/>
          <w:szCs w:val="20"/>
        </w:rPr>
        <w:t xml:space="preserve">pS6 [Ser235/6] (CST#4857), pAKT [Ser473] (DAKO M3628) or pPRAS40 (Thr264) (CST# 2997) </w:t>
      </w:r>
      <w:r w:rsidRPr="003C68F0">
        <w:rPr>
          <w:rFonts w:ascii="Calibri" w:hAnsi="Calibri" w:cs="Calibri"/>
          <w:iCs/>
          <w:sz w:val="20"/>
          <w:szCs w:val="20"/>
        </w:rPr>
        <w:t>primary antibodies</w:t>
      </w:r>
      <w:r w:rsidRPr="003C68F0">
        <w:rPr>
          <w:rFonts w:ascii="Calibri" w:hAnsi="Calibri" w:cs="Calibri"/>
          <w:sz w:val="20"/>
          <w:szCs w:val="20"/>
        </w:rPr>
        <w:t xml:space="preserve">. pPRAS40 (Thr264) was performed on the Leica Bond Rx at final concentration of 3ug/mL diluted in Antibody Diluent with Background Reducing Agents (DAKO S3022). The Polymer Refine Detection kit (Leica DS9880), Serum Free Protein Block (DAKO X0909, Epitope Retrieval Buffer ER2 and F Standard protocol was used. For pS6 [Ser235/6] and pAKT [Ser473], sections were dewaxed, rehydrated then antigen retrieved using a Milestone RHS-1 microwave in pH8 and pH9 retrieval buffer respectively. Staining for pS6 [Ser235/6] and pAKT [Ser473] (DAKO M3628) was performed on Lab Vision™ Autostainer 720-2D (Thermo Scientific™) using the Rabbit EnVision™+System-HRP labelled polymer and Liquid DAB+ Substrate Chromogen </w:t>
      </w:r>
      <w:r w:rsidR="000C0422" w:rsidRPr="003C68F0">
        <w:rPr>
          <w:rFonts w:ascii="Calibri" w:hAnsi="Calibri" w:cs="Calibri"/>
          <w:sz w:val="20"/>
          <w:szCs w:val="20"/>
        </w:rPr>
        <w:t>System (</w:t>
      </w:r>
      <w:r w:rsidRPr="003C68F0">
        <w:rPr>
          <w:rFonts w:ascii="Calibri" w:hAnsi="Calibri" w:cs="Calibri"/>
          <w:sz w:val="20"/>
          <w:szCs w:val="20"/>
        </w:rPr>
        <w:t>DAKO). pS6 [Ser235/6] was used at final concentration of 0.54ug/mL in TBS-Tween 0.05%. pAKT [Ser473] was used at final concentration of 8ug/ml in Antibody Diluent (DAKO). Carazzi’s haematoxylin was used to counterstain the nuclei. Slides were scanned at x20 using the Aperio AT2 scanner. The cytoplasmic staining of each antibody in the samples was evaluated blinded by a pathologist and the percentage of tumour cells with strong (3+), moderate (2+), weak (1+) or negative staining was captured. H-Scores were calculated as: [(%1+ cells) + (%2+</w:t>
      </w:r>
      <w:r w:rsidR="007D7C69">
        <w:rPr>
          <w:rFonts w:ascii="Calibri" w:hAnsi="Calibri" w:cs="Calibri"/>
          <w:sz w:val="20"/>
          <w:szCs w:val="20"/>
        </w:rPr>
        <w:t xml:space="preserve"> </w:t>
      </w:r>
      <w:r w:rsidRPr="003C68F0">
        <w:rPr>
          <w:rFonts w:ascii="Calibri" w:hAnsi="Calibri" w:cs="Calibri"/>
          <w:sz w:val="20"/>
          <w:szCs w:val="20"/>
        </w:rPr>
        <w:t>cells*2) + (%3+ cells*3)]. Cell of origin (COO) was reported by immunohistochemistry according to the published Hans algorithm</w:t>
      </w:r>
      <w:r w:rsidR="00EB2D6D">
        <w:rPr>
          <w:rFonts w:ascii="Calibri" w:hAnsi="Calibri" w:cs="Calibri"/>
          <w:sz w:val="20"/>
          <w:szCs w:val="20"/>
        </w:rPr>
        <w:t xml:space="preserve"> </w:t>
      </w:r>
      <w:r w:rsidR="00B065BA" w:rsidRPr="003C68F0">
        <w:rPr>
          <w:rFonts w:ascii="Calibri" w:hAnsi="Calibri" w:cs="Calibri"/>
          <w:sz w:val="20"/>
          <w:szCs w:val="20"/>
        </w:rPr>
        <w:fldChar w:fldCharType="begin" w:fldLock="1"/>
      </w:r>
      <w:r w:rsidR="003C68F0" w:rsidRPr="003C68F0">
        <w:rPr>
          <w:rFonts w:ascii="Calibri" w:hAnsi="Calibri" w:cs="Calibri"/>
          <w:sz w:val="20"/>
          <w:szCs w:val="20"/>
        </w:rPr>
        <w:instrText>ADDIN CSL_CITATION {"citationItems":[{"id":"ITEM-1","itemData":{"DOI":"10.1182/blood-2003-05-1545","ISBN":"10.1182/blood-2003-05-1545","ISSN":"0006-4971","PMID":"14504078","abstract":"Diffuse large B-cell lymphoma (DLBCL) can be divided into prognostically important subgroups with germinal center B-cell-like (GCB), activated B-cell-like (ABC), and type 3 gene expression profiles using a cDNA microarray. Tissue microarray (TMA) blocks were created from 152 cases of DLBCL, 142 of which had been successfully evaluated by cDNA microarray (75 GCB, 41 ABC, and 26 type 3). Sections were stained with antibodies to CD10, bcl-6, MUM1, FOXP1, cyclin D2, and bcl-2. Expression of bcl-6 (P &lt;.001) or CD10 (P =.019) was associated with better overall survival (OS), whereas expression of MUM1 (P =.009) or cyclin D2 (P &lt;.001) was associated with worse OS. Cases were subclassified using CD10, bcl-6, and MUM1 expression, and 64 cases (42%) were considered GCB and 88 cases (58%) non-GCB. The 5-year OS for the GCB group was 76% compared with only 34% for the non-GCB group (P &lt;.001), which is similar to that reported using the cDNA microarray. Bcl-2 and cyclin D2 were adverse predictors in the non-GCB group. In multivariate analysis, a high International Prognostic Index score (3-5) and the non-GCB phenotype were independent adverse predictors (P &lt;.0001). In summary, immunostains can be used to determine the GCB and non-GCB subtypes of DLBCL and predict survival similar to the cDNA microarray.","author":[{"dropping-particle":"","family":"Hans","given":"Christine P","non-dropping-particle":"","parse-names":false,"suffix":""},{"dropping-particle":"","family":"Weisenburger","given":"Dennis D","non-dropping-particle":"","parse-names":false,"suffix":""},{"dropping-particle":"","family":"Greiner","given":"Timothy C","non-dropping-particle":"","parse-names":false,"suffix":""},{"dropping-particle":"","family":"Gascoyne","given":"Randy D","non-dropping-particle":"","parse-names":false,"suffix":""},{"dropping-particle":"","family":"Delabie","given":"Jan","non-dropping-particle":"","parse-names":false,"suffix":""},{"dropping-particle":"","family":"Ott","given":"German","non-dropping-particle":"","parse-names":false,"suffix":""},{"dropping-particle":"","family":"Müller-Hermelink","given":"H Konrad","non-dropping-particle":"","parse-names":false,"suffix":""},{"dropping-particle":"","family":"Campo","given":"Elias","non-dropping-particle":"","parse-names":false,"suffix":""},{"dropping-particle":"","family":"Braziel","given":"Rita M","non-dropping-particle":"","parse-names":false,"suffix":""},{"dropping-particle":"","family":"Jaffe","given":"Elaine S","non-dropping-particle":"","parse-names":false,"suffix":""},{"dropping-particle":"","family":"Pan","given":"Zenggang","non-dropping-particle":"","parse-names":false,"suffix":""},{"dropping-particle":"","family":"Farinha","given":"Pedro","non-dropping-particle":"","parse-names":false,"suffix":""},{"dropping-particle":"","family":"Smith","given":"Lynette M","non-dropping-particle":"","parse-names":false,"suffix":""},{"dropping-particle":"","family":"Falini","given":"Brunangelo","non-dropping-particle":"","parse-names":false,"suffix":""},{"dropping-particle":"","family":"Banham","given":"Alison H","non-dropping-particle":"","parse-names":false,"suffix":""},{"dropping-particle":"","family":"Rosenwald","given":"Andreas","non-dropping-particle":"","parse-names":false,"suffix":""},{"dropping-particle":"","family":"Staudt","given":"Louis M","non-dropping-particle":"","parse-names":false,"suffix":""},{"dropping-particle":"","family":"Connors","given":"Joseph M","non-dropping-particle":"","parse-names":false,"suffix":""},{"dropping-particle":"","family":"Armitage","given":"James O","non-dropping-particle":"","parse-names":false,"suffix":""},{"dropping-particle":"","family":"Chan","given":"Wing C","non-dropping-particle":"","parse-names":false,"suffix":""}],"container-title":"Blood","id":"ITEM-1","issue":"1","issued":{"date-parts":[["2004","1","1"]]},"language":"en","page":"275-82","publisher":"American Society of Hematology","title":"Confirmation of the molecular classification of diffuse large B-cell lymphoma by immunohistochemistry using a tissue microarray.","type":"article-journal","volume":"103"},"uris":["http://www.mendeley.com/documents/?uuid=710d2b9d-6103-470d-a4a0-5e7e67be56d0"]}],"mendeley":{"formattedCitation":"&lt;sup&gt;12&lt;/sup&gt;","plainTextFormattedCitation":"12","previouslyFormattedCitation":"&lt;sup&gt;12&lt;/sup&gt;"},"properties":{"noteIndex":0},"schema":"https://github.com/citation-style-language/schema/raw/master/csl-citation.json"}</w:instrText>
      </w:r>
      <w:r w:rsidR="00B065BA" w:rsidRPr="003C68F0">
        <w:rPr>
          <w:rFonts w:ascii="Calibri" w:hAnsi="Calibri" w:cs="Calibri"/>
          <w:sz w:val="20"/>
          <w:szCs w:val="20"/>
        </w:rPr>
        <w:fldChar w:fldCharType="separate"/>
      </w:r>
      <w:r w:rsidR="00B065BA" w:rsidRPr="003C68F0">
        <w:rPr>
          <w:rFonts w:ascii="Calibri" w:hAnsi="Calibri" w:cs="Calibri"/>
          <w:noProof/>
          <w:sz w:val="20"/>
          <w:szCs w:val="20"/>
        </w:rPr>
        <w:t>12</w:t>
      </w:r>
      <w:r w:rsidR="00B065BA" w:rsidRPr="003C68F0">
        <w:rPr>
          <w:rFonts w:ascii="Calibri" w:hAnsi="Calibri" w:cs="Calibri"/>
          <w:sz w:val="20"/>
          <w:szCs w:val="20"/>
        </w:rPr>
        <w:fldChar w:fldCharType="end"/>
      </w:r>
      <w:r w:rsidRPr="003C68F0">
        <w:rPr>
          <w:rFonts w:ascii="Calibri" w:hAnsi="Calibri" w:cs="Calibri"/>
          <w:sz w:val="20"/>
          <w:szCs w:val="20"/>
        </w:rPr>
        <w:t>. Unblinded results were analysed using GraphPad (Prism v7.04) and graphs were generated comparing pre and post treatment biomarker changes.</w:t>
      </w:r>
    </w:p>
    <w:p w14:paraId="49E0CBAC" w14:textId="564FA9A7" w:rsidR="003F3A38" w:rsidRPr="003C68F0" w:rsidRDefault="003F3A38" w:rsidP="003F3A38">
      <w:pPr>
        <w:spacing w:line="360" w:lineRule="auto"/>
        <w:jc w:val="both"/>
        <w:rPr>
          <w:rFonts w:ascii="Calibri" w:hAnsi="Calibri" w:cs="Calibri"/>
          <w:b/>
          <w:bCs/>
          <w:iCs/>
          <w:sz w:val="20"/>
          <w:szCs w:val="20"/>
        </w:rPr>
      </w:pPr>
    </w:p>
    <w:p w14:paraId="4530BE58" w14:textId="77777777" w:rsidR="003F3A38" w:rsidRPr="003C68F0" w:rsidRDefault="003F3A38" w:rsidP="003F3A38">
      <w:pPr>
        <w:spacing w:line="360" w:lineRule="auto"/>
        <w:jc w:val="both"/>
        <w:rPr>
          <w:rFonts w:ascii="Calibri" w:hAnsi="Calibri" w:cs="Calibri"/>
          <w:i/>
          <w:sz w:val="20"/>
          <w:szCs w:val="20"/>
        </w:rPr>
      </w:pPr>
      <w:r w:rsidRPr="003C68F0">
        <w:rPr>
          <w:rFonts w:ascii="Calibri" w:hAnsi="Calibri" w:cs="Calibri"/>
          <w:i/>
          <w:sz w:val="20"/>
          <w:szCs w:val="20"/>
        </w:rPr>
        <w:t>Gene Expression Profiling (GEP) for Cell of Origin (COO)</w:t>
      </w:r>
    </w:p>
    <w:p w14:paraId="1C31C298" w14:textId="41846F91" w:rsidR="009E24D1" w:rsidRDefault="003F3A38" w:rsidP="009E24D1">
      <w:pPr>
        <w:spacing w:line="360" w:lineRule="auto"/>
        <w:jc w:val="both"/>
        <w:rPr>
          <w:rFonts w:ascii="Calibri" w:hAnsi="Calibri" w:cs="Calibri"/>
          <w:sz w:val="20"/>
          <w:szCs w:val="20"/>
        </w:rPr>
      </w:pPr>
      <w:r w:rsidRPr="003C68F0">
        <w:rPr>
          <w:rFonts w:ascii="Calibri" w:hAnsi="Calibri" w:cs="Calibri"/>
          <w:sz w:val="20"/>
          <w:szCs w:val="20"/>
        </w:rPr>
        <w:t>Where sufficient tissue was remaining, additional sections were taken for Gene expression profiling using the HTG EdgeSeq DLBCL Cell of Origin Assay, according to manufacturer’s protocol. Briefly, a representative area of tumour was marked on a corresponding H/E by an expert haematopathologist and this area was measured and scraped from a 5micron unstained section into a sterile microfuge tube using a sterile, disposable scalpel blade. An appropriate volume of lysis buffer was added, and sections heated to 95</w:t>
      </w:r>
      <w:r w:rsidRPr="003C68F0">
        <w:rPr>
          <w:rFonts w:ascii="Calibri" w:hAnsi="Calibri" w:cs="Calibri"/>
          <w:sz w:val="20"/>
          <w:szCs w:val="20"/>
        </w:rPr>
        <w:sym w:font="Symbol" w:char="F0B0"/>
      </w:r>
      <w:r w:rsidRPr="003C68F0">
        <w:rPr>
          <w:rFonts w:ascii="Calibri" w:hAnsi="Calibri" w:cs="Calibri"/>
          <w:sz w:val="20"/>
          <w:szCs w:val="20"/>
        </w:rPr>
        <w:t>C to melt the wax. After cooling, sections were digested with Proteinase K at 50</w:t>
      </w:r>
      <w:r w:rsidRPr="003C68F0">
        <w:rPr>
          <w:rFonts w:ascii="Calibri" w:hAnsi="Calibri" w:cs="Calibri"/>
          <w:sz w:val="20"/>
          <w:szCs w:val="20"/>
        </w:rPr>
        <w:sym w:font="Symbol" w:char="F0B0"/>
      </w:r>
      <w:r w:rsidRPr="003C68F0">
        <w:rPr>
          <w:rFonts w:ascii="Calibri" w:hAnsi="Calibri" w:cs="Calibri"/>
          <w:sz w:val="20"/>
          <w:szCs w:val="20"/>
        </w:rPr>
        <w:t xml:space="preserve">C for </w:t>
      </w:r>
      <w:r w:rsidR="007D7C69">
        <w:rPr>
          <w:rFonts w:ascii="Calibri" w:hAnsi="Calibri" w:cs="Calibri"/>
          <w:color w:val="C00000"/>
          <w:sz w:val="20"/>
          <w:szCs w:val="20"/>
        </w:rPr>
        <w:t>three</w:t>
      </w:r>
      <w:r w:rsidRPr="003C68F0">
        <w:rPr>
          <w:rFonts w:ascii="Calibri" w:hAnsi="Calibri" w:cs="Calibri"/>
          <w:sz w:val="20"/>
          <w:szCs w:val="20"/>
        </w:rPr>
        <w:t xml:space="preserve"> hours. Digested samples were transferred to the HTG EdgeSeq processor for automated quantitative nuclease protection assay (qNPA) target capture of the 92 probes in the DLBCL COO assay. Following EdgeSeq processing, the targeted probes are PCR amplified and barcoded for primer sequencing and enumeration. Libraries were quantified and pooling was adjusted and balanced to ensure </w:t>
      </w:r>
      <w:r w:rsidRPr="003C68F0">
        <w:rPr>
          <w:rFonts w:ascii="Calibri" w:hAnsi="Calibri" w:cs="Calibri"/>
          <w:sz w:val="20"/>
          <w:szCs w:val="20"/>
        </w:rPr>
        <w:lastRenderedPageBreak/>
        <w:t>appropriate cluster generation for sequencing on an Illumina MiSeq using standard protocols. FastQ files were imported back into the EdgeSeq for Parsing and a COO classification was reported through the HTG Edge host system software.</w:t>
      </w:r>
    </w:p>
    <w:p w14:paraId="10B8E053" w14:textId="77777777" w:rsidR="004175FA" w:rsidRDefault="004175FA" w:rsidP="009E24D1">
      <w:pPr>
        <w:spacing w:line="360" w:lineRule="auto"/>
        <w:jc w:val="both"/>
        <w:rPr>
          <w:rFonts w:ascii="Calibri" w:hAnsi="Calibri" w:cs="Calibri"/>
          <w:sz w:val="20"/>
          <w:szCs w:val="20"/>
        </w:rPr>
      </w:pPr>
      <w:bookmarkStart w:id="0" w:name="_GoBack"/>
      <w:bookmarkEnd w:id="0"/>
    </w:p>
    <w:p w14:paraId="43F7352A" w14:textId="51C64CD9" w:rsidR="00B049F9" w:rsidRPr="003C68F0" w:rsidRDefault="00346325" w:rsidP="009E24D1">
      <w:pPr>
        <w:spacing w:line="360" w:lineRule="auto"/>
        <w:jc w:val="both"/>
        <w:rPr>
          <w:rFonts w:ascii="Calibri" w:hAnsi="Calibri" w:cs="Calibri"/>
          <w:sz w:val="20"/>
          <w:szCs w:val="20"/>
        </w:rPr>
      </w:pPr>
      <w:r w:rsidRPr="003C68F0">
        <w:rPr>
          <w:rFonts w:ascii="Calibri" w:hAnsi="Calibri" w:cs="Calibri"/>
          <w:sz w:val="20"/>
          <w:szCs w:val="20"/>
        </w:rPr>
        <w:t xml:space="preserve">As </w:t>
      </w:r>
      <w:r w:rsidR="00B049F9" w:rsidRPr="003C68F0">
        <w:rPr>
          <w:rFonts w:ascii="Calibri" w:hAnsi="Calibri" w:cs="Calibri"/>
          <w:sz w:val="20"/>
          <w:szCs w:val="20"/>
        </w:rPr>
        <w:t>PI3K/AKT/mTOR promotes glucose uptake in</w:t>
      </w:r>
      <w:r w:rsidR="006C3D49" w:rsidRPr="003C68F0">
        <w:rPr>
          <w:rFonts w:ascii="Calibri" w:hAnsi="Calibri" w:cs="Calibri"/>
          <w:sz w:val="20"/>
          <w:szCs w:val="20"/>
        </w:rPr>
        <w:t xml:space="preserve"> response to insulin, inhibition may disproportionately switch-</w:t>
      </w:r>
      <w:r w:rsidR="00B049F9" w:rsidRPr="003C68F0">
        <w:rPr>
          <w:rFonts w:ascii="Calibri" w:hAnsi="Calibri" w:cs="Calibri"/>
          <w:sz w:val="20"/>
          <w:szCs w:val="20"/>
        </w:rPr>
        <w:t xml:space="preserve">off </w:t>
      </w:r>
      <w:r w:rsidR="00AD0D40" w:rsidRPr="003C68F0">
        <w:rPr>
          <w:rFonts w:ascii="Calibri" w:hAnsi="Calibri" w:cs="Calibri"/>
          <w:sz w:val="20"/>
          <w:szCs w:val="20"/>
        </w:rPr>
        <w:t xml:space="preserve">the FDG uptake mechanism </w:t>
      </w:r>
      <w:r w:rsidR="00B049F9" w:rsidRPr="003C68F0">
        <w:rPr>
          <w:rFonts w:ascii="Calibri" w:hAnsi="Calibri" w:cs="Calibri"/>
          <w:sz w:val="20"/>
          <w:szCs w:val="20"/>
        </w:rPr>
        <w:t xml:space="preserve">in </w:t>
      </w:r>
      <w:r w:rsidR="006C3D49" w:rsidRPr="003C68F0">
        <w:rPr>
          <w:rFonts w:ascii="Calibri" w:hAnsi="Calibri" w:cs="Calibri"/>
          <w:sz w:val="20"/>
          <w:szCs w:val="20"/>
        </w:rPr>
        <w:t>DLBCL</w:t>
      </w:r>
      <w:r w:rsidR="00EB2D6D">
        <w:rPr>
          <w:rFonts w:ascii="Calibri" w:hAnsi="Calibri" w:cs="Calibri"/>
          <w:sz w:val="20"/>
          <w:szCs w:val="20"/>
        </w:rPr>
        <w:t xml:space="preserve"> </w:t>
      </w:r>
      <w:r w:rsidR="00161A1C" w:rsidRPr="003C68F0">
        <w:rPr>
          <w:rFonts w:ascii="Calibri" w:hAnsi="Calibri" w:cs="Calibri"/>
          <w:sz w:val="20"/>
          <w:szCs w:val="20"/>
        </w:rPr>
        <w:fldChar w:fldCharType="begin" w:fldLock="1"/>
      </w:r>
      <w:r w:rsidR="003C68F0" w:rsidRPr="003C68F0">
        <w:rPr>
          <w:rFonts w:ascii="Calibri" w:hAnsi="Calibri" w:cs="Calibri"/>
          <w:sz w:val="20"/>
          <w:szCs w:val="20"/>
        </w:rPr>
        <w:instrText>ADDIN CSL_CITATION {"citationItems":[{"id":"ITEM-1","itemData":{"DOI":"10.1200/JCO.2008.18.8383","ISSN":"1527-7755","PMID":"19380450","abstract":"PURPOSE: Positron emission tomography (PET) with [(18)F]fluorodeoxyglucose (FDG-PET) has increasingly been used to evaluate the efficacy of anticancer agents. We investigated the role of FDG-PET as a predictive marker for response to mammalian target of rapamycin (mTOR) inhibition in advanced solid tumor patients and in murine xenograft models.\n\nPATIENTS AND METHODS: Thirty-four rapamycin-treated patients with assessable baseline and treatment FDG-PET and computed tomography scans were analyzed from two clinical trials. Clinical response was evaluated according to Response Evaluation Criteria in Solid Tumors, and FDG-PET response was evaluated by quantitative changes and European Organisation for Research and Treatment of Cancer (EORTC) criteria. Six murine xenograft tumor models were treated with temsirolimus. Small animal FDG-PET scans were performed at baseline and during treatment. The tumors were analyzed for the expression of pAkt and GLUT1.\n\nRESULTS: Fifty percent of patients with increased FDG-PET uptake and 46% with decreased uptake had progressive disease (PD). No objective response was observed. By EORTC criteria, the sensitivity of progressive metabolic disease on FDG-PET in predicting PD was 19%. Preclinical studies demonstrated similar findings, and FDG-PET response correlated with pAkt activation and plasma membrane GLUT1 expression.\n\nCONCLUSION: FDG-PET is not predictive of proliferative response to mTOR inhibitor therapy in both clinical and preclinical studies. Our findings suggest that mTOR inhibitors suppress the formation of mTORC2 complex, resulting in the inhibition of Akt and glycolysis independent of proliferation in a subset of tumors. Changes in FDG-PET may be a pharmacodynamic marker for Akt activation during mTOR inhibitor therapy. FDG-PET may be used to identify patients with persistent Akt activation following mTOR inhibitor therapy.","author":[{"dropping-particle":"","family":"Ma","given":"Wen Wee","non-dropping-particle":"","parse-names":false,"suffix":""},{"dropping-particle":"","family":"Jacene","given":"Heather","non-dropping-particle":"","parse-names":false,"suffix":""},{"dropping-particle":"","family":"Song","given":"Dongweon","non-dropping-particle":"","parse-names":false,"suffix":""},{"dropping-particle":"","family":"Vilardell","given":"Felip","non-dropping-particle":"","parse-names":false,"suffix":""},{"dropping-particle":"","family":"Messersmith","given":"Wells A","non-dropping-particle":"","parse-names":false,"suffix":""},{"dropping-particle":"","family":"Laheru","given":"Dan","non-dropping-particle":"","parse-names":false,"suffix":""},{"dropping-particle":"","family":"Wahl","given":"Richard","non-dropping-particle":"","parse-names":false,"suffix":""},{"dropping-particle":"","family":"Endres","given":"Chris","non-dropping-particle":"","parse-names":false,"suffix":""},{"dropping-particle":"","family":"Jimeno","given":"Antonio","non-dropping-particle":"","parse-names":false,"suffix":""},{"dropping-particle":"","family":"Pomper","given":"Martin G","non-dropping-particle":"","parse-names":false,"suffix":""},{"dropping-particle":"","family":"Hidalgo","given":"Manuel","non-dropping-particle":"","parse-names":false,"suffix":""}],"container-title":"Journal of clinical oncology : official journal of the American Society of Clinical Oncology","id":"ITEM-1","issue":"16","issued":{"date-parts":[["2009","6","1"]]},"page":"2697-704","title":"[18F]fluorodeoxyglucose positron emission tomography correlates with Akt pathway activity but is not predictive of clinical outcome during mTOR inhibitor therapy.","type":"article-journal","volume":"27"},"uris":["http://www.mendeley.com/documents/?uuid=4a3a6c47-b58e-4972-804a-be56a6cea9c4"]}],"mendeley":{"formattedCitation":"&lt;sup&gt;13&lt;/sup&gt;","plainTextFormattedCitation":"13","previouslyFormattedCitation":"&lt;sup&gt;13&lt;/sup&gt;"},"properties":{"noteIndex":0},"schema":"https://github.com/citation-style-language/schema/raw/master/csl-citation.json"}</w:instrText>
      </w:r>
      <w:r w:rsidR="00161A1C" w:rsidRPr="003C68F0">
        <w:rPr>
          <w:rFonts w:ascii="Calibri" w:hAnsi="Calibri" w:cs="Calibri"/>
          <w:sz w:val="20"/>
          <w:szCs w:val="20"/>
        </w:rPr>
        <w:fldChar w:fldCharType="separate"/>
      </w:r>
      <w:r w:rsidR="00B065BA" w:rsidRPr="003C68F0">
        <w:rPr>
          <w:rFonts w:ascii="Calibri" w:hAnsi="Calibri" w:cs="Calibri"/>
          <w:noProof/>
          <w:sz w:val="20"/>
          <w:szCs w:val="20"/>
        </w:rPr>
        <w:t>13</w:t>
      </w:r>
      <w:r w:rsidR="00161A1C" w:rsidRPr="003C68F0">
        <w:rPr>
          <w:rFonts w:ascii="Calibri" w:hAnsi="Calibri" w:cs="Calibri"/>
          <w:sz w:val="20"/>
          <w:szCs w:val="20"/>
        </w:rPr>
        <w:fldChar w:fldCharType="end"/>
      </w:r>
      <w:r w:rsidR="00B049F9" w:rsidRPr="003C68F0">
        <w:rPr>
          <w:rFonts w:ascii="Calibri" w:hAnsi="Calibri" w:cs="Calibri"/>
          <w:sz w:val="20"/>
          <w:szCs w:val="20"/>
        </w:rPr>
        <w:t xml:space="preserve">. </w:t>
      </w:r>
      <w:r w:rsidRPr="003C68F0">
        <w:rPr>
          <w:rFonts w:ascii="Calibri" w:hAnsi="Calibri" w:cs="Calibri"/>
          <w:sz w:val="20"/>
          <w:szCs w:val="20"/>
        </w:rPr>
        <w:t>Therefore</w:t>
      </w:r>
      <w:r w:rsidR="00B049F9" w:rsidRPr="003C68F0">
        <w:rPr>
          <w:rFonts w:ascii="Calibri" w:hAnsi="Calibri" w:cs="Calibri"/>
          <w:sz w:val="20"/>
          <w:szCs w:val="20"/>
        </w:rPr>
        <w:t xml:space="preserve">, </w:t>
      </w:r>
      <w:r w:rsidR="008A5F4A" w:rsidRPr="003C68F0">
        <w:rPr>
          <w:rFonts w:ascii="Calibri" w:hAnsi="Calibri" w:cs="Calibri"/>
          <w:sz w:val="20"/>
          <w:szCs w:val="20"/>
        </w:rPr>
        <w:t>the effect of mTORC1/2</w:t>
      </w:r>
      <w:r w:rsidR="000F55C5">
        <w:rPr>
          <w:rFonts w:ascii="Calibri" w:hAnsi="Calibri" w:cs="Calibri"/>
          <w:sz w:val="20"/>
          <w:szCs w:val="20"/>
        </w:rPr>
        <w:t xml:space="preserve"> </w:t>
      </w:r>
      <w:r w:rsidR="008A5F4A" w:rsidRPr="003C68F0">
        <w:rPr>
          <w:rFonts w:ascii="Calibri" w:hAnsi="Calibri" w:cs="Calibri"/>
          <w:sz w:val="20"/>
          <w:szCs w:val="20"/>
        </w:rPr>
        <w:t>i</w:t>
      </w:r>
      <w:r w:rsidR="000F55C5">
        <w:rPr>
          <w:rFonts w:ascii="Calibri" w:hAnsi="Calibri" w:cs="Calibri"/>
          <w:sz w:val="20"/>
          <w:szCs w:val="20"/>
        </w:rPr>
        <w:t>nhibition</w:t>
      </w:r>
      <w:r w:rsidR="008A5F4A" w:rsidRPr="003C68F0">
        <w:rPr>
          <w:rFonts w:ascii="Calibri" w:hAnsi="Calibri" w:cs="Calibri"/>
          <w:sz w:val="20"/>
          <w:szCs w:val="20"/>
        </w:rPr>
        <w:t xml:space="preserve"> on th</w:t>
      </w:r>
      <w:r w:rsidR="006C3D49" w:rsidRPr="003C68F0">
        <w:rPr>
          <w:rFonts w:ascii="Calibri" w:hAnsi="Calibri" w:cs="Calibri"/>
          <w:sz w:val="20"/>
          <w:szCs w:val="20"/>
        </w:rPr>
        <w:t xml:space="preserve">e sensitivity of FDG-avidity </w:t>
      </w:r>
      <w:r w:rsidR="008A5F4A" w:rsidRPr="003C68F0">
        <w:rPr>
          <w:rFonts w:ascii="Calibri" w:hAnsi="Calibri" w:cs="Calibri"/>
          <w:sz w:val="20"/>
          <w:szCs w:val="20"/>
        </w:rPr>
        <w:t xml:space="preserve">was </w:t>
      </w:r>
      <w:r w:rsidR="00B70A75" w:rsidRPr="003C68F0">
        <w:rPr>
          <w:rFonts w:ascii="Calibri" w:hAnsi="Calibri" w:cs="Calibri"/>
          <w:sz w:val="20"/>
          <w:szCs w:val="20"/>
        </w:rPr>
        <w:t xml:space="preserve">also </w:t>
      </w:r>
      <w:r w:rsidR="008A5F4A" w:rsidRPr="003C68F0">
        <w:rPr>
          <w:rFonts w:ascii="Calibri" w:hAnsi="Calibri" w:cs="Calibri"/>
          <w:sz w:val="20"/>
          <w:szCs w:val="20"/>
        </w:rPr>
        <w:t>assessed</w:t>
      </w:r>
      <w:r w:rsidR="00AD0D40" w:rsidRPr="003C68F0">
        <w:rPr>
          <w:rFonts w:ascii="Calibri" w:hAnsi="Calibri" w:cs="Calibri"/>
          <w:sz w:val="20"/>
          <w:szCs w:val="20"/>
        </w:rPr>
        <w:t xml:space="preserve"> by PET</w:t>
      </w:r>
      <w:r w:rsidR="008A5F4A" w:rsidRPr="003C68F0">
        <w:rPr>
          <w:rFonts w:ascii="Calibri" w:hAnsi="Calibri" w:cs="Calibri"/>
          <w:sz w:val="20"/>
          <w:szCs w:val="20"/>
        </w:rPr>
        <w:t xml:space="preserve">. </w:t>
      </w:r>
    </w:p>
    <w:p w14:paraId="28D3FD4B" w14:textId="77777777" w:rsidR="000735B2" w:rsidRPr="003C68F0" w:rsidRDefault="000735B2" w:rsidP="000735B2">
      <w:pPr>
        <w:autoSpaceDE w:val="0"/>
        <w:autoSpaceDN w:val="0"/>
        <w:adjustRightInd w:val="0"/>
        <w:spacing w:line="360" w:lineRule="auto"/>
        <w:rPr>
          <w:rFonts w:ascii="Calibri" w:hAnsi="Calibri" w:cs="Calibri"/>
          <w:sz w:val="20"/>
          <w:szCs w:val="20"/>
        </w:rPr>
      </w:pPr>
    </w:p>
    <w:p w14:paraId="68A994C6" w14:textId="67A8E64F" w:rsidR="000735B2" w:rsidRPr="003C68F0" w:rsidRDefault="000735B2" w:rsidP="000735B2">
      <w:pPr>
        <w:autoSpaceDE w:val="0"/>
        <w:autoSpaceDN w:val="0"/>
        <w:adjustRightInd w:val="0"/>
        <w:spacing w:line="360" w:lineRule="auto"/>
        <w:rPr>
          <w:rFonts w:ascii="Calibri" w:hAnsi="Calibri" w:cs="Calibri"/>
          <w:color w:val="000000" w:themeColor="text1"/>
          <w:sz w:val="20"/>
          <w:szCs w:val="20"/>
        </w:rPr>
      </w:pPr>
      <w:r w:rsidRPr="003C68F0">
        <w:rPr>
          <w:rFonts w:ascii="Calibri" w:hAnsi="Calibri" w:cs="Calibri"/>
          <w:sz w:val="20"/>
          <w:szCs w:val="20"/>
        </w:rPr>
        <w:t>The ‘TORCH’ trial (</w:t>
      </w:r>
      <w:r w:rsidRPr="003C68F0">
        <w:rPr>
          <w:rFonts w:ascii="Calibri" w:hAnsi="Calibri" w:cs="Calibri"/>
          <w:color w:val="000000"/>
          <w:sz w:val="20"/>
          <w:szCs w:val="20"/>
          <w:shd w:val="clear" w:color="auto" w:fill="FFFFFF"/>
          <w:lang w:val="en-US"/>
        </w:rPr>
        <w:t>NCT02752204</w:t>
      </w:r>
      <w:r w:rsidRPr="003C68F0">
        <w:rPr>
          <w:rFonts w:ascii="Calibri" w:hAnsi="Calibri" w:cs="Calibri"/>
          <w:sz w:val="20"/>
          <w:szCs w:val="20"/>
          <w:lang w:val="en-US"/>
        </w:rPr>
        <w:t xml:space="preserve">) </w:t>
      </w:r>
      <w:r w:rsidRPr="003C68F0">
        <w:rPr>
          <w:rFonts w:ascii="Calibri" w:hAnsi="Calibri" w:cs="Calibri"/>
          <w:sz w:val="20"/>
          <w:szCs w:val="20"/>
        </w:rPr>
        <w:t xml:space="preserve">was conducted through the Trials Acceleration Programme in affiliation with the University of Birmingham and funded by BloodWise. AstraZeneca provided free drug and funding for exploratory studies. </w:t>
      </w:r>
    </w:p>
    <w:p w14:paraId="17055AC2" w14:textId="7529BF71" w:rsidR="005C5510" w:rsidRPr="003C68F0" w:rsidRDefault="005C5510" w:rsidP="00B049F9">
      <w:pPr>
        <w:spacing w:line="360" w:lineRule="auto"/>
        <w:rPr>
          <w:rFonts w:ascii="Calibri" w:hAnsi="Calibri" w:cs="Calibri"/>
          <w:color w:val="000000" w:themeColor="text1"/>
          <w:sz w:val="20"/>
          <w:szCs w:val="20"/>
        </w:rPr>
      </w:pPr>
    </w:p>
    <w:p w14:paraId="5DA2485C" w14:textId="736EE23E" w:rsidR="000735B2" w:rsidRPr="003C68F0" w:rsidRDefault="000735B2" w:rsidP="00B049F9">
      <w:pPr>
        <w:spacing w:line="360" w:lineRule="auto"/>
        <w:rPr>
          <w:rFonts w:ascii="Calibri" w:hAnsi="Calibri" w:cs="Calibri"/>
          <w:b/>
          <w:color w:val="000000" w:themeColor="text1"/>
          <w:sz w:val="20"/>
          <w:szCs w:val="20"/>
        </w:rPr>
      </w:pPr>
      <w:r w:rsidRPr="003C68F0">
        <w:rPr>
          <w:rFonts w:ascii="Calibri" w:hAnsi="Calibri" w:cs="Calibri"/>
          <w:b/>
          <w:color w:val="000000" w:themeColor="text1"/>
          <w:sz w:val="20"/>
          <w:szCs w:val="20"/>
        </w:rPr>
        <w:t>Results</w:t>
      </w:r>
    </w:p>
    <w:p w14:paraId="0092105C" w14:textId="47D2ED89" w:rsidR="00B049F9" w:rsidRPr="003C68F0" w:rsidRDefault="00B049F9" w:rsidP="00B049F9">
      <w:pPr>
        <w:spacing w:line="360" w:lineRule="auto"/>
        <w:rPr>
          <w:rFonts w:ascii="Calibri" w:hAnsi="Calibri" w:cs="Calibri"/>
          <w:sz w:val="20"/>
          <w:szCs w:val="20"/>
        </w:rPr>
      </w:pPr>
      <w:r w:rsidRPr="003C68F0">
        <w:rPr>
          <w:rFonts w:ascii="Calibri" w:hAnsi="Calibri" w:cs="Calibri"/>
          <w:sz w:val="20"/>
          <w:szCs w:val="20"/>
        </w:rPr>
        <w:t xml:space="preserve">Thirty-six patients were recruited </w:t>
      </w:r>
      <w:r w:rsidR="006C3D49" w:rsidRPr="003C68F0">
        <w:rPr>
          <w:rFonts w:ascii="Calibri" w:hAnsi="Calibri" w:cs="Calibri"/>
          <w:sz w:val="20"/>
          <w:szCs w:val="20"/>
        </w:rPr>
        <w:t>(10/2015</w:t>
      </w:r>
      <w:r w:rsidR="009E24D1">
        <w:rPr>
          <w:rFonts w:ascii="Calibri" w:hAnsi="Calibri" w:cs="Calibri"/>
          <w:sz w:val="20"/>
          <w:szCs w:val="20"/>
        </w:rPr>
        <w:t xml:space="preserve"> to </w:t>
      </w:r>
      <w:r w:rsidR="006C3D49" w:rsidRPr="003C68F0">
        <w:rPr>
          <w:rFonts w:ascii="Calibri" w:hAnsi="Calibri" w:cs="Calibri"/>
          <w:sz w:val="20"/>
          <w:szCs w:val="20"/>
        </w:rPr>
        <w:t>04/2017)</w:t>
      </w:r>
      <w:r w:rsidR="008A21AC" w:rsidRPr="003C68F0">
        <w:rPr>
          <w:rFonts w:ascii="Calibri" w:hAnsi="Calibri" w:cs="Calibri"/>
          <w:sz w:val="20"/>
          <w:szCs w:val="20"/>
        </w:rPr>
        <w:t xml:space="preserve">. </w:t>
      </w:r>
      <w:r w:rsidRPr="003C68F0">
        <w:rPr>
          <w:rFonts w:ascii="Calibri" w:hAnsi="Calibri" w:cs="Calibri"/>
          <w:sz w:val="20"/>
          <w:szCs w:val="20"/>
        </w:rPr>
        <w:t xml:space="preserve">30 </w:t>
      </w:r>
      <w:r w:rsidR="006C3D49" w:rsidRPr="003C68F0">
        <w:rPr>
          <w:rFonts w:ascii="Calibri" w:hAnsi="Calibri" w:cs="Calibri"/>
          <w:sz w:val="20"/>
          <w:szCs w:val="20"/>
        </w:rPr>
        <w:t xml:space="preserve">received </w:t>
      </w:r>
      <w:r w:rsidR="006C3D49" w:rsidRPr="003C68F0">
        <w:rPr>
          <w:rFonts w:ascii="Calibri" w:hAnsi="Calibri" w:cs="Calibri"/>
          <w:color w:val="000000" w:themeColor="text1"/>
          <w:sz w:val="20"/>
          <w:szCs w:val="20"/>
        </w:rPr>
        <w:t>vistusertib</w:t>
      </w:r>
      <w:r w:rsidR="006C3D49" w:rsidRPr="003C68F0">
        <w:rPr>
          <w:rFonts w:ascii="Calibri" w:hAnsi="Calibri" w:cs="Calibri"/>
          <w:sz w:val="20"/>
          <w:szCs w:val="20"/>
        </w:rPr>
        <w:t xml:space="preserve"> and </w:t>
      </w:r>
      <w:r w:rsidR="00CE60CC">
        <w:rPr>
          <w:rFonts w:ascii="Calibri" w:hAnsi="Calibri" w:cs="Calibri"/>
          <w:color w:val="C00000"/>
          <w:sz w:val="20"/>
          <w:szCs w:val="20"/>
        </w:rPr>
        <w:t>six</w:t>
      </w:r>
      <w:r w:rsidR="006C3D49" w:rsidRPr="003C68F0">
        <w:rPr>
          <w:rFonts w:ascii="Calibri" w:hAnsi="Calibri" w:cs="Calibri"/>
          <w:sz w:val="20"/>
          <w:szCs w:val="20"/>
        </w:rPr>
        <w:t xml:space="preserve"> </w:t>
      </w:r>
      <w:r w:rsidR="006C3D49" w:rsidRPr="003C68F0">
        <w:rPr>
          <w:rFonts w:ascii="Calibri" w:hAnsi="Calibri" w:cs="Calibri"/>
          <w:color w:val="000000" w:themeColor="text1"/>
          <w:sz w:val="20"/>
          <w:szCs w:val="20"/>
        </w:rPr>
        <w:t>vistusertib</w:t>
      </w:r>
      <w:r w:rsidR="006C3D49" w:rsidRPr="003C68F0">
        <w:rPr>
          <w:rFonts w:ascii="Calibri" w:hAnsi="Calibri" w:cs="Calibri"/>
          <w:sz w:val="20"/>
          <w:szCs w:val="20"/>
        </w:rPr>
        <w:t>-</w:t>
      </w:r>
      <w:r w:rsidR="00920BCD" w:rsidRPr="003C68F0">
        <w:rPr>
          <w:rFonts w:ascii="Calibri" w:hAnsi="Calibri" w:cs="Calibri"/>
          <w:sz w:val="20"/>
          <w:szCs w:val="20"/>
        </w:rPr>
        <w:t>rituximab</w:t>
      </w:r>
      <w:r w:rsidRPr="003C68F0">
        <w:rPr>
          <w:rFonts w:ascii="Calibri" w:hAnsi="Calibri" w:cs="Calibri"/>
          <w:sz w:val="20"/>
          <w:szCs w:val="20"/>
        </w:rPr>
        <w:t>.</w:t>
      </w:r>
      <w:r w:rsidR="005501B1" w:rsidRPr="003C68F0">
        <w:rPr>
          <w:rFonts w:ascii="Calibri" w:hAnsi="Calibri" w:cs="Calibri"/>
          <w:sz w:val="20"/>
          <w:szCs w:val="20"/>
        </w:rPr>
        <w:t xml:space="preserve"> </w:t>
      </w:r>
      <w:r w:rsidRPr="003C68F0">
        <w:rPr>
          <w:rFonts w:ascii="Calibri" w:hAnsi="Calibri" w:cs="Calibri"/>
          <w:sz w:val="20"/>
          <w:szCs w:val="20"/>
        </w:rPr>
        <w:t xml:space="preserve">The median age </w:t>
      </w:r>
      <w:r w:rsidR="006C3D49" w:rsidRPr="003C68F0">
        <w:rPr>
          <w:rFonts w:ascii="Calibri" w:hAnsi="Calibri" w:cs="Calibri"/>
          <w:sz w:val="20"/>
          <w:szCs w:val="20"/>
        </w:rPr>
        <w:t>was 68 years (range 33-</w:t>
      </w:r>
      <w:r w:rsidRPr="003C68F0">
        <w:rPr>
          <w:rFonts w:ascii="Calibri" w:hAnsi="Calibri" w:cs="Calibri"/>
          <w:sz w:val="20"/>
          <w:szCs w:val="20"/>
        </w:rPr>
        <w:t xml:space="preserve">82). </w:t>
      </w:r>
      <w:r w:rsidR="006C3D49" w:rsidRPr="003C68F0">
        <w:rPr>
          <w:rFonts w:ascii="Calibri" w:hAnsi="Calibri" w:cs="Calibri"/>
          <w:sz w:val="20"/>
          <w:szCs w:val="20"/>
        </w:rPr>
        <w:t xml:space="preserve">Median prior lines was </w:t>
      </w:r>
      <w:r w:rsidR="00CE60CC">
        <w:rPr>
          <w:rFonts w:ascii="Calibri" w:hAnsi="Calibri" w:cs="Calibri"/>
          <w:color w:val="C00000"/>
          <w:sz w:val="20"/>
          <w:szCs w:val="20"/>
        </w:rPr>
        <w:t>three</w:t>
      </w:r>
      <w:r w:rsidR="006C3D49" w:rsidRPr="003C68F0">
        <w:rPr>
          <w:rFonts w:ascii="Calibri" w:hAnsi="Calibri" w:cs="Calibri"/>
          <w:sz w:val="20"/>
          <w:szCs w:val="20"/>
        </w:rPr>
        <w:t xml:space="preserve"> (range 1-</w:t>
      </w:r>
      <w:r w:rsidR="002C3E61" w:rsidRPr="003C68F0">
        <w:rPr>
          <w:rFonts w:ascii="Calibri" w:hAnsi="Calibri" w:cs="Calibri"/>
          <w:sz w:val="20"/>
          <w:szCs w:val="20"/>
        </w:rPr>
        <w:t>9</w:t>
      </w:r>
      <w:r w:rsidRPr="003C68F0">
        <w:rPr>
          <w:rFonts w:ascii="Calibri" w:hAnsi="Calibri" w:cs="Calibri"/>
          <w:sz w:val="20"/>
          <w:szCs w:val="20"/>
        </w:rPr>
        <w:t xml:space="preserve">). 47% </w:t>
      </w:r>
      <w:r w:rsidR="003B7FF7" w:rsidRPr="003B7FF7">
        <w:rPr>
          <w:rFonts w:ascii="Calibri" w:hAnsi="Calibri" w:cs="Calibri"/>
          <w:color w:val="C00000"/>
          <w:sz w:val="20"/>
          <w:szCs w:val="20"/>
        </w:rPr>
        <w:t xml:space="preserve">(17/36) </w:t>
      </w:r>
      <w:r w:rsidRPr="003C68F0">
        <w:rPr>
          <w:rFonts w:ascii="Calibri" w:hAnsi="Calibri" w:cs="Calibri"/>
          <w:sz w:val="20"/>
          <w:szCs w:val="20"/>
        </w:rPr>
        <w:t>had primary refractory DLBCL. 17%</w:t>
      </w:r>
      <w:r w:rsidR="003B7FF7">
        <w:rPr>
          <w:rFonts w:ascii="Calibri" w:hAnsi="Calibri" w:cs="Calibri"/>
          <w:sz w:val="20"/>
          <w:szCs w:val="20"/>
        </w:rPr>
        <w:t xml:space="preserve"> </w:t>
      </w:r>
      <w:r w:rsidR="003B7FF7" w:rsidRPr="003B7FF7">
        <w:rPr>
          <w:rFonts w:ascii="Calibri" w:hAnsi="Calibri" w:cs="Calibri"/>
          <w:color w:val="C00000"/>
          <w:sz w:val="20"/>
          <w:szCs w:val="20"/>
        </w:rPr>
        <w:t>(6/36)</w:t>
      </w:r>
      <w:r w:rsidRPr="003B7FF7">
        <w:rPr>
          <w:rFonts w:ascii="Calibri" w:hAnsi="Calibri" w:cs="Calibri"/>
          <w:color w:val="C00000"/>
          <w:sz w:val="20"/>
          <w:szCs w:val="20"/>
        </w:rPr>
        <w:t xml:space="preserve"> </w:t>
      </w:r>
      <w:r w:rsidRPr="003C68F0">
        <w:rPr>
          <w:rFonts w:ascii="Calibri" w:hAnsi="Calibri" w:cs="Calibri"/>
          <w:sz w:val="20"/>
          <w:szCs w:val="20"/>
        </w:rPr>
        <w:t xml:space="preserve">had undergone prior ASCT. </w:t>
      </w:r>
      <w:r w:rsidR="006C1873" w:rsidRPr="003C68F0">
        <w:rPr>
          <w:rFonts w:ascii="Calibri" w:hAnsi="Calibri" w:cs="Calibri"/>
          <w:sz w:val="20"/>
          <w:szCs w:val="20"/>
        </w:rPr>
        <w:t>B</w:t>
      </w:r>
      <w:r w:rsidRPr="003C68F0">
        <w:rPr>
          <w:rFonts w:ascii="Calibri" w:hAnsi="Calibri" w:cs="Calibri"/>
          <w:sz w:val="20"/>
          <w:szCs w:val="20"/>
        </w:rPr>
        <w:t xml:space="preserve">y </w:t>
      </w:r>
      <w:r w:rsidR="006C1873" w:rsidRPr="003C68F0">
        <w:rPr>
          <w:rFonts w:ascii="Calibri" w:hAnsi="Calibri" w:cs="Calibri"/>
          <w:sz w:val="20"/>
          <w:szCs w:val="20"/>
        </w:rPr>
        <w:t>IHC</w:t>
      </w:r>
      <w:r w:rsidR="00FB0B00" w:rsidRPr="003C68F0">
        <w:rPr>
          <w:rFonts w:ascii="Calibri" w:hAnsi="Calibri" w:cs="Calibri"/>
          <w:sz w:val="20"/>
          <w:szCs w:val="20"/>
        </w:rPr>
        <w:t xml:space="preserve">, </w:t>
      </w:r>
      <w:r w:rsidR="00AD596A" w:rsidRPr="003C68F0">
        <w:rPr>
          <w:rFonts w:ascii="Calibri" w:hAnsi="Calibri" w:cs="Calibri"/>
          <w:sz w:val="20"/>
          <w:szCs w:val="20"/>
        </w:rPr>
        <w:t>7</w:t>
      </w:r>
      <w:r w:rsidR="00E57F7C" w:rsidRPr="003C68F0">
        <w:rPr>
          <w:rFonts w:ascii="Calibri" w:hAnsi="Calibri" w:cs="Calibri"/>
          <w:sz w:val="20"/>
          <w:szCs w:val="20"/>
        </w:rPr>
        <w:t>1</w:t>
      </w:r>
      <w:r w:rsidR="00FB0B00" w:rsidRPr="003C68F0">
        <w:rPr>
          <w:rFonts w:ascii="Calibri" w:hAnsi="Calibri" w:cs="Calibri"/>
          <w:sz w:val="20"/>
          <w:szCs w:val="20"/>
        </w:rPr>
        <w:t xml:space="preserve">% </w:t>
      </w:r>
      <w:r w:rsidR="003B7FF7" w:rsidRPr="003B7FF7">
        <w:rPr>
          <w:rFonts w:ascii="Calibri" w:hAnsi="Calibri" w:cs="Calibri"/>
          <w:color w:val="C00000"/>
          <w:sz w:val="20"/>
          <w:szCs w:val="20"/>
        </w:rPr>
        <w:t xml:space="preserve">(22/31) </w:t>
      </w:r>
      <w:r w:rsidR="00FB0B00" w:rsidRPr="003C68F0">
        <w:rPr>
          <w:rFonts w:ascii="Calibri" w:hAnsi="Calibri" w:cs="Calibri"/>
          <w:sz w:val="20"/>
          <w:szCs w:val="20"/>
        </w:rPr>
        <w:t xml:space="preserve">were </w:t>
      </w:r>
      <w:r w:rsidRPr="003C68F0">
        <w:rPr>
          <w:rFonts w:ascii="Calibri" w:hAnsi="Calibri" w:cs="Calibri"/>
          <w:sz w:val="20"/>
          <w:szCs w:val="20"/>
        </w:rPr>
        <w:t>GCB</w:t>
      </w:r>
      <w:r w:rsidR="006C3D49" w:rsidRPr="003C68F0">
        <w:rPr>
          <w:rFonts w:ascii="Calibri" w:hAnsi="Calibri" w:cs="Calibri"/>
          <w:sz w:val="20"/>
          <w:szCs w:val="20"/>
        </w:rPr>
        <w:t xml:space="preserve"> and </w:t>
      </w:r>
      <w:r w:rsidR="00E57F7C" w:rsidRPr="003C68F0">
        <w:rPr>
          <w:rFonts w:ascii="Calibri" w:hAnsi="Calibri" w:cs="Calibri"/>
          <w:sz w:val="20"/>
          <w:szCs w:val="20"/>
        </w:rPr>
        <w:t>29</w:t>
      </w:r>
      <w:r w:rsidR="006C3D49" w:rsidRPr="003C68F0">
        <w:rPr>
          <w:rFonts w:ascii="Calibri" w:hAnsi="Calibri" w:cs="Calibri"/>
          <w:sz w:val="20"/>
          <w:szCs w:val="20"/>
        </w:rPr>
        <w:t xml:space="preserve">% </w:t>
      </w:r>
      <w:r w:rsidR="003B7FF7" w:rsidRPr="003B7FF7">
        <w:rPr>
          <w:rFonts w:ascii="Calibri" w:hAnsi="Calibri" w:cs="Calibri"/>
          <w:color w:val="C00000"/>
          <w:sz w:val="20"/>
          <w:szCs w:val="20"/>
        </w:rPr>
        <w:t>(</w:t>
      </w:r>
      <w:r w:rsidR="003B7FF7">
        <w:rPr>
          <w:rFonts w:ascii="Calibri" w:hAnsi="Calibri" w:cs="Calibri"/>
          <w:color w:val="C00000"/>
          <w:sz w:val="20"/>
          <w:szCs w:val="20"/>
        </w:rPr>
        <w:t>9</w:t>
      </w:r>
      <w:r w:rsidR="003B7FF7" w:rsidRPr="003B7FF7">
        <w:rPr>
          <w:rFonts w:ascii="Calibri" w:hAnsi="Calibri" w:cs="Calibri"/>
          <w:color w:val="C00000"/>
          <w:sz w:val="20"/>
          <w:szCs w:val="20"/>
        </w:rPr>
        <w:t xml:space="preserve">/31) </w:t>
      </w:r>
      <w:r w:rsidRPr="003C68F0">
        <w:rPr>
          <w:rFonts w:ascii="Calibri" w:hAnsi="Calibri" w:cs="Calibri"/>
          <w:sz w:val="20"/>
          <w:szCs w:val="20"/>
        </w:rPr>
        <w:t>non-GCB subtype</w:t>
      </w:r>
      <w:r w:rsidR="009B4E97" w:rsidRPr="003C68F0">
        <w:rPr>
          <w:rFonts w:ascii="Calibri" w:hAnsi="Calibri" w:cs="Calibri"/>
          <w:sz w:val="20"/>
          <w:szCs w:val="20"/>
        </w:rPr>
        <w:t xml:space="preserve">. Of 20 samples yielding a result, 60% </w:t>
      </w:r>
      <w:r w:rsidR="003B7FF7" w:rsidRPr="003B7FF7">
        <w:rPr>
          <w:rFonts w:ascii="Calibri" w:hAnsi="Calibri" w:cs="Calibri"/>
          <w:color w:val="C00000"/>
          <w:sz w:val="20"/>
          <w:szCs w:val="20"/>
        </w:rPr>
        <w:t xml:space="preserve">(12/20) </w:t>
      </w:r>
      <w:r w:rsidR="009B4E97" w:rsidRPr="003C68F0">
        <w:rPr>
          <w:rFonts w:ascii="Calibri" w:hAnsi="Calibri" w:cs="Calibri"/>
          <w:sz w:val="20"/>
          <w:szCs w:val="20"/>
        </w:rPr>
        <w:t xml:space="preserve">were GCB and 40% </w:t>
      </w:r>
      <w:r w:rsidR="003B7FF7" w:rsidRPr="003B7FF7">
        <w:rPr>
          <w:rFonts w:ascii="Calibri" w:hAnsi="Calibri" w:cs="Calibri"/>
          <w:color w:val="C00000"/>
          <w:sz w:val="20"/>
          <w:szCs w:val="20"/>
        </w:rPr>
        <w:t>(</w:t>
      </w:r>
      <w:r w:rsidR="003B7FF7">
        <w:rPr>
          <w:rFonts w:ascii="Calibri" w:hAnsi="Calibri" w:cs="Calibri"/>
          <w:color w:val="C00000"/>
          <w:sz w:val="20"/>
          <w:szCs w:val="20"/>
        </w:rPr>
        <w:t>8</w:t>
      </w:r>
      <w:r w:rsidR="003B7FF7" w:rsidRPr="003B7FF7">
        <w:rPr>
          <w:rFonts w:ascii="Calibri" w:hAnsi="Calibri" w:cs="Calibri"/>
          <w:color w:val="C00000"/>
          <w:sz w:val="20"/>
          <w:szCs w:val="20"/>
        </w:rPr>
        <w:t xml:space="preserve">/20) </w:t>
      </w:r>
      <w:r w:rsidR="009B4E97" w:rsidRPr="003C68F0">
        <w:rPr>
          <w:rFonts w:ascii="Calibri" w:hAnsi="Calibri" w:cs="Calibri"/>
          <w:sz w:val="20"/>
          <w:szCs w:val="20"/>
        </w:rPr>
        <w:t>were ABC</w:t>
      </w:r>
      <w:r w:rsidR="00346325" w:rsidRPr="003C68F0">
        <w:rPr>
          <w:rFonts w:ascii="Calibri" w:hAnsi="Calibri" w:cs="Calibri"/>
          <w:sz w:val="20"/>
          <w:szCs w:val="20"/>
        </w:rPr>
        <w:t xml:space="preserve"> by GEP</w:t>
      </w:r>
      <w:r w:rsidR="005501B1" w:rsidRPr="003C68F0">
        <w:rPr>
          <w:rFonts w:ascii="Calibri" w:hAnsi="Calibri" w:cs="Calibri"/>
          <w:sz w:val="20"/>
          <w:szCs w:val="20"/>
        </w:rPr>
        <w:t xml:space="preserve"> (Table </w:t>
      </w:r>
      <w:r w:rsidR="00E104A9" w:rsidRPr="003C68F0">
        <w:rPr>
          <w:rFonts w:ascii="Calibri" w:hAnsi="Calibri" w:cs="Calibri"/>
          <w:sz w:val="20"/>
          <w:szCs w:val="20"/>
        </w:rPr>
        <w:t>I</w:t>
      </w:r>
      <w:r w:rsidR="005501B1" w:rsidRPr="003C68F0">
        <w:rPr>
          <w:rFonts w:ascii="Calibri" w:hAnsi="Calibri" w:cs="Calibri"/>
          <w:sz w:val="20"/>
          <w:szCs w:val="20"/>
        </w:rPr>
        <w:t>)</w:t>
      </w:r>
      <w:r w:rsidRPr="003C68F0">
        <w:rPr>
          <w:rFonts w:ascii="Calibri" w:hAnsi="Calibri" w:cs="Calibri"/>
          <w:sz w:val="20"/>
          <w:szCs w:val="20"/>
        </w:rPr>
        <w:t xml:space="preserve">. </w:t>
      </w:r>
      <w:r w:rsidR="00745073" w:rsidRPr="003C68F0">
        <w:rPr>
          <w:rFonts w:ascii="Calibri" w:hAnsi="Calibri" w:cs="Calibri"/>
          <w:sz w:val="20"/>
          <w:szCs w:val="20"/>
        </w:rPr>
        <w:t>GEP and IHC COO correlated in 14/19 cases</w:t>
      </w:r>
      <w:r w:rsidR="00163BA2" w:rsidRPr="003C68F0">
        <w:rPr>
          <w:rFonts w:ascii="Calibri" w:hAnsi="Calibri" w:cs="Calibri"/>
          <w:sz w:val="20"/>
          <w:szCs w:val="20"/>
        </w:rPr>
        <w:t xml:space="preserve"> where both were available</w:t>
      </w:r>
      <w:r w:rsidR="00745073" w:rsidRPr="003C68F0">
        <w:rPr>
          <w:rFonts w:ascii="Calibri" w:hAnsi="Calibri" w:cs="Calibri"/>
          <w:sz w:val="20"/>
          <w:szCs w:val="20"/>
        </w:rPr>
        <w:t xml:space="preserve">. </w:t>
      </w:r>
    </w:p>
    <w:p w14:paraId="34868F23" w14:textId="77777777" w:rsidR="005C5510" w:rsidRPr="003C68F0" w:rsidRDefault="005C5510" w:rsidP="00B049F9">
      <w:pPr>
        <w:spacing w:line="360" w:lineRule="auto"/>
        <w:rPr>
          <w:rFonts w:ascii="Calibri" w:hAnsi="Calibri" w:cs="Calibri"/>
          <w:sz w:val="20"/>
          <w:szCs w:val="20"/>
        </w:rPr>
      </w:pPr>
    </w:p>
    <w:p w14:paraId="19AC7121" w14:textId="561969AF" w:rsidR="00B049F9" w:rsidRPr="003C68F0" w:rsidRDefault="009E24D1" w:rsidP="00B049F9">
      <w:pPr>
        <w:spacing w:line="360" w:lineRule="auto"/>
        <w:rPr>
          <w:rFonts w:ascii="Calibri" w:hAnsi="Calibri" w:cs="Calibri"/>
          <w:color w:val="000000" w:themeColor="text1"/>
          <w:sz w:val="20"/>
          <w:szCs w:val="20"/>
        </w:rPr>
      </w:pPr>
      <w:r>
        <w:rPr>
          <w:rFonts w:ascii="Calibri" w:hAnsi="Calibri" w:cs="Calibri"/>
          <w:color w:val="000000" w:themeColor="text1"/>
          <w:sz w:val="20"/>
          <w:szCs w:val="20"/>
        </w:rPr>
        <w:t>Across all 36 patients treated, t</w:t>
      </w:r>
      <w:r w:rsidR="00A05B64" w:rsidRPr="003C68F0">
        <w:rPr>
          <w:rFonts w:ascii="Calibri" w:hAnsi="Calibri" w:cs="Calibri"/>
          <w:color w:val="000000" w:themeColor="text1"/>
          <w:sz w:val="20"/>
          <w:szCs w:val="20"/>
        </w:rPr>
        <w:t>he ORR was 6%</w:t>
      </w:r>
      <w:r w:rsidR="003B7FF7">
        <w:rPr>
          <w:rFonts w:ascii="Calibri" w:hAnsi="Calibri" w:cs="Calibri"/>
          <w:color w:val="000000" w:themeColor="text1"/>
          <w:sz w:val="20"/>
          <w:szCs w:val="20"/>
        </w:rPr>
        <w:t xml:space="preserve"> </w:t>
      </w:r>
      <w:r w:rsidR="003B7FF7" w:rsidRPr="003B7FF7">
        <w:rPr>
          <w:rFonts w:ascii="Calibri" w:hAnsi="Calibri" w:cs="Calibri"/>
          <w:color w:val="C00000"/>
          <w:sz w:val="20"/>
          <w:szCs w:val="20"/>
        </w:rPr>
        <w:t>(2/36)</w:t>
      </w:r>
      <w:r w:rsidR="00A05B64" w:rsidRPr="003B7FF7">
        <w:rPr>
          <w:rFonts w:ascii="Calibri" w:hAnsi="Calibri" w:cs="Calibri"/>
          <w:color w:val="C00000"/>
          <w:sz w:val="20"/>
          <w:szCs w:val="20"/>
        </w:rPr>
        <w:t xml:space="preserve">. </w:t>
      </w:r>
      <w:r w:rsidR="00B049F9" w:rsidRPr="003C68F0">
        <w:rPr>
          <w:rFonts w:ascii="Calibri" w:hAnsi="Calibri" w:cs="Calibri"/>
          <w:color w:val="000000" w:themeColor="text1"/>
          <w:sz w:val="20"/>
          <w:szCs w:val="20"/>
        </w:rPr>
        <w:t>Two patients (6%)</w:t>
      </w:r>
      <w:r w:rsidR="006C3D49" w:rsidRPr="003C68F0">
        <w:rPr>
          <w:rFonts w:ascii="Calibri" w:hAnsi="Calibri" w:cs="Calibri"/>
          <w:color w:val="000000" w:themeColor="text1"/>
          <w:sz w:val="20"/>
          <w:szCs w:val="20"/>
        </w:rPr>
        <w:t xml:space="preserve"> achieved PR</w:t>
      </w:r>
      <w:r w:rsidR="00B049F9" w:rsidRPr="003C68F0">
        <w:rPr>
          <w:rFonts w:ascii="Calibri" w:hAnsi="Calibri" w:cs="Calibri"/>
          <w:color w:val="000000" w:themeColor="text1"/>
          <w:sz w:val="20"/>
          <w:szCs w:val="20"/>
        </w:rPr>
        <w:t>, with no CR</w:t>
      </w:r>
      <w:r w:rsidR="00D740BE" w:rsidRPr="003C68F0">
        <w:rPr>
          <w:rFonts w:ascii="Calibri" w:hAnsi="Calibri" w:cs="Calibri"/>
          <w:color w:val="000000" w:themeColor="text1"/>
          <w:sz w:val="20"/>
          <w:szCs w:val="20"/>
        </w:rPr>
        <w:t>s.</w:t>
      </w:r>
      <w:r w:rsidR="00B049F9" w:rsidRPr="003C68F0">
        <w:rPr>
          <w:rFonts w:ascii="Calibri" w:hAnsi="Calibri" w:cs="Calibri"/>
          <w:color w:val="000000" w:themeColor="text1"/>
          <w:sz w:val="20"/>
          <w:szCs w:val="20"/>
        </w:rPr>
        <w:t xml:space="preserve"> </w:t>
      </w:r>
      <w:r w:rsidR="00D740BE" w:rsidRPr="003C68F0">
        <w:rPr>
          <w:rFonts w:ascii="Calibri" w:hAnsi="Calibri" w:cs="Calibri"/>
          <w:color w:val="000000" w:themeColor="text1"/>
          <w:sz w:val="20"/>
          <w:szCs w:val="20"/>
        </w:rPr>
        <w:t>Seven patients</w:t>
      </w:r>
      <w:r w:rsidR="00B049F9" w:rsidRPr="003C68F0">
        <w:rPr>
          <w:rFonts w:ascii="Calibri" w:hAnsi="Calibri" w:cs="Calibri"/>
          <w:color w:val="000000" w:themeColor="text1"/>
          <w:sz w:val="20"/>
          <w:szCs w:val="20"/>
        </w:rPr>
        <w:t xml:space="preserve"> (19%) had </w:t>
      </w:r>
      <w:r w:rsidR="006C3D49" w:rsidRPr="003C68F0">
        <w:rPr>
          <w:rFonts w:ascii="Calibri" w:hAnsi="Calibri" w:cs="Calibri"/>
          <w:color w:val="000000" w:themeColor="text1"/>
          <w:sz w:val="20"/>
          <w:szCs w:val="20"/>
        </w:rPr>
        <w:t>SD</w:t>
      </w:r>
      <w:r w:rsidR="002D35D8" w:rsidRPr="003C68F0">
        <w:rPr>
          <w:rFonts w:ascii="Calibri" w:hAnsi="Calibri" w:cs="Calibri"/>
          <w:color w:val="000000" w:themeColor="text1"/>
          <w:sz w:val="20"/>
          <w:szCs w:val="20"/>
        </w:rPr>
        <w:t xml:space="preserve"> within </w:t>
      </w:r>
      <w:r w:rsidR="00CE60CC">
        <w:rPr>
          <w:rFonts w:ascii="Calibri" w:hAnsi="Calibri" w:cs="Calibri"/>
          <w:color w:val="C00000"/>
          <w:sz w:val="20"/>
          <w:szCs w:val="20"/>
        </w:rPr>
        <w:t>six</w:t>
      </w:r>
      <w:r w:rsidR="002D35D8" w:rsidRPr="003C68F0">
        <w:rPr>
          <w:rFonts w:ascii="Calibri" w:hAnsi="Calibri" w:cs="Calibri"/>
          <w:color w:val="000000" w:themeColor="text1"/>
          <w:sz w:val="20"/>
          <w:szCs w:val="20"/>
        </w:rPr>
        <w:t xml:space="preserve"> cycles</w:t>
      </w:r>
      <w:r w:rsidR="00B049F9" w:rsidRPr="003C68F0">
        <w:rPr>
          <w:rFonts w:ascii="Calibri" w:hAnsi="Calibri" w:cs="Calibri"/>
          <w:color w:val="000000" w:themeColor="text1"/>
          <w:sz w:val="20"/>
          <w:szCs w:val="20"/>
        </w:rPr>
        <w:t>. Both PRs</w:t>
      </w:r>
      <w:r w:rsidR="00FB0B00" w:rsidRPr="003C68F0">
        <w:rPr>
          <w:rFonts w:ascii="Calibri" w:hAnsi="Calibri" w:cs="Calibri"/>
          <w:color w:val="000000" w:themeColor="text1"/>
          <w:sz w:val="20"/>
          <w:szCs w:val="20"/>
        </w:rPr>
        <w:t xml:space="preserve"> occurred on </w:t>
      </w:r>
      <w:r w:rsidR="00B049F9" w:rsidRPr="003C68F0">
        <w:rPr>
          <w:rFonts w:ascii="Calibri" w:hAnsi="Calibri" w:cs="Calibri"/>
          <w:color w:val="000000" w:themeColor="text1"/>
          <w:sz w:val="20"/>
          <w:szCs w:val="20"/>
        </w:rPr>
        <w:t xml:space="preserve">monotherapy. </w:t>
      </w:r>
      <w:r w:rsidR="00CE60CC">
        <w:rPr>
          <w:rFonts w:ascii="Calibri" w:hAnsi="Calibri" w:cs="Calibri"/>
          <w:color w:val="C00000"/>
          <w:sz w:val="20"/>
          <w:szCs w:val="20"/>
        </w:rPr>
        <w:t>Fourteen</w:t>
      </w:r>
      <w:r w:rsidR="00B049F9" w:rsidRPr="003C68F0">
        <w:rPr>
          <w:rFonts w:ascii="Calibri" w:hAnsi="Calibri" w:cs="Calibri"/>
          <w:color w:val="000000" w:themeColor="text1"/>
          <w:sz w:val="20"/>
          <w:szCs w:val="20"/>
        </w:rPr>
        <w:t xml:space="preserve"> patients </w:t>
      </w:r>
      <w:r w:rsidR="00FB0B00" w:rsidRPr="003C68F0">
        <w:rPr>
          <w:rFonts w:ascii="Calibri" w:hAnsi="Calibri" w:cs="Calibri"/>
          <w:color w:val="000000" w:themeColor="text1"/>
          <w:sz w:val="20"/>
          <w:szCs w:val="20"/>
        </w:rPr>
        <w:t>progressed</w:t>
      </w:r>
      <w:r w:rsidR="00B049F9" w:rsidRPr="003C68F0">
        <w:rPr>
          <w:rFonts w:ascii="Calibri" w:hAnsi="Calibri" w:cs="Calibri"/>
          <w:color w:val="000000" w:themeColor="text1"/>
          <w:sz w:val="20"/>
          <w:szCs w:val="20"/>
        </w:rPr>
        <w:t xml:space="preserve"> at first response assessment. 13 patients discontinued treatment prior to first</w:t>
      </w:r>
      <w:r w:rsidR="00FB0B00" w:rsidRPr="003C68F0">
        <w:rPr>
          <w:rFonts w:ascii="Calibri" w:hAnsi="Calibri" w:cs="Calibri"/>
          <w:color w:val="000000" w:themeColor="text1"/>
          <w:sz w:val="20"/>
          <w:szCs w:val="20"/>
        </w:rPr>
        <w:t xml:space="preserve"> response assessment</w:t>
      </w:r>
      <w:r w:rsidR="00D16AC0" w:rsidRPr="003C68F0">
        <w:rPr>
          <w:rFonts w:ascii="Calibri" w:hAnsi="Calibri" w:cs="Calibri"/>
          <w:color w:val="000000" w:themeColor="text1"/>
          <w:sz w:val="20"/>
          <w:szCs w:val="20"/>
        </w:rPr>
        <w:t xml:space="preserve"> (at cycle 2)</w:t>
      </w:r>
      <w:r w:rsidR="00FB0B00" w:rsidRPr="003C68F0">
        <w:rPr>
          <w:rFonts w:ascii="Calibri" w:hAnsi="Calibri" w:cs="Calibri"/>
          <w:color w:val="000000" w:themeColor="text1"/>
          <w:sz w:val="20"/>
          <w:szCs w:val="20"/>
        </w:rPr>
        <w:t xml:space="preserve"> (reasons:</w:t>
      </w:r>
      <w:r w:rsidR="00021AD6">
        <w:rPr>
          <w:rFonts w:ascii="Calibri" w:hAnsi="Calibri" w:cs="Calibri"/>
          <w:color w:val="000000" w:themeColor="text1"/>
          <w:sz w:val="20"/>
          <w:szCs w:val="20"/>
        </w:rPr>
        <w:t xml:space="preserve"> </w:t>
      </w:r>
      <w:r w:rsidR="00801794" w:rsidRPr="003C68F0">
        <w:rPr>
          <w:rFonts w:ascii="Calibri" w:hAnsi="Calibri" w:cs="Calibri"/>
          <w:color w:val="000000" w:themeColor="text1"/>
          <w:sz w:val="20"/>
          <w:szCs w:val="20"/>
        </w:rPr>
        <w:t xml:space="preserve"> </w:t>
      </w:r>
      <w:r w:rsidR="00D16AC0" w:rsidRPr="00021AD6">
        <w:rPr>
          <w:rFonts w:ascii="Calibri" w:hAnsi="Calibri" w:cs="Calibri"/>
          <w:color w:val="000000" w:themeColor="text1"/>
          <w:sz w:val="20"/>
          <w:szCs w:val="20"/>
        </w:rPr>
        <w:t>disease progression</w:t>
      </w:r>
      <w:r w:rsidR="00021AD6" w:rsidRPr="00021AD6">
        <w:rPr>
          <w:rFonts w:ascii="Calibri" w:hAnsi="Calibri" w:cs="Calibri"/>
          <w:color w:val="000000" w:themeColor="text1"/>
          <w:sz w:val="20"/>
          <w:szCs w:val="20"/>
        </w:rPr>
        <w:t xml:space="preserve"> (n=10)</w:t>
      </w:r>
      <w:r w:rsidR="00801794" w:rsidRPr="00021AD6">
        <w:rPr>
          <w:rFonts w:ascii="Calibri" w:hAnsi="Calibri" w:cs="Calibri"/>
          <w:color w:val="000000" w:themeColor="text1"/>
          <w:sz w:val="20"/>
          <w:szCs w:val="20"/>
        </w:rPr>
        <w:t>,</w:t>
      </w:r>
      <w:r w:rsidR="00801794" w:rsidRPr="003C68F0">
        <w:rPr>
          <w:rFonts w:ascii="Calibri" w:hAnsi="Calibri" w:cs="Calibri"/>
          <w:color w:val="000000" w:themeColor="text1"/>
          <w:sz w:val="20"/>
          <w:szCs w:val="20"/>
        </w:rPr>
        <w:t xml:space="preserve"> </w:t>
      </w:r>
      <w:r w:rsidR="00021AD6">
        <w:rPr>
          <w:rFonts w:ascii="Calibri" w:hAnsi="Calibri" w:cs="Calibri"/>
          <w:color w:val="000000" w:themeColor="text1"/>
          <w:sz w:val="20"/>
          <w:szCs w:val="20"/>
        </w:rPr>
        <w:t>15</w:t>
      </w:r>
      <w:r w:rsidR="00801794" w:rsidRPr="003C68F0">
        <w:rPr>
          <w:rFonts w:ascii="Calibri" w:hAnsi="Calibri" w:cs="Calibri"/>
          <w:color w:val="000000" w:themeColor="text1"/>
          <w:sz w:val="20"/>
          <w:szCs w:val="20"/>
        </w:rPr>
        <w:t>%</w:t>
      </w:r>
      <w:r w:rsidR="00920BCD" w:rsidRPr="003C68F0">
        <w:rPr>
          <w:rFonts w:ascii="Calibri" w:hAnsi="Calibri" w:cs="Calibri"/>
          <w:color w:val="000000" w:themeColor="text1"/>
          <w:sz w:val="20"/>
          <w:szCs w:val="20"/>
        </w:rPr>
        <w:t xml:space="preserve"> death</w:t>
      </w:r>
      <w:r w:rsidR="00021AD6">
        <w:rPr>
          <w:rFonts w:ascii="Calibri" w:hAnsi="Calibri" w:cs="Calibri"/>
          <w:color w:val="000000" w:themeColor="text1"/>
          <w:sz w:val="20"/>
          <w:szCs w:val="20"/>
        </w:rPr>
        <w:t xml:space="preserve"> (n=2)</w:t>
      </w:r>
      <w:r w:rsidR="00801794" w:rsidRPr="003C68F0">
        <w:rPr>
          <w:rFonts w:ascii="Calibri" w:hAnsi="Calibri" w:cs="Calibri"/>
          <w:color w:val="000000" w:themeColor="text1"/>
          <w:sz w:val="20"/>
          <w:szCs w:val="20"/>
        </w:rPr>
        <w:t xml:space="preserve"> an</w:t>
      </w:r>
      <w:r w:rsidR="00021AD6">
        <w:rPr>
          <w:rFonts w:ascii="Calibri" w:hAnsi="Calibri" w:cs="Calibri"/>
          <w:color w:val="000000" w:themeColor="text1"/>
          <w:sz w:val="20"/>
          <w:szCs w:val="20"/>
        </w:rPr>
        <w:t>d</w:t>
      </w:r>
      <w:r w:rsidR="00920BCD" w:rsidRPr="003C68F0">
        <w:rPr>
          <w:rFonts w:ascii="Calibri" w:hAnsi="Calibri" w:cs="Calibri"/>
          <w:color w:val="000000" w:themeColor="text1"/>
          <w:sz w:val="20"/>
          <w:szCs w:val="20"/>
        </w:rPr>
        <w:t xml:space="preserve"> toxicity</w:t>
      </w:r>
      <w:r w:rsidR="00021AD6">
        <w:rPr>
          <w:rFonts w:ascii="Calibri" w:hAnsi="Calibri" w:cs="Calibri"/>
          <w:color w:val="000000" w:themeColor="text1"/>
          <w:sz w:val="20"/>
          <w:szCs w:val="20"/>
        </w:rPr>
        <w:t xml:space="preserve"> (n=1)</w:t>
      </w:r>
      <w:r w:rsidR="00FB0B00" w:rsidRPr="003C68F0">
        <w:rPr>
          <w:rFonts w:ascii="Calibri" w:hAnsi="Calibri" w:cs="Calibri"/>
          <w:color w:val="000000" w:themeColor="text1"/>
          <w:sz w:val="20"/>
          <w:szCs w:val="20"/>
        </w:rPr>
        <w:t xml:space="preserve">). </w:t>
      </w:r>
      <w:r w:rsidR="00B049F9" w:rsidRPr="003C68F0">
        <w:rPr>
          <w:rFonts w:ascii="Calibri" w:hAnsi="Calibri" w:cs="Calibri"/>
          <w:color w:val="000000" w:themeColor="text1"/>
          <w:sz w:val="20"/>
          <w:szCs w:val="20"/>
        </w:rPr>
        <w:t>A mean of 2.</w:t>
      </w:r>
      <w:r w:rsidR="000872C8" w:rsidRPr="003C68F0">
        <w:rPr>
          <w:rFonts w:ascii="Calibri" w:hAnsi="Calibri" w:cs="Calibri"/>
          <w:color w:val="000000" w:themeColor="text1"/>
          <w:sz w:val="20"/>
          <w:szCs w:val="20"/>
        </w:rPr>
        <w:t xml:space="preserve">5 </w:t>
      </w:r>
      <w:r w:rsidR="006C3D49" w:rsidRPr="003C68F0">
        <w:rPr>
          <w:rFonts w:ascii="Calibri" w:hAnsi="Calibri" w:cs="Calibri"/>
          <w:color w:val="000000" w:themeColor="text1"/>
          <w:sz w:val="20"/>
          <w:szCs w:val="20"/>
        </w:rPr>
        <w:t xml:space="preserve">cycles </w:t>
      </w:r>
      <w:r w:rsidR="00EF3111" w:rsidRPr="003C68F0">
        <w:rPr>
          <w:rFonts w:ascii="Calibri" w:hAnsi="Calibri" w:cs="Calibri"/>
          <w:color w:val="000000" w:themeColor="text1"/>
          <w:sz w:val="20"/>
          <w:szCs w:val="20"/>
        </w:rPr>
        <w:t xml:space="preserve">of monotherapy </w:t>
      </w:r>
      <w:r w:rsidR="006C3D49" w:rsidRPr="003C68F0">
        <w:rPr>
          <w:rFonts w:ascii="Calibri" w:hAnsi="Calibri" w:cs="Calibri"/>
          <w:color w:val="000000" w:themeColor="text1"/>
          <w:sz w:val="20"/>
          <w:szCs w:val="20"/>
        </w:rPr>
        <w:t>were</w:t>
      </w:r>
      <w:r w:rsidR="00B049F9" w:rsidRPr="003C68F0">
        <w:rPr>
          <w:rFonts w:ascii="Calibri" w:hAnsi="Calibri" w:cs="Calibri"/>
          <w:color w:val="000000" w:themeColor="text1"/>
          <w:sz w:val="20"/>
          <w:szCs w:val="20"/>
        </w:rPr>
        <w:t xml:space="preserve"> completed (r</w:t>
      </w:r>
      <w:r w:rsidR="00FB0B00" w:rsidRPr="003C68F0">
        <w:rPr>
          <w:rFonts w:ascii="Calibri" w:hAnsi="Calibri" w:cs="Calibri"/>
          <w:color w:val="000000" w:themeColor="text1"/>
          <w:sz w:val="20"/>
          <w:szCs w:val="20"/>
        </w:rPr>
        <w:t>ange 1-9)</w:t>
      </w:r>
      <w:r w:rsidR="00EF3111" w:rsidRPr="003C68F0">
        <w:rPr>
          <w:rFonts w:ascii="Calibri" w:hAnsi="Calibri" w:cs="Calibri"/>
          <w:color w:val="000000" w:themeColor="text1"/>
          <w:sz w:val="20"/>
          <w:szCs w:val="20"/>
        </w:rPr>
        <w:t xml:space="preserve"> and </w:t>
      </w:r>
      <w:r w:rsidR="00CE60CC">
        <w:rPr>
          <w:rFonts w:ascii="Calibri" w:hAnsi="Calibri" w:cs="Calibri"/>
          <w:color w:val="C00000"/>
          <w:sz w:val="20"/>
          <w:szCs w:val="20"/>
        </w:rPr>
        <w:t>two</w:t>
      </w:r>
      <w:r w:rsidR="00EF3111" w:rsidRPr="003C68F0">
        <w:rPr>
          <w:rFonts w:ascii="Calibri" w:hAnsi="Calibri" w:cs="Calibri"/>
          <w:color w:val="000000" w:themeColor="text1"/>
          <w:sz w:val="20"/>
          <w:szCs w:val="20"/>
        </w:rPr>
        <w:t xml:space="preserve"> cycles of combination treatment were completed (range 1-6)</w:t>
      </w:r>
      <w:r w:rsidR="00FB0B00" w:rsidRPr="003C68F0">
        <w:rPr>
          <w:rFonts w:ascii="Calibri" w:hAnsi="Calibri" w:cs="Calibri"/>
          <w:color w:val="000000" w:themeColor="text1"/>
          <w:sz w:val="20"/>
          <w:szCs w:val="20"/>
        </w:rPr>
        <w:t xml:space="preserve">. </w:t>
      </w:r>
      <w:r w:rsidR="00A934C7" w:rsidRPr="003C68F0">
        <w:rPr>
          <w:rFonts w:ascii="Calibri" w:hAnsi="Calibri" w:cs="Calibri"/>
          <w:color w:val="000000" w:themeColor="text1"/>
          <w:sz w:val="20"/>
          <w:szCs w:val="20"/>
        </w:rPr>
        <w:t>40% (8/</w:t>
      </w:r>
      <w:r w:rsidR="00B049F9" w:rsidRPr="003C68F0">
        <w:rPr>
          <w:rFonts w:ascii="Calibri" w:hAnsi="Calibri" w:cs="Calibri"/>
          <w:color w:val="000000" w:themeColor="text1"/>
          <w:sz w:val="20"/>
          <w:szCs w:val="20"/>
        </w:rPr>
        <w:t>20</w:t>
      </w:r>
      <w:r w:rsidR="00A934C7" w:rsidRPr="003C68F0">
        <w:rPr>
          <w:rFonts w:ascii="Calibri" w:hAnsi="Calibri" w:cs="Calibri"/>
          <w:color w:val="000000" w:themeColor="text1"/>
          <w:sz w:val="20"/>
          <w:szCs w:val="20"/>
        </w:rPr>
        <w:t>) of those</w:t>
      </w:r>
      <w:r w:rsidR="00B049F9" w:rsidRPr="003C68F0">
        <w:rPr>
          <w:rFonts w:ascii="Calibri" w:hAnsi="Calibri" w:cs="Calibri"/>
          <w:color w:val="000000" w:themeColor="text1"/>
          <w:sz w:val="20"/>
          <w:szCs w:val="20"/>
        </w:rPr>
        <w:t xml:space="preserve"> evaluable </w:t>
      </w:r>
      <w:r w:rsidR="00FB0B00" w:rsidRPr="003C68F0">
        <w:rPr>
          <w:rFonts w:ascii="Calibri" w:hAnsi="Calibri" w:cs="Calibri"/>
          <w:color w:val="000000" w:themeColor="text1"/>
          <w:sz w:val="20"/>
          <w:szCs w:val="20"/>
        </w:rPr>
        <w:t>obtained</w:t>
      </w:r>
      <w:r w:rsidR="00B049F9" w:rsidRPr="003C68F0">
        <w:rPr>
          <w:rFonts w:ascii="Calibri" w:hAnsi="Calibri" w:cs="Calibri"/>
          <w:color w:val="000000" w:themeColor="text1"/>
          <w:sz w:val="20"/>
          <w:szCs w:val="20"/>
        </w:rPr>
        <w:t xml:space="preserve"> tumour volume reduction</w:t>
      </w:r>
      <w:r w:rsidR="00726011" w:rsidRPr="003C68F0">
        <w:rPr>
          <w:rFonts w:ascii="Calibri" w:hAnsi="Calibri" w:cs="Calibri"/>
          <w:color w:val="000000" w:themeColor="text1"/>
          <w:sz w:val="20"/>
          <w:szCs w:val="20"/>
        </w:rPr>
        <w:t xml:space="preserve"> (Fig</w:t>
      </w:r>
      <w:r w:rsidR="009F1E21" w:rsidRPr="003C68F0">
        <w:rPr>
          <w:rFonts w:ascii="Calibri" w:hAnsi="Calibri" w:cs="Calibri"/>
          <w:color w:val="000000" w:themeColor="text1"/>
          <w:sz w:val="20"/>
          <w:szCs w:val="20"/>
        </w:rPr>
        <w:t>ure</w:t>
      </w:r>
      <w:r w:rsidR="00726011" w:rsidRPr="003C68F0">
        <w:rPr>
          <w:rFonts w:ascii="Calibri" w:hAnsi="Calibri" w:cs="Calibri"/>
          <w:color w:val="000000" w:themeColor="text1"/>
          <w:sz w:val="20"/>
          <w:szCs w:val="20"/>
        </w:rPr>
        <w:t xml:space="preserve"> 1</w:t>
      </w:r>
      <w:r w:rsidR="009F1E21" w:rsidRPr="003C68F0">
        <w:rPr>
          <w:rFonts w:ascii="Calibri" w:hAnsi="Calibri" w:cs="Calibri"/>
          <w:color w:val="000000" w:themeColor="text1"/>
          <w:sz w:val="20"/>
          <w:szCs w:val="20"/>
        </w:rPr>
        <w:t>A</w:t>
      </w:r>
      <w:r w:rsidR="00726011" w:rsidRPr="003C68F0">
        <w:rPr>
          <w:rFonts w:ascii="Calibri" w:hAnsi="Calibri" w:cs="Calibri"/>
          <w:color w:val="000000" w:themeColor="text1"/>
          <w:sz w:val="20"/>
          <w:szCs w:val="20"/>
        </w:rPr>
        <w:t>)</w:t>
      </w:r>
      <w:r w:rsidR="00B049F9" w:rsidRPr="003C68F0">
        <w:rPr>
          <w:rFonts w:ascii="Calibri" w:hAnsi="Calibri" w:cs="Calibri"/>
          <w:color w:val="000000" w:themeColor="text1"/>
          <w:sz w:val="20"/>
          <w:szCs w:val="20"/>
        </w:rPr>
        <w:t xml:space="preserve">. </w:t>
      </w:r>
      <w:r w:rsidR="00F87789" w:rsidRPr="003C68F0">
        <w:rPr>
          <w:rFonts w:ascii="Calibri" w:hAnsi="Calibri" w:cs="Calibri"/>
          <w:color w:val="000000" w:themeColor="text1"/>
          <w:sz w:val="20"/>
          <w:szCs w:val="20"/>
        </w:rPr>
        <w:t xml:space="preserve">In the </w:t>
      </w:r>
      <w:r w:rsidR="00CE7468" w:rsidRPr="003C68F0">
        <w:rPr>
          <w:rFonts w:ascii="Calibri" w:hAnsi="Calibri" w:cs="Calibri"/>
          <w:color w:val="000000" w:themeColor="text1"/>
          <w:sz w:val="20"/>
          <w:szCs w:val="20"/>
        </w:rPr>
        <w:t>monotherapy</w:t>
      </w:r>
      <w:r w:rsidR="00F87789" w:rsidRPr="003C68F0">
        <w:rPr>
          <w:rFonts w:ascii="Calibri" w:hAnsi="Calibri" w:cs="Calibri"/>
          <w:color w:val="000000" w:themeColor="text1"/>
          <w:sz w:val="20"/>
          <w:szCs w:val="20"/>
        </w:rPr>
        <w:t xml:space="preserve"> arm, t</w:t>
      </w:r>
      <w:r w:rsidR="00B049F9" w:rsidRPr="003C68F0">
        <w:rPr>
          <w:rFonts w:ascii="Calibri" w:hAnsi="Calibri" w:cs="Calibri"/>
          <w:color w:val="000000" w:themeColor="text1"/>
          <w:sz w:val="20"/>
          <w:szCs w:val="20"/>
        </w:rPr>
        <w:t xml:space="preserve">he median PFS was </w:t>
      </w:r>
      <w:r w:rsidR="006C3D49" w:rsidRPr="003C68F0">
        <w:rPr>
          <w:rFonts w:ascii="Calibri" w:hAnsi="Calibri" w:cs="Calibri"/>
          <w:color w:val="000000" w:themeColor="text1"/>
          <w:sz w:val="20"/>
          <w:szCs w:val="20"/>
        </w:rPr>
        <w:t>1.</w:t>
      </w:r>
      <w:r w:rsidR="00D67393" w:rsidRPr="003C68F0">
        <w:rPr>
          <w:rFonts w:ascii="Calibri" w:hAnsi="Calibri" w:cs="Calibri"/>
          <w:color w:val="000000" w:themeColor="text1"/>
          <w:sz w:val="20"/>
          <w:szCs w:val="20"/>
        </w:rPr>
        <w:t>6</w:t>
      </w:r>
      <w:r w:rsidR="006C3D49" w:rsidRPr="003C68F0">
        <w:rPr>
          <w:rFonts w:ascii="Calibri" w:hAnsi="Calibri" w:cs="Calibri"/>
          <w:color w:val="000000" w:themeColor="text1"/>
          <w:sz w:val="20"/>
          <w:szCs w:val="20"/>
        </w:rPr>
        <w:t>9 (95% CI 1.6</w:t>
      </w:r>
      <w:r w:rsidR="00D67393" w:rsidRPr="003C68F0">
        <w:rPr>
          <w:rFonts w:ascii="Calibri" w:hAnsi="Calibri" w:cs="Calibri"/>
          <w:color w:val="000000" w:themeColor="text1"/>
          <w:sz w:val="20"/>
          <w:szCs w:val="20"/>
        </w:rPr>
        <w:t>1</w:t>
      </w:r>
      <w:r w:rsidR="006C3D49" w:rsidRPr="003C68F0">
        <w:rPr>
          <w:rFonts w:ascii="Calibri" w:hAnsi="Calibri" w:cs="Calibri"/>
          <w:color w:val="000000" w:themeColor="text1"/>
          <w:sz w:val="20"/>
          <w:szCs w:val="20"/>
        </w:rPr>
        <w:t>-2.</w:t>
      </w:r>
      <w:r w:rsidR="00D67393" w:rsidRPr="003C68F0">
        <w:rPr>
          <w:rFonts w:ascii="Calibri" w:hAnsi="Calibri" w:cs="Calibri"/>
          <w:color w:val="000000" w:themeColor="text1"/>
          <w:sz w:val="20"/>
          <w:szCs w:val="20"/>
        </w:rPr>
        <w:t>1</w:t>
      </w:r>
      <w:r w:rsidR="006C3D49" w:rsidRPr="003C68F0">
        <w:rPr>
          <w:rFonts w:ascii="Calibri" w:hAnsi="Calibri" w:cs="Calibri"/>
          <w:color w:val="000000" w:themeColor="text1"/>
          <w:sz w:val="20"/>
          <w:szCs w:val="20"/>
        </w:rPr>
        <w:t>4</w:t>
      </w:r>
      <w:r w:rsidR="00B049F9" w:rsidRPr="003C68F0">
        <w:rPr>
          <w:rFonts w:ascii="Calibri" w:hAnsi="Calibri" w:cs="Calibri"/>
          <w:color w:val="000000" w:themeColor="text1"/>
          <w:sz w:val="20"/>
          <w:szCs w:val="20"/>
        </w:rPr>
        <w:t>) months</w:t>
      </w:r>
      <w:r w:rsidR="005501B1" w:rsidRPr="003C68F0">
        <w:rPr>
          <w:rFonts w:ascii="Calibri" w:hAnsi="Calibri" w:cs="Calibri"/>
          <w:color w:val="000000" w:themeColor="text1"/>
          <w:sz w:val="20"/>
          <w:szCs w:val="20"/>
        </w:rPr>
        <w:t xml:space="preserve"> and </w:t>
      </w:r>
      <w:r w:rsidR="00B049F9" w:rsidRPr="003C68F0">
        <w:rPr>
          <w:rFonts w:ascii="Calibri" w:hAnsi="Calibri" w:cs="Calibri"/>
          <w:color w:val="000000" w:themeColor="text1"/>
          <w:sz w:val="20"/>
          <w:szCs w:val="20"/>
        </w:rPr>
        <w:t xml:space="preserve">median </w:t>
      </w:r>
      <w:r w:rsidR="005C5510" w:rsidRPr="003C68F0">
        <w:rPr>
          <w:rFonts w:ascii="Calibri" w:hAnsi="Calibri" w:cs="Calibri"/>
          <w:color w:val="000000" w:themeColor="text1"/>
          <w:sz w:val="20"/>
          <w:szCs w:val="20"/>
        </w:rPr>
        <w:t>OS</w:t>
      </w:r>
      <w:r w:rsidR="00B049F9" w:rsidRPr="003C68F0">
        <w:rPr>
          <w:rFonts w:ascii="Calibri" w:hAnsi="Calibri" w:cs="Calibri"/>
          <w:color w:val="000000" w:themeColor="text1"/>
          <w:sz w:val="20"/>
          <w:szCs w:val="20"/>
        </w:rPr>
        <w:t xml:space="preserve"> was </w:t>
      </w:r>
      <w:r w:rsidR="00D67393" w:rsidRPr="003C68F0">
        <w:rPr>
          <w:rFonts w:ascii="Calibri" w:hAnsi="Calibri" w:cs="Calibri"/>
          <w:color w:val="000000" w:themeColor="text1"/>
          <w:sz w:val="20"/>
          <w:szCs w:val="20"/>
        </w:rPr>
        <w:t>6.58</w:t>
      </w:r>
      <w:r w:rsidR="00B049F9" w:rsidRPr="003C68F0">
        <w:rPr>
          <w:rFonts w:ascii="Calibri" w:hAnsi="Calibri" w:cs="Calibri"/>
          <w:color w:val="000000" w:themeColor="text1"/>
          <w:sz w:val="20"/>
          <w:szCs w:val="20"/>
        </w:rPr>
        <w:t xml:space="preserve"> (95% </w:t>
      </w:r>
      <w:r w:rsidR="006C3D49" w:rsidRPr="003C68F0">
        <w:rPr>
          <w:rFonts w:ascii="Calibri" w:hAnsi="Calibri" w:cs="Calibri"/>
          <w:color w:val="000000" w:themeColor="text1"/>
          <w:sz w:val="20"/>
          <w:szCs w:val="20"/>
        </w:rPr>
        <w:t xml:space="preserve">CI </w:t>
      </w:r>
      <w:r w:rsidR="00D67393" w:rsidRPr="003C68F0">
        <w:rPr>
          <w:rFonts w:ascii="Calibri" w:hAnsi="Calibri" w:cs="Calibri"/>
          <w:color w:val="000000" w:themeColor="text1"/>
          <w:sz w:val="20"/>
          <w:szCs w:val="20"/>
        </w:rPr>
        <w:t>3.81</w:t>
      </w:r>
      <w:r w:rsidR="006C3D49" w:rsidRPr="003C68F0">
        <w:rPr>
          <w:rFonts w:ascii="Calibri" w:hAnsi="Calibri" w:cs="Calibri"/>
          <w:color w:val="000000" w:themeColor="text1"/>
          <w:sz w:val="20"/>
          <w:szCs w:val="20"/>
        </w:rPr>
        <w:t>-</w:t>
      </w:r>
      <w:r w:rsidR="008E12EE" w:rsidRPr="003C68F0">
        <w:rPr>
          <w:rFonts w:ascii="Calibri" w:hAnsi="Calibri" w:cs="Calibri"/>
          <w:color w:val="000000" w:themeColor="text1"/>
          <w:sz w:val="20"/>
          <w:szCs w:val="20"/>
        </w:rPr>
        <w:t>NR</w:t>
      </w:r>
      <w:r w:rsidR="00B049F9" w:rsidRPr="003C68F0">
        <w:rPr>
          <w:rFonts w:ascii="Calibri" w:hAnsi="Calibri" w:cs="Calibri"/>
          <w:color w:val="000000" w:themeColor="text1"/>
          <w:sz w:val="20"/>
          <w:szCs w:val="20"/>
        </w:rPr>
        <w:t>) months</w:t>
      </w:r>
      <w:r w:rsidR="00726011" w:rsidRPr="003C68F0">
        <w:rPr>
          <w:rFonts w:ascii="Calibri" w:hAnsi="Calibri" w:cs="Calibri"/>
          <w:color w:val="000000" w:themeColor="text1"/>
          <w:sz w:val="20"/>
          <w:szCs w:val="20"/>
        </w:rPr>
        <w:t xml:space="preserve"> (Fig</w:t>
      </w:r>
      <w:r w:rsidR="009F1E21" w:rsidRPr="003C68F0">
        <w:rPr>
          <w:rFonts w:ascii="Calibri" w:hAnsi="Calibri" w:cs="Calibri"/>
          <w:color w:val="000000" w:themeColor="text1"/>
          <w:sz w:val="20"/>
          <w:szCs w:val="20"/>
        </w:rPr>
        <w:t>ure</w:t>
      </w:r>
      <w:r w:rsidR="00726011" w:rsidRPr="003C68F0">
        <w:rPr>
          <w:rFonts w:ascii="Calibri" w:hAnsi="Calibri" w:cs="Calibri"/>
          <w:color w:val="000000" w:themeColor="text1"/>
          <w:sz w:val="20"/>
          <w:szCs w:val="20"/>
        </w:rPr>
        <w:t xml:space="preserve"> </w:t>
      </w:r>
      <w:r w:rsidR="009F1E21" w:rsidRPr="003C68F0">
        <w:rPr>
          <w:rFonts w:ascii="Calibri" w:hAnsi="Calibri" w:cs="Calibri"/>
          <w:color w:val="000000" w:themeColor="text1"/>
          <w:sz w:val="20"/>
          <w:szCs w:val="20"/>
        </w:rPr>
        <w:t>1B</w:t>
      </w:r>
      <w:r w:rsidR="00E104A9" w:rsidRPr="003C68F0">
        <w:rPr>
          <w:rFonts w:ascii="Calibri" w:hAnsi="Calibri" w:cs="Calibri"/>
          <w:color w:val="000000" w:themeColor="text1"/>
          <w:sz w:val="20"/>
          <w:szCs w:val="20"/>
        </w:rPr>
        <w:t>-C</w:t>
      </w:r>
      <w:r w:rsidR="00FB0B00" w:rsidRPr="003C68F0">
        <w:rPr>
          <w:rFonts w:ascii="Calibri" w:hAnsi="Calibri" w:cs="Calibri"/>
          <w:color w:val="000000" w:themeColor="text1"/>
          <w:sz w:val="20"/>
          <w:szCs w:val="20"/>
        </w:rPr>
        <w:t>)</w:t>
      </w:r>
      <w:r w:rsidR="00B049F9" w:rsidRPr="003C68F0">
        <w:rPr>
          <w:rFonts w:ascii="Calibri" w:hAnsi="Calibri" w:cs="Calibri"/>
          <w:color w:val="000000" w:themeColor="text1"/>
          <w:sz w:val="20"/>
          <w:szCs w:val="20"/>
        </w:rPr>
        <w:t xml:space="preserve">. </w:t>
      </w:r>
      <w:r w:rsidR="002D35D8" w:rsidRPr="003C68F0">
        <w:rPr>
          <w:rFonts w:ascii="Calibri" w:hAnsi="Calibri" w:cs="Calibri"/>
          <w:color w:val="000000" w:themeColor="text1"/>
          <w:sz w:val="20"/>
          <w:szCs w:val="20"/>
        </w:rPr>
        <w:t xml:space="preserve">Of the </w:t>
      </w:r>
      <w:r w:rsidR="00CE60CC">
        <w:rPr>
          <w:rFonts w:ascii="Calibri" w:hAnsi="Calibri" w:cs="Calibri"/>
          <w:color w:val="C00000"/>
          <w:sz w:val="20"/>
          <w:szCs w:val="20"/>
        </w:rPr>
        <w:t>two</w:t>
      </w:r>
      <w:r w:rsidR="002D35D8" w:rsidRPr="003C68F0">
        <w:rPr>
          <w:rFonts w:ascii="Calibri" w:hAnsi="Calibri" w:cs="Calibri"/>
          <w:color w:val="000000" w:themeColor="text1"/>
          <w:sz w:val="20"/>
          <w:szCs w:val="20"/>
        </w:rPr>
        <w:t xml:space="preserve"> </w:t>
      </w:r>
      <w:r w:rsidR="00D749EC" w:rsidRPr="003C68F0">
        <w:rPr>
          <w:rFonts w:ascii="Calibri" w:hAnsi="Calibri" w:cs="Calibri"/>
          <w:color w:val="000000" w:themeColor="text1"/>
          <w:sz w:val="20"/>
          <w:szCs w:val="20"/>
        </w:rPr>
        <w:t>responses</w:t>
      </w:r>
      <w:r w:rsidR="002D35D8" w:rsidRPr="003C68F0">
        <w:rPr>
          <w:rFonts w:ascii="Calibri" w:hAnsi="Calibri" w:cs="Calibri"/>
          <w:color w:val="000000" w:themeColor="text1"/>
          <w:sz w:val="20"/>
          <w:szCs w:val="20"/>
        </w:rPr>
        <w:t xml:space="preserve"> during treatment</w:t>
      </w:r>
      <w:r w:rsidR="00FB0B00" w:rsidRPr="003C68F0">
        <w:rPr>
          <w:rFonts w:ascii="Calibri" w:hAnsi="Calibri" w:cs="Calibri"/>
          <w:color w:val="000000" w:themeColor="text1"/>
          <w:sz w:val="20"/>
          <w:szCs w:val="20"/>
        </w:rPr>
        <w:t xml:space="preserve">, </w:t>
      </w:r>
      <w:r w:rsidR="00B049F9" w:rsidRPr="003C68F0">
        <w:rPr>
          <w:rFonts w:ascii="Calibri" w:hAnsi="Calibri" w:cs="Calibri"/>
          <w:color w:val="000000" w:themeColor="text1"/>
          <w:sz w:val="20"/>
          <w:szCs w:val="20"/>
        </w:rPr>
        <w:t xml:space="preserve">DOR was 57 and 62 days. </w:t>
      </w:r>
      <w:r w:rsidR="00964CC5" w:rsidRPr="003C68F0">
        <w:rPr>
          <w:rFonts w:ascii="Calibri" w:hAnsi="Calibri" w:cs="Calibri"/>
          <w:color w:val="000000" w:themeColor="text1"/>
          <w:sz w:val="20"/>
          <w:szCs w:val="20"/>
        </w:rPr>
        <w:t xml:space="preserve">The </w:t>
      </w:r>
      <w:r w:rsidR="00EF3111" w:rsidRPr="003C68F0">
        <w:rPr>
          <w:rFonts w:ascii="Calibri" w:hAnsi="Calibri" w:cs="Calibri"/>
          <w:color w:val="000000" w:themeColor="text1"/>
          <w:sz w:val="20"/>
          <w:szCs w:val="20"/>
        </w:rPr>
        <w:t>median duration of response or stable disease across the trial duration was 153 days (95% CI 112</w:t>
      </w:r>
      <w:r w:rsidR="00F87789" w:rsidRPr="003C68F0">
        <w:rPr>
          <w:rFonts w:ascii="Calibri" w:hAnsi="Calibri" w:cs="Calibri"/>
          <w:color w:val="000000" w:themeColor="text1"/>
          <w:sz w:val="20"/>
          <w:szCs w:val="20"/>
        </w:rPr>
        <w:t>-NR</w:t>
      </w:r>
      <w:r w:rsidR="00EF3111" w:rsidRPr="003C68F0">
        <w:rPr>
          <w:rFonts w:ascii="Calibri" w:hAnsi="Calibri" w:cs="Calibri"/>
          <w:color w:val="000000" w:themeColor="text1"/>
          <w:sz w:val="20"/>
          <w:szCs w:val="20"/>
        </w:rPr>
        <w:t>)</w:t>
      </w:r>
      <w:r w:rsidR="00D35763" w:rsidRPr="003C68F0">
        <w:rPr>
          <w:rFonts w:ascii="Calibri" w:hAnsi="Calibri" w:cs="Calibri"/>
          <w:color w:val="000000" w:themeColor="text1"/>
          <w:sz w:val="20"/>
          <w:szCs w:val="20"/>
        </w:rPr>
        <w:t xml:space="preserve">. </w:t>
      </w:r>
      <w:r w:rsidR="00B049F9" w:rsidRPr="003C68F0">
        <w:rPr>
          <w:rFonts w:ascii="Calibri" w:hAnsi="Calibri" w:cs="Calibri"/>
          <w:color w:val="000000" w:themeColor="text1"/>
          <w:sz w:val="20"/>
          <w:szCs w:val="20"/>
        </w:rPr>
        <w:t xml:space="preserve">Tumour responses according to PET/CT </w:t>
      </w:r>
      <w:r w:rsidR="006C1873" w:rsidRPr="003C68F0">
        <w:rPr>
          <w:rFonts w:ascii="Calibri" w:hAnsi="Calibri" w:cs="Calibri"/>
          <w:color w:val="000000" w:themeColor="text1"/>
          <w:sz w:val="20"/>
          <w:szCs w:val="20"/>
        </w:rPr>
        <w:t>versus</w:t>
      </w:r>
      <w:r w:rsidR="00B049F9" w:rsidRPr="003C68F0">
        <w:rPr>
          <w:rFonts w:ascii="Calibri" w:hAnsi="Calibri" w:cs="Calibri"/>
          <w:color w:val="000000" w:themeColor="text1"/>
          <w:sz w:val="20"/>
          <w:szCs w:val="20"/>
        </w:rPr>
        <w:t xml:space="preserve"> CT were concordant. </w:t>
      </w:r>
      <w:r w:rsidR="006B0C09" w:rsidRPr="003C68F0">
        <w:rPr>
          <w:rFonts w:ascii="Calibri" w:hAnsi="Calibri" w:cs="Calibri"/>
          <w:color w:val="000000" w:themeColor="text1"/>
          <w:sz w:val="20"/>
          <w:szCs w:val="20"/>
        </w:rPr>
        <w:t>There were no differences noted in tumour volume response according to COO by GEP and IHC</w:t>
      </w:r>
      <w:r w:rsidR="0010363D" w:rsidRPr="003C68F0">
        <w:rPr>
          <w:rFonts w:ascii="Calibri" w:hAnsi="Calibri" w:cs="Calibri"/>
          <w:color w:val="000000" w:themeColor="text1"/>
          <w:sz w:val="20"/>
          <w:szCs w:val="20"/>
        </w:rPr>
        <w:t xml:space="preserve"> (Table </w:t>
      </w:r>
      <w:r w:rsidR="003F3A38" w:rsidRPr="003C68F0">
        <w:rPr>
          <w:rFonts w:ascii="Calibri" w:hAnsi="Calibri" w:cs="Calibri"/>
          <w:color w:val="000000" w:themeColor="text1"/>
          <w:sz w:val="20"/>
          <w:szCs w:val="20"/>
        </w:rPr>
        <w:t>1</w:t>
      </w:r>
      <w:r w:rsidR="0010363D" w:rsidRPr="003C68F0">
        <w:rPr>
          <w:rFonts w:ascii="Calibri" w:hAnsi="Calibri" w:cs="Calibri"/>
          <w:color w:val="000000" w:themeColor="text1"/>
          <w:sz w:val="20"/>
          <w:szCs w:val="20"/>
        </w:rPr>
        <w:t>S</w:t>
      </w:r>
      <w:r>
        <w:rPr>
          <w:rFonts w:ascii="Calibri" w:hAnsi="Calibri" w:cs="Calibri"/>
          <w:color w:val="000000" w:themeColor="text1"/>
          <w:sz w:val="20"/>
          <w:szCs w:val="20"/>
        </w:rPr>
        <w:t xml:space="preserve"> (Supplementary</w:t>
      </w:r>
      <w:r w:rsidR="0010363D" w:rsidRPr="003C68F0">
        <w:rPr>
          <w:rFonts w:ascii="Calibri" w:hAnsi="Calibri" w:cs="Calibri"/>
          <w:color w:val="000000" w:themeColor="text1"/>
          <w:sz w:val="20"/>
          <w:szCs w:val="20"/>
        </w:rPr>
        <w:t>)</w:t>
      </w:r>
      <w:r w:rsidR="006B0C09" w:rsidRPr="003C68F0">
        <w:rPr>
          <w:rFonts w:ascii="Calibri" w:hAnsi="Calibri" w:cs="Calibri"/>
          <w:color w:val="000000" w:themeColor="text1"/>
          <w:sz w:val="20"/>
          <w:szCs w:val="20"/>
        </w:rPr>
        <w:t>.</w:t>
      </w:r>
    </w:p>
    <w:p w14:paraId="0124A193" w14:textId="77777777" w:rsidR="005C5510" w:rsidRPr="003C68F0" w:rsidRDefault="005C5510" w:rsidP="00B049F9">
      <w:pPr>
        <w:spacing w:line="360" w:lineRule="auto"/>
        <w:rPr>
          <w:rFonts w:ascii="Calibri" w:hAnsi="Calibri" w:cs="Calibri"/>
          <w:sz w:val="20"/>
          <w:szCs w:val="20"/>
        </w:rPr>
      </w:pPr>
    </w:p>
    <w:p w14:paraId="66C923D3" w14:textId="20D4B854" w:rsidR="00E80FE8" w:rsidRPr="003C68F0" w:rsidRDefault="00B049F9" w:rsidP="00B049F9">
      <w:pPr>
        <w:spacing w:line="360" w:lineRule="auto"/>
        <w:rPr>
          <w:rFonts w:ascii="Calibri" w:hAnsi="Calibri" w:cs="Calibri"/>
          <w:sz w:val="20"/>
          <w:szCs w:val="20"/>
        </w:rPr>
      </w:pPr>
      <w:r w:rsidRPr="003C68F0">
        <w:rPr>
          <w:rFonts w:ascii="Calibri" w:hAnsi="Calibri" w:cs="Calibri"/>
          <w:sz w:val="20"/>
          <w:szCs w:val="20"/>
        </w:rPr>
        <w:t>Vistusertib</w:t>
      </w:r>
      <w:r w:rsidR="006C3D49" w:rsidRPr="003C68F0">
        <w:rPr>
          <w:rFonts w:ascii="Calibri" w:hAnsi="Calibri" w:cs="Calibri"/>
          <w:sz w:val="20"/>
          <w:szCs w:val="20"/>
        </w:rPr>
        <w:t>+/-</w:t>
      </w:r>
      <w:r w:rsidR="00DC63A2" w:rsidRPr="003C68F0">
        <w:rPr>
          <w:rFonts w:ascii="Calibri" w:hAnsi="Calibri" w:cs="Calibri"/>
          <w:sz w:val="20"/>
          <w:szCs w:val="20"/>
        </w:rPr>
        <w:t>rituximab</w:t>
      </w:r>
      <w:r w:rsidRPr="003C68F0">
        <w:rPr>
          <w:rFonts w:ascii="Calibri" w:hAnsi="Calibri" w:cs="Calibri"/>
          <w:sz w:val="20"/>
          <w:szCs w:val="20"/>
        </w:rPr>
        <w:t xml:space="preserve"> was well tolerated</w:t>
      </w:r>
      <w:r w:rsidR="00E52569" w:rsidRPr="003C68F0">
        <w:rPr>
          <w:rFonts w:ascii="Calibri" w:hAnsi="Calibri" w:cs="Calibri"/>
          <w:sz w:val="20"/>
          <w:szCs w:val="20"/>
        </w:rPr>
        <w:t xml:space="preserve"> with most AEs occurring in early treatment cycles</w:t>
      </w:r>
      <w:r w:rsidR="006C3D49" w:rsidRPr="003C68F0">
        <w:rPr>
          <w:rFonts w:ascii="Calibri" w:hAnsi="Calibri" w:cs="Calibri"/>
          <w:sz w:val="20"/>
          <w:szCs w:val="20"/>
        </w:rPr>
        <w:t xml:space="preserve"> (Table </w:t>
      </w:r>
      <w:r w:rsidR="003F3A38" w:rsidRPr="003C68F0">
        <w:rPr>
          <w:rFonts w:ascii="Calibri" w:hAnsi="Calibri" w:cs="Calibri"/>
          <w:sz w:val="20"/>
          <w:szCs w:val="20"/>
        </w:rPr>
        <w:t>2</w:t>
      </w:r>
      <w:r w:rsidR="00E52569" w:rsidRPr="003C68F0">
        <w:rPr>
          <w:rFonts w:ascii="Calibri" w:hAnsi="Calibri" w:cs="Calibri"/>
          <w:sz w:val="20"/>
          <w:szCs w:val="20"/>
        </w:rPr>
        <w:t xml:space="preserve">; Table </w:t>
      </w:r>
      <w:r w:rsidR="003F3A38" w:rsidRPr="003C68F0">
        <w:rPr>
          <w:rFonts w:ascii="Calibri" w:hAnsi="Calibri" w:cs="Calibri"/>
          <w:sz w:val="20"/>
          <w:szCs w:val="20"/>
        </w:rPr>
        <w:t>3)</w:t>
      </w:r>
      <w:r w:rsidRPr="003C68F0">
        <w:rPr>
          <w:rFonts w:ascii="Calibri" w:hAnsi="Calibri" w:cs="Calibri"/>
          <w:sz w:val="20"/>
          <w:szCs w:val="20"/>
        </w:rPr>
        <w:t xml:space="preserve">. </w:t>
      </w:r>
      <w:r w:rsidR="00FB0B00" w:rsidRPr="003C68F0">
        <w:rPr>
          <w:rFonts w:ascii="Calibri" w:hAnsi="Calibri" w:cs="Calibri"/>
          <w:sz w:val="20"/>
          <w:szCs w:val="20"/>
        </w:rPr>
        <w:t>Common v</w:t>
      </w:r>
      <w:r w:rsidRPr="003C68F0">
        <w:rPr>
          <w:rFonts w:ascii="Calibri" w:hAnsi="Calibri" w:cs="Calibri"/>
          <w:sz w:val="20"/>
          <w:szCs w:val="20"/>
        </w:rPr>
        <w:t>istusertib-related</w:t>
      </w:r>
      <w:r w:rsidRPr="003C68F0">
        <w:rPr>
          <w:rFonts w:ascii="Calibri" w:hAnsi="Calibri" w:cs="Calibri"/>
          <w:sz w:val="20"/>
          <w:szCs w:val="20"/>
          <w:shd w:val="clear" w:color="auto" w:fill="FFFFFF"/>
        </w:rPr>
        <w:t xml:space="preserve"> AE</w:t>
      </w:r>
      <w:r w:rsidR="00FB0B00" w:rsidRPr="003C68F0">
        <w:rPr>
          <w:rFonts w:ascii="Calibri" w:hAnsi="Calibri" w:cs="Calibri"/>
          <w:sz w:val="20"/>
          <w:szCs w:val="20"/>
          <w:shd w:val="clear" w:color="auto" w:fill="FFFFFF"/>
        </w:rPr>
        <w:t>s</w:t>
      </w:r>
      <w:r w:rsidR="006C3D49" w:rsidRPr="003C68F0">
        <w:rPr>
          <w:rFonts w:ascii="Calibri" w:hAnsi="Calibri" w:cs="Calibri"/>
          <w:sz w:val="20"/>
          <w:szCs w:val="20"/>
          <w:shd w:val="clear" w:color="auto" w:fill="FFFFFF"/>
        </w:rPr>
        <w:t xml:space="preserve"> </w:t>
      </w:r>
      <w:r w:rsidRPr="003C68F0">
        <w:rPr>
          <w:rFonts w:ascii="Calibri" w:hAnsi="Calibri" w:cs="Calibri"/>
          <w:sz w:val="20"/>
          <w:szCs w:val="20"/>
          <w:shd w:val="clear" w:color="auto" w:fill="FFFFFF"/>
        </w:rPr>
        <w:t>were: nausea (4</w:t>
      </w:r>
      <w:r w:rsidR="00B604FB" w:rsidRPr="003C68F0">
        <w:rPr>
          <w:rFonts w:ascii="Calibri" w:hAnsi="Calibri" w:cs="Calibri"/>
          <w:sz w:val="20"/>
          <w:szCs w:val="20"/>
          <w:shd w:val="clear" w:color="auto" w:fill="FFFFFF"/>
        </w:rPr>
        <w:t>7</w:t>
      </w:r>
      <w:r w:rsidRPr="003C68F0">
        <w:rPr>
          <w:rFonts w:ascii="Calibri" w:hAnsi="Calibri" w:cs="Calibri"/>
          <w:sz w:val="20"/>
          <w:szCs w:val="20"/>
          <w:shd w:val="clear" w:color="auto" w:fill="FFFFFF"/>
        </w:rPr>
        <w:t xml:space="preserve">% </w:t>
      </w:r>
      <w:r w:rsidR="006C3D49" w:rsidRPr="003C68F0">
        <w:rPr>
          <w:rFonts w:ascii="Calibri" w:hAnsi="Calibri" w:cs="Calibri"/>
          <w:sz w:val="20"/>
          <w:szCs w:val="20"/>
          <w:shd w:val="clear" w:color="auto" w:fill="FFFFFF"/>
        </w:rPr>
        <w:t>G</w:t>
      </w:r>
      <w:r w:rsidRPr="003C68F0">
        <w:rPr>
          <w:rFonts w:ascii="Calibri" w:hAnsi="Calibri" w:cs="Calibri"/>
          <w:sz w:val="20"/>
          <w:szCs w:val="20"/>
          <w:shd w:val="clear" w:color="auto" w:fill="FFFFFF"/>
        </w:rPr>
        <w:t>1-2), diarrhoea (</w:t>
      </w:r>
      <w:r w:rsidR="00B604FB" w:rsidRPr="003C68F0">
        <w:rPr>
          <w:rFonts w:ascii="Calibri" w:hAnsi="Calibri" w:cs="Calibri"/>
          <w:sz w:val="20"/>
          <w:szCs w:val="20"/>
          <w:shd w:val="clear" w:color="auto" w:fill="FFFFFF"/>
        </w:rPr>
        <w:t>27</w:t>
      </w:r>
      <w:r w:rsidRPr="003C68F0">
        <w:rPr>
          <w:rFonts w:ascii="Calibri" w:hAnsi="Calibri" w:cs="Calibri"/>
          <w:sz w:val="20"/>
          <w:szCs w:val="20"/>
          <w:shd w:val="clear" w:color="auto" w:fill="FFFFFF"/>
        </w:rPr>
        <w:t xml:space="preserve">% </w:t>
      </w:r>
      <w:r w:rsidR="006C3D49" w:rsidRPr="003C68F0">
        <w:rPr>
          <w:rFonts w:ascii="Calibri" w:hAnsi="Calibri" w:cs="Calibri"/>
          <w:sz w:val="20"/>
          <w:szCs w:val="20"/>
          <w:shd w:val="clear" w:color="auto" w:fill="FFFFFF"/>
        </w:rPr>
        <w:t>G</w:t>
      </w:r>
      <w:r w:rsidRPr="003C68F0">
        <w:rPr>
          <w:rFonts w:ascii="Calibri" w:hAnsi="Calibri" w:cs="Calibri"/>
          <w:sz w:val="20"/>
          <w:szCs w:val="20"/>
          <w:shd w:val="clear" w:color="auto" w:fill="FFFFFF"/>
        </w:rPr>
        <w:t xml:space="preserve">1-2, </w:t>
      </w:r>
      <w:r w:rsidR="00B604FB" w:rsidRPr="003C68F0">
        <w:rPr>
          <w:rFonts w:ascii="Calibri" w:hAnsi="Calibri" w:cs="Calibri"/>
          <w:sz w:val="20"/>
          <w:szCs w:val="20"/>
          <w:shd w:val="clear" w:color="auto" w:fill="FFFFFF"/>
        </w:rPr>
        <w:t>6</w:t>
      </w:r>
      <w:r w:rsidRPr="003C68F0">
        <w:rPr>
          <w:rFonts w:ascii="Calibri" w:hAnsi="Calibri" w:cs="Calibri"/>
          <w:sz w:val="20"/>
          <w:szCs w:val="20"/>
          <w:shd w:val="clear" w:color="auto" w:fill="FFFFFF"/>
        </w:rPr>
        <w:t xml:space="preserve">% </w:t>
      </w:r>
      <w:r w:rsidR="006C3D49" w:rsidRPr="003C68F0">
        <w:rPr>
          <w:rFonts w:ascii="Calibri" w:hAnsi="Calibri" w:cs="Calibri"/>
          <w:sz w:val="20"/>
          <w:szCs w:val="20"/>
          <w:shd w:val="clear" w:color="auto" w:fill="FFFFFF"/>
        </w:rPr>
        <w:t>G</w:t>
      </w:r>
      <w:r w:rsidRPr="003C68F0">
        <w:rPr>
          <w:rFonts w:ascii="Calibri" w:hAnsi="Calibri" w:cs="Calibri"/>
          <w:sz w:val="20"/>
          <w:szCs w:val="20"/>
          <w:shd w:val="clear" w:color="auto" w:fill="FFFFFF"/>
        </w:rPr>
        <w:t>3), fatigue (3</w:t>
      </w:r>
      <w:r w:rsidR="00B604FB" w:rsidRPr="003C68F0">
        <w:rPr>
          <w:rFonts w:ascii="Calibri" w:hAnsi="Calibri" w:cs="Calibri"/>
          <w:sz w:val="20"/>
          <w:szCs w:val="20"/>
          <w:shd w:val="clear" w:color="auto" w:fill="FFFFFF"/>
        </w:rPr>
        <w:t>0</w:t>
      </w:r>
      <w:r w:rsidRPr="003C68F0">
        <w:rPr>
          <w:rFonts w:ascii="Calibri" w:hAnsi="Calibri" w:cs="Calibri"/>
          <w:sz w:val="20"/>
          <w:szCs w:val="20"/>
          <w:shd w:val="clear" w:color="auto" w:fill="FFFFFF"/>
        </w:rPr>
        <w:t xml:space="preserve">% </w:t>
      </w:r>
      <w:r w:rsidR="006C3D49" w:rsidRPr="003C68F0">
        <w:rPr>
          <w:rFonts w:ascii="Calibri" w:hAnsi="Calibri" w:cs="Calibri"/>
          <w:sz w:val="20"/>
          <w:szCs w:val="20"/>
          <w:shd w:val="clear" w:color="auto" w:fill="FFFFFF"/>
        </w:rPr>
        <w:t>G</w:t>
      </w:r>
      <w:r w:rsidRPr="003C68F0">
        <w:rPr>
          <w:rFonts w:ascii="Calibri" w:hAnsi="Calibri" w:cs="Calibri"/>
          <w:sz w:val="20"/>
          <w:szCs w:val="20"/>
          <w:shd w:val="clear" w:color="auto" w:fill="FFFFFF"/>
        </w:rPr>
        <w:t xml:space="preserve">1-2, </w:t>
      </w:r>
      <w:r w:rsidR="00B604FB" w:rsidRPr="003C68F0">
        <w:rPr>
          <w:rFonts w:ascii="Calibri" w:hAnsi="Calibri" w:cs="Calibri"/>
          <w:sz w:val="20"/>
          <w:szCs w:val="20"/>
          <w:shd w:val="clear" w:color="auto" w:fill="FFFFFF"/>
        </w:rPr>
        <w:t>3</w:t>
      </w:r>
      <w:r w:rsidRPr="003C68F0">
        <w:rPr>
          <w:rFonts w:ascii="Calibri" w:hAnsi="Calibri" w:cs="Calibri"/>
          <w:sz w:val="20"/>
          <w:szCs w:val="20"/>
          <w:shd w:val="clear" w:color="auto" w:fill="FFFFFF"/>
        </w:rPr>
        <w:t xml:space="preserve">% </w:t>
      </w:r>
      <w:r w:rsidR="006C3D49" w:rsidRPr="003C68F0">
        <w:rPr>
          <w:rFonts w:ascii="Calibri" w:hAnsi="Calibri" w:cs="Calibri"/>
          <w:sz w:val="20"/>
          <w:szCs w:val="20"/>
          <w:shd w:val="clear" w:color="auto" w:fill="FFFFFF"/>
        </w:rPr>
        <w:t>G</w:t>
      </w:r>
      <w:r w:rsidRPr="003C68F0">
        <w:rPr>
          <w:rFonts w:ascii="Calibri" w:hAnsi="Calibri" w:cs="Calibri"/>
          <w:sz w:val="20"/>
          <w:szCs w:val="20"/>
          <w:shd w:val="clear" w:color="auto" w:fill="FFFFFF"/>
        </w:rPr>
        <w:t xml:space="preserve">3), mucositis (25% </w:t>
      </w:r>
      <w:r w:rsidR="006C3D49" w:rsidRPr="003C68F0">
        <w:rPr>
          <w:rFonts w:ascii="Calibri" w:hAnsi="Calibri" w:cs="Calibri"/>
          <w:sz w:val="20"/>
          <w:szCs w:val="20"/>
          <w:shd w:val="clear" w:color="auto" w:fill="FFFFFF"/>
        </w:rPr>
        <w:t>G</w:t>
      </w:r>
      <w:r w:rsidRPr="003C68F0">
        <w:rPr>
          <w:rFonts w:ascii="Calibri" w:hAnsi="Calibri" w:cs="Calibri"/>
          <w:sz w:val="20"/>
          <w:szCs w:val="20"/>
          <w:shd w:val="clear" w:color="auto" w:fill="FFFFFF"/>
        </w:rPr>
        <w:t xml:space="preserve">1-2, </w:t>
      </w:r>
      <w:r w:rsidR="00B604FB" w:rsidRPr="003C68F0">
        <w:rPr>
          <w:rFonts w:ascii="Calibri" w:hAnsi="Calibri" w:cs="Calibri"/>
          <w:sz w:val="20"/>
          <w:szCs w:val="20"/>
          <w:shd w:val="clear" w:color="auto" w:fill="FFFFFF"/>
        </w:rPr>
        <w:t>6</w:t>
      </w:r>
      <w:r w:rsidRPr="003C68F0">
        <w:rPr>
          <w:rFonts w:ascii="Calibri" w:hAnsi="Calibri" w:cs="Calibri"/>
          <w:sz w:val="20"/>
          <w:szCs w:val="20"/>
          <w:shd w:val="clear" w:color="auto" w:fill="FFFFFF"/>
        </w:rPr>
        <w:t xml:space="preserve">% </w:t>
      </w:r>
      <w:r w:rsidR="006C3D49" w:rsidRPr="003C68F0">
        <w:rPr>
          <w:rFonts w:ascii="Calibri" w:hAnsi="Calibri" w:cs="Calibri"/>
          <w:sz w:val="20"/>
          <w:szCs w:val="20"/>
          <w:shd w:val="clear" w:color="auto" w:fill="FFFFFF"/>
        </w:rPr>
        <w:t>G</w:t>
      </w:r>
      <w:r w:rsidRPr="003C68F0">
        <w:rPr>
          <w:rFonts w:ascii="Calibri" w:hAnsi="Calibri" w:cs="Calibri"/>
          <w:sz w:val="20"/>
          <w:szCs w:val="20"/>
          <w:shd w:val="clear" w:color="auto" w:fill="FFFFFF"/>
        </w:rPr>
        <w:t>3),</w:t>
      </w:r>
      <w:r w:rsidR="00B604FB" w:rsidRPr="003C68F0">
        <w:rPr>
          <w:rFonts w:ascii="Calibri" w:hAnsi="Calibri" w:cs="Calibri"/>
          <w:sz w:val="20"/>
          <w:szCs w:val="20"/>
          <w:shd w:val="clear" w:color="auto" w:fill="FFFFFF"/>
        </w:rPr>
        <w:t xml:space="preserve"> vomiting (17% G1-2)</w:t>
      </w:r>
      <w:r w:rsidRPr="003C68F0">
        <w:rPr>
          <w:rFonts w:ascii="Calibri" w:hAnsi="Calibri" w:cs="Calibri"/>
          <w:sz w:val="20"/>
          <w:szCs w:val="20"/>
          <w:shd w:val="clear" w:color="auto" w:fill="FFFFFF"/>
        </w:rPr>
        <w:t xml:space="preserve"> </w:t>
      </w:r>
      <w:r w:rsidR="00FB0B00" w:rsidRPr="003C68F0">
        <w:rPr>
          <w:rFonts w:ascii="Calibri" w:hAnsi="Calibri" w:cs="Calibri"/>
          <w:sz w:val="20"/>
          <w:szCs w:val="20"/>
          <w:shd w:val="clear" w:color="auto" w:fill="FFFFFF"/>
        </w:rPr>
        <w:t xml:space="preserve">and </w:t>
      </w:r>
      <w:r w:rsidR="00B604FB" w:rsidRPr="003C68F0">
        <w:rPr>
          <w:rFonts w:ascii="Calibri" w:hAnsi="Calibri" w:cs="Calibri"/>
          <w:sz w:val="20"/>
          <w:szCs w:val="20"/>
          <w:shd w:val="clear" w:color="auto" w:fill="FFFFFF"/>
        </w:rPr>
        <w:t>dyspepsia</w:t>
      </w:r>
      <w:r w:rsidRPr="003C68F0">
        <w:rPr>
          <w:rFonts w:ascii="Calibri" w:hAnsi="Calibri" w:cs="Calibri"/>
          <w:sz w:val="20"/>
          <w:szCs w:val="20"/>
          <w:shd w:val="clear" w:color="auto" w:fill="FFFFFF"/>
        </w:rPr>
        <w:t xml:space="preserve"> (</w:t>
      </w:r>
      <w:r w:rsidR="00B604FB" w:rsidRPr="003C68F0">
        <w:rPr>
          <w:rFonts w:ascii="Calibri" w:hAnsi="Calibri" w:cs="Calibri"/>
          <w:sz w:val="20"/>
          <w:szCs w:val="20"/>
          <w:shd w:val="clear" w:color="auto" w:fill="FFFFFF"/>
        </w:rPr>
        <w:t>14</w:t>
      </w:r>
      <w:r w:rsidRPr="003C68F0">
        <w:rPr>
          <w:rFonts w:ascii="Calibri" w:hAnsi="Calibri" w:cs="Calibri"/>
          <w:sz w:val="20"/>
          <w:szCs w:val="20"/>
          <w:shd w:val="clear" w:color="auto" w:fill="FFFFFF"/>
        </w:rPr>
        <w:t xml:space="preserve">% </w:t>
      </w:r>
      <w:r w:rsidR="006C3D49" w:rsidRPr="003C68F0">
        <w:rPr>
          <w:rFonts w:ascii="Calibri" w:hAnsi="Calibri" w:cs="Calibri"/>
          <w:sz w:val="20"/>
          <w:szCs w:val="20"/>
          <w:shd w:val="clear" w:color="auto" w:fill="FFFFFF"/>
        </w:rPr>
        <w:t>G</w:t>
      </w:r>
      <w:r w:rsidR="00FB0B00" w:rsidRPr="003C68F0">
        <w:rPr>
          <w:rFonts w:ascii="Calibri" w:hAnsi="Calibri" w:cs="Calibri"/>
          <w:sz w:val="20"/>
          <w:szCs w:val="20"/>
          <w:shd w:val="clear" w:color="auto" w:fill="FFFFFF"/>
        </w:rPr>
        <w:t>1-2</w:t>
      </w:r>
      <w:r w:rsidRPr="003C68F0">
        <w:rPr>
          <w:rFonts w:ascii="Calibri" w:hAnsi="Calibri" w:cs="Calibri"/>
          <w:sz w:val="20"/>
          <w:szCs w:val="20"/>
          <w:shd w:val="clear" w:color="auto" w:fill="FFFFFF"/>
        </w:rPr>
        <w:t xml:space="preserve">). </w:t>
      </w:r>
      <w:r w:rsidR="00CA5718" w:rsidRPr="003C68F0">
        <w:rPr>
          <w:rFonts w:ascii="Calibri" w:hAnsi="Calibri" w:cs="Calibri"/>
          <w:sz w:val="20"/>
          <w:szCs w:val="20"/>
        </w:rPr>
        <w:t>86%</w:t>
      </w:r>
      <w:r w:rsidRPr="003C68F0">
        <w:rPr>
          <w:rFonts w:ascii="Calibri" w:hAnsi="Calibri" w:cs="Calibri"/>
          <w:sz w:val="20"/>
          <w:szCs w:val="20"/>
        </w:rPr>
        <w:t xml:space="preserve"> of </w:t>
      </w:r>
      <w:r w:rsidR="00B604FB" w:rsidRPr="003C68F0">
        <w:rPr>
          <w:rFonts w:ascii="Calibri" w:hAnsi="Calibri" w:cs="Calibri"/>
          <w:sz w:val="20"/>
          <w:szCs w:val="20"/>
        </w:rPr>
        <w:t xml:space="preserve">all </w:t>
      </w:r>
      <w:r w:rsidRPr="003C68F0">
        <w:rPr>
          <w:rFonts w:ascii="Calibri" w:hAnsi="Calibri" w:cs="Calibri"/>
          <w:sz w:val="20"/>
          <w:szCs w:val="20"/>
        </w:rPr>
        <w:t xml:space="preserve">AEs were </w:t>
      </w:r>
      <w:r w:rsidR="006C3D49" w:rsidRPr="003C68F0">
        <w:rPr>
          <w:rFonts w:ascii="Calibri" w:hAnsi="Calibri" w:cs="Calibri"/>
          <w:sz w:val="20"/>
          <w:szCs w:val="20"/>
        </w:rPr>
        <w:t>G</w:t>
      </w:r>
      <w:r w:rsidRPr="003C68F0">
        <w:rPr>
          <w:rFonts w:ascii="Calibri" w:hAnsi="Calibri" w:cs="Calibri"/>
          <w:sz w:val="20"/>
          <w:szCs w:val="20"/>
        </w:rPr>
        <w:t xml:space="preserve">1-2 and were manageable. </w:t>
      </w:r>
      <w:r w:rsidR="003A7EC7" w:rsidRPr="003C68F0">
        <w:rPr>
          <w:rFonts w:ascii="Calibri" w:hAnsi="Calibri" w:cs="Calibri"/>
          <w:sz w:val="20"/>
          <w:szCs w:val="20"/>
        </w:rPr>
        <w:t xml:space="preserve">One </w:t>
      </w:r>
      <w:r w:rsidRPr="003C68F0">
        <w:rPr>
          <w:rFonts w:ascii="Calibri" w:hAnsi="Calibri" w:cs="Calibri"/>
          <w:sz w:val="20"/>
          <w:szCs w:val="20"/>
        </w:rPr>
        <w:t xml:space="preserve">patient developed </w:t>
      </w:r>
      <w:r w:rsidR="006C1873" w:rsidRPr="003C68F0">
        <w:rPr>
          <w:rFonts w:ascii="Calibri" w:hAnsi="Calibri" w:cs="Calibri"/>
          <w:sz w:val="20"/>
          <w:szCs w:val="20"/>
        </w:rPr>
        <w:t xml:space="preserve">reversible </w:t>
      </w:r>
      <w:r w:rsidR="006C3D49" w:rsidRPr="003C68F0">
        <w:rPr>
          <w:rFonts w:ascii="Calibri" w:hAnsi="Calibri" w:cs="Calibri"/>
          <w:sz w:val="20"/>
          <w:szCs w:val="20"/>
        </w:rPr>
        <w:t>G</w:t>
      </w:r>
      <w:r w:rsidRPr="003C68F0">
        <w:rPr>
          <w:rFonts w:ascii="Calibri" w:hAnsi="Calibri" w:cs="Calibri"/>
          <w:sz w:val="20"/>
          <w:szCs w:val="20"/>
        </w:rPr>
        <w:t xml:space="preserve">4 thrombocytopenia </w:t>
      </w:r>
      <w:r w:rsidR="006C1873" w:rsidRPr="003C68F0">
        <w:rPr>
          <w:rFonts w:ascii="Calibri" w:hAnsi="Calibri" w:cs="Calibri"/>
          <w:sz w:val="20"/>
          <w:szCs w:val="20"/>
        </w:rPr>
        <w:t>managed by</w:t>
      </w:r>
      <w:r w:rsidR="004D61A8" w:rsidRPr="003C68F0">
        <w:rPr>
          <w:rFonts w:ascii="Calibri" w:hAnsi="Calibri" w:cs="Calibri"/>
          <w:sz w:val="20"/>
          <w:szCs w:val="20"/>
        </w:rPr>
        <w:t xml:space="preserve"> </w:t>
      </w:r>
      <w:r w:rsidRPr="003C68F0">
        <w:rPr>
          <w:rFonts w:ascii="Calibri" w:hAnsi="Calibri" w:cs="Calibri"/>
          <w:sz w:val="20"/>
          <w:szCs w:val="20"/>
        </w:rPr>
        <w:t xml:space="preserve">temporary vistusertib cessation and dose reduction. </w:t>
      </w:r>
      <w:r w:rsidR="003A7EC7" w:rsidRPr="003C68F0">
        <w:rPr>
          <w:rFonts w:ascii="Calibri" w:hAnsi="Calibri" w:cs="Calibri"/>
          <w:sz w:val="20"/>
          <w:szCs w:val="20"/>
        </w:rPr>
        <w:t xml:space="preserve">Two </w:t>
      </w:r>
      <w:r w:rsidRPr="003C68F0">
        <w:rPr>
          <w:rFonts w:ascii="Calibri" w:hAnsi="Calibri" w:cs="Calibri"/>
          <w:sz w:val="20"/>
          <w:szCs w:val="20"/>
        </w:rPr>
        <w:t xml:space="preserve">patients developed </w:t>
      </w:r>
      <w:r w:rsidR="006C3D49" w:rsidRPr="003C68F0">
        <w:rPr>
          <w:rFonts w:ascii="Calibri" w:hAnsi="Calibri" w:cs="Calibri"/>
          <w:sz w:val="20"/>
          <w:szCs w:val="20"/>
        </w:rPr>
        <w:t>G</w:t>
      </w:r>
      <w:r w:rsidRPr="003C68F0">
        <w:rPr>
          <w:rFonts w:ascii="Calibri" w:hAnsi="Calibri" w:cs="Calibri"/>
          <w:sz w:val="20"/>
          <w:szCs w:val="20"/>
        </w:rPr>
        <w:t xml:space="preserve">4 neutropenia, managed with G-CSF, temporary vistusertib cessation and dose reduction. </w:t>
      </w:r>
      <w:r w:rsidR="00583435" w:rsidRPr="003C68F0">
        <w:rPr>
          <w:rFonts w:ascii="Calibri" w:hAnsi="Calibri" w:cs="Calibri"/>
          <w:sz w:val="20"/>
          <w:szCs w:val="20"/>
        </w:rPr>
        <w:t>T</w:t>
      </w:r>
      <w:r w:rsidRPr="003C68F0">
        <w:rPr>
          <w:rFonts w:ascii="Calibri" w:hAnsi="Calibri" w:cs="Calibri"/>
          <w:sz w:val="20"/>
          <w:szCs w:val="20"/>
        </w:rPr>
        <w:t xml:space="preserve">he trial passed the interim </w:t>
      </w:r>
      <w:r w:rsidR="00583435" w:rsidRPr="003C68F0">
        <w:rPr>
          <w:rFonts w:ascii="Calibri" w:hAnsi="Calibri" w:cs="Calibri"/>
          <w:sz w:val="20"/>
          <w:szCs w:val="20"/>
        </w:rPr>
        <w:t xml:space="preserve">toxicity </w:t>
      </w:r>
      <w:r w:rsidRPr="003C68F0">
        <w:rPr>
          <w:rFonts w:ascii="Calibri" w:hAnsi="Calibri" w:cs="Calibri"/>
          <w:sz w:val="20"/>
          <w:szCs w:val="20"/>
        </w:rPr>
        <w:t>assessment.</w:t>
      </w:r>
    </w:p>
    <w:p w14:paraId="2E9FDD8F" w14:textId="05B98279" w:rsidR="005C5510" w:rsidRPr="003C68F0" w:rsidRDefault="005C5510" w:rsidP="00B049F9">
      <w:pPr>
        <w:spacing w:line="360" w:lineRule="auto"/>
        <w:rPr>
          <w:rFonts w:ascii="Calibri" w:hAnsi="Calibri" w:cs="Calibri"/>
          <w:sz w:val="20"/>
          <w:szCs w:val="20"/>
        </w:rPr>
      </w:pPr>
    </w:p>
    <w:p w14:paraId="643CA9F3" w14:textId="38B36FD2" w:rsidR="00AB755B" w:rsidRPr="003C68F0" w:rsidRDefault="00AB755B" w:rsidP="00B049F9">
      <w:pPr>
        <w:spacing w:line="360" w:lineRule="auto"/>
        <w:rPr>
          <w:rFonts w:ascii="Calibri" w:hAnsi="Calibri" w:cs="Calibri"/>
          <w:sz w:val="20"/>
          <w:szCs w:val="20"/>
        </w:rPr>
      </w:pPr>
      <w:r w:rsidRPr="003C68F0">
        <w:rPr>
          <w:rFonts w:ascii="Calibri" w:hAnsi="Calibri" w:cs="Calibri"/>
          <w:sz w:val="20"/>
          <w:szCs w:val="20"/>
        </w:rPr>
        <w:lastRenderedPageBreak/>
        <w:t>To assess pharmacodynamic activity of vistusertib</w:t>
      </w:r>
      <w:r w:rsidR="005975B1" w:rsidRPr="003C68F0">
        <w:rPr>
          <w:rFonts w:ascii="Calibri" w:hAnsi="Calibri" w:cs="Calibri"/>
          <w:sz w:val="20"/>
          <w:szCs w:val="20"/>
        </w:rPr>
        <w:t>,</w:t>
      </w:r>
      <w:r w:rsidRPr="003C68F0">
        <w:rPr>
          <w:rFonts w:ascii="Calibri" w:hAnsi="Calibri" w:cs="Calibri"/>
          <w:sz w:val="20"/>
          <w:szCs w:val="20"/>
        </w:rPr>
        <w:t xml:space="preserve"> </w:t>
      </w:r>
      <w:r w:rsidR="005975B1" w:rsidRPr="003C68F0">
        <w:rPr>
          <w:rFonts w:ascii="Calibri" w:hAnsi="Calibri" w:cs="Calibri"/>
          <w:sz w:val="20"/>
          <w:szCs w:val="20"/>
        </w:rPr>
        <w:t>biomarkers of mTORC1</w:t>
      </w:r>
      <w:r w:rsidR="006C1873" w:rsidRPr="003C68F0">
        <w:rPr>
          <w:rFonts w:ascii="Calibri" w:hAnsi="Calibri" w:cs="Calibri"/>
          <w:sz w:val="20"/>
          <w:szCs w:val="20"/>
        </w:rPr>
        <w:t>/</w:t>
      </w:r>
      <w:r w:rsidR="005975B1" w:rsidRPr="003C68F0">
        <w:rPr>
          <w:rFonts w:ascii="Calibri" w:hAnsi="Calibri" w:cs="Calibri"/>
          <w:sz w:val="20"/>
          <w:szCs w:val="20"/>
        </w:rPr>
        <w:t>2 signalling were assessed in pre</w:t>
      </w:r>
      <w:r w:rsidR="005501B1" w:rsidRPr="003C68F0">
        <w:rPr>
          <w:rFonts w:ascii="Calibri" w:hAnsi="Calibri" w:cs="Calibri"/>
          <w:sz w:val="20"/>
          <w:szCs w:val="20"/>
        </w:rPr>
        <w:t>-</w:t>
      </w:r>
      <w:r w:rsidR="005975B1" w:rsidRPr="003C68F0">
        <w:rPr>
          <w:rFonts w:ascii="Calibri" w:hAnsi="Calibri" w:cs="Calibri"/>
          <w:sz w:val="20"/>
          <w:szCs w:val="20"/>
        </w:rPr>
        <w:t xml:space="preserve"> and </w:t>
      </w:r>
      <w:r w:rsidR="00890CD0" w:rsidRPr="003C68F0">
        <w:rPr>
          <w:rFonts w:ascii="Calibri" w:hAnsi="Calibri" w:cs="Calibri"/>
          <w:sz w:val="20"/>
          <w:szCs w:val="20"/>
        </w:rPr>
        <w:t>on</w:t>
      </w:r>
      <w:r w:rsidR="005501B1" w:rsidRPr="003C68F0">
        <w:rPr>
          <w:rFonts w:ascii="Calibri" w:hAnsi="Calibri" w:cs="Calibri"/>
          <w:sz w:val="20"/>
          <w:szCs w:val="20"/>
        </w:rPr>
        <w:t>-</w:t>
      </w:r>
      <w:r w:rsidR="005975B1" w:rsidRPr="003C68F0">
        <w:rPr>
          <w:rFonts w:ascii="Calibri" w:hAnsi="Calibri" w:cs="Calibri"/>
          <w:sz w:val="20"/>
          <w:szCs w:val="20"/>
        </w:rPr>
        <w:t xml:space="preserve">treatment tumour biopsies from </w:t>
      </w:r>
      <w:r w:rsidR="00CE60CC">
        <w:rPr>
          <w:rFonts w:ascii="Calibri" w:hAnsi="Calibri" w:cs="Calibri"/>
          <w:color w:val="C00000"/>
          <w:sz w:val="20"/>
          <w:szCs w:val="20"/>
        </w:rPr>
        <w:t>three</w:t>
      </w:r>
      <w:r w:rsidR="005975B1" w:rsidRPr="003C68F0">
        <w:rPr>
          <w:rFonts w:ascii="Calibri" w:hAnsi="Calibri" w:cs="Calibri"/>
          <w:sz w:val="20"/>
          <w:szCs w:val="20"/>
        </w:rPr>
        <w:t xml:space="preserve"> patients</w:t>
      </w:r>
      <w:r w:rsidR="00251F54" w:rsidRPr="003C68F0">
        <w:rPr>
          <w:rFonts w:ascii="Calibri" w:hAnsi="Calibri" w:cs="Calibri"/>
          <w:sz w:val="20"/>
          <w:szCs w:val="20"/>
        </w:rPr>
        <w:t xml:space="preserve"> using </w:t>
      </w:r>
      <w:r w:rsidR="006C1873" w:rsidRPr="003C68F0">
        <w:rPr>
          <w:rFonts w:ascii="Calibri" w:hAnsi="Calibri" w:cs="Calibri"/>
          <w:sz w:val="20"/>
          <w:szCs w:val="20"/>
        </w:rPr>
        <w:t>IHC</w:t>
      </w:r>
      <w:r w:rsidR="00CD08C0" w:rsidRPr="003C68F0">
        <w:rPr>
          <w:rFonts w:ascii="Calibri" w:hAnsi="Calibri" w:cs="Calibri"/>
          <w:sz w:val="20"/>
          <w:szCs w:val="20"/>
        </w:rPr>
        <w:t xml:space="preserve"> (Fig</w:t>
      </w:r>
      <w:r w:rsidR="000329B6">
        <w:rPr>
          <w:rFonts w:ascii="Calibri" w:hAnsi="Calibri" w:cs="Calibri"/>
          <w:sz w:val="20"/>
          <w:szCs w:val="20"/>
        </w:rPr>
        <w:t>ure</w:t>
      </w:r>
      <w:r w:rsidR="00CD08C0" w:rsidRPr="003C68F0">
        <w:rPr>
          <w:rFonts w:ascii="Calibri" w:hAnsi="Calibri" w:cs="Calibri"/>
          <w:sz w:val="20"/>
          <w:szCs w:val="20"/>
        </w:rPr>
        <w:t xml:space="preserve"> </w:t>
      </w:r>
      <w:r w:rsidR="00E104A9" w:rsidRPr="003C68F0">
        <w:rPr>
          <w:rFonts w:ascii="Calibri" w:hAnsi="Calibri" w:cs="Calibri"/>
          <w:sz w:val="20"/>
          <w:szCs w:val="20"/>
        </w:rPr>
        <w:t>S</w:t>
      </w:r>
      <w:r w:rsidR="00CD08C0" w:rsidRPr="003C68F0">
        <w:rPr>
          <w:rFonts w:ascii="Calibri" w:hAnsi="Calibri" w:cs="Calibri"/>
          <w:sz w:val="20"/>
          <w:szCs w:val="20"/>
        </w:rPr>
        <w:t>1-4</w:t>
      </w:r>
      <w:r w:rsidR="000329B6">
        <w:rPr>
          <w:rFonts w:ascii="Calibri" w:hAnsi="Calibri" w:cs="Calibri"/>
          <w:sz w:val="20"/>
          <w:szCs w:val="20"/>
        </w:rPr>
        <w:t xml:space="preserve"> Supplementary</w:t>
      </w:r>
      <w:r w:rsidR="00CD08C0" w:rsidRPr="003C68F0">
        <w:rPr>
          <w:rFonts w:ascii="Calibri" w:hAnsi="Calibri" w:cs="Calibri"/>
          <w:sz w:val="20"/>
          <w:szCs w:val="20"/>
        </w:rPr>
        <w:t>)</w:t>
      </w:r>
      <w:r w:rsidR="005975B1" w:rsidRPr="003C68F0">
        <w:rPr>
          <w:rFonts w:ascii="Calibri" w:hAnsi="Calibri" w:cs="Calibri"/>
          <w:sz w:val="20"/>
          <w:szCs w:val="20"/>
        </w:rPr>
        <w:t xml:space="preserve">. AKT </w:t>
      </w:r>
      <w:r w:rsidR="005501B1" w:rsidRPr="003C68F0">
        <w:rPr>
          <w:rFonts w:ascii="Calibri" w:hAnsi="Calibri" w:cs="Calibri"/>
          <w:sz w:val="20"/>
          <w:szCs w:val="20"/>
        </w:rPr>
        <w:t xml:space="preserve">phosphorylation </w:t>
      </w:r>
      <w:r w:rsidR="005975B1" w:rsidRPr="003C68F0">
        <w:rPr>
          <w:rFonts w:ascii="Calibri" w:hAnsi="Calibri" w:cs="Calibri"/>
          <w:sz w:val="20"/>
          <w:szCs w:val="20"/>
        </w:rPr>
        <w:t xml:space="preserve">was lower in post-treatment than pre-treatment biopsies in all patients, indicating inhibition of mTORC2.  However, </w:t>
      </w:r>
      <w:r w:rsidR="006C1873" w:rsidRPr="003C68F0">
        <w:rPr>
          <w:rFonts w:ascii="Calibri" w:hAnsi="Calibri" w:cs="Calibri"/>
          <w:sz w:val="20"/>
          <w:szCs w:val="20"/>
        </w:rPr>
        <w:t xml:space="preserve">AKT </w:t>
      </w:r>
      <w:r w:rsidR="005975B1" w:rsidRPr="003C68F0">
        <w:rPr>
          <w:rFonts w:ascii="Calibri" w:hAnsi="Calibri" w:cs="Calibri"/>
          <w:sz w:val="20"/>
          <w:szCs w:val="20"/>
        </w:rPr>
        <w:t xml:space="preserve">phosphorylation was not completely reduced by vistusertib. </w:t>
      </w:r>
      <w:r w:rsidR="00D404D0" w:rsidRPr="003C68F0">
        <w:rPr>
          <w:rFonts w:ascii="Calibri" w:hAnsi="Calibri" w:cs="Calibri"/>
          <w:sz w:val="20"/>
          <w:szCs w:val="20"/>
        </w:rPr>
        <w:t xml:space="preserve">Phosphorylation of another biomarker of mTORC2 activity, PRAS40, was only reduced completely in </w:t>
      </w:r>
      <w:r w:rsidR="00CE60CC" w:rsidRPr="00CE60CC">
        <w:rPr>
          <w:rFonts w:ascii="Calibri" w:hAnsi="Calibri" w:cs="Calibri"/>
          <w:color w:val="C00000"/>
          <w:sz w:val="20"/>
          <w:szCs w:val="20"/>
        </w:rPr>
        <w:t>one</w:t>
      </w:r>
      <w:r w:rsidR="00D404D0" w:rsidRPr="00CE60CC">
        <w:rPr>
          <w:rFonts w:ascii="Calibri" w:hAnsi="Calibri" w:cs="Calibri"/>
          <w:color w:val="C00000"/>
          <w:sz w:val="20"/>
          <w:szCs w:val="20"/>
        </w:rPr>
        <w:t xml:space="preserve"> </w:t>
      </w:r>
      <w:r w:rsidR="00D404D0" w:rsidRPr="003C68F0">
        <w:rPr>
          <w:rFonts w:ascii="Calibri" w:hAnsi="Calibri" w:cs="Calibri"/>
          <w:sz w:val="20"/>
          <w:szCs w:val="20"/>
        </w:rPr>
        <w:t xml:space="preserve">of </w:t>
      </w:r>
      <w:r w:rsidR="00CE60CC">
        <w:rPr>
          <w:rFonts w:ascii="Calibri" w:hAnsi="Calibri" w:cs="Calibri"/>
          <w:color w:val="C00000"/>
          <w:sz w:val="20"/>
          <w:szCs w:val="20"/>
        </w:rPr>
        <w:t>three</w:t>
      </w:r>
      <w:r w:rsidR="00D404D0" w:rsidRPr="003C68F0">
        <w:rPr>
          <w:rFonts w:ascii="Calibri" w:hAnsi="Calibri" w:cs="Calibri"/>
          <w:sz w:val="20"/>
          <w:szCs w:val="20"/>
        </w:rPr>
        <w:t xml:space="preserve"> patient</w:t>
      </w:r>
      <w:r w:rsidR="00983988" w:rsidRPr="003C68F0">
        <w:rPr>
          <w:rFonts w:ascii="Calibri" w:hAnsi="Calibri" w:cs="Calibri"/>
          <w:sz w:val="20"/>
          <w:szCs w:val="20"/>
        </w:rPr>
        <w:t>s</w:t>
      </w:r>
      <w:r w:rsidR="00D404D0" w:rsidRPr="003C68F0">
        <w:rPr>
          <w:rFonts w:ascii="Calibri" w:hAnsi="Calibri" w:cs="Calibri"/>
          <w:sz w:val="20"/>
          <w:szCs w:val="20"/>
        </w:rPr>
        <w:t xml:space="preserve"> and </w:t>
      </w:r>
      <w:r w:rsidR="00983988" w:rsidRPr="003C68F0">
        <w:rPr>
          <w:rFonts w:ascii="Calibri" w:hAnsi="Calibri" w:cs="Calibri"/>
          <w:sz w:val="20"/>
          <w:szCs w:val="20"/>
        </w:rPr>
        <w:t xml:space="preserve">was </w:t>
      </w:r>
      <w:r w:rsidR="00D404D0" w:rsidRPr="003C68F0">
        <w:rPr>
          <w:rFonts w:ascii="Calibri" w:hAnsi="Calibri" w:cs="Calibri"/>
          <w:sz w:val="20"/>
          <w:szCs w:val="20"/>
        </w:rPr>
        <w:t>sub-optimally reduced in a further patient.</w:t>
      </w:r>
      <w:r w:rsidR="008836A0" w:rsidRPr="003C68F0">
        <w:rPr>
          <w:rFonts w:ascii="Calibri" w:hAnsi="Calibri" w:cs="Calibri"/>
          <w:sz w:val="20"/>
          <w:szCs w:val="20"/>
        </w:rPr>
        <w:t xml:space="preserve"> </w:t>
      </w:r>
      <w:r w:rsidR="00983988" w:rsidRPr="003C68F0">
        <w:rPr>
          <w:rFonts w:ascii="Calibri" w:hAnsi="Calibri" w:cs="Calibri"/>
          <w:sz w:val="20"/>
          <w:szCs w:val="20"/>
        </w:rPr>
        <w:t xml:space="preserve">Biomarker analysis of mTORC1 signalling also indicated sub-optimal pathway suppression: pS6 was reduced following vistusertib in tumour biopsies </w:t>
      </w:r>
      <w:r w:rsidR="00890CD0" w:rsidRPr="003C68F0">
        <w:rPr>
          <w:rFonts w:ascii="Calibri" w:hAnsi="Calibri" w:cs="Calibri"/>
          <w:sz w:val="20"/>
          <w:szCs w:val="20"/>
        </w:rPr>
        <w:t>in</w:t>
      </w:r>
      <w:r w:rsidR="00983988" w:rsidRPr="003C68F0">
        <w:rPr>
          <w:rFonts w:ascii="Calibri" w:hAnsi="Calibri" w:cs="Calibri"/>
          <w:sz w:val="20"/>
          <w:szCs w:val="20"/>
        </w:rPr>
        <w:t xml:space="preserve"> </w:t>
      </w:r>
      <w:r w:rsidR="00CE60CC">
        <w:rPr>
          <w:rFonts w:ascii="Calibri" w:hAnsi="Calibri" w:cs="Calibri"/>
          <w:color w:val="C00000"/>
          <w:sz w:val="20"/>
          <w:szCs w:val="20"/>
        </w:rPr>
        <w:t>two</w:t>
      </w:r>
      <w:r w:rsidR="00CE60CC" w:rsidRPr="00CE60CC">
        <w:rPr>
          <w:rFonts w:ascii="Calibri" w:hAnsi="Calibri" w:cs="Calibri"/>
          <w:color w:val="C00000"/>
          <w:sz w:val="20"/>
          <w:szCs w:val="20"/>
        </w:rPr>
        <w:t xml:space="preserve"> </w:t>
      </w:r>
      <w:r w:rsidR="00CE60CC" w:rsidRPr="003C68F0">
        <w:rPr>
          <w:rFonts w:ascii="Calibri" w:hAnsi="Calibri" w:cs="Calibri"/>
          <w:sz w:val="20"/>
          <w:szCs w:val="20"/>
        </w:rPr>
        <w:t xml:space="preserve">of </w:t>
      </w:r>
      <w:r w:rsidR="00CE60CC">
        <w:rPr>
          <w:rFonts w:ascii="Calibri" w:hAnsi="Calibri" w:cs="Calibri"/>
          <w:color w:val="C00000"/>
          <w:sz w:val="20"/>
          <w:szCs w:val="20"/>
        </w:rPr>
        <w:t>three</w:t>
      </w:r>
      <w:r w:rsidR="00CE60CC" w:rsidRPr="003C68F0">
        <w:rPr>
          <w:rFonts w:ascii="Calibri" w:hAnsi="Calibri" w:cs="Calibri"/>
          <w:sz w:val="20"/>
          <w:szCs w:val="20"/>
        </w:rPr>
        <w:t xml:space="preserve"> </w:t>
      </w:r>
      <w:r w:rsidR="00983988" w:rsidRPr="003C68F0">
        <w:rPr>
          <w:rFonts w:ascii="Calibri" w:hAnsi="Calibri" w:cs="Calibri"/>
          <w:sz w:val="20"/>
          <w:szCs w:val="20"/>
        </w:rPr>
        <w:t xml:space="preserve">patients.  </w:t>
      </w:r>
    </w:p>
    <w:p w14:paraId="5F609679" w14:textId="77777777" w:rsidR="00AB755B" w:rsidRPr="003C68F0" w:rsidRDefault="00AB755B" w:rsidP="00B049F9">
      <w:pPr>
        <w:spacing w:line="360" w:lineRule="auto"/>
        <w:rPr>
          <w:rFonts w:ascii="Calibri" w:hAnsi="Calibri" w:cs="Calibri"/>
          <w:sz w:val="20"/>
          <w:szCs w:val="20"/>
        </w:rPr>
      </w:pPr>
    </w:p>
    <w:p w14:paraId="2E554394" w14:textId="77777777" w:rsidR="002F6C55" w:rsidRPr="003C68F0" w:rsidRDefault="002F6C55" w:rsidP="00B70A75">
      <w:pPr>
        <w:spacing w:line="360" w:lineRule="auto"/>
        <w:rPr>
          <w:rFonts w:ascii="Calibri" w:hAnsi="Calibri" w:cs="Calibri"/>
          <w:b/>
          <w:color w:val="000000" w:themeColor="text1"/>
          <w:sz w:val="20"/>
          <w:szCs w:val="20"/>
        </w:rPr>
      </w:pPr>
      <w:r w:rsidRPr="003C68F0">
        <w:rPr>
          <w:rFonts w:ascii="Calibri" w:hAnsi="Calibri" w:cs="Calibri"/>
          <w:b/>
          <w:color w:val="000000" w:themeColor="text1"/>
          <w:sz w:val="20"/>
          <w:szCs w:val="20"/>
        </w:rPr>
        <w:t>Discussion</w:t>
      </w:r>
    </w:p>
    <w:p w14:paraId="0DB68CFF" w14:textId="00DC8B1E" w:rsidR="00B70A75" w:rsidRPr="003C68F0" w:rsidRDefault="00B70A75" w:rsidP="00B70A75">
      <w:pPr>
        <w:spacing w:line="360" w:lineRule="auto"/>
        <w:rPr>
          <w:rFonts w:ascii="Calibri" w:hAnsi="Calibri" w:cs="Calibri"/>
          <w:color w:val="000000" w:themeColor="text1"/>
          <w:sz w:val="20"/>
          <w:szCs w:val="20"/>
        </w:rPr>
      </w:pPr>
      <w:r w:rsidRPr="003C68F0">
        <w:rPr>
          <w:rFonts w:ascii="Calibri" w:hAnsi="Calibri" w:cs="Calibri"/>
          <w:color w:val="000000" w:themeColor="text1"/>
          <w:sz w:val="20"/>
          <w:szCs w:val="20"/>
        </w:rPr>
        <w:t xml:space="preserve">We demonstrated very modest </w:t>
      </w:r>
      <w:r w:rsidR="00F258BD" w:rsidRPr="003C68F0">
        <w:rPr>
          <w:rFonts w:ascii="Calibri" w:hAnsi="Calibri" w:cs="Calibri"/>
          <w:color w:val="000000" w:themeColor="text1"/>
          <w:sz w:val="20"/>
          <w:szCs w:val="20"/>
        </w:rPr>
        <w:t>activity</w:t>
      </w:r>
      <w:r w:rsidRPr="003C68F0">
        <w:rPr>
          <w:rFonts w:ascii="Calibri" w:hAnsi="Calibri" w:cs="Calibri"/>
          <w:color w:val="000000" w:themeColor="text1"/>
          <w:sz w:val="20"/>
          <w:szCs w:val="20"/>
        </w:rPr>
        <w:t xml:space="preserve"> of dual mTORC1/2</w:t>
      </w:r>
      <w:r w:rsidR="000F55C5">
        <w:rPr>
          <w:rFonts w:ascii="Calibri" w:hAnsi="Calibri" w:cs="Calibri"/>
          <w:color w:val="000000" w:themeColor="text1"/>
          <w:sz w:val="20"/>
          <w:szCs w:val="20"/>
        </w:rPr>
        <w:t xml:space="preserve"> </w:t>
      </w:r>
      <w:r w:rsidRPr="003C68F0">
        <w:rPr>
          <w:rFonts w:ascii="Calibri" w:hAnsi="Calibri" w:cs="Calibri"/>
          <w:color w:val="000000" w:themeColor="text1"/>
          <w:sz w:val="20"/>
          <w:szCs w:val="20"/>
        </w:rPr>
        <w:t>i</w:t>
      </w:r>
      <w:r w:rsidR="000F55C5">
        <w:rPr>
          <w:rFonts w:ascii="Calibri" w:hAnsi="Calibri" w:cs="Calibri"/>
          <w:color w:val="000000" w:themeColor="text1"/>
          <w:sz w:val="20"/>
          <w:szCs w:val="20"/>
        </w:rPr>
        <w:t>nhibition</w:t>
      </w:r>
      <w:r w:rsidRPr="003C68F0">
        <w:rPr>
          <w:rFonts w:ascii="Calibri" w:hAnsi="Calibri" w:cs="Calibri"/>
          <w:color w:val="000000" w:themeColor="text1"/>
          <w:sz w:val="20"/>
          <w:szCs w:val="20"/>
        </w:rPr>
        <w:t xml:space="preserve"> in a poor risk R/R DLBCL population</w:t>
      </w:r>
      <w:r w:rsidR="00F62F63" w:rsidRPr="003C68F0">
        <w:rPr>
          <w:rFonts w:ascii="Calibri" w:hAnsi="Calibri" w:cs="Calibri"/>
          <w:color w:val="000000" w:themeColor="text1"/>
          <w:sz w:val="20"/>
          <w:szCs w:val="20"/>
        </w:rPr>
        <w:t xml:space="preserve">. </w:t>
      </w:r>
      <w:r w:rsidRPr="003C68F0">
        <w:rPr>
          <w:rFonts w:ascii="Calibri" w:hAnsi="Calibri" w:cs="Calibri"/>
          <w:color w:val="000000" w:themeColor="text1"/>
          <w:sz w:val="20"/>
          <w:szCs w:val="20"/>
        </w:rPr>
        <w:t xml:space="preserve">Vistusertib demonstrated biological activity according to tumour volume responses; </w:t>
      </w:r>
      <w:r w:rsidR="005A651E" w:rsidRPr="003C68F0">
        <w:rPr>
          <w:rFonts w:ascii="Calibri" w:hAnsi="Calibri" w:cs="Calibri"/>
          <w:color w:val="000000" w:themeColor="text1"/>
          <w:sz w:val="20"/>
          <w:szCs w:val="20"/>
        </w:rPr>
        <w:t>however,</w:t>
      </w:r>
      <w:r w:rsidRPr="003C68F0">
        <w:rPr>
          <w:rFonts w:ascii="Calibri" w:hAnsi="Calibri" w:cs="Calibri"/>
          <w:color w:val="000000" w:themeColor="text1"/>
          <w:sz w:val="20"/>
          <w:szCs w:val="20"/>
        </w:rPr>
        <w:t xml:space="preserve"> </w:t>
      </w:r>
      <w:r w:rsidR="00F62F63" w:rsidRPr="003C68F0">
        <w:rPr>
          <w:rFonts w:ascii="Calibri" w:hAnsi="Calibri" w:cs="Calibri"/>
          <w:color w:val="000000" w:themeColor="text1"/>
          <w:sz w:val="20"/>
          <w:szCs w:val="20"/>
        </w:rPr>
        <w:t>ORR</w:t>
      </w:r>
      <w:r w:rsidR="002206E6" w:rsidRPr="003C68F0">
        <w:rPr>
          <w:rFonts w:ascii="Calibri" w:hAnsi="Calibri" w:cs="Calibri"/>
          <w:color w:val="000000" w:themeColor="text1"/>
          <w:sz w:val="20"/>
          <w:szCs w:val="20"/>
        </w:rPr>
        <w:t xml:space="preserve"> </w:t>
      </w:r>
      <w:r w:rsidR="00890CD0" w:rsidRPr="003C68F0">
        <w:rPr>
          <w:rFonts w:ascii="Calibri" w:hAnsi="Calibri" w:cs="Calibri"/>
          <w:color w:val="000000" w:themeColor="text1"/>
          <w:sz w:val="20"/>
          <w:szCs w:val="20"/>
        </w:rPr>
        <w:t>was</w:t>
      </w:r>
      <w:r w:rsidRPr="003C68F0">
        <w:rPr>
          <w:rFonts w:ascii="Calibri" w:hAnsi="Calibri" w:cs="Calibri"/>
          <w:color w:val="000000" w:themeColor="text1"/>
          <w:sz w:val="20"/>
          <w:szCs w:val="20"/>
        </w:rPr>
        <w:t xml:space="preserve"> low and no</w:t>
      </w:r>
      <w:r w:rsidR="006C1873" w:rsidRPr="003C68F0">
        <w:rPr>
          <w:rFonts w:ascii="Calibri" w:hAnsi="Calibri" w:cs="Calibri"/>
          <w:color w:val="000000" w:themeColor="text1"/>
          <w:sz w:val="20"/>
          <w:szCs w:val="20"/>
        </w:rPr>
        <w:t>n-</w:t>
      </w:r>
      <w:r w:rsidRPr="003C68F0">
        <w:rPr>
          <w:rFonts w:ascii="Calibri" w:hAnsi="Calibri" w:cs="Calibri"/>
          <w:color w:val="000000" w:themeColor="text1"/>
          <w:sz w:val="20"/>
          <w:szCs w:val="20"/>
        </w:rPr>
        <w:t xml:space="preserve">durable. </w:t>
      </w:r>
      <w:r w:rsidR="00491CFD" w:rsidRPr="003C68F0">
        <w:rPr>
          <w:rFonts w:ascii="Calibri" w:hAnsi="Calibri" w:cs="Calibri"/>
          <w:color w:val="000000" w:themeColor="text1"/>
          <w:sz w:val="20"/>
          <w:szCs w:val="20"/>
        </w:rPr>
        <w:t xml:space="preserve">As a comparison, </w:t>
      </w:r>
      <w:r w:rsidRPr="003C68F0">
        <w:rPr>
          <w:rFonts w:ascii="Calibri" w:hAnsi="Calibri" w:cs="Calibri"/>
          <w:color w:val="000000" w:themeColor="text1"/>
          <w:sz w:val="20"/>
          <w:szCs w:val="20"/>
        </w:rPr>
        <w:t>SCHOLAR-1 demonstrated a 26% ORR to a ‘subsequent therapeutic line’ in a similar cohor</w:t>
      </w:r>
      <w:r w:rsidR="00F62F63" w:rsidRPr="003C68F0">
        <w:rPr>
          <w:rFonts w:ascii="Calibri" w:hAnsi="Calibri" w:cs="Calibri"/>
          <w:color w:val="000000" w:themeColor="text1"/>
          <w:sz w:val="20"/>
          <w:szCs w:val="20"/>
        </w:rPr>
        <w:t>t</w:t>
      </w:r>
      <w:r w:rsidR="006C1873" w:rsidRPr="003C68F0">
        <w:rPr>
          <w:rFonts w:ascii="Calibri" w:hAnsi="Calibri" w:cs="Calibri"/>
          <w:color w:val="000000" w:themeColor="text1"/>
          <w:sz w:val="20"/>
          <w:szCs w:val="20"/>
        </w:rPr>
        <w:t xml:space="preserve">, </w:t>
      </w:r>
      <w:r w:rsidR="00F62F63" w:rsidRPr="003C68F0">
        <w:rPr>
          <w:rFonts w:ascii="Calibri" w:hAnsi="Calibri" w:cs="Calibri"/>
          <w:color w:val="000000" w:themeColor="text1"/>
          <w:sz w:val="20"/>
          <w:szCs w:val="20"/>
        </w:rPr>
        <w:t>show</w:t>
      </w:r>
      <w:r w:rsidR="006C1873" w:rsidRPr="003C68F0">
        <w:rPr>
          <w:rFonts w:ascii="Calibri" w:hAnsi="Calibri" w:cs="Calibri"/>
          <w:color w:val="000000" w:themeColor="text1"/>
          <w:sz w:val="20"/>
          <w:szCs w:val="20"/>
        </w:rPr>
        <w:t>ing inferior</w:t>
      </w:r>
      <w:r w:rsidRPr="003C68F0">
        <w:rPr>
          <w:rFonts w:ascii="Calibri" w:hAnsi="Calibri" w:cs="Calibri"/>
          <w:color w:val="000000" w:themeColor="text1"/>
          <w:sz w:val="20"/>
          <w:szCs w:val="20"/>
        </w:rPr>
        <w:t xml:space="preserve"> </w:t>
      </w:r>
      <w:r w:rsidR="00F62F63" w:rsidRPr="003C68F0">
        <w:rPr>
          <w:rFonts w:ascii="Calibri" w:hAnsi="Calibri" w:cs="Calibri"/>
          <w:color w:val="000000" w:themeColor="text1"/>
          <w:sz w:val="20"/>
          <w:szCs w:val="20"/>
        </w:rPr>
        <w:t>responses</w:t>
      </w:r>
      <w:r w:rsidRPr="003C68F0">
        <w:rPr>
          <w:rFonts w:ascii="Calibri" w:hAnsi="Calibri" w:cs="Calibri"/>
          <w:color w:val="000000" w:themeColor="text1"/>
          <w:sz w:val="20"/>
          <w:szCs w:val="20"/>
        </w:rPr>
        <w:t xml:space="preserve"> in primary refractory patients compared with those relapsing post-ASCT or after response to prior line(s) (ORR: 20% versus 34% and 26% respectively)</w:t>
      </w:r>
      <w:r w:rsidR="009E24D1">
        <w:rPr>
          <w:rFonts w:ascii="Calibri" w:hAnsi="Calibri" w:cs="Calibri"/>
          <w:color w:val="000000" w:themeColor="text1"/>
          <w:sz w:val="20"/>
          <w:szCs w:val="20"/>
        </w:rPr>
        <w:t xml:space="preserve"> </w:t>
      </w:r>
      <w:r w:rsidR="00633C41" w:rsidRPr="003C68F0">
        <w:rPr>
          <w:rFonts w:ascii="Calibri" w:hAnsi="Calibri" w:cs="Calibri"/>
          <w:color w:val="000000" w:themeColor="text1"/>
          <w:sz w:val="20"/>
          <w:szCs w:val="20"/>
        </w:rPr>
        <w:fldChar w:fldCharType="begin" w:fldLock="1"/>
      </w:r>
      <w:r w:rsidR="008836A0" w:rsidRPr="003C68F0">
        <w:rPr>
          <w:rFonts w:ascii="Calibri" w:hAnsi="Calibri" w:cs="Calibri"/>
          <w:color w:val="000000" w:themeColor="text1"/>
          <w:sz w:val="20"/>
          <w:szCs w:val="20"/>
        </w:rPr>
        <w:instrText>ADDIN CSL_CITATION {"citationItems":[{"id":"ITEM-1","itemData":{"DOI":"10.1182/blood-2017-03-769620","ISBN":"0006-4971","ISSN":"15280020","PMID":"28774879","abstract":"Diffuse large B-cell lymphoma (DLBCL) is the most common subtype of non-Hodgkin lymphoma. Although 5-year survival rates in the first-line setting range from 60% to 70%, up to 50% of patients become refractory to or relapse after treatment. Published analyses of large-scale outcome data from patients with refractory DLBCL are limited. SCHOLAR-1, an international, multicohort retrospective non-Hodgkin lymphoma research study, retrospectively evaluated outcomes in patients with refractory DLBCL which, for this study, was defined as progressive disease or stable disease as best response at any point during chemotherapy (&gt;4 cycles of first-line or 2 cycles of later-line therapy) or relapsed at ≤12 months from autologous stem cell transplantation. SCHOLAR-1 pooled data from 2 phase 3 clinical trials (Lymphoma Academic Research Organization-CORAL and Canadian Cancer Trials Group LY.12) and 2 observational cohorts (MD Anderson Cancer Center and University of Iowa/Mayo Clinic Lymphoma Specialized Program of Research Excellence). Response rates and overall survival were estimated from the time of initiation of salvage therapy for refractory disease. Among 861 patients, 636 were included on the basis of refractory disease inclusion criteria. For patients with refractory DLBCL, the objective response rate was 26% (complete response rate, 7%) to the next line of therapy, and the median overall survival was 6.3 months. Twenty percent of patients were alive at 2 years. Outcomes were consistently poor across patient subgroups and study cohorts. SCHOLAR-1 is the largest patient-level pooled retrospective analysis to characterize response rates and survival for a population of patients with refractory DLBCL.","author":[{"dropping-particle":"","family":"Crump","given":"Michael","non-dropping-particle":"","parse-names":false,"suffix":""},{"dropping-particle":"","family":"Neelapu","given":"Sattva S.","non-dropping-particle":"","parse-names":false,"suffix":""},{"dropping-particle":"","family":"Farooq","given":"Umar","non-dropping-particle":"","parse-names":false,"suffix":""},{"dropping-particle":"","family":"Neste","given":"Eric","non-dropping-particle":"Van Den","parse-names":false,"suffix":""},{"dropping-particle":"","family":"Kuruvilla","given":"John","non-dropping-particle":"","parse-names":false,"suffix":""},{"dropping-particle":"","family":"Westin","given":"Jason","non-dropping-particle":"","parse-names":false,"suffix":""},{"dropping-particle":"","family":"Link","given":"Brian K.","non-dropping-particle":"","parse-names":false,"suffix":""},{"dropping-particle":"","family":"Hay","given":"Annette","non-dropping-particle":"","parse-names":false,"suffix":""},{"dropping-particle":"","family":"Cerhan","given":"James R.","non-dropping-particle":"","parse-names":false,"suffix":""},{"dropping-particle":"","family":"Zhu","given":"Liting","non-dropping-particle":"","parse-names":false,"suffix":""},{"dropping-particle":"","family":"Boussetta","given":"Sami","non-dropping-particle":"","parse-names":false,"suffix":""},{"dropping-particle":"","family":"Feng","given":"Lei","non-dropping-particle":"","parse-names":false,"suffix":""},{"dropping-particle":"","family":"Maurer","given":"Matthew J.","non-dropping-particle":"","parse-names":false,"suffix":""},{"dropping-particle":"","family":"Navale","given":"Lynn","non-dropping-particle":"","parse-names":false,"suffix":""},{"dropping-particle":"","family":"Wiezorek","given":"Jeff","non-dropping-particle":"","parse-names":false,"suffix":""},{"dropping-particle":"","family":"Go","given":"William Y.","non-dropping-particle":"","parse-names":false,"suffix":""},{"dropping-particle":"","family":"Gisselbrecht","given":"Christian","non-dropping-particle":"","parse-names":false,"suffix":""}],"container-title":"Blood","id":"ITEM-1","issue":"16","issued":{"date-parts":[["2017"]]},"page":"1800-1808","title":"Outcomes in refractory diffuse large B-cell lymphoma: Results from the international SCHOLAR-1 study","type":"article-journal","volume":"130"},"uris":["http://www.mendeley.com/documents/?uuid=c0ecf200-e5e1-43ab-b17d-faaccf7380fc"]}],"mendeley":{"formattedCitation":"&lt;sup&gt;2&lt;/sup&gt;","plainTextFormattedCitation":"2","previouslyFormattedCitation":"&lt;sup&gt;2&lt;/sup&gt;"},"properties":{"noteIndex":0},"schema":"https://github.com/citation-style-language/schema/raw/master/csl-citation.json"}</w:instrText>
      </w:r>
      <w:r w:rsidR="00633C41" w:rsidRPr="003C68F0">
        <w:rPr>
          <w:rFonts w:ascii="Calibri" w:hAnsi="Calibri" w:cs="Calibri"/>
          <w:color w:val="000000" w:themeColor="text1"/>
          <w:sz w:val="20"/>
          <w:szCs w:val="20"/>
        </w:rPr>
        <w:fldChar w:fldCharType="separate"/>
      </w:r>
      <w:r w:rsidR="00633C41" w:rsidRPr="003C68F0">
        <w:rPr>
          <w:rFonts w:ascii="Calibri" w:hAnsi="Calibri" w:cs="Calibri"/>
          <w:noProof/>
          <w:color w:val="000000" w:themeColor="text1"/>
          <w:sz w:val="20"/>
          <w:szCs w:val="20"/>
        </w:rPr>
        <w:t>2</w:t>
      </w:r>
      <w:r w:rsidR="00633C41" w:rsidRPr="003C68F0">
        <w:rPr>
          <w:rFonts w:ascii="Calibri" w:hAnsi="Calibri" w:cs="Calibri"/>
          <w:color w:val="000000" w:themeColor="text1"/>
          <w:sz w:val="20"/>
          <w:szCs w:val="20"/>
        </w:rPr>
        <w:fldChar w:fldCharType="end"/>
      </w:r>
      <w:r w:rsidRPr="003C68F0">
        <w:rPr>
          <w:rFonts w:ascii="Calibri" w:hAnsi="Calibri" w:cs="Calibri"/>
          <w:color w:val="000000" w:themeColor="text1"/>
          <w:sz w:val="20"/>
          <w:szCs w:val="20"/>
        </w:rPr>
        <w:t xml:space="preserve">. </w:t>
      </w:r>
    </w:p>
    <w:p w14:paraId="2E0CCA79" w14:textId="49CAAB51" w:rsidR="00983988" w:rsidRPr="003C68F0" w:rsidRDefault="00983988" w:rsidP="00B70A75">
      <w:pPr>
        <w:spacing w:line="360" w:lineRule="auto"/>
        <w:rPr>
          <w:rFonts w:ascii="Calibri" w:hAnsi="Calibri" w:cs="Calibri"/>
          <w:color w:val="000000" w:themeColor="text1"/>
          <w:sz w:val="20"/>
          <w:szCs w:val="20"/>
        </w:rPr>
      </w:pPr>
    </w:p>
    <w:p w14:paraId="24C1CABB" w14:textId="0CEA1EAE" w:rsidR="003A55F1" w:rsidRPr="003C68F0" w:rsidRDefault="00491CFD" w:rsidP="008836A0">
      <w:pPr>
        <w:spacing w:line="360" w:lineRule="auto"/>
        <w:rPr>
          <w:rFonts w:ascii="Calibri" w:hAnsi="Calibri" w:cs="Calibri"/>
          <w:color w:val="000000" w:themeColor="text1"/>
          <w:sz w:val="20"/>
          <w:szCs w:val="20"/>
        </w:rPr>
      </w:pPr>
      <w:r w:rsidRPr="003C68F0">
        <w:rPr>
          <w:rFonts w:ascii="Calibri" w:hAnsi="Calibri" w:cs="Calibri"/>
          <w:color w:val="000000" w:themeColor="text1"/>
          <w:sz w:val="20"/>
          <w:szCs w:val="20"/>
        </w:rPr>
        <w:t>We could not demonstrate that d</w:t>
      </w:r>
      <w:r w:rsidR="008836A0" w:rsidRPr="003C68F0">
        <w:rPr>
          <w:rFonts w:ascii="Calibri" w:hAnsi="Calibri" w:cs="Calibri"/>
          <w:color w:val="000000" w:themeColor="text1"/>
          <w:sz w:val="20"/>
          <w:szCs w:val="20"/>
        </w:rPr>
        <w:t>ual mTORC1/2</w:t>
      </w:r>
      <w:r w:rsidR="000F55C5">
        <w:rPr>
          <w:rFonts w:ascii="Calibri" w:hAnsi="Calibri" w:cs="Calibri"/>
          <w:color w:val="000000" w:themeColor="text1"/>
          <w:sz w:val="20"/>
          <w:szCs w:val="20"/>
        </w:rPr>
        <w:t xml:space="preserve"> </w:t>
      </w:r>
      <w:r w:rsidR="008836A0" w:rsidRPr="003C68F0">
        <w:rPr>
          <w:rFonts w:ascii="Calibri" w:hAnsi="Calibri" w:cs="Calibri"/>
          <w:color w:val="000000" w:themeColor="text1"/>
          <w:sz w:val="20"/>
          <w:szCs w:val="20"/>
        </w:rPr>
        <w:t>i</w:t>
      </w:r>
      <w:r w:rsidR="000F55C5">
        <w:rPr>
          <w:rFonts w:ascii="Calibri" w:hAnsi="Calibri" w:cs="Calibri"/>
          <w:color w:val="000000" w:themeColor="text1"/>
          <w:sz w:val="20"/>
          <w:szCs w:val="20"/>
        </w:rPr>
        <w:t>nhibition</w:t>
      </w:r>
      <w:r w:rsidR="008836A0" w:rsidRPr="003C68F0">
        <w:rPr>
          <w:rFonts w:ascii="Calibri" w:hAnsi="Calibri" w:cs="Calibri"/>
          <w:color w:val="000000" w:themeColor="text1"/>
          <w:sz w:val="20"/>
          <w:szCs w:val="20"/>
        </w:rPr>
        <w:t xml:space="preserve"> confer</w:t>
      </w:r>
      <w:r w:rsidRPr="003C68F0">
        <w:rPr>
          <w:rFonts w:ascii="Calibri" w:hAnsi="Calibri" w:cs="Calibri"/>
          <w:color w:val="000000" w:themeColor="text1"/>
          <w:sz w:val="20"/>
          <w:szCs w:val="20"/>
        </w:rPr>
        <w:t>red</w:t>
      </w:r>
      <w:r w:rsidR="008836A0" w:rsidRPr="003C68F0">
        <w:rPr>
          <w:rFonts w:ascii="Calibri" w:hAnsi="Calibri" w:cs="Calibri"/>
          <w:color w:val="000000" w:themeColor="text1"/>
          <w:sz w:val="20"/>
          <w:szCs w:val="20"/>
        </w:rPr>
        <w:t xml:space="preserve"> an advantage over mTORC1</w:t>
      </w:r>
      <w:r w:rsidR="000F55C5">
        <w:rPr>
          <w:rFonts w:ascii="Calibri" w:hAnsi="Calibri" w:cs="Calibri"/>
          <w:color w:val="000000" w:themeColor="text1"/>
          <w:sz w:val="20"/>
          <w:szCs w:val="20"/>
        </w:rPr>
        <w:t xml:space="preserve"> </w:t>
      </w:r>
      <w:r w:rsidR="008836A0" w:rsidRPr="003C68F0">
        <w:rPr>
          <w:rFonts w:ascii="Calibri" w:hAnsi="Calibri" w:cs="Calibri"/>
          <w:color w:val="000000" w:themeColor="text1"/>
          <w:sz w:val="20"/>
          <w:szCs w:val="20"/>
        </w:rPr>
        <w:t>i</w:t>
      </w:r>
      <w:r w:rsidR="000F55C5">
        <w:rPr>
          <w:rFonts w:ascii="Calibri" w:hAnsi="Calibri" w:cs="Calibri"/>
          <w:color w:val="000000" w:themeColor="text1"/>
          <w:sz w:val="20"/>
          <w:szCs w:val="20"/>
        </w:rPr>
        <w:t>nhibition</w:t>
      </w:r>
      <w:r w:rsidR="008836A0" w:rsidRPr="003C68F0">
        <w:rPr>
          <w:rFonts w:ascii="Calibri" w:hAnsi="Calibri" w:cs="Calibri"/>
          <w:color w:val="000000" w:themeColor="text1"/>
          <w:sz w:val="20"/>
          <w:szCs w:val="20"/>
        </w:rPr>
        <w:t>. This may have been due to sub-optimal</w:t>
      </w:r>
      <w:r w:rsidR="006C1873" w:rsidRPr="003C68F0">
        <w:rPr>
          <w:rFonts w:ascii="Calibri" w:hAnsi="Calibri" w:cs="Calibri"/>
          <w:color w:val="000000" w:themeColor="text1"/>
          <w:sz w:val="20"/>
          <w:szCs w:val="20"/>
        </w:rPr>
        <w:t xml:space="preserve"> mTORC1/2</w:t>
      </w:r>
      <w:r w:rsidR="008836A0" w:rsidRPr="003C68F0">
        <w:rPr>
          <w:rFonts w:ascii="Calibri" w:hAnsi="Calibri" w:cs="Calibri"/>
          <w:color w:val="000000" w:themeColor="text1"/>
          <w:sz w:val="20"/>
          <w:szCs w:val="20"/>
        </w:rPr>
        <w:t xml:space="preserve"> inhibition</w:t>
      </w:r>
      <w:r w:rsidR="006C1873" w:rsidRPr="003C68F0">
        <w:rPr>
          <w:rFonts w:ascii="Calibri" w:hAnsi="Calibri" w:cs="Calibri"/>
          <w:color w:val="000000" w:themeColor="text1"/>
          <w:sz w:val="20"/>
          <w:szCs w:val="20"/>
        </w:rPr>
        <w:t xml:space="preserve">. </w:t>
      </w:r>
      <w:r w:rsidR="009E24D1">
        <w:rPr>
          <w:rFonts w:ascii="Calibri" w:hAnsi="Calibri" w:cs="Calibri"/>
          <w:color w:val="000000" w:themeColor="text1"/>
          <w:sz w:val="20"/>
          <w:szCs w:val="20"/>
        </w:rPr>
        <w:t xml:space="preserve">It is possible </w:t>
      </w:r>
      <w:r w:rsidR="008836A0" w:rsidRPr="003C68F0">
        <w:rPr>
          <w:rFonts w:ascii="Calibri" w:hAnsi="Calibri" w:cs="Calibri"/>
          <w:color w:val="000000" w:themeColor="text1"/>
          <w:sz w:val="20"/>
          <w:szCs w:val="20"/>
        </w:rPr>
        <w:t xml:space="preserve">that mechanisms other than mTORC2 escape </w:t>
      </w:r>
      <w:r w:rsidRPr="003C68F0">
        <w:rPr>
          <w:rFonts w:ascii="Calibri" w:hAnsi="Calibri" w:cs="Calibri"/>
          <w:color w:val="000000" w:themeColor="text1"/>
          <w:sz w:val="20"/>
          <w:szCs w:val="20"/>
        </w:rPr>
        <w:t xml:space="preserve">that </w:t>
      </w:r>
      <w:r w:rsidR="008836A0" w:rsidRPr="003C68F0">
        <w:rPr>
          <w:rFonts w:ascii="Calibri" w:hAnsi="Calibri" w:cs="Calibri"/>
          <w:color w:val="000000" w:themeColor="text1"/>
          <w:sz w:val="20"/>
          <w:szCs w:val="20"/>
        </w:rPr>
        <w:t>confer resistance to mTORC1</w:t>
      </w:r>
      <w:r w:rsidR="000F55C5">
        <w:rPr>
          <w:rFonts w:ascii="Calibri" w:hAnsi="Calibri" w:cs="Calibri"/>
          <w:color w:val="000000" w:themeColor="text1"/>
          <w:sz w:val="20"/>
          <w:szCs w:val="20"/>
        </w:rPr>
        <w:t xml:space="preserve"> </w:t>
      </w:r>
      <w:r w:rsidR="008836A0" w:rsidRPr="003C68F0">
        <w:rPr>
          <w:rFonts w:ascii="Calibri" w:hAnsi="Calibri" w:cs="Calibri"/>
          <w:color w:val="000000" w:themeColor="text1"/>
          <w:sz w:val="20"/>
          <w:szCs w:val="20"/>
        </w:rPr>
        <w:t>i</w:t>
      </w:r>
      <w:r w:rsidR="000F55C5">
        <w:rPr>
          <w:rFonts w:ascii="Calibri" w:hAnsi="Calibri" w:cs="Calibri"/>
          <w:color w:val="000000" w:themeColor="text1"/>
          <w:sz w:val="20"/>
          <w:szCs w:val="20"/>
        </w:rPr>
        <w:t>nhibition</w:t>
      </w:r>
      <w:r w:rsidR="008836A0" w:rsidRPr="003C68F0">
        <w:rPr>
          <w:rFonts w:ascii="Calibri" w:hAnsi="Calibri" w:cs="Calibri"/>
          <w:color w:val="000000" w:themeColor="text1"/>
          <w:sz w:val="20"/>
          <w:szCs w:val="20"/>
        </w:rPr>
        <w:t xml:space="preserve"> or that mTORC2 resistance may occur to dual mTORC1/2</w:t>
      </w:r>
      <w:r w:rsidR="000F55C5">
        <w:rPr>
          <w:rFonts w:ascii="Calibri" w:hAnsi="Calibri" w:cs="Calibri"/>
          <w:color w:val="000000" w:themeColor="text1"/>
          <w:sz w:val="20"/>
          <w:szCs w:val="20"/>
        </w:rPr>
        <w:t xml:space="preserve"> </w:t>
      </w:r>
      <w:r w:rsidR="000F55C5" w:rsidRPr="003C68F0">
        <w:rPr>
          <w:rFonts w:ascii="Calibri" w:hAnsi="Calibri" w:cs="Calibri"/>
          <w:color w:val="000000" w:themeColor="text1"/>
          <w:sz w:val="20"/>
          <w:szCs w:val="20"/>
        </w:rPr>
        <w:t>i</w:t>
      </w:r>
      <w:r w:rsidR="000F55C5">
        <w:rPr>
          <w:rFonts w:ascii="Calibri" w:hAnsi="Calibri" w:cs="Calibri"/>
          <w:color w:val="000000" w:themeColor="text1"/>
          <w:sz w:val="20"/>
          <w:szCs w:val="20"/>
        </w:rPr>
        <w:t>nhibitor</w:t>
      </w:r>
      <w:r w:rsidR="008836A0" w:rsidRPr="003C68F0">
        <w:rPr>
          <w:rFonts w:ascii="Calibri" w:hAnsi="Calibri" w:cs="Calibri"/>
          <w:color w:val="000000" w:themeColor="text1"/>
          <w:sz w:val="20"/>
          <w:szCs w:val="20"/>
        </w:rPr>
        <w:t xml:space="preserve">. In </w:t>
      </w:r>
      <w:r w:rsidR="006C1873" w:rsidRPr="003C68F0">
        <w:rPr>
          <w:rFonts w:ascii="Calibri" w:hAnsi="Calibri" w:cs="Calibri"/>
          <w:color w:val="000000" w:themeColor="text1"/>
          <w:sz w:val="20"/>
          <w:szCs w:val="20"/>
        </w:rPr>
        <w:t>our</w:t>
      </w:r>
      <w:r w:rsidR="008836A0" w:rsidRPr="003C68F0">
        <w:rPr>
          <w:rFonts w:ascii="Calibri" w:hAnsi="Calibri" w:cs="Calibri"/>
          <w:color w:val="000000" w:themeColor="text1"/>
          <w:sz w:val="20"/>
          <w:szCs w:val="20"/>
        </w:rPr>
        <w:t xml:space="preserve"> study, </w:t>
      </w:r>
      <w:r w:rsidR="00B23522" w:rsidRPr="00B23522">
        <w:rPr>
          <w:rFonts w:ascii="Calibri" w:hAnsi="Calibri" w:cs="Calibri"/>
          <w:color w:val="C00000"/>
          <w:sz w:val="20"/>
          <w:szCs w:val="20"/>
        </w:rPr>
        <w:t xml:space="preserve">we observed that </w:t>
      </w:r>
      <w:r w:rsidR="008836A0" w:rsidRPr="003C68F0">
        <w:rPr>
          <w:rFonts w:ascii="Calibri" w:hAnsi="Calibri" w:cs="Calibri"/>
          <w:color w:val="000000" w:themeColor="text1"/>
          <w:sz w:val="20"/>
          <w:szCs w:val="20"/>
        </w:rPr>
        <w:t>complete inhibition of mTORC1/2 signalling was not achieved. In contra</w:t>
      </w:r>
      <w:r w:rsidR="00B602E8" w:rsidRPr="003C68F0">
        <w:rPr>
          <w:rFonts w:ascii="Calibri" w:hAnsi="Calibri" w:cs="Calibri"/>
          <w:color w:val="000000" w:themeColor="text1"/>
          <w:sz w:val="20"/>
          <w:szCs w:val="20"/>
        </w:rPr>
        <w:t>s</w:t>
      </w:r>
      <w:r w:rsidR="008836A0" w:rsidRPr="003C68F0">
        <w:rPr>
          <w:rFonts w:ascii="Calibri" w:hAnsi="Calibri" w:cs="Calibri"/>
          <w:color w:val="000000" w:themeColor="text1"/>
          <w:sz w:val="20"/>
          <w:szCs w:val="20"/>
        </w:rPr>
        <w:t xml:space="preserve">t, everolimus </w:t>
      </w:r>
      <w:r w:rsidRPr="003C68F0">
        <w:rPr>
          <w:rFonts w:ascii="Calibri" w:hAnsi="Calibri" w:cs="Calibri"/>
          <w:color w:val="000000" w:themeColor="text1"/>
          <w:sz w:val="20"/>
          <w:szCs w:val="20"/>
        </w:rPr>
        <w:t xml:space="preserve">has </w:t>
      </w:r>
      <w:r w:rsidR="008836A0" w:rsidRPr="003C68F0">
        <w:rPr>
          <w:rFonts w:ascii="Calibri" w:hAnsi="Calibri" w:cs="Calibri"/>
          <w:color w:val="000000" w:themeColor="text1"/>
          <w:sz w:val="20"/>
          <w:szCs w:val="20"/>
        </w:rPr>
        <w:t>resulted in near complete</w:t>
      </w:r>
      <w:r w:rsidR="00890CD0" w:rsidRPr="003C68F0">
        <w:rPr>
          <w:rFonts w:ascii="Calibri" w:hAnsi="Calibri" w:cs="Calibri"/>
          <w:color w:val="000000" w:themeColor="text1"/>
          <w:sz w:val="20"/>
          <w:szCs w:val="20"/>
        </w:rPr>
        <w:t xml:space="preserve"> pS6</w:t>
      </w:r>
      <w:r w:rsidR="008836A0" w:rsidRPr="003C68F0">
        <w:rPr>
          <w:rFonts w:ascii="Calibri" w:hAnsi="Calibri" w:cs="Calibri"/>
          <w:color w:val="000000" w:themeColor="text1"/>
          <w:sz w:val="20"/>
          <w:szCs w:val="20"/>
        </w:rPr>
        <w:t xml:space="preserve"> inhibition in a phase I study of advanced solid tumours</w:t>
      </w:r>
      <w:r w:rsidR="00890CD0" w:rsidRPr="003C68F0">
        <w:rPr>
          <w:rFonts w:ascii="Calibri" w:hAnsi="Calibri" w:cs="Calibri"/>
          <w:color w:val="000000" w:themeColor="text1"/>
          <w:sz w:val="20"/>
          <w:szCs w:val="20"/>
        </w:rPr>
        <w:t xml:space="preserve"> patients</w:t>
      </w:r>
      <w:r w:rsidR="00EB2D6D">
        <w:rPr>
          <w:rFonts w:ascii="Calibri" w:hAnsi="Calibri" w:cs="Calibri"/>
          <w:color w:val="000000" w:themeColor="text1"/>
          <w:sz w:val="20"/>
          <w:szCs w:val="20"/>
        </w:rPr>
        <w:t xml:space="preserve"> </w:t>
      </w:r>
      <w:r w:rsidR="008836A0" w:rsidRPr="003C68F0">
        <w:rPr>
          <w:rFonts w:ascii="Calibri" w:hAnsi="Calibri" w:cs="Calibri"/>
          <w:color w:val="000000" w:themeColor="text1"/>
          <w:sz w:val="20"/>
          <w:szCs w:val="20"/>
        </w:rPr>
        <w:fldChar w:fldCharType="begin" w:fldLock="1"/>
      </w:r>
      <w:r w:rsidR="003C68F0" w:rsidRPr="003C68F0">
        <w:rPr>
          <w:rFonts w:ascii="Calibri" w:hAnsi="Calibri" w:cs="Calibri"/>
          <w:color w:val="000000" w:themeColor="text1"/>
          <w:sz w:val="20"/>
          <w:szCs w:val="20"/>
        </w:rPr>
        <w:instrText>ADDIN CSL_CITATION {"citationItems":[{"id":"ITEM-1","itemData":{"DOI":"10.1200/JCO.2007.14.5482","ISBN":"1527-7755 (Electronic) LA - ENG PT - JOURNAL ARTICLE","ISSN":"0732183X","PMID":"18332469","abstract":"Everolimus is a selective mammalian target of rapamycin (mTOR) inhibitor with promising anticancer activity. In order to identify a rationally based dose and schedule for cancer treatment, we have conducted a tumor pharmacodynamic phase I study in patients with advanced solid tumors.","author":[{"dropping-particle":"","family":"Tabernero","given":"Josep","non-dropping-particle":"","parse-names":false,"suffix":""},{"dropping-particle":"","family":"Rojo","given":"Federico","non-dropping-particle":"","parse-names":false,"suffix":""},{"dropping-particle":"","family":"Calvo","given":"Emiliano","non-dropping-particle":"","parse-names":false,"suffix":""},{"dropping-particle":"","family":"Burris","given":"Howard","non-dropping-particle":"","parse-names":false,"suffix":""},{"dropping-particle":"","family":"Judson","given":"Ian","non-dropping-particle":"","parse-names":false,"suffix":""},{"dropping-particle":"","family":"Hazell","given":"Katharine","non-dropping-particle":"","parse-names":false,"suffix":""},{"dropping-particle":"","family":"Martinelli","given":"Erika","non-dropping-particle":"","parse-names":false,"suffix":""},{"dropping-particle":"","family":"Cajal","given":"Santiago Ramon","non-dropping-particle":"","parse-names":false,"suffix":""},{"dropping-particle":"","family":"Jones","given":"Suzanne","non-dropping-particle":"","parse-names":false,"suffix":""},{"dropping-particle":"","family":"Vidal","given":"Laura","non-dropping-particle":"","parse-names":false,"suffix":""},{"dropping-particle":"","family":"Shand","given":"Nicholas","non-dropping-particle":"","parse-names":false,"suffix":""},{"dropping-particle":"","family":"Macarulla","given":"Teresa","non-dropping-particle":"","parse-names":false,"suffix":""},{"dropping-particle":"","family":"Ramos","given":"Francisco Javier","non-dropping-particle":"","parse-names":false,"suffix":""},{"dropping-particle":"","family":"Dimitrijevic","given":"Sasa","non-dropping-particle":"","parse-names":false,"suffix":""},{"dropping-particle":"","family":"Zoellner","given":"Ulrike","non-dropping-particle":"","parse-names":false,"suffix":""},{"dropping-particle":"","family":"Tang","given":"Pui","non-dropping-particle":"","parse-names":false,"suffix":""},{"dropping-particle":"","family":"Stumm","given":"Michael","non-dropping-particle":"","parse-names":false,"suffix":""},{"dropping-particle":"","family":"Lane","given":"Heidi A.","non-dropping-particle":"","parse-names":false,"suffix":""},{"dropping-particle":"","family":"Lebwohl","given":"David","non-dropping-particle":"","parse-names":false,"suffix":""},{"dropping-particle":"","family":"Baselga","given":"José","non-dropping-particle":"","parse-names":false,"suffix":""}],"container-title":"Journal of Clinical Oncology","id":"ITEM-1","issued":{"date-parts":[["2008"]]},"title":"Dose- and schedule-dependent inhibition of the mammalian target of rapamycin pathway with everolimus: A phase I tumor pharmacodynamic study in patients with advanced solid tumors","type":"article-journal"},"uris":["http://www.mendeley.com/documents/?uuid=b5539f0b-cbeb-4b66-9b0b-ec148fc26084"]}],"mendeley":{"formattedCitation":"&lt;sup&gt;14&lt;/sup&gt;","plainTextFormattedCitation":"14","previouslyFormattedCitation":"&lt;sup&gt;14&lt;/sup&gt;"},"properties":{"noteIndex":0},"schema":"https://github.com/citation-style-language/schema/raw/master/csl-citation.json"}</w:instrText>
      </w:r>
      <w:r w:rsidR="008836A0" w:rsidRPr="003C68F0">
        <w:rPr>
          <w:rFonts w:ascii="Calibri" w:hAnsi="Calibri" w:cs="Calibri"/>
          <w:color w:val="000000" w:themeColor="text1"/>
          <w:sz w:val="20"/>
          <w:szCs w:val="20"/>
        </w:rPr>
        <w:fldChar w:fldCharType="separate"/>
      </w:r>
      <w:r w:rsidR="00B065BA" w:rsidRPr="003C68F0">
        <w:rPr>
          <w:rFonts w:ascii="Calibri" w:hAnsi="Calibri" w:cs="Calibri"/>
          <w:noProof/>
          <w:color w:val="000000" w:themeColor="text1"/>
          <w:sz w:val="20"/>
          <w:szCs w:val="20"/>
        </w:rPr>
        <w:t>14</w:t>
      </w:r>
      <w:r w:rsidR="008836A0" w:rsidRPr="003C68F0">
        <w:rPr>
          <w:rFonts w:ascii="Calibri" w:hAnsi="Calibri" w:cs="Calibri"/>
          <w:color w:val="000000" w:themeColor="text1"/>
          <w:sz w:val="20"/>
          <w:szCs w:val="20"/>
        </w:rPr>
        <w:fldChar w:fldCharType="end"/>
      </w:r>
      <w:r w:rsidR="008836A0" w:rsidRPr="003C68F0">
        <w:rPr>
          <w:rFonts w:ascii="Calibri" w:hAnsi="Calibri" w:cs="Calibri"/>
          <w:color w:val="000000" w:themeColor="text1"/>
          <w:sz w:val="20"/>
          <w:szCs w:val="20"/>
        </w:rPr>
        <w:t xml:space="preserve">. </w:t>
      </w:r>
    </w:p>
    <w:p w14:paraId="2CA0EF09" w14:textId="77777777" w:rsidR="003A55F1" w:rsidRPr="003C68F0" w:rsidRDefault="003A55F1" w:rsidP="00B049F9">
      <w:pPr>
        <w:spacing w:line="360" w:lineRule="auto"/>
        <w:rPr>
          <w:rFonts w:ascii="Calibri" w:hAnsi="Calibri" w:cs="Calibri"/>
          <w:color w:val="000000" w:themeColor="text1"/>
          <w:sz w:val="20"/>
          <w:szCs w:val="20"/>
        </w:rPr>
      </w:pPr>
    </w:p>
    <w:p w14:paraId="12F63376" w14:textId="309E0822" w:rsidR="00B049F9" w:rsidRPr="003C68F0" w:rsidRDefault="00B049F9" w:rsidP="00B049F9">
      <w:pPr>
        <w:spacing w:line="360" w:lineRule="auto"/>
        <w:rPr>
          <w:rFonts w:ascii="Calibri" w:hAnsi="Calibri" w:cs="Calibri"/>
          <w:color w:val="000000" w:themeColor="text1"/>
          <w:sz w:val="20"/>
          <w:szCs w:val="20"/>
        </w:rPr>
      </w:pPr>
      <w:r w:rsidRPr="003C68F0">
        <w:rPr>
          <w:rFonts w:ascii="Calibri" w:hAnsi="Calibri" w:cs="Calibri"/>
          <w:color w:val="000000" w:themeColor="text1"/>
          <w:sz w:val="20"/>
          <w:szCs w:val="20"/>
        </w:rPr>
        <w:t>Mec</w:t>
      </w:r>
      <w:r w:rsidR="00583435" w:rsidRPr="003C68F0">
        <w:rPr>
          <w:rFonts w:ascii="Calibri" w:hAnsi="Calibri" w:cs="Calibri"/>
          <w:color w:val="000000" w:themeColor="text1"/>
          <w:sz w:val="20"/>
          <w:szCs w:val="20"/>
        </w:rPr>
        <w:t>hanisms of</w:t>
      </w:r>
      <w:r w:rsidR="004B6FEF" w:rsidRPr="003C68F0">
        <w:rPr>
          <w:rFonts w:ascii="Calibri" w:hAnsi="Calibri" w:cs="Calibri"/>
          <w:color w:val="000000" w:themeColor="text1"/>
          <w:sz w:val="20"/>
          <w:szCs w:val="20"/>
        </w:rPr>
        <w:t xml:space="preserve"> dual</w:t>
      </w:r>
      <w:r w:rsidR="001455F4" w:rsidRPr="003C68F0">
        <w:rPr>
          <w:rFonts w:ascii="Calibri" w:hAnsi="Calibri" w:cs="Calibri"/>
          <w:color w:val="000000" w:themeColor="text1"/>
          <w:sz w:val="20"/>
          <w:szCs w:val="20"/>
        </w:rPr>
        <w:t xml:space="preserve"> mTORC</w:t>
      </w:r>
      <w:r w:rsidR="000F55C5">
        <w:rPr>
          <w:rFonts w:ascii="Calibri" w:hAnsi="Calibri" w:cs="Calibri"/>
          <w:color w:val="000000" w:themeColor="text1"/>
          <w:sz w:val="20"/>
          <w:szCs w:val="20"/>
        </w:rPr>
        <w:t>1/</w:t>
      </w:r>
      <w:r w:rsidR="001455F4" w:rsidRPr="003C68F0">
        <w:rPr>
          <w:rFonts w:ascii="Calibri" w:hAnsi="Calibri" w:cs="Calibri"/>
          <w:color w:val="000000" w:themeColor="text1"/>
          <w:sz w:val="20"/>
          <w:szCs w:val="20"/>
        </w:rPr>
        <w:t>2</w:t>
      </w:r>
      <w:r w:rsidR="000F55C5">
        <w:rPr>
          <w:rFonts w:ascii="Calibri" w:hAnsi="Calibri" w:cs="Calibri"/>
          <w:color w:val="000000" w:themeColor="text1"/>
          <w:sz w:val="20"/>
          <w:szCs w:val="20"/>
        </w:rPr>
        <w:t xml:space="preserve"> </w:t>
      </w:r>
      <w:r w:rsidR="001455F4" w:rsidRPr="003C68F0">
        <w:rPr>
          <w:rFonts w:ascii="Calibri" w:hAnsi="Calibri" w:cs="Calibri"/>
          <w:color w:val="000000" w:themeColor="text1"/>
          <w:sz w:val="20"/>
          <w:szCs w:val="20"/>
        </w:rPr>
        <w:t>i</w:t>
      </w:r>
      <w:r w:rsidR="000F55C5">
        <w:rPr>
          <w:rFonts w:ascii="Calibri" w:hAnsi="Calibri" w:cs="Calibri"/>
          <w:color w:val="000000" w:themeColor="text1"/>
          <w:sz w:val="20"/>
          <w:szCs w:val="20"/>
        </w:rPr>
        <w:t>nhibitor</w:t>
      </w:r>
      <w:r w:rsidR="00583435" w:rsidRPr="003C68F0">
        <w:rPr>
          <w:rFonts w:ascii="Calibri" w:hAnsi="Calibri" w:cs="Calibri"/>
          <w:color w:val="000000" w:themeColor="text1"/>
          <w:sz w:val="20"/>
          <w:szCs w:val="20"/>
        </w:rPr>
        <w:t xml:space="preserve"> resist</w:t>
      </w:r>
      <w:r w:rsidR="001455F4" w:rsidRPr="003C68F0">
        <w:rPr>
          <w:rFonts w:ascii="Calibri" w:hAnsi="Calibri" w:cs="Calibri"/>
          <w:color w:val="000000" w:themeColor="text1"/>
          <w:sz w:val="20"/>
          <w:szCs w:val="20"/>
        </w:rPr>
        <w:t xml:space="preserve">ance </w:t>
      </w:r>
      <w:r w:rsidRPr="003C68F0">
        <w:rPr>
          <w:rFonts w:ascii="Calibri" w:hAnsi="Calibri" w:cs="Calibri"/>
          <w:color w:val="000000" w:themeColor="text1"/>
          <w:sz w:val="20"/>
          <w:szCs w:val="20"/>
        </w:rPr>
        <w:t xml:space="preserve">include activating mutations in the mTOR kinase domain </w:t>
      </w:r>
      <w:r w:rsidR="001455F4" w:rsidRPr="003C68F0">
        <w:rPr>
          <w:rFonts w:ascii="Calibri" w:hAnsi="Calibri" w:cs="Calibri"/>
          <w:color w:val="000000" w:themeColor="text1"/>
          <w:sz w:val="20"/>
          <w:szCs w:val="20"/>
        </w:rPr>
        <w:t xml:space="preserve">rather than </w:t>
      </w:r>
      <w:r w:rsidRPr="003C68F0">
        <w:rPr>
          <w:rFonts w:ascii="Calibri" w:hAnsi="Calibri" w:cs="Calibri"/>
          <w:color w:val="000000" w:themeColor="text1"/>
          <w:sz w:val="20"/>
          <w:szCs w:val="20"/>
        </w:rPr>
        <w:t>drug-binding site</w:t>
      </w:r>
      <w:r w:rsidR="001455F4" w:rsidRPr="003C68F0">
        <w:rPr>
          <w:rFonts w:ascii="Calibri" w:hAnsi="Calibri" w:cs="Calibri"/>
          <w:color w:val="000000" w:themeColor="text1"/>
          <w:sz w:val="20"/>
          <w:szCs w:val="20"/>
        </w:rPr>
        <w:t xml:space="preserve"> mutations</w:t>
      </w:r>
      <w:r w:rsidRPr="003C68F0">
        <w:rPr>
          <w:rFonts w:ascii="Calibri" w:hAnsi="Calibri" w:cs="Calibri"/>
          <w:color w:val="000000" w:themeColor="text1"/>
          <w:sz w:val="20"/>
          <w:szCs w:val="20"/>
        </w:rPr>
        <w:t>, as seen in m</w:t>
      </w:r>
      <w:r w:rsidR="00583435" w:rsidRPr="003C68F0">
        <w:rPr>
          <w:rFonts w:ascii="Calibri" w:hAnsi="Calibri" w:cs="Calibri"/>
          <w:color w:val="000000" w:themeColor="text1"/>
          <w:sz w:val="20"/>
          <w:szCs w:val="20"/>
        </w:rPr>
        <w:t>TORC1</w:t>
      </w:r>
      <w:r w:rsidR="000F55C5">
        <w:rPr>
          <w:rFonts w:ascii="Calibri" w:hAnsi="Calibri" w:cs="Calibri"/>
          <w:color w:val="000000" w:themeColor="text1"/>
          <w:sz w:val="20"/>
          <w:szCs w:val="20"/>
        </w:rPr>
        <w:t xml:space="preserve"> </w:t>
      </w:r>
      <w:r w:rsidR="00583435" w:rsidRPr="003C68F0">
        <w:rPr>
          <w:rFonts w:ascii="Calibri" w:hAnsi="Calibri" w:cs="Calibri"/>
          <w:color w:val="000000" w:themeColor="text1"/>
          <w:sz w:val="20"/>
          <w:szCs w:val="20"/>
        </w:rPr>
        <w:t>i</w:t>
      </w:r>
      <w:r w:rsidR="000F55C5">
        <w:rPr>
          <w:rFonts w:ascii="Calibri" w:hAnsi="Calibri" w:cs="Calibri"/>
          <w:color w:val="000000" w:themeColor="text1"/>
          <w:sz w:val="20"/>
          <w:szCs w:val="20"/>
        </w:rPr>
        <w:t>nhibitor</w:t>
      </w:r>
      <w:r w:rsidR="00583435" w:rsidRPr="003C68F0">
        <w:rPr>
          <w:rFonts w:ascii="Calibri" w:hAnsi="Calibri" w:cs="Calibri"/>
          <w:color w:val="000000" w:themeColor="text1"/>
          <w:sz w:val="20"/>
          <w:szCs w:val="20"/>
        </w:rPr>
        <w:t xml:space="preserve"> </w:t>
      </w:r>
      <w:r w:rsidRPr="003C68F0">
        <w:rPr>
          <w:rFonts w:ascii="Calibri" w:hAnsi="Calibri" w:cs="Calibri"/>
          <w:color w:val="000000" w:themeColor="text1"/>
          <w:sz w:val="20"/>
          <w:szCs w:val="20"/>
        </w:rPr>
        <w:t xml:space="preserve">resistance. Such mutations </w:t>
      </w:r>
      <w:r w:rsidR="006C1873" w:rsidRPr="003C68F0">
        <w:rPr>
          <w:rFonts w:ascii="Calibri" w:hAnsi="Calibri" w:cs="Calibri"/>
          <w:color w:val="000000" w:themeColor="text1"/>
          <w:sz w:val="20"/>
          <w:szCs w:val="20"/>
        </w:rPr>
        <w:t>are</w:t>
      </w:r>
      <w:r w:rsidRPr="003C68F0">
        <w:rPr>
          <w:rFonts w:ascii="Calibri" w:hAnsi="Calibri" w:cs="Calibri"/>
          <w:color w:val="000000" w:themeColor="text1"/>
          <w:sz w:val="20"/>
          <w:szCs w:val="20"/>
        </w:rPr>
        <w:t xml:space="preserve"> identified in drug-naïve </w:t>
      </w:r>
      <w:r w:rsidR="001455F4" w:rsidRPr="003C68F0">
        <w:rPr>
          <w:rFonts w:ascii="Calibri" w:hAnsi="Calibri" w:cs="Calibri"/>
          <w:color w:val="000000" w:themeColor="text1"/>
          <w:sz w:val="20"/>
          <w:szCs w:val="20"/>
        </w:rPr>
        <w:t>and</w:t>
      </w:r>
      <w:r w:rsidRPr="003C68F0">
        <w:rPr>
          <w:rFonts w:ascii="Calibri" w:hAnsi="Calibri" w:cs="Calibri"/>
          <w:color w:val="000000" w:themeColor="text1"/>
          <w:sz w:val="20"/>
          <w:szCs w:val="20"/>
        </w:rPr>
        <w:t xml:space="preserve"> pre-treated patients, suggesting some patients may have intrinsic </w:t>
      </w:r>
      <w:r w:rsidR="001455F4" w:rsidRPr="003C68F0">
        <w:rPr>
          <w:rFonts w:ascii="Calibri" w:hAnsi="Calibri" w:cs="Calibri"/>
          <w:color w:val="000000" w:themeColor="text1"/>
          <w:sz w:val="20"/>
          <w:szCs w:val="20"/>
        </w:rPr>
        <w:t>mTORC</w:t>
      </w:r>
      <w:r w:rsidR="000F55C5">
        <w:rPr>
          <w:rFonts w:ascii="Calibri" w:hAnsi="Calibri" w:cs="Calibri"/>
          <w:color w:val="000000" w:themeColor="text1"/>
          <w:sz w:val="20"/>
          <w:szCs w:val="20"/>
        </w:rPr>
        <w:t xml:space="preserve"> </w:t>
      </w:r>
      <w:r w:rsidR="001455F4" w:rsidRPr="003C68F0">
        <w:rPr>
          <w:rFonts w:ascii="Calibri" w:hAnsi="Calibri" w:cs="Calibri"/>
          <w:color w:val="000000" w:themeColor="text1"/>
          <w:sz w:val="20"/>
          <w:szCs w:val="20"/>
        </w:rPr>
        <w:t>i</w:t>
      </w:r>
      <w:r w:rsidR="000F55C5">
        <w:rPr>
          <w:rFonts w:ascii="Calibri" w:hAnsi="Calibri" w:cs="Calibri"/>
          <w:color w:val="000000" w:themeColor="text1"/>
          <w:sz w:val="20"/>
          <w:szCs w:val="20"/>
        </w:rPr>
        <w:t>nhibitor</w:t>
      </w:r>
      <w:r w:rsidR="001455F4" w:rsidRPr="003C68F0">
        <w:rPr>
          <w:rFonts w:ascii="Calibri" w:hAnsi="Calibri" w:cs="Calibri"/>
          <w:color w:val="000000" w:themeColor="text1"/>
          <w:sz w:val="20"/>
          <w:szCs w:val="20"/>
        </w:rPr>
        <w:t xml:space="preserve"> </w:t>
      </w:r>
      <w:r w:rsidRPr="003C68F0">
        <w:rPr>
          <w:rFonts w:ascii="Calibri" w:hAnsi="Calibri" w:cs="Calibri"/>
          <w:color w:val="000000" w:themeColor="text1"/>
          <w:sz w:val="20"/>
          <w:szCs w:val="20"/>
        </w:rPr>
        <w:t xml:space="preserve">resistance. </w:t>
      </w:r>
      <w:r w:rsidR="00583435" w:rsidRPr="003C68F0">
        <w:rPr>
          <w:rFonts w:ascii="Calibri" w:hAnsi="Calibri" w:cs="Calibri"/>
          <w:color w:val="000000" w:themeColor="text1"/>
          <w:sz w:val="20"/>
          <w:szCs w:val="20"/>
        </w:rPr>
        <w:t>Third generation mTORC</w:t>
      </w:r>
      <w:r w:rsidR="000F55C5">
        <w:rPr>
          <w:rFonts w:ascii="Calibri" w:hAnsi="Calibri" w:cs="Calibri"/>
          <w:color w:val="000000" w:themeColor="text1"/>
          <w:sz w:val="20"/>
          <w:szCs w:val="20"/>
        </w:rPr>
        <w:t xml:space="preserve"> </w:t>
      </w:r>
      <w:r w:rsidR="00583435" w:rsidRPr="003C68F0">
        <w:rPr>
          <w:rFonts w:ascii="Calibri" w:hAnsi="Calibri" w:cs="Calibri"/>
          <w:color w:val="000000" w:themeColor="text1"/>
          <w:sz w:val="20"/>
          <w:szCs w:val="20"/>
        </w:rPr>
        <w:t>i</w:t>
      </w:r>
      <w:r w:rsidR="000F55C5">
        <w:rPr>
          <w:rFonts w:ascii="Calibri" w:hAnsi="Calibri" w:cs="Calibri"/>
          <w:color w:val="000000" w:themeColor="text1"/>
          <w:sz w:val="20"/>
          <w:szCs w:val="20"/>
        </w:rPr>
        <w:t>nhibitors</w:t>
      </w:r>
      <w:r w:rsidR="00583435" w:rsidRPr="003C68F0">
        <w:rPr>
          <w:rFonts w:ascii="Calibri" w:hAnsi="Calibri" w:cs="Calibri"/>
          <w:color w:val="000000" w:themeColor="text1"/>
          <w:sz w:val="20"/>
          <w:szCs w:val="20"/>
        </w:rPr>
        <w:t xml:space="preserve"> </w:t>
      </w:r>
      <w:r w:rsidRPr="003C68F0">
        <w:rPr>
          <w:rFonts w:ascii="Calibri" w:hAnsi="Calibri" w:cs="Calibri"/>
          <w:color w:val="000000" w:themeColor="text1"/>
          <w:sz w:val="20"/>
          <w:szCs w:val="20"/>
        </w:rPr>
        <w:t xml:space="preserve">in development simultaneously overcome acquired </w:t>
      </w:r>
      <w:r w:rsidR="001455F4" w:rsidRPr="003C68F0">
        <w:rPr>
          <w:rFonts w:ascii="Calibri" w:hAnsi="Calibri" w:cs="Calibri"/>
          <w:color w:val="000000" w:themeColor="text1"/>
          <w:sz w:val="20"/>
          <w:szCs w:val="20"/>
        </w:rPr>
        <w:t>binding sites mutations</w:t>
      </w:r>
      <w:r w:rsidRPr="003C68F0">
        <w:rPr>
          <w:rFonts w:ascii="Calibri" w:hAnsi="Calibri" w:cs="Calibri"/>
          <w:color w:val="000000" w:themeColor="text1"/>
          <w:sz w:val="20"/>
          <w:szCs w:val="20"/>
        </w:rPr>
        <w:t xml:space="preserve"> </w:t>
      </w:r>
      <w:r w:rsidR="001455F4" w:rsidRPr="003C68F0">
        <w:rPr>
          <w:rFonts w:ascii="Calibri" w:hAnsi="Calibri" w:cs="Calibri"/>
          <w:color w:val="000000" w:themeColor="text1"/>
          <w:sz w:val="20"/>
          <w:szCs w:val="20"/>
        </w:rPr>
        <w:t xml:space="preserve">and </w:t>
      </w:r>
      <w:r w:rsidRPr="003C68F0">
        <w:rPr>
          <w:rFonts w:ascii="Calibri" w:hAnsi="Calibri" w:cs="Calibri"/>
          <w:color w:val="000000" w:themeColor="text1"/>
          <w:sz w:val="20"/>
          <w:szCs w:val="20"/>
        </w:rPr>
        <w:t>activating point mutations in the mTOR kinase domain</w:t>
      </w:r>
      <w:r w:rsidR="001455F4" w:rsidRPr="003C68F0">
        <w:rPr>
          <w:rFonts w:ascii="Calibri" w:hAnsi="Calibri" w:cs="Calibri"/>
          <w:color w:val="000000" w:themeColor="text1"/>
          <w:sz w:val="20"/>
          <w:szCs w:val="20"/>
        </w:rPr>
        <w:t xml:space="preserve">; </w:t>
      </w:r>
      <w:r w:rsidRPr="003C68F0">
        <w:rPr>
          <w:rFonts w:ascii="Calibri" w:hAnsi="Calibri" w:cs="Calibri"/>
          <w:color w:val="000000" w:themeColor="text1"/>
          <w:sz w:val="20"/>
          <w:szCs w:val="20"/>
        </w:rPr>
        <w:t xml:space="preserve">achieved through bivalent binding to both mTORC1 and mTORC2 binding sites. Negative feedback loops may also contribute to resistance. For example, </w:t>
      </w:r>
      <w:r w:rsidR="001455F4" w:rsidRPr="003C68F0">
        <w:rPr>
          <w:rFonts w:ascii="Calibri" w:hAnsi="Calibri" w:cs="Calibri"/>
          <w:color w:val="000000" w:themeColor="text1"/>
          <w:sz w:val="20"/>
          <w:szCs w:val="20"/>
        </w:rPr>
        <w:t xml:space="preserve">mTORC1 inhibition </w:t>
      </w:r>
      <w:r w:rsidRPr="003C68F0">
        <w:rPr>
          <w:rFonts w:ascii="Calibri" w:hAnsi="Calibri" w:cs="Calibri"/>
          <w:color w:val="000000" w:themeColor="text1"/>
          <w:sz w:val="20"/>
          <w:szCs w:val="20"/>
        </w:rPr>
        <w:t>suppresses the downstream effector S6K1, which normally degrades insulin receptor substrate (IRS-1)</w:t>
      </w:r>
      <w:r w:rsidR="001455F4" w:rsidRPr="003C68F0">
        <w:rPr>
          <w:rFonts w:ascii="Calibri" w:hAnsi="Calibri" w:cs="Calibri"/>
          <w:color w:val="000000" w:themeColor="text1"/>
          <w:sz w:val="20"/>
          <w:szCs w:val="20"/>
        </w:rPr>
        <w:t xml:space="preserve">. Inhibition </w:t>
      </w:r>
      <w:r w:rsidRPr="003C68F0">
        <w:rPr>
          <w:rFonts w:ascii="Calibri" w:hAnsi="Calibri" w:cs="Calibri"/>
          <w:color w:val="000000" w:themeColor="text1"/>
          <w:sz w:val="20"/>
          <w:szCs w:val="20"/>
        </w:rPr>
        <w:t xml:space="preserve">leads to an enhanced growth signal from intact IRS-1. S6K1 suppression may also enhance signalling </w:t>
      </w:r>
      <w:r w:rsidR="006C1873" w:rsidRPr="003C68F0">
        <w:rPr>
          <w:rFonts w:ascii="Calibri" w:hAnsi="Calibri" w:cs="Calibri"/>
          <w:color w:val="000000" w:themeColor="text1"/>
          <w:sz w:val="20"/>
          <w:szCs w:val="20"/>
        </w:rPr>
        <w:t>via</w:t>
      </w:r>
      <w:r w:rsidRPr="003C68F0">
        <w:rPr>
          <w:rFonts w:ascii="Calibri" w:hAnsi="Calibri" w:cs="Calibri"/>
          <w:color w:val="000000" w:themeColor="text1"/>
          <w:sz w:val="20"/>
          <w:szCs w:val="20"/>
        </w:rPr>
        <w:t xml:space="preserve"> PDGFR and MAP/ERK pathways</w:t>
      </w:r>
      <w:r w:rsidR="00EB2D6D">
        <w:rPr>
          <w:rFonts w:ascii="Calibri" w:hAnsi="Calibri" w:cs="Calibri"/>
          <w:color w:val="000000" w:themeColor="text1"/>
          <w:sz w:val="20"/>
          <w:szCs w:val="20"/>
        </w:rPr>
        <w:t xml:space="preserve"> </w:t>
      </w:r>
      <w:r w:rsidR="00161A1C" w:rsidRPr="003C68F0">
        <w:rPr>
          <w:rFonts w:ascii="Calibri" w:hAnsi="Calibri" w:cs="Calibri"/>
          <w:color w:val="000000" w:themeColor="text1"/>
          <w:sz w:val="20"/>
          <w:szCs w:val="20"/>
        </w:rPr>
        <w:fldChar w:fldCharType="begin" w:fldLock="1"/>
      </w:r>
      <w:r w:rsidR="003C68F0" w:rsidRPr="003C68F0">
        <w:rPr>
          <w:rFonts w:ascii="Calibri" w:hAnsi="Calibri" w:cs="Calibri"/>
          <w:color w:val="000000" w:themeColor="text1"/>
          <w:sz w:val="20"/>
          <w:szCs w:val="20"/>
        </w:rPr>
        <w:instrText>ADDIN CSL_CITATION {"citationItems":[{"id":"ITEM-1","itemData":{"DOI":"10.1172/JCI34739","ISBN":"0021-9738 (Print)\\r0021-9738 (Linking)","ISSN":"0021-9738","PMID":"18725988","abstract":"Numerous studies have established a causal link between aberrant mammalian target of rapamycin (mTOR) activation and tumorigenesis, indicating that mTOR inhibition may have therapeutic potential. In this study, we show that rapamycin and its analogs activate the MAPK pathway in human cancer, in what represents a novel mTORC1-MAPK feedback loop. We found that tumor samples from patients with biopsy-accessible solid tumors of advanced disease treated with RAD001, a rapamycin derivative, showed an administration schedule-dependent increase in activation of the MAPK pathway. RAD001 treatment also led to MAPK activation in a mouse model of prostate cancer. We further show that rapamycin-induced MAPK activation occurs in both normal cells and cancer cells lines and that this feedback loop depends on an S6K-PI3K-Ras pathway. Significantly, pharmacological inhibition of the MAPK pathway enhanced the antitumoral effect of mTORC1 inhibition by rapamycin in cancer cells in vitro and in a xenograft mouse model. Taken together, our findings identify MAPK activation as a consequence of mTORC1 inhibition and underscore the potential of a combined therapeutic approach with mTORC1 and MAPK inhibitors, currently employed as single agents in the clinic, for the treatment of human cancers.","author":[{"dropping-particle":"","family":"Carracedo","given":"Arkaitz","non-dropping-particle":"","parse-names":false,"suffix":""},{"dropping-particle":"","family":"Ma","given":"Li","non-dropping-particle":"","parse-names":false,"suffix":""},{"dropping-particle":"","family":"Teruya-Feldstein","given":"Julie","non-dropping-particle":"","parse-names":false,"suffix":""},{"dropping-particle":"","family":"Rojo","given":"Federico","non-dropping-particle":"","parse-names":false,"suffix":""},{"dropping-particle":"","family":"Salmena","given":"Leonardo","non-dropping-particle":"","parse-names":false,"suffix":""},{"dropping-particle":"","family":"Alimonti","given":"Andrea","non-dropping-particle":"","parse-names":false,"suffix":""},{"dropping-particle":"","family":"Egia","given":"Ainara","non-dropping-particle":"","parse-names":false,"suffix":""},{"dropping-particle":"","family":"Sasaki","given":"Atsuo T","non-dropping-particle":"","parse-names":false,"suffix":""},{"dropping-particle":"","family":"Thomas","given":"George","non-dropping-particle":"","parse-names":false,"suffix":""},{"dropping-particle":"","family":"Kozma","given":"Sara C","non-dropping-particle":"","parse-names":false,"suffix":""},{"dropping-particle":"","family":"Papa","given":"Antonella","non-dropping-particle":"","parse-names":false,"suffix":""},{"dropping-particle":"","family":"Nardella","given":"Caterina","non-dropping-particle":"","parse-names":false,"suffix":""},{"dropping-particle":"","family":"Cantley","given":"Lewis C","non-dropping-particle":"","parse-names":false,"suffix":""},{"dropping-particle":"","family":"Baselga","given":"Jose","non-dropping-particle":"","parse-names":false,"suffix":""},{"dropping-particle":"","family":"Pandolfi","given":"Pier Paolo","non-dropping-particle":"","parse-names":false,"suffix":""}],"container-title":"The Journal of clinical investigation","id":"ITEM-1","issued":{"date-parts":[["2008"]]},"page":"3065-3074","title":"Inhibition of mTORC1 leads to MAPK pathway activation through a PI3K-dependent feedback loop in human cancer.","type":"article-journal","volume":"118"},"uris":["http://www.mendeley.com/documents/?uuid=2a91e73e-d4f7-4607-9ff5-13332d96a039"]}],"mendeley":{"formattedCitation":"&lt;sup&gt;15&lt;/sup&gt;","plainTextFormattedCitation":"15","previouslyFormattedCitation":"&lt;sup&gt;15&lt;/sup&gt;"},"properties":{"noteIndex":0},"schema":"https://github.com/citation-style-language/schema/raw/master/csl-citation.json"}</w:instrText>
      </w:r>
      <w:r w:rsidR="00161A1C" w:rsidRPr="003C68F0">
        <w:rPr>
          <w:rFonts w:ascii="Calibri" w:hAnsi="Calibri" w:cs="Calibri"/>
          <w:color w:val="000000" w:themeColor="text1"/>
          <w:sz w:val="20"/>
          <w:szCs w:val="20"/>
        </w:rPr>
        <w:fldChar w:fldCharType="separate"/>
      </w:r>
      <w:r w:rsidR="00B065BA" w:rsidRPr="003C68F0">
        <w:rPr>
          <w:rFonts w:ascii="Calibri" w:hAnsi="Calibri" w:cs="Calibri"/>
          <w:noProof/>
          <w:color w:val="000000" w:themeColor="text1"/>
          <w:sz w:val="20"/>
          <w:szCs w:val="20"/>
        </w:rPr>
        <w:t>15</w:t>
      </w:r>
      <w:r w:rsidR="00161A1C" w:rsidRPr="003C68F0">
        <w:rPr>
          <w:rFonts w:ascii="Calibri" w:hAnsi="Calibri" w:cs="Calibri"/>
          <w:color w:val="000000" w:themeColor="text1"/>
          <w:sz w:val="20"/>
          <w:szCs w:val="20"/>
        </w:rPr>
        <w:fldChar w:fldCharType="end"/>
      </w:r>
      <w:r w:rsidRPr="003C68F0">
        <w:rPr>
          <w:rFonts w:ascii="Calibri" w:hAnsi="Calibri" w:cs="Calibri"/>
          <w:color w:val="000000" w:themeColor="text1"/>
          <w:sz w:val="20"/>
          <w:szCs w:val="20"/>
        </w:rPr>
        <w:t>.</w:t>
      </w:r>
    </w:p>
    <w:p w14:paraId="247255C7" w14:textId="77777777" w:rsidR="005C5510" w:rsidRPr="003C68F0" w:rsidRDefault="005C5510" w:rsidP="00B049F9">
      <w:pPr>
        <w:spacing w:line="360" w:lineRule="auto"/>
        <w:rPr>
          <w:rFonts w:ascii="Calibri" w:hAnsi="Calibri" w:cs="Calibri"/>
          <w:color w:val="000000" w:themeColor="text1"/>
          <w:sz w:val="20"/>
          <w:szCs w:val="20"/>
        </w:rPr>
      </w:pPr>
    </w:p>
    <w:p w14:paraId="0A20FB67" w14:textId="44D1407B" w:rsidR="00B049F9" w:rsidRPr="003C68F0" w:rsidRDefault="00583435" w:rsidP="00B049F9">
      <w:pPr>
        <w:spacing w:line="360" w:lineRule="auto"/>
        <w:rPr>
          <w:rFonts w:ascii="Calibri" w:hAnsi="Calibri" w:cs="Calibri"/>
          <w:color w:val="000000" w:themeColor="text1"/>
          <w:sz w:val="20"/>
          <w:szCs w:val="20"/>
        </w:rPr>
      </w:pPr>
      <w:r w:rsidRPr="003C68F0">
        <w:rPr>
          <w:rFonts w:ascii="Calibri" w:hAnsi="Calibri" w:cs="Calibri"/>
          <w:color w:val="000000" w:themeColor="text1"/>
          <w:sz w:val="20"/>
          <w:szCs w:val="20"/>
        </w:rPr>
        <w:t>I</w:t>
      </w:r>
      <w:r w:rsidR="00B049F9" w:rsidRPr="003C68F0">
        <w:rPr>
          <w:rFonts w:ascii="Calibri" w:hAnsi="Calibri" w:cs="Calibri"/>
          <w:color w:val="000000" w:themeColor="text1"/>
          <w:sz w:val="20"/>
          <w:szCs w:val="20"/>
        </w:rPr>
        <w:t xml:space="preserve">ntermittent dosing may have </w:t>
      </w:r>
      <w:r w:rsidRPr="003C68F0">
        <w:rPr>
          <w:rFonts w:ascii="Calibri" w:hAnsi="Calibri" w:cs="Calibri"/>
          <w:color w:val="000000" w:themeColor="text1"/>
          <w:sz w:val="20"/>
          <w:szCs w:val="20"/>
        </w:rPr>
        <w:t>negatively impacted response as</w:t>
      </w:r>
      <w:r w:rsidR="00B049F9" w:rsidRPr="003C68F0">
        <w:rPr>
          <w:rFonts w:ascii="Calibri" w:hAnsi="Calibri" w:cs="Calibri"/>
          <w:color w:val="000000" w:themeColor="text1"/>
          <w:sz w:val="20"/>
          <w:szCs w:val="20"/>
        </w:rPr>
        <w:t xml:space="preserve"> </w:t>
      </w:r>
      <w:r w:rsidRPr="003C68F0">
        <w:rPr>
          <w:rFonts w:ascii="Calibri" w:hAnsi="Calibri" w:cs="Calibri"/>
          <w:color w:val="000000" w:themeColor="text1"/>
          <w:sz w:val="20"/>
          <w:szCs w:val="20"/>
        </w:rPr>
        <w:t xml:space="preserve">vistusertib </w:t>
      </w:r>
      <w:r w:rsidR="00B049F9" w:rsidRPr="003C68F0">
        <w:rPr>
          <w:rFonts w:ascii="Calibri" w:hAnsi="Calibri" w:cs="Calibri"/>
          <w:color w:val="000000" w:themeColor="text1"/>
          <w:sz w:val="20"/>
          <w:szCs w:val="20"/>
        </w:rPr>
        <w:t>has a short half-life and response is dose-dependent</w:t>
      </w:r>
      <w:r w:rsidR="009E24D1">
        <w:rPr>
          <w:rFonts w:ascii="Calibri" w:hAnsi="Calibri" w:cs="Calibri"/>
          <w:color w:val="000000" w:themeColor="text1"/>
          <w:sz w:val="20"/>
          <w:szCs w:val="20"/>
        </w:rPr>
        <w:t xml:space="preserve"> </w:t>
      </w:r>
      <w:r w:rsidR="00491CFD" w:rsidRPr="003C68F0">
        <w:rPr>
          <w:rFonts w:ascii="Calibri" w:hAnsi="Calibri" w:cs="Calibri"/>
          <w:color w:val="000000" w:themeColor="text1"/>
          <w:sz w:val="20"/>
          <w:szCs w:val="20"/>
        </w:rPr>
        <w:fldChar w:fldCharType="begin" w:fldLock="1"/>
      </w:r>
      <w:r w:rsidR="00B065BA" w:rsidRPr="003C68F0">
        <w:rPr>
          <w:rFonts w:ascii="Calibri" w:hAnsi="Calibri" w:cs="Calibri"/>
          <w:color w:val="000000" w:themeColor="text1"/>
          <w:sz w:val="20"/>
          <w:szCs w:val="20"/>
        </w:rPr>
        <w:instrText>ADDIN CSL_CITATION {"citationItems":[{"id":"ITEM-1","itemData":{"DOI":"10.1016/j.bmcl.2013.01.019","ISSN":"1464-3405","PMID":"23375793","abstract":"The optimization of a potent and highly selective series of dual mTORC1 and mTORC2 inhibitors is described. An initial focus on improving cellular potency whilst maintaining or improving other key parameters, such as aqueous solubility and margins over hERG IC(50), led to the discovery of the clinical candidate AZD8055 (14). Further optimization, particularly aimed at reducing the rate of metabolism in human hepatocyte incubations, resulted in the discovery of the clinical candidate AZD2014 (21).","author":[{"dropping-particle":"","family":"Pike","given":"Kurt G","non-dropping-particle":"","parse-names":false,"suffix":""},{"dropping-particle":"","family":"Malagu","given":"Karine","non-dropping-particle":"","parse-names":false,"suffix":""},{"dropping-particle":"","family":"Hummersone","given":"Marc G","non-dropping-particle":"","parse-names":false,"suffix":""},{"dropping-particle":"","family":"Menear","given":"Keith a","non-dropping-particle":"","parse-names":false,"suffix":""},{"dropping-particle":"","family":"Duggan","given":"Heather M E","non-dropping-particle":"","parse-names":false,"suffix":""},{"dropping-particle":"","family":"Gomez","given":"Sylvie","non-dropping-particle":"","parse-names":false,"suffix":""},{"dropping-particle":"","family":"Martin","given":"Niall M B","non-dropping-particle":"","parse-names":false,"suffix":""},{"dropping-particle":"","family":"Ruston","given":"Linette","non-dropping-particle":"","parse-names":false,"suffix":""},{"dropping-particle":"","family":"Pass","given":"Sarah L","non-dropping-particle":"","parse-names":false,"suffix":""},{"dropping-particle":"","family":"Pass","given":"Martin","non-dropping-particle":"","parse-names":false,"suffix":""}],"container-title":"Bioorg. Med. Chem. Lett.","id":"ITEM-1","issued":{"date-parts":[["2013"]]},"page":"1212-6","title":"Optimization of potent and selective dual mTORC1 and mTORC2 inhibitors: the discovery of AZD8055 and AZD2014.","type":"article-journal","volume":"23"},"uris":["http://www.mendeley.com/documents/?uuid=3c16a0d6-4412-4a17-8d00-0529c85540ce"]}],"mendeley":{"formattedCitation":"&lt;sup&gt;9&lt;/sup&gt;","plainTextFormattedCitation":"9","previouslyFormattedCitation":"&lt;sup&gt;9&lt;/sup&gt;"},"properties":{"noteIndex":0},"schema":"https://github.com/citation-style-language/schema/raw/master/csl-citation.json"}</w:instrText>
      </w:r>
      <w:r w:rsidR="00491CFD" w:rsidRPr="003C68F0">
        <w:rPr>
          <w:rFonts w:ascii="Calibri" w:hAnsi="Calibri" w:cs="Calibri"/>
          <w:color w:val="000000" w:themeColor="text1"/>
          <w:sz w:val="20"/>
          <w:szCs w:val="20"/>
        </w:rPr>
        <w:fldChar w:fldCharType="separate"/>
      </w:r>
      <w:r w:rsidR="00491CFD" w:rsidRPr="003C68F0">
        <w:rPr>
          <w:rFonts w:ascii="Calibri" w:hAnsi="Calibri" w:cs="Calibri"/>
          <w:noProof/>
          <w:color w:val="000000" w:themeColor="text1"/>
          <w:sz w:val="20"/>
          <w:szCs w:val="20"/>
        </w:rPr>
        <w:t>9</w:t>
      </w:r>
      <w:r w:rsidR="00491CFD" w:rsidRPr="003C68F0">
        <w:rPr>
          <w:rFonts w:ascii="Calibri" w:hAnsi="Calibri" w:cs="Calibri"/>
          <w:color w:val="000000" w:themeColor="text1"/>
          <w:sz w:val="20"/>
          <w:szCs w:val="20"/>
        </w:rPr>
        <w:fldChar w:fldCharType="end"/>
      </w:r>
      <w:r w:rsidR="00B049F9" w:rsidRPr="003C68F0">
        <w:rPr>
          <w:rFonts w:ascii="Calibri" w:hAnsi="Calibri" w:cs="Calibri"/>
          <w:color w:val="000000" w:themeColor="text1"/>
          <w:sz w:val="20"/>
          <w:szCs w:val="20"/>
        </w:rPr>
        <w:t xml:space="preserve">. </w:t>
      </w:r>
      <w:r w:rsidRPr="003C68F0">
        <w:rPr>
          <w:rFonts w:ascii="Calibri" w:hAnsi="Calibri" w:cs="Calibri"/>
          <w:color w:val="000000" w:themeColor="text1"/>
          <w:sz w:val="20"/>
          <w:szCs w:val="20"/>
        </w:rPr>
        <w:t>The</w:t>
      </w:r>
      <w:r w:rsidR="00B049F9" w:rsidRPr="003C68F0">
        <w:rPr>
          <w:rFonts w:ascii="Calibri" w:hAnsi="Calibri" w:cs="Calibri"/>
          <w:color w:val="000000" w:themeColor="text1"/>
          <w:sz w:val="20"/>
          <w:szCs w:val="20"/>
        </w:rPr>
        <w:t xml:space="preserve"> schedule was chosen to improve tolerability and to limit react</w:t>
      </w:r>
      <w:r w:rsidR="00323494" w:rsidRPr="003C68F0">
        <w:rPr>
          <w:rFonts w:ascii="Calibri" w:hAnsi="Calibri" w:cs="Calibri"/>
          <w:color w:val="000000" w:themeColor="text1"/>
          <w:sz w:val="20"/>
          <w:szCs w:val="20"/>
        </w:rPr>
        <w:t>ivation of upstream pathways due to</w:t>
      </w:r>
      <w:r w:rsidR="00B049F9" w:rsidRPr="003C68F0">
        <w:rPr>
          <w:rFonts w:ascii="Calibri" w:hAnsi="Calibri" w:cs="Calibri"/>
          <w:color w:val="000000" w:themeColor="text1"/>
          <w:sz w:val="20"/>
          <w:szCs w:val="20"/>
        </w:rPr>
        <w:t xml:space="preserve"> loss of negative feedback. </w:t>
      </w:r>
      <w:r w:rsidR="00B049F9" w:rsidRPr="003C68F0">
        <w:rPr>
          <w:rFonts w:ascii="Calibri" w:hAnsi="Calibri" w:cs="Calibri"/>
          <w:i/>
          <w:color w:val="000000" w:themeColor="text1"/>
          <w:sz w:val="20"/>
          <w:szCs w:val="20"/>
        </w:rPr>
        <w:t>In v</w:t>
      </w:r>
      <w:r w:rsidR="004B6FEF" w:rsidRPr="003C68F0">
        <w:rPr>
          <w:rFonts w:ascii="Calibri" w:hAnsi="Calibri" w:cs="Calibri"/>
          <w:i/>
          <w:color w:val="000000" w:themeColor="text1"/>
          <w:sz w:val="20"/>
          <w:szCs w:val="20"/>
        </w:rPr>
        <w:t>iv</w:t>
      </w:r>
      <w:r w:rsidR="00B049F9" w:rsidRPr="003C68F0">
        <w:rPr>
          <w:rFonts w:ascii="Calibri" w:hAnsi="Calibri" w:cs="Calibri"/>
          <w:i/>
          <w:color w:val="000000" w:themeColor="text1"/>
          <w:sz w:val="20"/>
          <w:szCs w:val="20"/>
        </w:rPr>
        <w:t>o</w:t>
      </w:r>
      <w:r w:rsidR="00B049F9" w:rsidRPr="003C68F0">
        <w:rPr>
          <w:rFonts w:ascii="Calibri" w:hAnsi="Calibri" w:cs="Calibri"/>
          <w:color w:val="000000" w:themeColor="text1"/>
          <w:sz w:val="20"/>
          <w:szCs w:val="20"/>
        </w:rPr>
        <w:t xml:space="preserve"> cell line models </w:t>
      </w:r>
      <w:r w:rsidR="001455F4" w:rsidRPr="003C68F0">
        <w:rPr>
          <w:rFonts w:ascii="Calibri" w:hAnsi="Calibri" w:cs="Calibri"/>
          <w:color w:val="000000" w:themeColor="text1"/>
          <w:sz w:val="20"/>
          <w:szCs w:val="20"/>
        </w:rPr>
        <w:t>suggested</w:t>
      </w:r>
      <w:r w:rsidR="00B049F9" w:rsidRPr="003C68F0">
        <w:rPr>
          <w:rFonts w:ascii="Calibri" w:hAnsi="Calibri" w:cs="Calibri"/>
          <w:color w:val="000000" w:themeColor="text1"/>
          <w:sz w:val="20"/>
          <w:szCs w:val="20"/>
        </w:rPr>
        <w:t xml:space="preserve"> evidence of enhanced cell death using an intermittent dosing. </w:t>
      </w:r>
    </w:p>
    <w:p w14:paraId="7E13B19D" w14:textId="77777777" w:rsidR="00A934C7" w:rsidRPr="003C68F0" w:rsidRDefault="00A934C7" w:rsidP="00B049F9">
      <w:pPr>
        <w:spacing w:line="360" w:lineRule="auto"/>
        <w:rPr>
          <w:rFonts w:ascii="Calibri" w:hAnsi="Calibri" w:cs="Calibri"/>
          <w:color w:val="000000" w:themeColor="text1"/>
          <w:sz w:val="20"/>
          <w:szCs w:val="20"/>
        </w:rPr>
      </w:pPr>
    </w:p>
    <w:p w14:paraId="6ADFD005" w14:textId="5325324B" w:rsidR="000735B2" w:rsidRPr="003C68F0" w:rsidRDefault="00B049F9" w:rsidP="00B065BA">
      <w:pPr>
        <w:spacing w:line="360" w:lineRule="auto"/>
        <w:rPr>
          <w:rFonts w:ascii="Calibri" w:hAnsi="Calibri" w:cs="Calibri"/>
          <w:color w:val="000000" w:themeColor="text1"/>
          <w:sz w:val="20"/>
          <w:szCs w:val="20"/>
        </w:rPr>
      </w:pPr>
      <w:r w:rsidRPr="003C68F0">
        <w:rPr>
          <w:rFonts w:ascii="Calibri" w:hAnsi="Calibri" w:cs="Calibri"/>
          <w:color w:val="000000" w:themeColor="text1"/>
          <w:sz w:val="20"/>
          <w:szCs w:val="20"/>
        </w:rPr>
        <w:lastRenderedPageBreak/>
        <w:t>Despite limited efficacy, we demonstrate</w:t>
      </w:r>
      <w:r w:rsidR="00394F92" w:rsidRPr="003C68F0">
        <w:rPr>
          <w:rFonts w:ascii="Calibri" w:hAnsi="Calibri" w:cs="Calibri"/>
          <w:color w:val="000000" w:themeColor="text1"/>
          <w:sz w:val="20"/>
          <w:szCs w:val="20"/>
        </w:rPr>
        <w:t xml:space="preserve"> </w:t>
      </w:r>
      <w:r w:rsidR="00F258BD" w:rsidRPr="003C68F0">
        <w:rPr>
          <w:rFonts w:ascii="Calibri" w:hAnsi="Calibri" w:cs="Calibri"/>
          <w:color w:val="000000" w:themeColor="text1"/>
          <w:sz w:val="20"/>
          <w:szCs w:val="20"/>
        </w:rPr>
        <w:t xml:space="preserve">that this </w:t>
      </w:r>
      <w:r w:rsidR="003C2F2D" w:rsidRPr="003C68F0">
        <w:rPr>
          <w:rFonts w:ascii="Calibri" w:hAnsi="Calibri" w:cs="Calibri"/>
          <w:color w:val="000000" w:themeColor="text1"/>
          <w:sz w:val="20"/>
          <w:szCs w:val="20"/>
        </w:rPr>
        <w:t xml:space="preserve">specific </w:t>
      </w:r>
      <w:r w:rsidR="00583435" w:rsidRPr="003C68F0">
        <w:rPr>
          <w:rFonts w:ascii="Calibri" w:hAnsi="Calibri" w:cs="Calibri"/>
          <w:color w:val="000000" w:themeColor="text1"/>
          <w:sz w:val="20"/>
          <w:szCs w:val="20"/>
        </w:rPr>
        <w:t>mTORC1/2</w:t>
      </w:r>
      <w:r w:rsidR="000F55C5">
        <w:rPr>
          <w:rFonts w:ascii="Calibri" w:hAnsi="Calibri" w:cs="Calibri"/>
          <w:color w:val="000000" w:themeColor="text1"/>
          <w:sz w:val="20"/>
          <w:szCs w:val="20"/>
        </w:rPr>
        <w:t xml:space="preserve"> inhibitor </w:t>
      </w:r>
      <w:r w:rsidR="00F258BD" w:rsidRPr="003C68F0">
        <w:rPr>
          <w:rFonts w:ascii="Calibri" w:hAnsi="Calibri" w:cs="Calibri"/>
          <w:color w:val="000000" w:themeColor="text1"/>
          <w:sz w:val="20"/>
          <w:szCs w:val="20"/>
        </w:rPr>
        <w:t>at the dosing schedule described was</w:t>
      </w:r>
      <w:r w:rsidRPr="003C68F0">
        <w:rPr>
          <w:rFonts w:ascii="Calibri" w:hAnsi="Calibri" w:cs="Calibri"/>
          <w:color w:val="000000" w:themeColor="text1"/>
          <w:sz w:val="20"/>
          <w:szCs w:val="20"/>
        </w:rPr>
        <w:t xml:space="preserve"> well-tolerated</w:t>
      </w:r>
      <w:r w:rsidR="00D16AC0" w:rsidRPr="003C68F0">
        <w:rPr>
          <w:rFonts w:ascii="Calibri" w:hAnsi="Calibri" w:cs="Calibri"/>
          <w:color w:val="000000" w:themeColor="text1"/>
          <w:sz w:val="20"/>
          <w:szCs w:val="20"/>
        </w:rPr>
        <w:t xml:space="preserve"> in patients with good performance status (ECOG 0-1 94%)</w:t>
      </w:r>
      <w:r w:rsidRPr="003C68F0">
        <w:rPr>
          <w:rFonts w:ascii="Calibri" w:hAnsi="Calibri" w:cs="Calibri"/>
          <w:color w:val="000000" w:themeColor="text1"/>
          <w:sz w:val="20"/>
          <w:szCs w:val="20"/>
        </w:rPr>
        <w:t xml:space="preserve"> and can be safely combined with rituximab. Common AEs were similar to the phase 1 trial</w:t>
      </w:r>
      <w:r w:rsidR="004B5D67">
        <w:rPr>
          <w:rFonts w:ascii="Calibri" w:hAnsi="Calibri" w:cs="Calibri"/>
          <w:color w:val="000000" w:themeColor="text1"/>
          <w:sz w:val="20"/>
          <w:szCs w:val="20"/>
        </w:rPr>
        <w:t xml:space="preserve"> </w:t>
      </w:r>
      <w:r w:rsidR="00161A1C" w:rsidRPr="003C68F0">
        <w:rPr>
          <w:rFonts w:ascii="Calibri" w:hAnsi="Calibri" w:cs="Calibri"/>
          <w:color w:val="000000" w:themeColor="text1"/>
          <w:sz w:val="20"/>
          <w:szCs w:val="20"/>
        </w:rPr>
        <w:fldChar w:fldCharType="begin" w:fldLock="1"/>
      </w:r>
      <w:r w:rsidR="00491CFD" w:rsidRPr="003C68F0">
        <w:rPr>
          <w:rFonts w:ascii="Calibri" w:hAnsi="Calibri" w:cs="Calibri"/>
          <w:color w:val="000000" w:themeColor="text1"/>
          <w:sz w:val="20"/>
          <w:szCs w:val="20"/>
        </w:rPr>
        <w:instrText>ADDIN CSL_CITATION {"citationItems":[{"id":"ITEM-1","itemData":{"DOI":"10.1158/1078-0432.CCR-14-2422","ISSN":"1078-0432","PMID":"25805799","abstract":"PURPOSE AZD2014 is a novel, oral, m-TORC 1/2 inhibitor that has shown in vitro and in vivo efficacy across a range of preclinical human cancer models. EXPERIMENTAL DESIGN A rolling six-dose escalation was performed to define an MTD (part A), and at MTD a further cohort of patients was treated to further characterize toxicities and perform pre- and posttreatment biopsies (part B). AZD2014 was administered orally twice a day continuously. Flow cytometry, ELISA, and immunohistochemistry were used to quantify pharmacodynamic biomarkers. Pharmacokinetic analysis was carried out by mass spectrometry. RESULTS A total of 56 patients were treated across a dose range of 25 to 100 mg. The MTD was 50 mg twice daily. The dose-limiting toxicities were fatigue and mucositis. At the MTD, the most common adverse events (AE) were fatigue (78%), nausea (51%), and mucositis (49%), but these were equal to or greater than grade 3 in only 5% of patients. Drug levels achieved at the MTD (AUC SS: 6686 ng·h/mL, Cmax ss 1,664 ng/mL) were consistent with activity in preclinical models. A reduction in p-S6 levels and Ki67 staining was observed in 8 of 8 and 5 of 9 evaluable paired biopsy samples. Partial responses were seen in a patient with pancreatic cancer and a patient with breast cancer, who were found to have a PDGFR and ERBB2 mutation, respectively. CONCLUSIONS The recommended phase II dose for further evaluation of AZD2014 is 50 mg twice daily, and at this dose it has been possible to demonstrate pharmacologically relevant plasma concentrations, target inhibition in tumor, and clinical responses.","author":[{"dropping-particle":"","family":"Basu","given":"Bristi","non-dropping-particle":"","parse-names":false,"suffix":""},{"dropping-particle":"","family":"Dean","given":"Emma","non-dropping-particle":"","parse-names":false,"suffix":""},{"dropping-particle":"","family":"Puglisi","given":"Martina","non-dropping-particle":"","parse-names":false,"suffix":""},{"dropping-particle":"","family":"Greystoke","given":"Alastair","non-dropping-particle":"","parse-names":false,"suffix":""},{"dropping-particle":"","family":"Ong","given":"Michael","non-dropping-particle":"","parse-names":false,"suffix":""},{"dropping-particle":"","family":"Burke","given":"Wendy","non-dropping-particle":"","parse-names":false,"suffix":""},{"dropping-particle":"","family":"Cavallin","given":"Maria","non-dropping-particle":"","parse-names":false,"suffix":""},{"dropping-particle":"","family":"Bigley","given":"Graham","non-dropping-particle":"","parse-names":false,"suffix":""},{"dropping-particle":"","family":"Womack","given":"Christopher","non-dropping-particle":"","parse-names":false,"suffix":""},{"dropping-particle":"","family":"Harrington","given":"Elizabeth A","non-dropping-particle":"","parse-names":false,"suffix":""},{"dropping-particle":"","family":"Green","given":"Stephen","non-dropping-particle":"","parse-names":false,"suffix":""},{"dropping-particle":"","family":"Oelmann","given":"Elisabeth","non-dropping-particle":"","parse-names":false,"suffix":""},{"dropping-particle":"","family":"Bono","given":"Johann S","non-dropping-particle":"de","parse-names":false,"suffix":""},{"dropping-particle":"","family":"Ranson","given":"Malcolm","non-dropping-particle":"","parse-names":false,"suffix":""},{"dropping-particle":"","family":"Banerji","given":"Udai","non-dropping-particle":"","parse-names":false,"suffix":""}],"container-title":"Clinical cancer research : an official journal of the American Association for Cancer Research","id":"ITEM-1","issue":"15","issued":{"date-parts":[["2015","8","1"]]},"page":"3412-9","publisher":"American Association for Cancer Research","title":"First-in-Human Pharmacokinetic and Pharmacodynamic Study of the Dual m-TORC 1/2 Inhibitor AZD2014.","type":"article-journal","volume":"21"},"uris":["http://www.mendeley.com/documents/?uuid=ab119289-9461-3683-a380-0d2e15ac4a65"]}],"mendeley":{"formattedCitation":"&lt;sup&gt;10&lt;/sup&gt;","plainTextFormattedCitation":"10","previouslyFormattedCitation":"&lt;sup&gt;10&lt;/sup&gt;"},"properties":{"noteIndex":0},"schema":"https://github.com/citation-style-language/schema/raw/master/csl-citation.json"}</w:instrText>
      </w:r>
      <w:r w:rsidR="00161A1C" w:rsidRPr="003C68F0">
        <w:rPr>
          <w:rFonts w:ascii="Calibri" w:hAnsi="Calibri" w:cs="Calibri"/>
          <w:color w:val="000000" w:themeColor="text1"/>
          <w:sz w:val="20"/>
          <w:szCs w:val="20"/>
        </w:rPr>
        <w:fldChar w:fldCharType="separate"/>
      </w:r>
      <w:r w:rsidR="008836A0" w:rsidRPr="003C68F0">
        <w:rPr>
          <w:rFonts w:ascii="Calibri" w:hAnsi="Calibri" w:cs="Calibri"/>
          <w:noProof/>
          <w:color w:val="000000" w:themeColor="text1"/>
          <w:sz w:val="20"/>
          <w:szCs w:val="20"/>
        </w:rPr>
        <w:t>10</w:t>
      </w:r>
      <w:r w:rsidR="00161A1C" w:rsidRPr="003C68F0">
        <w:rPr>
          <w:rFonts w:ascii="Calibri" w:hAnsi="Calibri" w:cs="Calibri"/>
          <w:color w:val="000000" w:themeColor="text1"/>
          <w:sz w:val="20"/>
          <w:szCs w:val="20"/>
        </w:rPr>
        <w:fldChar w:fldCharType="end"/>
      </w:r>
      <w:r w:rsidRPr="003C68F0">
        <w:rPr>
          <w:rFonts w:ascii="Calibri" w:hAnsi="Calibri" w:cs="Calibri"/>
          <w:color w:val="000000" w:themeColor="text1"/>
          <w:sz w:val="20"/>
          <w:szCs w:val="20"/>
        </w:rPr>
        <w:t xml:space="preserve"> and other </w:t>
      </w:r>
      <w:r w:rsidR="00D75161" w:rsidRPr="003C68F0">
        <w:rPr>
          <w:rFonts w:ascii="Calibri" w:hAnsi="Calibri" w:cs="Calibri"/>
          <w:color w:val="000000" w:themeColor="text1"/>
          <w:sz w:val="20"/>
          <w:szCs w:val="20"/>
        </w:rPr>
        <w:t>m</w:t>
      </w:r>
      <w:r w:rsidRPr="003C68F0">
        <w:rPr>
          <w:rFonts w:ascii="Calibri" w:hAnsi="Calibri" w:cs="Calibri"/>
          <w:color w:val="000000" w:themeColor="text1"/>
          <w:sz w:val="20"/>
          <w:szCs w:val="20"/>
        </w:rPr>
        <w:t>TORC1/2</w:t>
      </w:r>
      <w:r w:rsidR="000F55C5">
        <w:rPr>
          <w:rFonts w:ascii="Calibri" w:hAnsi="Calibri" w:cs="Calibri"/>
          <w:color w:val="000000" w:themeColor="text1"/>
          <w:sz w:val="20"/>
          <w:szCs w:val="20"/>
        </w:rPr>
        <w:t xml:space="preserve"> </w:t>
      </w:r>
      <w:r w:rsidR="00583435" w:rsidRPr="003C68F0">
        <w:rPr>
          <w:rFonts w:ascii="Calibri" w:hAnsi="Calibri" w:cs="Calibri"/>
          <w:color w:val="000000" w:themeColor="text1"/>
          <w:sz w:val="20"/>
          <w:szCs w:val="20"/>
        </w:rPr>
        <w:t>i</w:t>
      </w:r>
      <w:r w:rsidR="000F55C5">
        <w:rPr>
          <w:rFonts w:ascii="Calibri" w:hAnsi="Calibri" w:cs="Calibri"/>
          <w:color w:val="000000" w:themeColor="text1"/>
          <w:sz w:val="20"/>
          <w:szCs w:val="20"/>
        </w:rPr>
        <w:t>nhibitor</w:t>
      </w:r>
      <w:r w:rsidR="009E24D1">
        <w:rPr>
          <w:rFonts w:ascii="Calibri" w:hAnsi="Calibri" w:cs="Calibri"/>
          <w:color w:val="000000" w:themeColor="text1"/>
          <w:sz w:val="20"/>
          <w:szCs w:val="20"/>
        </w:rPr>
        <w:t xml:space="preserve"> </w:t>
      </w:r>
      <w:r w:rsidR="00161A1C" w:rsidRPr="003C68F0">
        <w:rPr>
          <w:rFonts w:ascii="Calibri" w:hAnsi="Calibri" w:cs="Calibri"/>
          <w:color w:val="000000" w:themeColor="text1"/>
          <w:sz w:val="20"/>
          <w:szCs w:val="20"/>
        </w:rPr>
        <w:fldChar w:fldCharType="begin" w:fldLock="1"/>
      </w:r>
      <w:r w:rsidR="008836A0" w:rsidRPr="003C68F0">
        <w:rPr>
          <w:rFonts w:ascii="Calibri" w:hAnsi="Calibri" w:cs="Calibri"/>
          <w:color w:val="000000" w:themeColor="text1"/>
          <w:sz w:val="20"/>
          <w:szCs w:val="20"/>
        </w:rPr>
        <w:instrText>ADDIN CSL_CITATION {"citationItems":[{"id":"ITEM-1","itemData":{"DOI":"10.1111/bjh.12945","ISSN":"1365-2141","PMID":"24842496","abstract":"Since the discovery of rapamycin in Easter Island soil in 1975, more has been learnt about the relevance and importance of the mammalian target of rapamycin (mTOR) pathway in cell signalling, proliferation and ultimately tumourigenesis. Rapamycin targets the mTORC1 complex alone. Despite initial excitement, rapamycin and its analogues, everolimus and temsirolimus, have displayed limited efficacy in the treatment of lymphoid malignancies. This review highlights the important and well-described aspects of the critical phosphatidylinositol-4,5-bisphosphate 3-kinase (PI3K)/AKT/mTOR pathway and discusses the mechanisms of action of rapamycin, its clinical efficacy in lymphoid malignancies, and the mechanisms of resistance. Renewed interest in targeting the pathway has evolved through the discovery of mTORC2, a protein complex associated with a key mechanism of resistance to first generation mTOR inhibitors. As such, novel dual inhibitors of mTORC1 and mTORC2 have been developed, along with other dual inhibitors of the mTOR pathway. The evolution in the development of dual inhibitors is described herein, along with the burgeoning in vitro, pre-clinical data and the early phase clinical data available. Although historically mTOR inhibitors have been used extensively in haematopoietic and solid organ transplant prophylaxis, this review will focus on developments of their use in lymphoid malignancies.","author":[{"dropping-particle":"","family":"Eyre","given":"Toby A","non-dropping-particle":"","parse-names":false,"suffix":""},{"dropping-particle":"","family":"Collins","given":"Graham P","non-dropping-particle":"","parse-names":false,"suffix":""},{"dropping-particle":"","family":"Goldstone","given":"Anthony H","non-dropping-particle":"","parse-names":false,"suffix":""},{"dropping-particle":"","family":"Cwynarski","given":"Kate","non-dropping-particle":"","parse-names":false,"suffix":""}],"container-title":"British journal of haematology","id":"ITEM-1","issued":{"date-parts":[["2014","5","19"]]},"title":"Time now to TORC the TORC? New developments in mTOR pathway inhibition in lymphoid malignancies.","type":"article-journal"},"uris":["http://www.mendeley.com/documents/?uuid=a2cf3098-4aac-4fe9-9c5b-438905730392"]}],"mendeley":{"formattedCitation":"&lt;sup&gt;5&lt;/sup&gt;","plainTextFormattedCitation":"5","previouslyFormattedCitation":"&lt;sup&gt;5&lt;/sup&gt;"},"properties":{"noteIndex":0},"schema":"https://github.com/citation-style-language/schema/raw/master/csl-citation.json"}</w:instrText>
      </w:r>
      <w:r w:rsidR="00161A1C" w:rsidRPr="003C68F0">
        <w:rPr>
          <w:rFonts w:ascii="Calibri" w:hAnsi="Calibri" w:cs="Calibri"/>
          <w:color w:val="000000" w:themeColor="text1"/>
          <w:sz w:val="20"/>
          <w:szCs w:val="20"/>
        </w:rPr>
        <w:fldChar w:fldCharType="separate"/>
      </w:r>
      <w:r w:rsidR="00161A1C" w:rsidRPr="003C68F0">
        <w:rPr>
          <w:rFonts w:ascii="Calibri" w:hAnsi="Calibri" w:cs="Calibri"/>
          <w:noProof/>
          <w:color w:val="000000" w:themeColor="text1"/>
          <w:sz w:val="20"/>
          <w:szCs w:val="20"/>
        </w:rPr>
        <w:t>5</w:t>
      </w:r>
      <w:r w:rsidR="00161A1C" w:rsidRPr="003C68F0">
        <w:rPr>
          <w:rFonts w:ascii="Calibri" w:hAnsi="Calibri" w:cs="Calibri"/>
          <w:color w:val="000000" w:themeColor="text1"/>
          <w:sz w:val="20"/>
          <w:szCs w:val="20"/>
        </w:rPr>
        <w:fldChar w:fldCharType="end"/>
      </w:r>
      <w:r w:rsidR="00583435" w:rsidRPr="003C68F0">
        <w:rPr>
          <w:rFonts w:ascii="Calibri" w:hAnsi="Calibri" w:cs="Calibri"/>
          <w:color w:val="000000" w:themeColor="text1"/>
          <w:sz w:val="20"/>
          <w:szCs w:val="20"/>
        </w:rPr>
        <w:t xml:space="preserve">. </w:t>
      </w:r>
      <w:r w:rsidRPr="003C68F0">
        <w:rPr>
          <w:rFonts w:ascii="Calibri" w:hAnsi="Calibri" w:cs="Calibri"/>
          <w:color w:val="000000" w:themeColor="text1"/>
          <w:sz w:val="20"/>
          <w:szCs w:val="20"/>
        </w:rPr>
        <w:t>Combination studies with novel agents with non-overlapping toxicities may augment responses. For example,</w:t>
      </w:r>
      <w:r w:rsidR="001455F4" w:rsidRPr="003C68F0">
        <w:rPr>
          <w:rFonts w:ascii="Calibri" w:hAnsi="Calibri" w:cs="Calibri"/>
          <w:color w:val="000000" w:themeColor="text1"/>
          <w:sz w:val="20"/>
          <w:szCs w:val="20"/>
        </w:rPr>
        <w:t xml:space="preserve"> mTORC1/2</w:t>
      </w:r>
      <w:r w:rsidR="000F55C5">
        <w:rPr>
          <w:rFonts w:ascii="Calibri" w:hAnsi="Calibri" w:cs="Calibri"/>
          <w:color w:val="000000" w:themeColor="text1"/>
          <w:sz w:val="20"/>
          <w:szCs w:val="20"/>
        </w:rPr>
        <w:t xml:space="preserve"> inhibitor </w:t>
      </w:r>
      <w:r w:rsidRPr="003C68F0">
        <w:rPr>
          <w:rFonts w:ascii="Calibri" w:hAnsi="Calibri" w:cs="Calibri"/>
          <w:color w:val="000000" w:themeColor="text1"/>
          <w:sz w:val="20"/>
          <w:szCs w:val="20"/>
        </w:rPr>
        <w:t>resistance has</w:t>
      </w:r>
      <w:r w:rsidR="00323494" w:rsidRPr="003C68F0">
        <w:rPr>
          <w:rFonts w:ascii="Calibri" w:hAnsi="Calibri" w:cs="Calibri"/>
          <w:color w:val="000000" w:themeColor="text1"/>
          <w:sz w:val="20"/>
          <w:szCs w:val="20"/>
        </w:rPr>
        <w:t xml:space="preserve"> been associated with BCL2 over</w:t>
      </w:r>
      <w:r w:rsidRPr="003C68F0">
        <w:rPr>
          <w:rFonts w:ascii="Calibri" w:hAnsi="Calibri" w:cs="Calibri"/>
          <w:color w:val="000000" w:themeColor="text1"/>
          <w:sz w:val="20"/>
          <w:szCs w:val="20"/>
        </w:rPr>
        <w:t>expression, an</w:t>
      </w:r>
      <w:r w:rsidR="001455F4" w:rsidRPr="003C68F0">
        <w:rPr>
          <w:rFonts w:ascii="Calibri" w:hAnsi="Calibri" w:cs="Calibri"/>
          <w:color w:val="000000" w:themeColor="text1"/>
          <w:sz w:val="20"/>
          <w:szCs w:val="20"/>
        </w:rPr>
        <w:t>d combination with BCL2</w:t>
      </w:r>
      <w:r w:rsidR="00CF3C73">
        <w:rPr>
          <w:rFonts w:ascii="Calibri" w:hAnsi="Calibri" w:cs="Calibri"/>
          <w:color w:val="000000" w:themeColor="text1"/>
          <w:sz w:val="20"/>
          <w:szCs w:val="20"/>
        </w:rPr>
        <w:t xml:space="preserve"> inhibition </w:t>
      </w:r>
      <w:r w:rsidR="001455F4" w:rsidRPr="003C68F0">
        <w:rPr>
          <w:rFonts w:ascii="Calibri" w:hAnsi="Calibri" w:cs="Calibri"/>
          <w:color w:val="000000" w:themeColor="text1"/>
          <w:sz w:val="20"/>
          <w:szCs w:val="20"/>
        </w:rPr>
        <w:t xml:space="preserve"> </w:t>
      </w:r>
      <w:r w:rsidRPr="003C68F0">
        <w:rPr>
          <w:rFonts w:ascii="Calibri" w:hAnsi="Calibri" w:cs="Calibri"/>
          <w:color w:val="000000" w:themeColor="text1"/>
          <w:sz w:val="20"/>
          <w:szCs w:val="20"/>
        </w:rPr>
        <w:t>has shown synergy in mouse models</w:t>
      </w:r>
      <w:r w:rsidR="00EB2D6D">
        <w:rPr>
          <w:rFonts w:ascii="Calibri" w:hAnsi="Calibri" w:cs="Calibri"/>
          <w:color w:val="000000" w:themeColor="text1"/>
          <w:sz w:val="20"/>
          <w:szCs w:val="20"/>
        </w:rPr>
        <w:t xml:space="preserve"> </w:t>
      </w:r>
      <w:r w:rsidR="00161A1C" w:rsidRPr="003C68F0">
        <w:rPr>
          <w:rFonts w:ascii="Calibri" w:hAnsi="Calibri" w:cs="Calibri"/>
          <w:color w:val="000000" w:themeColor="text1"/>
          <w:sz w:val="20"/>
          <w:szCs w:val="20"/>
        </w:rPr>
        <w:fldChar w:fldCharType="begin" w:fldLock="1"/>
      </w:r>
      <w:r w:rsidR="003C68F0" w:rsidRPr="003C68F0">
        <w:rPr>
          <w:rFonts w:ascii="Calibri" w:hAnsi="Calibri" w:cs="Calibri"/>
          <w:color w:val="000000" w:themeColor="text1"/>
          <w:sz w:val="20"/>
          <w:szCs w:val="20"/>
        </w:rPr>
        <w:instrText>ADDIN CSL_CITATION {"citationItems":[{"id":"ITEM-1","itemData":{"DOI":"10.3324/haematol.2016.159160","ISSN":"15928721","abstract":"Tor catalytic inhibitors lead to downregulation of mcl1 and bclxl and induced apoptosis.Torki did not affect the expression of bcl2. When they overexpressed Bcl2 this prevented apoptosis. The cells that were most sensitive to TORKi cell death were the ones that had a low level of bcl2, suggesting that bcl2 could play a role in resistance.","author":[{"dropping-particle":"","family":"Bi","given":"Chengfeng","non-dropping-particle":"","parse-names":false,"suffix":""},{"dropping-particle":"","family":"Zhang","given":"Xuan","non-dropping-particle":"","parse-names":false,"suffix":""},{"dropping-particle":"","family":"Lu","given":"Ting","non-dropping-particle":"","parse-names":false,"suffix":""},{"dropping-particle":"","family":"Zhang","given":"Xiaoyan","non-dropping-particle":"","parse-names":false,"suffix":""},{"dropping-particle":"","family":"Wang","given":"Xianhuo","non-dropping-particle":"","parse-names":false,"suffix":""},{"dropping-particle":"","family":"Meng","given":"Bin","non-dropping-particle":"","parse-names":false,"suffix":""},{"dropping-particle":"","family":"Zhang","given":"Huilai","non-dropping-particle":"","parse-names":false,"suffix":""},{"dropping-particle":"","family":"Wang","given":"Ping","non-dropping-particle":"","parse-names":false,"suffix":""},{"dropping-particle":"","family":"Vose","given":"Julie M.","non-dropping-particle":"","parse-names":false,"suffix":""},{"dropping-particle":"","family":"Chan","given":"Wing C.","non-dropping-particle":"","parse-names":false,"suffix":""},{"dropping-particle":"","family":"McKeithan","given":"Timothy W.","non-dropping-particle":"","parse-names":false,"suffix":""},{"dropping-particle":"","family":"Fu","given":"Kai","non-dropping-particle":"","parse-names":false,"suffix":""}],"container-title":"Haematologica","id":"ITEM-1","issue":"4","issued":{"date-parts":[["2017"]]},"page":"755-764","title":"Inhibition of 4EBP phosphorylation mediates the cytotoxic effect of mechanistic target of rapamycin kinase inhibitors in aggressive B-cell lymphomas","type":"article-journal","volume":"102"},"uris":["http://www.mendeley.com/documents/?uuid=15e9eea6-5a58-4b54-ae25-a975fed67e83"]}],"mendeley":{"formattedCitation":"&lt;sup&gt;16&lt;/sup&gt;","plainTextFormattedCitation":"16","previouslyFormattedCitation":"&lt;sup&gt;16&lt;/sup&gt;"},"properties":{"noteIndex":0},"schema":"https://github.com/citation-style-language/schema/raw/master/csl-citation.json"}</w:instrText>
      </w:r>
      <w:r w:rsidR="00161A1C" w:rsidRPr="003C68F0">
        <w:rPr>
          <w:rFonts w:ascii="Calibri" w:hAnsi="Calibri" w:cs="Calibri"/>
          <w:color w:val="000000" w:themeColor="text1"/>
          <w:sz w:val="20"/>
          <w:szCs w:val="20"/>
        </w:rPr>
        <w:fldChar w:fldCharType="separate"/>
      </w:r>
      <w:r w:rsidR="00B065BA" w:rsidRPr="003C68F0">
        <w:rPr>
          <w:rFonts w:ascii="Calibri" w:hAnsi="Calibri" w:cs="Calibri"/>
          <w:noProof/>
          <w:color w:val="000000" w:themeColor="text1"/>
          <w:sz w:val="20"/>
          <w:szCs w:val="20"/>
        </w:rPr>
        <w:t>16</w:t>
      </w:r>
      <w:r w:rsidR="00161A1C" w:rsidRPr="003C68F0">
        <w:rPr>
          <w:rFonts w:ascii="Calibri" w:hAnsi="Calibri" w:cs="Calibri"/>
          <w:color w:val="000000" w:themeColor="text1"/>
          <w:sz w:val="20"/>
          <w:szCs w:val="20"/>
        </w:rPr>
        <w:fldChar w:fldCharType="end"/>
      </w:r>
      <w:r w:rsidR="001455F4" w:rsidRPr="003C68F0">
        <w:rPr>
          <w:rFonts w:ascii="Calibri" w:hAnsi="Calibri" w:cs="Calibri"/>
          <w:color w:val="000000" w:themeColor="text1"/>
          <w:sz w:val="20"/>
          <w:szCs w:val="20"/>
        </w:rPr>
        <w:t xml:space="preserve">.  </w:t>
      </w:r>
      <w:r w:rsidR="00B70A75" w:rsidRPr="003C68F0">
        <w:rPr>
          <w:rFonts w:ascii="Calibri" w:hAnsi="Calibri" w:cs="Calibri"/>
          <w:color w:val="000000" w:themeColor="text1"/>
          <w:sz w:val="20"/>
          <w:szCs w:val="20"/>
        </w:rPr>
        <w:t xml:space="preserve">As demonstrated in Burkitt cell lines, </w:t>
      </w:r>
      <w:r w:rsidR="001455F4" w:rsidRPr="003C68F0">
        <w:rPr>
          <w:rFonts w:ascii="Calibri" w:hAnsi="Calibri" w:cs="Calibri"/>
          <w:color w:val="000000" w:themeColor="text1"/>
          <w:sz w:val="20"/>
          <w:szCs w:val="20"/>
        </w:rPr>
        <w:t>HDAC</w:t>
      </w:r>
      <w:r w:rsidR="004B5D67">
        <w:rPr>
          <w:rFonts w:ascii="Calibri" w:hAnsi="Calibri" w:cs="Calibri"/>
          <w:color w:val="000000" w:themeColor="text1"/>
          <w:sz w:val="20"/>
          <w:szCs w:val="20"/>
        </w:rPr>
        <w:t xml:space="preserve"> </w:t>
      </w:r>
      <w:r w:rsidR="001455F4" w:rsidRPr="003C68F0">
        <w:rPr>
          <w:rFonts w:ascii="Calibri" w:hAnsi="Calibri" w:cs="Calibri"/>
          <w:color w:val="000000" w:themeColor="text1"/>
          <w:sz w:val="20"/>
          <w:szCs w:val="20"/>
        </w:rPr>
        <w:t>i</w:t>
      </w:r>
      <w:r w:rsidR="004B5D67">
        <w:rPr>
          <w:rFonts w:ascii="Calibri" w:hAnsi="Calibri" w:cs="Calibri"/>
          <w:color w:val="000000" w:themeColor="text1"/>
          <w:sz w:val="20"/>
          <w:szCs w:val="20"/>
        </w:rPr>
        <w:t>nhibition</w:t>
      </w:r>
      <w:r w:rsidR="001455F4" w:rsidRPr="003C68F0">
        <w:rPr>
          <w:rFonts w:ascii="Calibri" w:hAnsi="Calibri" w:cs="Calibri"/>
          <w:color w:val="000000" w:themeColor="text1"/>
          <w:sz w:val="20"/>
          <w:szCs w:val="20"/>
        </w:rPr>
        <w:t xml:space="preserve"> </w:t>
      </w:r>
      <w:r w:rsidRPr="003C68F0">
        <w:rPr>
          <w:rFonts w:ascii="Calibri" w:hAnsi="Calibri" w:cs="Calibri"/>
          <w:color w:val="000000" w:themeColor="text1"/>
          <w:sz w:val="20"/>
          <w:szCs w:val="20"/>
        </w:rPr>
        <w:t>may overcome resistance through negative feedback pathways by causing de-phosphorylation of AKT and synergy</w:t>
      </w:r>
      <w:r w:rsidR="00EB2D6D">
        <w:rPr>
          <w:rFonts w:ascii="Calibri" w:hAnsi="Calibri" w:cs="Calibri"/>
          <w:color w:val="000000" w:themeColor="text1"/>
          <w:sz w:val="20"/>
          <w:szCs w:val="20"/>
        </w:rPr>
        <w:t xml:space="preserve"> </w:t>
      </w:r>
      <w:r w:rsidR="00161A1C" w:rsidRPr="003C68F0">
        <w:rPr>
          <w:rFonts w:ascii="Calibri" w:hAnsi="Calibri" w:cs="Calibri"/>
          <w:color w:val="000000" w:themeColor="text1"/>
          <w:sz w:val="20"/>
          <w:szCs w:val="20"/>
        </w:rPr>
        <w:fldChar w:fldCharType="begin" w:fldLock="1"/>
      </w:r>
      <w:r w:rsidR="003C68F0" w:rsidRPr="003C68F0">
        <w:rPr>
          <w:rFonts w:ascii="Calibri" w:hAnsi="Calibri" w:cs="Calibri"/>
          <w:color w:val="000000" w:themeColor="text1"/>
          <w:sz w:val="20"/>
          <w:szCs w:val="20"/>
        </w:rPr>
        <w:instrText>ADDIN CSL_CITATION {"citationItems":[{"id":"ITEM-1","itemData":{"DOI":"10.1186/1756-8722-6-53","ISSN":"1756-8722","PMID":"23866964","abstract":"BACKGROUND: Burkitt leukemia/lymphoma is a major subtype of aggressive B-cell lymphoma. Biological targeted therapies on this disease need to be further investigated and may help to improve the clinical outcome of the patients.\\n\\nMETHODS: This study examined the anti-tumor activity of the histone deacetylases (HDAC) inhibitor valproic acid (VPA) combined with the mammalian target of rapamycin (MTOR) inhibitor temsirolimus in Burkitt leukemia/lymphoma cell lines, as well as in primary tumor cells and a murine xenograft model.\\n\\nRESULTS: Co-treatment of VPA and temsirolimus synergistically inhibited the tumor cell growth and triggered the autophagic cell death, with a significant inhibition of MTOR signaling and MYC oncoprotein. Functioned as a class I HDAC inhibitor, VPA potentiated the effect of temsirolimus on autophagy through inhibiting HDAC1. Molecular silencing of HDAC1 using small interfering RNA (siRNA) attenuated VPA-mediated regulation of CDKN1A, CDKN1B and LC3-I/II, regression of tumor cell growth and induction of autophagy. Meanwhile, VPA counteracted temsirolimus-induced AKT activation via HDAC3 inhibition. HDAC3 siRNA abrogated the ability of VPA to modulate AKT phosphorylation, to suppress tumor cell growth and to induce autophagy. Strong antitumor effect was also observed on primary tumor cells while sparing normal hematopoiesis ex vivo. In a murine xenograft model established with subcutaneous injection of Namalwa cells, dual treatment efficiently blocked tumor growth, inhibited MYC and induced in situ autophagy.\\n\\nCONCLUSIONS: These findings confirmed the synergistic effect of the HDAC and MTOR inhibitors on Burkitt leukemia/lymphoma, and provided an insight into clinical application of targeting autophagy in treating MYC-associated lymphoid malignancies.","author":[{"dropping-particle":"","family":"Dong","given":"Li Hua","non-dropping-particle":"","parse-names":false,"suffix":""},{"dropping-particle":"","family":"Cheng","given":"Shu","non-dropping-particle":"","parse-names":false,"suffix":""},{"dropping-particle":"","family":"Zheng","given":"Zhong","non-dropping-particle":"","parse-names":false,"suffix":""},{"dropping-particle":"","family":"Wang","given":"Li","non-dropping-particle":"","parse-names":false,"suffix":""},{"dropping-particle":"","family":"Shen","given":"Yang","non-dropping-particle":"","parse-names":false,"suffix":""},{"dropping-particle":"","family":"Shen","given":"Zhi Xiang","non-dropping-particle":"","parse-names":false,"suffix":""},{"dropping-particle":"","family":"Chen","given":"Sai Juan","non-dropping-particle":"","parse-names":false,"suffix":""},{"dropping-particle":"","family":"Zhao","given":"Wei Li","non-dropping-particle":"","parse-names":false,"suffix":""}],"container-title":"Journal of hematology &amp; oncology","id":"ITEM-1","issued":{"date-parts":[["2013"]]},"page":"53","title":"Histone deacetylase inhibitor potentiated the ability of MTOR inhibitor to induce autophagic cell death in Burkitt leukemia/lymphoma.","type":"article-journal","volume":"6"},"uris":["http://www.mendeley.com/documents/?uuid=cbe1fbb3-74f0-4b42-8e03-ff6fd486fc47"]}],"mendeley":{"formattedCitation":"&lt;sup&gt;17&lt;/sup&gt;","plainTextFormattedCitation":"17","previouslyFormattedCitation":"&lt;sup&gt;17&lt;/sup&gt;"},"properties":{"noteIndex":0},"schema":"https://github.com/citation-style-language/schema/raw/master/csl-citation.json"}</w:instrText>
      </w:r>
      <w:r w:rsidR="00161A1C" w:rsidRPr="003C68F0">
        <w:rPr>
          <w:rFonts w:ascii="Calibri" w:hAnsi="Calibri" w:cs="Calibri"/>
          <w:color w:val="000000" w:themeColor="text1"/>
          <w:sz w:val="20"/>
          <w:szCs w:val="20"/>
        </w:rPr>
        <w:fldChar w:fldCharType="separate"/>
      </w:r>
      <w:r w:rsidR="00B065BA" w:rsidRPr="003C68F0">
        <w:rPr>
          <w:rFonts w:ascii="Calibri" w:hAnsi="Calibri" w:cs="Calibri"/>
          <w:noProof/>
          <w:color w:val="000000" w:themeColor="text1"/>
          <w:sz w:val="20"/>
          <w:szCs w:val="20"/>
        </w:rPr>
        <w:t>17</w:t>
      </w:r>
      <w:r w:rsidR="00161A1C" w:rsidRPr="003C68F0">
        <w:rPr>
          <w:rFonts w:ascii="Calibri" w:hAnsi="Calibri" w:cs="Calibri"/>
          <w:color w:val="000000" w:themeColor="text1"/>
          <w:sz w:val="20"/>
          <w:szCs w:val="20"/>
        </w:rPr>
        <w:fldChar w:fldCharType="end"/>
      </w:r>
      <w:r w:rsidRPr="003C68F0">
        <w:rPr>
          <w:rFonts w:ascii="Calibri" w:hAnsi="Calibri" w:cs="Calibri"/>
          <w:color w:val="000000" w:themeColor="text1"/>
          <w:sz w:val="20"/>
          <w:szCs w:val="20"/>
        </w:rPr>
        <w:t>.</w:t>
      </w:r>
      <w:r w:rsidR="00394F92" w:rsidRPr="003C68F0">
        <w:rPr>
          <w:rFonts w:ascii="Calibri" w:hAnsi="Calibri" w:cs="Calibri"/>
          <w:color w:val="000000" w:themeColor="text1"/>
          <w:sz w:val="20"/>
          <w:szCs w:val="20"/>
        </w:rPr>
        <w:t xml:space="preserve"> Ibrutinib </w:t>
      </w:r>
      <w:r w:rsidRPr="003C68F0">
        <w:rPr>
          <w:rFonts w:ascii="Calibri" w:hAnsi="Calibri" w:cs="Calibri"/>
          <w:color w:val="000000" w:themeColor="text1"/>
          <w:sz w:val="20"/>
          <w:szCs w:val="20"/>
        </w:rPr>
        <w:t>and vistusertib</w:t>
      </w:r>
      <w:r w:rsidR="00394F92" w:rsidRPr="003C68F0">
        <w:rPr>
          <w:rFonts w:ascii="Calibri" w:hAnsi="Calibri" w:cs="Calibri"/>
          <w:color w:val="000000" w:themeColor="text1"/>
          <w:sz w:val="20"/>
          <w:szCs w:val="20"/>
        </w:rPr>
        <w:t xml:space="preserve"> </w:t>
      </w:r>
      <w:r w:rsidR="001455F4" w:rsidRPr="003C68F0">
        <w:rPr>
          <w:rFonts w:ascii="Calibri" w:hAnsi="Calibri" w:cs="Calibri"/>
          <w:color w:val="000000" w:themeColor="text1"/>
          <w:sz w:val="20"/>
          <w:szCs w:val="20"/>
        </w:rPr>
        <w:t>are synergistic</w:t>
      </w:r>
      <w:r w:rsidRPr="003C68F0">
        <w:rPr>
          <w:rFonts w:ascii="Calibri" w:hAnsi="Calibri" w:cs="Calibri"/>
          <w:color w:val="000000" w:themeColor="text1"/>
          <w:sz w:val="20"/>
          <w:szCs w:val="20"/>
        </w:rPr>
        <w:t xml:space="preserve"> in ABC DLBCL cell lines and in a xenograft model, possibly through cooperative inhibition of oncogene tra</w:t>
      </w:r>
      <w:r w:rsidR="00323494" w:rsidRPr="003C68F0">
        <w:rPr>
          <w:rFonts w:ascii="Calibri" w:hAnsi="Calibri" w:cs="Calibri"/>
          <w:color w:val="000000" w:themeColor="text1"/>
          <w:sz w:val="20"/>
          <w:szCs w:val="20"/>
        </w:rPr>
        <w:t>nslation and abolition of cross</w:t>
      </w:r>
      <w:r w:rsidRPr="003C68F0">
        <w:rPr>
          <w:rFonts w:ascii="Calibri" w:hAnsi="Calibri" w:cs="Calibri"/>
          <w:color w:val="000000" w:themeColor="text1"/>
          <w:sz w:val="20"/>
          <w:szCs w:val="20"/>
        </w:rPr>
        <w:t>talk signalling between mTOR and NFkB-STAT3 pathways</w:t>
      </w:r>
      <w:r w:rsidR="009E24D1">
        <w:rPr>
          <w:rFonts w:ascii="Calibri" w:hAnsi="Calibri" w:cs="Calibri"/>
          <w:color w:val="000000" w:themeColor="text1"/>
          <w:sz w:val="20"/>
          <w:szCs w:val="20"/>
        </w:rPr>
        <w:t xml:space="preserve"> </w:t>
      </w:r>
      <w:r w:rsidR="00161A1C" w:rsidRPr="003C68F0">
        <w:rPr>
          <w:rFonts w:ascii="Calibri" w:hAnsi="Calibri" w:cs="Calibri"/>
          <w:color w:val="000000" w:themeColor="text1"/>
          <w:sz w:val="20"/>
          <w:szCs w:val="20"/>
        </w:rPr>
        <w:fldChar w:fldCharType="begin" w:fldLock="1"/>
      </w:r>
      <w:r w:rsidR="008836A0" w:rsidRPr="003C68F0">
        <w:rPr>
          <w:rFonts w:ascii="Calibri" w:hAnsi="Calibri" w:cs="Calibri"/>
          <w:color w:val="000000" w:themeColor="text1"/>
          <w:sz w:val="20"/>
          <w:szCs w:val="20"/>
        </w:rPr>
        <w:instrText>ADDIN CSL_CITATION {"citationItems":[{"id":"ITEM-1","itemData":{"DOI":"10.18632/oncotarget.7036","ISBN":"1949-2553","ISSN":"1949-2553","PMID":"26824321","abstract":"//     Scott A. Ezell 1 , Suping Wang 1 , Teeru Bihani 1 , Zhongwu Lai 1 , Shaun E. Grosskurth 1 , Suprawee Tepsuporn 1 , Barry R. Davies 2 , Dennis Huszar 1  and Kate F. Byth 1     1  AstraZeneca Oncology, Waltham, Massachusetts, MA, USA    2  AstraZeneca Oncology, Macclesfield, Cheshire, UK   Correspondence to:   Kate F. Byth, email:  //       Keywords : mTOR, DLBCL, AKT, Ibrutinib, S6K1    Received : July 15, 2015  Accepted : January 19, 2016  Published : January 27, 2016    Abstract   Agents that target components of the PI3K/AKT/mTOR pathway are under investigation for the treatment of diffuse large B cell lymphoma (DLBCL). Given the highly heterogeneous nature of DLBCL, it is not clear whether all subtypes of DLBCL will be susceptible to PI3K pathway inhibition, or which kinase within this pathway is the most favorable target. Pharmacological profiling of a panel of DLBCL cell lines revealed a subset of DLBCL that was resistant to AKT inhibition. Strikingly, sensitivity to AKT inhibitors correlated with the ability of these inhibitors to block phosphorylation of S6K1 and ribosomal protein S6. Cell lines resistant to AKT inhibition activated S6K1 independent of AKT either through upregulation of PIM2 or through activation by B cell receptor (BCR) signaling components. Finally, combined inhibition of AKT and BTK, PIM2, or S6K1 proved to be an effective strategy to overcome resistance to AKT inhibition in DLBCL.","author":[{"dropping-particle":"","family":"Ezell","given":"Scott A.","non-dropping-particle":"","parse-names":false,"suffix":""},{"dropping-particle":"","family":"Wang","given":"Suping","non-dropping-particle":"","parse-names":false,"suffix":""},{"dropping-particle":"","family":"Bihani","given":"Teeru","non-dropping-particle":"","parse-names":false,"suffix":""},{"dropping-particle":"","family":"Lai","given":"Zhongwu","non-dropping-particle":"","parse-names":false,"suffix":""},{"dropping-particle":"","family":"Grosskurth","given":"Shaun E.","non-dropping-particle":"","parse-names":false,"suffix":""},{"dropping-particle":"","family":"Tepsuporn","given":"Suprawee","non-dropping-particle":"","parse-names":false,"suffix":""},{"dropping-particle":"","family":"Davies","given":"Barry R.","non-dropping-particle":"","parse-names":false,"suffix":""},{"dropping-particle":"","family":"Huszar","given":"Dennis","non-dropping-particle":"","parse-names":false,"suffix":""},{"dropping-particle":"","family":"Byth","given":"Kate F.","non-dropping-particle":"","parse-names":false,"suffix":""}],"container-title":"Oncotarget","id":"ITEM-1","issue":"8","issued":{"date-parts":[["2016"]]},"title":"Differential regulation of mTOR signaling determines sensitivity to AKT inhibition in diffuse large B cell lymphoma","type":"article-journal","volume":"5"},"uris":["http://www.mendeley.com/documents/?uuid=a12d13e0-6807-4516-90ce-8a348cd9290d"]}],"mendeley":{"formattedCitation":"&lt;sup&gt;4&lt;/sup&gt;","plainTextFormattedCitation":"4","previouslyFormattedCitation":"&lt;sup&gt;4&lt;/sup&gt;"},"properties":{"noteIndex":0},"schema":"https://github.com/citation-style-language/schema/raw/master/csl-citation.json"}</w:instrText>
      </w:r>
      <w:r w:rsidR="00161A1C" w:rsidRPr="003C68F0">
        <w:rPr>
          <w:rFonts w:ascii="Calibri" w:hAnsi="Calibri" w:cs="Calibri"/>
          <w:color w:val="000000" w:themeColor="text1"/>
          <w:sz w:val="20"/>
          <w:szCs w:val="20"/>
        </w:rPr>
        <w:fldChar w:fldCharType="separate"/>
      </w:r>
      <w:r w:rsidR="00161A1C" w:rsidRPr="003C68F0">
        <w:rPr>
          <w:rFonts w:ascii="Calibri" w:hAnsi="Calibri" w:cs="Calibri"/>
          <w:noProof/>
          <w:color w:val="000000" w:themeColor="text1"/>
          <w:sz w:val="20"/>
          <w:szCs w:val="20"/>
        </w:rPr>
        <w:t>4</w:t>
      </w:r>
      <w:r w:rsidR="00161A1C" w:rsidRPr="003C68F0">
        <w:rPr>
          <w:rFonts w:ascii="Calibri" w:hAnsi="Calibri" w:cs="Calibri"/>
          <w:color w:val="000000" w:themeColor="text1"/>
          <w:sz w:val="20"/>
          <w:szCs w:val="20"/>
        </w:rPr>
        <w:fldChar w:fldCharType="end"/>
      </w:r>
      <w:r w:rsidRPr="003C68F0">
        <w:rPr>
          <w:rFonts w:ascii="Calibri" w:hAnsi="Calibri" w:cs="Calibri"/>
          <w:color w:val="000000" w:themeColor="text1"/>
          <w:sz w:val="20"/>
          <w:szCs w:val="20"/>
        </w:rPr>
        <w:t xml:space="preserve"> </w:t>
      </w:r>
      <w:r w:rsidR="00323494" w:rsidRPr="003C68F0">
        <w:rPr>
          <w:rFonts w:ascii="Calibri" w:hAnsi="Calibri" w:cs="Calibri"/>
          <w:color w:val="000000" w:themeColor="text1"/>
          <w:sz w:val="20"/>
          <w:szCs w:val="20"/>
        </w:rPr>
        <w:t>and a BTK</w:t>
      </w:r>
      <w:r w:rsidR="004B5D67">
        <w:rPr>
          <w:rFonts w:ascii="Calibri" w:hAnsi="Calibri" w:cs="Calibri"/>
          <w:color w:val="000000" w:themeColor="text1"/>
          <w:sz w:val="20"/>
          <w:szCs w:val="20"/>
        </w:rPr>
        <w:t xml:space="preserve"> </w:t>
      </w:r>
      <w:r w:rsidR="00323494" w:rsidRPr="003C68F0">
        <w:rPr>
          <w:rFonts w:ascii="Calibri" w:hAnsi="Calibri" w:cs="Calibri"/>
          <w:color w:val="000000" w:themeColor="text1"/>
          <w:sz w:val="20"/>
          <w:szCs w:val="20"/>
        </w:rPr>
        <w:t>i</w:t>
      </w:r>
      <w:r w:rsidR="004B5D67">
        <w:rPr>
          <w:rFonts w:ascii="Calibri" w:hAnsi="Calibri" w:cs="Calibri"/>
          <w:color w:val="000000" w:themeColor="text1"/>
          <w:sz w:val="20"/>
          <w:szCs w:val="20"/>
        </w:rPr>
        <w:t>nhibitor</w:t>
      </w:r>
      <w:r w:rsidR="009E24D1">
        <w:rPr>
          <w:rFonts w:ascii="Calibri" w:hAnsi="Calibri" w:cs="Calibri"/>
          <w:color w:val="000000" w:themeColor="text1"/>
          <w:sz w:val="20"/>
          <w:szCs w:val="20"/>
        </w:rPr>
        <w:t xml:space="preserve"> plu</w:t>
      </w:r>
      <w:r w:rsidR="000F55C5">
        <w:rPr>
          <w:rFonts w:ascii="Calibri" w:hAnsi="Calibri" w:cs="Calibri"/>
          <w:color w:val="000000" w:themeColor="text1"/>
          <w:sz w:val="20"/>
          <w:szCs w:val="20"/>
        </w:rPr>
        <w:t>s</w:t>
      </w:r>
      <w:r w:rsidR="009E24D1">
        <w:rPr>
          <w:rFonts w:ascii="Calibri" w:hAnsi="Calibri" w:cs="Calibri"/>
          <w:color w:val="000000" w:themeColor="text1"/>
          <w:sz w:val="20"/>
          <w:szCs w:val="20"/>
        </w:rPr>
        <w:t xml:space="preserve"> </w:t>
      </w:r>
      <w:r w:rsidR="00323494" w:rsidRPr="003C68F0">
        <w:rPr>
          <w:rFonts w:ascii="Calibri" w:hAnsi="Calibri" w:cs="Calibri"/>
          <w:color w:val="000000" w:themeColor="text1"/>
          <w:sz w:val="20"/>
          <w:szCs w:val="20"/>
        </w:rPr>
        <w:t>mTORC1/</w:t>
      </w:r>
      <w:r w:rsidR="00394F92" w:rsidRPr="003C68F0">
        <w:rPr>
          <w:rFonts w:ascii="Calibri" w:hAnsi="Calibri" w:cs="Calibri"/>
          <w:color w:val="000000" w:themeColor="text1"/>
          <w:sz w:val="20"/>
          <w:szCs w:val="20"/>
        </w:rPr>
        <w:t>2</w:t>
      </w:r>
      <w:r w:rsidR="000F55C5">
        <w:rPr>
          <w:rFonts w:ascii="Calibri" w:hAnsi="Calibri" w:cs="Calibri"/>
          <w:color w:val="000000" w:themeColor="text1"/>
          <w:sz w:val="20"/>
          <w:szCs w:val="20"/>
        </w:rPr>
        <w:t xml:space="preserve"> inhibitor </w:t>
      </w:r>
      <w:r w:rsidR="00394F92" w:rsidRPr="003C68F0">
        <w:rPr>
          <w:rFonts w:ascii="Calibri" w:hAnsi="Calibri" w:cs="Calibri"/>
          <w:color w:val="000000" w:themeColor="text1"/>
          <w:sz w:val="20"/>
          <w:szCs w:val="20"/>
        </w:rPr>
        <w:t>combination is currently being evaluated</w:t>
      </w:r>
      <w:r w:rsidR="00057A85" w:rsidRPr="003C68F0">
        <w:rPr>
          <w:rFonts w:ascii="Calibri" w:hAnsi="Calibri" w:cs="Calibri"/>
          <w:color w:val="000000" w:themeColor="text1"/>
          <w:sz w:val="20"/>
          <w:szCs w:val="20"/>
        </w:rPr>
        <w:t>.</w:t>
      </w:r>
    </w:p>
    <w:p w14:paraId="4FB37357" w14:textId="4977F03C" w:rsidR="00B065BA" w:rsidRPr="003C68F0" w:rsidRDefault="00B065BA" w:rsidP="00B065BA">
      <w:pPr>
        <w:spacing w:line="360" w:lineRule="auto"/>
        <w:rPr>
          <w:rFonts w:ascii="Calibri" w:hAnsi="Calibri" w:cs="Calibri"/>
          <w:color w:val="000000" w:themeColor="text1"/>
          <w:sz w:val="20"/>
          <w:szCs w:val="20"/>
        </w:rPr>
      </w:pPr>
    </w:p>
    <w:p w14:paraId="19480DA2" w14:textId="09CB588B" w:rsidR="002F6C55" w:rsidRPr="003C68F0" w:rsidRDefault="002F6C55" w:rsidP="00B065BA">
      <w:pPr>
        <w:spacing w:line="360" w:lineRule="auto"/>
        <w:rPr>
          <w:rFonts w:ascii="Calibri" w:hAnsi="Calibri" w:cs="Calibri"/>
          <w:b/>
          <w:color w:val="000000" w:themeColor="text1"/>
          <w:sz w:val="20"/>
          <w:szCs w:val="20"/>
        </w:rPr>
      </w:pPr>
      <w:r w:rsidRPr="003C68F0">
        <w:rPr>
          <w:rFonts w:ascii="Calibri" w:hAnsi="Calibri" w:cs="Calibri"/>
          <w:b/>
          <w:color w:val="000000" w:themeColor="text1"/>
          <w:sz w:val="20"/>
          <w:szCs w:val="20"/>
        </w:rPr>
        <w:t>Conclusion</w:t>
      </w:r>
    </w:p>
    <w:p w14:paraId="5910915B" w14:textId="3BFC2641" w:rsidR="002F6C55" w:rsidRPr="003C68F0" w:rsidRDefault="002F6C55" w:rsidP="00B065BA">
      <w:pPr>
        <w:spacing w:line="360" w:lineRule="auto"/>
        <w:rPr>
          <w:rFonts w:ascii="Calibri" w:hAnsi="Calibri" w:cs="Calibri"/>
          <w:color w:val="000000" w:themeColor="text1"/>
          <w:sz w:val="20"/>
          <w:szCs w:val="20"/>
        </w:rPr>
      </w:pPr>
      <w:r w:rsidRPr="003C68F0">
        <w:rPr>
          <w:rFonts w:ascii="Calibri" w:hAnsi="Calibri" w:cs="Calibri"/>
          <w:color w:val="000000" w:themeColor="text1"/>
          <w:sz w:val="20"/>
          <w:szCs w:val="20"/>
        </w:rPr>
        <w:t xml:space="preserve">Targeting the mTORC1 and mTORC2 complexes with the dual mTORC1/2 inhibitor vistusertib did not clearly improve on outcomes documented with mTORC1 inhibitors in patients with relapsed or refractory DLBCL. </w:t>
      </w:r>
    </w:p>
    <w:p w14:paraId="1DFE1637" w14:textId="77777777" w:rsidR="002F6C55" w:rsidRPr="003C68F0" w:rsidRDefault="002F6C55" w:rsidP="00B065BA">
      <w:pPr>
        <w:spacing w:line="360" w:lineRule="auto"/>
        <w:rPr>
          <w:rFonts w:ascii="Calibri" w:hAnsi="Calibri" w:cs="Calibri"/>
          <w:color w:val="000000" w:themeColor="text1"/>
          <w:sz w:val="20"/>
          <w:szCs w:val="20"/>
        </w:rPr>
      </w:pPr>
    </w:p>
    <w:p w14:paraId="3CC40FB3" w14:textId="717647AB" w:rsidR="003C68F0" w:rsidRPr="003C68F0" w:rsidRDefault="00B065BA" w:rsidP="003C68F0">
      <w:pPr>
        <w:widowControl w:val="0"/>
        <w:autoSpaceDE w:val="0"/>
        <w:autoSpaceDN w:val="0"/>
        <w:adjustRightInd w:val="0"/>
        <w:spacing w:line="360" w:lineRule="auto"/>
        <w:ind w:left="640" w:hanging="640"/>
        <w:rPr>
          <w:rFonts w:ascii="Calibri" w:hAnsi="Calibri" w:cs="Calibri"/>
          <w:noProof/>
          <w:sz w:val="20"/>
          <w:lang w:val="en-US"/>
        </w:rPr>
      </w:pPr>
      <w:r w:rsidRPr="003C68F0">
        <w:rPr>
          <w:rFonts w:ascii="Calibri" w:hAnsi="Calibri" w:cs="Calibri"/>
          <w:color w:val="000000" w:themeColor="text1"/>
          <w:sz w:val="20"/>
          <w:szCs w:val="20"/>
        </w:rPr>
        <w:fldChar w:fldCharType="begin" w:fldLock="1"/>
      </w:r>
      <w:r w:rsidRPr="003C68F0">
        <w:rPr>
          <w:rFonts w:ascii="Calibri" w:hAnsi="Calibri" w:cs="Calibri"/>
          <w:color w:val="000000" w:themeColor="text1"/>
          <w:sz w:val="20"/>
          <w:szCs w:val="20"/>
        </w:rPr>
        <w:instrText xml:space="preserve">ADDIN Mendeley Bibliography CSL_BIBLIOGRAPHY </w:instrText>
      </w:r>
      <w:r w:rsidRPr="003C68F0">
        <w:rPr>
          <w:rFonts w:ascii="Calibri" w:hAnsi="Calibri" w:cs="Calibri"/>
          <w:color w:val="000000" w:themeColor="text1"/>
          <w:sz w:val="20"/>
          <w:szCs w:val="20"/>
        </w:rPr>
        <w:fldChar w:fldCharType="separate"/>
      </w:r>
      <w:r w:rsidR="003C68F0" w:rsidRPr="003C68F0">
        <w:rPr>
          <w:rFonts w:ascii="Calibri" w:hAnsi="Calibri" w:cs="Calibri"/>
          <w:noProof/>
          <w:sz w:val="20"/>
          <w:lang w:val="en-US"/>
        </w:rPr>
        <w:t xml:space="preserve">1. </w:t>
      </w:r>
      <w:r w:rsidR="003C68F0" w:rsidRPr="003C68F0">
        <w:rPr>
          <w:rFonts w:ascii="Calibri" w:hAnsi="Calibri" w:cs="Calibri"/>
          <w:noProof/>
          <w:sz w:val="20"/>
          <w:lang w:val="en-US"/>
        </w:rPr>
        <w:tab/>
        <w:t xml:space="preserve">Van Den Neste E, Schmitz N, Mounier N, et al. Outcome of patients with relapsed diffuse large B-cell lymphoma who fail second-line salvage regimens in the International CORAL study. </w:t>
      </w:r>
      <w:r w:rsidR="003C68F0" w:rsidRPr="003C68F0">
        <w:rPr>
          <w:rFonts w:ascii="Calibri" w:hAnsi="Calibri" w:cs="Calibri"/>
          <w:i/>
          <w:iCs/>
          <w:noProof/>
          <w:sz w:val="20"/>
          <w:lang w:val="en-US"/>
        </w:rPr>
        <w:t>Bone Marrow Transplant</w:t>
      </w:r>
      <w:r w:rsidR="003C68F0" w:rsidRPr="003C68F0">
        <w:rPr>
          <w:rFonts w:ascii="Calibri" w:hAnsi="Calibri" w:cs="Calibri"/>
          <w:noProof/>
          <w:sz w:val="20"/>
          <w:lang w:val="en-US"/>
        </w:rPr>
        <w:t>. 2016;51(1):51-57.</w:t>
      </w:r>
    </w:p>
    <w:p w14:paraId="489B2C28" w14:textId="61A84FF9" w:rsidR="003C68F0" w:rsidRPr="003C68F0" w:rsidRDefault="003C68F0" w:rsidP="003C68F0">
      <w:pPr>
        <w:widowControl w:val="0"/>
        <w:autoSpaceDE w:val="0"/>
        <w:autoSpaceDN w:val="0"/>
        <w:adjustRightInd w:val="0"/>
        <w:spacing w:line="360" w:lineRule="auto"/>
        <w:ind w:left="640" w:hanging="640"/>
        <w:rPr>
          <w:rFonts w:ascii="Calibri" w:hAnsi="Calibri" w:cs="Calibri"/>
          <w:noProof/>
          <w:sz w:val="20"/>
          <w:lang w:val="en-US"/>
        </w:rPr>
      </w:pPr>
      <w:r w:rsidRPr="003C68F0">
        <w:rPr>
          <w:rFonts w:ascii="Calibri" w:hAnsi="Calibri" w:cs="Calibri"/>
          <w:noProof/>
          <w:sz w:val="20"/>
          <w:lang w:val="en-US"/>
        </w:rPr>
        <w:t xml:space="preserve">2. </w:t>
      </w:r>
      <w:r w:rsidRPr="003C68F0">
        <w:rPr>
          <w:rFonts w:ascii="Calibri" w:hAnsi="Calibri" w:cs="Calibri"/>
          <w:noProof/>
          <w:sz w:val="20"/>
          <w:lang w:val="en-US"/>
        </w:rPr>
        <w:tab/>
        <w:t xml:space="preserve">Crump M, Neelapu SS, Farooq U, et al. Outcomes in refractory diffuse large B-cell lymphoma: Results from the international SCHOLAR-1 study. </w:t>
      </w:r>
      <w:r w:rsidRPr="003C68F0">
        <w:rPr>
          <w:rFonts w:ascii="Calibri" w:hAnsi="Calibri" w:cs="Calibri"/>
          <w:i/>
          <w:iCs/>
          <w:noProof/>
          <w:sz w:val="20"/>
          <w:lang w:val="en-US"/>
        </w:rPr>
        <w:t>Blood</w:t>
      </w:r>
      <w:r w:rsidRPr="003C68F0">
        <w:rPr>
          <w:rFonts w:ascii="Calibri" w:hAnsi="Calibri" w:cs="Calibri"/>
          <w:noProof/>
          <w:sz w:val="20"/>
          <w:lang w:val="en-US"/>
        </w:rPr>
        <w:t xml:space="preserve">. 2017;130(16):1800-1808. </w:t>
      </w:r>
    </w:p>
    <w:p w14:paraId="03F9C41D" w14:textId="06CE80CA" w:rsidR="003C68F0" w:rsidRPr="003C68F0" w:rsidRDefault="003C68F0" w:rsidP="003C68F0">
      <w:pPr>
        <w:widowControl w:val="0"/>
        <w:autoSpaceDE w:val="0"/>
        <w:autoSpaceDN w:val="0"/>
        <w:adjustRightInd w:val="0"/>
        <w:spacing w:line="360" w:lineRule="auto"/>
        <w:ind w:left="640" w:hanging="640"/>
        <w:rPr>
          <w:rFonts w:ascii="Calibri" w:hAnsi="Calibri" w:cs="Calibri"/>
          <w:noProof/>
          <w:sz w:val="20"/>
          <w:lang w:val="en-US"/>
        </w:rPr>
      </w:pPr>
      <w:r w:rsidRPr="003C68F0">
        <w:rPr>
          <w:rFonts w:ascii="Calibri" w:hAnsi="Calibri" w:cs="Calibri"/>
          <w:noProof/>
          <w:sz w:val="20"/>
          <w:lang w:val="en-US"/>
        </w:rPr>
        <w:t xml:space="preserve">3. </w:t>
      </w:r>
      <w:r w:rsidRPr="003C68F0">
        <w:rPr>
          <w:rFonts w:ascii="Calibri" w:hAnsi="Calibri" w:cs="Calibri"/>
          <w:noProof/>
          <w:sz w:val="20"/>
          <w:lang w:val="en-US"/>
        </w:rPr>
        <w:tab/>
        <w:t>Uddin S, Hussain AR, Siraj AK, et al. Role of phosphatidylinositol 3</w:t>
      </w:r>
      <w:r w:rsidR="009860D6">
        <w:rPr>
          <w:rFonts w:ascii="Calibri" w:hAnsi="Calibri" w:cs="Calibri"/>
          <w:noProof/>
          <w:sz w:val="20"/>
          <w:lang w:val="en-US"/>
        </w:rPr>
        <w:t>'</w:t>
      </w:r>
      <w:r w:rsidRPr="003C68F0">
        <w:rPr>
          <w:rFonts w:ascii="Calibri" w:hAnsi="Calibri" w:cs="Calibri"/>
          <w:noProof/>
          <w:sz w:val="20"/>
          <w:lang w:val="en-US"/>
        </w:rPr>
        <w:t xml:space="preserve">-kinase/AKT pathway in diffuse large B-cell lymphoma survival. </w:t>
      </w:r>
      <w:r w:rsidRPr="003C68F0">
        <w:rPr>
          <w:rFonts w:ascii="Calibri" w:hAnsi="Calibri" w:cs="Calibri"/>
          <w:i/>
          <w:iCs/>
          <w:noProof/>
          <w:sz w:val="20"/>
          <w:lang w:val="en-US"/>
        </w:rPr>
        <w:t>Blood</w:t>
      </w:r>
      <w:r w:rsidRPr="003C68F0">
        <w:rPr>
          <w:rFonts w:ascii="Calibri" w:hAnsi="Calibri" w:cs="Calibri"/>
          <w:noProof/>
          <w:sz w:val="20"/>
          <w:lang w:val="en-US"/>
        </w:rPr>
        <w:t xml:space="preserve">. 2006;108(13):4178-4186. </w:t>
      </w:r>
    </w:p>
    <w:p w14:paraId="6B1ACFD7" w14:textId="5AA3E55C" w:rsidR="009860D6" w:rsidRPr="003C68F0" w:rsidRDefault="003C68F0" w:rsidP="009860D6">
      <w:pPr>
        <w:widowControl w:val="0"/>
        <w:autoSpaceDE w:val="0"/>
        <w:autoSpaceDN w:val="0"/>
        <w:adjustRightInd w:val="0"/>
        <w:spacing w:line="360" w:lineRule="auto"/>
        <w:ind w:left="640" w:hanging="640"/>
        <w:rPr>
          <w:rFonts w:ascii="Calibri" w:hAnsi="Calibri" w:cs="Calibri"/>
          <w:noProof/>
          <w:sz w:val="20"/>
          <w:lang w:val="en-US"/>
        </w:rPr>
      </w:pPr>
      <w:r w:rsidRPr="003C68F0">
        <w:rPr>
          <w:rFonts w:ascii="Calibri" w:hAnsi="Calibri" w:cs="Calibri"/>
          <w:noProof/>
          <w:sz w:val="20"/>
          <w:lang w:val="en-US"/>
        </w:rPr>
        <w:t xml:space="preserve">4. </w:t>
      </w:r>
      <w:r w:rsidRPr="003C68F0">
        <w:rPr>
          <w:rFonts w:ascii="Calibri" w:hAnsi="Calibri" w:cs="Calibri"/>
          <w:noProof/>
          <w:sz w:val="20"/>
          <w:lang w:val="en-US"/>
        </w:rPr>
        <w:tab/>
        <w:t xml:space="preserve">Ezell SA, Wang S, Bihani T, et al. Differential regulation of mTOR signaling determines sensitivity to AKT inhibition in diffuse large B cell lymphoma. </w:t>
      </w:r>
      <w:r w:rsidRPr="003C68F0">
        <w:rPr>
          <w:rFonts w:ascii="Calibri" w:hAnsi="Calibri" w:cs="Calibri"/>
          <w:i/>
          <w:iCs/>
          <w:noProof/>
          <w:sz w:val="20"/>
          <w:lang w:val="en-US"/>
        </w:rPr>
        <w:t>Oncotarget</w:t>
      </w:r>
      <w:r w:rsidRPr="003C68F0">
        <w:rPr>
          <w:rFonts w:ascii="Calibri" w:hAnsi="Calibri" w:cs="Calibri"/>
          <w:noProof/>
          <w:sz w:val="20"/>
          <w:lang w:val="en-US"/>
        </w:rPr>
        <w:t>. 2016;</w:t>
      </w:r>
      <w:r w:rsidR="009860D6">
        <w:rPr>
          <w:rFonts w:ascii="Calibri" w:hAnsi="Calibri" w:cs="Calibri"/>
          <w:noProof/>
          <w:sz w:val="20"/>
          <w:lang w:val="en-US"/>
        </w:rPr>
        <w:t>7</w:t>
      </w:r>
      <w:r w:rsidRPr="003C68F0">
        <w:rPr>
          <w:rFonts w:ascii="Calibri" w:hAnsi="Calibri" w:cs="Calibri"/>
          <w:noProof/>
          <w:sz w:val="20"/>
          <w:lang w:val="en-US"/>
        </w:rPr>
        <w:t>(8)</w:t>
      </w:r>
      <w:r w:rsidR="009860D6">
        <w:rPr>
          <w:rFonts w:ascii="Calibri" w:hAnsi="Calibri" w:cs="Calibri"/>
          <w:noProof/>
          <w:sz w:val="20"/>
          <w:lang w:val="en-US"/>
        </w:rPr>
        <w:t>:9163-9174</w:t>
      </w:r>
      <w:r w:rsidRPr="003C68F0">
        <w:rPr>
          <w:rFonts w:ascii="Calibri" w:hAnsi="Calibri" w:cs="Calibri"/>
          <w:noProof/>
          <w:sz w:val="20"/>
          <w:lang w:val="en-US"/>
        </w:rPr>
        <w:t xml:space="preserve">. </w:t>
      </w:r>
    </w:p>
    <w:p w14:paraId="7A283A29" w14:textId="6B1CC39D" w:rsidR="009860D6" w:rsidRPr="003C68F0" w:rsidRDefault="003C68F0" w:rsidP="009860D6">
      <w:pPr>
        <w:widowControl w:val="0"/>
        <w:autoSpaceDE w:val="0"/>
        <w:autoSpaceDN w:val="0"/>
        <w:adjustRightInd w:val="0"/>
        <w:spacing w:line="360" w:lineRule="auto"/>
        <w:ind w:left="640" w:hanging="640"/>
        <w:rPr>
          <w:rFonts w:ascii="Calibri" w:hAnsi="Calibri" w:cs="Calibri"/>
          <w:noProof/>
          <w:sz w:val="20"/>
          <w:lang w:val="en-US"/>
        </w:rPr>
      </w:pPr>
      <w:r w:rsidRPr="003C68F0">
        <w:rPr>
          <w:rFonts w:ascii="Calibri" w:hAnsi="Calibri" w:cs="Calibri"/>
          <w:noProof/>
          <w:sz w:val="20"/>
          <w:lang w:val="en-US"/>
        </w:rPr>
        <w:t xml:space="preserve">5. </w:t>
      </w:r>
      <w:r w:rsidRPr="003C68F0">
        <w:rPr>
          <w:rFonts w:ascii="Calibri" w:hAnsi="Calibri" w:cs="Calibri"/>
          <w:noProof/>
          <w:sz w:val="20"/>
          <w:lang w:val="en-US"/>
        </w:rPr>
        <w:tab/>
        <w:t xml:space="preserve">Eyre TA, Collins GP, Goldstone AH, Cwynarski K. Time now to TORC the TORC? New developments in mTOR pathway inhibition in lymphoid malignancies. </w:t>
      </w:r>
      <w:r w:rsidRPr="003C68F0">
        <w:rPr>
          <w:rFonts w:ascii="Calibri" w:hAnsi="Calibri" w:cs="Calibri"/>
          <w:i/>
          <w:iCs/>
          <w:noProof/>
          <w:sz w:val="20"/>
          <w:lang w:val="en-US"/>
        </w:rPr>
        <w:t>Br J Haematol</w:t>
      </w:r>
      <w:r w:rsidRPr="003C68F0">
        <w:rPr>
          <w:rFonts w:ascii="Calibri" w:hAnsi="Calibri" w:cs="Calibri"/>
          <w:noProof/>
          <w:sz w:val="20"/>
          <w:lang w:val="en-US"/>
        </w:rPr>
        <w:t xml:space="preserve">. </w:t>
      </w:r>
      <w:r w:rsidR="009860D6">
        <w:rPr>
          <w:rFonts w:ascii="Calibri" w:hAnsi="Calibri" w:cs="Calibri"/>
          <w:noProof/>
          <w:sz w:val="20"/>
          <w:lang w:val="en-US"/>
        </w:rPr>
        <w:t>2014;166(3):336-351</w:t>
      </w:r>
      <w:r w:rsidR="00575155">
        <w:rPr>
          <w:rFonts w:ascii="Calibri" w:hAnsi="Calibri" w:cs="Calibri"/>
          <w:noProof/>
          <w:sz w:val="20"/>
          <w:lang w:val="en-US"/>
        </w:rPr>
        <w:t>.</w:t>
      </w:r>
    </w:p>
    <w:p w14:paraId="3BB32FF3" w14:textId="3586C0C5" w:rsidR="009860D6" w:rsidRPr="00575155" w:rsidRDefault="003C68F0" w:rsidP="00575155">
      <w:pPr>
        <w:widowControl w:val="0"/>
        <w:autoSpaceDE w:val="0"/>
        <w:autoSpaceDN w:val="0"/>
        <w:adjustRightInd w:val="0"/>
        <w:spacing w:line="360" w:lineRule="auto"/>
        <w:ind w:left="640" w:hanging="640"/>
      </w:pPr>
      <w:r w:rsidRPr="003C68F0">
        <w:rPr>
          <w:rFonts w:ascii="Calibri" w:hAnsi="Calibri" w:cs="Calibri"/>
          <w:noProof/>
          <w:sz w:val="20"/>
          <w:lang w:val="en-US"/>
        </w:rPr>
        <w:t xml:space="preserve">6. </w:t>
      </w:r>
      <w:r w:rsidRPr="003C68F0">
        <w:rPr>
          <w:rFonts w:ascii="Calibri" w:hAnsi="Calibri" w:cs="Calibri"/>
          <w:noProof/>
          <w:sz w:val="20"/>
          <w:lang w:val="en-US"/>
        </w:rPr>
        <w:tab/>
        <w:t xml:space="preserve">Smith SM, van Besien K, Karrison T, et al. </w:t>
      </w:r>
      <w:r w:rsidRPr="009860D6">
        <w:rPr>
          <w:rFonts w:ascii="Calibri" w:hAnsi="Calibri" w:cs="Calibri"/>
          <w:iCs/>
          <w:noProof/>
          <w:sz w:val="20"/>
          <w:lang w:val="en-US"/>
        </w:rPr>
        <w:t>Temsirolimus Has Activity in Non-Mantle Cell Non-Hodgkin’s Lymphoma Subtypes: The University of Chicago Phase II Consortium.</w:t>
      </w:r>
      <w:r w:rsidRPr="009860D6">
        <w:rPr>
          <w:rFonts w:ascii="Calibri" w:hAnsi="Calibri" w:cs="Calibri"/>
          <w:noProof/>
          <w:sz w:val="20"/>
          <w:lang w:val="en-US"/>
        </w:rPr>
        <w:t xml:space="preserve"> </w:t>
      </w:r>
      <w:r w:rsidR="00575155">
        <w:rPr>
          <w:rFonts w:ascii="Calibri" w:hAnsi="Calibri" w:cs="Calibri"/>
          <w:noProof/>
          <w:sz w:val="20"/>
          <w:lang w:val="en-US"/>
        </w:rPr>
        <w:t xml:space="preserve">2010;28(31):4740-4746. </w:t>
      </w:r>
    </w:p>
    <w:p w14:paraId="4F4CA34E" w14:textId="4C4221C7" w:rsidR="00575155" w:rsidRPr="00575155" w:rsidRDefault="003C68F0" w:rsidP="00575155">
      <w:pPr>
        <w:widowControl w:val="0"/>
        <w:autoSpaceDE w:val="0"/>
        <w:autoSpaceDN w:val="0"/>
        <w:adjustRightInd w:val="0"/>
        <w:spacing w:line="360" w:lineRule="auto"/>
        <w:ind w:left="640" w:hanging="640"/>
      </w:pPr>
      <w:r w:rsidRPr="003C68F0">
        <w:rPr>
          <w:rFonts w:ascii="Calibri" w:hAnsi="Calibri" w:cs="Calibri"/>
          <w:noProof/>
          <w:sz w:val="20"/>
          <w:lang w:val="en-US"/>
        </w:rPr>
        <w:t xml:space="preserve">7. </w:t>
      </w:r>
      <w:r w:rsidRPr="003C68F0">
        <w:rPr>
          <w:rFonts w:ascii="Calibri" w:hAnsi="Calibri" w:cs="Calibri"/>
          <w:noProof/>
          <w:sz w:val="20"/>
          <w:lang w:val="en-US"/>
        </w:rPr>
        <w:tab/>
        <w:t xml:space="preserve">Barnes J a, Jacobsen E, Feng Y, et al. Everolimus in combination with rituximab induces complete responses in heavily pretreated diffuse large B-cell lymphoma. </w:t>
      </w:r>
      <w:r w:rsidRPr="003C68F0">
        <w:rPr>
          <w:rFonts w:ascii="Calibri" w:hAnsi="Calibri" w:cs="Calibri"/>
          <w:i/>
          <w:iCs/>
          <w:noProof/>
          <w:sz w:val="20"/>
          <w:lang w:val="en-US"/>
        </w:rPr>
        <w:t>Haematologica</w:t>
      </w:r>
      <w:r w:rsidRPr="003C68F0">
        <w:rPr>
          <w:rFonts w:ascii="Calibri" w:hAnsi="Calibri" w:cs="Calibri"/>
          <w:noProof/>
          <w:sz w:val="20"/>
          <w:lang w:val="en-US"/>
        </w:rPr>
        <w:t>. 2013;98</w:t>
      </w:r>
      <w:r w:rsidR="00575155">
        <w:rPr>
          <w:rFonts w:ascii="Calibri" w:hAnsi="Calibri" w:cs="Calibri"/>
          <w:noProof/>
          <w:sz w:val="20"/>
          <w:lang w:val="en-US"/>
        </w:rPr>
        <w:t>(4)</w:t>
      </w:r>
      <w:r w:rsidRPr="003C68F0">
        <w:rPr>
          <w:rFonts w:ascii="Calibri" w:hAnsi="Calibri" w:cs="Calibri"/>
          <w:noProof/>
          <w:sz w:val="20"/>
          <w:lang w:val="en-US"/>
        </w:rPr>
        <w:t>:615-619</w:t>
      </w:r>
      <w:r w:rsidR="00575155">
        <w:rPr>
          <w:rFonts w:ascii="Calibri" w:hAnsi="Calibri" w:cs="Calibri"/>
          <w:noProof/>
          <w:sz w:val="20"/>
          <w:lang w:val="en-US"/>
        </w:rPr>
        <w:t>.</w:t>
      </w:r>
    </w:p>
    <w:p w14:paraId="0F0EC1B3" w14:textId="34969075" w:rsidR="00575155" w:rsidRPr="00575155" w:rsidRDefault="003C68F0" w:rsidP="00575155">
      <w:pPr>
        <w:widowControl w:val="0"/>
        <w:autoSpaceDE w:val="0"/>
        <w:autoSpaceDN w:val="0"/>
        <w:adjustRightInd w:val="0"/>
        <w:spacing w:line="360" w:lineRule="auto"/>
        <w:ind w:left="640" w:hanging="640"/>
      </w:pPr>
      <w:r w:rsidRPr="003C68F0">
        <w:rPr>
          <w:rFonts w:ascii="Calibri" w:hAnsi="Calibri" w:cs="Calibri"/>
          <w:noProof/>
          <w:sz w:val="20"/>
          <w:lang w:val="en-US"/>
        </w:rPr>
        <w:t xml:space="preserve">8. </w:t>
      </w:r>
      <w:r w:rsidRPr="003C68F0">
        <w:rPr>
          <w:rFonts w:ascii="Calibri" w:hAnsi="Calibri" w:cs="Calibri"/>
          <w:noProof/>
          <w:sz w:val="20"/>
          <w:lang w:val="en-US"/>
        </w:rPr>
        <w:tab/>
        <w:t xml:space="preserve">Gupta M, Hendrickson AEW, Yun SS, et al. Dual mTORC1/mTORC2 inhibition diminishes Akt activation and induces Puma-dependent apoptosis in lymphoid malignancies. </w:t>
      </w:r>
      <w:r w:rsidRPr="003C68F0">
        <w:rPr>
          <w:rFonts w:ascii="Calibri" w:hAnsi="Calibri" w:cs="Calibri"/>
          <w:i/>
          <w:iCs/>
          <w:noProof/>
          <w:sz w:val="20"/>
          <w:lang w:val="en-US"/>
        </w:rPr>
        <w:t>Blood</w:t>
      </w:r>
      <w:r w:rsidRPr="003C68F0">
        <w:rPr>
          <w:rFonts w:ascii="Calibri" w:hAnsi="Calibri" w:cs="Calibri"/>
          <w:noProof/>
          <w:sz w:val="20"/>
          <w:lang w:val="en-US"/>
        </w:rPr>
        <w:t>. 2012;119</w:t>
      </w:r>
      <w:r w:rsidR="00575155">
        <w:rPr>
          <w:rFonts w:ascii="Calibri" w:hAnsi="Calibri" w:cs="Calibri"/>
          <w:noProof/>
          <w:sz w:val="20"/>
          <w:lang w:val="en-US"/>
        </w:rPr>
        <w:t>(2)</w:t>
      </w:r>
      <w:r w:rsidRPr="003C68F0">
        <w:rPr>
          <w:rFonts w:ascii="Calibri" w:hAnsi="Calibri" w:cs="Calibri"/>
          <w:noProof/>
          <w:sz w:val="20"/>
          <w:lang w:val="en-US"/>
        </w:rPr>
        <w:t xml:space="preserve">:476-487. </w:t>
      </w:r>
    </w:p>
    <w:p w14:paraId="4451A4CE" w14:textId="5DC8AF07" w:rsidR="00575155" w:rsidRPr="00575155" w:rsidRDefault="003C68F0" w:rsidP="00575155">
      <w:pPr>
        <w:widowControl w:val="0"/>
        <w:autoSpaceDE w:val="0"/>
        <w:autoSpaceDN w:val="0"/>
        <w:adjustRightInd w:val="0"/>
        <w:spacing w:line="360" w:lineRule="auto"/>
        <w:ind w:left="640" w:hanging="640"/>
      </w:pPr>
      <w:r w:rsidRPr="003C68F0">
        <w:rPr>
          <w:rFonts w:ascii="Calibri" w:hAnsi="Calibri" w:cs="Calibri"/>
          <w:noProof/>
          <w:sz w:val="20"/>
          <w:lang w:val="en-US"/>
        </w:rPr>
        <w:t xml:space="preserve">9. </w:t>
      </w:r>
      <w:r w:rsidRPr="003C68F0">
        <w:rPr>
          <w:rFonts w:ascii="Calibri" w:hAnsi="Calibri" w:cs="Calibri"/>
          <w:noProof/>
          <w:sz w:val="20"/>
          <w:lang w:val="en-US"/>
        </w:rPr>
        <w:tab/>
        <w:t xml:space="preserve">Pike KG, Malagu K, Hummersone MG, et al. Optimization of potent and selective dual mTORC1 and mTORC2 inhibitors: the discovery of AZD8055 and AZD2014. </w:t>
      </w:r>
      <w:r w:rsidRPr="003C68F0">
        <w:rPr>
          <w:rFonts w:ascii="Calibri" w:hAnsi="Calibri" w:cs="Calibri"/>
          <w:i/>
          <w:iCs/>
          <w:noProof/>
          <w:sz w:val="20"/>
          <w:lang w:val="en-US"/>
        </w:rPr>
        <w:t>Bioorg Med Chem Lett</w:t>
      </w:r>
      <w:r w:rsidRPr="003C68F0">
        <w:rPr>
          <w:rFonts w:ascii="Calibri" w:hAnsi="Calibri" w:cs="Calibri"/>
          <w:noProof/>
          <w:sz w:val="20"/>
          <w:lang w:val="en-US"/>
        </w:rPr>
        <w:t>. 2013;23</w:t>
      </w:r>
      <w:r w:rsidR="00575155">
        <w:rPr>
          <w:rFonts w:ascii="Calibri" w:hAnsi="Calibri" w:cs="Calibri"/>
          <w:noProof/>
          <w:sz w:val="20"/>
          <w:lang w:val="en-US"/>
        </w:rPr>
        <w:t>(5)</w:t>
      </w:r>
      <w:r w:rsidRPr="003C68F0">
        <w:rPr>
          <w:rFonts w:ascii="Calibri" w:hAnsi="Calibri" w:cs="Calibri"/>
          <w:noProof/>
          <w:sz w:val="20"/>
          <w:lang w:val="en-US"/>
        </w:rPr>
        <w:t xml:space="preserve">:1212-1216. </w:t>
      </w:r>
    </w:p>
    <w:p w14:paraId="7A6B1571" w14:textId="2E0CE32C" w:rsidR="00575155" w:rsidRPr="00575155" w:rsidRDefault="003C68F0" w:rsidP="00575155">
      <w:pPr>
        <w:widowControl w:val="0"/>
        <w:autoSpaceDE w:val="0"/>
        <w:autoSpaceDN w:val="0"/>
        <w:adjustRightInd w:val="0"/>
        <w:spacing w:line="360" w:lineRule="auto"/>
        <w:ind w:left="640" w:hanging="640"/>
      </w:pPr>
      <w:r w:rsidRPr="003C68F0">
        <w:rPr>
          <w:rFonts w:ascii="Calibri" w:hAnsi="Calibri" w:cs="Calibri"/>
          <w:noProof/>
          <w:sz w:val="20"/>
          <w:lang w:val="en-US"/>
        </w:rPr>
        <w:t xml:space="preserve">10. </w:t>
      </w:r>
      <w:r w:rsidRPr="003C68F0">
        <w:rPr>
          <w:rFonts w:ascii="Calibri" w:hAnsi="Calibri" w:cs="Calibri"/>
          <w:noProof/>
          <w:sz w:val="20"/>
          <w:lang w:val="en-US"/>
        </w:rPr>
        <w:tab/>
        <w:t xml:space="preserve">Basu B, Dean E, Puglisi M, et al. First-in-Human Pharmacokinetic and Pharmacodynamic Study of the Dual m-TORC 1/2 Inhibitor AZD2014. </w:t>
      </w:r>
      <w:r w:rsidRPr="003C68F0">
        <w:rPr>
          <w:rFonts w:ascii="Calibri" w:hAnsi="Calibri" w:cs="Calibri"/>
          <w:i/>
          <w:iCs/>
          <w:noProof/>
          <w:sz w:val="20"/>
          <w:lang w:val="en-US"/>
        </w:rPr>
        <w:t>Clin Cancer Res</w:t>
      </w:r>
      <w:r w:rsidRPr="003C68F0">
        <w:rPr>
          <w:rFonts w:ascii="Calibri" w:hAnsi="Calibri" w:cs="Calibri"/>
          <w:noProof/>
          <w:sz w:val="20"/>
          <w:lang w:val="en-US"/>
        </w:rPr>
        <w:t xml:space="preserve">. 2015;21(15):3412-3419. </w:t>
      </w:r>
    </w:p>
    <w:p w14:paraId="4E3B0D66" w14:textId="493B9247" w:rsidR="00575155" w:rsidRPr="00575155" w:rsidRDefault="003C68F0" w:rsidP="00575155">
      <w:pPr>
        <w:widowControl w:val="0"/>
        <w:autoSpaceDE w:val="0"/>
        <w:autoSpaceDN w:val="0"/>
        <w:adjustRightInd w:val="0"/>
        <w:spacing w:line="360" w:lineRule="auto"/>
        <w:ind w:left="640" w:hanging="640"/>
        <w:rPr>
          <w:rFonts w:ascii="Calibri" w:hAnsi="Calibri" w:cs="Calibri"/>
          <w:noProof/>
          <w:sz w:val="20"/>
          <w:szCs w:val="20"/>
          <w:lang w:val="en-US"/>
        </w:rPr>
      </w:pPr>
      <w:r w:rsidRPr="003C68F0">
        <w:rPr>
          <w:rFonts w:ascii="Calibri" w:hAnsi="Calibri" w:cs="Calibri"/>
          <w:noProof/>
          <w:sz w:val="20"/>
          <w:lang w:val="en-US"/>
        </w:rPr>
        <w:t xml:space="preserve">11. </w:t>
      </w:r>
      <w:r w:rsidRPr="003C68F0">
        <w:rPr>
          <w:rFonts w:ascii="Calibri" w:hAnsi="Calibri" w:cs="Calibri"/>
          <w:noProof/>
          <w:sz w:val="20"/>
          <w:lang w:val="en-US"/>
        </w:rPr>
        <w:tab/>
        <w:t>Cheso</w:t>
      </w:r>
      <w:r w:rsidRPr="00575155">
        <w:rPr>
          <w:rFonts w:ascii="Calibri" w:hAnsi="Calibri" w:cs="Calibri"/>
          <w:noProof/>
          <w:sz w:val="20"/>
          <w:szCs w:val="20"/>
          <w:lang w:val="en-US"/>
        </w:rPr>
        <w:t xml:space="preserve">n BD, Fisher RI, Barrington SF, et al. Recommendations for Initial Evaluation, Staging, and </w:t>
      </w:r>
      <w:r w:rsidRPr="00575155">
        <w:rPr>
          <w:rFonts w:ascii="Calibri" w:hAnsi="Calibri" w:cs="Calibri"/>
          <w:noProof/>
          <w:sz w:val="20"/>
          <w:szCs w:val="20"/>
          <w:lang w:val="en-US"/>
        </w:rPr>
        <w:lastRenderedPageBreak/>
        <w:t xml:space="preserve">Response Assessment of Hodgkin and Non-Hodgkin Lymphoma: The Lugano Classification. </w:t>
      </w:r>
      <w:r w:rsidRPr="00575155">
        <w:rPr>
          <w:rFonts w:ascii="Calibri" w:hAnsi="Calibri" w:cs="Calibri"/>
          <w:i/>
          <w:iCs/>
          <w:noProof/>
          <w:sz w:val="20"/>
          <w:szCs w:val="20"/>
          <w:lang w:val="en-US"/>
        </w:rPr>
        <w:t>J Clin Oncol</w:t>
      </w:r>
      <w:r w:rsidRPr="00575155">
        <w:rPr>
          <w:rFonts w:ascii="Calibri" w:hAnsi="Calibri" w:cs="Calibri"/>
          <w:noProof/>
          <w:sz w:val="20"/>
          <w:szCs w:val="20"/>
          <w:lang w:val="en-US"/>
        </w:rPr>
        <w:t>. 2014</w:t>
      </w:r>
      <w:r w:rsidR="00575155" w:rsidRPr="00575155">
        <w:rPr>
          <w:rFonts w:ascii="Calibri" w:hAnsi="Calibri" w:cs="Calibri"/>
          <w:color w:val="000000"/>
          <w:sz w:val="20"/>
          <w:szCs w:val="20"/>
          <w:shd w:val="clear" w:color="auto" w:fill="FFFFFF"/>
        </w:rPr>
        <w:t>;32(27):3059-68.</w:t>
      </w:r>
    </w:p>
    <w:p w14:paraId="1E381BE7" w14:textId="0D67925A" w:rsidR="003C68F0" w:rsidRPr="003C68F0" w:rsidRDefault="003C68F0" w:rsidP="003C68F0">
      <w:pPr>
        <w:widowControl w:val="0"/>
        <w:autoSpaceDE w:val="0"/>
        <w:autoSpaceDN w:val="0"/>
        <w:adjustRightInd w:val="0"/>
        <w:spacing w:line="360" w:lineRule="auto"/>
        <w:ind w:left="640" w:hanging="640"/>
        <w:rPr>
          <w:rFonts w:ascii="Calibri" w:hAnsi="Calibri" w:cs="Calibri"/>
          <w:noProof/>
          <w:sz w:val="20"/>
          <w:lang w:val="en-US"/>
        </w:rPr>
      </w:pPr>
      <w:r w:rsidRPr="003C68F0">
        <w:rPr>
          <w:rFonts w:ascii="Calibri" w:hAnsi="Calibri" w:cs="Calibri"/>
          <w:noProof/>
          <w:sz w:val="20"/>
          <w:lang w:val="en-US"/>
        </w:rPr>
        <w:t xml:space="preserve">12. </w:t>
      </w:r>
      <w:r w:rsidRPr="003C68F0">
        <w:rPr>
          <w:rFonts w:ascii="Calibri" w:hAnsi="Calibri" w:cs="Calibri"/>
          <w:noProof/>
          <w:sz w:val="20"/>
          <w:lang w:val="en-US"/>
        </w:rPr>
        <w:tab/>
        <w:t xml:space="preserve">Hans CP, Weisenburger DD, Greiner TC, et al. Confirmation of the molecular classification of diffuse large B-cell lymphoma by immunohistochemistry using a tissue microarray. </w:t>
      </w:r>
      <w:r w:rsidRPr="003C68F0">
        <w:rPr>
          <w:rFonts w:ascii="Calibri" w:hAnsi="Calibri" w:cs="Calibri"/>
          <w:i/>
          <w:iCs/>
          <w:noProof/>
          <w:sz w:val="20"/>
          <w:lang w:val="en-US"/>
        </w:rPr>
        <w:t>Blood</w:t>
      </w:r>
      <w:r w:rsidRPr="003C68F0">
        <w:rPr>
          <w:rFonts w:ascii="Calibri" w:hAnsi="Calibri" w:cs="Calibri"/>
          <w:noProof/>
          <w:sz w:val="20"/>
          <w:lang w:val="en-US"/>
        </w:rPr>
        <w:t xml:space="preserve">. 2004;103(1):275-282. </w:t>
      </w:r>
    </w:p>
    <w:p w14:paraId="69932077" w14:textId="4073CB6F" w:rsidR="003C68F0" w:rsidRPr="003C68F0" w:rsidRDefault="003C68F0" w:rsidP="003C68F0">
      <w:pPr>
        <w:widowControl w:val="0"/>
        <w:autoSpaceDE w:val="0"/>
        <w:autoSpaceDN w:val="0"/>
        <w:adjustRightInd w:val="0"/>
        <w:spacing w:line="360" w:lineRule="auto"/>
        <w:ind w:left="640" w:hanging="640"/>
        <w:rPr>
          <w:rFonts w:ascii="Calibri" w:hAnsi="Calibri" w:cs="Calibri"/>
          <w:noProof/>
          <w:sz w:val="20"/>
          <w:lang w:val="en-US"/>
        </w:rPr>
      </w:pPr>
      <w:r w:rsidRPr="003C68F0">
        <w:rPr>
          <w:rFonts w:ascii="Calibri" w:hAnsi="Calibri" w:cs="Calibri"/>
          <w:noProof/>
          <w:sz w:val="20"/>
          <w:lang w:val="en-US"/>
        </w:rPr>
        <w:t xml:space="preserve">13. </w:t>
      </w:r>
      <w:r w:rsidRPr="003C68F0">
        <w:rPr>
          <w:rFonts w:ascii="Calibri" w:hAnsi="Calibri" w:cs="Calibri"/>
          <w:noProof/>
          <w:sz w:val="20"/>
          <w:lang w:val="en-US"/>
        </w:rPr>
        <w:tab/>
        <w:t xml:space="preserve">Ma WW, Jacene H, Song D, et al. [18F]fluorodeoxyglucose positron emission tomography correlates with Akt pathway activity but is not predictive of clinical outcome during mTOR inhibitor therapy. </w:t>
      </w:r>
      <w:r w:rsidRPr="003C68F0">
        <w:rPr>
          <w:rFonts w:ascii="Calibri" w:hAnsi="Calibri" w:cs="Calibri"/>
          <w:i/>
          <w:iCs/>
          <w:noProof/>
          <w:sz w:val="20"/>
          <w:lang w:val="en-US"/>
        </w:rPr>
        <w:t>J Clin Oncol</w:t>
      </w:r>
      <w:r w:rsidRPr="003C68F0">
        <w:rPr>
          <w:rFonts w:ascii="Calibri" w:hAnsi="Calibri" w:cs="Calibri"/>
          <w:noProof/>
          <w:sz w:val="20"/>
          <w:lang w:val="en-US"/>
        </w:rPr>
        <w:t>. 2009;27(16):2697-2704.</w:t>
      </w:r>
    </w:p>
    <w:p w14:paraId="170AE3B4" w14:textId="4263B216" w:rsidR="00575155" w:rsidRPr="00575155" w:rsidRDefault="003C68F0" w:rsidP="00575155">
      <w:pPr>
        <w:widowControl w:val="0"/>
        <w:autoSpaceDE w:val="0"/>
        <w:autoSpaceDN w:val="0"/>
        <w:adjustRightInd w:val="0"/>
        <w:spacing w:line="360" w:lineRule="auto"/>
        <w:ind w:left="640" w:hanging="640"/>
      </w:pPr>
      <w:r w:rsidRPr="003C68F0">
        <w:rPr>
          <w:rFonts w:ascii="Calibri" w:hAnsi="Calibri" w:cs="Calibri"/>
          <w:noProof/>
          <w:sz w:val="20"/>
          <w:lang w:val="en-US"/>
        </w:rPr>
        <w:t xml:space="preserve">14. </w:t>
      </w:r>
      <w:r w:rsidRPr="003C68F0">
        <w:rPr>
          <w:rFonts w:ascii="Calibri" w:hAnsi="Calibri" w:cs="Calibri"/>
          <w:noProof/>
          <w:sz w:val="20"/>
          <w:lang w:val="en-US"/>
        </w:rPr>
        <w:tab/>
        <w:t xml:space="preserve">Tabernero J, Rojo F, Calvo E, et al. Dose- and schedule-dependent inhibition of the mammalian target of rapamycin pathway with everolimus: A phase I tumor pharmacodynamic study in patients with advanced solid tumors. </w:t>
      </w:r>
      <w:r w:rsidRPr="003C68F0">
        <w:rPr>
          <w:rFonts w:ascii="Calibri" w:hAnsi="Calibri" w:cs="Calibri"/>
          <w:i/>
          <w:iCs/>
          <w:noProof/>
          <w:sz w:val="20"/>
          <w:lang w:val="en-US"/>
        </w:rPr>
        <w:t>J Clin Oncol</w:t>
      </w:r>
      <w:r w:rsidRPr="003C68F0">
        <w:rPr>
          <w:rFonts w:ascii="Calibri" w:hAnsi="Calibri" w:cs="Calibri"/>
          <w:noProof/>
          <w:sz w:val="20"/>
          <w:lang w:val="en-US"/>
        </w:rPr>
        <w:t>. 200</w:t>
      </w:r>
      <w:r w:rsidR="00575155">
        <w:rPr>
          <w:rFonts w:ascii="Calibri" w:hAnsi="Calibri" w:cs="Calibri"/>
          <w:noProof/>
          <w:sz w:val="20"/>
          <w:lang w:val="en-US"/>
        </w:rPr>
        <w:t>8;26(10):1603-1610.</w:t>
      </w:r>
    </w:p>
    <w:p w14:paraId="3317C8FE" w14:textId="0F4B176A" w:rsidR="005E4162" w:rsidRPr="005E4162" w:rsidRDefault="003C68F0" w:rsidP="005E4162">
      <w:pPr>
        <w:widowControl w:val="0"/>
        <w:autoSpaceDE w:val="0"/>
        <w:autoSpaceDN w:val="0"/>
        <w:adjustRightInd w:val="0"/>
        <w:spacing w:line="360" w:lineRule="auto"/>
        <w:ind w:left="640" w:hanging="640"/>
      </w:pPr>
      <w:r w:rsidRPr="003C68F0">
        <w:rPr>
          <w:rFonts w:ascii="Calibri" w:hAnsi="Calibri" w:cs="Calibri"/>
          <w:noProof/>
          <w:sz w:val="20"/>
          <w:lang w:val="en-US"/>
        </w:rPr>
        <w:t xml:space="preserve">15. </w:t>
      </w:r>
      <w:r w:rsidRPr="003C68F0">
        <w:rPr>
          <w:rFonts w:ascii="Calibri" w:hAnsi="Calibri" w:cs="Calibri"/>
          <w:noProof/>
          <w:sz w:val="20"/>
          <w:lang w:val="en-US"/>
        </w:rPr>
        <w:tab/>
        <w:t xml:space="preserve">Carracedo A, Ma L, Teruya-Feldstein J, et al. Inhibition of mTORC1 leads to MAPK pathway activation through a PI3K-dependent feedback loop in human cancer. </w:t>
      </w:r>
      <w:r w:rsidRPr="003C68F0">
        <w:rPr>
          <w:rFonts w:ascii="Calibri" w:hAnsi="Calibri" w:cs="Calibri"/>
          <w:i/>
          <w:iCs/>
          <w:noProof/>
          <w:sz w:val="20"/>
          <w:lang w:val="en-US"/>
        </w:rPr>
        <w:t>J Clin Invest</w:t>
      </w:r>
      <w:r w:rsidRPr="003C68F0">
        <w:rPr>
          <w:rFonts w:ascii="Calibri" w:hAnsi="Calibri" w:cs="Calibri"/>
          <w:noProof/>
          <w:sz w:val="20"/>
          <w:lang w:val="en-US"/>
        </w:rPr>
        <w:t>. 2008;118</w:t>
      </w:r>
      <w:r w:rsidR="005E4162">
        <w:rPr>
          <w:rFonts w:ascii="Calibri" w:hAnsi="Calibri" w:cs="Calibri"/>
          <w:noProof/>
          <w:sz w:val="20"/>
          <w:lang w:val="en-US"/>
        </w:rPr>
        <w:t>(9)</w:t>
      </w:r>
      <w:r w:rsidRPr="003C68F0">
        <w:rPr>
          <w:rFonts w:ascii="Calibri" w:hAnsi="Calibri" w:cs="Calibri"/>
          <w:noProof/>
          <w:sz w:val="20"/>
          <w:lang w:val="en-US"/>
        </w:rPr>
        <w:t xml:space="preserve">:3065-3074. </w:t>
      </w:r>
    </w:p>
    <w:p w14:paraId="49E715C6" w14:textId="4DAB64D5" w:rsidR="003C68F0" w:rsidRPr="003C68F0" w:rsidRDefault="003C68F0" w:rsidP="003C68F0">
      <w:pPr>
        <w:widowControl w:val="0"/>
        <w:autoSpaceDE w:val="0"/>
        <w:autoSpaceDN w:val="0"/>
        <w:adjustRightInd w:val="0"/>
        <w:spacing w:line="360" w:lineRule="auto"/>
        <w:ind w:left="640" w:hanging="640"/>
        <w:rPr>
          <w:rFonts w:ascii="Calibri" w:hAnsi="Calibri" w:cs="Calibri"/>
          <w:noProof/>
          <w:sz w:val="20"/>
          <w:lang w:val="en-US"/>
        </w:rPr>
      </w:pPr>
      <w:r w:rsidRPr="003C68F0">
        <w:rPr>
          <w:rFonts w:ascii="Calibri" w:hAnsi="Calibri" w:cs="Calibri"/>
          <w:noProof/>
          <w:sz w:val="20"/>
          <w:lang w:val="en-US"/>
        </w:rPr>
        <w:t xml:space="preserve">16. </w:t>
      </w:r>
      <w:r w:rsidRPr="003C68F0">
        <w:rPr>
          <w:rFonts w:ascii="Calibri" w:hAnsi="Calibri" w:cs="Calibri"/>
          <w:noProof/>
          <w:sz w:val="20"/>
          <w:lang w:val="en-US"/>
        </w:rPr>
        <w:tab/>
        <w:t xml:space="preserve">Bi C, Zhang X, Lu T, et al. Inhibition of 4EBP phosphorylation mediates the cytotoxic effect of mechanistic target of rapamycin kinase inhibitors in aggressive B-cell lymphomas. </w:t>
      </w:r>
      <w:r w:rsidRPr="003C68F0">
        <w:rPr>
          <w:rFonts w:ascii="Calibri" w:hAnsi="Calibri" w:cs="Calibri"/>
          <w:i/>
          <w:iCs/>
          <w:noProof/>
          <w:sz w:val="20"/>
          <w:lang w:val="en-US"/>
        </w:rPr>
        <w:t>Haematologica</w:t>
      </w:r>
      <w:r w:rsidRPr="003C68F0">
        <w:rPr>
          <w:rFonts w:ascii="Calibri" w:hAnsi="Calibri" w:cs="Calibri"/>
          <w:noProof/>
          <w:sz w:val="20"/>
          <w:lang w:val="en-US"/>
        </w:rPr>
        <w:t>. 2017;102(4):755-764.</w:t>
      </w:r>
    </w:p>
    <w:p w14:paraId="413B3B99" w14:textId="371956C2" w:rsidR="003C68F0" w:rsidRPr="003C68F0" w:rsidRDefault="003C68F0" w:rsidP="003C68F0">
      <w:pPr>
        <w:widowControl w:val="0"/>
        <w:autoSpaceDE w:val="0"/>
        <w:autoSpaceDN w:val="0"/>
        <w:adjustRightInd w:val="0"/>
        <w:spacing w:line="360" w:lineRule="auto"/>
        <w:ind w:left="640" w:hanging="640"/>
        <w:rPr>
          <w:rFonts w:ascii="Calibri" w:hAnsi="Calibri" w:cs="Calibri"/>
          <w:noProof/>
          <w:sz w:val="20"/>
        </w:rPr>
      </w:pPr>
      <w:r w:rsidRPr="003C68F0">
        <w:rPr>
          <w:rFonts w:ascii="Calibri" w:hAnsi="Calibri" w:cs="Calibri"/>
          <w:noProof/>
          <w:sz w:val="20"/>
          <w:lang w:val="en-US"/>
        </w:rPr>
        <w:t xml:space="preserve">17. </w:t>
      </w:r>
      <w:r w:rsidRPr="003C68F0">
        <w:rPr>
          <w:rFonts w:ascii="Calibri" w:hAnsi="Calibri" w:cs="Calibri"/>
          <w:noProof/>
          <w:sz w:val="20"/>
          <w:lang w:val="en-US"/>
        </w:rPr>
        <w:tab/>
        <w:t xml:space="preserve">Dong LH, Cheng S, Zheng Z, et al. Histone deacetylase inhibitor potentiated the ability of MTOR inhibitor to induce autophagic cell death in Burkitt leukemia/lymphoma. </w:t>
      </w:r>
      <w:r w:rsidRPr="003C68F0">
        <w:rPr>
          <w:rFonts w:ascii="Calibri" w:hAnsi="Calibri" w:cs="Calibri"/>
          <w:i/>
          <w:iCs/>
          <w:noProof/>
          <w:sz w:val="20"/>
          <w:lang w:val="en-US"/>
        </w:rPr>
        <w:t>J Hematol Oncol</w:t>
      </w:r>
      <w:r w:rsidRPr="003C68F0">
        <w:rPr>
          <w:rFonts w:ascii="Calibri" w:hAnsi="Calibri" w:cs="Calibri"/>
          <w:noProof/>
          <w:sz w:val="20"/>
          <w:lang w:val="en-US"/>
        </w:rPr>
        <w:t xml:space="preserve">. 2013;6:53. </w:t>
      </w:r>
    </w:p>
    <w:p w14:paraId="0A6811F2" w14:textId="17EAB308" w:rsidR="00B065BA" w:rsidRDefault="00B065BA" w:rsidP="005E4162">
      <w:pPr>
        <w:rPr>
          <w:rFonts w:ascii="Calibri" w:hAnsi="Calibri" w:cs="Calibri"/>
          <w:color w:val="000000" w:themeColor="text1"/>
          <w:sz w:val="20"/>
          <w:szCs w:val="20"/>
        </w:rPr>
      </w:pPr>
      <w:r w:rsidRPr="003C68F0">
        <w:rPr>
          <w:rFonts w:ascii="Calibri" w:hAnsi="Calibri" w:cs="Calibri"/>
          <w:color w:val="000000" w:themeColor="text1"/>
          <w:sz w:val="20"/>
          <w:szCs w:val="20"/>
        </w:rPr>
        <w:fldChar w:fldCharType="end"/>
      </w:r>
    </w:p>
    <w:p w14:paraId="21E2F075" w14:textId="1A2F74F9" w:rsidR="00506791" w:rsidRDefault="00506791" w:rsidP="005E4162"/>
    <w:p w14:paraId="5F403FB2" w14:textId="77777777" w:rsidR="00506791" w:rsidRDefault="00506791" w:rsidP="00506791">
      <w:pPr>
        <w:widowControl w:val="0"/>
        <w:autoSpaceDE w:val="0"/>
        <w:autoSpaceDN w:val="0"/>
        <w:adjustRightInd w:val="0"/>
        <w:spacing w:line="360" w:lineRule="auto"/>
        <w:rPr>
          <w:rFonts w:ascii="Calibri" w:eastAsiaTheme="minorHAnsi" w:hAnsi="Calibri" w:cs="Calibri"/>
          <w:sz w:val="20"/>
          <w:szCs w:val="20"/>
          <w:lang w:val="en-US"/>
        </w:rPr>
      </w:pPr>
    </w:p>
    <w:p w14:paraId="12EC2227" w14:textId="77777777" w:rsidR="00506791" w:rsidRDefault="00506791" w:rsidP="00506791">
      <w:pPr>
        <w:widowControl w:val="0"/>
        <w:autoSpaceDE w:val="0"/>
        <w:autoSpaceDN w:val="0"/>
        <w:adjustRightInd w:val="0"/>
        <w:spacing w:line="360" w:lineRule="auto"/>
        <w:rPr>
          <w:rFonts w:ascii="Calibri" w:eastAsiaTheme="minorHAnsi" w:hAnsi="Calibri" w:cs="Calibri"/>
          <w:sz w:val="20"/>
          <w:szCs w:val="20"/>
          <w:lang w:val="en-US"/>
        </w:rPr>
      </w:pPr>
    </w:p>
    <w:p w14:paraId="438B5401" w14:textId="77777777" w:rsidR="00506791" w:rsidRDefault="00506791" w:rsidP="00506791">
      <w:pPr>
        <w:widowControl w:val="0"/>
        <w:autoSpaceDE w:val="0"/>
        <w:autoSpaceDN w:val="0"/>
        <w:adjustRightInd w:val="0"/>
        <w:spacing w:line="360" w:lineRule="auto"/>
        <w:rPr>
          <w:rFonts w:ascii="Calibri" w:eastAsiaTheme="minorHAnsi" w:hAnsi="Calibri" w:cs="Calibri"/>
          <w:sz w:val="20"/>
          <w:szCs w:val="20"/>
          <w:lang w:val="en-US"/>
        </w:rPr>
      </w:pPr>
    </w:p>
    <w:p w14:paraId="6FB1FF7D" w14:textId="77777777" w:rsidR="00506791" w:rsidRDefault="00506791" w:rsidP="00506791">
      <w:pPr>
        <w:widowControl w:val="0"/>
        <w:autoSpaceDE w:val="0"/>
        <w:autoSpaceDN w:val="0"/>
        <w:adjustRightInd w:val="0"/>
        <w:spacing w:line="360" w:lineRule="auto"/>
        <w:rPr>
          <w:rFonts w:ascii="Calibri" w:eastAsiaTheme="minorHAnsi" w:hAnsi="Calibri" w:cs="Calibri"/>
          <w:sz w:val="20"/>
          <w:szCs w:val="20"/>
          <w:lang w:val="en-US"/>
        </w:rPr>
      </w:pPr>
    </w:p>
    <w:p w14:paraId="0757CB76" w14:textId="77777777" w:rsidR="00506791" w:rsidRDefault="00506791" w:rsidP="00506791">
      <w:pPr>
        <w:widowControl w:val="0"/>
        <w:autoSpaceDE w:val="0"/>
        <w:autoSpaceDN w:val="0"/>
        <w:adjustRightInd w:val="0"/>
        <w:spacing w:line="360" w:lineRule="auto"/>
        <w:rPr>
          <w:rFonts w:ascii="Calibri" w:eastAsiaTheme="minorHAnsi" w:hAnsi="Calibri" w:cs="Calibri"/>
          <w:sz w:val="20"/>
          <w:szCs w:val="20"/>
          <w:lang w:val="en-US"/>
        </w:rPr>
      </w:pPr>
    </w:p>
    <w:p w14:paraId="7FBF72AF" w14:textId="77777777" w:rsidR="00506791" w:rsidRDefault="00506791" w:rsidP="00506791">
      <w:pPr>
        <w:widowControl w:val="0"/>
        <w:autoSpaceDE w:val="0"/>
        <w:autoSpaceDN w:val="0"/>
        <w:adjustRightInd w:val="0"/>
        <w:spacing w:line="360" w:lineRule="auto"/>
        <w:rPr>
          <w:rFonts w:ascii="Calibri" w:eastAsiaTheme="minorHAnsi" w:hAnsi="Calibri" w:cs="Calibri"/>
          <w:sz w:val="20"/>
          <w:szCs w:val="20"/>
          <w:lang w:val="en-US"/>
        </w:rPr>
      </w:pPr>
    </w:p>
    <w:p w14:paraId="7B471309" w14:textId="77777777" w:rsidR="00506791" w:rsidRDefault="00506791" w:rsidP="00506791">
      <w:pPr>
        <w:widowControl w:val="0"/>
        <w:autoSpaceDE w:val="0"/>
        <w:autoSpaceDN w:val="0"/>
        <w:adjustRightInd w:val="0"/>
        <w:spacing w:line="360" w:lineRule="auto"/>
        <w:rPr>
          <w:rFonts w:ascii="Calibri" w:eastAsiaTheme="minorHAnsi" w:hAnsi="Calibri" w:cs="Calibri"/>
          <w:sz w:val="20"/>
          <w:szCs w:val="20"/>
          <w:lang w:val="en-US"/>
        </w:rPr>
      </w:pPr>
    </w:p>
    <w:p w14:paraId="02ADA4B5" w14:textId="77777777" w:rsidR="00506791" w:rsidRDefault="00506791" w:rsidP="00506791">
      <w:pPr>
        <w:widowControl w:val="0"/>
        <w:autoSpaceDE w:val="0"/>
        <w:autoSpaceDN w:val="0"/>
        <w:adjustRightInd w:val="0"/>
        <w:spacing w:line="360" w:lineRule="auto"/>
        <w:rPr>
          <w:rFonts w:ascii="Calibri" w:eastAsiaTheme="minorHAnsi" w:hAnsi="Calibri" w:cs="Calibri"/>
          <w:sz w:val="20"/>
          <w:szCs w:val="20"/>
          <w:lang w:val="en-US"/>
        </w:rPr>
      </w:pPr>
    </w:p>
    <w:p w14:paraId="089FA740" w14:textId="77777777" w:rsidR="00506791" w:rsidRDefault="00506791" w:rsidP="00506791">
      <w:pPr>
        <w:widowControl w:val="0"/>
        <w:autoSpaceDE w:val="0"/>
        <w:autoSpaceDN w:val="0"/>
        <w:adjustRightInd w:val="0"/>
        <w:spacing w:line="360" w:lineRule="auto"/>
        <w:rPr>
          <w:rFonts w:ascii="Calibri" w:eastAsiaTheme="minorHAnsi" w:hAnsi="Calibri" w:cs="Calibri"/>
          <w:sz w:val="20"/>
          <w:szCs w:val="20"/>
          <w:lang w:val="en-US"/>
        </w:rPr>
      </w:pPr>
    </w:p>
    <w:p w14:paraId="00AE720B" w14:textId="77777777" w:rsidR="00506791" w:rsidRDefault="00506791" w:rsidP="00506791">
      <w:pPr>
        <w:widowControl w:val="0"/>
        <w:autoSpaceDE w:val="0"/>
        <w:autoSpaceDN w:val="0"/>
        <w:adjustRightInd w:val="0"/>
        <w:spacing w:line="360" w:lineRule="auto"/>
        <w:rPr>
          <w:rFonts w:ascii="Calibri" w:eastAsiaTheme="minorHAnsi" w:hAnsi="Calibri" w:cs="Calibri"/>
          <w:sz w:val="20"/>
          <w:szCs w:val="20"/>
          <w:lang w:val="en-US"/>
        </w:rPr>
      </w:pPr>
    </w:p>
    <w:p w14:paraId="73113A97" w14:textId="77777777" w:rsidR="00506791" w:rsidRDefault="00506791" w:rsidP="00506791">
      <w:pPr>
        <w:widowControl w:val="0"/>
        <w:autoSpaceDE w:val="0"/>
        <w:autoSpaceDN w:val="0"/>
        <w:adjustRightInd w:val="0"/>
        <w:spacing w:line="360" w:lineRule="auto"/>
        <w:rPr>
          <w:rFonts w:ascii="Calibri" w:eastAsiaTheme="minorHAnsi" w:hAnsi="Calibri" w:cs="Calibri"/>
          <w:sz w:val="20"/>
          <w:szCs w:val="20"/>
          <w:lang w:val="en-US"/>
        </w:rPr>
      </w:pPr>
    </w:p>
    <w:p w14:paraId="170E3A79" w14:textId="77777777" w:rsidR="00506791" w:rsidRDefault="00506791" w:rsidP="00506791">
      <w:pPr>
        <w:widowControl w:val="0"/>
        <w:autoSpaceDE w:val="0"/>
        <w:autoSpaceDN w:val="0"/>
        <w:adjustRightInd w:val="0"/>
        <w:spacing w:line="360" w:lineRule="auto"/>
        <w:rPr>
          <w:rFonts w:ascii="Calibri" w:eastAsiaTheme="minorHAnsi" w:hAnsi="Calibri" w:cs="Calibri"/>
          <w:sz w:val="20"/>
          <w:szCs w:val="20"/>
          <w:lang w:val="en-US"/>
        </w:rPr>
      </w:pPr>
    </w:p>
    <w:p w14:paraId="6AF4D319" w14:textId="77777777" w:rsidR="00506791" w:rsidRDefault="00506791" w:rsidP="00506791">
      <w:pPr>
        <w:widowControl w:val="0"/>
        <w:autoSpaceDE w:val="0"/>
        <w:autoSpaceDN w:val="0"/>
        <w:adjustRightInd w:val="0"/>
        <w:spacing w:line="360" w:lineRule="auto"/>
        <w:rPr>
          <w:rFonts w:ascii="Calibri" w:eastAsiaTheme="minorHAnsi" w:hAnsi="Calibri" w:cs="Calibri"/>
          <w:sz w:val="20"/>
          <w:szCs w:val="20"/>
          <w:lang w:val="en-US"/>
        </w:rPr>
      </w:pPr>
    </w:p>
    <w:p w14:paraId="0E634B80" w14:textId="77777777" w:rsidR="00506791" w:rsidRDefault="00506791" w:rsidP="00506791">
      <w:pPr>
        <w:widowControl w:val="0"/>
        <w:autoSpaceDE w:val="0"/>
        <w:autoSpaceDN w:val="0"/>
        <w:adjustRightInd w:val="0"/>
        <w:spacing w:line="360" w:lineRule="auto"/>
        <w:rPr>
          <w:rFonts w:ascii="Calibri" w:eastAsiaTheme="minorHAnsi" w:hAnsi="Calibri" w:cs="Calibri"/>
          <w:sz w:val="20"/>
          <w:szCs w:val="20"/>
          <w:lang w:val="en-US"/>
        </w:rPr>
      </w:pPr>
    </w:p>
    <w:p w14:paraId="42A1300D" w14:textId="77777777" w:rsidR="00506791" w:rsidRDefault="00506791" w:rsidP="00506791">
      <w:pPr>
        <w:widowControl w:val="0"/>
        <w:autoSpaceDE w:val="0"/>
        <w:autoSpaceDN w:val="0"/>
        <w:adjustRightInd w:val="0"/>
        <w:spacing w:line="360" w:lineRule="auto"/>
        <w:rPr>
          <w:rFonts w:ascii="Calibri" w:eastAsiaTheme="minorHAnsi" w:hAnsi="Calibri" w:cs="Calibri"/>
          <w:sz w:val="20"/>
          <w:szCs w:val="20"/>
          <w:lang w:val="en-US"/>
        </w:rPr>
      </w:pPr>
    </w:p>
    <w:p w14:paraId="40FA66CE" w14:textId="77777777" w:rsidR="00506791" w:rsidRDefault="00506791" w:rsidP="00506791">
      <w:pPr>
        <w:widowControl w:val="0"/>
        <w:autoSpaceDE w:val="0"/>
        <w:autoSpaceDN w:val="0"/>
        <w:adjustRightInd w:val="0"/>
        <w:spacing w:line="360" w:lineRule="auto"/>
        <w:rPr>
          <w:rFonts w:ascii="Calibri" w:eastAsiaTheme="minorHAnsi" w:hAnsi="Calibri" w:cs="Calibri"/>
          <w:sz w:val="20"/>
          <w:szCs w:val="20"/>
          <w:lang w:val="en-US"/>
        </w:rPr>
      </w:pPr>
    </w:p>
    <w:p w14:paraId="74E179C4" w14:textId="77777777" w:rsidR="00506791" w:rsidRDefault="00506791" w:rsidP="00506791">
      <w:pPr>
        <w:widowControl w:val="0"/>
        <w:autoSpaceDE w:val="0"/>
        <w:autoSpaceDN w:val="0"/>
        <w:adjustRightInd w:val="0"/>
        <w:spacing w:line="360" w:lineRule="auto"/>
        <w:rPr>
          <w:rFonts w:ascii="Calibri" w:eastAsiaTheme="minorHAnsi" w:hAnsi="Calibri" w:cs="Calibri"/>
          <w:sz w:val="20"/>
          <w:szCs w:val="20"/>
          <w:lang w:val="en-US"/>
        </w:rPr>
      </w:pPr>
    </w:p>
    <w:p w14:paraId="4296B288" w14:textId="77777777" w:rsidR="00506791" w:rsidRDefault="00506791" w:rsidP="00506791">
      <w:pPr>
        <w:widowControl w:val="0"/>
        <w:autoSpaceDE w:val="0"/>
        <w:autoSpaceDN w:val="0"/>
        <w:adjustRightInd w:val="0"/>
        <w:spacing w:line="360" w:lineRule="auto"/>
        <w:rPr>
          <w:rFonts w:ascii="Calibri" w:eastAsiaTheme="minorHAnsi" w:hAnsi="Calibri" w:cs="Calibri"/>
          <w:sz w:val="20"/>
          <w:szCs w:val="20"/>
          <w:lang w:val="en-US"/>
        </w:rPr>
      </w:pPr>
    </w:p>
    <w:p w14:paraId="3AD7A861" w14:textId="77777777" w:rsidR="00506791" w:rsidRDefault="00506791" w:rsidP="00506791">
      <w:pPr>
        <w:widowControl w:val="0"/>
        <w:autoSpaceDE w:val="0"/>
        <w:autoSpaceDN w:val="0"/>
        <w:adjustRightInd w:val="0"/>
        <w:spacing w:line="360" w:lineRule="auto"/>
        <w:rPr>
          <w:rFonts w:ascii="Calibri" w:eastAsiaTheme="minorHAnsi" w:hAnsi="Calibri" w:cs="Calibri"/>
          <w:sz w:val="20"/>
          <w:szCs w:val="20"/>
          <w:lang w:val="en-US"/>
        </w:rPr>
      </w:pPr>
    </w:p>
    <w:p w14:paraId="48B07D2F" w14:textId="77777777" w:rsidR="00506791" w:rsidRDefault="00506791" w:rsidP="00506791">
      <w:pPr>
        <w:widowControl w:val="0"/>
        <w:autoSpaceDE w:val="0"/>
        <w:autoSpaceDN w:val="0"/>
        <w:adjustRightInd w:val="0"/>
        <w:spacing w:line="360" w:lineRule="auto"/>
        <w:rPr>
          <w:rFonts w:ascii="Calibri" w:eastAsiaTheme="minorHAnsi" w:hAnsi="Calibri" w:cs="Calibri"/>
          <w:sz w:val="20"/>
          <w:szCs w:val="20"/>
          <w:lang w:val="en-US"/>
        </w:rPr>
      </w:pPr>
    </w:p>
    <w:p w14:paraId="097E4044" w14:textId="77777777" w:rsidR="00506791" w:rsidRDefault="00506791" w:rsidP="00506791">
      <w:pPr>
        <w:widowControl w:val="0"/>
        <w:autoSpaceDE w:val="0"/>
        <w:autoSpaceDN w:val="0"/>
        <w:adjustRightInd w:val="0"/>
        <w:spacing w:line="360" w:lineRule="auto"/>
        <w:rPr>
          <w:rFonts w:ascii="Calibri" w:eastAsiaTheme="minorHAnsi" w:hAnsi="Calibri" w:cs="Calibri"/>
          <w:sz w:val="20"/>
          <w:szCs w:val="20"/>
          <w:lang w:val="en-US"/>
        </w:rPr>
      </w:pPr>
    </w:p>
    <w:p w14:paraId="42D8FC28" w14:textId="77777777" w:rsidR="00506791" w:rsidRDefault="00506791" w:rsidP="00506791">
      <w:pPr>
        <w:widowControl w:val="0"/>
        <w:autoSpaceDE w:val="0"/>
        <w:autoSpaceDN w:val="0"/>
        <w:adjustRightInd w:val="0"/>
        <w:spacing w:line="360" w:lineRule="auto"/>
        <w:rPr>
          <w:rFonts w:ascii="Calibri" w:eastAsiaTheme="minorHAnsi" w:hAnsi="Calibri" w:cs="Calibri"/>
          <w:sz w:val="20"/>
          <w:szCs w:val="20"/>
          <w:lang w:val="en-US"/>
        </w:rPr>
      </w:pPr>
    </w:p>
    <w:p w14:paraId="706A56CD" w14:textId="77777777" w:rsidR="00506791" w:rsidRDefault="00506791" w:rsidP="00506791">
      <w:pPr>
        <w:widowControl w:val="0"/>
        <w:autoSpaceDE w:val="0"/>
        <w:autoSpaceDN w:val="0"/>
        <w:adjustRightInd w:val="0"/>
        <w:spacing w:line="360" w:lineRule="auto"/>
        <w:rPr>
          <w:rFonts w:ascii="Calibri" w:eastAsiaTheme="minorHAnsi" w:hAnsi="Calibri" w:cs="Calibri"/>
          <w:sz w:val="20"/>
          <w:szCs w:val="20"/>
          <w:lang w:val="en-US"/>
        </w:rPr>
      </w:pPr>
    </w:p>
    <w:p w14:paraId="100F46D5" w14:textId="194E6AF7" w:rsidR="00506791" w:rsidRPr="009F1E21" w:rsidRDefault="00506791" w:rsidP="00506791">
      <w:pPr>
        <w:widowControl w:val="0"/>
        <w:autoSpaceDE w:val="0"/>
        <w:autoSpaceDN w:val="0"/>
        <w:adjustRightInd w:val="0"/>
        <w:spacing w:line="360" w:lineRule="auto"/>
        <w:rPr>
          <w:rFonts w:ascii="Calibri" w:hAnsi="Calibri" w:cs="Calibri"/>
          <w:sz w:val="20"/>
          <w:szCs w:val="20"/>
        </w:rPr>
      </w:pPr>
      <w:r w:rsidRPr="009F1E21">
        <w:rPr>
          <w:rFonts w:ascii="Calibri" w:eastAsiaTheme="minorHAnsi" w:hAnsi="Calibri" w:cs="Calibri"/>
          <w:sz w:val="20"/>
          <w:szCs w:val="20"/>
          <w:lang w:val="en-US"/>
        </w:rPr>
        <w:fldChar w:fldCharType="begin"/>
      </w:r>
      <w:r w:rsidRPr="00151027">
        <w:rPr>
          <w:rFonts w:ascii="Calibri" w:hAnsi="Calibri" w:cs="Calibri"/>
          <w:sz w:val="20"/>
          <w:szCs w:val="20"/>
        </w:rPr>
        <w:instrText xml:space="preserve"> ADDIN EN.REFLIST </w:instrText>
      </w:r>
      <w:r w:rsidRPr="009F1E21">
        <w:rPr>
          <w:rFonts w:ascii="Calibri" w:eastAsiaTheme="minorHAnsi" w:hAnsi="Calibri" w:cs="Calibri"/>
          <w:sz w:val="20"/>
          <w:szCs w:val="20"/>
          <w:lang w:val="en-US"/>
        </w:rPr>
        <w:fldChar w:fldCharType="separate"/>
      </w:r>
    </w:p>
    <w:p w14:paraId="351D07D6" w14:textId="7BC8DAE3" w:rsidR="00506791" w:rsidRPr="009F1E21" w:rsidRDefault="00506791" w:rsidP="00506791">
      <w:pPr>
        <w:spacing w:line="360" w:lineRule="auto"/>
        <w:jc w:val="center"/>
        <w:rPr>
          <w:rFonts w:ascii="Calibri" w:hAnsi="Calibri" w:cs="Calibri"/>
          <w:b/>
          <w:sz w:val="20"/>
          <w:szCs w:val="20"/>
        </w:rPr>
      </w:pPr>
      <w:r w:rsidRPr="009F1E21">
        <w:rPr>
          <w:rFonts w:ascii="Calibri" w:hAnsi="Calibri" w:cs="Calibri"/>
          <w:b/>
          <w:sz w:val="20"/>
          <w:szCs w:val="20"/>
        </w:rPr>
        <w:t xml:space="preserve">Table </w:t>
      </w:r>
      <w:r>
        <w:rPr>
          <w:rFonts w:ascii="Calibri" w:hAnsi="Calibri" w:cs="Calibri"/>
          <w:b/>
          <w:sz w:val="20"/>
          <w:szCs w:val="20"/>
        </w:rPr>
        <w:t>1</w:t>
      </w:r>
      <w:r w:rsidRPr="009F1E21">
        <w:rPr>
          <w:rFonts w:ascii="Calibri" w:hAnsi="Calibri" w:cs="Calibri"/>
          <w:b/>
          <w:sz w:val="20"/>
          <w:szCs w:val="20"/>
        </w:rPr>
        <w:t xml:space="preserve"> Baseline Characteristics</w:t>
      </w:r>
    </w:p>
    <w:tbl>
      <w:tblPr>
        <w:tblStyle w:val="TableGrid"/>
        <w:tblW w:w="7089" w:type="dxa"/>
        <w:jc w:val="center"/>
        <w:tblLook w:val="04A0" w:firstRow="1" w:lastRow="0" w:firstColumn="1" w:lastColumn="0" w:noHBand="0" w:noVBand="1"/>
      </w:tblPr>
      <w:tblGrid>
        <w:gridCol w:w="5388"/>
        <w:gridCol w:w="1701"/>
      </w:tblGrid>
      <w:tr w:rsidR="00506791" w:rsidRPr="009F1E21" w14:paraId="1151964C" w14:textId="77777777" w:rsidTr="00CE60CC">
        <w:trPr>
          <w:jc w:val="center"/>
        </w:trPr>
        <w:tc>
          <w:tcPr>
            <w:tcW w:w="5388" w:type="dxa"/>
          </w:tcPr>
          <w:p w14:paraId="35C267E5" w14:textId="77777777" w:rsidR="00506791" w:rsidRPr="009F1E21" w:rsidRDefault="00506791" w:rsidP="00CE60CC">
            <w:pPr>
              <w:jc w:val="center"/>
              <w:rPr>
                <w:rFonts w:ascii="Calibri" w:hAnsi="Calibri" w:cs="Calibri"/>
                <w:b/>
                <w:sz w:val="20"/>
                <w:szCs w:val="20"/>
              </w:rPr>
            </w:pPr>
            <w:r w:rsidRPr="009F1E21">
              <w:rPr>
                <w:rFonts w:ascii="Calibri" w:hAnsi="Calibri" w:cs="Calibri"/>
                <w:b/>
                <w:sz w:val="20"/>
                <w:szCs w:val="20"/>
              </w:rPr>
              <w:t>Characteristic</w:t>
            </w:r>
          </w:p>
        </w:tc>
        <w:tc>
          <w:tcPr>
            <w:tcW w:w="1701" w:type="dxa"/>
          </w:tcPr>
          <w:p w14:paraId="7E189D25" w14:textId="77777777" w:rsidR="00506791" w:rsidRPr="009F1E21" w:rsidRDefault="00506791" w:rsidP="00CE60CC">
            <w:pPr>
              <w:jc w:val="center"/>
              <w:rPr>
                <w:rFonts w:ascii="Calibri" w:hAnsi="Calibri" w:cs="Calibri"/>
                <w:b/>
                <w:sz w:val="20"/>
                <w:szCs w:val="20"/>
              </w:rPr>
            </w:pPr>
            <w:r w:rsidRPr="009F1E21">
              <w:rPr>
                <w:rFonts w:ascii="Calibri" w:hAnsi="Calibri" w:cs="Calibri"/>
                <w:b/>
                <w:sz w:val="20"/>
                <w:szCs w:val="20"/>
              </w:rPr>
              <w:t>Percentage and number</w:t>
            </w:r>
          </w:p>
        </w:tc>
      </w:tr>
      <w:tr w:rsidR="00506791" w:rsidRPr="009F1E21" w14:paraId="14F214BB" w14:textId="77777777" w:rsidTr="00CE60CC">
        <w:trPr>
          <w:jc w:val="center"/>
        </w:trPr>
        <w:tc>
          <w:tcPr>
            <w:tcW w:w="5388" w:type="dxa"/>
          </w:tcPr>
          <w:p w14:paraId="01FF8CD9" w14:textId="77777777" w:rsidR="00506791" w:rsidRPr="009F1E21" w:rsidRDefault="00506791" w:rsidP="00CE60CC">
            <w:pPr>
              <w:rPr>
                <w:rFonts w:ascii="Calibri" w:hAnsi="Calibri" w:cs="Calibri"/>
                <w:sz w:val="20"/>
                <w:szCs w:val="20"/>
              </w:rPr>
            </w:pPr>
            <w:r w:rsidRPr="009F1E21">
              <w:rPr>
                <w:rFonts w:ascii="Calibri" w:hAnsi="Calibri" w:cs="Calibri"/>
                <w:sz w:val="20"/>
                <w:szCs w:val="20"/>
              </w:rPr>
              <w:t>Gender</w:t>
            </w:r>
          </w:p>
          <w:p w14:paraId="43CB0CE4" w14:textId="77777777" w:rsidR="00506791" w:rsidRPr="009F1E21" w:rsidRDefault="00506791" w:rsidP="00CE60CC">
            <w:pPr>
              <w:jc w:val="right"/>
              <w:rPr>
                <w:rFonts w:ascii="Calibri" w:hAnsi="Calibri" w:cs="Calibri"/>
                <w:sz w:val="20"/>
                <w:szCs w:val="20"/>
              </w:rPr>
            </w:pPr>
            <w:r w:rsidRPr="009F1E21">
              <w:rPr>
                <w:rFonts w:ascii="Calibri" w:hAnsi="Calibri" w:cs="Calibri"/>
                <w:sz w:val="20"/>
                <w:szCs w:val="20"/>
              </w:rPr>
              <w:t>Male</w:t>
            </w:r>
          </w:p>
          <w:p w14:paraId="5FBA592D" w14:textId="77777777" w:rsidR="00506791" w:rsidRPr="009F1E21" w:rsidRDefault="00506791" w:rsidP="00CE60CC">
            <w:pPr>
              <w:jc w:val="right"/>
              <w:rPr>
                <w:rFonts w:ascii="Calibri" w:hAnsi="Calibri" w:cs="Calibri"/>
                <w:sz w:val="20"/>
                <w:szCs w:val="20"/>
              </w:rPr>
            </w:pPr>
            <w:r w:rsidRPr="009F1E21">
              <w:rPr>
                <w:rFonts w:ascii="Calibri" w:hAnsi="Calibri" w:cs="Calibri"/>
                <w:sz w:val="20"/>
                <w:szCs w:val="20"/>
              </w:rPr>
              <w:t>Female</w:t>
            </w:r>
          </w:p>
        </w:tc>
        <w:tc>
          <w:tcPr>
            <w:tcW w:w="1701" w:type="dxa"/>
          </w:tcPr>
          <w:p w14:paraId="0AFBF5BB" w14:textId="77777777" w:rsidR="00506791" w:rsidRPr="009F1E21" w:rsidRDefault="00506791" w:rsidP="00CE60CC">
            <w:pPr>
              <w:jc w:val="right"/>
              <w:rPr>
                <w:rFonts w:ascii="Calibri" w:hAnsi="Calibri" w:cs="Calibri"/>
                <w:sz w:val="20"/>
                <w:szCs w:val="20"/>
              </w:rPr>
            </w:pPr>
          </w:p>
          <w:p w14:paraId="7F0ECD5D" w14:textId="77777777" w:rsidR="00506791" w:rsidRPr="009F1E21" w:rsidRDefault="00506791" w:rsidP="00CE60CC">
            <w:pPr>
              <w:jc w:val="right"/>
              <w:rPr>
                <w:rFonts w:ascii="Calibri" w:hAnsi="Calibri" w:cs="Calibri"/>
                <w:sz w:val="20"/>
                <w:szCs w:val="20"/>
              </w:rPr>
            </w:pPr>
            <w:r w:rsidRPr="009F1E21">
              <w:rPr>
                <w:rFonts w:ascii="Calibri" w:hAnsi="Calibri" w:cs="Calibri"/>
                <w:sz w:val="20"/>
                <w:szCs w:val="20"/>
              </w:rPr>
              <w:t>42% (15/36)</w:t>
            </w:r>
          </w:p>
          <w:p w14:paraId="75E95F18" w14:textId="77777777" w:rsidR="00506791" w:rsidRPr="009F1E21" w:rsidRDefault="00506791" w:rsidP="00CE60CC">
            <w:pPr>
              <w:jc w:val="right"/>
              <w:rPr>
                <w:rFonts w:ascii="Calibri" w:hAnsi="Calibri" w:cs="Calibri"/>
                <w:sz w:val="20"/>
                <w:szCs w:val="20"/>
              </w:rPr>
            </w:pPr>
            <w:r w:rsidRPr="009F1E21">
              <w:rPr>
                <w:rFonts w:ascii="Calibri" w:hAnsi="Calibri" w:cs="Calibri"/>
                <w:sz w:val="20"/>
                <w:szCs w:val="20"/>
              </w:rPr>
              <w:t>58% (21/36)</w:t>
            </w:r>
          </w:p>
        </w:tc>
      </w:tr>
      <w:tr w:rsidR="00506791" w:rsidRPr="009F1E21" w14:paraId="29E47DA3" w14:textId="77777777" w:rsidTr="00CE60CC">
        <w:trPr>
          <w:jc w:val="center"/>
        </w:trPr>
        <w:tc>
          <w:tcPr>
            <w:tcW w:w="5388" w:type="dxa"/>
          </w:tcPr>
          <w:p w14:paraId="26120AE6" w14:textId="77777777" w:rsidR="00506791" w:rsidRPr="009F1E21" w:rsidRDefault="00506791" w:rsidP="00CE60CC">
            <w:pPr>
              <w:rPr>
                <w:rFonts w:ascii="Calibri" w:hAnsi="Calibri" w:cs="Calibri"/>
                <w:sz w:val="20"/>
                <w:szCs w:val="20"/>
              </w:rPr>
            </w:pPr>
            <w:r w:rsidRPr="009F1E21">
              <w:rPr>
                <w:rFonts w:ascii="Calibri" w:hAnsi="Calibri" w:cs="Calibri"/>
                <w:sz w:val="20"/>
                <w:szCs w:val="20"/>
              </w:rPr>
              <w:t>Age (years; median, range)</w:t>
            </w:r>
          </w:p>
        </w:tc>
        <w:tc>
          <w:tcPr>
            <w:tcW w:w="1701" w:type="dxa"/>
          </w:tcPr>
          <w:p w14:paraId="1D38DF8A" w14:textId="77777777" w:rsidR="00506791" w:rsidRPr="009F1E21" w:rsidRDefault="00506791" w:rsidP="00CE60CC">
            <w:pPr>
              <w:jc w:val="right"/>
              <w:rPr>
                <w:rFonts w:ascii="Calibri" w:hAnsi="Calibri" w:cs="Calibri"/>
                <w:sz w:val="20"/>
                <w:szCs w:val="20"/>
              </w:rPr>
            </w:pPr>
            <w:r w:rsidRPr="009F1E21">
              <w:rPr>
                <w:rFonts w:ascii="Calibri" w:hAnsi="Calibri" w:cs="Calibri"/>
                <w:sz w:val="20"/>
                <w:szCs w:val="20"/>
              </w:rPr>
              <w:t>68 years (range 33-82).</w:t>
            </w:r>
          </w:p>
        </w:tc>
      </w:tr>
      <w:tr w:rsidR="00506791" w:rsidRPr="009F1E21" w14:paraId="0ADE9B74" w14:textId="77777777" w:rsidTr="00CE60CC">
        <w:trPr>
          <w:jc w:val="center"/>
        </w:trPr>
        <w:tc>
          <w:tcPr>
            <w:tcW w:w="5388" w:type="dxa"/>
          </w:tcPr>
          <w:p w14:paraId="3DB49B26" w14:textId="77777777" w:rsidR="00506791" w:rsidRPr="009F1E21" w:rsidRDefault="00506791" w:rsidP="00CE60CC">
            <w:pPr>
              <w:rPr>
                <w:rFonts w:ascii="Calibri" w:hAnsi="Calibri" w:cs="Calibri"/>
                <w:sz w:val="20"/>
                <w:szCs w:val="20"/>
              </w:rPr>
            </w:pPr>
            <w:r w:rsidRPr="009F1E21">
              <w:rPr>
                <w:rFonts w:ascii="Calibri" w:hAnsi="Calibri" w:cs="Calibri"/>
                <w:sz w:val="20"/>
                <w:szCs w:val="20"/>
              </w:rPr>
              <w:t>ECOG Performance Status</w:t>
            </w:r>
          </w:p>
          <w:p w14:paraId="54B0DED7" w14:textId="77777777" w:rsidR="00506791" w:rsidRPr="009F1E21" w:rsidRDefault="00506791" w:rsidP="00CE60CC">
            <w:pPr>
              <w:jc w:val="right"/>
              <w:rPr>
                <w:rFonts w:ascii="Calibri" w:hAnsi="Calibri" w:cs="Calibri"/>
                <w:sz w:val="20"/>
                <w:szCs w:val="20"/>
              </w:rPr>
            </w:pPr>
            <w:r w:rsidRPr="009F1E21">
              <w:rPr>
                <w:rFonts w:ascii="Calibri" w:hAnsi="Calibri" w:cs="Calibri"/>
                <w:sz w:val="20"/>
                <w:szCs w:val="20"/>
              </w:rPr>
              <w:t>0</w:t>
            </w:r>
          </w:p>
          <w:p w14:paraId="2061B660" w14:textId="77777777" w:rsidR="00506791" w:rsidRPr="009F1E21" w:rsidRDefault="00506791" w:rsidP="00CE60CC">
            <w:pPr>
              <w:jc w:val="right"/>
              <w:rPr>
                <w:rFonts w:ascii="Calibri" w:hAnsi="Calibri" w:cs="Calibri"/>
                <w:sz w:val="20"/>
                <w:szCs w:val="20"/>
              </w:rPr>
            </w:pPr>
            <w:r w:rsidRPr="009F1E21">
              <w:rPr>
                <w:rFonts w:ascii="Calibri" w:hAnsi="Calibri" w:cs="Calibri"/>
                <w:sz w:val="20"/>
                <w:szCs w:val="20"/>
              </w:rPr>
              <w:t>1</w:t>
            </w:r>
          </w:p>
          <w:p w14:paraId="5F9E334D" w14:textId="77777777" w:rsidR="00506791" w:rsidRPr="009F1E21" w:rsidRDefault="00506791" w:rsidP="00CE60CC">
            <w:pPr>
              <w:jc w:val="right"/>
              <w:rPr>
                <w:rFonts w:ascii="Calibri" w:hAnsi="Calibri" w:cs="Calibri"/>
                <w:sz w:val="20"/>
                <w:szCs w:val="20"/>
              </w:rPr>
            </w:pPr>
            <w:r w:rsidRPr="009F1E21">
              <w:rPr>
                <w:rFonts w:ascii="Calibri" w:hAnsi="Calibri" w:cs="Calibri"/>
                <w:sz w:val="20"/>
                <w:szCs w:val="20"/>
              </w:rPr>
              <w:t>2</w:t>
            </w:r>
          </w:p>
        </w:tc>
        <w:tc>
          <w:tcPr>
            <w:tcW w:w="1701" w:type="dxa"/>
          </w:tcPr>
          <w:p w14:paraId="5322F42D" w14:textId="77777777" w:rsidR="00506791" w:rsidRPr="009F1E21" w:rsidRDefault="00506791" w:rsidP="00CE60CC">
            <w:pPr>
              <w:jc w:val="right"/>
              <w:rPr>
                <w:rFonts w:ascii="Calibri" w:hAnsi="Calibri" w:cs="Calibri"/>
                <w:sz w:val="20"/>
                <w:szCs w:val="20"/>
              </w:rPr>
            </w:pPr>
          </w:p>
          <w:p w14:paraId="7EFE4F11" w14:textId="77777777" w:rsidR="00506791" w:rsidRPr="009F1E21" w:rsidRDefault="00506791" w:rsidP="00CE60CC">
            <w:pPr>
              <w:jc w:val="right"/>
              <w:rPr>
                <w:rFonts w:ascii="Calibri" w:hAnsi="Calibri" w:cs="Calibri"/>
                <w:sz w:val="20"/>
                <w:szCs w:val="20"/>
              </w:rPr>
            </w:pPr>
            <w:r w:rsidRPr="009F1E21">
              <w:rPr>
                <w:rFonts w:ascii="Calibri" w:hAnsi="Calibri" w:cs="Calibri"/>
                <w:sz w:val="20"/>
                <w:szCs w:val="20"/>
              </w:rPr>
              <w:t>22% (8/36)</w:t>
            </w:r>
          </w:p>
          <w:p w14:paraId="7D2C2E84" w14:textId="77777777" w:rsidR="00506791" w:rsidRPr="009F1E21" w:rsidRDefault="00506791" w:rsidP="00CE60CC">
            <w:pPr>
              <w:jc w:val="right"/>
              <w:rPr>
                <w:rFonts w:ascii="Calibri" w:hAnsi="Calibri" w:cs="Calibri"/>
                <w:sz w:val="20"/>
                <w:szCs w:val="20"/>
              </w:rPr>
            </w:pPr>
            <w:r w:rsidRPr="009F1E21">
              <w:rPr>
                <w:rFonts w:ascii="Calibri" w:hAnsi="Calibri" w:cs="Calibri"/>
                <w:sz w:val="20"/>
                <w:szCs w:val="20"/>
              </w:rPr>
              <w:t>72% (26/36)</w:t>
            </w:r>
          </w:p>
          <w:p w14:paraId="23017B29" w14:textId="77777777" w:rsidR="00506791" w:rsidRPr="009F1E21" w:rsidRDefault="00506791" w:rsidP="00CE60CC">
            <w:pPr>
              <w:jc w:val="right"/>
              <w:rPr>
                <w:rFonts w:ascii="Calibri" w:hAnsi="Calibri" w:cs="Calibri"/>
                <w:sz w:val="20"/>
                <w:szCs w:val="20"/>
              </w:rPr>
            </w:pPr>
            <w:r w:rsidRPr="009F1E21">
              <w:rPr>
                <w:rFonts w:ascii="Calibri" w:hAnsi="Calibri" w:cs="Calibri"/>
                <w:sz w:val="20"/>
                <w:szCs w:val="20"/>
              </w:rPr>
              <w:t>6% (2/36)</w:t>
            </w:r>
          </w:p>
        </w:tc>
      </w:tr>
      <w:tr w:rsidR="00506791" w:rsidRPr="009F1E21" w14:paraId="61790ECC" w14:textId="77777777" w:rsidTr="00CE60CC">
        <w:trPr>
          <w:jc w:val="center"/>
        </w:trPr>
        <w:tc>
          <w:tcPr>
            <w:tcW w:w="5388" w:type="dxa"/>
          </w:tcPr>
          <w:p w14:paraId="18FE7687" w14:textId="77777777" w:rsidR="00506791" w:rsidRPr="009F1E21" w:rsidRDefault="00506791" w:rsidP="00CE60CC">
            <w:pPr>
              <w:rPr>
                <w:rFonts w:ascii="Calibri" w:hAnsi="Calibri" w:cs="Calibri"/>
                <w:sz w:val="20"/>
                <w:szCs w:val="20"/>
              </w:rPr>
            </w:pPr>
            <w:r w:rsidRPr="009F1E21">
              <w:rPr>
                <w:rFonts w:ascii="Calibri" w:hAnsi="Calibri" w:cs="Calibri"/>
                <w:sz w:val="20"/>
                <w:szCs w:val="20"/>
              </w:rPr>
              <w:t>Prior lines of therapy (median, range)</w:t>
            </w:r>
          </w:p>
        </w:tc>
        <w:tc>
          <w:tcPr>
            <w:tcW w:w="1701" w:type="dxa"/>
          </w:tcPr>
          <w:p w14:paraId="7515D429" w14:textId="77777777" w:rsidR="00506791" w:rsidRPr="009F1E21" w:rsidRDefault="00506791" w:rsidP="00CE60CC">
            <w:pPr>
              <w:jc w:val="right"/>
              <w:rPr>
                <w:rFonts w:ascii="Calibri" w:hAnsi="Calibri" w:cs="Calibri"/>
                <w:sz w:val="20"/>
                <w:szCs w:val="20"/>
              </w:rPr>
            </w:pPr>
            <w:r w:rsidRPr="009F1E21">
              <w:rPr>
                <w:rFonts w:ascii="Calibri" w:hAnsi="Calibri" w:cs="Calibri"/>
                <w:sz w:val="20"/>
                <w:szCs w:val="20"/>
              </w:rPr>
              <w:t>3 (1-9)</w:t>
            </w:r>
          </w:p>
        </w:tc>
      </w:tr>
      <w:tr w:rsidR="00506791" w:rsidRPr="009F1E21" w14:paraId="495FAE1E" w14:textId="77777777" w:rsidTr="00CE60CC">
        <w:trPr>
          <w:jc w:val="center"/>
        </w:trPr>
        <w:tc>
          <w:tcPr>
            <w:tcW w:w="5388" w:type="dxa"/>
          </w:tcPr>
          <w:p w14:paraId="7C398325" w14:textId="77777777" w:rsidR="00506791" w:rsidRPr="009F1E21" w:rsidRDefault="00506791" w:rsidP="00CE60CC">
            <w:pPr>
              <w:rPr>
                <w:rFonts w:ascii="Calibri" w:hAnsi="Calibri" w:cs="Calibri"/>
                <w:sz w:val="20"/>
                <w:szCs w:val="20"/>
              </w:rPr>
            </w:pPr>
            <w:r w:rsidRPr="009F1E21">
              <w:rPr>
                <w:rFonts w:ascii="Calibri" w:hAnsi="Calibri" w:cs="Calibri"/>
                <w:sz w:val="20"/>
                <w:szCs w:val="20"/>
              </w:rPr>
              <w:t>Ann Arbor Staging</w:t>
            </w:r>
          </w:p>
          <w:p w14:paraId="456916E1" w14:textId="77777777" w:rsidR="00506791" w:rsidRPr="009F1E21" w:rsidRDefault="00506791" w:rsidP="00CE60CC">
            <w:pPr>
              <w:jc w:val="right"/>
              <w:rPr>
                <w:rFonts w:ascii="Calibri" w:hAnsi="Calibri" w:cs="Calibri"/>
                <w:sz w:val="20"/>
                <w:szCs w:val="20"/>
              </w:rPr>
            </w:pPr>
            <w:r w:rsidRPr="009F1E21">
              <w:rPr>
                <w:rFonts w:ascii="Calibri" w:hAnsi="Calibri" w:cs="Calibri"/>
                <w:sz w:val="20"/>
                <w:szCs w:val="20"/>
              </w:rPr>
              <w:t>1-2</w:t>
            </w:r>
          </w:p>
          <w:p w14:paraId="6B9F9A11" w14:textId="77777777" w:rsidR="00506791" w:rsidRPr="009F1E21" w:rsidRDefault="00506791" w:rsidP="00CE60CC">
            <w:pPr>
              <w:jc w:val="right"/>
              <w:rPr>
                <w:rFonts w:ascii="Calibri" w:hAnsi="Calibri" w:cs="Calibri"/>
                <w:sz w:val="20"/>
                <w:szCs w:val="20"/>
              </w:rPr>
            </w:pPr>
            <w:r w:rsidRPr="009F1E21">
              <w:rPr>
                <w:rFonts w:ascii="Calibri" w:hAnsi="Calibri" w:cs="Calibri"/>
                <w:sz w:val="20"/>
                <w:szCs w:val="20"/>
              </w:rPr>
              <w:t>3-4</w:t>
            </w:r>
          </w:p>
        </w:tc>
        <w:tc>
          <w:tcPr>
            <w:tcW w:w="1701" w:type="dxa"/>
          </w:tcPr>
          <w:p w14:paraId="64E66054" w14:textId="77777777" w:rsidR="00506791" w:rsidRPr="009F1E21" w:rsidRDefault="00506791" w:rsidP="00CE60CC">
            <w:pPr>
              <w:jc w:val="right"/>
              <w:rPr>
                <w:rFonts w:ascii="Calibri" w:hAnsi="Calibri" w:cs="Calibri"/>
                <w:sz w:val="20"/>
                <w:szCs w:val="20"/>
              </w:rPr>
            </w:pPr>
          </w:p>
          <w:p w14:paraId="750A74EB" w14:textId="77777777" w:rsidR="00506791" w:rsidRPr="009F1E21" w:rsidRDefault="00506791" w:rsidP="00CE60CC">
            <w:pPr>
              <w:jc w:val="right"/>
              <w:rPr>
                <w:rFonts w:ascii="Calibri" w:hAnsi="Calibri" w:cs="Calibri"/>
                <w:sz w:val="20"/>
                <w:szCs w:val="20"/>
              </w:rPr>
            </w:pPr>
            <w:r w:rsidRPr="009F1E21">
              <w:rPr>
                <w:rFonts w:ascii="Calibri" w:hAnsi="Calibri" w:cs="Calibri"/>
                <w:sz w:val="20"/>
                <w:szCs w:val="20"/>
              </w:rPr>
              <w:t>14% (5/36)</w:t>
            </w:r>
          </w:p>
          <w:p w14:paraId="2D34459F" w14:textId="77777777" w:rsidR="00506791" w:rsidRPr="009F1E21" w:rsidRDefault="00506791" w:rsidP="00CE60CC">
            <w:pPr>
              <w:jc w:val="right"/>
              <w:rPr>
                <w:rFonts w:ascii="Calibri" w:hAnsi="Calibri" w:cs="Calibri"/>
                <w:sz w:val="20"/>
                <w:szCs w:val="20"/>
              </w:rPr>
            </w:pPr>
            <w:r w:rsidRPr="009F1E21">
              <w:rPr>
                <w:rFonts w:ascii="Calibri" w:hAnsi="Calibri" w:cs="Calibri"/>
                <w:sz w:val="20"/>
                <w:szCs w:val="20"/>
              </w:rPr>
              <w:t>86% (31/36)</w:t>
            </w:r>
          </w:p>
        </w:tc>
      </w:tr>
      <w:tr w:rsidR="00506791" w:rsidRPr="009F1E21" w14:paraId="66C77245" w14:textId="77777777" w:rsidTr="00CE60CC">
        <w:trPr>
          <w:jc w:val="center"/>
        </w:trPr>
        <w:tc>
          <w:tcPr>
            <w:tcW w:w="5388" w:type="dxa"/>
          </w:tcPr>
          <w:p w14:paraId="76A78811" w14:textId="77777777" w:rsidR="00506791" w:rsidRPr="009F1E21" w:rsidRDefault="00506791" w:rsidP="00CE60CC">
            <w:pPr>
              <w:rPr>
                <w:rFonts w:ascii="Calibri" w:hAnsi="Calibri" w:cs="Calibri"/>
                <w:sz w:val="20"/>
                <w:szCs w:val="20"/>
              </w:rPr>
            </w:pPr>
            <w:r w:rsidRPr="009F1E21">
              <w:rPr>
                <w:rFonts w:ascii="Calibri" w:hAnsi="Calibri" w:cs="Calibri"/>
                <w:sz w:val="20"/>
                <w:szCs w:val="20"/>
              </w:rPr>
              <w:t>First line therapy response</w:t>
            </w:r>
          </w:p>
          <w:p w14:paraId="141BE5D8" w14:textId="77777777" w:rsidR="00506791" w:rsidRPr="009F1E21" w:rsidRDefault="00506791" w:rsidP="00CE60CC">
            <w:pPr>
              <w:jc w:val="right"/>
              <w:rPr>
                <w:rFonts w:ascii="Calibri" w:hAnsi="Calibri" w:cs="Calibri"/>
                <w:sz w:val="20"/>
                <w:szCs w:val="20"/>
              </w:rPr>
            </w:pPr>
            <w:r w:rsidRPr="009F1E21">
              <w:rPr>
                <w:rFonts w:ascii="Calibri" w:hAnsi="Calibri" w:cs="Calibri"/>
                <w:sz w:val="20"/>
                <w:szCs w:val="20"/>
              </w:rPr>
              <w:t>Relapsed</w:t>
            </w:r>
          </w:p>
          <w:p w14:paraId="0D4D5814" w14:textId="77777777" w:rsidR="00506791" w:rsidRPr="009F1E21" w:rsidRDefault="00506791" w:rsidP="00CE60CC">
            <w:pPr>
              <w:jc w:val="right"/>
              <w:rPr>
                <w:rFonts w:ascii="Calibri" w:hAnsi="Calibri" w:cs="Calibri"/>
                <w:sz w:val="20"/>
                <w:szCs w:val="20"/>
              </w:rPr>
            </w:pPr>
            <w:r w:rsidRPr="009F1E21">
              <w:rPr>
                <w:rFonts w:ascii="Calibri" w:hAnsi="Calibri" w:cs="Calibri"/>
                <w:sz w:val="20"/>
                <w:szCs w:val="20"/>
              </w:rPr>
              <w:t>Refractory</w:t>
            </w:r>
          </w:p>
        </w:tc>
        <w:tc>
          <w:tcPr>
            <w:tcW w:w="1701" w:type="dxa"/>
          </w:tcPr>
          <w:p w14:paraId="6B38AB1D" w14:textId="77777777" w:rsidR="00506791" w:rsidRPr="009F1E21" w:rsidRDefault="00506791" w:rsidP="00CE60CC">
            <w:pPr>
              <w:jc w:val="right"/>
              <w:rPr>
                <w:rFonts w:ascii="Calibri" w:hAnsi="Calibri" w:cs="Calibri"/>
                <w:sz w:val="20"/>
                <w:szCs w:val="20"/>
              </w:rPr>
            </w:pPr>
          </w:p>
          <w:p w14:paraId="78096C0C" w14:textId="77777777" w:rsidR="00506791" w:rsidRPr="009F1E21" w:rsidRDefault="00506791" w:rsidP="00CE60CC">
            <w:pPr>
              <w:jc w:val="right"/>
              <w:rPr>
                <w:rFonts w:ascii="Calibri" w:hAnsi="Calibri" w:cs="Calibri"/>
                <w:sz w:val="20"/>
                <w:szCs w:val="20"/>
              </w:rPr>
            </w:pPr>
            <w:r w:rsidRPr="009F1E21">
              <w:rPr>
                <w:rFonts w:ascii="Calibri" w:hAnsi="Calibri" w:cs="Calibri"/>
                <w:sz w:val="20"/>
                <w:szCs w:val="20"/>
              </w:rPr>
              <w:t>53% (19/36)</w:t>
            </w:r>
          </w:p>
          <w:p w14:paraId="1C82F396" w14:textId="77777777" w:rsidR="00506791" w:rsidRPr="009F1E21" w:rsidRDefault="00506791" w:rsidP="00CE60CC">
            <w:pPr>
              <w:jc w:val="right"/>
              <w:rPr>
                <w:rFonts w:ascii="Calibri" w:hAnsi="Calibri" w:cs="Calibri"/>
                <w:sz w:val="20"/>
                <w:szCs w:val="20"/>
              </w:rPr>
            </w:pPr>
            <w:r w:rsidRPr="009F1E21">
              <w:rPr>
                <w:rFonts w:ascii="Calibri" w:hAnsi="Calibri" w:cs="Calibri"/>
                <w:sz w:val="20"/>
                <w:szCs w:val="20"/>
              </w:rPr>
              <w:t>47% (17/36)</w:t>
            </w:r>
          </w:p>
        </w:tc>
      </w:tr>
      <w:tr w:rsidR="00506791" w:rsidRPr="009F1E21" w14:paraId="343B9DAA" w14:textId="77777777" w:rsidTr="00CE60CC">
        <w:trPr>
          <w:jc w:val="center"/>
        </w:trPr>
        <w:tc>
          <w:tcPr>
            <w:tcW w:w="5388" w:type="dxa"/>
          </w:tcPr>
          <w:p w14:paraId="0C77A46D" w14:textId="77777777" w:rsidR="00506791" w:rsidRPr="009F1E21" w:rsidRDefault="00506791" w:rsidP="00CE60CC">
            <w:pPr>
              <w:jc w:val="both"/>
              <w:rPr>
                <w:rFonts w:ascii="Calibri" w:hAnsi="Calibri" w:cs="Calibri"/>
                <w:sz w:val="20"/>
                <w:szCs w:val="20"/>
              </w:rPr>
            </w:pPr>
            <w:r w:rsidRPr="009F1E21">
              <w:rPr>
                <w:rFonts w:ascii="Calibri" w:hAnsi="Calibri" w:cs="Calibri"/>
                <w:sz w:val="20"/>
                <w:szCs w:val="20"/>
              </w:rPr>
              <w:t>International prognostic index (IPI)</w:t>
            </w:r>
          </w:p>
          <w:p w14:paraId="64EB9787" w14:textId="77777777" w:rsidR="00506791" w:rsidRPr="009F1E21" w:rsidRDefault="00506791" w:rsidP="00CE60CC">
            <w:pPr>
              <w:jc w:val="right"/>
              <w:rPr>
                <w:rFonts w:ascii="Calibri" w:hAnsi="Calibri" w:cs="Calibri"/>
                <w:sz w:val="20"/>
                <w:szCs w:val="20"/>
              </w:rPr>
            </w:pPr>
            <w:r w:rsidRPr="009F1E21">
              <w:rPr>
                <w:rFonts w:ascii="Calibri" w:hAnsi="Calibri" w:cs="Calibri"/>
                <w:sz w:val="20"/>
                <w:szCs w:val="20"/>
              </w:rPr>
              <w:t>Low 0-1</w:t>
            </w:r>
          </w:p>
          <w:p w14:paraId="3D20FD25" w14:textId="77777777" w:rsidR="00506791" w:rsidRPr="009F1E21" w:rsidRDefault="00506791" w:rsidP="00CE60CC">
            <w:pPr>
              <w:jc w:val="right"/>
              <w:rPr>
                <w:rFonts w:ascii="Calibri" w:hAnsi="Calibri" w:cs="Calibri"/>
                <w:sz w:val="20"/>
                <w:szCs w:val="20"/>
              </w:rPr>
            </w:pPr>
            <w:r w:rsidRPr="009F1E21">
              <w:rPr>
                <w:rFonts w:ascii="Calibri" w:hAnsi="Calibri" w:cs="Calibri"/>
                <w:sz w:val="20"/>
                <w:szCs w:val="20"/>
              </w:rPr>
              <w:t>Low/Intermediate 2</w:t>
            </w:r>
          </w:p>
          <w:p w14:paraId="359C4BE2" w14:textId="77777777" w:rsidR="00506791" w:rsidRPr="009F1E21" w:rsidRDefault="00506791" w:rsidP="00CE60CC">
            <w:pPr>
              <w:jc w:val="right"/>
              <w:rPr>
                <w:rFonts w:ascii="Calibri" w:hAnsi="Calibri" w:cs="Calibri"/>
                <w:sz w:val="20"/>
                <w:szCs w:val="20"/>
              </w:rPr>
            </w:pPr>
            <w:r w:rsidRPr="009F1E21">
              <w:rPr>
                <w:rFonts w:ascii="Calibri" w:hAnsi="Calibri" w:cs="Calibri"/>
                <w:sz w:val="20"/>
                <w:szCs w:val="20"/>
              </w:rPr>
              <w:t>High/Intermediate 3</w:t>
            </w:r>
          </w:p>
          <w:p w14:paraId="4817F5F7" w14:textId="77777777" w:rsidR="00506791" w:rsidRPr="009F1E21" w:rsidRDefault="00506791" w:rsidP="00CE60CC">
            <w:pPr>
              <w:jc w:val="right"/>
              <w:rPr>
                <w:rFonts w:ascii="Calibri" w:hAnsi="Calibri" w:cs="Calibri"/>
                <w:sz w:val="20"/>
                <w:szCs w:val="20"/>
              </w:rPr>
            </w:pPr>
            <w:r w:rsidRPr="009F1E21">
              <w:rPr>
                <w:rFonts w:ascii="Calibri" w:hAnsi="Calibri" w:cs="Calibri"/>
                <w:sz w:val="20"/>
                <w:szCs w:val="20"/>
              </w:rPr>
              <w:t>High 4-5</w:t>
            </w:r>
          </w:p>
        </w:tc>
        <w:tc>
          <w:tcPr>
            <w:tcW w:w="1701" w:type="dxa"/>
          </w:tcPr>
          <w:p w14:paraId="5A43EEE7" w14:textId="77777777" w:rsidR="00506791" w:rsidRPr="009F1E21" w:rsidRDefault="00506791" w:rsidP="00CE60CC">
            <w:pPr>
              <w:jc w:val="center"/>
              <w:rPr>
                <w:rFonts w:ascii="Calibri" w:hAnsi="Calibri" w:cs="Calibri"/>
                <w:sz w:val="20"/>
                <w:szCs w:val="20"/>
              </w:rPr>
            </w:pPr>
          </w:p>
          <w:p w14:paraId="7B30FC84" w14:textId="77777777" w:rsidR="00506791" w:rsidRPr="009F1E21" w:rsidRDefault="00506791" w:rsidP="00CE60CC">
            <w:pPr>
              <w:jc w:val="right"/>
              <w:rPr>
                <w:rFonts w:ascii="Calibri" w:hAnsi="Calibri" w:cs="Calibri"/>
                <w:sz w:val="20"/>
                <w:szCs w:val="20"/>
              </w:rPr>
            </w:pPr>
            <w:r w:rsidRPr="009F1E21">
              <w:rPr>
                <w:rFonts w:ascii="Calibri" w:hAnsi="Calibri" w:cs="Calibri"/>
                <w:sz w:val="20"/>
                <w:szCs w:val="20"/>
              </w:rPr>
              <w:t>11% (4/36)</w:t>
            </w:r>
          </w:p>
          <w:p w14:paraId="215443AC" w14:textId="77777777" w:rsidR="00506791" w:rsidRPr="009F1E21" w:rsidRDefault="00506791" w:rsidP="00CE60CC">
            <w:pPr>
              <w:jc w:val="right"/>
              <w:rPr>
                <w:rFonts w:ascii="Calibri" w:hAnsi="Calibri" w:cs="Calibri"/>
                <w:sz w:val="20"/>
                <w:szCs w:val="20"/>
              </w:rPr>
            </w:pPr>
            <w:r w:rsidRPr="009F1E21">
              <w:rPr>
                <w:rFonts w:ascii="Calibri" w:hAnsi="Calibri" w:cs="Calibri"/>
                <w:sz w:val="20"/>
                <w:szCs w:val="20"/>
              </w:rPr>
              <w:t>36% (13/36)</w:t>
            </w:r>
          </w:p>
          <w:p w14:paraId="38B4F0BB" w14:textId="77777777" w:rsidR="00506791" w:rsidRPr="009F1E21" w:rsidRDefault="00506791" w:rsidP="00CE60CC">
            <w:pPr>
              <w:jc w:val="right"/>
              <w:rPr>
                <w:rFonts w:ascii="Calibri" w:hAnsi="Calibri" w:cs="Calibri"/>
                <w:sz w:val="20"/>
                <w:szCs w:val="20"/>
              </w:rPr>
            </w:pPr>
            <w:r w:rsidRPr="009F1E21">
              <w:rPr>
                <w:rFonts w:ascii="Calibri" w:hAnsi="Calibri" w:cs="Calibri"/>
                <w:sz w:val="20"/>
                <w:szCs w:val="20"/>
              </w:rPr>
              <w:t>31% (11/36)</w:t>
            </w:r>
          </w:p>
          <w:p w14:paraId="10840835" w14:textId="77777777" w:rsidR="00506791" w:rsidRPr="009F1E21" w:rsidRDefault="00506791" w:rsidP="00CE60CC">
            <w:pPr>
              <w:jc w:val="right"/>
              <w:rPr>
                <w:rFonts w:ascii="Calibri" w:hAnsi="Calibri" w:cs="Calibri"/>
                <w:sz w:val="20"/>
                <w:szCs w:val="20"/>
              </w:rPr>
            </w:pPr>
            <w:r w:rsidRPr="009F1E21">
              <w:rPr>
                <w:rFonts w:ascii="Calibri" w:hAnsi="Calibri" w:cs="Calibri"/>
                <w:sz w:val="20"/>
                <w:szCs w:val="20"/>
              </w:rPr>
              <w:t>22% (8/36)</w:t>
            </w:r>
          </w:p>
        </w:tc>
      </w:tr>
      <w:tr w:rsidR="00506791" w:rsidRPr="009F1E21" w14:paraId="1E37EDBD" w14:textId="77777777" w:rsidTr="00CE60CC">
        <w:trPr>
          <w:jc w:val="center"/>
        </w:trPr>
        <w:tc>
          <w:tcPr>
            <w:tcW w:w="5388" w:type="dxa"/>
          </w:tcPr>
          <w:p w14:paraId="6E1C5660" w14:textId="77777777" w:rsidR="00506791" w:rsidRPr="009F1E21" w:rsidRDefault="00506791" w:rsidP="00CE60CC">
            <w:pPr>
              <w:rPr>
                <w:rFonts w:ascii="Calibri" w:hAnsi="Calibri" w:cs="Calibri"/>
                <w:sz w:val="20"/>
                <w:szCs w:val="20"/>
              </w:rPr>
            </w:pPr>
            <w:r w:rsidRPr="009F1E21">
              <w:rPr>
                <w:rFonts w:ascii="Calibri" w:hAnsi="Calibri" w:cs="Calibri"/>
                <w:sz w:val="20"/>
                <w:szCs w:val="20"/>
              </w:rPr>
              <w:t>Prior Autologous stem cell transplantation</w:t>
            </w:r>
          </w:p>
          <w:p w14:paraId="502A95FD" w14:textId="77777777" w:rsidR="00506791" w:rsidRPr="009F1E21" w:rsidRDefault="00506791" w:rsidP="00CE60CC">
            <w:pPr>
              <w:jc w:val="right"/>
              <w:rPr>
                <w:rFonts w:ascii="Calibri" w:hAnsi="Calibri" w:cs="Calibri"/>
                <w:sz w:val="20"/>
                <w:szCs w:val="20"/>
              </w:rPr>
            </w:pPr>
            <w:r w:rsidRPr="009F1E21">
              <w:rPr>
                <w:rFonts w:ascii="Calibri" w:hAnsi="Calibri" w:cs="Calibri"/>
                <w:sz w:val="20"/>
                <w:szCs w:val="20"/>
              </w:rPr>
              <w:t>Yes</w:t>
            </w:r>
          </w:p>
          <w:p w14:paraId="0CC8E128" w14:textId="77777777" w:rsidR="00506791" w:rsidRPr="009F1E21" w:rsidRDefault="00506791" w:rsidP="00CE60CC">
            <w:pPr>
              <w:jc w:val="right"/>
              <w:rPr>
                <w:rFonts w:ascii="Calibri" w:hAnsi="Calibri" w:cs="Calibri"/>
                <w:sz w:val="20"/>
                <w:szCs w:val="20"/>
              </w:rPr>
            </w:pPr>
            <w:r w:rsidRPr="009F1E21">
              <w:rPr>
                <w:rFonts w:ascii="Calibri" w:hAnsi="Calibri" w:cs="Calibri"/>
                <w:sz w:val="20"/>
                <w:szCs w:val="20"/>
              </w:rPr>
              <w:t>No</w:t>
            </w:r>
          </w:p>
        </w:tc>
        <w:tc>
          <w:tcPr>
            <w:tcW w:w="1701" w:type="dxa"/>
          </w:tcPr>
          <w:p w14:paraId="117271A2" w14:textId="77777777" w:rsidR="00506791" w:rsidRPr="009F1E21" w:rsidRDefault="00506791" w:rsidP="00CE60CC">
            <w:pPr>
              <w:rPr>
                <w:rFonts w:ascii="Calibri" w:hAnsi="Calibri" w:cs="Calibri"/>
                <w:sz w:val="20"/>
                <w:szCs w:val="20"/>
              </w:rPr>
            </w:pPr>
          </w:p>
          <w:p w14:paraId="6E7E0CDF" w14:textId="77777777" w:rsidR="00506791" w:rsidRPr="009F1E21" w:rsidRDefault="00506791" w:rsidP="00CE60CC">
            <w:pPr>
              <w:jc w:val="right"/>
              <w:rPr>
                <w:rFonts w:ascii="Calibri" w:hAnsi="Calibri" w:cs="Calibri"/>
                <w:sz w:val="20"/>
                <w:szCs w:val="20"/>
              </w:rPr>
            </w:pPr>
            <w:r w:rsidRPr="009F1E21">
              <w:rPr>
                <w:rFonts w:ascii="Calibri" w:hAnsi="Calibri" w:cs="Calibri"/>
                <w:sz w:val="20"/>
                <w:szCs w:val="20"/>
              </w:rPr>
              <w:t>17% (6/36)</w:t>
            </w:r>
          </w:p>
          <w:p w14:paraId="74C0A99D" w14:textId="77777777" w:rsidR="00506791" w:rsidRPr="009F1E21" w:rsidRDefault="00506791" w:rsidP="00CE60CC">
            <w:pPr>
              <w:jc w:val="right"/>
              <w:rPr>
                <w:rFonts w:ascii="Calibri" w:hAnsi="Calibri" w:cs="Calibri"/>
                <w:sz w:val="20"/>
                <w:szCs w:val="20"/>
              </w:rPr>
            </w:pPr>
            <w:r w:rsidRPr="009F1E21">
              <w:rPr>
                <w:rFonts w:ascii="Calibri" w:hAnsi="Calibri" w:cs="Calibri"/>
                <w:sz w:val="20"/>
                <w:szCs w:val="20"/>
              </w:rPr>
              <w:t>83% (30/36)</w:t>
            </w:r>
          </w:p>
        </w:tc>
      </w:tr>
      <w:tr w:rsidR="00506791" w:rsidRPr="009F1E21" w14:paraId="523BA407" w14:textId="77777777" w:rsidTr="00CE60CC">
        <w:trPr>
          <w:jc w:val="center"/>
        </w:trPr>
        <w:tc>
          <w:tcPr>
            <w:tcW w:w="5388" w:type="dxa"/>
          </w:tcPr>
          <w:p w14:paraId="62A82F52" w14:textId="77777777" w:rsidR="00506791" w:rsidRPr="009F1E21" w:rsidRDefault="00506791" w:rsidP="00CE60CC">
            <w:pPr>
              <w:rPr>
                <w:rFonts w:ascii="Calibri" w:hAnsi="Calibri" w:cs="Calibri"/>
                <w:sz w:val="20"/>
                <w:szCs w:val="20"/>
              </w:rPr>
            </w:pPr>
            <w:r w:rsidRPr="009F1E21">
              <w:rPr>
                <w:rFonts w:ascii="Calibri" w:hAnsi="Calibri" w:cs="Calibri"/>
                <w:sz w:val="20"/>
                <w:szCs w:val="20"/>
              </w:rPr>
              <w:t>Cell of origin (immunohistochemistry) (n = 31)</w:t>
            </w:r>
          </w:p>
          <w:p w14:paraId="692C3773" w14:textId="77777777" w:rsidR="00506791" w:rsidRPr="009F1E21" w:rsidRDefault="00506791" w:rsidP="00CE60CC">
            <w:pPr>
              <w:jc w:val="right"/>
              <w:rPr>
                <w:rFonts w:ascii="Calibri" w:hAnsi="Calibri" w:cs="Calibri"/>
                <w:sz w:val="20"/>
                <w:szCs w:val="20"/>
              </w:rPr>
            </w:pPr>
            <w:r w:rsidRPr="009F1E21">
              <w:rPr>
                <w:rFonts w:ascii="Calibri" w:hAnsi="Calibri" w:cs="Calibri"/>
                <w:sz w:val="20"/>
                <w:szCs w:val="20"/>
              </w:rPr>
              <w:t>GCB</w:t>
            </w:r>
          </w:p>
          <w:p w14:paraId="60582EBC" w14:textId="77777777" w:rsidR="00506791" w:rsidRPr="009F1E21" w:rsidRDefault="00506791" w:rsidP="00CE60CC">
            <w:pPr>
              <w:jc w:val="right"/>
              <w:rPr>
                <w:rFonts w:ascii="Calibri" w:hAnsi="Calibri" w:cs="Calibri"/>
                <w:sz w:val="20"/>
                <w:szCs w:val="20"/>
              </w:rPr>
            </w:pPr>
            <w:r w:rsidRPr="009F1E21">
              <w:rPr>
                <w:rFonts w:ascii="Calibri" w:hAnsi="Calibri" w:cs="Calibri"/>
                <w:sz w:val="20"/>
                <w:szCs w:val="20"/>
              </w:rPr>
              <w:t>Non-GCB</w:t>
            </w:r>
          </w:p>
        </w:tc>
        <w:tc>
          <w:tcPr>
            <w:tcW w:w="1701" w:type="dxa"/>
          </w:tcPr>
          <w:p w14:paraId="3205DB15" w14:textId="77777777" w:rsidR="00506791" w:rsidRPr="009F1E21" w:rsidRDefault="00506791" w:rsidP="00CE60CC">
            <w:pPr>
              <w:jc w:val="right"/>
              <w:rPr>
                <w:rFonts w:ascii="Calibri" w:hAnsi="Calibri" w:cs="Calibri"/>
                <w:sz w:val="20"/>
                <w:szCs w:val="20"/>
              </w:rPr>
            </w:pPr>
          </w:p>
          <w:p w14:paraId="25B286FA" w14:textId="77777777" w:rsidR="00506791" w:rsidRPr="009F1E21" w:rsidRDefault="00506791" w:rsidP="00CE60CC">
            <w:pPr>
              <w:jc w:val="right"/>
              <w:rPr>
                <w:rFonts w:ascii="Calibri" w:hAnsi="Calibri" w:cs="Calibri"/>
                <w:sz w:val="20"/>
                <w:szCs w:val="20"/>
              </w:rPr>
            </w:pPr>
            <w:r w:rsidRPr="009F1E21">
              <w:rPr>
                <w:rFonts w:ascii="Calibri" w:hAnsi="Calibri" w:cs="Calibri"/>
                <w:sz w:val="20"/>
                <w:szCs w:val="20"/>
              </w:rPr>
              <w:t>71% (22/31)</w:t>
            </w:r>
          </w:p>
          <w:p w14:paraId="4CF0F033" w14:textId="77777777" w:rsidR="00506791" w:rsidRPr="009F1E21" w:rsidRDefault="00506791" w:rsidP="00CE60CC">
            <w:pPr>
              <w:jc w:val="right"/>
              <w:rPr>
                <w:rFonts w:ascii="Calibri" w:hAnsi="Calibri" w:cs="Calibri"/>
                <w:sz w:val="20"/>
                <w:szCs w:val="20"/>
              </w:rPr>
            </w:pPr>
            <w:r w:rsidRPr="009F1E21">
              <w:rPr>
                <w:rFonts w:ascii="Calibri" w:hAnsi="Calibri" w:cs="Calibri"/>
                <w:sz w:val="20"/>
                <w:szCs w:val="20"/>
              </w:rPr>
              <w:t>29% (9/31)</w:t>
            </w:r>
          </w:p>
        </w:tc>
      </w:tr>
      <w:tr w:rsidR="00506791" w:rsidRPr="009F1E21" w14:paraId="3A3D3530" w14:textId="77777777" w:rsidTr="00CE60CC">
        <w:trPr>
          <w:jc w:val="center"/>
        </w:trPr>
        <w:tc>
          <w:tcPr>
            <w:tcW w:w="5388" w:type="dxa"/>
          </w:tcPr>
          <w:p w14:paraId="55106FAB" w14:textId="77777777" w:rsidR="00506791" w:rsidRPr="009F1E21" w:rsidRDefault="00506791" w:rsidP="00CE60CC">
            <w:pPr>
              <w:rPr>
                <w:rFonts w:ascii="Calibri" w:hAnsi="Calibri" w:cs="Calibri"/>
                <w:sz w:val="20"/>
                <w:szCs w:val="20"/>
              </w:rPr>
            </w:pPr>
            <w:r w:rsidRPr="009F1E21">
              <w:rPr>
                <w:rFonts w:ascii="Calibri" w:hAnsi="Calibri" w:cs="Calibri"/>
                <w:sz w:val="20"/>
                <w:szCs w:val="20"/>
              </w:rPr>
              <w:t>Cell of origin (Gene expression profiling) (n = 21)</w:t>
            </w:r>
          </w:p>
          <w:p w14:paraId="7298C5C4" w14:textId="77777777" w:rsidR="00506791" w:rsidRPr="009F1E21" w:rsidRDefault="00506791" w:rsidP="00CE60CC">
            <w:pPr>
              <w:jc w:val="right"/>
              <w:rPr>
                <w:rFonts w:ascii="Calibri" w:hAnsi="Calibri" w:cs="Calibri"/>
                <w:sz w:val="20"/>
                <w:szCs w:val="20"/>
              </w:rPr>
            </w:pPr>
            <w:r w:rsidRPr="009F1E21">
              <w:rPr>
                <w:rFonts w:ascii="Calibri" w:hAnsi="Calibri" w:cs="Calibri"/>
                <w:sz w:val="20"/>
                <w:szCs w:val="20"/>
              </w:rPr>
              <w:t>GCB</w:t>
            </w:r>
          </w:p>
          <w:p w14:paraId="69E7D774" w14:textId="77777777" w:rsidR="00506791" w:rsidRPr="009F1E21" w:rsidRDefault="00506791" w:rsidP="00CE60CC">
            <w:pPr>
              <w:jc w:val="right"/>
              <w:rPr>
                <w:rFonts w:ascii="Calibri" w:hAnsi="Calibri" w:cs="Calibri"/>
                <w:sz w:val="20"/>
                <w:szCs w:val="20"/>
              </w:rPr>
            </w:pPr>
            <w:r w:rsidRPr="009F1E21">
              <w:rPr>
                <w:rFonts w:ascii="Calibri" w:hAnsi="Calibri" w:cs="Calibri"/>
                <w:sz w:val="20"/>
                <w:szCs w:val="20"/>
              </w:rPr>
              <w:t>ABC</w:t>
            </w:r>
          </w:p>
          <w:p w14:paraId="7E4162AA" w14:textId="77777777" w:rsidR="00506791" w:rsidRPr="009F1E21" w:rsidRDefault="00506791" w:rsidP="00CE60CC">
            <w:pPr>
              <w:jc w:val="right"/>
              <w:rPr>
                <w:rFonts w:ascii="Calibri" w:hAnsi="Calibri" w:cs="Calibri"/>
                <w:sz w:val="20"/>
                <w:szCs w:val="20"/>
              </w:rPr>
            </w:pPr>
            <w:r w:rsidRPr="009F1E21">
              <w:rPr>
                <w:rFonts w:ascii="Calibri" w:hAnsi="Calibri" w:cs="Calibri"/>
                <w:sz w:val="20"/>
                <w:szCs w:val="20"/>
              </w:rPr>
              <w:t>Unclassifiable</w:t>
            </w:r>
          </w:p>
        </w:tc>
        <w:tc>
          <w:tcPr>
            <w:tcW w:w="1701" w:type="dxa"/>
          </w:tcPr>
          <w:p w14:paraId="2D7318AF" w14:textId="77777777" w:rsidR="00506791" w:rsidRPr="009F1E21" w:rsidRDefault="00506791" w:rsidP="00CE60CC">
            <w:pPr>
              <w:jc w:val="right"/>
              <w:rPr>
                <w:rFonts w:ascii="Calibri" w:hAnsi="Calibri" w:cs="Calibri"/>
                <w:sz w:val="20"/>
                <w:szCs w:val="20"/>
              </w:rPr>
            </w:pPr>
          </w:p>
          <w:p w14:paraId="3386AE0B" w14:textId="77777777" w:rsidR="00506791" w:rsidRPr="009F1E21" w:rsidRDefault="00506791" w:rsidP="00CE60CC">
            <w:pPr>
              <w:jc w:val="right"/>
              <w:rPr>
                <w:rFonts w:ascii="Calibri" w:hAnsi="Calibri" w:cs="Calibri"/>
                <w:color w:val="000000" w:themeColor="text1"/>
                <w:sz w:val="20"/>
                <w:szCs w:val="20"/>
              </w:rPr>
            </w:pPr>
            <w:r w:rsidRPr="009F1E21">
              <w:rPr>
                <w:rFonts w:ascii="Calibri" w:hAnsi="Calibri" w:cs="Calibri"/>
                <w:color w:val="000000" w:themeColor="text1"/>
                <w:sz w:val="20"/>
                <w:szCs w:val="20"/>
              </w:rPr>
              <w:t>60% (12/20)</w:t>
            </w:r>
          </w:p>
          <w:p w14:paraId="50CFA5E0" w14:textId="77777777" w:rsidR="00506791" w:rsidRPr="009F1E21" w:rsidRDefault="00506791" w:rsidP="00CE60CC">
            <w:pPr>
              <w:jc w:val="right"/>
              <w:rPr>
                <w:rFonts w:ascii="Calibri" w:hAnsi="Calibri" w:cs="Calibri"/>
                <w:color w:val="000000" w:themeColor="text1"/>
                <w:sz w:val="20"/>
                <w:szCs w:val="20"/>
              </w:rPr>
            </w:pPr>
            <w:r w:rsidRPr="009F1E21">
              <w:rPr>
                <w:rFonts w:ascii="Calibri" w:hAnsi="Calibri" w:cs="Calibri"/>
                <w:color w:val="000000" w:themeColor="text1"/>
                <w:sz w:val="20"/>
                <w:szCs w:val="20"/>
              </w:rPr>
              <w:t>40% (8/20)</w:t>
            </w:r>
          </w:p>
          <w:p w14:paraId="491B5FF6" w14:textId="77777777" w:rsidR="00506791" w:rsidRPr="009F1E21" w:rsidRDefault="00506791" w:rsidP="00CE60CC">
            <w:pPr>
              <w:jc w:val="right"/>
              <w:rPr>
                <w:rFonts w:ascii="Calibri" w:hAnsi="Calibri" w:cs="Calibri"/>
                <w:color w:val="FF0000"/>
                <w:sz w:val="20"/>
                <w:szCs w:val="20"/>
              </w:rPr>
            </w:pPr>
            <w:r w:rsidRPr="009F1E21">
              <w:rPr>
                <w:rFonts w:ascii="Calibri" w:hAnsi="Calibri" w:cs="Calibri"/>
                <w:color w:val="000000" w:themeColor="text1"/>
                <w:sz w:val="20"/>
                <w:szCs w:val="20"/>
              </w:rPr>
              <w:t>n=1</w:t>
            </w:r>
          </w:p>
        </w:tc>
      </w:tr>
    </w:tbl>
    <w:p w14:paraId="592E3D97" w14:textId="77777777" w:rsidR="00506791" w:rsidRPr="009F1E21" w:rsidRDefault="00506791" w:rsidP="00506791">
      <w:pPr>
        <w:spacing w:line="360" w:lineRule="auto"/>
        <w:rPr>
          <w:rFonts w:ascii="Calibri" w:hAnsi="Calibri" w:cs="Calibri"/>
          <w:sz w:val="20"/>
          <w:szCs w:val="20"/>
        </w:rPr>
      </w:pPr>
      <w:r w:rsidRPr="009F1E21">
        <w:rPr>
          <w:rFonts w:ascii="Calibri" w:hAnsi="Calibri" w:cs="Calibri"/>
          <w:sz w:val="20"/>
          <w:szCs w:val="20"/>
        </w:rPr>
        <w:fldChar w:fldCharType="end"/>
      </w:r>
    </w:p>
    <w:p w14:paraId="5DFDAAD0" w14:textId="77777777" w:rsidR="00506791" w:rsidRPr="009F1E21" w:rsidRDefault="00506791" w:rsidP="00506791">
      <w:pPr>
        <w:spacing w:line="360" w:lineRule="auto"/>
        <w:rPr>
          <w:rFonts w:ascii="Calibri" w:hAnsi="Calibri" w:cs="Calibri"/>
          <w:sz w:val="20"/>
          <w:szCs w:val="20"/>
        </w:rPr>
      </w:pPr>
    </w:p>
    <w:p w14:paraId="678EC90C" w14:textId="77777777" w:rsidR="00506791" w:rsidRPr="009F1E21" w:rsidRDefault="00506791" w:rsidP="00506791">
      <w:pPr>
        <w:spacing w:line="360" w:lineRule="auto"/>
        <w:rPr>
          <w:rFonts w:ascii="Calibri" w:hAnsi="Calibri" w:cs="Calibri"/>
          <w:sz w:val="20"/>
          <w:szCs w:val="20"/>
        </w:rPr>
      </w:pPr>
    </w:p>
    <w:p w14:paraId="6BC3C93E" w14:textId="77777777" w:rsidR="00506791" w:rsidRPr="009F1E21" w:rsidRDefault="00506791" w:rsidP="00506791">
      <w:pPr>
        <w:spacing w:line="360" w:lineRule="auto"/>
        <w:rPr>
          <w:rFonts w:ascii="Calibri" w:hAnsi="Calibri" w:cs="Calibri"/>
          <w:sz w:val="20"/>
          <w:szCs w:val="20"/>
        </w:rPr>
      </w:pPr>
    </w:p>
    <w:p w14:paraId="510C4157" w14:textId="77777777" w:rsidR="00506791" w:rsidRPr="009F1E21" w:rsidRDefault="00506791" w:rsidP="00506791">
      <w:pPr>
        <w:spacing w:line="360" w:lineRule="auto"/>
        <w:rPr>
          <w:rFonts w:ascii="Calibri" w:hAnsi="Calibri" w:cs="Calibri"/>
          <w:sz w:val="20"/>
          <w:szCs w:val="20"/>
        </w:rPr>
      </w:pPr>
    </w:p>
    <w:p w14:paraId="5E337D25" w14:textId="77777777" w:rsidR="00506791" w:rsidRPr="009F1E21" w:rsidRDefault="00506791" w:rsidP="00506791">
      <w:pPr>
        <w:spacing w:line="360" w:lineRule="auto"/>
        <w:rPr>
          <w:rFonts w:ascii="Calibri" w:hAnsi="Calibri" w:cs="Calibri"/>
          <w:sz w:val="20"/>
          <w:szCs w:val="20"/>
        </w:rPr>
      </w:pPr>
    </w:p>
    <w:p w14:paraId="7854ECC6" w14:textId="77777777" w:rsidR="00506791" w:rsidRPr="009F1E21" w:rsidRDefault="00506791" w:rsidP="00506791">
      <w:pPr>
        <w:spacing w:line="360" w:lineRule="auto"/>
        <w:rPr>
          <w:rFonts w:ascii="Calibri" w:hAnsi="Calibri" w:cs="Calibri"/>
          <w:sz w:val="20"/>
          <w:szCs w:val="20"/>
        </w:rPr>
      </w:pPr>
    </w:p>
    <w:p w14:paraId="6D0C5D31" w14:textId="77777777" w:rsidR="00506791" w:rsidRPr="009F1E21" w:rsidRDefault="00506791" w:rsidP="00506791">
      <w:pPr>
        <w:spacing w:line="360" w:lineRule="auto"/>
        <w:rPr>
          <w:rFonts w:ascii="Calibri" w:hAnsi="Calibri" w:cs="Calibri"/>
          <w:sz w:val="20"/>
          <w:szCs w:val="20"/>
        </w:rPr>
      </w:pPr>
    </w:p>
    <w:p w14:paraId="0E6004FC" w14:textId="77777777" w:rsidR="00506791" w:rsidRPr="009F1E21" w:rsidRDefault="00506791" w:rsidP="00506791">
      <w:pPr>
        <w:spacing w:line="360" w:lineRule="auto"/>
        <w:rPr>
          <w:rFonts w:ascii="Calibri" w:hAnsi="Calibri" w:cs="Calibri"/>
          <w:sz w:val="20"/>
          <w:szCs w:val="20"/>
        </w:rPr>
      </w:pPr>
    </w:p>
    <w:p w14:paraId="14ABE57B" w14:textId="77777777" w:rsidR="00506791" w:rsidRPr="009F1E21" w:rsidRDefault="00506791" w:rsidP="00506791">
      <w:pPr>
        <w:spacing w:line="360" w:lineRule="auto"/>
        <w:rPr>
          <w:rFonts w:ascii="Calibri" w:hAnsi="Calibri" w:cs="Calibri"/>
          <w:sz w:val="20"/>
          <w:szCs w:val="20"/>
        </w:rPr>
      </w:pPr>
    </w:p>
    <w:p w14:paraId="218F606C" w14:textId="77777777" w:rsidR="00506791" w:rsidRPr="009F1E21" w:rsidRDefault="00506791" w:rsidP="00506791">
      <w:pPr>
        <w:spacing w:line="360" w:lineRule="auto"/>
        <w:rPr>
          <w:rFonts w:ascii="Calibri" w:hAnsi="Calibri" w:cs="Calibri"/>
          <w:sz w:val="20"/>
          <w:szCs w:val="20"/>
        </w:rPr>
      </w:pPr>
    </w:p>
    <w:p w14:paraId="1472E6AE" w14:textId="77777777" w:rsidR="00506791" w:rsidRPr="009F1E21" w:rsidRDefault="00506791" w:rsidP="00506791">
      <w:pPr>
        <w:spacing w:line="360" w:lineRule="auto"/>
        <w:rPr>
          <w:rFonts w:ascii="Calibri" w:hAnsi="Calibri" w:cs="Calibri"/>
          <w:sz w:val="20"/>
          <w:szCs w:val="20"/>
        </w:rPr>
      </w:pPr>
    </w:p>
    <w:p w14:paraId="170853B7" w14:textId="77777777" w:rsidR="00506791" w:rsidRPr="009F1E21" w:rsidRDefault="00506791" w:rsidP="00506791">
      <w:pPr>
        <w:spacing w:line="360" w:lineRule="auto"/>
        <w:rPr>
          <w:rFonts w:ascii="Calibri" w:hAnsi="Calibri" w:cs="Calibri"/>
          <w:sz w:val="20"/>
          <w:szCs w:val="20"/>
        </w:rPr>
      </w:pPr>
    </w:p>
    <w:p w14:paraId="3580574B" w14:textId="77777777" w:rsidR="00506791" w:rsidRPr="009F1E21" w:rsidRDefault="00506791" w:rsidP="00506791">
      <w:pPr>
        <w:spacing w:line="360" w:lineRule="auto"/>
        <w:rPr>
          <w:rFonts w:ascii="Calibri" w:hAnsi="Calibri" w:cs="Calibri"/>
          <w:sz w:val="20"/>
          <w:szCs w:val="20"/>
        </w:rPr>
      </w:pPr>
    </w:p>
    <w:p w14:paraId="17A19A7C" w14:textId="77777777" w:rsidR="00506791" w:rsidRPr="009F1E21" w:rsidRDefault="00506791" w:rsidP="00506791">
      <w:pPr>
        <w:spacing w:line="360" w:lineRule="auto"/>
        <w:rPr>
          <w:rFonts w:ascii="Calibri" w:hAnsi="Calibri" w:cs="Calibri"/>
          <w:sz w:val="20"/>
          <w:szCs w:val="20"/>
        </w:rPr>
      </w:pPr>
    </w:p>
    <w:p w14:paraId="2DB05067" w14:textId="77777777" w:rsidR="00506791" w:rsidRPr="009F1E21" w:rsidRDefault="00506791" w:rsidP="00506791">
      <w:pPr>
        <w:spacing w:line="360" w:lineRule="auto"/>
        <w:jc w:val="center"/>
        <w:rPr>
          <w:rFonts w:ascii="Calibri" w:hAnsi="Calibri" w:cs="Calibri"/>
          <w:b/>
          <w:sz w:val="20"/>
          <w:szCs w:val="20"/>
        </w:rPr>
      </w:pPr>
      <w:r w:rsidRPr="009F1E21">
        <w:rPr>
          <w:rFonts w:ascii="Calibri" w:hAnsi="Calibri" w:cs="Calibri"/>
          <w:b/>
          <w:sz w:val="20"/>
          <w:szCs w:val="20"/>
        </w:rPr>
        <w:t xml:space="preserve">Table </w:t>
      </w:r>
      <w:r>
        <w:rPr>
          <w:rFonts w:ascii="Calibri" w:hAnsi="Calibri" w:cs="Calibri"/>
          <w:b/>
          <w:sz w:val="20"/>
          <w:szCs w:val="20"/>
        </w:rPr>
        <w:t>2</w:t>
      </w:r>
      <w:r w:rsidRPr="009F1E21">
        <w:rPr>
          <w:rFonts w:ascii="Calibri" w:hAnsi="Calibri" w:cs="Calibri"/>
          <w:b/>
          <w:sz w:val="20"/>
          <w:szCs w:val="20"/>
        </w:rPr>
        <w:t xml:space="preserve"> – Common vistusertib related (possibly, probably or definitely) adverse events (AEs) and serious adverse events (SAEs)  </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0"/>
        <w:gridCol w:w="693"/>
        <w:gridCol w:w="773"/>
        <w:gridCol w:w="1418"/>
        <w:gridCol w:w="1559"/>
        <w:gridCol w:w="1417"/>
        <w:gridCol w:w="1134"/>
        <w:gridCol w:w="709"/>
      </w:tblGrid>
      <w:tr w:rsidR="00506791" w:rsidRPr="009F1E21" w14:paraId="37CF9F89" w14:textId="77777777" w:rsidTr="00CE60CC">
        <w:trPr>
          <w:trHeight w:val="283"/>
          <w:jc w:val="center"/>
        </w:trPr>
        <w:tc>
          <w:tcPr>
            <w:tcW w:w="2640" w:type="dxa"/>
            <w:vAlign w:val="bottom"/>
            <w:hideMark/>
          </w:tcPr>
          <w:p w14:paraId="60095296" w14:textId="77777777" w:rsidR="00506791" w:rsidRPr="009F1E21" w:rsidRDefault="00506791" w:rsidP="00CE60CC">
            <w:pPr>
              <w:jc w:val="center"/>
              <w:rPr>
                <w:rFonts w:ascii="Calibri" w:hAnsi="Calibri" w:cs="Calibri"/>
                <w:b/>
                <w:bCs/>
                <w:sz w:val="20"/>
                <w:szCs w:val="20"/>
                <w:lang w:val="en-US"/>
              </w:rPr>
            </w:pPr>
            <w:r w:rsidRPr="009F1E21">
              <w:rPr>
                <w:rFonts w:ascii="Calibri" w:hAnsi="Calibri" w:cs="Calibri"/>
                <w:b/>
                <w:bCs/>
                <w:sz w:val="20"/>
                <w:szCs w:val="20"/>
                <w:lang w:val="en-US"/>
              </w:rPr>
              <w:t>Toxicity and Category</w:t>
            </w:r>
          </w:p>
        </w:tc>
        <w:tc>
          <w:tcPr>
            <w:tcW w:w="1466" w:type="dxa"/>
            <w:gridSpan w:val="2"/>
            <w:noWrap/>
            <w:vAlign w:val="bottom"/>
            <w:hideMark/>
          </w:tcPr>
          <w:p w14:paraId="60B23628" w14:textId="77777777" w:rsidR="00506791" w:rsidRPr="009F1E21" w:rsidRDefault="00506791" w:rsidP="00CE60CC">
            <w:pPr>
              <w:jc w:val="center"/>
              <w:rPr>
                <w:rFonts w:ascii="Calibri" w:hAnsi="Calibri" w:cs="Calibri"/>
                <w:b/>
                <w:bCs/>
                <w:sz w:val="20"/>
                <w:szCs w:val="20"/>
                <w:lang w:val="en-US"/>
              </w:rPr>
            </w:pPr>
            <w:r w:rsidRPr="009F1E21">
              <w:rPr>
                <w:rFonts w:ascii="Calibri" w:hAnsi="Calibri" w:cs="Calibri"/>
                <w:b/>
                <w:bCs/>
                <w:sz w:val="20"/>
                <w:szCs w:val="20"/>
                <w:lang w:val="en-US"/>
              </w:rPr>
              <w:t>Overall</w:t>
            </w:r>
          </w:p>
        </w:tc>
        <w:tc>
          <w:tcPr>
            <w:tcW w:w="1418" w:type="dxa"/>
            <w:noWrap/>
            <w:vAlign w:val="bottom"/>
            <w:hideMark/>
          </w:tcPr>
          <w:p w14:paraId="2FD48B6D" w14:textId="77777777" w:rsidR="00506791" w:rsidRPr="009F1E21" w:rsidRDefault="00506791" w:rsidP="00CE60CC">
            <w:pPr>
              <w:jc w:val="center"/>
              <w:rPr>
                <w:rFonts w:ascii="Calibri" w:hAnsi="Calibri" w:cs="Calibri"/>
                <w:b/>
                <w:bCs/>
                <w:sz w:val="20"/>
                <w:szCs w:val="20"/>
                <w:lang w:val="en-US"/>
              </w:rPr>
            </w:pPr>
            <w:r w:rsidRPr="009F1E21">
              <w:rPr>
                <w:rFonts w:ascii="Calibri" w:hAnsi="Calibri" w:cs="Calibri"/>
                <w:b/>
                <w:bCs/>
                <w:sz w:val="20"/>
                <w:szCs w:val="20"/>
                <w:lang w:val="en-US"/>
              </w:rPr>
              <w:t>Grade 1</w:t>
            </w:r>
          </w:p>
        </w:tc>
        <w:tc>
          <w:tcPr>
            <w:tcW w:w="1559" w:type="dxa"/>
            <w:noWrap/>
            <w:vAlign w:val="bottom"/>
            <w:hideMark/>
          </w:tcPr>
          <w:p w14:paraId="07F5A7D9" w14:textId="77777777" w:rsidR="00506791" w:rsidRPr="009F1E21" w:rsidRDefault="00506791" w:rsidP="00CE60CC">
            <w:pPr>
              <w:jc w:val="center"/>
              <w:rPr>
                <w:rFonts w:ascii="Calibri" w:hAnsi="Calibri" w:cs="Calibri"/>
                <w:b/>
                <w:bCs/>
                <w:sz w:val="20"/>
                <w:szCs w:val="20"/>
                <w:lang w:val="en-US"/>
              </w:rPr>
            </w:pPr>
            <w:r w:rsidRPr="009F1E21">
              <w:rPr>
                <w:rFonts w:ascii="Calibri" w:hAnsi="Calibri" w:cs="Calibri"/>
                <w:b/>
                <w:bCs/>
                <w:sz w:val="20"/>
                <w:szCs w:val="20"/>
                <w:lang w:val="en-US"/>
              </w:rPr>
              <w:t>Grade 2</w:t>
            </w:r>
          </w:p>
        </w:tc>
        <w:tc>
          <w:tcPr>
            <w:tcW w:w="1417" w:type="dxa"/>
            <w:noWrap/>
            <w:vAlign w:val="bottom"/>
            <w:hideMark/>
          </w:tcPr>
          <w:p w14:paraId="7634DBBD" w14:textId="77777777" w:rsidR="00506791" w:rsidRPr="009F1E21" w:rsidRDefault="00506791" w:rsidP="00CE60CC">
            <w:pPr>
              <w:jc w:val="center"/>
              <w:rPr>
                <w:rFonts w:ascii="Calibri" w:hAnsi="Calibri" w:cs="Calibri"/>
                <w:b/>
                <w:bCs/>
                <w:sz w:val="20"/>
                <w:szCs w:val="20"/>
                <w:lang w:val="en-US"/>
              </w:rPr>
            </w:pPr>
            <w:r w:rsidRPr="009F1E21">
              <w:rPr>
                <w:rFonts w:ascii="Calibri" w:hAnsi="Calibri" w:cs="Calibri"/>
                <w:b/>
                <w:bCs/>
                <w:sz w:val="20"/>
                <w:szCs w:val="20"/>
                <w:lang w:val="en-US"/>
              </w:rPr>
              <w:t>Grade 3</w:t>
            </w:r>
          </w:p>
        </w:tc>
        <w:tc>
          <w:tcPr>
            <w:tcW w:w="1134" w:type="dxa"/>
            <w:vAlign w:val="bottom"/>
          </w:tcPr>
          <w:p w14:paraId="64DECC6E" w14:textId="77777777" w:rsidR="00506791" w:rsidRPr="009F1E21" w:rsidRDefault="00506791" w:rsidP="00CE60CC">
            <w:pPr>
              <w:jc w:val="center"/>
              <w:rPr>
                <w:rFonts w:ascii="Calibri" w:hAnsi="Calibri" w:cs="Calibri"/>
                <w:b/>
                <w:bCs/>
                <w:sz w:val="20"/>
                <w:szCs w:val="20"/>
                <w:lang w:val="en-US"/>
              </w:rPr>
            </w:pPr>
            <w:r w:rsidRPr="009F1E21">
              <w:rPr>
                <w:rFonts w:ascii="Calibri" w:hAnsi="Calibri" w:cs="Calibri"/>
                <w:b/>
                <w:bCs/>
                <w:sz w:val="20"/>
                <w:szCs w:val="20"/>
                <w:lang w:val="en-US"/>
              </w:rPr>
              <w:t>Grade 4</w:t>
            </w:r>
          </w:p>
        </w:tc>
        <w:tc>
          <w:tcPr>
            <w:tcW w:w="709" w:type="dxa"/>
            <w:noWrap/>
            <w:vAlign w:val="bottom"/>
            <w:hideMark/>
          </w:tcPr>
          <w:p w14:paraId="52559205" w14:textId="77777777" w:rsidR="00506791" w:rsidRPr="009F1E21" w:rsidRDefault="00506791" w:rsidP="00CE60CC">
            <w:pPr>
              <w:jc w:val="center"/>
              <w:rPr>
                <w:rFonts w:ascii="Calibri" w:hAnsi="Calibri" w:cs="Calibri"/>
                <w:b/>
                <w:bCs/>
                <w:sz w:val="20"/>
                <w:szCs w:val="20"/>
                <w:lang w:val="en-US"/>
              </w:rPr>
            </w:pPr>
            <w:r w:rsidRPr="009F1E21">
              <w:rPr>
                <w:rFonts w:ascii="Calibri" w:hAnsi="Calibri" w:cs="Calibri"/>
                <w:b/>
                <w:bCs/>
                <w:sz w:val="20"/>
                <w:szCs w:val="20"/>
                <w:lang w:val="en-US"/>
              </w:rPr>
              <w:t>SAE</w:t>
            </w:r>
          </w:p>
        </w:tc>
      </w:tr>
      <w:tr w:rsidR="00506791" w:rsidRPr="009F1E21" w14:paraId="58233D8F" w14:textId="77777777" w:rsidTr="00CE60CC">
        <w:trPr>
          <w:trHeight w:val="283"/>
          <w:jc w:val="center"/>
        </w:trPr>
        <w:tc>
          <w:tcPr>
            <w:tcW w:w="2640" w:type="dxa"/>
            <w:vAlign w:val="bottom"/>
            <w:hideMark/>
          </w:tcPr>
          <w:p w14:paraId="33281CD1" w14:textId="77777777" w:rsidR="00506791" w:rsidRPr="009F1E21" w:rsidRDefault="00506791" w:rsidP="00CE60CC">
            <w:pPr>
              <w:rPr>
                <w:rFonts w:ascii="Calibri" w:hAnsi="Calibri" w:cs="Calibri"/>
                <w:sz w:val="20"/>
                <w:szCs w:val="20"/>
                <w:lang w:val="en-US"/>
              </w:rPr>
            </w:pPr>
            <w:r w:rsidRPr="009F1E21">
              <w:rPr>
                <w:rFonts w:ascii="Calibri" w:hAnsi="Calibri" w:cs="Calibri"/>
                <w:sz w:val="20"/>
                <w:szCs w:val="20"/>
                <w:lang w:val="en-US"/>
              </w:rPr>
              <w:t> </w:t>
            </w:r>
          </w:p>
        </w:tc>
        <w:tc>
          <w:tcPr>
            <w:tcW w:w="693" w:type="dxa"/>
            <w:tcBorders>
              <w:right w:val="nil"/>
            </w:tcBorders>
          </w:tcPr>
          <w:p w14:paraId="24E653CC" w14:textId="77777777" w:rsidR="00506791" w:rsidRPr="009F1E21" w:rsidRDefault="00506791" w:rsidP="00CE60CC">
            <w:pPr>
              <w:jc w:val="center"/>
              <w:rPr>
                <w:rFonts w:ascii="Calibri" w:hAnsi="Calibri" w:cs="Calibri"/>
                <w:sz w:val="20"/>
                <w:szCs w:val="20"/>
                <w:lang w:val="en-US"/>
              </w:rPr>
            </w:pPr>
          </w:p>
        </w:tc>
        <w:tc>
          <w:tcPr>
            <w:tcW w:w="7010" w:type="dxa"/>
            <w:gridSpan w:val="6"/>
            <w:tcBorders>
              <w:left w:val="nil"/>
            </w:tcBorders>
            <w:vAlign w:val="bottom"/>
            <w:hideMark/>
          </w:tcPr>
          <w:p w14:paraId="332972BB"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sz w:val="20"/>
                <w:szCs w:val="20"/>
                <w:lang w:val="en-US"/>
              </w:rPr>
              <w:t>Frequency and absolute % per patient (n = 36)</w:t>
            </w:r>
          </w:p>
        </w:tc>
      </w:tr>
      <w:tr w:rsidR="00506791" w:rsidRPr="009F1E21" w14:paraId="48E53B28" w14:textId="77777777" w:rsidTr="00CE60CC">
        <w:trPr>
          <w:trHeight w:val="283"/>
          <w:jc w:val="center"/>
        </w:trPr>
        <w:tc>
          <w:tcPr>
            <w:tcW w:w="10343" w:type="dxa"/>
            <w:gridSpan w:val="8"/>
            <w:shd w:val="clear" w:color="000000" w:fill="D9D9D9"/>
            <w:vAlign w:val="bottom"/>
          </w:tcPr>
          <w:p w14:paraId="5AFD77AE" w14:textId="77777777" w:rsidR="00506791" w:rsidRPr="009F1E21" w:rsidRDefault="00506791" w:rsidP="00CE60CC">
            <w:pPr>
              <w:rPr>
                <w:rFonts w:ascii="Calibri" w:hAnsi="Calibri" w:cs="Calibri"/>
                <w:b/>
                <w:bCs/>
                <w:sz w:val="20"/>
                <w:szCs w:val="20"/>
                <w:lang w:val="en-US"/>
              </w:rPr>
            </w:pPr>
            <w:r w:rsidRPr="009F1E21">
              <w:rPr>
                <w:rFonts w:ascii="Calibri" w:hAnsi="Calibri" w:cs="Calibri"/>
                <w:b/>
                <w:bCs/>
                <w:sz w:val="20"/>
                <w:szCs w:val="20"/>
                <w:lang w:val="en-US"/>
              </w:rPr>
              <w:t>Gastrointestinal</w:t>
            </w:r>
          </w:p>
        </w:tc>
      </w:tr>
      <w:tr w:rsidR="00506791" w:rsidRPr="009F1E21" w14:paraId="6401D30B" w14:textId="77777777" w:rsidTr="00CE60CC">
        <w:trPr>
          <w:trHeight w:val="283"/>
          <w:jc w:val="center"/>
        </w:trPr>
        <w:tc>
          <w:tcPr>
            <w:tcW w:w="2640" w:type="dxa"/>
            <w:noWrap/>
            <w:vAlign w:val="bottom"/>
            <w:hideMark/>
          </w:tcPr>
          <w:p w14:paraId="1D1B4B6B"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sz w:val="20"/>
                <w:szCs w:val="20"/>
                <w:lang w:val="en-US"/>
              </w:rPr>
              <w:t>Nausea</w:t>
            </w:r>
          </w:p>
        </w:tc>
        <w:tc>
          <w:tcPr>
            <w:tcW w:w="1466" w:type="dxa"/>
            <w:gridSpan w:val="2"/>
            <w:noWrap/>
            <w:vAlign w:val="center"/>
            <w:hideMark/>
          </w:tcPr>
          <w:p w14:paraId="3B291233"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17 (47%)</w:t>
            </w:r>
          </w:p>
        </w:tc>
        <w:tc>
          <w:tcPr>
            <w:tcW w:w="1418" w:type="dxa"/>
            <w:noWrap/>
            <w:vAlign w:val="center"/>
          </w:tcPr>
          <w:p w14:paraId="31AC0F90"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10 (28%)</w:t>
            </w:r>
          </w:p>
        </w:tc>
        <w:tc>
          <w:tcPr>
            <w:tcW w:w="1559" w:type="dxa"/>
            <w:noWrap/>
            <w:vAlign w:val="center"/>
          </w:tcPr>
          <w:p w14:paraId="30DDC368"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7 (19%)</w:t>
            </w:r>
          </w:p>
        </w:tc>
        <w:tc>
          <w:tcPr>
            <w:tcW w:w="1417" w:type="dxa"/>
            <w:noWrap/>
            <w:vAlign w:val="center"/>
          </w:tcPr>
          <w:p w14:paraId="469E3A2F"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0 (0%)</w:t>
            </w:r>
          </w:p>
        </w:tc>
        <w:tc>
          <w:tcPr>
            <w:tcW w:w="1134" w:type="dxa"/>
            <w:vAlign w:val="center"/>
          </w:tcPr>
          <w:p w14:paraId="3F2AE8E7"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0 (0%)</w:t>
            </w:r>
          </w:p>
        </w:tc>
        <w:tc>
          <w:tcPr>
            <w:tcW w:w="709" w:type="dxa"/>
            <w:noWrap/>
            <w:vAlign w:val="bottom"/>
            <w:hideMark/>
          </w:tcPr>
          <w:p w14:paraId="6C35B8DC" w14:textId="77777777" w:rsidR="00506791" w:rsidRPr="009F1E21" w:rsidRDefault="00506791" w:rsidP="00CE60CC">
            <w:pPr>
              <w:jc w:val="center"/>
              <w:rPr>
                <w:rFonts w:ascii="Calibri" w:hAnsi="Calibri" w:cs="Calibri"/>
                <w:sz w:val="20"/>
                <w:szCs w:val="20"/>
                <w:lang w:val="en-US"/>
              </w:rPr>
            </w:pPr>
          </w:p>
        </w:tc>
      </w:tr>
      <w:tr w:rsidR="00506791" w:rsidRPr="009F1E21" w14:paraId="6235C440" w14:textId="77777777" w:rsidTr="00CE60CC">
        <w:trPr>
          <w:trHeight w:val="283"/>
          <w:jc w:val="center"/>
        </w:trPr>
        <w:tc>
          <w:tcPr>
            <w:tcW w:w="2640" w:type="dxa"/>
            <w:noWrap/>
            <w:vAlign w:val="bottom"/>
          </w:tcPr>
          <w:p w14:paraId="350A4867"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sz w:val="20"/>
                <w:szCs w:val="20"/>
                <w:lang w:val="en-US"/>
              </w:rPr>
              <w:t>Fatigue</w:t>
            </w:r>
          </w:p>
        </w:tc>
        <w:tc>
          <w:tcPr>
            <w:tcW w:w="1466" w:type="dxa"/>
            <w:gridSpan w:val="2"/>
            <w:noWrap/>
            <w:vAlign w:val="center"/>
          </w:tcPr>
          <w:p w14:paraId="66887779" w14:textId="77777777" w:rsidR="00506791" w:rsidRPr="009F1E21" w:rsidRDefault="00506791" w:rsidP="00CE60CC">
            <w:pPr>
              <w:jc w:val="center"/>
              <w:rPr>
                <w:rFonts w:ascii="Calibri" w:hAnsi="Calibri" w:cs="Calibri"/>
                <w:color w:val="000000"/>
                <w:sz w:val="20"/>
                <w:szCs w:val="20"/>
              </w:rPr>
            </w:pPr>
            <w:r w:rsidRPr="009F1E21">
              <w:rPr>
                <w:rFonts w:ascii="Calibri" w:hAnsi="Calibri" w:cs="Calibri"/>
                <w:color w:val="000000"/>
                <w:sz w:val="20"/>
                <w:szCs w:val="20"/>
              </w:rPr>
              <w:t>12 (33%)</w:t>
            </w:r>
          </w:p>
        </w:tc>
        <w:tc>
          <w:tcPr>
            <w:tcW w:w="1418" w:type="dxa"/>
            <w:noWrap/>
            <w:vAlign w:val="center"/>
          </w:tcPr>
          <w:p w14:paraId="1C5C57EB" w14:textId="77777777" w:rsidR="00506791" w:rsidRPr="009F1E21" w:rsidRDefault="00506791" w:rsidP="00CE60CC">
            <w:pPr>
              <w:jc w:val="center"/>
              <w:rPr>
                <w:rFonts w:ascii="Calibri" w:hAnsi="Calibri" w:cs="Calibri"/>
                <w:color w:val="000000"/>
                <w:sz w:val="20"/>
                <w:szCs w:val="20"/>
              </w:rPr>
            </w:pPr>
            <w:r w:rsidRPr="009F1E21">
              <w:rPr>
                <w:rFonts w:ascii="Calibri" w:hAnsi="Calibri" w:cs="Calibri"/>
                <w:color w:val="000000"/>
                <w:sz w:val="20"/>
                <w:szCs w:val="20"/>
              </w:rPr>
              <w:t>7 (19%)</w:t>
            </w:r>
          </w:p>
        </w:tc>
        <w:tc>
          <w:tcPr>
            <w:tcW w:w="1559" w:type="dxa"/>
            <w:noWrap/>
            <w:vAlign w:val="center"/>
          </w:tcPr>
          <w:p w14:paraId="1DA5889F" w14:textId="77777777" w:rsidR="00506791" w:rsidRPr="009F1E21" w:rsidRDefault="00506791" w:rsidP="00CE60CC">
            <w:pPr>
              <w:jc w:val="center"/>
              <w:rPr>
                <w:rFonts w:ascii="Calibri" w:hAnsi="Calibri" w:cs="Calibri"/>
                <w:color w:val="000000"/>
                <w:sz w:val="20"/>
                <w:szCs w:val="20"/>
              </w:rPr>
            </w:pPr>
            <w:r w:rsidRPr="009F1E21">
              <w:rPr>
                <w:rFonts w:ascii="Calibri" w:hAnsi="Calibri" w:cs="Calibri"/>
                <w:color w:val="000000"/>
                <w:sz w:val="20"/>
                <w:szCs w:val="20"/>
              </w:rPr>
              <w:t>4 (11%)</w:t>
            </w:r>
          </w:p>
        </w:tc>
        <w:tc>
          <w:tcPr>
            <w:tcW w:w="1417" w:type="dxa"/>
            <w:noWrap/>
            <w:vAlign w:val="center"/>
          </w:tcPr>
          <w:p w14:paraId="727702B7" w14:textId="77777777" w:rsidR="00506791" w:rsidRPr="009F1E21" w:rsidRDefault="00506791" w:rsidP="00CE60CC">
            <w:pPr>
              <w:jc w:val="center"/>
              <w:rPr>
                <w:rFonts w:ascii="Calibri" w:hAnsi="Calibri" w:cs="Calibri"/>
                <w:color w:val="000000"/>
                <w:sz w:val="20"/>
                <w:szCs w:val="20"/>
              </w:rPr>
            </w:pPr>
            <w:r w:rsidRPr="009F1E21">
              <w:rPr>
                <w:rFonts w:ascii="Calibri" w:hAnsi="Calibri" w:cs="Calibri"/>
                <w:color w:val="000000"/>
                <w:sz w:val="20"/>
                <w:szCs w:val="20"/>
              </w:rPr>
              <w:t>1 (3%)</w:t>
            </w:r>
          </w:p>
        </w:tc>
        <w:tc>
          <w:tcPr>
            <w:tcW w:w="1134" w:type="dxa"/>
            <w:vAlign w:val="center"/>
          </w:tcPr>
          <w:p w14:paraId="5AB02735" w14:textId="77777777" w:rsidR="00506791" w:rsidRPr="009F1E21" w:rsidRDefault="00506791" w:rsidP="00CE60CC">
            <w:pPr>
              <w:jc w:val="center"/>
              <w:rPr>
                <w:rFonts w:ascii="Calibri" w:hAnsi="Calibri" w:cs="Calibri"/>
                <w:color w:val="000000"/>
                <w:sz w:val="20"/>
                <w:szCs w:val="20"/>
              </w:rPr>
            </w:pPr>
            <w:r w:rsidRPr="009F1E21">
              <w:rPr>
                <w:rFonts w:ascii="Calibri" w:hAnsi="Calibri" w:cs="Calibri"/>
                <w:color w:val="000000"/>
                <w:sz w:val="20"/>
                <w:szCs w:val="20"/>
              </w:rPr>
              <w:t>0 (0%)</w:t>
            </w:r>
          </w:p>
        </w:tc>
        <w:tc>
          <w:tcPr>
            <w:tcW w:w="709" w:type="dxa"/>
            <w:noWrap/>
            <w:vAlign w:val="bottom"/>
          </w:tcPr>
          <w:p w14:paraId="32DCF87E" w14:textId="77777777" w:rsidR="00506791" w:rsidRPr="009F1E21" w:rsidRDefault="00506791" w:rsidP="00CE60CC">
            <w:pPr>
              <w:jc w:val="center"/>
              <w:rPr>
                <w:rFonts w:ascii="Calibri" w:hAnsi="Calibri" w:cs="Calibri"/>
                <w:sz w:val="20"/>
                <w:szCs w:val="20"/>
                <w:lang w:val="en-US"/>
              </w:rPr>
            </w:pPr>
          </w:p>
        </w:tc>
      </w:tr>
      <w:tr w:rsidR="00506791" w:rsidRPr="009F1E21" w14:paraId="353AEE17" w14:textId="77777777" w:rsidTr="00CE60CC">
        <w:trPr>
          <w:trHeight w:val="283"/>
          <w:jc w:val="center"/>
        </w:trPr>
        <w:tc>
          <w:tcPr>
            <w:tcW w:w="2640" w:type="dxa"/>
            <w:noWrap/>
            <w:vAlign w:val="bottom"/>
            <w:hideMark/>
          </w:tcPr>
          <w:p w14:paraId="43B6BA38"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sz w:val="20"/>
                <w:szCs w:val="20"/>
                <w:lang w:val="en-US"/>
              </w:rPr>
              <w:t>Diarrhea</w:t>
            </w:r>
          </w:p>
        </w:tc>
        <w:tc>
          <w:tcPr>
            <w:tcW w:w="1466" w:type="dxa"/>
            <w:gridSpan w:val="2"/>
            <w:noWrap/>
            <w:vAlign w:val="center"/>
            <w:hideMark/>
          </w:tcPr>
          <w:p w14:paraId="5412D08E"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12 (33%)</w:t>
            </w:r>
          </w:p>
        </w:tc>
        <w:tc>
          <w:tcPr>
            <w:tcW w:w="1418" w:type="dxa"/>
            <w:noWrap/>
            <w:vAlign w:val="center"/>
          </w:tcPr>
          <w:p w14:paraId="70D7CC19"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7 (19%)</w:t>
            </w:r>
          </w:p>
        </w:tc>
        <w:tc>
          <w:tcPr>
            <w:tcW w:w="1559" w:type="dxa"/>
            <w:noWrap/>
            <w:vAlign w:val="center"/>
          </w:tcPr>
          <w:p w14:paraId="21BDC63B"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3 (8%)</w:t>
            </w:r>
          </w:p>
        </w:tc>
        <w:tc>
          <w:tcPr>
            <w:tcW w:w="1417" w:type="dxa"/>
            <w:noWrap/>
            <w:vAlign w:val="center"/>
          </w:tcPr>
          <w:p w14:paraId="086A95AF"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2 (6%)</w:t>
            </w:r>
          </w:p>
        </w:tc>
        <w:tc>
          <w:tcPr>
            <w:tcW w:w="1134" w:type="dxa"/>
            <w:vAlign w:val="center"/>
          </w:tcPr>
          <w:p w14:paraId="7BFD22A7"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0 (0%)</w:t>
            </w:r>
          </w:p>
        </w:tc>
        <w:tc>
          <w:tcPr>
            <w:tcW w:w="709" w:type="dxa"/>
            <w:noWrap/>
            <w:vAlign w:val="bottom"/>
            <w:hideMark/>
          </w:tcPr>
          <w:p w14:paraId="392756D5"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sz w:val="20"/>
                <w:szCs w:val="20"/>
                <w:lang w:val="en-US"/>
              </w:rPr>
              <w:t>1</w:t>
            </w:r>
          </w:p>
        </w:tc>
      </w:tr>
      <w:tr w:rsidR="00506791" w:rsidRPr="009F1E21" w14:paraId="4301E7A8" w14:textId="77777777" w:rsidTr="00CE60CC">
        <w:trPr>
          <w:trHeight w:val="283"/>
          <w:jc w:val="center"/>
        </w:trPr>
        <w:tc>
          <w:tcPr>
            <w:tcW w:w="2640" w:type="dxa"/>
            <w:noWrap/>
            <w:vAlign w:val="bottom"/>
            <w:hideMark/>
          </w:tcPr>
          <w:p w14:paraId="30CCB17D"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sz w:val="20"/>
                <w:szCs w:val="20"/>
                <w:lang w:val="en-US"/>
              </w:rPr>
              <w:t>Mucositis oral</w:t>
            </w:r>
          </w:p>
        </w:tc>
        <w:tc>
          <w:tcPr>
            <w:tcW w:w="1466" w:type="dxa"/>
            <w:gridSpan w:val="2"/>
            <w:noWrap/>
            <w:vAlign w:val="center"/>
            <w:hideMark/>
          </w:tcPr>
          <w:p w14:paraId="37C1C6AD"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11 (31%)</w:t>
            </w:r>
          </w:p>
        </w:tc>
        <w:tc>
          <w:tcPr>
            <w:tcW w:w="1418" w:type="dxa"/>
            <w:noWrap/>
            <w:vAlign w:val="center"/>
          </w:tcPr>
          <w:p w14:paraId="1FEFB284"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8 (22%)</w:t>
            </w:r>
          </w:p>
        </w:tc>
        <w:tc>
          <w:tcPr>
            <w:tcW w:w="1559" w:type="dxa"/>
            <w:noWrap/>
            <w:vAlign w:val="center"/>
          </w:tcPr>
          <w:p w14:paraId="49A0395C"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1 (3%)</w:t>
            </w:r>
          </w:p>
        </w:tc>
        <w:tc>
          <w:tcPr>
            <w:tcW w:w="1417" w:type="dxa"/>
            <w:noWrap/>
            <w:vAlign w:val="center"/>
          </w:tcPr>
          <w:p w14:paraId="22C55C3C"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2 (6%)</w:t>
            </w:r>
          </w:p>
        </w:tc>
        <w:tc>
          <w:tcPr>
            <w:tcW w:w="1134" w:type="dxa"/>
            <w:vAlign w:val="center"/>
          </w:tcPr>
          <w:p w14:paraId="08702D29"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0 (0%)</w:t>
            </w:r>
          </w:p>
        </w:tc>
        <w:tc>
          <w:tcPr>
            <w:tcW w:w="709" w:type="dxa"/>
            <w:noWrap/>
            <w:vAlign w:val="bottom"/>
            <w:hideMark/>
          </w:tcPr>
          <w:p w14:paraId="52813CAF"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sz w:val="20"/>
                <w:szCs w:val="20"/>
                <w:lang w:val="en-US"/>
              </w:rPr>
              <w:t>1</w:t>
            </w:r>
          </w:p>
        </w:tc>
      </w:tr>
      <w:tr w:rsidR="00506791" w:rsidRPr="009F1E21" w14:paraId="2F795EBD" w14:textId="77777777" w:rsidTr="00CE60CC">
        <w:trPr>
          <w:trHeight w:val="283"/>
          <w:jc w:val="center"/>
        </w:trPr>
        <w:tc>
          <w:tcPr>
            <w:tcW w:w="2640" w:type="dxa"/>
            <w:noWrap/>
            <w:vAlign w:val="bottom"/>
            <w:hideMark/>
          </w:tcPr>
          <w:p w14:paraId="3B20E8F4"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sz w:val="20"/>
                <w:szCs w:val="20"/>
                <w:lang w:val="en-US"/>
              </w:rPr>
              <w:t>Vomiting</w:t>
            </w:r>
          </w:p>
        </w:tc>
        <w:tc>
          <w:tcPr>
            <w:tcW w:w="1466" w:type="dxa"/>
            <w:gridSpan w:val="2"/>
            <w:noWrap/>
            <w:vAlign w:val="center"/>
            <w:hideMark/>
          </w:tcPr>
          <w:p w14:paraId="7895B912"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6 (17%)</w:t>
            </w:r>
          </w:p>
        </w:tc>
        <w:tc>
          <w:tcPr>
            <w:tcW w:w="1418" w:type="dxa"/>
            <w:noWrap/>
            <w:vAlign w:val="center"/>
          </w:tcPr>
          <w:p w14:paraId="22E9DEFA"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3 (8%)</w:t>
            </w:r>
          </w:p>
        </w:tc>
        <w:tc>
          <w:tcPr>
            <w:tcW w:w="1559" w:type="dxa"/>
            <w:noWrap/>
            <w:vAlign w:val="center"/>
          </w:tcPr>
          <w:p w14:paraId="011BE4FB"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3 (8%)</w:t>
            </w:r>
          </w:p>
        </w:tc>
        <w:tc>
          <w:tcPr>
            <w:tcW w:w="1417" w:type="dxa"/>
            <w:noWrap/>
            <w:vAlign w:val="center"/>
          </w:tcPr>
          <w:p w14:paraId="262C2197"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0 (0%)</w:t>
            </w:r>
          </w:p>
        </w:tc>
        <w:tc>
          <w:tcPr>
            <w:tcW w:w="1134" w:type="dxa"/>
            <w:vAlign w:val="center"/>
          </w:tcPr>
          <w:p w14:paraId="06115E60"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0 (0%)</w:t>
            </w:r>
          </w:p>
        </w:tc>
        <w:tc>
          <w:tcPr>
            <w:tcW w:w="709" w:type="dxa"/>
            <w:noWrap/>
            <w:vAlign w:val="bottom"/>
            <w:hideMark/>
          </w:tcPr>
          <w:p w14:paraId="635E308C" w14:textId="77777777" w:rsidR="00506791" w:rsidRPr="009F1E21" w:rsidRDefault="00506791" w:rsidP="00CE60CC">
            <w:pPr>
              <w:jc w:val="center"/>
              <w:rPr>
                <w:rFonts w:ascii="Calibri" w:hAnsi="Calibri" w:cs="Calibri"/>
                <w:sz w:val="20"/>
                <w:szCs w:val="20"/>
                <w:lang w:val="en-US"/>
              </w:rPr>
            </w:pPr>
          </w:p>
        </w:tc>
      </w:tr>
      <w:tr w:rsidR="00506791" w:rsidRPr="009F1E21" w14:paraId="256F1669" w14:textId="77777777" w:rsidTr="00CE60CC">
        <w:trPr>
          <w:trHeight w:val="283"/>
          <w:jc w:val="center"/>
        </w:trPr>
        <w:tc>
          <w:tcPr>
            <w:tcW w:w="2640" w:type="dxa"/>
            <w:noWrap/>
            <w:vAlign w:val="bottom"/>
          </w:tcPr>
          <w:p w14:paraId="5E343BCB"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sz w:val="20"/>
                <w:szCs w:val="20"/>
              </w:rPr>
              <w:t>Other</w:t>
            </w:r>
          </w:p>
        </w:tc>
        <w:tc>
          <w:tcPr>
            <w:tcW w:w="1466" w:type="dxa"/>
            <w:gridSpan w:val="2"/>
            <w:noWrap/>
            <w:vAlign w:val="center"/>
          </w:tcPr>
          <w:p w14:paraId="14E6D15C"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5 (14%)</w:t>
            </w:r>
          </w:p>
        </w:tc>
        <w:tc>
          <w:tcPr>
            <w:tcW w:w="1418" w:type="dxa"/>
            <w:noWrap/>
            <w:vAlign w:val="center"/>
          </w:tcPr>
          <w:p w14:paraId="75FA7E80"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4 (11%)</w:t>
            </w:r>
          </w:p>
        </w:tc>
        <w:tc>
          <w:tcPr>
            <w:tcW w:w="1559" w:type="dxa"/>
            <w:noWrap/>
            <w:vAlign w:val="center"/>
          </w:tcPr>
          <w:p w14:paraId="25D3EAAA"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1 (3%)</w:t>
            </w:r>
          </w:p>
        </w:tc>
        <w:tc>
          <w:tcPr>
            <w:tcW w:w="1417" w:type="dxa"/>
            <w:noWrap/>
            <w:vAlign w:val="center"/>
          </w:tcPr>
          <w:p w14:paraId="4DDE4077"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0 (0%)</w:t>
            </w:r>
          </w:p>
        </w:tc>
        <w:tc>
          <w:tcPr>
            <w:tcW w:w="1134" w:type="dxa"/>
            <w:vAlign w:val="center"/>
          </w:tcPr>
          <w:p w14:paraId="625C04B9" w14:textId="77777777" w:rsidR="00506791" w:rsidRPr="009F1E21" w:rsidDel="00E25C8D"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0 (0%)</w:t>
            </w:r>
          </w:p>
        </w:tc>
        <w:tc>
          <w:tcPr>
            <w:tcW w:w="709" w:type="dxa"/>
            <w:noWrap/>
            <w:vAlign w:val="bottom"/>
          </w:tcPr>
          <w:p w14:paraId="7F2E11D5" w14:textId="77777777" w:rsidR="00506791" w:rsidRPr="009F1E21" w:rsidDel="00E25C8D" w:rsidRDefault="00506791" w:rsidP="00CE60CC">
            <w:pPr>
              <w:jc w:val="center"/>
              <w:rPr>
                <w:rFonts w:ascii="Calibri" w:hAnsi="Calibri" w:cs="Calibri"/>
                <w:sz w:val="20"/>
                <w:szCs w:val="20"/>
                <w:lang w:val="en-US"/>
              </w:rPr>
            </w:pPr>
          </w:p>
        </w:tc>
      </w:tr>
      <w:tr w:rsidR="00506791" w:rsidRPr="009F1E21" w14:paraId="7FBBD9AB" w14:textId="77777777" w:rsidTr="00CE60CC">
        <w:trPr>
          <w:trHeight w:val="283"/>
          <w:jc w:val="center"/>
        </w:trPr>
        <w:tc>
          <w:tcPr>
            <w:tcW w:w="2640" w:type="dxa"/>
            <w:noWrap/>
            <w:vAlign w:val="bottom"/>
          </w:tcPr>
          <w:p w14:paraId="31BB81B4" w14:textId="77777777" w:rsidR="00506791" w:rsidRPr="009F1E21" w:rsidRDefault="00506791" w:rsidP="00CE60CC">
            <w:pPr>
              <w:jc w:val="center"/>
              <w:rPr>
                <w:rFonts w:ascii="Calibri" w:hAnsi="Calibri" w:cs="Calibri"/>
                <w:sz w:val="20"/>
                <w:szCs w:val="20"/>
              </w:rPr>
            </w:pPr>
            <w:r w:rsidRPr="009F1E21">
              <w:rPr>
                <w:rFonts w:ascii="Calibri" w:hAnsi="Calibri" w:cs="Calibri"/>
                <w:sz w:val="20"/>
                <w:szCs w:val="20"/>
              </w:rPr>
              <w:t>Abdominal pain</w:t>
            </w:r>
          </w:p>
        </w:tc>
        <w:tc>
          <w:tcPr>
            <w:tcW w:w="1466" w:type="dxa"/>
            <w:gridSpan w:val="2"/>
            <w:noWrap/>
            <w:vAlign w:val="center"/>
          </w:tcPr>
          <w:p w14:paraId="016B9BC7" w14:textId="77777777" w:rsidR="00506791" w:rsidRPr="009F1E21" w:rsidRDefault="00506791" w:rsidP="00CE60CC">
            <w:pPr>
              <w:jc w:val="center"/>
              <w:rPr>
                <w:rFonts w:ascii="Calibri" w:hAnsi="Calibri" w:cs="Calibri"/>
                <w:color w:val="000000"/>
                <w:sz w:val="20"/>
                <w:szCs w:val="20"/>
              </w:rPr>
            </w:pPr>
            <w:r w:rsidRPr="009F1E21">
              <w:rPr>
                <w:rFonts w:ascii="Calibri" w:hAnsi="Calibri" w:cs="Calibri"/>
                <w:color w:val="000000"/>
                <w:sz w:val="20"/>
                <w:szCs w:val="20"/>
              </w:rPr>
              <w:t>3 (8%)</w:t>
            </w:r>
          </w:p>
        </w:tc>
        <w:tc>
          <w:tcPr>
            <w:tcW w:w="1418" w:type="dxa"/>
            <w:noWrap/>
            <w:vAlign w:val="center"/>
          </w:tcPr>
          <w:p w14:paraId="1843DC6A" w14:textId="77777777" w:rsidR="00506791" w:rsidRPr="009F1E21" w:rsidRDefault="00506791" w:rsidP="00CE60CC">
            <w:pPr>
              <w:jc w:val="center"/>
              <w:rPr>
                <w:rFonts w:ascii="Calibri" w:hAnsi="Calibri" w:cs="Calibri"/>
                <w:color w:val="000000"/>
                <w:sz w:val="20"/>
                <w:szCs w:val="20"/>
              </w:rPr>
            </w:pPr>
            <w:r w:rsidRPr="009F1E21">
              <w:rPr>
                <w:rFonts w:ascii="Calibri" w:hAnsi="Calibri" w:cs="Calibri"/>
                <w:color w:val="000000"/>
                <w:sz w:val="20"/>
                <w:szCs w:val="20"/>
              </w:rPr>
              <w:t>1 (3%)</w:t>
            </w:r>
          </w:p>
        </w:tc>
        <w:tc>
          <w:tcPr>
            <w:tcW w:w="1559" w:type="dxa"/>
            <w:noWrap/>
            <w:vAlign w:val="center"/>
          </w:tcPr>
          <w:p w14:paraId="7E6B8E0B" w14:textId="77777777" w:rsidR="00506791" w:rsidRPr="009F1E21" w:rsidRDefault="00506791" w:rsidP="00CE60CC">
            <w:pPr>
              <w:jc w:val="center"/>
              <w:rPr>
                <w:rFonts w:ascii="Calibri" w:hAnsi="Calibri" w:cs="Calibri"/>
                <w:color w:val="000000"/>
                <w:sz w:val="20"/>
                <w:szCs w:val="20"/>
              </w:rPr>
            </w:pPr>
            <w:r w:rsidRPr="009F1E21">
              <w:rPr>
                <w:rFonts w:ascii="Calibri" w:hAnsi="Calibri" w:cs="Calibri"/>
                <w:color w:val="000000"/>
                <w:sz w:val="20"/>
                <w:szCs w:val="20"/>
              </w:rPr>
              <w:t>2 (6%)</w:t>
            </w:r>
          </w:p>
        </w:tc>
        <w:tc>
          <w:tcPr>
            <w:tcW w:w="1417" w:type="dxa"/>
            <w:noWrap/>
            <w:vAlign w:val="center"/>
          </w:tcPr>
          <w:p w14:paraId="7F3548E5" w14:textId="77777777" w:rsidR="00506791" w:rsidRPr="009F1E21" w:rsidRDefault="00506791" w:rsidP="00CE60CC">
            <w:pPr>
              <w:jc w:val="center"/>
              <w:rPr>
                <w:rFonts w:ascii="Calibri" w:hAnsi="Calibri" w:cs="Calibri"/>
                <w:color w:val="000000"/>
                <w:sz w:val="20"/>
                <w:szCs w:val="20"/>
              </w:rPr>
            </w:pPr>
            <w:r w:rsidRPr="009F1E21">
              <w:rPr>
                <w:rFonts w:ascii="Calibri" w:hAnsi="Calibri" w:cs="Calibri"/>
                <w:color w:val="000000"/>
                <w:sz w:val="20"/>
                <w:szCs w:val="20"/>
              </w:rPr>
              <w:t>0 (0%)</w:t>
            </w:r>
          </w:p>
        </w:tc>
        <w:tc>
          <w:tcPr>
            <w:tcW w:w="1134" w:type="dxa"/>
            <w:vAlign w:val="center"/>
          </w:tcPr>
          <w:p w14:paraId="3A3A7C64" w14:textId="77777777" w:rsidR="00506791" w:rsidRPr="009F1E21" w:rsidRDefault="00506791" w:rsidP="00CE60CC">
            <w:pPr>
              <w:jc w:val="center"/>
              <w:rPr>
                <w:rFonts w:ascii="Calibri" w:hAnsi="Calibri" w:cs="Calibri"/>
                <w:color w:val="000000"/>
                <w:sz w:val="20"/>
                <w:szCs w:val="20"/>
              </w:rPr>
            </w:pPr>
            <w:r w:rsidRPr="009F1E21">
              <w:rPr>
                <w:rFonts w:ascii="Calibri" w:hAnsi="Calibri" w:cs="Calibri"/>
                <w:color w:val="000000"/>
                <w:sz w:val="20"/>
                <w:szCs w:val="20"/>
              </w:rPr>
              <w:t>0 (0%)</w:t>
            </w:r>
          </w:p>
        </w:tc>
        <w:tc>
          <w:tcPr>
            <w:tcW w:w="709" w:type="dxa"/>
            <w:noWrap/>
            <w:vAlign w:val="bottom"/>
          </w:tcPr>
          <w:p w14:paraId="70C2E443" w14:textId="77777777" w:rsidR="00506791" w:rsidRPr="009F1E21" w:rsidDel="00E25C8D" w:rsidRDefault="00506791" w:rsidP="00CE60CC">
            <w:pPr>
              <w:jc w:val="center"/>
              <w:rPr>
                <w:rFonts w:ascii="Calibri" w:hAnsi="Calibri" w:cs="Calibri"/>
                <w:sz w:val="20"/>
                <w:szCs w:val="20"/>
                <w:lang w:val="en-US"/>
              </w:rPr>
            </w:pPr>
            <w:r w:rsidRPr="009F1E21">
              <w:rPr>
                <w:rFonts w:ascii="Calibri" w:hAnsi="Calibri" w:cs="Calibri"/>
                <w:sz w:val="20"/>
                <w:szCs w:val="20"/>
                <w:lang w:val="en-US"/>
              </w:rPr>
              <w:t>1</w:t>
            </w:r>
          </w:p>
        </w:tc>
      </w:tr>
      <w:tr w:rsidR="00506791" w:rsidRPr="009F1E21" w14:paraId="147CC3F0" w14:textId="77777777" w:rsidTr="00CE60CC">
        <w:trPr>
          <w:trHeight w:val="283"/>
          <w:jc w:val="center"/>
        </w:trPr>
        <w:tc>
          <w:tcPr>
            <w:tcW w:w="10343" w:type="dxa"/>
            <w:gridSpan w:val="8"/>
            <w:shd w:val="clear" w:color="000000" w:fill="D9D9D9"/>
            <w:vAlign w:val="bottom"/>
          </w:tcPr>
          <w:p w14:paraId="649A74B9" w14:textId="77777777" w:rsidR="00506791" w:rsidRPr="009F1E21" w:rsidRDefault="00506791" w:rsidP="00CE60CC">
            <w:pPr>
              <w:rPr>
                <w:rFonts w:ascii="Calibri" w:hAnsi="Calibri" w:cs="Calibri"/>
                <w:b/>
                <w:bCs/>
                <w:sz w:val="20"/>
                <w:szCs w:val="20"/>
                <w:lang w:val="en-US"/>
              </w:rPr>
            </w:pPr>
            <w:r w:rsidRPr="009F1E21">
              <w:rPr>
                <w:rFonts w:ascii="Calibri" w:hAnsi="Calibri" w:cs="Calibri"/>
                <w:b/>
                <w:bCs/>
                <w:sz w:val="20"/>
                <w:szCs w:val="20"/>
                <w:lang w:val="en-US"/>
              </w:rPr>
              <w:t xml:space="preserve">General disorders and administration site conditions </w:t>
            </w:r>
          </w:p>
        </w:tc>
      </w:tr>
      <w:tr w:rsidR="00506791" w:rsidRPr="009F1E21" w14:paraId="00826834" w14:textId="77777777" w:rsidTr="00CE60CC">
        <w:trPr>
          <w:trHeight w:val="283"/>
          <w:jc w:val="center"/>
        </w:trPr>
        <w:tc>
          <w:tcPr>
            <w:tcW w:w="2640" w:type="dxa"/>
            <w:noWrap/>
            <w:vAlign w:val="bottom"/>
            <w:hideMark/>
          </w:tcPr>
          <w:p w14:paraId="117582CA"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sz w:val="20"/>
                <w:szCs w:val="20"/>
                <w:lang w:val="en-US"/>
              </w:rPr>
              <w:t>Fever</w:t>
            </w:r>
          </w:p>
        </w:tc>
        <w:tc>
          <w:tcPr>
            <w:tcW w:w="1466" w:type="dxa"/>
            <w:gridSpan w:val="2"/>
            <w:noWrap/>
            <w:vAlign w:val="center"/>
            <w:hideMark/>
          </w:tcPr>
          <w:p w14:paraId="6427467D"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3 (8%)</w:t>
            </w:r>
          </w:p>
        </w:tc>
        <w:tc>
          <w:tcPr>
            <w:tcW w:w="1418" w:type="dxa"/>
            <w:noWrap/>
            <w:vAlign w:val="center"/>
          </w:tcPr>
          <w:p w14:paraId="51C811B6"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2 (6%)</w:t>
            </w:r>
          </w:p>
        </w:tc>
        <w:tc>
          <w:tcPr>
            <w:tcW w:w="1559" w:type="dxa"/>
            <w:noWrap/>
            <w:vAlign w:val="center"/>
          </w:tcPr>
          <w:p w14:paraId="035C46F7"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1 (3%)</w:t>
            </w:r>
          </w:p>
        </w:tc>
        <w:tc>
          <w:tcPr>
            <w:tcW w:w="1417" w:type="dxa"/>
            <w:noWrap/>
            <w:vAlign w:val="center"/>
          </w:tcPr>
          <w:p w14:paraId="061B2F07"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0 (0%)</w:t>
            </w:r>
          </w:p>
        </w:tc>
        <w:tc>
          <w:tcPr>
            <w:tcW w:w="1134" w:type="dxa"/>
            <w:vAlign w:val="center"/>
          </w:tcPr>
          <w:p w14:paraId="5BE7C2FC"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0 (0%)</w:t>
            </w:r>
          </w:p>
        </w:tc>
        <w:tc>
          <w:tcPr>
            <w:tcW w:w="709" w:type="dxa"/>
            <w:noWrap/>
            <w:vAlign w:val="bottom"/>
            <w:hideMark/>
          </w:tcPr>
          <w:p w14:paraId="65301429"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sz w:val="20"/>
                <w:szCs w:val="20"/>
                <w:lang w:val="en-US"/>
              </w:rPr>
              <w:t> 1</w:t>
            </w:r>
          </w:p>
        </w:tc>
      </w:tr>
      <w:tr w:rsidR="00506791" w:rsidRPr="009F1E21" w14:paraId="3F2A8FD1" w14:textId="77777777" w:rsidTr="00CE60CC">
        <w:trPr>
          <w:trHeight w:val="283"/>
          <w:jc w:val="center"/>
        </w:trPr>
        <w:tc>
          <w:tcPr>
            <w:tcW w:w="10343" w:type="dxa"/>
            <w:gridSpan w:val="8"/>
            <w:shd w:val="clear" w:color="000000" w:fill="D9D9D9"/>
            <w:vAlign w:val="bottom"/>
          </w:tcPr>
          <w:p w14:paraId="25E4374F" w14:textId="77777777" w:rsidR="00506791" w:rsidRPr="009F1E21" w:rsidRDefault="00506791" w:rsidP="00CE60CC">
            <w:pPr>
              <w:rPr>
                <w:rFonts w:ascii="Calibri" w:hAnsi="Calibri" w:cs="Calibri"/>
                <w:b/>
                <w:bCs/>
                <w:sz w:val="20"/>
                <w:szCs w:val="20"/>
                <w:lang w:val="en-US"/>
              </w:rPr>
            </w:pPr>
            <w:r w:rsidRPr="009F1E21">
              <w:rPr>
                <w:rFonts w:ascii="Calibri" w:hAnsi="Calibri" w:cs="Calibri"/>
                <w:b/>
                <w:bCs/>
                <w:sz w:val="20"/>
                <w:szCs w:val="20"/>
                <w:lang w:val="en-US"/>
              </w:rPr>
              <w:t xml:space="preserve">Investigations </w:t>
            </w:r>
          </w:p>
        </w:tc>
      </w:tr>
      <w:tr w:rsidR="00506791" w:rsidRPr="009F1E21" w14:paraId="3DF52E87" w14:textId="77777777" w:rsidTr="00CE60CC">
        <w:trPr>
          <w:trHeight w:val="283"/>
          <w:jc w:val="center"/>
        </w:trPr>
        <w:tc>
          <w:tcPr>
            <w:tcW w:w="2640" w:type="dxa"/>
            <w:noWrap/>
            <w:vAlign w:val="bottom"/>
          </w:tcPr>
          <w:p w14:paraId="5EDC1A28" w14:textId="77777777" w:rsidR="00506791" w:rsidRPr="009F1E21" w:rsidDel="00E25C8D" w:rsidRDefault="00506791" w:rsidP="00CE60CC">
            <w:pPr>
              <w:jc w:val="center"/>
              <w:rPr>
                <w:rFonts w:ascii="Calibri" w:hAnsi="Calibri" w:cs="Calibri"/>
                <w:sz w:val="20"/>
                <w:szCs w:val="20"/>
                <w:lang w:val="en-US"/>
              </w:rPr>
            </w:pPr>
            <w:r w:rsidRPr="009F1E21">
              <w:rPr>
                <w:rFonts w:ascii="Calibri" w:hAnsi="Calibri" w:cs="Calibri"/>
                <w:sz w:val="20"/>
                <w:szCs w:val="20"/>
              </w:rPr>
              <w:t>Electrocardiogram QT corrected interval prolonged</w:t>
            </w:r>
          </w:p>
        </w:tc>
        <w:tc>
          <w:tcPr>
            <w:tcW w:w="1466" w:type="dxa"/>
            <w:gridSpan w:val="2"/>
            <w:noWrap/>
            <w:vAlign w:val="center"/>
          </w:tcPr>
          <w:p w14:paraId="3CE44ECB" w14:textId="77777777" w:rsidR="00506791" w:rsidRPr="009F1E21" w:rsidDel="00E25C8D"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3 (8%)</w:t>
            </w:r>
          </w:p>
        </w:tc>
        <w:tc>
          <w:tcPr>
            <w:tcW w:w="1418" w:type="dxa"/>
            <w:noWrap/>
            <w:vAlign w:val="center"/>
          </w:tcPr>
          <w:p w14:paraId="1DAF888E" w14:textId="77777777" w:rsidR="00506791" w:rsidRPr="009F1E21" w:rsidDel="00E25C8D"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3 (8%)</w:t>
            </w:r>
          </w:p>
        </w:tc>
        <w:tc>
          <w:tcPr>
            <w:tcW w:w="1559" w:type="dxa"/>
            <w:noWrap/>
            <w:vAlign w:val="center"/>
          </w:tcPr>
          <w:p w14:paraId="72167C03" w14:textId="77777777" w:rsidR="00506791" w:rsidRPr="009F1E21" w:rsidDel="00E25C8D"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0 (0%)</w:t>
            </w:r>
          </w:p>
        </w:tc>
        <w:tc>
          <w:tcPr>
            <w:tcW w:w="1417" w:type="dxa"/>
            <w:noWrap/>
            <w:vAlign w:val="center"/>
          </w:tcPr>
          <w:p w14:paraId="63A0636B" w14:textId="77777777" w:rsidR="00506791" w:rsidRPr="009F1E21" w:rsidDel="00E25C8D"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0 (0%)</w:t>
            </w:r>
          </w:p>
        </w:tc>
        <w:tc>
          <w:tcPr>
            <w:tcW w:w="1134" w:type="dxa"/>
            <w:vAlign w:val="center"/>
          </w:tcPr>
          <w:p w14:paraId="1B12E21B" w14:textId="77777777" w:rsidR="00506791" w:rsidRPr="009F1E21" w:rsidDel="00E25C8D"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0 (0%)</w:t>
            </w:r>
          </w:p>
        </w:tc>
        <w:tc>
          <w:tcPr>
            <w:tcW w:w="709" w:type="dxa"/>
            <w:noWrap/>
            <w:vAlign w:val="bottom"/>
          </w:tcPr>
          <w:p w14:paraId="3E78DE4E" w14:textId="77777777" w:rsidR="00506791" w:rsidRPr="009F1E21" w:rsidDel="00E25C8D" w:rsidRDefault="00506791" w:rsidP="00CE60CC">
            <w:pPr>
              <w:jc w:val="center"/>
              <w:rPr>
                <w:rFonts w:ascii="Calibri" w:hAnsi="Calibri" w:cs="Calibri"/>
                <w:sz w:val="20"/>
                <w:szCs w:val="20"/>
                <w:lang w:val="en-US"/>
              </w:rPr>
            </w:pPr>
          </w:p>
        </w:tc>
      </w:tr>
      <w:tr w:rsidR="00506791" w:rsidRPr="009F1E21" w14:paraId="536F8F87" w14:textId="77777777" w:rsidTr="00CE60CC">
        <w:trPr>
          <w:trHeight w:val="283"/>
          <w:jc w:val="center"/>
        </w:trPr>
        <w:tc>
          <w:tcPr>
            <w:tcW w:w="2640" w:type="dxa"/>
            <w:noWrap/>
            <w:vAlign w:val="bottom"/>
          </w:tcPr>
          <w:p w14:paraId="0206C2DE" w14:textId="77777777" w:rsidR="00506791" w:rsidRPr="009F1E21" w:rsidDel="00E25C8D" w:rsidRDefault="00506791" w:rsidP="00CE60CC">
            <w:pPr>
              <w:jc w:val="center"/>
              <w:rPr>
                <w:rFonts w:ascii="Calibri" w:hAnsi="Calibri" w:cs="Calibri"/>
                <w:sz w:val="20"/>
                <w:szCs w:val="20"/>
                <w:lang w:val="en-US"/>
              </w:rPr>
            </w:pPr>
            <w:r w:rsidRPr="009F1E21">
              <w:rPr>
                <w:rFonts w:ascii="Calibri" w:hAnsi="Calibri" w:cs="Calibri"/>
                <w:sz w:val="20"/>
                <w:szCs w:val="20"/>
              </w:rPr>
              <w:t>Platelet count decreased</w:t>
            </w:r>
          </w:p>
        </w:tc>
        <w:tc>
          <w:tcPr>
            <w:tcW w:w="1466" w:type="dxa"/>
            <w:gridSpan w:val="2"/>
            <w:noWrap/>
            <w:vAlign w:val="center"/>
          </w:tcPr>
          <w:p w14:paraId="586E7F9C" w14:textId="77777777" w:rsidR="00506791" w:rsidRPr="009F1E21" w:rsidDel="00E25C8D"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4 (11%)</w:t>
            </w:r>
          </w:p>
        </w:tc>
        <w:tc>
          <w:tcPr>
            <w:tcW w:w="1418" w:type="dxa"/>
            <w:noWrap/>
            <w:vAlign w:val="center"/>
          </w:tcPr>
          <w:p w14:paraId="22227006" w14:textId="77777777" w:rsidR="00506791" w:rsidRPr="009F1E21" w:rsidDel="00E25C8D"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1 (3%)</w:t>
            </w:r>
          </w:p>
        </w:tc>
        <w:tc>
          <w:tcPr>
            <w:tcW w:w="1559" w:type="dxa"/>
            <w:noWrap/>
            <w:vAlign w:val="center"/>
          </w:tcPr>
          <w:p w14:paraId="1E305353" w14:textId="77777777" w:rsidR="00506791" w:rsidRPr="009F1E21" w:rsidDel="00E25C8D"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1 (3%)</w:t>
            </w:r>
          </w:p>
        </w:tc>
        <w:tc>
          <w:tcPr>
            <w:tcW w:w="1417" w:type="dxa"/>
            <w:noWrap/>
            <w:vAlign w:val="center"/>
          </w:tcPr>
          <w:p w14:paraId="3EF95305" w14:textId="77777777" w:rsidR="00506791" w:rsidRPr="009F1E21" w:rsidDel="00E25C8D"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1 (3%)</w:t>
            </w:r>
          </w:p>
        </w:tc>
        <w:tc>
          <w:tcPr>
            <w:tcW w:w="1134" w:type="dxa"/>
            <w:vAlign w:val="center"/>
          </w:tcPr>
          <w:p w14:paraId="7DF2C5AC" w14:textId="77777777" w:rsidR="00506791" w:rsidRPr="009F1E21" w:rsidDel="00E25C8D"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1 (3%)</w:t>
            </w:r>
          </w:p>
        </w:tc>
        <w:tc>
          <w:tcPr>
            <w:tcW w:w="709" w:type="dxa"/>
            <w:noWrap/>
            <w:vAlign w:val="bottom"/>
          </w:tcPr>
          <w:p w14:paraId="65965609" w14:textId="77777777" w:rsidR="00506791" w:rsidRPr="009F1E21" w:rsidDel="00E25C8D" w:rsidRDefault="00506791" w:rsidP="00CE60CC">
            <w:pPr>
              <w:jc w:val="center"/>
              <w:rPr>
                <w:rFonts w:ascii="Calibri" w:hAnsi="Calibri" w:cs="Calibri"/>
                <w:sz w:val="20"/>
                <w:szCs w:val="20"/>
                <w:lang w:val="en-US"/>
              </w:rPr>
            </w:pPr>
          </w:p>
        </w:tc>
      </w:tr>
      <w:tr w:rsidR="00506791" w:rsidRPr="009F1E21" w14:paraId="7265F777" w14:textId="77777777" w:rsidTr="00CE60CC">
        <w:trPr>
          <w:trHeight w:val="283"/>
          <w:jc w:val="center"/>
        </w:trPr>
        <w:tc>
          <w:tcPr>
            <w:tcW w:w="10343" w:type="dxa"/>
            <w:gridSpan w:val="8"/>
            <w:shd w:val="clear" w:color="000000" w:fill="D9D9D9"/>
            <w:vAlign w:val="bottom"/>
          </w:tcPr>
          <w:p w14:paraId="79E21C56" w14:textId="77777777" w:rsidR="00506791" w:rsidRPr="009F1E21" w:rsidRDefault="00506791" w:rsidP="00CE60CC">
            <w:pPr>
              <w:rPr>
                <w:rFonts w:ascii="Calibri" w:hAnsi="Calibri" w:cs="Calibri"/>
                <w:b/>
                <w:bCs/>
                <w:sz w:val="20"/>
                <w:szCs w:val="20"/>
                <w:lang w:val="en-US"/>
              </w:rPr>
            </w:pPr>
            <w:r w:rsidRPr="009F1E21">
              <w:rPr>
                <w:rFonts w:ascii="Calibri" w:hAnsi="Calibri" w:cs="Calibri"/>
                <w:b/>
                <w:bCs/>
                <w:sz w:val="20"/>
                <w:szCs w:val="20"/>
                <w:lang w:val="en-US"/>
              </w:rPr>
              <w:t>Metabolism and nutrition disorders</w:t>
            </w:r>
          </w:p>
        </w:tc>
      </w:tr>
      <w:tr w:rsidR="00506791" w:rsidRPr="009F1E21" w14:paraId="7BE9D8E3" w14:textId="77777777" w:rsidTr="00CE60CC">
        <w:trPr>
          <w:trHeight w:val="283"/>
          <w:jc w:val="center"/>
        </w:trPr>
        <w:tc>
          <w:tcPr>
            <w:tcW w:w="2640" w:type="dxa"/>
            <w:noWrap/>
            <w:vAlign w:val="bottom"/>
            <w:hideMark/>
          </w:tcPr>
          <w:p w14:paraId="4CD3838B"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sz w:val="20"/>
                <w:szCs w:val="20"/>
                <w:lang w:val="en-US"/>
              </w:rPr>
              <w:t>Anorexia</w:t>
            </w:r>
          </w:p>
        </w:tc>
        <w:tc>
          <w:tcPr>
            <w:tcW w:w="1466" w:type="dxa"/>
            <w:gridSpan w:val="2"/>
            <w:noWrap/>
            <w:vAlign w:val="center"/>
            <w:hideMark/>
          </w:tcPr>
          <w:p w14:paraId="696A5A50"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4 (11%)</w:t>
            </w:r>
          </w:p>
        </w:tc>
        <w:tc>
          <w:tcPr>
            <w:tcW w:w="1418" w:type="dxa"/>
            <w:noWrap/>
            <w:vAlign w:val="center"/>
          </w:tcPr>
          <w:p w14:paraId="3017A1B4"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3 (8%)</w:t>
            </w:r>
          </w:p>
        </w:tc>
        <w:tc>
          <w:tcPr>
            <w:tcW w:w="1559" w:type="dxa"/>
            <w:noWrap/>
            <w:vAlign w:val="center"/>
          </w:tcPr>
          <w:p w14:paraId="15A34CC9"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1 (3%)</w:t>
            </w:r>
          </w:p>
        </w:tc>
        <w:tc>
          <w:tcPr>
            <w:tcW w:w="1417" w:type="dxa"/>
            <w:noWrap/>
            <w:vAlign w:val="center"/>
          </w:tcPr>
          <w:p w14:paraId="34C57F0E"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0 (0%)</w:t>
            </w:r>
          </w:p>
        </w:tc>
        <w:tc>
          <w:tcPr>
            <w:tcW w:w="1134" w:type="dxa"/>
            <w:vAlign w:val="center"/>
          </w:tcPr>
          <w:p w14:paraId="17A8133B"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0 (0%)</w:t>
            </w:r>
          </w:p>
        </w:tc>
        <w:tc>
          <w:tcPr>
            <w:tcW w:w="709" w:type="dxa"/>
            <w:noWrap/>
            <w:vAlign w:val="bottom"/>
            <w:hideMark/>
          </w:tcPr>
          <w:p w14:paraId="25F67B6D"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sz w:val="20"/>
                <w:szCs w:val="20"/>
                <w:lang w:val="en-US"/>
              </w:rPr>
              <w:t> </w:t>
            </w:r>
          </w:p>
        </w:tc>
      </w:tr>
      <w:tr w:rsidR="00506791" w:rsidRPr="009F1E21" w14:paraId="09E3BBD3" w14:textId="77777777" w:rsidTr="00CE60CC">
        <w:trPr>
          <w:trHeight w:val="283"/>
          <w:jc w:val="center"/>
        </w:trPr>
        <w:tc>
          <w:tcPr>
            <w:tcW w:w="2640" w:type="dxa"/>
            <w:noWrap/>
            <w:vAlign w:val="bottom"/>
            <w:hideMark/>
          </w:tcPr>
          <w:p w14:paraId="553289EE"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sz w:val="20"/>
                <w:szCs w:val="20"/>
                <w:lang w:val="en-US"/>
              </w:rPr>
              <w:t>Dyspepsia</w:t>
            </w:r>
          </w:p>
        </w:tc>
        <w:tc>
          <w:tcPr>
            <w:tcW w:w="1466" w:type="dxa"/>
            <w:gridSpan w:val="2"/>
            <w:noWrap/>
            <w:vAlign w:val="center"/>
            <w:hideMark/>
          </w:tcPr>
          <w:p w14:paraId="0EE246E8"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5 (14%)</w:t>
            </w:r>
          </w:p>
        </w:tc>
        <w:tc>
          <w:tcPr>
            <w:tcW w:w="1418" w:type="dxa"/>
            <w:noWrap/>
            <w:vAlign w:val="center"/>
          </w:tcPr>
          <w:p w14:paraId="19C6E4C9"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2 (6%)</w:t>
            </w:r>
          </w:p>
        </w:tc>
        <w:tc>
          <w:tcPr>
            <w:tcW w:w="1559" w:type="dxa"/>
            <w:noWrap/>
            <w:vAlign w:val="center"/>
          </w:tcPr>
          <w:p w14:paraId="7E43B6D3"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3 (8%)</w:t>
            </w:r>
          </w:p>
        </w:tc>
        <w:tc>
          <w:tcPr>
            <w:tcW w:w="1417" w:type="dxa"/>
            <w:noWrap/>
            <w:vAlign w:val="center"/>
          </w:tcPr>
          <w:p w14:paraId="06C9CB9F"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0 (0%)</w:t>
            </w:r>
          </w:p>
        </w:tc>
        <w:tc>
          <w:tcPr>
            <w:tcW w:w="1134" w:type="dxa"/>
            <w:vAlign w:val="center"/>
          </w:tcPr>
          <w:p w14:paraId="069535C2"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0 (0%)</w:t>
            </w:r>
          </w:p>
        </w:tc>
        <w:tc>
          <w:tcPr>
            <w:tcW w:w="709" w:type="dxa"/>
            <w:noWrap/>
            <w:vAlign w:val="bottom"/>
            <w:hideMark/>
          </w:tcPr>
          <w:p w14:paraId="253C0049"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sz w:val="20"/>
                <w:szCs w:val="20"/>
                <w:lang w:val="en-US"/>
              </w:rPr>
              <w:t> </w:t>
            </w:r>
          </w:p>
        </w:tc>
      </w:tr>
      <w:tr w:rsidR="00506791" w:rsidRPr="009F1E21" w14:paraId="7B5C1C51" w14:textId="77777777" w:rsidTr="00CE60CC">
        <w:trPr>
          <w:trHeight w:val="283"/>
          <w:jc w:val="center"/>
        </w:trPr>
        <w:tc>
          <w:tcPr>
            <w:tcW w:w="10343" w:type="dxa"/>
            <w:gridSpan w:val="8"/>
            <w:shd w:val="clear" w:color="000000" w:fill="D9D9D9"/>
            <w:vAlign w:val="bottom"/>
          </w:tcPr>
          <w:p w14:paraId="00A95630" w14:textId="77777777" w:rsidR="00506791" w:rsidRPr="009F1E21" w:rsidRDefault="00506791" w:rsidP="00CE60CC">
            <w:pPr>
              <w:rPr>
                <w:rFonts w:ascii="Calibri" w:hAnsi="Calibri" w:cs="Calibri"/>
                <w:b/>
                <w:bCs/>
                <w:sz w:val="20"/>
                <w:szCs w:val="20"/>
                <w:lang w:val="en-US"/>
              </w:rPr>
            </w:pPr>
            <w:r w:rsidRPr="009F1E21">
              <w:rPr>
                <w:rFonts w:ascii="Calibri" w:hAnsi="Calibri" w:cs="Calibri"/>
                <w:b/>
                <w:sz w:val="20"/>
                <w:szCs w:val="20"/>
              </w:rPr>
              <w:t>Musculoskeletal and connective tissue disorder</w:t>
            </w:r>
          </w:p>
        </w:tc>
      </w:tr>
      <w:tr w:rsidR="00506791" w:rsidRPr="009F1E21" w14:paraId="719D51C6" w14:textId="77777777" w:rsidTr="00CE60CC">
        <w:trPr>
          <w:trHeight w:val="283"/>
          <w:jc w:val="center"/>
        </w:trPr>
        <w:tc>
          <w:tcPr>
            <w:tcW w:w="2640" w:type="dxa"/>
            <w:noWrap/>
            <w:vAlign w:val="bottom"/>
          </w:tcPr>
          <w:p w14:paraId="17B74810" w14:textId="77777777" w:rsidR="00506791" w:rsidRPr="009F1E21" w:rsidRDefault="00506791" w:rsidP="00CE60CC">
            <w:pPr>
              <w:jc w:val="center"/>
              <w:rPr>
                <w:rFonts w:ascii="Calibri" w:hAnsi="Calibri" w:cs="Calibri"/>
                <w:sz w:val="20"/>
                <w:szCs w:val="20"/>
              </w:rPr>
            </w:pPr>
            <w:r w:rsidRPr="009F1E21">
              <w:rPr>
                <w:rFonts w:ascii="Calibri" w:hAnsi="Calibri" w:cs="Calibri"/>
                <w:sz w:val="20"/>
                <w:szCs w:val="20"/>
              </w:rPr>
              <w:t>Other</w:t>
            </w:r>
          </w:p>
        </w:tc>
        <w:tc>
          <w:tcPr>
            <w:tcW w:w="1466" w:type="dxa"/>
            <w:gridSpan w:val="2"/>
            <w:noWrap/>
            <w:vAlign w:val="center"/>
          </w:tcPr>
          <w:p w14:paraId="6D545DC2"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4 (11%)</w:t>
            </w:r>
          </w:p>
        </w:tc>
        <w:tc>
          <w:tcPr>
            <w:tcW w:w="1418" w:type="dxa"/>
            <w:noWrap/>
            <w:vAlign w:val="center"/>
          </w:tcPr>
          <w:p w14:paraId="589DD469" w14:textId="77777777" w:rsidR="00506791" w:rsidRPr="009F1E21" w:rsidDel="00E25C8D"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3 (8%)</w:t>
            </w:r>
          </w:p>
        </w:tc>
        <w:tc>
          <w:tcPr>
            <w:tcW w:w="1559" w:type="dxa"/>
            <w:noWrap/>
            <w:vAlign w:val="center"/>
          </w:tcPr>
          <w:p w14:paraId="39EAA094" w14:textId="77777777" w:rsidR="00506791" w:rsidRPr="009F1E21" w:rsidDel="00E25C8D"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1 (3%)</w:t>
            </w:r>
          </w:p>
        </w:tc>
        <w:tc>
          <w:tcPr>
            <w:tcW w:w="1417" w:type="dxa"/>
            <w:noWrap/>
            <w:vAlign w:val="center"/>
          </w:tcPr>
          <w:p w14:paraId="791F1ED6" w14:textId="77777777" w:rsidR="00506791" w:rsidRPr="009F1E21" w:rsidDel="00E25C8D"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0 (0%)</w:t>
            </w:r>
          </w:p>
        </w:tc>
        <w:tc>
          <w:tcPr>
            <w:tcW w:w="1134" w:type="dxa"/>
            <w:vAlign w:val="center"/>
          </w:tcPr>
          <w:p w14:paraId="39EEE61D" w14:textId="77777777" w:rsidR="00506791" w:rsidRPr="009F1E21" w:rsidDel="00E25C8D"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0 (0%)</w:t>
            </w:r>
          </w:p>
        </w:tc>
        <w:tc>
          <w:tcPr>
            <w:tcW w:w="709" w:type="dxa"/>
            <w:noWrap/>
            <w:vAlign w:val="bottom"/>
          </w:tcPr>
          <w:p w14:paraId="1CFEAF71" w14:textId="77777777" w:rsidR="00506791" w:rsidRPr="009F1E21" w:rsidDel="00E25C8D" w:rsidRDefault="00506791" w:rsidP="00CE60CC">
            <w:pPr>
              <w:jc w:val="center"/>
              <w:rPr>
                <w:rFonts w:ascii="Calibri" w:hAnsi="Calibri" w:cs="Calibri"/>
                <w:sz w:val="20"/>
                <w:szCs w:val="20"/>
                <w:lang w:val="en-US"/>
              </w:rPr>
            </w:pPr>
          </w:p>
        </w:tc>
      </w:tr>
      <w:tr w:rsidR="00506791" w:rsidRPr="009F1E21" w14:paraId="13332FBA" w14:textId="77777777" w:rsidTr="00CE60CC">
        <w:trPr>
          <w:trHeight w:val="283"/>
          <w:jc w:val="center"/>
        </w:trPr>
        <w:tc>
          <w:tcPr>
            <w:tcW w:w="10343" w:type="dxa"/>
            <w:gridSpan w:val="8"/>
            <w:shd w:val="clear" w:color="000000" w:fill="D9D9D9"/>
            <w:vAlign w:val="bottom"/>
          </w:tcPr>
          <w:p w14:paraId="3B56FCF6" w14:textId="77777777" w:rsidR="00506791" w:rsidRPr="009F1E21" w:rsidRDefault="00506791" w:rsidP="00CE60CC">
            <w:pPr>
              <w:rPr>
                <w:rFonts w:ascii="Calibri" w:hAnsi="Calibri" w:cs="Calibri"/>
                <w:b/>
                <w:bCs/>
                <w:sz w:val="20"/>
                <w:szCs w:val="20"/>
                <w:lang w:val="en-US"/>
              </w:rPr>
            </w:pPr>
            <w:r w:rsidRPr="009F1E21">
              <w:rPr>
                <w:rFonts w:ascii="Calibri" w:hAnsi="Calibri" w:cs="Calibri"/>
                <w:b/>
                <w:bCs/>
                <w:sz w:val="20"/>
                <w:szCs w:val="20"/>
                <w:lang w:val="en-US"/>
              </w:rPr>
              <w:t>Skin and subcutaneous tissue disorders</w:t>
            </w:r>
          </w:p>
        </w:tc>
      </w:tr>
      <w:tr w:rsidR="00506791" w:rsidRPr="009F1E21" w14:paraId="4C105D52" w14:textId="77777777" w:rsidTr="00CE60CC">
        <w:trPr>
          <w:trHeight w:val="283"/>
          <w:jc w:val="center"/>
        </w:trPr>
        <w:tc>
          <w:tcPr>
            <w:tcW w:w="2640" w:type="dxa"/>
            <w:noWrap/>
            <w:vAlign w:val="bottom"/>
            <w:hideMark/>
          </w:tcPr>
          <w:p w14:paraId="2DBABB8D"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sz w:val="20"/>
                <w:szCs w:val="20"/>
                <w:lang w:val="en-US"/>
              </w:rPr>
              <w:t xml:space="preserve">Rash </w:t>
            </w:r>
            <w:r w:rsidRPr="009F1E21">
              <w:rPr>
                <w:rFonts w:ascii="Calibri" w:hAnsi="Calibri" w:cs="Calibri"/>
                <w:sz w:val="20"/>
                <w:szCs w:val="20"/>
              </w:rPr>
              <w:t>maculo-papular</w:t>
            </w:r>
          </w:p>
        </w:tc>
        <w:tc>
          <w:tcPr>
            <w:tcW w:w="1466" w:type="dxa"/>
            <w:gridSpan w:val="2"/>
            <w:noWrap/>
            <w:vAlign w:val="center"/>
            <w:hideMark/>
          </w:tcPr>
          <w:p w14:paraId="6FB9E6E9"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4 (11%)</w:t>
            </w:r>
          </w:p>
        </w:tc>
        <w:tc>
          <w:tcPr>
            <w:tcW w:w="1418" w:type="dxa"/>
            <w:noWrap/>
            <w:vAlign w:val="center"/>
          </w:tcPr>
          <w:p w14:paraId="49DC7EEA"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3 (8%)</w:t>
            </w:r>
          </w:p>
        </w:tc>
        <w:tc>
          <w:tcPr>
            <w:tcW w:w="1559" w:type="dxa"/>
            <w:noWrap/>
            <w:vAlign w:val="center"/>
          </w:tcPr>
          <w:p w14:paraId="2AFDC408"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1 (3%)</w:t>
            </w:r>
          </w:p>
        </w:tc>
        <w:tc>
          <w:tcPr>
            <w:tcW w:w="1417" w:type="dxa"/>
            <w:noWrap/>
            <w:vAlign w:val="center"/>
          </w:tcPr>
          <w:p w14:paraId="64562565"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0 (0%)</w:t>
            </w:r>
          </w:p>
        </w:tc>
        <w:tc>
          <w:tcPr>
            <w:tcW w:w="1134" w:type="dxa"/>
            <w:vAlign w:val="center"/>
          </w:tcPr>
          <w:p w14:paraId="57E58043"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0 (0%)</w:t>
            </w:r>
          </w:p>
        </w:tc>
        <w:tc>
          <w:tcPr>
            <w:tcW w:w="709" w:type="dxa"/>
            <w:noWrap/>
            <w:vAlign w:val="bottom"/>
            <w:hideMark/>
          </w:tcPr>
          <w:p w14:paraId="1A766BC0" w14:textId="77777777" w:rsidR="00506791" w:rsidRPr="009F1E21" w:rsidRDefault="00506791" w:rsidP="00CE60CC">
            <w:pPr>
              <w:jc w:val="center"/>
              <w:rPr>
                <w:rFonts w:ascii="Calibri" w:hAnsi="Calibri" w:cs="Calibri"/>
                <w:sz w:val="20"/>
                <w:szCs w:val="20"/>
                <w:lang w:val="en-US"/>
              </w:rPr>
            </w:pPr>
          </w:p>
        </w:tc>
      </w:tr>
      <w:tr w:rsidR="00506791" w:rsidRPr="009F1E21" w14:paraId="399A3B27" w14:textId="77777777" w:rsidTr="00CE60CC">
        <w:trPr>
          <w:trHeight w:val="283"/>
          <w:jc w:val="center"/>
        </w:trPr>
        <w:tc>
          <w:tcPr>
            <w:tcW w:w="2640" w:type="dxa"/>
            <w:noWrap/>
            <w:vAlign w:val="bottom"/>
          </w:tcPr>
          <w:p w14:paraId="2AD8F1F3"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sz w:val="20"/>
                <w:szCs w:val="20"/>
              </w:rPr>
              <w:t>Other</w:t>
            </w:r>
          </w:p>
        </w:tc>
        <w:tc>
          <w:tcPr>
            <w:tcW w:w="1466" w:type="dxa"/>
            <w:gridSpan w:val="2"/>
            <w:noWrap/>
            <w:vAlign w:val="center"/>
          </w:tcPr>
          <w:p w14:paraId="5FC6C4FA" w14:textId="77777777" w:rsidR="00506791" w:rsidRPr="009F1E21" w:rsidDel="00E25C8D"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3 (8%)</w:t>
            </w:r>
          </w:p>
        </w:tc>
        <w:tc>
          <w:tcPr>
            <w:tcW w:w="1418" w:type="dxa"/>
            <w:noWrap/>
            <w:vAlign w:val="center"/>
          </w:tcPr>
          <w:p w14:paraId="677F9285"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2 (6%)</w:t>
            </w:r>
          </w:p>
        </w:tc>
        <w:tc>
          <w:tcPr>
            <w:tcW w:w="1559" w:type="dxa"/>
            <w:noWrap/>
            <w:vAlign w:val="center"/>
          </w:tcPr>
          <w:p w14:paraId="2424E125"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1 (3%)</w:t>
            </w:r>
          </w:p>
        </w:tc>
        <w:tc>
          <w:tcPr>
            <w:tcW w:w="1417" w:type="dxa"/>
            <w:noWrap/>
            <w:vAlign w:val="center"/>
          </w:tcPr>
          <w:p w14:paraId="35DE0057"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0 (0%)</w:t>
            </w:r>
          </w:p>
        </w:tc>
        <w:tc>
          <w:tcPr>
            <w:tcW w:w="1134" w:type="dxa"/>
            <w:vAlign w:val="center"/>
          </w:tcPr>
          <w:p w14:paraId="20BFD06A"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color w:val="000000"/>
                <w:sz w:val="20"/>
                <w:szCs w:val="20"/>
              </w:rPr>
              <w:t>0 (0%)</w:t>
            </w:r>
          </w:p>
        </w:tc>
        <w:tc>
          <w:tcPr>
            <w:tcW w:w="709" w:type="dxa"/>
            <w:noWrap/>
            <w:vAlign w:val="bottom"/>
          </w:tcPr>
          <w:p w14:paraId="79AB3EEE" w14:textId="77777777" w:rsidR="00506791" w:rsidRPr="009F1E21" w:rsidRDefault="00506791" w:rsidP="00CE60CC">
            <w:pPr>
              <w:jc w:val="center"/>
              <w:rPr>
                <w:rFonts w:ascii="Calibri" w:hAnsi="Calibri" w:cs="Calibri"/>
                <w:sz w:val="20"/>
                <w:szCs w:val="20"/>
                <w:lang w:val="en-US"/>
              </w:rPr>
            </w:pPr>
          </w:p>
        </w:tc>
      </w:tr>
    </w:tbl>
    <w:p w14:paraId="6CDC2966" w14:textId="77777777" w:rsidR="00506791" w:rsidRPr="009F1E21" w:rsidRDefault="00506791" w:rsidP="00506791">
      <w:pPr>
        <w:spacing w:line="360" w:lineRule="auto"/>
        <w:rPr>
          <w:rFonts w:ascii="Calibri" w:hAnsi="Calibri" w:cs="Calibri"/>
          <w:sz w:val="20"/>
          <w:szCs w:val="20"/>
        </w:rPr>
      </w:pPr>
      <w:r w:rsidRPr="009F1E21">
        <w:rPr>
          <w:rFonts w:ascii="Calibri" w:hAnsi="Calibri" w:cs="Calibri"/>
          <w:sz w:val="20"/>
          <w:szCs w:val="20"/>
        </w:rPr>
        <w:t>Abbreviations: SAE: serious adverse event</w:t>
      </w:r>
    </w:p>
    <w:p w14:paraId="552D0CEA" w14:textId="77777777" w:rsidR="00506791" w:rsidRPr="009F1E21" w:rsidRDefault="00506791" w:rsidP="00506791">
      <w:pPr>
        <w:spacing w:line="360" w:lineRule="auto"/>
        <w:jc w:val="both"/>
        <w:rPr>
          <w:rFonts w:ascii="Calibri" w:hAnsi="Calibri" w:cs="Calibri"/>
          <w:sz w:val="20"/>
          <w:szCs w:val="20"/>
        </w:rPr>
      </w:pPr>
    </w:p>
    <w:p w14:paraId="3C554559" w14:textId="77777777" w:rsidR="00506791" w:rsidRPr="009F1E21" w:rsidRDefault="00506791" w:rsidP="00506791">
      <w:pPr>
        <w:spacing w:line="360" w:lineRule="auto"/>
        <w:jc w:val="both"/>
        <w:rPr>
          <w:rFonts w:ascii="Calibri" w:hAnsi="Calibri" w:cs="Calibri"/>
          <w:b/>
          <w:sz w:val="20"/>
          <w:szCs w:val="20"/>
        </w:rPr>
      </w:pPr>
    </w:p>
    <w:p w14:paraId="2E524717" w14:textId="77777777" w:rsidR="00506791" w:rsidRPr="009F1E21" w:rsidRDefault="00506791" w:rsidP="00506791">
      <w:pPr>
        <w:spacing w:line="360" w:lineRule="auto"/>
        <w:jc w:val="both"/>
        <w:rPr>
          <w:rFonts w:ascii="Calibri" w:hAnsi="Calibri" w:cs="Calibri"/>
          <w:b/>
          <w:sz w:val="20"/>
          <w:szCs w:val="20"/>
        </w:rPr>
      </w:pPr>
    </w:p>
    <w:p w14:paraId="257E1C71" w14:textId="77777777" w:rsidR="00506791" w:rsidRDefault="00506791" w:rsidP="00506791">
      <w:pPr>
        <w:spacing w:line="360" w:lineRule="auto"/>
        <w:jc w:val="center"/>
        <w:rPr>
          <w:rFonts w:ascii="Calibri" w:hAnsi="Calibri" w:cs="Calibri"/>
          <w:b/>
          <w:sz w:val="20"/>
          <w:szCs w:val="20"/>
        </w:rPr>
      </w:pPr>
    </w:p>
    <w:p w14:paraId="7215E1C8" w14:textId="77777777" w:rsidR="00506791" w:rsidRDefault="00506791" w:rsidP="00506791">
      <w:pPr>
        <w:spacing w:line="360" w:lineRule="auto"/>
        <w:jc w:val="center"/>
        <w:rPr>
          <w:rFonts w:ascii="Calibri" w:hAnsi="Calibri" w:cs="Calibri"/>
          <w:b/>
          <w:sz w:val="20"/>
          <w:szCs w:val="20"/>
        </w:rPr>
      </w:pPr>
    </w:p>
    <w:p w14:paraId="4C83A17A" w14:textId="77777777" w:rsidR="00506791" w:rsidRDefault="00506791" w:rsidP="00506791">
      <w:pPr>
        <w:spacing w:line="360" w:lineRule="auto"/>
        <w:jc w:val="center"/>
        <w:rPr>
          <w:rFonts w:ascii="Calibri" w:hAnsi="Calibri" w:cs="Calibri"/>
          <w:b/>
          <w:sz w:val="20"/>
          <w:szCs w:val="20"/>
        </w:rPr>
      </w:pPr>
    </w:p>
    <w:p w14:paraId="70D6ADD8" w14:textId="77777777" w:rsidR="00506791" w:rsidRDefault="00506791" w:rsidP="00506791">
      <w:pPr>
        <w:spacing w:line="360" w:lineRule="auto"/>
        <w:jc w:val="center"/>
        <w:rPr>
          <w:rFonts w:ascii="Calibri" w:hAnsi="Calibri" w:cs="Calibri"/>
          <w:b/>
          <w:sz w:val="20"/>
          <w:szCs w:val="20"/>
        </w:rPr>
      </w:pPr>
    </w:p>
    <w:p w14:paraId="76D82037" w14:textId="77777777" w:rsidR="00506791" w:rsidRDefault="00506791" w:rsidP="00506791">
      <w:pPr>
        <w:spacing w:line="360" w:lineRule="auto"/>
        <w:jc w:val="center"/>
        <w:rPr>
          <w:rFonts w:ascii="Calibri" w:hAnsi="Calibri" w:cs="Calibri"/>
          <w:b/>
          <w:sz w:val="20"/>
          <w:szCs w:val="20"/>
        </w:rPr>
      </w:pPr>
    </w:p>
    <w:p w14:paraId="5C58DBC9" w14:textId="77777777" w:rsidR="00506791" w:rsidRDefault="00506791" w:rsidP="00506791">
      <w:pPr>
        <w:spacing w:line="360" w:lineRule="auto"/>
        <w:jc w:val="center"/>
        <w:rPr>
          <w:rFonts w:ascii="Calibri" w:hAnsi="Calibri" w:cs="Calibri"/>
          <w:b/>
          <w:sz w:val="20"/>
          <w:szCs w:val="20"/>
        </w:rPr>
      </w:pPr>
    </w:p>
    <w:p w14:paraId="57F486F5" w14:textId="77777777" w:rsidR="00506791" w:rsidRDefault="00506791" w:rsidP="00506791">
      <w:pPr>
        <w:spacing w:line="360" w:lineRule="auto"/>
        <w:jc w:val="center"/>
        <w:rPr>
          <w:rFonts w:ascii="Calibri" w:hAnsi="Calibri" w:cs="Calibri"/>
          <w:b/>
          <w:sz w:val="20"/>
          <w:szCs w:val="20"/>
        </w:rPr>
      </w:pPr>
    </w:p>
    <w:p w14:paraId="5AEA5625" w14:textId="77777777" w:rsidR="00506791" w:rsidRDefault="00506791" w:rsidP="00506791">
      <w:pPr>
        <w:spacing w:line="360" w:lineRule="auto"/>
        <w:jc w:val="center"/>
        <w:rPr>
          <w:rFonts w:ascii="Calibri" w:hAnsi="Calibri" w:cs="Calibri"/>
          <w:b/>
          <w:sz w:val="20"/>
          <w:szCs w:val="20"/>
        </w:rPr>
      </w:pPr>
    </w:p>
    <w:p w14:paraId="6AF7ADEB" w14:textId="01D16352" w:rsidR="00506791" w:rsidRDefault="00506791" w:rsidP="00506791">
      <w:pPr>
        <w:spacing w:line="360" w:lineRule="auto"/>
        <w:jc w:val="center"/>
        <w:rPr>
          <w:rFonts w:ascii="Calibri" w:hAnsi="Calibri" w:cs="Calibri"/>
          <w:b/>
          <w:sz w:val="20"/>
          <w:szCs w:val="20"/>
        </w:rPr>
      </w:pPr>
    </w:p>
    <w:p w14:paraId="58DC02CD" w14:textId="77777777" w:rsidR="006205A4" w:rsidRDefault="006205A4" w:rsidP="00506791">
      <w:pPr>
        <w:spacing w:line="360" w:lineRule="auto"/>
        <w:jc w:val="center"/>
        <w:rPr>
          <w:rFonts w:ascii="Calibri" w:hAnsi="Calibri" w:cs="Calibri"/>
          <w:b/>
          <w:sz w:val="20"/>
          <w:szCs w:val="20"/>
        </w:rPr>
      </w:pPr>
    </w:p>
    <w:p w14:paraId="3AD80077" w14:textId="77777777" w:rsidR="00506791" w:rsidRDefault="00506791" w:rsidP="00506791">
      <w:pPr>
        <w:spacing w:line="360" w:lineRule="auto"/>
        <w:jc w:val="center"/>
        <w:rPr>
          <w:rFonts w:ascii="Calibri" w:hAnsi="Calibri" w:cs="Calibri"/>
          <w:b/>
          <w:sz w:val="20"/>
          <w:szCs w:val="20"/>
        </w:rPr>
      </w:pPr>
    </w:p>
    <w:p w14:paraId="0B96A4E2" w14:textId="77777777" w:rsidR="00506791" w:rsidRDefault="00506791" w:rsidP="00506791">
      <w:pPr>
        <w:spacing w:line="360" w:lineRule="auto"/>
        <w:jc w:val="center"/>
        <w:rPr>
          <w:rFonts w:ascii="Calibri" w:hAnsi="Calibri" w:cs="Calibri"/>
          <w:b/>
          <w:sz w:val="20"/>
          <w:szCs w:val="20"/>
        </w:rPr>
      </w:pPr>
    </w:p>
    <w:p w14:paraId="2D4028CD" w14:textId="77777777" w:rsidR="00506791" w:rsidRDefault="00506791" w:rsidP="00506791">
      <w:pPr>
        <w:spacing w:line="360" w:lineRule="auto"/>
        <w:jc w:val="center"/>
        <w:rPr>
          <w:rFonts w:ascii="Calibri" w:hAnsi="Calibri" w:cs="Calibri"/>
          <w:b/>
          <w:sz w:val="20"/>
          <w:szCs w:val="20"/>
        </w:rPr>
      </w:pPr>
    </w:p>
    <w:p w14:paraId="116A0AE1" w14:textId="77777777" w:rsidR="00506791" w:rsidRDefault="00506791" w:rsidP="00506791">
      <w:pPr>
        <w:spacing w:line="360" w:lineRule="auto"/>
        <w:jc w:val="center"/>
        <w:rPr>
          <w:rFonts w:ascii="Calibri" w:hAnsi="Calibri" w:cs="Calibri"/>
          <w:b/>
          <w:sz w:val="20"/>
          <w:szCs w:val="20"/>
        </w:rPr>
      </w:pPr>
      <w:r w:rsidRPr="009F1E21">
        <w:rPr>
          <w:rFonts w:ascii="Calibri" w:hAnsi="Calibri" w:cs="Calibri"/>
          <w:b/>
          <w:sz w:val="20"/>
          <w:szCs w:val="20"/>
        </w:rPr>
        <w:t xml:space="preserve">Table </w:t>
      </w:r>
      <w:r>
        <w:rPr>
          <w:rFonts w:ascii="Calibri" w:hAnsi="Calibri" w:cs="Calibri"/>
          <w:b/>
          <w:sz w:val="20"/>
          <w:szCs w:val="20"/>
        </w:rPr>
        <w:t>3 -</w:t>
      </w:r>
      <w:r w:rsidRPr="009F1E21">
        <w:rPr>
          <w:rFonts w:ascii="Calibri" w:hAnsi="Calibri" w:cs="Calibri"/>
          <w:b/>
          <w:sz w:val="20"/>
          <w:szCs w:val="20"/>
        </w:rPr>
        <w:t xml:space="preserve"> Adverse events (AEs) by cycle</w:t>
      </w:r>
    </w:p>
    <w:p w14:paraId="2C301B61" w14:textId="77777777" w:rsidR="00506791" w:rsidRDefault="00506791" w:rsidP="00506791">
      <w:pPr>
        <w:spacing w:line="360" w:lineRule="auto"/>
        <w:rPr>
          <w:rFonts w:ascii="Calibri" w:hAnsi="Calibri" w:cs="Calibri"/>
          <w:sz w:val="20"/>
          <w:szCs w:val="20"/>
        </w:rPr>
      </w:pPr>
    </w:p>
    <w:tbl>
      <w:tblPr>
        <w:tblpPr w:leftFromText="180" w:rightFromText="180" w:vertAnchor="text" w:horzAnchor="margin" w:tblpXSpec="center" w:tblpY="-155"/>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0"/>
        <w:gridCol w:w="709"/>
        <w:gridCol w:w="1559"/>
        <w:gridCol w:w="1418"/>
        <w:gridCol w:w="1275"/>
      </w:tblGrid>
      <w:tr w:rsidR="00506791" w:rsidRPr="009F1E21" w14:paraId="57FF3A57" w14:textId="77777777" w:rsidTr="00CE60CC">
        <w:trPr>
          <w:trHeight w:val="283"/>
        </w:trPr>
        <w:tc>
          <w:tcPr>
            <w:tcW w:w="2122" w:type="dxa"/>
            <w:shd w:val="clear" w:color="auto" w:fill="D0CECE" w:themeFill="background2" w:themeFillShade="E6"/>
            <w:vAlign w:val="bottom"/>
            <w:hideMark/>
          </w:tcPr>
          <w:p w14:paraId="4C971036" w14:textId="77777777" w:rsidR="00506791" w:rsidRPr="009F1E21" w:rsidRDefault="00506791" w:rsidP="00CE60CC">
            <w:pPr>
              <w:rPr>
                <w:rFonts w:ascii="Calibri" w:hAnsi="Calibri" w:cs="Calibri"/>
                <w:sz w:val="20"/>
                <w:szCs w:val="20"/>
                <w:highlight w:val="lightGray"/>
                <w:lang w:val="en-US"/>
              </w:rPr>
            </w:pPr>
            <w:r w:rsidRPr="009F1E21">
              <w:rPr>
                <w:rFonts w:ascii="Calibri" w:hAnsi="Calibri" w:cs="Calibri"/>
                <w:sz w:val="20"/>
                <w:szCs w:val="20"/>
                <w:highlight w:val="lightGray"/>
                <w:lang w:val="en-US"/>
              </w:rPr>
              <w:t> </w:t>
            </w:r>
          </w:p>
        </w:tc>
        <w:tc>
          <w:tcPr>
            <w:tcW w:w="850" w:type="dxa"/>
            <w:tcBorders>
              <w:right w:val="nil"/>
            </w:tcBorders>
            <w:shd w:val="clear" w:color="auto" w:fill="D0CECE" w:themeFill="background2" w:themeFillShade="E6"/>
          </w:tcPr>
          <w:p w14:paraId="5A55B564" w14:textId="77777777" w:rsidR="00506791" w:rsidRPr="009F1E21" w:rsidRDefault="00506791" w:rsidP="00CE60CC">
            <w:pPr>
              <w:jc w:val="center"/>
              <w:rPr>
                <w:rFonts w:ascii="Calibri" w:hAnsi="Calibri" w:cs="Calibri"/>
                <w:sz w:val="20"/>
                <w:szCs w:val="20"/>
                <w:highlight w:val="lightGray"/>
                <w:lang w:val="en-US"/>
              </w:rPr>
            </w:pPr>
          </w:p>
        </w:tc>
        <w:tc>
          <w:tcPr>
            <w:tcW w:w="4961" w:type="dxa"/>
            <w:gridSpan w:val="4"/>
            <w:tcBorders>
              <w:left w:val="nil"/>
            </w:tcBorders>
            <w:shd w:val="clear" w:color="auto" w:fill="D0CECE" w:themeFill="background2" w:themeFillShade="E6"/>
            <w:vAlign w:val="bottom"/>
            <w:hideMark/>
          </w:tcPr>
          <w:p w14:paraId="251CAC00" w14:textId="77777777" w:rsidR="00506791" w:rsidRPr="009F1E21" w:rsidRDefault="00506791" w:rsidP="00CE60CC">
            <w:pPr>
              <w:rPr>
                <w:rFonts w:ascii="Calibri" w:hAnsi="Calibri" w:cs="Calibri"/>
                <w:sz w:val="20"/>
                <w:szCs w:val="20"/>
                <w:highlight w:val="lightGray"/>
                <w:lang w:val="en-US"/>
              </w:rPr>
            </w:pPr>
            <w:r w:rsidRPr="009F1E21">
              <w:rPr>
                <w:rFonts w:ascii="Calibri" w:hAnsi="Calibri" w:cs="Calibri"/>
                <w:sz w:val="20"/>
                <w:szCs w:val="20"/>
                <w:highlight w:val="lightGray"/>
                <w:lang w:val="en-US"/>
              </w:rPr>
              <w:t>Frequency and absolute % per patient (n = 36)</w:t>
            </w:r>
          </w:p>
        </w:tc>
      </w:tr>
      <w:tr w:rsidR="00506791" w:rsidRPr="009F1E21" w14:paraId="3A0D41F7" w14:textId="77777777" w:rsidTr="00CE60CC">
        <w:trPr>
          <w:trHeight w:val="283"/>
        </w:trPr>
        <w:tc>
          <w:tcPr>
            <w:tcW w:w="2122" w:type="dxa"/>
            <w:vAlign w:val="bottom"/>
            <w:hideMark/>
          </w:tcPr>
          <w:p w14:paraId="756DFA3D" w14:textId="77777777" w:rsidR="00506791" w:rsidRPr="009F1E21" w:rsidRDefault="00506791" w:rsidP="00CE60CC">
            <w:pPr>
              <w:jc w:val="center"/>
              <w:rPr>
                <w:rFonts w:ascii="Calibri" w:hAnsi="Calibri" w:cs="Calibri"/>
                <w:b/>
                <w:bCs/>
                <w:sz w:val="20"/>
                <w:szCs w:val="20"/>
                <w:lang w:val="en-US"/>
              </w:rPr>
            </w:pPr>
            <w:r w:rsidRPr="009F1E21">
              <w:rPr>
                <w:rFonts w:ascii="Calibri" w:hAnsi="Calibri" w:cs="Calibri"/>
                <w:b/>
                <w:bCs/>
                <w:sz w:val="20"/>
                <w:szCs w:val="20"/>
                <w:lang w:val="en-US"/>
              </w:rPr>
              <w:t>Cycle Number</w:t>
            </w:r>
          </w:p>
        </w:tc>
        <w:tc>
          <w:tcPr>
            <w:tcW w:w="1559" w:type="dxa"/>
            <w:gridSpan w:val="2"/>
            <w:noWrap/>
            <w:vAlign w:val="bottom"/>
          </w:tcPr>
          <w:p w14:paraId="1725DFD0" w14:textId="77777777" w:rsidR="00506791" w:rsidRPr="009F1E21" w:rsidRDefault="00506791" w:rsidP="00CE60CC">
            <w:pPr>
              <w:jc w:val="center"/>
              <w:rPr>
                <w:rFonts w:ascii="Calibri" w:hAnsi="Calibri" w:cs="Calibri"/>
                <w:b/>
                <w:bCs/>
                <w:sz w:val="20"/>
                <w:szCs w:val="20"/>
                <w:lang w:val="en-US"/>
              </w:rPr>
            </w:pPr>
            <w:r w:rsidRPr="009F1E21">
              <w:rPr>
                <w:rFonts w:ascii="Calibri" w:hAnsi="Calibri" w:cs="Calibri"/>
                <w:b/>
                <w:bCs/>
                <w:sz w:val="20"/>
                <w:szCs w:val="20"/>
                <w:lang w:val="en-US"/>
              </w:rPr>
              <w:t>Overall</w:t>
            </w:r>
          </w:p>
        </w:tc>
        <w:tc>
          <w:tcPr>
            <w:tcW w:w="1559" w:type="dxa"/>
            <w:noWrap/>
            <w:vAlign w:val="bottom"/>
          </w:tcPr>
          <w:p w14:paraId="2307E689" w14:textId="77777777" w:rsidR="00506791" w:rsidRPr="009F1E21" w:rsidRDefault="00506791" w:rsidP="00CE60CC">
            <w:pPr>
              <w:jc w:val="center"/>
              <w:rPr>
                <w:rFonts w:ascii="Calibri" w:hAnsi="Calibri" w:cs="Calibri"/>
                <w:b/>
                <w:bCs/>
                <w:sz w:val="20"/>
                <w:szCs w:val="20"/>
                <w:lang w:val="en-US"/>
              </w:rPr>
            </w:pPr>
            <w:r w:rsidRPr="009F1E21">
              <w:rPr>
                <w:rFonts w:ascii="Calibri" w:hAnsi="Calibri" w:cs="Calibri"/>
                <w:b/>
                <w:bCs/>
                <w:sz w:val="20"/>
                <w:szCs w:val="20"/>
                <w:lang w:val="en-US"/>
              </w:rPr>
              <w:t>Yes</w:t>
            </w:r>
          </w:p>
        </w:tc>
        <w:tc>
          <w:tcPr>
            <w:tcW w:w="1418" w:type="dxa"/>
            <w:noWrap/>
            <w:vAlign w:val="bottom"/>
          </w:tcPr>
          <w:p w14:paraId="0123E38D" w14:textId="77777777" w:rsidR="00506791" w:rsidRPr="009F1E21" w:rsidRDefault="00506791" w:rsidP="00CE60CC">
            <w:pPr>
              <w:jc w:val="center"/>
              <w:rPr>
                <w:rFonts w:ascii="Calibri" w:hAnsi="Calibri" w:cs="Calibri"/>
                <w:b/>
                <w:bCs/>
                <w:sz w:val="20"/>
                <w:szCs w:val="20"/>
                <w:lang w:val="en-US"/>
              </w:rPr>
            </w:pPr>
            <w:r w:rsidRPr="009F1E21">
              <w:rPr>
                <w:rFonts w:ascii="Calibri" w:hAnsi="Calibri" w:cs="Calibri"/>
                <w:b/>
                <w:bCs/>
                <w:sz w:val="20"/>
                <w:szCs w:val="20"/>
                <w:lang w:val="en-US"/>
              </w:rPr>
              <w:t>No</w:t>
            </w:r>
          </w:p>
        </w:tc>
        <w:tc>
          <w:tcPr>
            <w:tcW w:w="1275" w:type="dxa"/>
            <w:noWrap/>
            <w:vAlign w:val="bottom"/>
          </w:tcPr>
          <w:p w14:paraId="58DD3A2A" w14:textId="77777777" w:rsidR="00506791" w:rsidRPr="009F1E21" w:rsidRDefault="00506791" w:rsidP="00CE60CC">
            <w:pPr>
              <w:jc w:val="center"/>
              <w:rPr>
                <w:rFonts w:ascii="Calibri" w:hAnsi="Calibri" w:cs="Calibri"/>
                <w:b/>
                <w:bCs/>
                <w:sz w:val="20"/>
                <w:szCs w:val="20"/>
                <w:lang w:val="en-US"/>
              </w:rPr>
            </w:pPr>
            <w:r w:rsidRPr="009F1E21">
              <w:rPr>
                <w:rFonts w:ascii="Calibri" w:hAnsi="Calibri" w:cs="Calibri"/>
                <w:b/>
                <w:bCs/>
                <w:sz w:val="20"/>
                <w:szCs w:val="20"/>
                <w:lang w:val="en-US"/>
              </w:rPr>
              <w:t>Missing</w:t>
            </w:r>
          </w:p>
        </w:tc>
      </w:tr>
      <w:tr w:rsidR="00506791" w:rsidRPr="009F1E21" w14:paraId="1BBD8CC5" w14:textId="77777777" w:rsidTr="00CE60CC">
        <w:trPr>
          <w:trHeight w:val="283"/>
        </w:trPr>
        <w:tc>
          <w:tcPr>
            <w:tcW w:w="2122" w:type="dxa"/>
            <w:noWrap/>
            <w:vAlign w:val="bottom"/>
          </w:tcPr>
          <w:p w14:paraId="29A86478"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sz w:val="20"/>
                <w:szCs w:val="20"/>
                <w:lang w:val="en-US"/>
              </w:rPr>
              <w:t>1</w:t>
            </w:r>
          </w:p>
        </w:tc>
        <w:tc>
          <w:tcPr>
            <w:tcW w:w="1559" w:type="dxa"/>
            <w:gridSpan w:val="2"/>
            <w:noWrap/>
            <w:vAlign w:val="center"/>
          </w:tcPr>
          <w:p w14:paraId="3C230ADD" w14:textId="77777777" w:rsidR="00506791" w:rsidRPr="009F1E21" w:rsidRDefault="00506791" w:rsidP="00CE60CC">
            <w:pPr>
              <w:jc w:val="center"/>
              <w:rPr>
                <w:rFonts w:ascii="Calibri" w:hAnsi="Calibri" w:cs="Calibri"/>
                <w:sz w:val="20"/>
                <w:szCs w:val="20"/>
                <w:lang w:val="en-US"/>
              </w:rPr>
            </w:pPr>
            <w:r w:rsidRPr="009F1E21">
              <w:rPr>
                <w:rStyle w:val="textcell"/>
                <w:rFonts w:ascii="Calibri" w:hAnsi="Calibri" w:cs="Calibri"/>
                <w:color w:val="000000"/>
                <w:sz w:val="20"/>
                <w:szCs w:val="20"/>
              </w:rPr>
              <w:t>36 (100%)</w:t>
            </w:r>
          </w:p>
        </w:tc>
        <w:tc>
          <w:tcPr>
            <w:tcW w:w="1559" w:type="dxa"/>
            <w:noWrap/>
            <w:vAlign w:val="center"/>
          </w:tcPr>
          <w:p w14:paraId="27648DC3" w14:textId="77777777" w:rsidR="00506791" w:rsidRPr="009F1E21" w:rsidRDefault="00506791" w:rsidP="00CE60CC">
            <w:pPr>
              <w:jc w:val="center"/>
              <w:rPr>
                <w:rFonts w:ascii="Calibri" w:hAnsi="Calibri" w:cs="Calibri"/>
                <w:sz w:val="20"/>
                <w:szCs w:val="20"/>
                <w:lang w:val="en-US"/>
              </w:rPr>
            </w:pPr>
            <w:r w:rsidRPr="009F1E21">
              <w:rPr>
                <w:rStyle w:val="textcell"/>
                <w:rFonts w:ascii="Calibri" w:hAnsi="Calibri" w:cs="Calibri"/>
                <w:color w:val="000000"/>
                <w:sz w:val="20"/>
                <w:szCs w:val="20"/>
              </w:rPr>
              <w:t>33 (92%)</w:t>
            </w:r>
          </w:p>
        </w:tc>
        <w:tc>
          <w:tcPr>
            <w:tcW w:w="1418" w:type="dxa"/>
            <w:noWrap/>
            <w:vAlign w:val="center"/>
          </w:tcPr>
          <w:p w14:paraId="579F44A2" w14:textId="77777777" w:rsidR="00506791" w:rsidRPr="009F1E21" w:rsidRDefault="00506791" w:rsidP="00CE60CC">
            <w:pPr>
              <w:jc w:val="center"/>
              <w:rPr>
                <w:rFonts w:ascii="Calibri" w:hAnsi="Calibri" w:cs="Calibri"/>
                <w:sz w:val="20"/>
                <w:szCs w:val="20"/>
                <w:lang w:val="en-US"/>
              </w:rPr>
            </w:pPr>
            <w:r w:rsidRPr="009F1E21">
              <w:rPr>
                <w:rStyle w:val="textcell"/>
                <w:rFonts w:ascii="Calibri" w:hAnsi="Calibri" w:cs="Calibri"/>
                <w:color w:val="000000"/>
                <w:sz w:val="20"/>
                <w:szCs w:val="20"/>
              </w:rPr>
              <w:t>3 (8%)</w:t>
            </w:r>
          </w:p>
        </w:tc>
        <w:tc>
          <w:tcPr>
            <w:tcW w:w="1275" w:type="dxa"/>
            <w:noWrap/>
            <w:vAlign w:val="center"/>
          </w:tcPr>
          <w:p w14:paraId="1418F00B" w14:textId="77777777" w:rsidR="00506791" w:rsidRPr="009F1E21" w:rsidRDefault="00506791" w:rsidP="00CE60CC">
            <w:pPr>
              <w:jc w:val="center"/>
              <w:rPr>
                <w:rFonts w:ascii="Calibri" w:hAnsi="Calibri" w:cs="Calibri"/>
                <w:sz w:val="20"/>
                <w:szCs w:val="20"/>
                <w:lang w:val="en-US"/>
              </w:rPr>
            </w:pPr>
            <w:r w:rsidRPr="009F1E21">
              <w:rPr>
                <w:rStyle w:val="textcell"/>
                <w:rFonts w:ascii="Calibri" w:hAnsi="Calibri" w:cs="Calibri"/>
                <w:color w:val="000000"/>
                <w:sz w:val="20"/>
                <w:szCs w:val="20"/>
              </w:rPr>
              <w:t>0 (0%)</w:t>
            </w:r>
          </w:p>
        </w:tc>
      </w:tr>
      <w:tr w:rsidR="00506791" w:rsidRPr="009F1E21" w14:paraId="6075DA3E" w14:textId="77777777" w:rsidTr="00CE60CC">
        <w:trPr>
          <w:trHeight w:val="283"/>
        </w:trPr>
        <w:tc>
          <w:tcPr>
            <w:tcW w:w="2122" w:type="dxa"/>
            <w:noWrap/>
            <w:vAlign w:val="bottom"/>
          </w:tcPr>
          <w:p w14:paraId="51CE32F0"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sz w:val="20"/>
                <w:szCs w:val="20"/>
                <w:lang w:val="en-US"/>
              </w:rPr>
              <w:t>2</w:t>
            </w:r>
          </w:p>
        </w:tc>
        <w:tc>
          <w:tcPr>
            <w:tcW w:w="1559" w:type="dxa"/>
            <w:gridSpan w:val="2"/>
            <w:noWrap/>
            <w:vAlign w:val="center"/>
          </w:tcPr>
          <w:p w14:paraId="6E850510" w14:textId="77777777" w:rsidR="00506791" w:rsidRPr="009F1E21" w:rsidRDefault="00506791" w:rsidP="00CE60CC">
            <w:pPr>
              <w:jc w:val="center"/>
              <w:rPr>
                <w:rFonts w:ascii="Calibri" w:hAnsi="Calibri" w:cs="Calibri"/>
                <w:color w:val="000000"/>
                <w:sz w:val="20"/>
                <w:szCs w:val="20"/>
              </w:rPr>
            </w:pPr>
            <w:r w:rsidRPr="009F1E21">
              <w:rPr>
                <w:rStyle w:val="textcell"/>
                <w:rFonts w:ascii="Calibri" w:hAnsi="Calibri" w:cs="Calibri"/>
                <w:color w:val="000000"/>
                <w:sz w:val="20"/>
                <w:szCs w:val="20"/>
              </w:rPr>
              <w:t>25 (69%)</w:t>
            </w:r>
          </w:p>
        </w:tc>
        <w:tc>
          <w:tcPr>
            <w:tcW w:w="1559" w:type="dxa"/>
            <w:noWrap/>
            <w:vAlign w:val="center"/>
          </w:tcPr>
          <w:p w14:paraId="00203BE4" w14:textId="77777777" w:rsidR="00506791" w:rsidRPr="009F1E21" w:rsidRDefault="00506791" w:rsidP="00CE60CC">
            <w:pPr>
              <w:jc w:val="center"/>
              <w:rPr>
                <w:rFonts w:ascii="Calibri" w:hAnsi="Calibri" w:cs="Calibri"/>
                <w:color w:val="000000"/>
                <w:sz w:val="20"/>
                <w:szCs w:val="20"/>
              </w:rPr>
            </w:pPr>
            <w:r w:rsidRPr="009F1E21">
              <w:rPr>
                <w:rStyle w:val="textcell"/>
                <w:rFonts w:ascii="Calibri" w:hAnsi="Calibri" w:cs="Calibri"/>
                <w:color w:val="000000"/>
                <w:sz w:val="20"/>
                <w:szCs w:val="20"/>
              </w:rPr>
              <w:t>22 (61%)</w:t>
            </w:r>
          </w:p>
        </w:tc>
        <w:tc>
          <w:tcPr>
            <w:tcW w:w="1418" w:type="dxa"/>
            <w:noWrap/>
            <w:vAlign w:val="center"/>
          </w:tcPr>
          <w:p w14:paraId="6FA63DB7" w14:textId="77777777" w:rsidR="00506791" w:rsidRPr="009F1E21" w:rsidRDefault="00506791" w:rsidP="00CE60CC">
            <w:pPr>
              <w:jc w:val="center"/>
              <w:rPr>
                <w:rFonts w:ascii="Calibri" w:hAnsi="Calibri" w:cs="Calibri"/>
                <w:color w:val="000000"/>
                <w:sz w:val="20"/>
                <w:szCs w:val="20"/>
              </w:rPr>
            </w:pPr>
            <w:r w:rsidRPr="009F1E21">
              <w:rPr>
                <w:rStyle w:val="textcell"/>
                <w:rFonts w:ascii="Calibri" w:hAnsi="Calibri" w:cs="Calibri"/>
                <w:color w:val="000000"/>
                <w:sz w:val="20"/>
                <w:szCs w:val="20"/>
              </w:rPr>
              <w:t>1 (3%)</w:t>
            </w:r>
          </w:p>
        </w:tc>
        <w:tc>
          <w:tcPr>
            <w:tcW w:w="1275" w:type="dxa"/>
            <w:noWrap/>
            <w:vAlign w:val="center"/>
          </w:tcPr>
          <w:p w14:paraId="579A95E8" w14:textId="77777777" w:rsidR="00506791" w:rsidRPr="009F1E21" w:rsidRDefault="00506791" w:rsidP="00CE60CC">
            <w:pPr>
              <w:jc w:val="center"/>
              <w:rPr>
                <w:rFonts w:ascii="Calibri" w:hAnsi="Calibri" w:cs="Calibri"/>
                <w:color w:val="000000"/>
                <w:sz w:val="20"/>
                <w:szCs w:val="20"/>
              </w:rPr>
            </w:pPr>
            <w:r w:rsidRPr="009F1E21">
              <w:rPr>
                <w:rStyle w:val="textcell"/>
                <w:rFonts w:ascii="Calibri" w:hAnsi="Calibri" w:cs="Calibri"/>
                <w:color w:val="000000"/>
                <w:sz w:val="20"/>
                <w:szCs w:val="20"/>
              </w:rPr>
              <w:t>2 (6%)</w:t>
            </w:r>
          </w:p>
        </w:tc>
      </w:tr>
      <w:tr w:rsidR="00506791" w:rsidRPr="009F1E21" w14:paraId="4D0E9A30" w14:textId="77777777" w:rsidTr="00CE60CC">
        <w:trPr>
          <w:trHeight w:val="283"/>
        </w:trPr>
        <w:tc>
          <w:tcPr>
            <w:tcW w:w="2122" w:type="dxa"/>
            <w:noWrap/>
            <w:vAlign w:val="bottom"/>
          </w:tcPr>
          <w:p w14:paraId="24426B1F"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sz w:val="20"/>
                <w:szCs w:val="20"/>
                <w:lang w:val="en-US"/>
              </w:rPr>
              <w:t>3</w:t>
            </w:r>
          </w:p>
        </w:tc>
        <w:tc>
          <w:tcPr>
            <w:tcW w:w="1559" w:type="dxa"/>
            <w:gridSpan w:val="2"/>
            <w:noWrap/>
            <w:vAlign w:val="center"/>
          </w:tcPr>
          <w:p w14:paraId="23143BA3" w14:textId="77777777" w:rsidR="00506791" w:rsidRPr="009F1E21" w:rsidRDefault="00506791" w:rsidP="00CE60CC">
            <w:pPr>
              <w:jc w:val="center"/>
              <w:rPr>
                <w:rFonts w:ascii="Calibri" w:hAnsi="Calibri" w:cs="Calibri"/>
                <w:sz w:val="20"/>
                <w:szCs w:val="20"/>
                <w:lang w:val="en-US"/>
              </w:rPr>
            </w:pPr>
            <w:r w:rsidRPr="009F1E21">
              <w:rPr>
                <w:rStyle w:val="textcell"/>
                <w:rFonts w:ascii="Calibri" w:hAnsi="Calibri" w:cs="Calibri"/>
                <w:color w:val="000000"/>
                <w:sz w:val="20"/>
                <w:szCs w:val="20"/>
              </w:rPr>
              <w:t>11 (31%)</w:t>
            </w:r>
          </w:p>
        </w:tc>
        <w:tc>
          <w:tcPr>
            <w:tcW w:w="1559" w:type="dxa"/>
            <w:noWrap/>
            <w:vAlign w:val="center"/>
          </w:tcPr>
          <w:p w14:paraId="5A40989B" w14:textId="77777777" w:rsidR="00506791" w:rsidRPr="009F1E21" w:rsidRDefault="00506791" w:rsidP="00CE60CC">
            <w:pPr>
              <w:jc w:val="center"/>
              <w:rPr>
                <w:rFonts w:ascii="Calibri" w:hAnsi="Calibri" w:cs="Calibri"/>
                <w:sz w:val="20"/>
                <w:szCs w:val="20"/>
                <w:lang w:val="en-US"/>
              </w:rPr>
            </w:pPr>
            <w:r w:rsidRPr="009F1E21">
              <w:rPr>
                <w:rStyle w:val="textcell"/>
                <w:rFonts w:ascii="Calibri" w:hAnsi="Calibri" w:cs="Calibri"/>
                <w:color w:val="000000"/>
                <w:sz w:val="20"/>
                <w:szCs w:val="20"/>
              </w:rPr>
              <w:t>7 (19%)</w:t>
            </w:r>
          </w:p>
        </w:tc>
        <w:tc>
          <w:tcPr>
            <w:tcW w:w="1418" w:type="dxa"/>
            <w:noWrap/>
            <w:vAlign w:val="center"/>
          </w:tcPr>
          <w:p w14:paraId="7B2B5B94" w14:textId="77777777" w:rsidR="00506791" w:rsidRPr="009F1E21" w:rsidRDefault="00506791" w:rsidP="00CE60CC">
            <w:pPr>
              <w:jc w:val="center"/>
              <w:rPr>
                <w:rFonts w:ascii="Calibri" w:hAnsi="Calibri" w:cs="Calibri"/>
                <w:sz w:val="20"/>
                <w:szCs w:val="20"/>
                <w:lang w:val="en-US"/>
              </w:rPr>
            </w:pPr>
            <w:r w:rsidRPr="009F1E21">
              <w:rPr>
                <w:rStyle w:val="textcell"/>
                <w:rFonts w:ascii="Calibri" w:hAnsi="Calibri" w:cs="Calibri"/>
                <w:color w:val="000000"/>
                <w:sz w:val="20"/>
                <w:szCs w:val="20"/>
              </w:rPr>
              <w:t>2 (6%)</w:t>
            </w:r>
          </w:p>
        </w:tc>
        <w:tc>
          <w:tcPr>
            <w:tcW w:w="1275" w:type="dxa"/>
            <w:noWrap/>
            <w:vAlign w:val="center"/>
          </w:tcPr>
          <w:p w14:paraId="496544D6" w14:textId="77777777" w:rsidR="00506791" w:rsidRPr="009F1E21" w:rsidRDefault="00506791" w:rsidP="00CE60CC">
            <w:pPr>
              <w:jc w:val="center"/>
              <w:rPr>
                <w:rFonts w:ascii="Calibri" w:hAnsi="Calibri" w:cs="Calibri"/>
                <w:sz w:val="20"/>
                <w:szCs w:val="20"/>
                <w:lang w:val="en-US"/>
              </w:rPr>
            </w:pPr>
            <w:r w:rsidRPr="009F1E21">
              <w:rPr>
                <w:rStyle w:val="textcell"/>
                <w:rFonts w:ascii="Calibri" w:hAnsi="Calibri" w:cs="Calibri"/>
                <w:color w:val="000000"/>
                <w:sz w:val="20"/>
                <w:szCs w:val="20"/>
              </w:rPr>
              <w:t>2 (6%)</w:t>
            </w:r>
          </w:p>
        </w:tc>
      </w:tr>
      <w:tr w:rsidR="00506791" w:rsidRPr="009F1E21" w14:paraId="1A7CA2AE" w14:textId="77777777" w:rsidTr="00CE60CC">
        <w:trPr>
          <w:trHeight w:val="283"/>
        </w:trPr>
        <w:tc>
          <w:tcPr>
            <w:tcW w:w="2122" w:type="dxa"/>
            <w:noWrap/>
            <w:vAlign w:val="bottom"/>
          </w:tcPr>
          <w:p w14:paraId="443DF21D"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sz w:val="20"/>
                <w:szCs w:val="20"/>
                <w:lang w:val="en-US"/>
              </w:rPr>
              <w:t>4</w:t>
            </w:r>
          </w:p>
        </w:tc>
        <w:tc>
          <w:tcPr>
            <w:tcW w:w="1559" w:type="dxa"/>
            <w:gridSpan w:val="2"/>
            <w:noWrap/>
            <w:vAlign w:val="center"/>
          </w:tcPr>
          <w:p w14:paraId="177E11BD" w14:textId="77777777" w:rsidR="00506791" w:rsidRPr="009F1E21" w:rsidRDefault="00506791" w:rsidP="00CE60CC">
            <w:pPr>
              <w:jc w:val="center"/>
              <w:rPr>
                <w:rFonts w:ascii="Calibri" w:hAnsi="Calibri" w:cs="Calibri"/>
                <w:sz w:val="20"/>
                <w:szCs w:val="20"/>
                <w:lang w:val="en-US"/>
              </w:rPr>
            </w:pPr>
            <w:r w:rsidRPr="009F1E21">
              <w:rPr>
                <w:rStyle w:val="textcell"/>
                <w:rFonts w:ascii="Calibri" w:hAnsi="Calibri" w:cs="Calibri"/>
                <w:color w:val="000000"/>
                <w:sz w:val="20"/>
                <w:szCs w:val="20"/>
              </w:rPr>
              <w:t>10 (28%)</w:t>
            </w:r>
          </w:p>
        </w:tc>
        <w:tc>
          <w:tcPr>
            <w:tcW w:w="1559" w:type="dxa"/>
            <w:noWrap/>
            <w:vAlign w:val="center"/>
          </w:tcPr>
          <w:p w14:paraId="5A7B32E9" w14:textId="77777777" w:rsidR="00506791" w:rsidRPr="009F1E21" w:rsidRDefault="00506791" w:rsidP="00CE60CC">
            <w:pPr>
              <w:jc w:val="center"/>
              <w:rPr>
                <w:rFonts w:ascii="Calibri" w:hAnsi="Calibri" w:cs="Calibri"/>
                <w:sz w:val="20"/>
                <w:szCs w:val="20"/>
                <w:lang w:val="en-US"/>
              </w:rPr>
            </w:pPr>
            <w:r w:rsidRPr="009F1E21">
              <w:rPr>
                <w:rStyle w:val="textcell"/>
                <w:rFonts w:ascii="Calibri" w:hAnsi="Calibri" w:cs="Calibri"/>
                <w:color w:val="000000"/>
                <w:sz w:val="20"/>
                <w:szCs w:val="20"/>
              </w:rPr>
              <w:t>5 (14%)</w:t>
            </w:r>
          </w:p>
        </w:tc>
        <w:tc>
          <w:tcPr>
            <w:tcW w:w="1418" w:type="dxa"/>
            <w:noWrap/>
            <w:vAlign w:val="center"/>
          </w:tcPr>
          <w:p w14:paraId="435CF7C6" w14:textId="77777777" w:rsidR="00506791" w:rsidRPr="009F1E21" w:rsidRDefault="00506791" w:rsidP="00CE60CC">
            <w:pPr>
              <w:jc w:val="center"/>
              <w:rPr>
                <w:rFonts w:ascii="Calibri" w:hAnsi="Calibri" w:cs="Calibri"/>
                <w:sz w:val="20"/>
                <w:szCs w:val="20"/>
                <w:lang w:val="en-US"/>
              </w:rPr>
            </w:pPr>
            <w:r w:rsidRPr="009F1E21">
              <w:rPr>
                <w:rStyle w:val="textcell"/>
                <w:rFonts w:ascii="Calibri" w:hAnsi="Calibri" w:cs="Calibri"/>
                <w:color w:val="000000"/>
                <w:sz w:val="20"/>
                <w:szCs w:val="20"/>
              </w:rPr>
              <w:t>0 (0%)</w:t>
            </w:r>
          </w:p>
        </w:tc>
        <w:tc>
          <w:tcPr>
            <w:tcW w:w="1275" w:type="dxa"/>
            <w:noWrap/>
            <w:vAlign w:val="center"/>
          </w:tcPr>
          <w:p w14:paraId="609A4CAE" w14:textId="77777777" w:rsidR="00506791" w:rsidRPr="009F1E21" w:rsidRDefault="00506791" w:rsidP="00CE60CC">
            <w:pPr>
              <w:jc w:val="center"/>
              <w:rPr>
                <w:rFonts w:ascii="Calibri" w:hAnsi="Calibri" w:cs="Calibri"/>
                <w:sz w:val="20"/>
                <w:szCs w:val="20"/>
                <w:lang w:val="en-US"/>
              </w:rPr>
            </w:pPr>
            <w:r w:rsidRPr="009F1E21">
              <w:rPr>
                <w:rStyle w:val="textcell"/>
                <w:rFonts w:ascii="Calibri" w:hAnsi="Calibri" w:cs="Calibri"/>
                <w:color w:val="000000"/>
                <w:sz w:val="20"/>
                <w:szCs w:val="20"/>
              </w:rPr>
              <w:t>5 (14%)</w:t>
            </w:r>
          </w:p>
        </w:tc>
      </w:tr>
      <w:tr w:rsidR="00506791" w:rsidRPr="009F1E21" w14:paraId="6ED0AF56" w14:textId="77777777" w:rsidTr="00CE60CC">
        <w:trPr>
          <w:trHeight w:val="283"/>
        </w:trPr>
        <w:tc>
          <w:tcPr>
            <w:tcW w:w="2122" w:type="dxa"/>
            <w:noWrap/>
            <w:vAlign w:val="bottom"/>
          </w:tcPr>
          <w:p w14:paraId="3A799D2A"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sz w:val="20"/>
                <w:szCs w:val="20"/>
                <w:lang w:val="en-US"/>
              </w:rPr>
              <w:t>5</w:t>
            </w:r>
          </w:p>
        </w:tc>
        <w:tc>
          <w:tcPr>
            <w:tcW w:w="1559" w:type="dxa"/>
            <w:gridSpan w:val="2"/>
            <w:noWrap/>
            <w:vAlign w:val="center"/>
          </w:tcPr>
          <w:p w14:paraId="668F37B0" w14:textId="77777777" w:rsidR="00506791" w:rsidRPr="009F1E21" w:rsidRDefault="00506791" w:rsidP="00CE60CC">
            <w:pPr>
              <w:jc w:val="center"/>
              <w:rPr>
                <w:rFonts w:ascii="Calibri" w:hAnsi="Calibri" w:cs="Calibri"/>
                <w:sz w:val="20"/>
                <w:szCs w:val="20"/>
                <w:lang w:val="en-US"/>
              </w:rPr>
            </w:pPr>
            <w:r w:rsidRPr="009F1E21">
              <w:rPr>
                <w:rStyle w:val="textcell"/>
                <w:rFonts w:ascii="Calibri" w:hAnsi="Calibri" w:cs="Calibri"/>
                <w:color w:val="000000"/>
                <w:sz w:val="20"/>
                <w:szCs w:val="20"/>
              </w:rPr>
              <w:t>7 (19%)</w:t>
            </w:r>
          </w:p>
        </w:tc>
        <w:tc>
          <w:tcPr>
            <w:tcW w:w="1559" w:type="dxa"/>
            <w:noWrap/>
            <w:vAlign w:val="center"/>
          </w:tcPr>
          <w:p w14:paraId="1F583634" w14:textId="77777777" w:rsidR="00506791" w:rsidRPr="009F1E21" w:rsidRDefault="00506791" w:rsidP="00CE60CC">
            <w:pPr>
              <w:jc w:val="center"/>
              <w:rPr>
                <w:rFonts w:ascii="Calibri" w:hAnsi="Calibri" w:cs="Calibri"/>
                <w:sz w:val="20"/>
                <w:szCs w:val="20"/>
                <w:lang w:val="en-US"/>
              </w:rPr>
            </w:pPr>
            <w:r w:rsidRPr="009F1E21">
              <w:rPr>
                <w:rStyle w:val="textcell"/>
                <w:rFonts w:ascii="Calibri" w:hAnsi="Calibri" w:cs="Calibri"/>
                <w:color w:val="000000"/>
                <w:sz w:val="20"/>
                <w:szCs w:val="20"/>
              </w:rPr>
              <w:t>5 (14%)</w:t>
            </w:r>
          </w:p>
        </w:tc>
        <w:tc>
          <w:tcPr>
            <w:tcW w:w="1418" w:type="dxa"/>
            <w:noWrap/>
            <w:vAlign w:val="center"/>
          </w:tcPr>
          <w:p w14:paraId="16242583" w14:textId="77777777" w:rsidR="00506791" w:rsidRPr="009F1E21" w:rsidRDefault="00506791" w:rsidP="00CE60CC">
            <w:pPr>
              <w:jc w:val="center"/>
              <w:rPr>
                <w:rFonts w:ascii="Calibri" w:hAnsi="Calibri" w:cs="Calibri"/>
                <w:sz w:val="20"/>
                <w:szCs w:val="20"/>
                <w:lang w:val="en-US"/>
              </w:rPr>
            </w:pPr>
            <w:r w:rsidRPr="009F1E21">
              <w:rPr>
                <w:rStyle w:val="textcell"/>
                <w:rFonts w:ascii="Calibri" w:hAnsi="Calibri" w:cs="Calibri"/>
                <w:color w:val="000000"/>
                <w:sz w:val="20"/>
                <w:szCs w:val="20"/>
              </w:rPr>
              <w:t>0 (0%)</w:t>
            </w:r>
          </w:p>
        </w:tc>
        <w:tc>
          <w:tcPr>
            <w:tcW w:w="1275" w:type="dxa"/>
            <w:noWrap/>
            <w:vAlign w:val="center"/>
          </w:tcPr>
          <w:p w14:paraId="03BFC40C" w14:textId="77777777" w:rsidR="00506791" w:rsidRPr="009F1E21" w:rsidRDefault="00506791" w:rsidP="00CE60CC">
            <w:pPr>
              <w:jc w:val="center"/>
              <w:rPr>
                <w:rFonts w:ascii="Calibri" w:hAnsi="Calibri" w:cs="Calibri"/>
                <w:sz w:val="20"/>
                <w:szCs w:val="20"/>
                <w:lang w:val="en-US"/>
              </w:rPr>
            </w:pPr>
            <w:r w:rsidRPr="009F1E21">
              <w:rPr>
                <w:rStyle w:val="textcell"/>
                <w:rFonts w:ascii="Calibri" w:hAnsi="Calibri" w:cs="Calibri"/>
                <w:color w:val="000000"/>
                <w:sz w:val="20"/>
                <w:szCs w:val="20"/>
              </w:rPr>
              <w:t>2 (6%)</w:t>
            </w:r>
          </w:p>
        </w:tc>
      </w:tr>
      <w:tr w:rsidR="00506791" w:rsidRPr="009F1E21" w14:paraId="1771F166" w14:textId="77777777" w:rsidTr="00CE60CC">
        <w:trPr>
          <w:trHeight w:val="283"/>
        </w:trPr>
        <w:tc>
          <w:tcPr>
            <w:tcW w:w="2122" w:type="dxa"/>
            <w:noWrap/>
            <w:vAlign w:val="bottom"/>
          </w:tcPr>
          <w:p w14:paraId="56E3722C" w14:textId="77777777" w:rsidR="00506791" w:rsidRPr="009F1E21" w:rsidRDefault="00506791" w:rsidP="00CE60CC">
            <w:pPr>
              <w:jc w:val="center"/>
              <w:rPr>
                <w:rFonts w:ascii="Calibri" w:hAnsi="Calibri" w:cs="Calibri"/>
                <w:sz w:val="20"/>
                <w:szCs w:val="20"/>
                <w:lang w:val="en-US"/>
              </w:rPr>
            </w:pPr>
            <w:r w:rsidRPr="009F1E21">
              <w:rPr>
                <w:rFonts w:ascii="Calibri" w:hAnsi="Calibri" w:cs="Calibri"/>
                <w:sz w:val="20"/>
                <w:szCs w:val="20"/>
                <w:lang w:val="en-US"/>
              </w:rPr>
              <w:t>6</w:t>
            </w:r>
          </w:p>
        </w:tc>
        <w:tc>
          <w:tcPr>
            <w:tcW w:w="1559" w:type="dxa"/>
            <w:gridSpan w:val="2"/>
            <w:noWrap/>
            <w:vAlign w:val="center"/>
          </w:tcPr>
          <w:p w14:paraId="6E9FEC9B" w14:textId="77777777" w:rsidR="00506791" w:rsidRPr="009F1E21" w:rsidRDefault="00506791" w:rsidP="00CE60CC">
            <w:pPr>
              <w:jc w:val="center"/>
              <w:rPr>
                <w:rFonts w:ascii="Calibri" w:hAnsi="Calibri" w:cs="Calibri"/>
                <w:sz w:val="20"/>
                <w:szCs w:val="20"/>
                <w:lang w:val="en-US"/>
              </w:rPr>
            </w:pPr>
            <w:r w:rsidRPr="009F1E21">
              <w:rPr>
                <w:rStyle w:val="textcell"/>
                <w:rFonts w:ascii="Calibri" w:hAnsi="Calibri" w:cs="Calibri"/>
                <w:color w:val="000000"/>
                <w:sz w:val="20"/>
                <w:szCs w:val="20"/>
              </w:rPr>
              <w:t>6 (17%)</w:t>
            </w:r>
          </w:p>
        </w:tc>
        <w:tc>
          <w:tcPr>
            <w:tcW w:w="1559" w:type="dxa"/>
            <w:noWrap/>
            <w:vAlign w:val="center"/>
          </w:tcPr>
          <w:p w14:paraId="0844E25C" w14:textId="77777777" w:rsidR="00506791" w:rsidRPr="009F1E21" w:rsidRDefault="00506791" w:rsidP="00CE60CC">
            <w:pPr>
              <w:jc w:val="center"/>
              <w:rPr>
                <w:rFonts w:ascii="Calibri" w:hAnsi="Calibri" w:cs="Calibri"/>
                <w:sz w:val="20"/>
                <w:szCs w:val="20"/>
                <w:lang w:val="en-US"/>
              </w:rPr>
            </w:pPr>
            <w:r w:rsidRPr="009F1E21">
              <w:rPr>
                <w:rStyle w:val="textcell"/>
                <w:rFonts w:ascii="Calibri" w:hAnsi="Calibri" w:cs="Calibri"/>
                <w:color w:val="000000"/>
                <w:sz w:val="20"/>
                <w:szCs w:val="20"/>
              </w:rPr>
              <w:t>5 (14%)</w:t>
            </w:r>
          </w:p>
        </w:tc>
        <w:tc>
          <w:tcPr>
            <w:tcW w:w="1418" w:type="dxa"/>
            <w:noWrap/>
            <w:vAlign w:val="center"/>
          </w:tcPr>
          <w:p w14:paraId="55AC9433" w14:textId="77777777" w:rsidR="00506791" w:rsidRPr="009F1E21" w:rsidRDefault="00506791" w:rsidP="00CE60CC">
            <w:pPr>
              <w:jc w:val="center"/>
              <w:rPr>
                <w:rFonts w:ascii="Calibri" w:hAnsi="Calibri" w:cs="Calibri"/>
                <w:sz w:val="20"/>
                <w:szCs w:val="20"/>
                <w:lang w:val="en-US"/>
              </w:rPr>
            </w:pPr>
            <w:r w:rsidRPr="009F1E21">
              <w:rPr>
                <w:rStyle w:val="textcell"/>
                <w:rFonts w:ascii="Calibri" w:hAnsi="Calibri" w:cs="Calibri"/>
                <w:color w:val="000000"/>
                <w:sz w:val="20"/>
                <w:szCs w:val="20"/>
              </w:rPr>
              <w:t>0 (0%)</w:t>
            </w:r>
          </w:p>
        </w:tc>
        <w:tc>
          <w:tcPr>
            <w:tcW w:w="1275" w:type="dxa"/>
            <w:noWrap/>
            <w:vAlign w:val="center"/>
          </w:tcPr>
          <w:p w14:paraId="58BE4BE2" w14:textId="77777777" w:rsidR="00506791" w:rsidRPr="009F1E21" w:rsidRDefault="00506791" w:rsidP="00CE60CC">
            <w:pPr>
              <w:jc w:val="center"/>
              <w:rPr>
                <w:rFonts w:ascii="Calibri" w:hAnsi="Calibri" w:cs="Calibri"/>
                <w:sz w:val="20"/>
                <w:szCs w:val="20"/>
                <w:lang w:val="en-US"/>
              </w:rPr>
            </w:pPr>
            <w:r w:rsidRPr="009F1E21">
              <w:rPr>
                <w:rStyle w:val="textcell"/>
                <w:rFonts w:ascii="Calibri" w:hAnsi="Calibri" w:cs="Calibri"/>
                <w:color w:val="000000"/>
                <w:sz w:val="20"/>
                <w:szCs w:val="20"/>
              </w:rPr>
              <w:t>1 (3%)</w:t>
            </w:r>
          </w:p>
        </w:tc>
      </w:tr>
    </w:tbl>
    <w:p w14:paraId="094696CC" w14:textId="77777777" w:rsidR="00506791" w:rsidRDefault="00506791" w:rsidP="00506791">
      <w:pPr>
        <w:spacing w:line="360" w:lineRule="auto"/>
        <w:rPr>
          <w:rFonts w:ascii="Calibri" w:hAnsi="Calibri" w:cs="Calibri"/>
          <w:sz w:val="20"/>
          <w:szCs w:val="20"/>
        </w:rPr>
      </w:pPr>
    </w:p>
    <w:p w14:paraId="7413C12F" w14:textId="77777777" w:rsidR="00506791" w:rsidRPr="00057A85" w:rsidRDefault="00506791" w:rsidP="00506791">
      <w:pPr>
        <w:widowControl w:val="0"/>
        <w:autoSpaceDE w:val="0"/>
        <w:autoSpaceDN w:val="0"/>
        <w:adjustRightInd w:val="0"/>
        <w:spacing w:line="360" w:lineRule="auto"/>
        <w:rPr>
          <w:rFonts w:ascii="Calibri" w:hAnsi="Calibri" w:cs="Calibri"/>
          <w:sz w:val="20"/>
          <w:szCs w:val="20"/>
        </w:rPr>
      </w:pPr>
    </w:p>
    <w:p w14:paraId="34E7274E" w14:textId="77777777" w:rsidR="00506791" w:rsidRPr="009F1E21" w:rsidRDefault="00506791" w:rsidP="00506791">
      <w:pPr>
        <w:spacing w:line="360" w:lineRule="auto"/>
        <w:rPr>
          <w:rFonts w:ascii="Calibri" w:hAnsi="Calibri" w:cs="Calibri"/>
          <w:sz w:val="20"/>
          <w:szCs w:val="20"/>
        </w:rPr>
      </w:pPr>
    </w:p>
    <w:p w14:paraId="22DB9F4C" w14:textId="77777777" w:rsidR="00506791" w:rsidRPr="00404868" w:rsidRDefault="00506791" w:rsidP="00506791">
      <w:pPr>
        <w:rPr>
          <w:rFonts w:ascii="Calibri" w:hAnsi="Calibri" w:cs="Calibri"/>
        </w:rPr>
      </w:pPr>
    </w:p>
    <w:p w14:paraId="5571DF5A" w14:textId="4E3C1528" w:rsidR="006205A4" w:rsidRPr="00404868" w:rsidRDefault="006205A4" w:rsidP="005E4162">
      <w:pPr>
        <w:rPr>
          <w:rFonts w:ascii="Calibri" w:hAnsi="Calibri" w:cs="Calibri"/>
          <w:b/>
        </w:rPr>
      </w:pPr>
      <w:r w:rsidRPr="00404868">
        <w:rPr>
          <w:rFonts w:ascii="Calibri" w:hAnsi="Calibri" w:cs="Calibri"/>
          <w:b/>
        </w:rPr>
        <w:t>Figure legends</w:t>
      </w:r>
    </w:p>
    <w:p w14:paraId="2ACB2DE8" w14:textId="77777777" w:rsidR="00404868" w:rsidRDefault="00404868" w:rsidP="006205A4">
      <w:pPr>
        <w:rPr>
          <w:rFonts w:ascii="Calibri" w:hAnsi="Calibri" w:cs="Calibri"/>
        </w:rPr>
      </w:pPr>
    </w:p>
    <w:p w14:paraId="0C05C46D" w14:textId="45AA2145" w:rsidR="006205A4" w:rsidRPr="00404868" w:rsidRDefault="006205A4" w:rsidP="006205A4">
      <w:pPr>
        <w:rPr>
          <w:rFonts w:ascii="Calibri" w:hAnsi="Calibri" w:cs="Calibri"/>
        </w:rPr>
      </w:pPr>
      <w:r w:rsidRPr="00404868">
        <w:rPr>
          <w:rFonts w:ascii="Calibri" w:hAnsi="Calibri" w:cs="Calibri"/>
        </w:rPr>
        <w:t>Figure 1: Tumour responses and patient survival</w:t>
      </w:r>
    </w:p>
    <w:p w14:paraId="3857E008" w14:textId="77777777" w:rsidR="00404868" w:rsidRDefault="00404868" w:rsidP="006205A4">
      <w:pPr>
        <w:rPr>
          <w:rFonts w:ascii="Calibri" w:hAnsi="Calibri" w:cs="Calibri"/>
        </w:rPr>
      </w:pPr>
    </w:p>
    <w:p w14:paraId="544D49F6" w14:textId="4FACEEF4" w:rsidR="006205A4" w:rsidRPr="00404868" w:rsidRDefault="006205A4" w:rsidP="006205A4">
      <w:pPr>
        <w:rPr>
          <w:rFonts w:ascii="Calibri" w:hAnsi="Calibri" w:cs="Calibri"/>
        </w:rPr>
      </w:pPr>
      <w:r w:rsidRPr="00404868">
        <w:rPr>
          <w:rFonts w:ascii="Calibri" w:hAnsi="Calibri" w:cs="Calibri"/>
        </w:rPr>
        <w:t xml:space="preserve">Figure 1A - Best Percentage Tumour Volume Response: waterfall plot. x = patient with 720% increase in tumour size. White circle denotes patient on vistusertib-rituximab combination. </w:t>
      </w:r>
    </w:p>
    <w:p w14:paraId="341B3D55" w14:textId="77777777" w:rsidR="006205A4" w:rsidRPr="00404868" w:rsidRDefault="006205A4" w:rsidP="006205A4">
      <w:pPr>
        <w:rPr>
          <w:rFonts w:ascii="Calibri" w:hAnsi="Calibri" w:cs="Calibri"/>
        </w:rPr>
      </w:pPr>
      <w:r w:rsidRPr="00404868">
        <w:rPr>
          <w:rFonts w:ascii="Calibri" w:hAnsi="Calibri" w:cs="Calibri"/>
        </w:rPr>
        <w:t>Figure 1B: Progression-free survival (n = 36)</w:t>
      </w:r>
    </w:p>
    <w:p w14:paraId="140CACFD" w14:textId="1A48E654" w:rsidR="006205A4" w:rsidRDefault="006205A4" w:rsidP="006205A4">
      <w:pPr>
        <w:rPr>
          <w:rFonts w:ascii="Calibri" w:hAnsi="Calibri" w:cs="Calibri"/>
        </w:rPr>
      </w:pPr>
      <w:r w:rsidRPr="00404868">
        <w:rPr>
          <w:rFonts w:ascii="Calibri" w:hAnsi="Calibri" w:cs="Calibri"/>
        </w:rPr>
        <w:t>Figure 1C: Overall Survival (n = 36)</w:t>
      </w:r>
    </w:p>
    <w:p w14:paraId="79B8E806" w14:textId="77777777" w:rsidR="00404868" w:rsidRPr="00404868" w:rsidRDefault="00404868" w:rsidP="006205A4">
      <w:pPr>
        <w:rPr>
          <w:rFonts w:ascii="Calibri" w:hAnsi="Calibri" w:cs="Calibri"/>
        </w:rPr>
      </w:pPr>
    </w:p>
    <w:p w14:paraId="02417683" w14:textId="709CDD79" w:rsidR="00404868" w:rsidRPr="00404868" w:rsidRDefault="00404868" w:rsidP="00404868">
      <w:pPr>
        <w:rPr>
          <w:rFonts w:ascii="Calibri" w:hAnsi="Calibri" w:cs="Calibri"/>
        </w:rPr>
      </w:pPr>
      <w:r w:rsidRPr="00404868">
        <w:rPr>
          <w:rFonts w:ascii="Calibri" w:hAnsi="Calibri" w:cs="Calibri"/>
        </w:rPr>
        <w:t xml:space="preserve">Figure S1: pATK, pS6 and pPRAS40 H scores </w:t>
      </w:r>
      <w:r w:rsidR="004B2B59" w:rsidRPr="00404868">
        <w:rPr>
          <w:rFonts w:ascii="Calibri" w:hAnsi="Calibri" w:cs="Calibri"/>
        </w:rPr>
        <w:t>pre-treatment</w:t>
      </w:r>
      <w:r w:rsidRPr="00404868">
        <w:rPr>
          <w:rFonts w:ascii="Calibri" w:hAnsi="Calibri" w:cs="Calibri"/>
        </w:rPr>
        <w:t xml:space="preserve"> and at D15. </w:t>
      </w:r>
    </w:p>
    <w:p w14:paraId="4A99979D" w14:textId="2E797B68" w:rsidR="00404868" w:rsidRPr="00404868" w:rsidRDefault="00404868" w:rsidP="00404868">
      <w:pPr>
        <w:rPr>
          <w:rFonts w:ascii="Calibri" w:hAnsi="Calibri" w:cs="Calibri"/>
        </w:rPr>
      </w:pPr>
      <w:r w:rsidRPr="00404868">
        <w:rPr>
          <w:rFonts w:ascii="Calibri" w:hAnsi="Calibri" w:cs="Calibri"/>
        </w:rPr>
        <w:t xml:space="preserve">Figure S2: pATK expression at </w:t>
      </w:r>
      <w:r w:rsidR="004B2B59" w:rsidRPr="00404868">
        <w:rPr>
          <w:rFonts w:ascii="Calibri" w:hAnsi="Calibri" w:cs="Calibri"/>
        </w:rPr>
        <w:t>pre-treatment</w:t>
      </w:r>
      <w:r w:rsidRPr="00404868">
        <w:rPr>
          <w:rFonts w:ascii="Calibri" w:hAnsi="Calibri" w:cs="Calibri"/>
        </w:rPr>
        <w:t xml:space="preserve"> at D15 on treatment</w:t>
      </w:r>
    </w:p>
    <w:p w14:paraId="2ECFE8D4" w14:textId="1C7A4A16" w:rsidR="00404868" w:rsidRPr="00404868" w:rsidRDefault="00404868" w:rsidP="00404868">
      <w:pPr>
        <w:rPr>
          <w:rFonts w:ascii="Calibri" w:hAnsi="Calibri" w:cs="Calibri"/>
        </w:rPr>
      </w:pPr>
      <w:r w:rsidRPr="00404868">
        <w:rPr>
          <w:rFonts w:ascii="Calibri" w:hAnsi="Calibri" w:cs="Calibri"/>
        </w:rPr>
        <w:t>Figure S3: pS6 expression at pre</w:t>
      </w:r>
      <w:r w:rsidR="004B2B59">
        <w:rPr>
          <w:rFonts w:ascii="Calibri" w:hAnsi="Calibri" w:cs="Calibri"/>
        </w:rPr>
        <w:t>-</w:t>
      </w:r>
      <w:r w:rsidRPr="00404868">
        <w:rPr>
          <w:rFonts w:ascii="Calibri" w:hAnsi="Calibri" w:cs="Calibri"/>
        </w:rPr>
        <w:t>treatment at D15 on treatment</w:t>
      </w:r>
    </w:p>
    <w:p w14:paraId="3FA132C8" w14:textId="2D00CCA7" w:rsidR="00404868" w:rsidRPr="00404868" w:rsidRDefault="00404868" w:rsidP="00404868">
      <w:pPr>
        <w:rPr>
          <w:rFonts w:ascii="Calibri" w:hAnsi="Calibri" w:cs="Calibri"/>
        </w:rPr>
      </w:pPr>
      <w:r w:rsidRPr="00404868">
        <w:rPr>
          <w:rFonts w:ascii="Calibri" w:hAnsi="Calibri" w:cs="Calibri"/>
        </w:rPr>
        <w:t xml:space="preserve">Figure S4: pPRAS40 expression at </w:t>
      </w:r>
      <w:r w:rsidR="004B2B59" w:rsidRPr="00404868">
        <w:rPr>
          <w:rFonts w:ascii="Calibri" w:hAnsi="Calibri" w:cs="Calibri"/>
        </w:rPr>
        <w:t>pre-treatment</w:t>
      </w:r>
      <w:r w:rsidRPr="00404868">
        <w:rPr>
          <w:rFonts w:ascii="Calibri" w:hAnsi="Calibri" w:cs="Calibri"/>
        </w:rPr>
        <w:t xml:space="preserve"> at D15 on treatment</w:t>
      </w:r>
    </w:p>
    <w:p w14:paraId="72047B51" w14:textId="77777777" w:rsidR="006205A4" w:rsidRPr="005E4162" w:rsidRDefault="006205A4" w:rsidP="005E4162"/>
    <w:sectPr w:rsidR="006205A4" w:rsidRPr="005E4162" w:rsidSect="002E14EA">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634C9E"/>
    <w:multiLevelType w:val="multilevel"/>
    <w:tmpl w:val="298C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9F9"/>
    <w:rsid w:val="00021AD6"/>
    <w:rsid w:val="00021B50"/>
    <w:rsid w:val="000329B6"/>
    <w:rsid w:val="00057A85"/>
    <w:rsid w:val="000735B2"/>
    <w:rsid w:val="00074FD9"/>
    <w:rsid w:val="000862F9"/>
    <w:rsid w:val="000872C8"/>
    <w:rsid w:val="00091C7D"/>
    <w:rsid w:val="00093C2A"/>
    <w:rsid w:val="000A017A"/>
    <w:rsid w:val="000C0422"/>
    <w:rsid w:val="000F55C5"/>
    <w:rsid w:val="000F6B15"/>
    <w:rsid w:val="0010363D"/>
    <w:rsid w:val="00114355"/>
    <w:rsid w:val="00123046"/>
    <w:rsid w:val="001455F4"/>
    <w:rsid w:val="001534CC"/>
    <w:rsid w:val="001611F8"/>
    <w:rsid w:val="00161A1C"/>
    <w:rsid w:val="00163BA2"/>
    <w:rsid w:val="00170022"/>
    <w:rsid w:val="001A3692"/>
    <w:rsid w:val="001A3EF9"/>
    <w:rsid w:val="001D0F28"/>
    <w:rsid w:val="001D583D"/>
    <w:rsid w:val="001F3FDF"/>
    <w:rsid w:val="002206E6"/>
    <w:rsid w:val="00251F54"/>
    <w:rsid w:val="002870DC"/>
    <w:rsid w:val="002B73F6"/>
    <w:rsid w:val="002C3E61"/>
    <w:rsid w:val="002D35D8"/>
    <w:rsid w:val="002D3840"/>
    <w:rsid w:val="002E14EA"/>
    <w:rsid w:val="002F6C55"/>
    <w:rsid w:val="00302811"/>
    <w:rsid w:val="00323494"/>
    <w:rsid w:val="00330155"/>
    <w:rsid w:val="00330676"/>
    <w:rsid w:val="00342417"/>
    <w:rsid w:val="00346325"/>
    <w:rsid w:val="003473A2"/>
    <w:rsid w:val="00372CB0"/>
    <w:rsid w:val="003931AB"/>
    <w:rsid w:val="00394F92"/>
    <w:rsid w:val="003A015B"/>
    <w:rsid w:val="003A55F1"/>
    <w:rsid w:val="003A7EC7"/>
    <w:rsid w:val="003B7FF7"/>
    <w:rsid w:val="003C2F2D"/>
    <w:rsid w:val="003C68F0"/>
    <w:rsid w:val="003D2DAE"/>
    <w:rsid w:val="003D7C4E"/>
    <w:rsid w:val="003F08EB"/>
    <w:rsid w:val="003F3A38"/>
    <w:rsid w:val="0040240B"/>
    <w:rsid w:val="00402BC2"/>
    <w:rsid w:val="00404868"/>
    <w:rsid w:val="004175FA"/>
    <w:rsid w:val="00431B15"/>
    <w:rsid w:val="004378E7"/>
    <w:rsid w:val="00453238"/>
    <w:rsid w:val="00491CFD"/>
    <w:rsid w:val="004B1915"/>
    <w:rsid w:val="004B2B59"/>
    <w:rsid w:val="004B31CD"/>
    <w:rsid w:val="004B5D67"/>
    <w:rsid w:val="004B6FEF"/>
    <w:rsid w:val="004D285F"/>
    <w:rsid w:val="004D4A6F"/>
    <w:rsid w:val="004D61A8"/>
    <w:rsid w:val="004E155B"/>
    <w:rsid w:val="004E49BF"/>
    <w:rsid w:val="00506791"/>
    <w:rsid w:val="00510F6D"/>
    <w:rsid w:val="005501B1"/>
    <w:rsid w:val="00575155"/>
    <w:rsid w:val="005804D9"/>
    <w:rsid w:val="00583435"/>
    <w:rsid w:val="005975B1"/>
    <w:rsid w:val="005A651E"/>
    <w:rsid w:val="005B1E12"/>
    <w:rsid w:val="005B4FD0"/>
    <w:rsid w:val="005C388C"/>
    <w:rsid w:val="005C5510"/>
    <w:rsid w:val="005E4162"/>
    <w:rsid w:val="005E4D3A"/>
    <w:rsid w:val="00601028"/>
    <w:rsid w:val="00603D13"/>
    <w:rsid w:val="006205A4"/>
    <w:rsid w:val="00625A1D"/>
    <w:rsid w:val="0063232C"/>
    <w:rsid w:val="00633C41"/>
    <w:rsid w:val="00637A88"/>
    <w:rsid w:val="006639B6"/>
    <w:rsid w:val="00674A88"/>
    <w:rsid w:val="006833FF"/>
    <w:rsid w:val="006845B0"/>
    <w:rsid w:val="00685D72"/>
    <w:rsid w:val="006B0C09"/>
    <w:rsid w:val="006C1873"/>
    <w:rsid w:val="006C2334"/>
    <w:rsid w:val="006C3D49"/>
    <w:rsid w:val="006E4183"/>
    <w:rsid w:val="007145CF"/>
    <w:rsid w:val="00714CD5"/>
    <w:rsid w:val="00726011"/>
    <w:rsid w:val="0073265A"/>
    <w:rsid w:val="0073591D"/>
    <w:rsid w:val="00745073"/>
    <w:rsid w:val="00757B7C"/>
    <w:rsid w:val="00764E6F"/>
    <w:rsid w:val="007723C9"/>
    <w:rsid w:val="007825C8"/>
    <w:rsid w:val="007C04AC"/>
    <w:rsid w:val="007D7C69"/>
    <w:rsid w:val="007E2D5A"/>
    <w:rsid w:val="00801794"/>
    <w:rsid w:val="00802933"/>
    <w:rsid w:val="008174C4"/>
    <w:rsid w:val="0082421C"/>
    <w:rsid w:val="00832F49"/>
    <w:rsid w:val="008451D8"/>
    <w:rsid w:val="0084584E"/>
    <w:rsid w:val="00853ECF"/>
    <w:rsid w:val="00865F81"/>
    <w:rsid w:val="00872FC1"/>
    <w:rsid w:val="008836A0"/>
    <w:rsid w:val="00890CD0"/>
    <w:rsid w:val="008A21AC"/>
    <w:rsid w:val="008A5F4A"/>
    <w:rsid w:val="008C10A3"/>
    <w:rsid w:val="008D592B"/>
    <w:rsid w:val="008D6DBD"/>
    <w:rsid w:val="008E12EE"/>
    <w:rsid w:val="009117A6"/>
    <w:rsid w:val="009147C8"/>
    <w:rsid w:val="00920BCD"/>
    <w:rsid w:val="00963737"/>
    <w:rsid w:val="00964CC5"/>
    <w:rsid w:val="00983988"/>
    <w:rsid w:val="009860D6"/>
    <w:rsid w:val="00992AD4"/>
    <w:rsid w:val="009A168D"/>
    <w:rsid w:val="009A42F1"/>
    <w:rsid w:val="009B1847"/>
    <w:rsid w:val="009B4DDC"/>
    <w:rsid w:val="009B4E97"/>
    <w:rsid w:val="009E24D1"/>
    <w:rsid w:val="009F09B4"/>
    <w:rsid w:val="009F1E21"/>
    <w:rsid w:val="009F6B02"/>
    <w:rsid w:val="00A016E1"/>
    <w:rsid w:val="00A02790"/>
    <w:rsid w:val="00A05B64"/>
    <w:rsid w:val="00A17D72"/>
    <w:rsid w:val="00A72208"/>
    <w:rsid w:val="00A934C7"/>
    <w:rsid w:val="00AA19E2"/>
    <w:rsid w:val="00AA202D"/>
    <w:rsid w:val="00AA5B9D"/>
    <w:rsid w:val="00AB323A"/>
    <w:rsid w:val="00AB755B"/>
    <w:rsid w:val="00AC1591"/>
    <w:rsid w:val="00AD0D40"/>
    <w:rsid w:val="00AD51C6"/>
    <w:rsid w:val="00AD596A"/>
    <w:rsid w:val="00AD753C"/>
    <w:rsid w:val="00B049F9"/>
    <w:rsid w:val="00B065BA"/>
    <w:rsid w:val="00B16B37"/>
    <w:rsid w:val="00B22123"/>
    <w:rsid w:val="00B23522"/>
    <w:rsid w:val="00B24D80"/>
    <w:rsid w:val="00B549DA"/>
    <w:rsid w:val="00B54EA1"/>
    <w:rsid w:val="00B602E8"/>
    <w:rsid w:val="00B604FB"/>
    <w:rsid w:val="00B6565B"/>
    <w:rsid w:val="00B67F79"/>
    <w:rsid w:val="00B70A75"/>
    <w:rsid w:val="00B872F9"/>
    <w:rsid w:val="00B960D4"/>
    <w:rsid w:val="00BA4621"/>
    <w:rsid w:val="00BD1AC9"/>
    <w:rsid w:val="00BD3091"/>
    <w:rsid w:val="00BD5998"/>
    <w:rsid w:val="00BE1363"/>
    <w:rsid w:val="00BE6EF6"/>
    <w:rsid w:val="00BF5F96"/>
    <w:rsid w:val="00C26531"/>
    <w:rsid w:val="00C51D57"/>
    <w:rsid w:val="00C53CBD"/>
    <w:rsid w:val="00C63B75"/>
    <w:rsid w:val="00C85E8E"/>
    <w:rsid w:val="00CA5718"/>
    <w:rsid w:val="00CD08C0"/>
    <w:rsid w:val="00CE0493"/>
    <w:rsid w:val="00CE60CC"/>
    <w:rsid w:val="00CE7468"/>
    <w:rsid w:val="00CF2A3F"/>
    <w:rsid w:val="00CF2F2F"/>
    <w:rsid w:val="00CF3C73"/>
    <w:rsid w:val="00D040F2"/>
    <w:rsid w:val="00D107CF"/>
    <w:rsid w:val="00D16AC0"/>
    <w:rsid w:val="00D35763"/>
    <w:rsid w:val="00D404D0"/>
    <w:rsid w:val="00D67393"/>
    <w:rsid w:val="00D70DE4"/>
    <w:rsid w:val="00D740BE"/>
    <w:rsid w:val="00D749EC"/>
    <w:rsid w:val="00D75161"/>
    <w:rsid w:val="00D763FE"/>
    <w:rsid w:val="00D9618D"/>
    <w:rsid w:val="00DB4F25"/>
    <w:rsid w:val="00DC0D15"/>
    <w:rsid w:val="00DC4A42"/>
    <w:rsid w:val="00DC63A2"/>
    <w:rsid w:val="00DF5A78"/>
    <w:rsid w:val="00DF6ED1"/>
    <w:rsid w:val="00E104A9"/>
    <w:rsid w:val="00E11DE6"/>
    <w:rsid w:val="00E20ED9"/>
    <w:rsid w:val="00E21195"/>
    <w:rsid w:val="00E34E07"/>
    <w:rsid w:val="00E52569"/>
    <w:rsid w:val="00E54FC7"/>
    <w:rsid w:val="00E57F7C"/>
    <w:rsid w:val="00E80FE8"/>
    <w:rsid w:val="00E96393"/>
    <w:rsid w:val="00EB0779"/>
    <w:rsid w:val="00EB2D6D"/>
    <w:rsid w:val="00EC0B7B"/>
    <w:rsid w:val="00EC7BF9"/>
    <w:rsid w:val="00EF2527"/>
    <w:rsid w:val="00EF3111"/>
    <w:rsid w:val="00EF3DB5"/>
    <w:rsid w:val="00F258BD"/>
    <w:rsid w:val="00F34C6A"/>
    <w:rsid w:val="00F62F63"/>
    <w:rsid w:val="00F71BD2"/>
    <w:rsid w:val="00F72411"/>
    <w:rsid w:val="00F77017"/>
    <w:rsid w:val="00F87789"/>
    <w:rsid w:val="00FB0B00"/>
    <w:rsid w:val="00FD40A5"/>
    <w:rsid w:val="00FF39D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28FDC"/>
  <w14:defaultImageDpi w14:val="32767"/>
  <w15:docId w15:val="{412A0D19-7FF7-4E44-99D1-CCD9DFAE9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08EB"/>
    <w:rPr>
      <w:rFonts w:ascii="Times New Roman" w:eastAsia="Times New Roman" w:hAnsi="Times New Roman" w:cs="Times New Roman"/>
      <w:lang w:val="en-GB"/>
    </w:rPr>
  </w:style>
  <w:style w:type="paragraph" w:styleId="Heading1">
    <w:name w:val="heading 1"/>
    <w:basedOn w:val="Normal"/>
    <w:next w:val="Normal"/>
    <w:link w:val="Heading1Char"/>
    <w:uiPriority w:val="9"/>
    <w:qFormat/>
    <w:rsid w:val="000A017A"/>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049F9"/>
    <w:rPr>
      <w:sz w:val="16"/>
      <w:szCs w:val="16"/>
    </w:rPr>
  </w:style>
  <w:style w:type="paragraph" w:styleId="CommentText">
    <w:name w:val="annotation text"/>
    <w:basedOn w:val="Normal"/>
    <w:link w:val="CommentTextChar"/>
    <w:uiPriority w:val="99"/>
    <w:unhideWhenUsed/>
    <w:rsid w:val="00B049F9"/>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B049F9"/>
    <w:rPr>
      <w:sz w:val="20"/>
      <w:szCs w:val="20"/>
      <w:lang w:val="en-GB"/>
    </w:rPr>
  </w:style>
  <w:style w:type="paragraph" w:styleId="NormalWeb">
    <w:name w:val="Normal (Web)"/>
    <w:basedOn w:val="Normal"/>
    <w:uiPriority w:val="99"/>
    <w:unhideWhenUsed/>
    <w:rsid w:val="00B049F9"/>
    <w:pPr>
      <w:spacing w:before="100" w:beforeAutospacing="1" w:after="100" w:afterAutospacing="1"/>
    </w:pPr>
    <w:rPr>
      <w:rFonts w:eastAsiaTheme="minorEastAsia"/>
      <w:lang w:eastAsia="en-GB"/>
    </w:rPr>
  </w:style>
  <w:style w:type="paragraph" w:styleId="PlainText">
    <w:name w:val="Plain Text"/>
    <w:basedOn w:val="Normal"/>
    <w:link w:val="PlainTextChar"/>
    <w:uiPriority w:val="99"/>
    <w:unhideWhenUsed/>
    <w:rsid w:val="00B049F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B049F9"/>
    <w:rPr>
      <w:rFonts w:ascii="Calibri" w:hAnsi="Calibri"/>
      <w:sz w:val="22"/>
      <w:szCs w:val="21"/>
      <w:lang w:val="en-GB"/>
    </w:rPr>
  </w:style>
  <w:style w:type="paragraph" w:styleId="BalloonText">
    <w:name w:val="Balloon Text"/>
    <w:basedOn w:val="Normal"/>
    <w:link w:val="BalloonTextChar"/>
    <w:uiPriority w:val="99"/>
    <w:semiHidden/>
    <w:unhideWhenUsed/>
    <w:rsid w:val="00B049F9"/>
    <w:rPr>
      <w:rFonts w:eastAsiaTheme="minorHAnsi"/>
      <w:sz w:val="18"/>
      <w:szCs w:val="18"/>
    </w:rPr>
  </w:style>
  <w:style w:type="character" w:customStyle="1" w:styleId="BalloonTextChar">
    <w:name w:val="Balloon Text Char"/>
    <w:basedOn w:val="DefaultParagraphFont"/>
    <w:link w:val="BalloonText"/>
    <w:uiPriority w:val="99"/>
    <w:semiHidden/>
    <w:rsid w:val="00B049F9"/>
    <w:rPr>
      <w:rFonts w:ascii="Times New Roman" w:hAnsi="Times New Roman" w:cs="Times New Roman"/>
      <w:sz w:val="18"/>
      <w:szCs w:val="18"/>
      <w:lang w:val="en-GB"/>
    </w:rPr>
  </w:style>
  <w:style w:type="character" w:customStyle="1" w:styleId="apple-converted-space">
    <w:name w:val="apple-converted-space"/>
    <w:basedOn w:val="DefaultParagraphFont"/>
    <w:rsid w:val="00323494"/>
  </w:style>
  <w:style w:type="character" w:styleId="Hyperlink">
    <w:name w:val="Hyperlink"/>
    <w:basedOn w:val="DefaultParagraphFont"/>
    <w:uiPriority w:val="99"/>
    <w:unhideWhenUsed/>
    <w:rsid w:val="00323494"/>
    <w:rPr>
      <w:color w:val="0000FF"/>
      <w:u w:val="single"/>
    </w:rPr>
  </w:style>
  <w:style w:type="paragraph" w:customStyle="1" w:styleId="Default">
    <w:name w:val="Default"/>
    <w:rsid w:val="00323494"/>
    <w:pPr>
      <w:autoSpaceDE w:val="0"/>
      <w:autoSpaceDN w:val="0"/>
      <w:adjustRightInd w:val="0"/>
    </w:pPr>
    <w:rPr>
      <w:rFonts w:ascii="Arial" w:hAnsi="Arial" w:cs="Arial"/>
      <w:color w:val="000000"/>
      <w:lang w:val="en-GB"/>
    </w:rPr>
  </w:style>
  <w:style w:type="character" w:customStyle="1" w:styleId="Heading1Char">
    <w:name w:val="Heading 1 Char"/>
    <w:basedOn w:val="DefaultParagraphFont"/>
    <w:link w:val="Heading1"/>
    <w:uiPriority w:val="9"/>
    <w:rsid w:val="000A017A"/>
    <w:rPr>
      <w:rFonts w:asciiTheme="majorHAnsi" w:eastAsiaTheme="majorEastAsia" w:hAnsiTheme="majorHAnsi" w:cstheme="majorBidi"/>
      <w:b/>
      <w:bCs/>
      <w:color w:val="2F5496" w:themeColor="accent1" w:themeShade="BF"/>
      <w:sz w:val="28"/>
      <w:szCs w:val="28"/>
      <w:lang w:bidi="en-US"/>
    </w:rPr>
  </w:style>
  <w:style w:type="paragraph" w:customStyle="1" w:styleId="EndNoteBibliography">
    <w:name w:val="EndNote Bibliography"/>
    <w:basedOn w:val="Normal"/>
    <w:rsid w:val="00EC7BF9"/>
    <w:pPr>
      <w:spacing w:after="160"/>
    </w:pPr>
    <w:rPr>
      <w:rFonts w:ascii="Calibri" w:eastAsiaTheme="minorHAnsi" w:hAnsi="Calibri" w:cstheme="minorBidi"/>
      <w:sz w:val="22"/>
      <w:szCs w:val="22"/>
      <w:lang w:val="en-US"/>
    </w:rPr>
  </w:style>
  <w:style w:type="paragraph" w:styleId="Title">
    <w:name w:val="Title"/>
    <w:aliases w:val="title"/>
    <w:basedOn w:val="Normal"/>
    <w:link w:val="TitleChar"/>
    <w:uiPriority w:val="10"/>
    <w:qFormat/>
    <w:rsid w:val="00685D72"/>
    <w:pPr>
      <w:spacing w:before="100" w:beforeAutospacing="1" w:after="100" w:afterAutospacing="1"/>
    </w:pPr>
    <w:rPr>
      <w:rFonts w:eastAsiaTheme="minorHAnsi"/>
      <w:lang w:val="en-US"/>
    </w:rPr>
  </w:style>
  <w:style w:type="character" w:customStyle="1" w:styleId="TitleChar">
    <w:name w:val="Title Char"/>
    <w:aliases w:val="title Char"/>
    <w:basedOn w:val="DefaultParagraphFont"/>
    <w:link w:val="Title"/>
    <w:uiPriority w:val="10"/>
    <w:rsid w:val="00685D72"/>
    <w:rPr>
      <w:rFonts w:ascii="Times New Roman" w:hAnsi="Times New Roman" w:cs="Times New Roman"/>
    </w:rPr>
  </w:style>
  <w:style w:type="paragraph" w:customStyle="1" w:styleId="desc">
    <w:name w:val="desc"/>
    <w:basedOn w:val="Normal"/>
    <w:rsid w:val="00685D72"/>
    <w:pPr>
      <w:spacing w:before="100" w:beforeAutospacing="1" w:after="100" w:afterAutospacing="1"/>
    </w:pPr>
    <w:rPr>
      <w:rFonts w:eastAsiaTheme="minorHAnsi"/>
      <w:lang w:val="en-US"/>
    </w:rPr>
  </w:style>
  <w:style w:type="paragraph" w:customStyle="1" w:styleId="details">
    <w:name w:val="details"/>
    <w:basedOn w:val="Normal"/>
    <w:rsid w:val="00685D72"/>
    <w:pPr>
      <w:spacing w:before="100" w:beforeAutospacing="1" w:after="100" w:afterAutospacing="1"/>
    </w:pPr>
    <w:rPr>
      <w:rFonts w:eastAsiaTheme="minorHAnsi"/>
      <w:lang w:val="en-US"/>
    </w:rPr>
  </w:style>
  <w:style w:type="character" w:customStyle="1" w:styleId="jrnl">
    <w:name w:val="jrnl"/>
    <w:basedOn w:val="DefaultParagraphFont"/>
    <w:rsid w:val="00685D72"/>
  </w:style>
  <w:style w:type="table" w:styleId="TableGrid">
    <w:name w:val="Table Grid"/>
    <w:basedOn w:val="TableNormal"/>
    <w:uiPriority w:val="39"/>
    <w:rsid w:val="00F77017"/>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26011"/>
    <w:pPr>
      <w:spacing w:after="160"/>
    </w:pPr>
    <w:rPr>
      <w:b/>
      <w:bCs/>
    </w:rPr>
  </w:style>
  <w:style w:type="character" w:customStyle="1" w:styleId="CommentSubjectChar">
    <w:name w:val="Comment Subject Char"/>
    <w:basedOn w:val="CommentTextChar"/>
    <w:link w:val="CommentSubject"/>
    <w:uiPriority w:val="99"/>
    <w:semiHidden/>
    <w:rsid w:val="00726011"/>
    <w:rPr>
      <w:b/>
      <w:bCs/>
      <w:sz w:val="20"/>
      <w:szCs w:val="20"/>
      <w:lang w:val="en-GB"/>
    </w:rPr>
  </w:style>
  <w:style w:type="character" w:customStyle="1" w:styleId="highlight">
    <w:name w:val="highlight"/>
    <w:basedOn w:val="DefaultParagraphFont"/>
    <w:rsid w:val="00DF5A78"/>
  </w:style>
  <w:style w:type="character" w:customStyle="1" w:styleId="textcell">
    <w:name w:val="textcell"/>
    <w:basedOn w:val="DefaultParagraphFont"/>
    <w:rsid w:val="000735B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95388">
      <w:bodyDiv w:val="1"/>
      <w:marLeft w:val="0"/>
      <w:marRight w:val="0"/>
      <w:marTop w:val="0"/>
      <w:marBottom w:val="0"/>
      <w:divBdr>
        <w:top w:val="none" w:sz="0" w:space="0" w:color="auto"/>
        <w:left w:val="none" w:sz="0" w:space="0" w:color="auto"/>
        <w:bottom w:val="none" w:sz="0" w:space="0" w:color="auto"/>
        <w:right w:val="none" w:sz="0" w:space="0" w:color="auto"/>
      </w:divBdr>
    </w:div>
    <w:div w:id="107626924">
      <w:bodyDiv w:val="1"/>
      <w:marLeft w:val="0"/>
      <w:marRight w:val="0"/>
      <w:marTop w:val="0"/>
      <w:marBottom w:val="0"/>
      <w:divBdr>
        <w:top w:val="none" w:sz="0" w:space="0" w:color="auto"/>
        <w:left w:val="none" w:sz="0" w:space="0" w:color="auto"/>
        <w:bottom w:val="none" w:sz="0" w:space="0" w:color="auto"/>
        <w:right w:val="none" w:sz="0" w:space="0" w:color="auto"/>
      </w:divBdr>
    </w:div>
    <w:div w:id="150028021">
      <w:bodyDiv w:val="1"/>
      <w:marLeft w:val="0"/>
      <w:marRight w:val="0"/>
      <w:marTop w:val="0"/>
      <w:marBottom w:val="0"/>
      <w:divBdr>
        <w:top w:val="none" w:sz="0" w:space="0" w:color="auto"/>
        <w:left w:val="none" w:sz="0" w:space="0" w:color="auto"/>
        <w:bottom w:val="none" w:sz="0" w:space="0" w:color="auto"/>
        <w:right w:val="none" w:sz="0" w:space="0" w:color="auto"/>
      </w:divBdr>
    </w:div>
    <w:div w:id="154416459">
      <w:bodyDiv w:val="1"/>
      <w:marLeft w:val="0"/>
      <w:marRight w:val="0"/>
      <w:marTop w:val="0"/>
      <w:marBottom w:val="0"/>
      <w:divBdr>
        <w:top w:val="none" w:sz="0" w:space="0" w:color="auto"/>
        <w:left w:val="none" w:sz="0" w:space="0" w:color="auto"/>
        <w:bottom w:val="none" w:sz="0" w:space="0" w:color="auto"/>
        <w:right w:val="none" w:sz="0" w:space="0" w:color="auto"/>
      </w:divBdr>
    </w:div>
    <w:div w:id="156654132">
      <w:bodyDiv w:val="1"/>
      <w:marLeft w:val="0"/>
      <w:marRight w:val="0"/>
      <w:marTop w:val="0"/>
      <w:marBottom w:val="0"/>
      <w:divBdr>
        <w:top w:val="none" w:sz="0" w:space="0" w:color="auto"/>
        <w:left w:val="none" w:sz="0" w:space="0" w:color="auto"/>
        <w:bottom w:val="none" w:sz="0" w:space="0" w:color="auto"/>
        <w:right w:val="none" w:sz="0" w:space="0" w:color="auto"/>
      </w:divBdr>
    </w:div>
    <w:div w:id="163279421">
      <w:bodyDiv w:val="1"/>
      <w:marLeft w:val="0"/>
      <w:marRight w:val="0"/>
      <w:marTop w:val="0"/>
      <w:marBottom w:val="0"/>
      <w:divBdr>
        <w:top w:val="none" w:sz="0" w:space="0" w:color="auto"/>
        <w:left w:val="none" w:sz="0" w:space="0" w:color="auto"/>
        <w:bottom w:val="none" w:sz="0" w:space="0" w:color="auto"/>
        <w:right w:val="none" w:sz="0" w:space="0" w:color="auto"/>
      </w:divBdr>
    </w:div>
    <w:div w:id="275721066">
      <w:bodyDiv w:val="1"/>
      <w:marLeft w:val="0"/>
      <w:marRight w:val="0"/>
      <w:marTop w:val="0"/>
      <w:marBottom w:val="0"/>
      <w:divBdr>
        <w:top w:val="none" w:sz="0" w:space="0" w:color="auto"/>
        <w:left w:val="none" w:sz="0" w:space="0" w:color="auto"/>
        <w:bottom w:val="none" w:sz="0" w:space="0" w:color="auto"/>
        <w:right w:val="none" w:sz="0" w:space="0" w:color="auto"/>
      </w:divBdr>
    </w:div>
    <w:div w:id="282658502">
      <w:bodyDiv w:val="1"/>
      <w:marLeft w:val="0"/>
      <w:marRight w:val="0"/>
      <w:marTop w:val="0"/>
      <w:marBottom w:val="0"/>
      <w:divBdr>
        <w:top w:val="none" w:sz="0" w:space="0" w:color="auto"/>
        <w:left w:val="none" w:sz="0" w:space="0" w:color="auto"/>
        <w:bottom w:val="none" w:sz="0" w:space="0" w:color="auto"/>
        <w:right w:val="none" w:sz="0" w:space="0" w:color="auto"/>
      </w:divBdr>
    </w:div>
    <w:div w:id="337973818">
      <w:bodyDiv w:val="1"/>
      <w:marLeft w:val="0"/>
      <w:marRight w:val="0"/>
      <w:marTop w:val="0"/>
      <w:marBottom w:val="0"/>
      <w:divBdr>
        <w:top w:val="none" w:sz="0" w:space="0" w:color="auto"/>
        <w:left w:val="none" w:sz="0" w:space="0" w:color="auto"/>
        <w:bottom w:val="none" w:sz="0" w:space="0" w:color="auto"/>
        <w:right w:val="none" w:sz="0" w:space="0" w:color="auto"/>
      </w:divBdr>
    </w:div>
    <w:div w:id="356203297">
      <w:bodyDiv w:val="1"/>
      <w:marLeft w:val="0"/>
      <w:marRight w:val="0"/>
      <w:marTop w:val="0"/>
      <w:marBottom w:val="0"/>
      <w:divBdr>
        <w:top w:val="none" w:sz="0" w:space="0" w:color="auto"/>
        <w:left w:val="none" w:sz="0" w:space="0" w:color="auto"/>
        <w:bottom w:val="none" w:sz="0" w:space="0" w:color="auto"/>
        <w:right w:val="none" w:sz="0" w:space="0" w:color="auto"/>
      </w:divBdr>
    </w:div>
    <w:div w:id="434060431">
      <w:bodyDiv w:val="1"/>
      <w:marLeft w:val="0"/>
      <w:marRight w:val="0"/>
      <w:marTop w:val="0"/>
      <w:marBottom w:val="0"/>
      <w:divBdr>
        <w:top w:val="none" w:sz="0" w:space="0" w:color="auto"/>
        <w:left w:val="none" w:sz="0" w:space="0" w:color="auto"/>
        <w:bottom w:val="none" w:sz="0" w:space="0" w:color="auto"/>
        <w:right w:val="none" w:sz="0" w:space="0" w:color="auto"/>
      </w:divBdr>
    </w:div>
    <w:div w:id="463886858">
      <w:bodyDiv w:val="1"/>
      <w:marLeft w:val="0"/>
      <w:marRight w:val="0"/>
      <w:marTop w:val="0"/>
      <w:marBottom w:val="0"/>
      <w:divBdr>
        <w:top w:val="none" w:sz="0" w:space="0" w:color="auto"/>
        <w:left w:val="none" w:sz="0" w:space="0" w:color="auto"/>
        <w:bottom w:val="none" w:sz="0" w:space="0" w:color="auto"/>
        <w:right w:val="none" w:sz="0" w:space="0" w:color="auto"/>
      </w:divBdr>
    </w:div>
    <w:div w:id="541987007">
      <w:bodyDiv w:val="1"/>
      <w:marLeft w:val="0"/>
      <w:marRight w:val="0"/>
      <w:marTop w:val="0"/>
      <w:marBottom w:val="0"/>
      <w:divBdr>
        <w:top w:val="none" w:sz="0" w:space="0" w:color="auto"/>
        <w:left w:val="none" w:sz="0" w:space="0" w:color="auto"/>
        <w:bottom w:val="none" w:sz="0" w:space="0" w:color="auto"/>
        <w:right w:val="none" w:sz="0" w:space="0" w:color="auto"/>
      </w:divBdr>
    </w:div>
    <w:div w:id="553202468">
      <w:bodyDiv w:val="1"/>
      <w:marLeft w:val="0"/>
      <w:marRight w:val="0"/>
      <w:marTop w:val="0"/>
      <w:marBottom w:val="0"/>
      <w:divBdr>
        <w:top w:val="none" w:sz="0" w:space="0" w:color="auto"/>
        <w:left w:val="none" w:sz="0" w:space="0" w:color="auto"/>
        <w:bottom w:val="none" w:sz="0" w:space="0" w:color="auto"/>
        <w:right w:val="none" w:sz="0" w:space="0" w:color="auto"/>
      </w:divBdr>
      <w:divsChild>
        <w:div w:id="279454276">
          <w:marLeft w:val="0"/>
          <w:marRight w:val="0"/>
          <w:marTop w:val="0"/>
          <w:marBottom w:val="0"/>
          <w:divBdr>
            <w:top w:val="none" w:sz="0" w:space="0" w:color="auto"/>
            <w:left w:val="none" w:sz="0" w:space="0" w:color="auto"/>
            <w:bottom w:val="none" w:sz="0" w:space="0" w:color="auto"/>
            <w:right w:val="none" w:sz="0" w:space="0" w:color="auto"/>
          </w:divBdr>
          <w:divsChild>
            <w:div w:id="1513228723">
              <w:marLeft w:val="0"/>
              <w:marRight w:val="0"/>
              <w:marTop w:val="0"/>
              <w:marBottom w:val="0"/>
              <w:divBdr>
                <w:top w:val="none" w:sz="0" w:space="0" w:color="auto"/>
                <w:left w:val="none" w:sz="0" w:space="0" w:color="auto"/>
                <w:bottom w:val="none" w:sz="0" w:space="0" w:color="auto"/>
                <w:right w:val="none" w:sz="0" w:space="0" w:color="auto"/>
              </w:divBdr>
              <w:divsChild>
                <w:div w:id="193948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836770">
      <w:bodyDiv w:val="1"/>
      <w:marLeft w:val="0"/>
      <w:marRight w:val="0"/>
      <w:marTop w:val="0"/>
      <w:marBottom w:val="0"/>
      <w:divBdr>
        <w:top w:val="none" w:sz="0" w:space="0" w:color="auto"/>
        <w:left w:val="none" w:sz="0" w:space="0" w:color="auto"/>
        <w:bottom w:val="none" w:sz="0" w:space="0" w:color="auto"/>
        <w:right w:val="none" w:sz="0" w:space="0" w:color="auto"/>
      </w:divBdr>
    </w:div>
    <w:div w:id="645234532">
      <w:bodyDiv w:val="1"/>
      <w:marLeft w:val="0"/>
      <w:marRight w:val="0"/>
      <w:marTop w:val="0"/>
      <w:marBottom w:val="0"/>
      <w:divBdr>
        <w:top w:val="none" w:sz="0" w:space="0" w:color="auto"/>
        <w:left w:val="none" w:sz="0" w:space="0" w:color="auto"/>
        <w:bottom w:val="none" w:sz="0" w:space="0" w:color="auto"/>
        <w:right w:val="none" w:sz="0" w:space="0" w:color="auto"/>
      </w:divBdr>
    </w:div>
    <w:div w:id="877426418">
      <w:bodyDiv w:val="1"/>
      <w:marLeft w:val="0"/>
      <w:marRight w:val="0"/>
      <w:marTop w:val="0"/>
      <w:marBottom w:val="0"/>
      <w:divBdr>
        <w:top w:val="none" w:sz="0" w:space="0" w:color="auto"/>
        <w:left w:val="none" w:sz="0" w:space="0" w:color="auto"/>
        <w:bottom w:val="none" w:sz="0" w:space="0" w:color="auto"/>
        <w:right w:val="none" w:sz="0" w:space="0" w:color="auto"/>
      </w:divBdr>
    </w:div>
    <w:div w:id="905342792">
      <w:bodyDiv w:val="1"/>
      <w:marLeft w:val="0"/>
      <w:marRight w:val="0"/>
      <w:marTop w:val="0"/>
      <w:marBottom w:val="0"/>
      <w:divBdr>
        <w:top w:val="none" w:sz="0" w:space="0" w:color="auto"/>
        <w:left w:val="none" w:sz="0" w:space="0" w:color="auto"/>
        <w:bottom w:val="none" w:sz="0" w:space="0" w:color="auto"/>
        <w:right w:val="none" w:sz="0" w:space="0" w:color="auto"/>
      </w:divBdr>
    </w:div>
    <w:div w:id="951060604">
      <w:bodyDiv w:val="1"/>
      <w:marLeft w:val="0"/>
      <w:marRight w:val="0"/>
      <w:marTop w:val="0"/>
      <w:marBottom w:val="0"/>
      <w:divBdr>
        <w:top w:val="none" w:sz="0" w:space="0" w:color="auto"/>
        <w:left w:val="none" w:sz="0" w:space="0" w:color="auto"/>
        <w:bottom w:val="none" w:sz="0" w:space="0" w:color="auto"/>
        <w:right w:val="none" w:sz="0" w:space="0" w:color="auto"/>
      </w:divBdr>
    </w:div>
    <w:div w:id="1045326676">
      <w:bodyDiv w:val="1"/>
      <w:marLeft w:val="0"/>
      <w:marRight w:val="0"/>
      <w:marTop w:val="0"/>
      <w:marBottom w:val="0"/>
      <w:divBdr>
        <w:top w:val="none" w:sz="0" w:space="0" w:color="auto"/>
        <w:left w:val="none" w:sz="0" w:space="0" w:color="auto"/>
        <w:bottom w:val="none" w:sz="0" w:space="0" w:color="auto"/>
        <w:right w:val="none" w:sz="0" w:space="0" w:color="auto"/>
      </w:divBdr>
    </w:div>
    <w:div w:id="1118446531">
      <w:bodyDiv w:val="1"/>
      <w:marLeft w:val="0"/>
      <w:marRight w:val="0"/>
      <w:marTop w:val="0"/>
      <w:marBottom w:val="0"/>
      <w:divBdr>
        <w:top w:val="none" w:sz="0" w:space="0" w:color="auto"/>
        <w:left w:val="none" w:sz="0" w:space="0" w:color="auto"/>
        <w:bottom w:val="none" w:sz="0" w:space="0" w:color="auto"/>
        <w:right w:val="none" w:sz="0" w:space="0" w:color="auto"/>
      </w:divBdr>
    </w:div>
    <w:div w:id="1205093303">
      <w:bodyDiv w:val="1"/>
      <w:marLeft w:val="0"/>
      <w:marRight w:val="0"/>
      <w:marTop w:val="0"/>
      <w:marBottom w:val="0"/>
      <w:divBdr>
        <w:top w:val="none" w:sz="0" w:space="0" w:color="auto"/>
        <w:left w:val="none" w:sz="0" w:space="0" w:color="auto"/>
        <w:bottom w:val="none" w:sz="0" w:space="0" w:color="auto"/>
        <w:right w:val="none" w:sz="0" w:space="0" w:color="auto"/>
      </w:divBdr>
    </w:div>
    <w:div w:id="1206411590">
      <w:bodyDiv w:val="1"/>
      <w:marLeft w:val="0"/>
      <w:marRight w:val="0"/>
      <w:marTop w:val="0"/>
      <w:marBottom w:val="0"/>
      <w:divBdr>
        <w:top w:val="none" w:sz="0" w:space="0" w:color="auto"/>
        <w:left w:val="none" w:sz="0" w:space="0" w:color="auto"/>
        <w:bottom w:val="none" w:sz="0" w:space="0" w:color="auto"/>
        <w:right w:val="none" w:sz="0" w:space="0" w:color="auto"/>
      </w:divBdr>
    </w:div>
    <w:div w:id="1224560752">
      <w:bodyDiv w:val="1"/>
      <w:marLeft w:val="0"/>
      <w:marRight w:val="0"/>
      <w:marTop w:val="0"/>
      <w:marBottom w:val="0"/>
      <w:divBdr>
        <w:top w:val="none" w:sz="0" w:space="0" w:color="auto"/>
        <w:left w:val="none" w:sz="0" w:space="0" w:color="auto"/>
        <w:bottom w:val="none" w:sz="0" w:space="0" w:color="auto"/>
        <w:right w:val="none" w:sz="0" w:space="0" w:color="auto"/>
      </w:divBdr>
    </w:div>
    <w:div w:id="1251937658">
      <w:bodyDiv w:val="1"/>
      <w:marLeft w:val="0"/>
      <w:marRight w:val="0"/>
      <w:marTop w:val="0"/>
      <w:marBottom w:val="0"/>
      <w:divBdr>
        <w:top w:val="none" w:sz="0" w:space="0" w:color="auto"/>
        <w:left w:val="none" w:sz="0" w:space="0" w:color="auto"/>
        <w:bottom w:val="none" w:sz="0" w:space="0" w:color="auto"/>
        <w:right w:val="none" w:sz="0" w:space="0" w:color="auto"/>
      </w:divBdr>
    </w:div>
    <w:div w:id="1279142087">
      <w:bodyDiv w:val="1"/>
      <w:marLeft w:val="0"/>
      <w:marRight w:val="0"/>
      <w:marTop w:val="0"/>
      <w:marBottom w:val="0"/>
      <w:divBdr>
        <w:top w:val="none" w:sz="0" w:space="0" w:color="auto"/>
        <w:left w:val="none" w:sz="0" w:space="0" w:color="auto"/>
        <w:bottom w:val="none" w:sz="0" w:space="0" w:color="auto"/>
        <w:right w:val="none" w:sz="0" w:space="0" w:color="auto"/>
      </w:divBdr>
    </w:div>
    <w:div w:id="1420131785">
      <w:bodyDiv w:val="1"/>
      <w:marLeft w:val="0"/>
      <w:marRight w:val="0"/>
      <w:marTop w:val="0"/>
      <w:marBottom w:val="0"/>
      <w:divBdr>
        <w:top w:val="none" w:sz="0" w:space="0" w:color="auto"/>
        <w:left w:val="none" w:sz="0" w:space="0" w:color="auto"/>
        <w:bottom w:val="none" w:sz="0" w:space="0" w:color="auto"/>
        <w:right w:val="none" w:sz="0" w:space="0" w:color="auto"/>
      </w:divBdr>
    </w:div>
    <w:div w:id="1428387958">
      <w:bodyDiv w:val="1"/>
      <w:marLeft w:val="0"/>
      <w:marRight w:val="0"/>
      <w:marTop w:val="0"/>
      <w:marBottom w:val="0"/>
      <w:divBdr>
        <w:top w:val="none" w:sz="0" w:space="0" w:color="auto"/>
        <w:left w:val="none" w:sz="0" w:space="0" w:color="auto"/>
        <w:bottom w:val="none" w:sz="0" w:space="0" w:color="auto"/>
        <w:right w:val="none" w:sz="0" w:space="0" w:color="auto"/>
      </w:divBdr>
      <w:divsChild>
        <w:div w:id="1273853743">
          <w:marLeft w:val="0"/>
          <w:marRight w:val="0"/>
          <w:marTop w:val="34"/>
          <w:marBottom w:val="34"/>
          <w:divBdr>
            <w:top w:val="none" w:sz="0" w:space="0" w:color="auto"/>
            <w:left w:val="none" w:sz="0" w:space="0" w:color="auto"/>
            <w:bottom w:val="none" w:sz="0" w:space="0" w:color="auto"/>
            <w:right w:val="none" w:sz="0" w:space="0" w:color="auto"/>
          </w:divBdr>
        </w:div>
        <w:div w:id="2113549768">
          <w:marLeft w:val="0"/>
          <w:marRight w:val="0"/>
          <w:marTop w:val="0"/>
          <w:marBottom w:val="0"/>
          <w:divBdr>
            <w:top w:val="none" w:sz="0" w:space="0" w:color="auto"/>
            <w:left w:val="none" w:sz="0" w:space="0" w:color="auto"/>
            <w:bottom w:val="none" w:sz="0" w:space="0" w:color="auto"/>
            <w:right w:val="none" w:sz="0" w:space="0" w:color="auto"/>
          </w:divBdr>
        </w:div>
      </w:divsChild>
    </w:div>
    <w:div w:id="1446655086">
      <w:bodyDiv w:val="1"/>
      <w:marLeft w:val="0"/>
      <w:marRight w:val="0"/>
      <w:marTop w:val="0"/>
      <w:marBottom w:val="0"/>
      <w:divBdr>
        <w:top w:val="none" w:sz="0" w:space="0" w:color="auto"/>
        <w:left w:val="none" w:sz="0" w:space="0" w:color="auto"/>
        <w:bottom w:val="none" w:sz="0" w:space="0" w:color="auto"/>
        <w:right w:val="none" w:sz="0" w:space="0" w:color="auto"/>
      </w:divBdr>
    </w:div>
    <w:div w:id="1480540076">
      <w:bodyDiv w:val="1"/>
      <w:marLeft w:val="0"/>
      <w:marRight w:val="0"/>
      <w:marTop w:val="0"/>
      <w:marBottom w:val="0"/>
      <w:divBdr>
        <w:top w:val="none" w:sz="0" w:space="0" w:color="auto"/>
        <w:left w:val="none" w:sz="0" w:space="0" w:color="auto"/>
        <w:bottom w:val="none" w:sz="0" w:space="0" w:color="auto"/>
        <w:right w:val="none" w:sz="0" w:space="0" w:color="auto"/>
      </w:divBdr>
    </w:div>
    <w:div w:id="1502626211">
      <w:bodyDiv w:val="1"/>
      <w:marLeft w:val="0"/>
      <w:marRight w:val="0"/>
      <w:marTop w:val="0"/>
      <w:marBottom w:val="0"/>
      <w:divBdr>
        <w:top w:val="none" w:sz="0" w:space="0" w:color="auto"/>
        <w:left w:val="none" w:sz="0" w:space="0" w:color="auto"/>
        <w:bottom w:val="none" w:sz="0" w:space="0" w:color="auto"/>
        <w:right w:val="none" w:sz="0" w:space="0" w:color="auto"/>
      </w:divBdr>
    </w:div>
    <w:div w:id="1514343714">
      <w:bodyDiv w:val="1"/>
      <w:marLeft w:val="0"/>
      <w:marRight w:val="0"/>
      <w:marTop w:val="0"/>
      <w:marBottom w:val="0"/>
      <w:divBdr>
        <w:top w:val="none" w:sz="0" w:space="0" w:color="auto"/>
        <w:left w:val="none" w:sz="0" w:space="0" w:color="auto"/>
        <w:bottom w:val="none" w:sz="0" w:space="0" w:color="auto"/>
        <w:right w:val="none" w:sz="0" w:space="0" w:color="auto"/>
      </w:divBdr>
    </w:div>
    <w:div w:id="1551725836">
      <w:bodyDiv w:val="1"/>
      <w:marLeft w:val="0"/>
      <w:marRight w:val="0"/>
      <w:marTop w:val="0"/>
      <w:marBottom w:val="0"/>
      <w:divBdr>
        <w:top w:val="none" w:sz="0" w:space="0" w:color="auto"/>
        <w:left w:val="none" w:sz="0" w:space="0" w:color="auto"/>
        <w:bottom w:val="none" w:sz="0" w:space="0" w:color="auto"/>
        <w:right w:val="none" w:sz="0" w:space="0" w:color="auto"/>
      </w:divBdr>
    </w:div>
    <w:div w:id="1565945716">
      <w:bodyDiv w:val="1"/>
      <w:marLeft w:val="0"/>
      <w:marRight w:val="0"/>
      <w:marTop w:val="0"/>
      <w:marBottom w:val="0"/>
      <w:divBdr>
        <w:top w:val="none" w:sz="0" w:space="0" w:color="auto"/>
        <w:left w:val="none" w:sz="0" w:space="0" w:color="auto"/>
        <w:bottom w:val="none" w:sz="0" w:space="0" w:color="auto"/>
        <w:right w:val="none" w:sz="0" w:space="0" w:color="auto"/>
      </w:divBdr>
    </w:div>
    <w:div w:id="1572233328">
      <w:bodyDiv w:val="1"/>
      <w:marLeft w:val="0"/>
      <w:marRight w:val="0"/>
      <w:marTop w:val="0"/>
      <w:marBottom w:val="0"/>
      <w:divBdr>
        <w:top w:val="none" w:sz="0" w:space="0" w:color="auto"/>
        <w:left w:val="none" w:sz="0" w:space="0" w:color="auto"/>
        <w:bottom w:val="none" w:sz="0" w:space="0" w:color="auto"/>
        <w:right w:val="none" w:sz="0" w:space="0" w:color="auto"/>
      </w:divBdr>
    </w:div>
    <w:div w:id="1584486830">
      <w:bodyDiv w:val="1"/>
      <w:marLeft w:val="0"/>
      <w:marRight w:val="0"/>
      <w:marTop w:val="0"/>
      <w:marBottom w:val="0"/>
      <w:divBdr>
        <w:top w:val="none" w:sz="0" w:space="0" w:color="auto"/>
        <w:left w:val="none" w:sz="0" w:space="0" w:color="auto"/>
        <w:bottom w:val="none" w:sz="0" w:space="0" w:color="auto"/>
        <w:right w:val="none" w:sz="0" w:space="0" w:color="auto"/>
      </w:divBdr>
    </w:div>
    <w:div w:id="1646424710">
      <w:bodyDiv w:val="1"/>
      <w:marLeft w:val="0"/>
      <w:marRight w:val="0"/>
      <w:marTop w:val="0"/>
      <w:marBottom w:val="0"/>
      <w:divBdr>
        <w:top w:val="none" w:sz="0" w:space="0" w:color="auto"/>
        <w:left w:val="none" w:sz="0" w:space="0" w:color="auto"/>
        <w:bottom w:val="none" w:sz="0" w:space="0" w:color="auto"/>
        <w:right w:val="none" w:sz="0" w:space="0" w:color="auto"/>
      </w:divBdr>
    </w:div>
    <w:div w:id="1700546936">
      <w:bodyDiv w:val="1"/>
      <w:marLeft w:val="0"/>
      <w:marRight w:val="0"/>
      <w:marTop w:val="0"/>
      <w:marBottom w:val="0"/>
      <w:divBdr>
        <w:top w:val="none" w:sz="0" w:space="0" w:color="auto"/>
        <w:left w:val="none" w:sz="0" w:space="0" w:color="auto"/>
        <w:bottom w:val="none" w:sz="0" w:space="0" w:color="auto"/>
        <w:right w:val="none" w:sz="0" w:space="0" w:color="auto"/>
      </w:divBdr>
      <w:divsChild>
        <w:div w:id="1988707409">
          <w:marLeft w:val="0"/>
          <w:marRight w:val="0"/>
          <w:marTop w:val="0"/>
          <w:marBottom w:val="0"/>
          <w:divBdr>
            <w:top w:val="none" w:sz="0" w:space="0" w:color="auto"/>
            <w:left w:val="none" w:sz="0" w:space="0" w:color="auto"/>
            <w:bottom w:val="none" w:sz="0" w:space="0" w:color="auto"/>
            <w:right w:val="none" w:sz="0" w:space="0" w:color="auto"/>
          </w:divBdr>
          <w:divsChild>
            <w:div w:id="1853179698">
              <w:marLeft w:val="0"/>
              <w:marRight w:val="0"/>
              <w:marTop w:val="0"/>
              <w:marBottom w:val="0"/>
              <w:divBdr>
                <w:top w:val="none" w:sz="0" w:space="0" w:color="auto"/>
                <w:left w:val="none" w:sz="0" w:space="0" w:color="auto"/>
                <w:bottom w:val="none" w:sz="0" w:space="0" w:color="auto"/>
                <w:right w:val="none" w:sz="0" w:space="0" w:color="auto"/>
              </w:divBdr>
              <w:divsChild>
                <w:div w:id="89072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230235">
      <w:bodyDiv w:val="1"/>
      <w:marLeft w:val="0"/>
      <w:marRight w:val="0"/>
      <w:marTop w:val="0"/>
      <w:marBottom w:val="0"/>
      <w:divBdr>
        <w:top w:val="none" w:sz="0" w:space="0" w:color="auto"/>
        <w:left w:val="none" w:sz="0" w:space="0" w:color="auto"/>
        <w:bottom w:val="none" w:sz="0" w:space="0" w:color="auto"/>
        <w:right w:val="none" w:sz="0" w:space="0" w:color="auto"/>
      </w:divBdr>
    </w:div>
    <w:div w:id="1792435452">
      <w:bodyDiv w:val="1"/>
      <w:marLeft w:val="0"/>
      <w:marRight w:val="0"/>
      <w:marTop w:val="0"/>
      <w:marBottom w:val="0"/>
      <w:divBdr>
        <w:top w:val="none" w:sz="0" w:space="0" w:color="auto"/>
        <w:left w:val="none" w:sz="0" w:space="0" w:color="auto"/>
        <w:bottom w:val="none" w:sz="0" w:space="0" w:color="auto"/>
        <w:right w:val="none" w:sz="0" w:space="0" w:color="auto"/>
      </w:divBdr>
    </w:div>
    <w:div w:id="1852135887">
      <w:bodyDiv w:val="1"/>
      <w:marLeft w:val="0"/>
      <w:marRight w:val="0"/>
      <w:marTop w:val="0"/>
      <w:marBottom w:val="0"/>
      <w:divBdr>
        <w:top w:val="none" w:sz="0" w:space="0" w:color="auto"/>
        <w:left w:val="none" w:sz="0" w:space="0" w:color="auto"/>
        <w:bottom w:val="none" w:sz="0" w:space="0" w:color="auto"/>
        <w:right w:val="none" w:sz="0" w:space="0" w:color="auto"/>
      </w:divBdr>
    </w:div>
    <w:div w:id="1910656352">
      <w:bodyDiv w:val="1"/>
      <w:marLeft w:val="0"/>
      <w:marRight w:val="0"/>
      <w:marTop w:val="0"/>
      <w:marBottom w:val="0"/>
      <w:divBdr>
        <w:top w:val="none" w:sz="0" w:space="0" w:color="auto"/>
        <w:left w:val="none" w:sz="0" w:space="0" w:color="auto"/>
        <w:bottom w:val="none" w:sz="0" w:space="0" w:color="auto"/>
        <w:right w:val="none" w:sz="0" w:space="0" w:color="auto"/>
      </w:divBdr>
    </w:div>
    <w:div w:id="1927886469">
      <w:bodyDiv w:val="1"/>
      <w:marLeft w:val="0"/>
      <w:marRight w:val="0"/>
      <w:marTop w:val="0"/>
      <w:marBottom w:val="0"/>
      <w:divBdr>
        <w:top w:val="none" w:sz="0" w:space="0" w:color="auto"/>
        <w:left w:val="none" w:sz="0" w:space="0" w:color="auto"/>
        <w:bottom w:val="none" w:sz="0" w:space="0" w:color="auto"/>
        <w:right w:val="none" w:sz="0" w:space="0" w:color="auto"/>
      </w:divBdr>
    </w:div>
    <w:div w:id="1989164572">
      <w:bodyDiv w:val="1"/>
      <w:marLeft w:val="0"/>
      <w:marRight w:val="0"/>
      <w:marTop w:val="0"/>
      <w:marBottom w:val="0"/>
      <w:divBdr>
        <w:top w:val="none" w:sz="0" w:space="0" w:color="auto"/>
        <w:left w:val="none" w:sz="0" w:space="0" w:color="auto"/>
        <w:bottom w:val="none" w:sz="0" w:space="0" w:color="auto"/>
        <w:right w:val="none" w:sz="0" w:space="0" w:color="auto"/>
      </w:divBdr>
    </w:div>
    <w:div w:id="1993095526">
      <w:bodyDiv w:val="1"/>
      <w:marLeft w:val="0"/>
      <w:marRight w:val="0"/>
      <w:marTop w:val="0"/>
      <w:marBottom w:val="0"/>
      <w:divBdr>
        <w:top w:val="none" w:sz="0" w:space="0" w:color="auto"/>
        <w:left w:val="none" w:sz="0" w:space="0" w:color="auto"/>
        <w:bottom w:val="none" w:sz="0" w:space="0" w:color="auto"/>
        <w:right w:val="none" w:sz="0" w:space="0" w:color="auto"/>
      </w:divBdr>
    </w:div>
    <w:div w:id="2013870461">
      <w:bodyDiv w:val="1"/>
      <w:marLeft w:val="0"/>
      <w:marRight w:val="0"/>
      <w:marTop w:val="0"/>
      <w:marBottom w:val="0"/>
      <w:divBdr>
        <w:top w:val="none" w:sz="0" w:space="0" w:color="auto"/>
        <w:left w:val="none" w:sz="0" w:space="0" w:color="auto"/>
        <w:bottom w:val="none" w:sz="0" w:space="0" w:color="auto"/>
        <w:right w:val="none" w:sz="0" w:space="0" w:color="auto"/>
      </w:divBdr>
    </w:div>
    <w:div w:id="2025789266">
      <w:bodyDiv w:val="1"/>
      <w:marLeft w:val="0"/>
      <w:marRight w:val="0"/>
      <w:marTop w:val="0"/>
      <w:marBottom w:val="0"/>
      <w:divBdr>
        <w:top w:val="none" w:sz="0" w:space="0" w:color="auto"/>
        <w:left w:val="none" w:sz="0" w:space="0" w:color="auto"/>
        <w:bottom w:val="none" w:sz="0" w:space="0" w:color="auto"/>
        <w:right w:val="none" w:sz="0" w:space="0" w:color="auto"/>
      </w:divBdr>
    </w:div>
    <w:div w:id="2026321310">
      <w:bodyDiv w:val="1"/>
      <w:marLeft w:val="0"/>
      <w:marRight w:val="0"/>
      <w:marTop w:val="0"/>
      <w:marBottom w:val="0"/>
      <w:divBdr>
        <w:top w:val="none" w:sz="0" w:space="0" w:color="auto"/>
        <w:left w:val="none" w:sz="0" w:space="0" w:color="auto"/>
        <w:bottom w:val="none" w:sz="0" w:space="0" w:color="auto"/>
        <w:right w:val="none" w:sz="0" w:space="0" w:color="auto"/>
      </w:divBdr>
    </w:div>
    <w:div w:id="21214153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3D328B9-77B3-4948-A6FA-1498D3CAF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13</Pages>
  <Words>17436</Words>
  <Characters>99387</Characters>
  <Application>Microsoft Office Word</Application>
  <DocSecurity>0</DocSecurity>
  <Lines>828</Lines>
  <Paragraphs>233</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116590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Toby Eyre</dc:creator>
  <cp:lastModifiedBy>Toby Eyre</cp:lastModifiedBy>
  <cp:revision>6</cp:revision>
  <dcterms:created xsi:type="dcterms:W3CDTF">2019-07-23T13:09:00Z</dcterms:created>
  <dcterms:modified xsi:type="dcterms:W3CDTF">2019-07-23T14:46:00Z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abc9f86b-0e4a-312b-b184-357c13b09b18</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http://www.zotero.org/styles/british-journal-of-haematology</vt:lpwstr>
  </property>
  <property fmtid="{D5CDD505-2E9C-101B-9397-08002B2CF9AE}" pid="12" name="Mendeley Recent Style Name 3_1">
    <vt:lpwstr>British Journal of Haematology</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http://www.zotero.org/styles/haematologica</vt:lpwstr>
  </property>
  <property fmtid="{D5CDD505-2E9C-101B-9397-08002B2CF9AE}" pid="16" name="Mendeley Recent Style Name 5_1">
    <vt:lpwstr>Haematologica</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http://www.zotero.org/styles/journal-of-internal-medicine</vt:lpwstr>
  </property>
  <property fmtid="{D5CDD505-2E9C-101B-9397-08002B2CF9AE}" pid="20" name="Mendeley Recent Style Name 7_1">
    <vt:lpwstr>Journal of Internal Medicine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