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972" w:rsidRDefault="00091972" w:rsidP="00091972">
      <w:pPr>
        <w:spacing w:line="360" w:lineRule="auto"/>
        <w:jc w:val="center"/>
        <w:rPr>
          <w:rFonts w:ascii="Times New Roman" w:hAnsi="Times New Roman"/>
          <w:b/>
          <w:sz w:val="24"/>
          <w:szCs w:val="24"/>
        </w:rPr>
      </w:pPr>
      <w:r>
        <w:rPr>
          <w:rFonts w:ascii="Times New Roman" w:hAnsi="Times New Roman"/>
          <w:b/>
          <w:sz w:val="24"/>
          <w:szCs w:val="24"/>
        </w:rPr>
        <w:t>Credit Information Sharing and Loan Default in Developing Countries: The Moderating Effect of Banking Market Concentration and National Governance Quality</w:t>
      </w:r>
    </w:p>
    <w:p w:rsidR="00091972" w:rsidRDefault="00091972" w:rsidP="00091972">
      <w:pPr>
        <w:spacing w:line="360" w:lineRule="auto"/>
        <w:rPr>
          <w:rFonts w:ascii="Times New Roman" w:hAnsi="Times New Roman"/>
          <w:b/>
          <w:sz w:val="24"/>
          <w:szCs w:val="24"/>
        </w:rPr>
      </w:pPr>
    </w:p>
    <w:p w:rsidR="00091972" w:rsidRDefault="00091972" w:rsidP="00091972">
      <w:pPr>
        <w:pStyle w:val="BodyText"/>
        <w:spacing w:line="360" w:lineRule="auto"/>
        <w:ind w:left="555" w:right="562"/>
        <w:jc w:val="center"/>
        <w:rPr>
          <w:sz w:val="20"/>
          <w:szCs w:val="20"/>
        </w:rPr>
      </w:pPr>
      <w:r>
        <w:rPr>
          <w:sz w:val="20"/>
          <w:szCs w:val="20"/>
        </w:rPr>
        <w:t>Samuel Fosu</w:t>
      </w:r>
      <w:r>
        <w:rPr>
          <w:rStyle w:val="FootnoteReference"/>
          <w:sz w:val="20"/>
          <w:szCs w:val="20"/>
        </w:rPr>
        <w:footnoteReference w:customMarkFollows="1" w:id="1"/>
        <w:t>1</w:t>
      </w:r>
      <w:r>
        <w:rPr>
          <w:sz w:val="20"/>
          <w:szCs w:val="20"/>
        </w:rPr>
        <w:t>, Albert Danso</w:t>
      </w:r>
      <w:r>
        <w:rPr>
          <w:sz w:val="20"/>
          <w:szCs w:val="20"/>
          <w:vertAlign w:val="superscript"/>
        </w:rPr>
        <w:t>1</w:t>
      </w:r>
      <w:r>
        <w:rPr>
          <w:sz w:val="20"/>
          <w:szCs w:val="20"/>
        </w:rPr>
        <w:t>, Henry Agyei-Boapeah</w:t>
      </w:r>
      <w:r>
        <w:rPr>
          <w:sz w:val="20"/>
          <w:szCs w:val="20"/>
          <w:vertAlign w:val="superscript"/>
        </w:rPr>
        <w:t>2</w:t>
      </w:r>
      <w:r>
        <w:rPr>
          <w:sz w:val="20"/>
          <w:szCs w:val="20"/>
        </w:rPr>
        <w:t xml:space="preserve">, </w:t>
      </w:r>
      <w:r>
        <w:rPr>
          <w:w w:val="105"/>
          <w:sz w:val="20"/>
          <w:szCs w:val="20"/>
        </w:rPr>
        <w:t>Collins G. Ntim</w:t>
      </w:r>
      <w:r>
        <w:rPr>
          <w:w w:val="105"/>
          <w:sz w:val="20"/>
          <w:szCs w:val="20"/>
          <w:vertAlign w:val="superscript"/>
        </w:rPr>
        <w:t>3</w:t>
      </w:r>
      <w:r>
        <w:rPr>
          <w:sz w:val="20"/>
          <w:szCs w:val="20"/>
        </w:rPr>
        <w:t>, Emmanuel Adegbite</w:t>
      </w:r>
      <w:r>
        <w:rPr>
          <w:sz w:val="20"/>
          <w:szCs w:val="20"/>
          <w:vertAlign w:val="superscript"/>
        </w:rPr>
        <w:t>4</w:t>
      </w:r>
    </w:p>
    <w:p w:rsidR="00091972" w:rsidRDefault="00091972" w:rsidP="00091972"/>
    <w:p w:rsidR="00386293" w:rsidRPr="00386293" w:rsidRDefault="00386293" w:rsidP="00091972">
      <w:pPr>
        <w:rPr>
          <w:b/>
        </w:rPr>
      </w:pPr>
      <w:r w:rsidRPr="00386293">
        <w:rPr>
          <w:b/>
        </w:rPr>
        <w:t>Please cite fully as:</w:t>
      </w:r>
    </w:p>
    <w:p w:rsidR="00091972" w:rsidRDefault="00386293" w:rsidP="00386293">
      <w:pPr>
        <w:spacing w:after="0" w:line="240" w:lineRule="auto"/>
        <w:rPr>
          <w:rFonts w:ascii="Times New Roman" w:hAnsi="Times New Roman"/>
          <w:sz w:val="20"/>
          <w:szCs w:val="20"/>
        </w:rPr>
      </w:pPr>
      <w:r>
        <w:rPr>
          <w:rFonts w:ascii="Times New Roman" w:hAnsi="Times New Roman"/>
          <w:sz w:val="20"/>
          <w:szCs w:val="20"/>
        </w:rPr>
        <w:t>Fosu, S., Danso, A., Agyei-Boapeah, H., Ntim, C.G., and Adegbite, E. (2019). ‘</w:t>
      </w:r>
      <w:r w:rsidRPr="00386293">
        <w:rPr>
          <w:rFonts w:ascii="Times New Roman" w:hAnsi="Times New Roman"/>
          <w:sz w:val="20"/>
          <w:szCs w:val="20"/>
        </w:rPr>
        <w:t>Credit Information Sharing and Loan Default in Developing Countries: The Moderating Effect of Banking Market Concentration and National Governance Quality</w:t>
      </w:r>
      <w:r>
        <w:rPr>
          <w:rFonts w:ascii="Times New Roman" w:hAnsi="Times New Roman"/>
          <w:sz w:val="20"/>
          <w:szCs w:val="20"/>
        </w:rPr>
        <w:t xml:space="preserve">’, </w:t>
      </w:r>
      <w:r>
        <w:rPr>
          <w:rFonts w:ascii="Times New Roman" w:hAnsi="Times New Roman"/>
          <w:i/>
          <w:sz w:val="20"/>
          <w:szCs w:val="20"/>
        </w:rPr>
        <w:t xml:space="preserve">Review of Quantitative Finance and Accounting, </w:t>
      </w:r>
      <w:r>
        <w:rPr>
          <w:rFonts w:ascii="Times New Roman" w:hAnsi="Times New Roman"/>
          <w:sz w:val="20"/>
          <w:szCs w:val="20"/>
        </w:rPr>
        <w:t>Forthcoming.</w:t>
      </w:r>
    </w:p>
    <w:p w:rsidR="00386293" w:rsidRDefault="00386293" w:rsidP="00386293">
      <w:pPr>
        <w:spacing w:after="0" w:line="240" w:lineRule="auto"/>
        <w:rPr>
          <w:rFonts w:ascii="Times New Roman" w:hAnsi="Times New Roman"/>
          <w:bCs/>
          <w:sz w:val="20"/>
          <w:szCs w:val="20"/>
        </w:rPr>
      </w:pPr>
    </w:p>
    <w:p w:rsidR="00386293" w:rsidRPr="00386293" w:rsidRDefault="00386293" w:rsidP="00386293">
      <w:pPr>
        <w:spacing w:after="0" w:line="240" w:lineRule="auto"/>
        <w:rPr>
          <w:rFonts w:ascii="Times New Roman" w:hAnsi="Times New Roman"/>
          <w:bCs/>
          <w:sz w:val="20"/>
          <w:szCs w:val="20"/>
        </w:rPr>
      </w:pPr>
    </w:p>
    <w:p w:rsidR="00091972" w:rsidRDefault="00091972" w:rsidP="00091972">
      <w:pPr>
        <w:spacing w:line="360" w:lineRule="auto"/>
        <w:jc w:val="center"/>
        <w:rPr>
          <w:rFonts w:ascii="Times New Roman" w:hAnsi="Times New Roman"/>
          <w:b/>
          <w:sz w:val="24"/>
          <w:szCs w:val="24"/>
        </w:rPr>
      </w:pPr>
      <w:r>
        <w:rPr>
          <w:rFonts w:ascii="Times New Roman" w:hAnsi="Times New Roman"/>
          <w:b/>
          <w:bCs/>
          <w:sz w:val="24"/>
          <w:szCs w:val="24"/>
        </w:rPr>
        <w:t xml:space="preserve">Corresponding author: Email: </w:t>
      </w:r>
      <w:hyperlink r:id="rId8" w:history="1">
        <w:r>
          <w:rPr>
            <w:rStyle w:val="Hyperlink"/>
            <w:rFonts w:ascii="Times New Roman" w:hAnsi="Times New Roman"/>
            <w:sz w:val="24"/>
            <w:szCs w:val="24"/>
          </w:rPr>
          <w:t>samuel.fosu@dmu.ac.uk</w:t>
        </w:r>
      </w:hyperlink>
      <w:r>
        <w:rPr>
          <w:rStyle w:val="Hyperlink"/>
          <w:rFonts w:ascii="Times New Roman" w:hAnsi="Times New Roman"/>
          <w:sz w:val="24"/>
          <w:szCs w:val="24"/>
        </w:rPr>
        <w:t xml:space="preserve">     </w:t>
      </w:r>
    </w:p>
    <w:p w:rsidR="00D55D24" w:rsidRPr="00020413" w:rsidRDefault="00A651BC" w:rsidP="00D55D24">
      <w:pPr>
        <w:spacing w:after="120" w:line="360" w:lineRule="auto"/>
        <w:rPr>
          <w:rFonts w:ascii="Times New Roman" w:hAnsi="Times New Roman"/>
          <w:b/>
          <w:sz w:val="24"/>
          <w:szCs w:val="24"/>
        </w:rPr>
      </w:pPr>
      <w:r w:rsidRPr="00020413">
        <w:rPr>
          <w:rFonts w:ascii="Times New Roman" w:hAnsi="Times New Roman"/>
          <w:b/>
          <w:sz w:val="24"/>
          <w:szCs w:val="24"/>
        </w:rPr>
        <w:t>Abstract</w:t>
      </w:r>
    </w:p>
    <w:p w:rsidR="00D87A38" w:rsidRPr="00020413" w:rsidRDefault="008F1602" w:rsidP="00C90E49">
      <w:pPr>
        <w:spacing w:after="120" w:line="360" w:lineRule="auto"/>
        <w:jc w:val="both"/>
        <w:rPr>
          <w:rFonts w:ascii="Times New Roman" w:hAnsi="Times New Roman"/>
          <w:sz w:val="24"/>
          <w:szCs w:val="24"/>
        </w:rPr>
      </w:pPr>
      <w:r w:rsidRPr="00020413">
        <w:rPr>
          <w:rFonts w:ascii="Times New Roman" w:hAnsi="Times New Roman"/>
          <w:sz w:val="24"/>
          <w:szCs w:val="24"/>
        </w:rPr>
        <w:t>D</w:t>
      </w:r>
      <w:r w:rsidR="007A1B53" w:rsidRPr="00020413">
        <w:rPr>
          <w:rFonts w:ascii="Times New Roman" w:hAnsi="Times New Roman"/>
          <w:sz w:val="24"/>
          <w:szCs w:val="24"/>
        </w:rPr>
        <w:t xml:space="preserve">eparting from the </w:t>
      </w:r>
      <w:r w:rsidR="003066DF" w:rsidRPr="00020413">
        <w:rPr>
          <w:rFonts w:ascii="Times New Roman" w:hAnsi="Times New Roman"/>
          <w:sz w:val="24"/>
          <w:szCs w:val="24"/>
        </w:rPr>
        <w:t xml:space="preserve">existing </w:t>
      </w:r>
      <w:r w:rsidR="007A1B53" w:rsidRPr="00020413">
        <w:rPr>
          <w:rFonts w:ascii="Times New Roman" w:hAnsi="Times New Roman"/>
          <w:sz w:val="24"/>
          <w:szCs w:val="24"/>
        </w:rPr>
        <w:t>literature</w:t>
      </w:r>
      <w:r w:rsidR="00313082" w:rsidRPr="00020413">
        <w:rPr>
          <w:rFonts w:ascii="Times New Roman" w:hAnsi="Times New Roman"/>
          <w:sz w:val="24"/>
          <w:szCs w:val="24"/>
        </w:rPr>
        <w:t>,</w:t>
      </w:r>
      <w:r w:rsidR="007A1B53" w:rsidRPr="00020413">
        <w:rPr>
          <w:rFonts w:ascii="Times New Roman" w:hAnsi="Times New Roman"/>
          <w:sz w:val="24"/>
          <w:szCs w:val="24"/>
        </w:rPr>
        <w:t xml:space="preserve"> </w:t>
      </w:r>
      <w:r w:rsidR="002F52E9" w:rsidRPr="00020413">
        <w:rPr>
          <w:rFonts w:ascii="Times New Roman" w:hAnsi="Times New Roman"/>
          <w:sz w:val="24"/>
          <w:szCs w:val="24"/>
        </w:rPr>
        <w:t>which associates credit information shari</w:t>
      </w:r>
      <w:r w:rsidR="00F21A85" w:rsidRPr="00020413">
        <w:rPr>
          <w:rFonts w:ascii="Times New Roman" w:hAnsi="Times New Roman"/>
          <w:sz w:val="24"/>
          <w:szCs w:val="24"/>
        </w:rPr>
        <w:t xml:space="preserve">ng with </w:t>
      </w:r>
      <w:r w:rsidR="002F52E9" w:rsidRPr="00020413">
        <w:rPr>
          <w:rFonts w:ascii="Times New Roman" w:hAnsi="Times New Roman"/>
          <w:sz w:val="24"/>
          <w:szCs w:val="24"/>
        </w:rPr>
        <w:t xml:space="preserve">improved access to </w:t>
      </w:r>
      <w:r w:rsidR="00C80D74" w:rsidRPr="00020413">
        <w:rPr>
          <w:rFonts w:ascii="Times New Roman" w:hAnsi="Times New Roman"/>
          <w:sz w:val="24"/>
          <w:szCs w:val="24"/>
        </w:rPr>
        <w:t>credit</w:t>
      </w:r>
      <w:r w:rsidR="003C3FE3" w:rsidRPr="00020413">
        <w:rPr>
          <w:rFonts w:ascii="Times New Roman" w:hAnsi="Times New Roman"/>
          <w:sz w:val="24"/>
          <w:szCs w:val="24"/>
        </w:rPr>
        <w:t xml:space="preserve"> in advanced economies</w:t>
      </w:r>
      <w:r w:rsidR="002F52E9" w:rsidRPr="00020413">
        <w:rPr>
          <w:rFonts w:ascii="Times New Roman" w:hAnsi="Times New Roman"/>
          <w:sz w:val="24"/>
          <w:szCs w:val="24"/>
        </w:rPr>
        <w:t xml:space="preserve">, </w:t>
      </w:r>
      <w:r w:rsidR="006B3F17" w:rsidRPr="00020413">
        <w:rPr>
          <w:rFonts w:ascii="Times New Roman" w:hAnsi="Times New Roman"/>
          <w:sz w:val="24"/>
          <w:szCs w:val="24"/>
        </w:rPr>
        <w:t xml:space="preserve">we </w:t>
      </w:r>
      <w:r w:rsidR="00DB2B3C" w:rsidRPr="00020413">
        <w:rPr>
          <w:rFonts w:ascii="Times New Roman" w:hAnsi="Times New Roman"/>
          <w:sz w:val="24"/>
          <w:szCs w:val="24"/>
        </w:rPr>
        <w:t>examine</w:t>
      </w:r>
      <w:r w:rsidR="00032ADE" w:rsidRPr="00020413">
        <w:rPr>
          <w:rFonts w:ascii="Times New Roman" w:hAnsi="Times New Roman"/>
          <w:sz w:val="24"/>
          <w:szCs w:val="24"/>
        </w:rPr>
        <w:t xml:space="preserve"> whether</w:t>
      </w:r>
      <w:r w:rsidR="006B3F17" w:rsidRPr="00020413">
        <w:rPr>
          <w:rFonts w:ascii="Times New Roman" w:hAnsi="Times New Roman"/>
          <w:sz w:val="24"/>
          <w:szCs w:val="24"/>
        </w:rPr>
        <w:t xml:space="preserve"> credit information sharing</w:t>
      </w:r>
      <w:r w:rsidR="00714EB2" w:rsidRPr="00020413">
        <w:rPr>
          <w:rFonts w:ascii="Times New Roman" w:hAnsi="Times New Roman"/>
          <w:sz w:val="24"/>
          <w:szCs w:val="24"/>
        </w:rPr>
        <w:t xml:space="preserve"> can</w:t>
      </w:r>
      <w:r w:rsidR="006B3F17" w:rsidRPr="00020413">
        <w:rPr>
          <w:rFonts w:ascii="Times New Roman" w:hAnsi="Times New Roman"/>
          <w:sz w:val="24"/>
          <w:szCs w:val="24"/>
        </w:rPr>
        <w:t xml:space="preserve"> </w:t>
      </w:r>
      <w:r w:rsidR="00B710F2" w:rsidRPr="00020413">
        <w:rPr>
          <w:rFonts w:ascii="Times New Roman" w:hAnsi="Times New Roman"/>
          <w:sz w:val="24"/>
          <w:szCs w:val="24"/>
        </w:rPr>
        <w:t xml:space="preserve">also </w:t>
      </w:r>
      <w:r w:rsidR="003C3FE3" w:rsidRPr="00020413">
        <w:rPr>
          <w:rFonts w:ascii="Times New Roman" w:hAnsi="Times New Roman"/>
          <w:sz w:val="24"/>
          <w:szCs w:val="24"/>
        </w:rPr>
        <w:t xml:space="preserve">reduce </w:t>
      </w:r>
      <w:r w:rsidR="00262D41" w:rsidRPr="00020413">
        <w:rPr>
          <w:rFonts w:ascii="Times New Roman" w:hAnsi="Times New Roman"/>
          <w:sz w:val="24"/>
          <w:szCs w:val="24"/>
        </w:rPr>
        <w:t>loan default rate</w:t>
      </w:r>
      <w:r w:rsidR="00032ADE" w:rsidRPr="00020413">
        <w:rPr>
          <w:rFonts w:ascii="Times New Roman" w:hAnsi="Times New Roman"/>
          <w:sz w:val="24"/>
          <w:szCs w:val="24"/>
        </w:rPr>
        <w:t xml:space="preserve"> </w:t>
      </w:r>
      <w:r w:rsidR="00C80D74" w:rsidRPr="00020413">
        <w:rPr>
          <w:rFonts w:ascii="Times New Roman" w:hAnsi="Times New Roman"/>
          <w:sz w:val="24"/>
          <w:szCs w:val="24"/>
        </w:rPr>
        <w:t xml:space="preserve">for banks domiciled </w:t>
      </w:r>
      <w:r w:rsidR="00CF657F" w:rsidRPr="00020413">
        <w:rPr>
          <w:rFonts w:ascii="Times New Roman" w:hAnsi="Times New Roman"/>
          <w:sz w:val="24"/>
          <w:szCs w:val="24"/>
        </w:rPr>
        <w:t>in developing countries</w:t>
      </w:r>
      <w:r w:rsidR="006B3F17" w:rsidRPr="00020413">
        <w:rPr>
          <w:rFonts w:ascii="Times New Roman" w:hAnsi="Times New Roman"/>
          <w:sz w:val="24"/>
          <w:szCs w:val="24"/>
        </w:rPr>
        <w:t xml:space="preserve">. </w:t>
      </w:r>
      <w:r w:rsidR="003066DF" w:rsidRPr="00020413">
        <w:rPr>
          <w:rFonts w:ascii="Times New Roman" w:hAnsi="Times New Roman"/>
          <w:sz w:val="24"/>
          <w:szCs w:val="24"/>
        </w:rPr>
        <w:t>Using</w:t>
      </w:r>
      <w:r w:rsidR="00777483" w:rsidRPr="00020413">
        <w:rPr>
          <w:rFonts w:ascii="Times New Roman" w:hAnsi="Times New Roman"/>
          <w:sz w:val="24"/>
          <w:szCs w:val="24"/>
        </w:rPr>
        <w:t xml:space="preserve"> </w:t>
      </w:r>
      <w:r w:rsidR="003066DF" w:rsidRPr="00020413">
        <w:rPr>
          <w:rFonts w:ascii="Times New Roman" w:hAnsi="Times New Roman"/>
          <w:sz w:val="24"/>
          <w:szCs w:val="24"/>
        </w:rPr>
        <w:t>a</w:t>
      </w:r>
      <w:r w:rsidR="00777483" w:rsidRPr="00020413">
        <w:rPr>
          <w:rFonts w:ascii="Times New Roman" w:hAnsi="Times New Roman"/>
          <w:sz w:val="24"/>
          <w:szCs w:val="24"/>
        </w:rPr>
        <w:t xml:space="preserve"> </w:t>
      </w:r>
      <w:r w:rsidR="003066DF" w:rsidRPr="00020413">
        <w:rPr>
          <w:rFonts w:ascii="Times New Roman" w:hAnsi="Times New Roman"/>
          <w:sz w:val="24"/>
          <w:szCs w:val="24"/>
        </w:rPr>
        <w:t xml:space="preserve">large </w:t>
      </w:r>
      <w:r w:rsidR="00610905" w:rsidRPr="00020413">
        <w:rPr>
          <w:rFonts w:ascii="Times New Roman" w:hAnsi="Times New Roman"/>
          <w:sz w:val="24"/>
          <w:szCs w:val="24"/>
        </w:rPr>
        <w:t xml:space="preserve">dataset </w:t>
      </w:r>
      <w:r w:rsidR="00777483" w:rsidRPr="00020413">
        <w:rPr>
          <w:rFonts w:ascii="Times New Roman" w:hAnsi="Times New Roman"/>
          <w:sz w:val="24"/>
          <w:szCs w:val="24"/>
        </w:rPr>
        <w:t xml:space="preserve">covering </w:t>
      </w:r>
      <w:r w:rsidR="00A649C8" w:rsidRPr="00020413">
        <w:rPr>
          <w:rFonts w:ascii="Times New Roman" w:hAnsi="Times New Roman"/>
          <w:sz w:val="24"/>
          <w:szCs w:val="24"/>
        </w:rPr>
        <w:t xml:space="preserve">879 </w:t>
      </w:r>
      <w:r w:rsidR="00C35DBD" w:rsidRPr="00020413">
        <w:rPr>
          <w:rFonts w:ascii="Times New Roman" w:hAnsi="Times New Roman"/>
          <w:sz w:val="24"/>
          <w:szCs w:val="24"/>
        </w:rPr>
        <w:t xml:space="preserve">unique </w:t>
      </w:r>
      <w:r w:rsidR="00777483" w:rsidRPr="00020413">
        <w:rPr>
          <w:rFonts w:ascii="Times New Roman" w:hAnsi="Times New Roman"/>
          <w:sz w:val="24"/>
          <w:szCs w:val="24"/>
        </w:rPr>
        <w:t xml:space="preserve">banks from </w:t>
      </w:r>
      <w:r w:rsidR="00A649C8" w:rsidRPr="00020413">
        <w:rPr>
          <w:rFonts w:ascii="Times New Roman" w:hAnsi="Times New Roman"/>
          <w:sz w:val="24"/>
          <w:szCs w:val="24"/>
        </w:rPr>
        <w:t xml:space="preserve">87 </w:t>
      </w:r>
      <w:r w:rsidR="00146C8F" w:rsidRPr="00020413">
        <w:rPr>
          <w:rFonts w:ascii="Times New Roman" w:hAnsi="Times New Roman"/>
          <w:sz w:val="24"/>
          <w:szCs w:val="24"/>
        </w:rPr>
        <w:t>developing</w:t>
      </w:r>
      <w:r w:rsidR="00777483" w:rsidRPr="00020413">
        <w:rPr>
          <w:rFonts w:ascii="Times New Roman" w:hAnsi="Times New Roman"/>
          <w:sz w:val="24"/>
          <w:szCs w:val="24"/>
        </w:rPr>
        <w:t xml:space="preserve"> countries</w:t>
      </w:r>
      <w:r w:rsidR="00F634F4" w:rsidRPr="00020413">
        <w:rPr>
          <w:rFonts w:ascii="Times New Roman" w:hAnsi="Times New Roman"/>
          <w:sz w:val="24"/>
          <w:szCs w:val="24"/>
        </w:rPr>
        <w:t xml:space="preserve"> from every continent</w:t>
      </w:r>
      <w:r w:rsidR="00DB2B3C" w:rsidRPr="00020413">
        <w:rPr>
          <w:rFonts w:ascii="Times New Roman" w:hAnsi="Times New Roman"/>
          <w:sz w:val="24"/>
          <w:szCs w:val="24"/>
        </w:rPr>
        <w:t>,</w:t>
      </w:r>
      <w:r w:rsidR="00777483" w:rsidRPr="00020413">
        <w:rPr>
          <w:rFonts w:ascii="Times New Roman" w:hAnsi="Times New Roman"/>
          <w:sz w:val="24"/>
          <w:szCs w:val="24"/>
        </w:rPr>
        <w:t xml:space="preserve"> over </w:t>
      </w:r>
      <w:r w:rsidR="00313082" w:rsidRPr="00020413">
        <w:rPr>
          <w:rFonts w:ascii="Times New Roman" w:hAnsi="Times New Roman"/>
          <w:sz w:val="24"/>
          <w:szCs w:val="24"/>
        </w:rPr>
        <w:t xml:space="preserve">a </w:t>
      </w:r>
      <w:r w:rsidR="007C6164" w:rsidRPr="00020413">
        <w:rPr>
          <w:rFonts w:ascii="Times New Roman" w:hAnsi="Times New Roman"/>
          <w:sz w:val="24"/>
          <w:szCs w:val="24"/>
        </w:rPr>
        <w:t>nine-</w:t>
      </w:r>
      <w:r w:rsidR="00313082" w:rsidRPr="00020413">
        <w:rPr>
          <w:rFonts w:ascii="Times New Roman" w:hAnsi="Times New Roman"/>
          <w:sz w:val="24"/>
          <w:szCs w:val="24"/>
        </w:rPr>
        <w:t>year</w:t>
      </w:r>
      <w:r w:rsidR="00777483" w:rsidRPr="00020413">
        <w:rPr>
          <w:rFonts w:ascii="Times New Roman" w:hAnsi="Times New Roman"/>
          <w:sz w:val="24"/>
          <w:szCs w:val="24"/>
        </w:rPr>
        <w:t xml:space="preserve"> period</w:t>
      </w:r>
      <w:r w:rsidR="003F24A0" w:rsidRPr="00020413">
        <w:rPr>
          <w:rFonts w:ascii="Times New Roman" w:hAnsi="Times New Roman"/>
          <w:sz w:val="24"/>
          <w:szCs w:val="24"/>
        </w:rPr>
        <w:t xml:space="preserve"> (i.e., over 6,300 observations)</w:t>
      </w:r>
      <w:r w:rsidR="00777483" w:rsidRPr="00020413">
        <w:rPr>
          <w:rFonts w:ascii="Times New Roman" w:hAnsi="Times New Roman"/>
          <w:sz w:val="24"/>
          <w:szCs w:val="24"/>
        </w:rPr>
        <w:t xml:space="preserve">, </w:t>
      </w:r>
      <w:r w:rsidR="00B710F2" w:rsidRPr="00020413">
        <w:rPr>
          <w:rFonts w:ascii="Times New Roman" w:hAnsi="Times New Roman"/>
          <w:sz w:val="24"/>
          <w:szCs w:val="24"/>
        </w:rPr>
        <w:t xml:space="preserve">we </w:t>
      </w:r>
      <w:r w:rsidR="006B3F17" w:rsidRPr="00020413">
        <w:rPr>
          <w:rFonts w:ascii="Times New Roman" w:hAnsi="Times New Roman"/>
          <w:sz w:val="24"/>
          <w:szCs w:val="24"/>
        </w:rPr>
        <w:t xml:space="preserve">uncover </w:t>
      </w:r>
      <w:r w:rsidR="007C1638" w:rsidRPr="00020413">
        <w:rPr>
          <w:rFonts w:ascii="Times New Roman" w:hAnsi="Times New Roman"/>
          <w:sz w:val="24"/>
          <w:szCs w:val="24"/>
        </w:rPr>
        <w:t xml:space="preserve">three </w:t>
      </w:r>
      <w:r w:rsidR="006B3F17" w:rsidRPr="00020413">
        <w:rPr>
          <w:rFonts w:ascii="Times New Roman" w:hAnsi="Times New Roman"/>
          <w:sz w:val="24"/>
          <w:szCs w:val="24"/>
        </w:rPr>
        <w:t xml:space="preserve">new findings. First, we find that </w:t>
      </w:r>
      <w:r w:rsidR="00B83CC4" w:rsidRPr="00020413">
        <w:rPr>
          <w:rFonts w:ascii="Times New Roman" w:hAnsi="Times New Roman"/>
          <w:sz w:val="24"/>
          <w:szCs w:val="24"/>
        </w:rPr>
        <w:t>credit information sharing</w:t>
      </w:r>
      <w:r w:rsidR="00911DA1" w:rsidRPr="00020413">
        <w:rPr>
          <w:rFonts w:ascii="Times New Roman" w:hAnsi="Times New Roman"/>
          <w:sz w:val="24"/>
          <w:szCs w:val="24"/>
        </w:rPr>
        <w:t xml:space="preserve"> reduce</w:t>
      </w:r>
      <w:r w:rsidR="00DB2B3C" w:rsidRPr="00020413">
        <w:rPr>
          <w:rFonts w:ascii="Times New Roman" w:hAnsi="Times New Roman"/>
          <w:sz w:val="24"/>
          <w:szCs w:val="24"/>
        </w:rPr>
        <w:t>s</w:t>
      </w:r>
      <w:r w:rsidR="00911DA1" w:rsidRPr="00020413">
        <w:rPr>
          <w:rFonts w:ascii="Times New Roman" w:hAnsi="Times New Roman"/>
          <w:sz w:val="24"/>
          <w:szCs w:val="24"/>
        </w:rPr>
        <w:t xml:space="preserve"> </w:t>
      </w:r>
      <w:r w:rsidR="00262D41" w:rsidRPr="00020413">
        <w:rPr>
          <w:rFonts w:ascii="Times New Roman" w:hAnsi="Times New Roman"/>
          <w:sz w:val="24"/>
          <w:szCs w:val="24"/>
        </w:rPr>
        <w:t>loan default rate</w:t>
      </w:r>
      <w:r w:rsidR="00B83CC4" w:rsidRPr="00020413">
        <w:rPr>
          <w:rFonts w:ascii="Times New Roman" w:hAnsi="Times New Roman"/>
          <w:sz w:val="24"/>
          <w:szCs w:val="24"/>
        </w:rPr>
        <w:t>.</w:t>
      </w:r>
      <w:r w:rsidR="009840A8" w:rsidRPr="00020413">
        <w:rPr>
          <w:rFonts w:ascii="Times New Roman" w:hAnsi="Times New Roman"/>
          <w:sz w:val="24"/>
          <w:szCs w:val="24"/>
        </w:rPr>
        <w:t xml:space="preserve"> </w:t>
      </w:r>
      <w:r w:rsidR="006B3F17" w:rsidRPr="00020413">
        <w:rPr>
          <w:rFonts w:ascii="Times New Roman" w:hAnsi="Times New Roman"/>
          <w:sz w:val="24"/>
          <w:szCs w:val="24"/>
        </w:rPr>
        <w:t xml:space="preserve">Second, we show that </w:t>
      </w:r>
      <w:r w:rsidR="003C3FE3" w:rsidRPr="00020413">
        <w:rPr>
          <w:rFonts w:ascii="Times New Roman" w:hAnsi="Times New Roman"/>
          <w:sz w:val="24"/>
          <w:szCs w:val="24"/>
        </w:rPr>
        <w:t>the relationship between</w:t>
      </w:r>
      <w:r w:rsidRPr="00020413">
        <w:rPr>
          <w:rFonts w:ascii="Times New Roman" w:hAnsi="Times New Roman"/>
          <w:sz w:val="24"/>
          <w:szCs w:val="24"/>
        </w:rPr>
        <w:t xml:space="preserve"> </w:t>
      </w:r>
      <w:r w:rsidR="002D5E55" w:rsidRPr="00020413">
        <w:rPr>
          <w:rFonts w:ascii="Times New Roman" w:hAnsi="Times New Roman"/>
          <w:sz w:val="24"/>
          <w:szCs w:val="24"/>
        </w:rPr>
        <w:t xml:space="preserve">credit information sharing and </w:t>
      </w:r>
      <w:r w:rsidR="00262D41" w:rsidRPr="00020413">
        <w:rPr>
          <w:rFonts w:ascii="Times New Roman" w:hAnsi="Times New Roman"/>
          <w:sz w:val="24"/>
          <w:szCs w:val="24"/>
        </w:rPr>
        <w:t>loan default rate</w:t>
      </w:r>
      <w:r w:rsidRPr="00020413">
        <w:rPr>
          <w:rFonts w:ascii="Times New Roman" w:hAnsi="Times New Roman"/>
          <w:sz w:val="24"/>
          <w:szCs w:val="24"/>
        </w:rPr>
        <w:t xml:space="preserve"> is conditional on</w:t>
      </w:r>
      <w:r w:rsidR="00E414C4" w:rsidRPr="00020413">
        <w:rPr>
          <w:rFonts w:ascii="Times New Roman" w:hAnsi="Times New Roman"/>
          <w:sz w:val="24"/>
          <w:szCs w:val="24"/>
        </w:rPr>
        <w:t xml:space="preserve"> banking market concentration</w:t>
      </w:r>
      <w:r w:rsidR="006B3F17" w:rsidRPr="00020413">
        <w:rPr>
          <w:rFonts w:ascii="Times New Roman" w:hAnsi="Times New Roman"/>
          <w:sz w:val="24"/>
          <w:szCs w:val="24"/>
        </w:rPr>
        <w:t xml:space="preserve">. Third, our findings suggest that </w:t>
      </w:r>
      <w:r w:rsidRPr="00020413">
        <w:rPr>
          <w:rFonts w:ascii="Times New Roman" w:hAnsi="Times New Roman"/>
          <w:sz w:val="24"/>
          <w:szCs w:val="24"/>
        </w:rPr>
        <w:t>governance quality</w:t>
      </w:r>
      <w:r w:rsidR="006B3F17" w:rsidRPr="00020413">
        <w:rPr>
          <w:rFonts w:ascii="Times New Roman" w:hAnsi="Times New Roman"/>
          <w:sz w:val="24"/>
          <w:szCs w:val="24"/>
        </w:rPr>
        <w:t xml:space="preserve"> </w:t>
      </w:r>
      <w:r w:rsidR="003C3FE3" w:rsidRPr="00020413">
        <w:rPr>
          <w:rFonts w:ascii="Times New Roman" w:hAnsi="Times New Roman"/>
          <w:sz w:val="24"/>
          <w:szCs w:val="24"/>
        </w:rPr>
        <w:t>at the country</w:t>
      </w:r>
      <w:r w:rsidR="00646C25" w:rsidRPr="00020413">
        <w:rPr>
          <w:rFonts w:ascii="Times New Roman" w:hAnsi="Times New Roman"/>
          <w:sz w:val="24"/>
          <w:szCs w:val="24"/>
        </w:rPr>
        <w:t xml:space="preserve"> </w:t>
      </w:r>
      <w:r w:rsidR="003C3FE3" w:rsidRPr="00020413">
        <w:rPr>
          <w:rFonts w:ascii="Times New Roman" w:hAnsi="Times New Roman"/>
          <w:sz w:val="24"/>
          <w:szCs w:val="24"/>
        </w:rPr>
        <w:t xml:space="preserve">level </w:t>
      </w:r>
      <w:r w:rsidR="008423C2" w:rsidRPr="00020413">
        <w:rPr>
          <w:rFonts w:ascii="Times New Roman" w:hAnsi="Times New Roman"/>
          <w:sz w:val="24"/>
          <w:szCs w:val="24"/>
        </w:rPr>
        <w:t>does not have a strong</w:t>
      </w:r>
      <w:r w:rsidR="00805756" w:rsidRPr="00020413">
        <w:rPr>
          <w:rFonts w:ascii="Times New Roman" w:hAnsi="Times New Roman"/>
          <w:sz w:val="24"/>
          <w:szCs w:val="24"/>
        </w:rPr>
        <w:t xml:space="preserve"> </w:t>
      </w:r>
      <w:r w:rsidR="006B3F17" w:rsidRPr="00020413">
        <w:rPr>
          <w:rFonts w:ascii="Times New Roman" w:hAnsi="Times New Roman"/>
          <w:sz w:val="24"/>
          <w:szCs w:val="24"/>
        </w:rPr>
        <w:t>moderat</w:t>
      </w:r>
      <w:r w:rsidR="008423C2" w:rsidRPr="00020413">
        <w:rPr>
          <w:rFonts w:ascii="Times New Roman" w:hAnsi="Times New Roman"/>
          <w:sz w:val="24"/>
          <w:szCs w:val="24"/>
        </w:rPr>
        <w:t>ing role on</w:t>
      </w:r>
      <w:r w:rsidR="006B3F17" w:rsidRPr="00020413">
        <w:rPr>
          <w:rFonts w:ascii="Times New Roman" w:hAnsi="Times New Roman"/>
          <w:sz w:val="24"/>
          <w:szCs w:val="24"/>
        </w:rPr>
        <w:t xml:space="preserve"> the effect of credi</w:t>
      </w:r>
      <w:r w:rsidR="003C3FE3" w:rsidRPr="00020413">
        <w:rPr>
          <w:rFonts w:ascii="Times New Roman" w:hAnsi="Times New Roman"/>
          <w:sz w:val="24"/>
          <w:szCs w:val="24"/>
        </w:rPr>
        <w:t xml:space="preserve">t information sharing on </w:t>
      </w:r>
      <w:r w:rsidR="00262D41" w:rsidRPr="00020413">
        <w:rPr>
          <w:rFonts w:ascii="Times New Roman" w:hAnsi="Times New Roman"/>
          <w:sz w:val="24"/>
          <w:szCs w:val="24"/>
        </w:rPr>
        <w:t>loan default rate</w:t>
      </w:r>
      <w:r w:rsidR="006B3F17" w:rsidRPr="00020413">
        <w:rPr>
          <w:rFonts w:ascii="Times New Roman" w:hAnsi="Times New Roman"/>
          <w:sz w:val="24"/>
          <w:szCs w:val="24"/>
        </w:rPr>
        <w:t xml:space="preserve">. </w:t>
      </w:r>
    </w:p>
    <w:p w:rsidR="00D34119" w:rsidRPr="00C82A6B" w:rsidRDefault="00A651BC" w:rsidP="00C0246F">
      <w:pPr>
        <w:spacing w:after="120" w:line="360" w:lineRule="auto"/>
        <w:jc w:val="both"/>
        <w:rPr>
          <w:rFonts w:ascii="Times New Roman" w:hAnsi="Times New Roman"/>
          <w:sz w:val="24"/>
          <w:szCs w:val="24"/>
        </w:rPr>
      </w:pPr>
      <w:r w:rsidRPr="00020413">
        <w:rPr>
          <w:rFonts w:ascii="Times New Roman" w:hAnsi="Times New Roman"/>
          <w:b/>
          <w:sz w:val="24"/>
          <w:szCs w:val="24"/>
        </w:rPr>
        <w:t>Keywords</w:t>
      </w:r>
      <w:r w:rsidR="00C0246F">
        <w:rPr>
          <w:rFonts w:ascii="Times New Roman" w:hAnsi="Times New Roman"/>
          <w:b/>
          <w:sz w:val="24"/>
          <w:szCs w:val="24"/>
        </w:rPr>
        <w:t xml:space="preserve">: </w:t>
      </w:r>
      <w:r w:rsidR="003D4C21" w:rsidRPr="00C82A6B">
        <w:rPr>
          <w:rFonts w:ascii="Times New Roman" w:hAnsi="Times New Roman"/>
          <w:sz w:val="24"/>
          <w:szCs w:val="24"/>
        </w:rPr>
        <w:t>Credit information</w:t>
      </w:r>
      <w:r w:rsidR="00D34119" w:rsidRPr="00C82A6B">
        <w:rPr>
          <w:rFonts w:ascii="Times New Roman" w:hAnsi="Times New Roman"/>
          <w:sz w:val="24"/>
          <w:szCs w:val="24"/>
        </w:rPr>
        <w:t xml:space="preserve"> sharing</w:t>
      </w:r>
      <w:r w:rsidR="00C0246F" w:rsidRPr="00C82A6B">
        <w:rPr>
          <w:rFonts w:ascii="Times New Roman" w:hAnsi="Times New Roman"/>
          <w:sz w:val="24"/>
          <w:szCs w:val="24"/>
        </w:rPr>
        <w:t xml:space="preserve">, </w:t>
      </w:r>
      <w:r w:rsidR="00914F4F" w:rsidRPr="00C82A6B">
        <w:rPr>
          <w:rFonts w:ascii="Times New Roman" w:hAnsi="Times New Roman"/>
          <w:sz w:val="24"/>
          <w:szCs w:val="24"/>
        </w:rPr>
        <w:t>Developing countries</w:t>
      </w:r>
      <w:r w:rsidR="00C0246F" w:rsidRPr="00C82A6B">
        <w:rPr>
          <w:rFonts w:ascii="Times New Roman" w:hAnsi="Times New Roman"/>
          <w:sz w:val="24"/>
          <w:szCs w:val="24"/>
        </w:rPr>
        <w:t xml:space="preserve">, </w:t>
      </w:r>
      <w:r w:rsidR="00D34119" w:rsidRPr="00C82A6B">
        <w:rPr>
          <w:rFonts w:ascii="Times New Roman" w:hAnsi="Times New Roman"/>
          <w:sz w:val="24"/>
          <w:szCs w:val="24"/>
        </w:rPr>
        <w:t>Banking market concentration</w:t>
      </w:r>
      <w:r w:rsidR="00C0246F" w:rsidRPr="00C82A6B">
        <w:rPr>
          <w:rFonts w:ascii="Times New Roman" w:hAnsi="Times New Roman"/>
          <w:sz w:val="24"/>
          <w:szCs w:val="24"/>
        </w:rPr>
        <w:t xml:space="preserve">, </w:t>
      </w:r>
      <w:r w:rsidR="00D34119" w:rsidRPr="00C82A6B">
        <w:rPr>
          <w:rFonts w:ascii="Times New Roman" w:hAnsi="Times New Roman"/>
          <w:sz w:val="24"/>
          <w:szCs w:val="24"/>
        </w:rPr>
        <w:t>Governance</w:t>
      </w:r>
      <w:r w:rsidR="00146C8F" w:rsidRPr="00C82A6B">
        <w:rPr>
          <w:rFonts w:ascii="Times New Roman" w:hAnsi="Times New Roman"/>
          <w:sz w:val="24"/>
          <w:szCs w:val="24"/>
        </w:rPr>
        <w:t xml:space="preserve"> quality</w:t>
      </w:r>
    </w:p>
    <w:p w:rsidR="0065792C" w:rsidRPr="00020413" w:rsidRDefault="0065792C" w:rsidP="00D55D24">
      <w:pPr>
        <w:pStyle w:val="NoSpacing"/>
        <w:spacing w:line="360" w:lineRule="auto"/>
        <w:rPr>
          <w:rFonts w:ascii="Times New Roman" w:hAnsi="Times New Roman"/>
          <w:i/>
          <w:sz w:val="24"/>
          <w:szCs w:val="24"/>
        </w:rPr>
      </w:pPr>
    </w:p>
    <w:p w:rsidR="0065792C" w:rsidRPr="00020413" w:rsidRDefault="00A651BC" w:rsidP="00D55D24">
      <w:pPr>
        <w:pStyle w:val="NoSpacing"/>
        <w:spacing w:line="360" w:lineRule="auto"/>
        <w:rPr>
          <w:rFonts w:ascii="Times New Roman" w:hAnsi="Times New Roman"/>
          <w:sz w:val="24"/>
          <w:szCs w:val="24"/>
        </w:rPr>
      </w:pPr>
      <w:r w:rsidRPr="00020413">
        <w:rPr>
          <w:rFonts w:ascii="Times New Roman" w:hAnsi="Times New Roman"/>
          <w:i/>
          <w:sz w:val="24"/>
          <w:szCs w:val="24"/>
        </w:rPr>
        <w:t>JEL</w:t>
      </w:r>
      <w:r w:rsidRPr="00020413">
        <w:rPr>
          <w:rFonts w:ascii="Times New Roman" w:hAnsi="Times New Roman"/>
          <w:sz w:val="24"/>
          <w:szCs w:val="24"/>
        </w:rPr>
        <w:t xml:space="preserve"> Classification:</w:t>
      </w:r>
      <w:r w:rsidR="0065792C" w:rsidRPr="00020413">
        <w:rPr>
          <w:rFonts w:ascii="Times New Roman" w:hAnsi="Times New Roman"/>
          <w:sz w:val="24"/>
          <w:szCs w:val="24"/>
        </w:rPr>
        <w:t xml:space="preserve"> </w:t>
      </w:r>
    </w:p>
    <w:p w:rsidR="0065792C" w:rsidRPr="00020413" w:rsidRDefault="005852B1" w:rsidP="00D55D24">
      <w:pPr>
        <w:pStyle w:val="NoSpacing"/>
        <w:numPr>
          <w:ilvl w:val="0"/>
          <w:numId w:val="5"/>
        </w:numPr>
        <w:spacing w:line="360" w:lineRule="auto"/>
        <w:rPr>
          <w:rFonts w:ascii="Times New Roman" w:hAnsi="Times New Roman"/>
          <w:sz w:val="24"/>
          <w:szCs w:val="24"/>
        </w:rPr>
      </w:pPr>
      <w:r w:rsidRPr="00020413">
        <w:rPr>
          <w:rFonts w:ascii="Times New Roman" w:hAnsi="Times New Roman"/>
          <w:sz w:val="24"/>
          <w:szCs w:val="24"/>
        </w:rPr>
        <w:t>G14</w:t>
      </w:r>
    </w:p>
    <w:p w:rsidR="00C0246F" w:rsidRDefault="005852B1" w:rsidP="00C0246F">
      <w:pPr>
        <w:pStyle w:val="NoSpacing"/>
        <w:numPr>
          <w:ilvl w:val="0"/>
          <w:numId w:val="5"/>
        </w:numPr>
        <w:spacing w:line="360" w:lineRule="auto"/>
        <w:rPr>
          <w:rFonts w:ascii="Times New Roman" w:hAnsi="Times New Roman"/>
          <w:sz w:val="24"/>
          <w:szCs w:val="24"/>
        </w:rPr>
      </w:pPr>
      <w:r w:rsidRPr="00020413">
        <w:rPr>
          <w:rFonts w:ascii="Times New Roman" w:hAnsi="Times New Roman"/>
          <w:sz w:val="24"/>
          <w:szCs w:val="24"/>
        </w:rPr>
        <w:t>G21</w:t>
      </w:r>
    </w:p>
    <w:p w:rsidR="005755F3" w:rsidRPr="00C0246F" w:rsidRDefault="005852B1" w:rsidP="00C0246F">
      <w:pPr>
        <w:pStyle w:val="NoSpacing"/>
        <w:numPr>
          <w:ilvl w:val="0"/>
          <w:numId w:val="5"/>
        </w:numPr>
        <w:spacing w:line="360" w:lineRule="auto"/>
        <w:rPr>
          <w:rFonts w:ascii="Times New Roman" w:hAnsi="Times New Roman"/>
          <w:sz w:val="24"/>
          <w:szCs w:val="24"/>
        </w:rPr>
      </w:pPr>
      <w:r w:rsidRPr="00C0246F">
        <w:rPr>
          <w:rFonts w:ascii="Times New Roman" w:hAnsi="Times New Roman"/>
          <w:sz w:val="24"/>
          <w:szCs w:val="24"/>
        </w:rPr>
        <w:t>G38</w:t>
      </w:r>
    </w:p>
    <w:p w:rsidR="00A651BC" w:rsidRPr="00020413" w:rsidRDefault="00A651BC" w:rsidP="00D55D24">
      <w:pPr>
        <w:pStyle w:val="NoSpacing"/>
        <w:spacing w:line="360" w:lineRule="auto"/>
        <w:ind w:left="720"/>
        <w:sectPr w:rsidR="00A651BC" w:rsidRPr="00020413" w:rsidSect="00F94FD3">
          <w:pgSz w:w="11906" w:h="16838"/>
          <w:pgMar w:top="1440" w:right="1440" w:bottom="1440" w:left="1440" w:header="708" w:footer="708" w:gutter="0"/>
          <w:pgNumType w:start="1"/>
          <w:cols w:space="708"/>
          <w:docGrid w:linePitch="360"/>
        </w:sectPr>
      </w:pPr>
    </w:p>
    <w:p w:rsidR="00A651BC" w:rsidRPr="00020413" w:rsidRDefault="00A651BC" w:rsidP="00914AB0">
      <w:pPr>
        <w:spacing w:before="240" w:after="240" w:line="360" w:lineRule="auto"/>
        <w:jc w:val="both"/>
        <w:rPr>
          <w:rFonts w:ascii="Times New Roman" w:hAnsi="Times New Roman"/>
          <w:b/>
          <w:sz w:val="24"/>
          <w:szCs w:val="24"/>
        </w:rPr>
      </w:pPr>
      <w:r w:rsidRPr="00020413">
        <w:rPr>
          <w:rFonts w:ascii="Times New Roman" w:hAnsi="Times New Roman"/>
          <w:b/>
          <w:sz w:val="24"/>
          <w:szCs w:val="24"/>
        </w:rPr>
        <w:lastRenderedPageBreak/>
        <w:t>1. Introd</w:t>
      </w:r>
      <w:bookmarkStart w:id="0" w:name="_GoBack"/>
      <w:bookmarkEnd w:id="0"/>
      <w:r w:rsidRPr="00020413">
        <w:rPr>
          <w:rFonts w:ascii="Times New Roman" w:hAnsi="Times New Roman"/>
          <w:b/>
          <w:sz w:val="24"/>
          <w:szCs w:val="24"/>
        </w:rPr>
        <w:t xml:space="preserve">uction </w:t>
      </w:r>
    </w:p>
    <w:p w:rsidR="000A14ED" w:rsidRPr="00020413" w:rsidRDefault="0088291E" w:rsidP="00D27953">
      <w:pPr>
        <w:spacing w:after="120" w:line="360" w:lineRule="auto"/>
        <w:jc w:val="both"/>
        <w:rPr>
          <w:rFonts w:ascii="Times New Roman" w:hAnsi="Times New Roman"/>
          <w:sz w:val="24"/>
          <w:szCs w:val="24"/>
        </w:rPr>
      </w:pPr>
      <w:r w:rsidRPr="00020413">
        <w:rPr>
          <w:rFonts w:ascii="Times New Roman" w:hAnsi="Times New Roman"/>
          <w:sz w:val="24"/>
          <w:szCs w:val="24"/>
        </w:rPr>
        <w:t>This study make</w:t>
      </w:r>
      <w:r w:rsidR="00DB2B3C" w:rsidRPr="00020413">
        <w:rPr>
          <w:rFonts w:ascii="Times New Roman" w:hAnsi="Times New Roman"/>
          <w:sz w:val="24"/>
          <w:szCs w:val="24"/>
        </w:rPr>
        <w:t>s</w:t>
      </w:r>
      <w:r w:rsidRPr="00020413">
        <w:rPr>
          <w:rFonts w:ascii="Times New Roman" w:hAnsi="Times New Roman"/>
          <w:sz w:val="24"/>
          <w:szCs w:val="24"/>
        </w:rPr>
        <w:t xml:space="preserve"> a number of new contributions to the existing literature by examining the: (i) effect of credit information sharing on loan default rates; and (ii) potential moderating roles that </w:t>
      </w:r>
      <w:r w:rsidR="00F16D12" w:rsidRPr="00020413">
        <w:rPr>
          <w:rFonts w:ascii="Times New Roman" w:hAnsi="Times New Roman"/>
          <w:sz w:val="24"/>
          <w:szCs w:val="24"/>
        </w:rPr>
        <w:t xml:space="preserve">banking </w:t>
      </w:r>
      <w:r w:rsidR="00BC4072" w:rsidRPr="00020413">
        <w:rPr>
          <w:rFonts w:ascii="Times New Roman" w:hAnsi="Times New Roman"/>
          <w:sz w:val="24"/>
          <w:szCs w:val="24"/>
        </w:rPr>
        <w:t>market</w:t>
      </w:r>
      <w:r w:rsidRPr="00020413">
        <w:rPr>
          <w:rFonts w:ascii="Times New Roman" w:hAnsi="Times New Roman"/>
          <w:sz w:val="24"/>
          <w:szCs w:val="24"/>
        </w:rPr>
        <w:t xml:space="preserve"> concentration and national governance quality may play in the information sharing</w:t>
      </w:r>
      <w:r w:rsidR="00E80042" w:rsidRPr="00020413">
        <w:rPr>
          <w:rFonts w:ascii="Times New Roman" w:hAnsi="Times New Roman"/>
          <w:sz w:val="24"/>
          <w:szCs w:val="24"/>
        </w:rPr>
        <w:t>–</w:t>
      </w:r>
      <w:r w:rsidRPr="00020413">
        <w:rPr>
          <w:rFonts w:ascii="Times New Roman" w:hAnsi="Times New Roman"/>
          <w:sz w:val="24"/>
          <w:szCs w:val="24"/>
        </w:rPr>
        <w:t>loan default nexus</w:t>
      </w:r>
      <w:r w:rsidR="00F16D12" w:rsidRPr="00020413">
        <w:rPr>
          <w:rFonts w:ascii="Times New Roman" w:hAnsi="Times New Roman"/>
          <w:sz w:val="24"/>
          <w:szCs w:val="24"/>
        </w:rPr>
        <w:t>,</w:t>
      </w:r>
      <w:r w:rsidRPr="00020413">
        <w:rPr>
          <w:rFonts w:ascii="Times New Roman" w:hAnsi="Times New Roman"/>
          <w:sz w:val="24"/>
          <w:szCs w:val="24"/>
        </w:rPr>
        <w:t xml:space="preserve"> using a large dataset of 879</w:t>
      </w:r>
      <w:r w:rsidR="001425CC" w:rsidRPr="00020413">
        <w:rPr>
          <w:rFonts w:ascii="Times New Roman" w:hAnsi="Times New Roman"/>
          <w:sz w:val="24"/>
          <w:szCs w:val="24"/>
        </w:rPr>
        <w:t xml:space="preserve"> unique</w:t>
      </w:r>
      <w:r w:rsidRPr="00020413">
        <w:rPr>
          <w:rFonts w:ascii="Times New Roman" w:hAnsi="Times New Roman"/>
          <w:sz w:val="24"/>
          <w:szCs w:val="24"/>
        </w:rPr>
        <w:t xml:space="preserve"> banks across 87 developing countries </w:t>
      </w:r>
      <w:r w:rsidR="00F634F4" w:rsidRPr="00020413">
        <w:rPr>
          <w:rFonts w:ascii="Times New Roman" w:hAnsi="Times New Roman"/>
          <w:sz w:val="24"/>
          <w:szCs w:val="24"/>
        </w:rPr>
        <w:t xml:space="preserve">from every continent </w:t>
      </w:r>
      <w:r w:rsidRPr="00020413">
        <w:rPr>
          <w:rFonts w:ascii="Times New Roman" w:hAnsi="Times New Roman"/>
          <w:sz w:val="24"/>
          <w:szCs w:val="24"/>
        </w:rPr>
        <w:t xml:space="preserve">over a period of </w:t>
      </w:r>
      <w:r w:rsidR="00646C25" w:rsidRPr="00020413">
        <w:rPr>
          <w:rFonts w:ascii="Times New Roman" w:hAnsi="Times New Roman"/>
          <w:sz w:val="24"/>
          <w:szCs w:val="24"/>
        </w:rPr>
        <w:t xml:space="preserve">nine </w:t>
      </w:r>
      <w:r w:rsidRPr="00020413">
        <w:rPr>
          <w:rFonts w:ascii="Times New Roman" w:hAnsi="Times New Roman"/>
          <w:sz w:val="24"/>
          <w:szCs w:val="24"/>
        </w:rPr>
        <w:t>years</w:t>
      </w:r>
      <w:r w:rsidR="003F24A0" w:rsidRPr="00020413">
        <w:rPr>
          <w:rFonts w:ascii="Times New Roman" w:hAnsi="Times New Roman"/>
          <w:sz w:val="24"/>
          <w:szCs w:val="24"/>
        </w:rPr>
        <w:t xml:space="preserve"> (i.e., over 6,300 observations)</w:t>
      </w:r>
      <w:r w:rsidRPr="00020413">
        <w:rPr>
          <w:rFonts w:ascii="Times New Roman" w:hAnsi="Times New Roman"/>
          <w:sz w:val="24"/>
          <w:szCs w:val="24"/>
        </w:rPr>
        <w:t>.</w:t>
      </w:r>
      <w:r w:rsidR="00DB2B3C" w:rsidRPr="00020413">
        <w:rPr>
          <w:rFonts w:ascii="Times New Roman" w:hAnsi="Times New Roman"/>
          <w:sz w:val="24"/>
          <w:szCs w:val="24"/>
        </w:rPr>
        <w:t xml:space="preserve"> This study is very important because r</w:t>
      </w:r>
      <w:r w:rsidR="00151F40" w:rsidRPr="00020413">
        <w:rPr>
          <w:rFonts w:ascii="Times New Roman" w:hAnsi="Times New Roman"/>
          <w:sz w:val="24"/>
          <w:szCs w:val="24"/>
        </w:rPr>
        <w:t xml:space="preserve">ecent </w:t>
      </w:r>
      <w:r w:rsidR="000B6481" w:rsidRPr="00020413">
        <w:rPr>
          <w:rFonts w:ascii="Times New Roman" w:hAnsi="Times New Roman"/>
          <w:sz w:val="24"/>
          <w:szCs w:val="24"/>
        </w:rPr>
        <w:t xml:space="preserve">years have witnessed some </w:t>
      </w:r>
      <w:r w:rsidR="00AB153C" w:rsidRPr="00020413">
        <w:rPr>
          <w:rFonts w:ascii="Times New Roman" w:hAnsi="Times New Roman"/>
          <w:sz w:val="24"/>
          <w:szCs w:val="24"/>
        </w:rPr>
        <w:t>crucial</w:t>
      </w:r>
      <w:r w:rsidR="000B6481" w:rsidRPr="00020413">
        <w:rPr>
          <w:rFonts w:ascii="Times New Roman" w:hAnsi="Times New Roman"/>
          <w:sz w:val="24"/>
          <w:szCs w:val="24"/>
        </w:rPr>
        <w:t xml:space="preserve"> </w:t>
      </w:r>
      <w:r w:rsidR="002D3AF3" w:rsidRPr="00020413">
        <w:rPr>
          <w:rFonts w:ascii="Times New Roman" w:hAnsi="Times New Roman"/>
          <w:sz w:val="24"/>
          <w:szCs w:val="24"/>
        </w:rPr>
        <w:t>reform</w:t>
      </w:r>
      <w:r w:rsidR="002C158F" w:rsidRPr="00020413">
        <w:rPr>
          <w:rFonts w:ascii="Times New Roman" w:hAnsi="Times New Roman"/>
          <w:sz w:val="24"/>
          <w:szCs w:val="24"/>
        </w:rPr>
        <w:t>s</w:t>
      </w:r>
      <w:r w:rsidR="00151F40" w:rsidRPr="00020413">
        <w:rPr>
          <w:rFonts w:ascii="Times New Roman" w:hAnsi="Times New Roman"/>
          <w:sz w:val="24"/>
          <w:szCs w:val="24"/>
        </w:rPr>
        <w:t xml:space="preserve"> </w:t>
      </w:r>
      <w:r w:rsidR="00A0359E" w:rsidRPr="00020413">
        <w:rPr>
          <w:rFonts w:ascii="Times New Roman" w:hAnsi="Times New Roman"/>
          <w:sz w:val="24"/>
          <w:szCs w:val="24"/>
        </w:rPr>
        <w:t>in several developing countries</w:t>
      </w:r>
      <w:r w:rsidR="00313082" w:rsidRPr="00020413">
        <w:rPr>
          <w:rFonts w:ascii="Times New Roman" w:hAnsi="Times New Roman"/>
          <w:sz w:val="24"/>
          <w:szCs w:val="24"/>
        </w:rPr>
        <w:t>,</w:t>
      </w:r>
      <w:r w:rsidR="00A0359E" w:rsidRPr="00020413">
        <w:rPr>
          <w:rFonts w:ascii="Times New Roman" w:hAnsi="Times New Roman"/>
          <w:sz w:val="24"/>
          <w:szCs w:val="24"/>
        </w:rPr>
        <w:t xml:space="preserve"> including the</w:t>
      </w:r>
      <w:r w:rsidR="004E0E06" w:rsidRPr="00020413">
        <w:rPr>
          <w:rFonts w:ascii="Times New Roman" w:hAnsi="Times New Roman"/>
          <w:sz w:val="24"/>
          <w:szCs w:val="24"/>
        </w:rPr>
        <w:t xml:space="preserve"> </w:t>
      </w:r>
      <w:r w:rsidR="002D3AF3" w:rsidRPr="00020413">
        <w:rPr>
          <w:rFonts w:ascii="Times New Roman" w:hAnsi="Times New Roman"/>
          <w:sz w:val="24"/>
          <w:szCs w:val="24"/>
        </w:rPr>
        <w:t>development</w:t>
      </w:r>
      <w:r w:rsidR="00A0359E" w:rsidRPr="00020413">
        <w:rPr>
          <w:rFonts w:ascii="Times New Roman" w:hAnsi="Times New Roman"/>
          <w:sz w:val="24"/>
          <w:szCs w:val="24"/>
        </w:rPr>
        <w:t xml:space="preserve"> o</w:t>
      </w:r>
      <w:r w:rsidR="00151F40" w:rsidRPr="00020413">
        <w:rPr>
          <w:rFonts w:ascii="Times New Roman" w:hAnsi="Times New Roman"/>
          <w:sz w:val="24"/>
          <w:szCs w:val="24"/>
        </w:rPr>
        <w:t xml:space="preserve">f </w:t>
      </w:r>
      <w:r w:rsidR="000542D0" w:rsidRPr="00020413">
        <w:rPr>
          <w:rFonts w:ascii="Times New Roman" w:hAnsi="Times New Roman"/>
          <w:sz w:val="24"/>
          <w:szCs w:val="24"/>
        </w:rPr>
        <w:t>credit</w:t>
      </w:r>
      <w:r w:rsidR="00151F40" w:rsidRPr="00020413">
        <w:rPr>
          <w:rFonts w:ascii="Times New Roman" w:hAnsi="Times New Roman"/>
          <w:sz w:val="24"/>
          <w:szCs w:val="24"/>
        </w:rPr>
        <w:t xml:space="preserve"> </w:t>
      </w:r>
      <w:r w:rsidR="00A0359E" w:rsidRPr="00020413">
        <w:rPr>
          <w:rFonts w:ascii="Times New Roman" w:hAnsi="Times New Roman"/>
          <w:sz w:val="24"/>
          <w:szCs w:val="24"/>
        </w:rPr>
        <w:t xml:space="preserve">information sharing schemes, </w:t>
      </w:r>
      <w:r w:rsidR="00151F40" w:rsidRPr="00020413">
        <w:rPr>
          <w:rFonts w:ascii="Times New Roman" w:hAnsi="Times New Roman"/>
          <w:sz w:val="24"/>
          <w:szCs w:val="24"/>
        </w:rPr>
        <w:t>financial sector r</w:t>
      </w:r>
      <w:r w:rsidR="000542D0" w:rsidRPr="00020413">
        <w:rPr>
          <w:rFonts w:ascii="Times New Roman" w:hAnsi="Times New Roman"/>
          <w:sz w:val="24"/>
          <w:szCs w:val="24"/>
        </w:rPr>
        <w:t>eforms</w:t>
      </w:r>
      <w:r w:rsidR="00A0359E" w:rsidRPr="00020413">
        <w:rPr>
          <w:rFonts w:ascii="Times New Roman" w:hAnsi="Times New Roman"/>
          <w:sz w:val="24"/>
          <w:szCs w:val="24"/>
        </w:rPr>
        <w:t xml:space="preserve"> and</w:t>
      </w:r>
      <w:r w:rsidR="00EE756F" w:rsidRPr="00020413">
        <w:rPr>
          <w:rFonts w:ascii="Times New Roman" w:hAnsi="Times New Roman"/>
          <w:sz w:val="24"/>
          <w:szCs w:val="24"/>
        </w:rPr>
        <w:t xml:space="preserve"> improvements </w:t>
      </w:r>
      <w:r w:rsidR="000542D0" w:rsidRPr="00020413">
        <w:rPr>
          <w:rFonts w:ascii="Times New Roman" w:hAnsi="Times New Roman"/>
          <w:sz w:val="24"/>
          <w:szCs w:val="24"/>
        </w:rPr>
        <w:t xml:space="preserve">in </w:t>
      </w:r>
      <w:r w:rsidR="00EE756F" w:rsidRPr="00020413">
        <w:rPr>
          <w:rFonts w:ascii="Times New Roman" w:hAnsi="Times New Roman"/>
          <w:sz w:val="24"/>
          <w:szCs w:val="24"/>
        </w:rPr>
        <w:t>political governance</w:t>
      </w:r>
      <w:r w:rsidR="00410F3D" w:rsidRPr="00020413">
        <w:rPr>
          <w:rFonts w:ascii="Times New Roman" w:hAnsi="Times New Roman"/>
          <w:sz w:val="24"/>
          <w:szCs w:val="24"/>
        </w:rPr>
        <w:t xml:space="preserve"> that are aimed </w:t>
      </w:r>
      <w:r w:rsidR="00951288" w:rsidRPr="00020413">
        <w:rPr>
          <w:rFonts w:ascii="Times New Roman" w:hAnsi="Times New Roman"/>
          <w:sz w:val="24"/>
          <w:szCs w:val="24"/>
        </w:rPr>
        <w:t xml:space="preserve">at strengthening financial institutions by </w:t>
      </w:r>
      <w:r w:rsidR="00410F3D" w:rsidRPr="00020413">
        <w:rPr>
          <w:rFonts w:ascii="Times New Roman" w:hAnsi="Times New Roman"/>
          <w:sz w:val="24"/>
          <w:szCs w:val="24"/>
        </w:rPr>
        <w:t xml:space="preserve">reducing credit default rates </w:t>
      </w:r>
      <w:r w:rsidR="004E0E06" w:rsidRPr="00020413">
        <w:rPr>
          <w:rFonts w:ascii="Times New Roman" w:hAnsi="Times New Roman"/>
          <w:sz w:val="24"/>
          <w:szCs w:val="24"/>
        </w:rPr>
        <w:t xml:space="preserve"> (see </w:t>
      </w:r>
      <w:r w:rsidR="00E008F8" w:rsidRPr="00020413">
        <w:rPr>
          <w:rFonts w:ascii="Times New Roman" w:hAnsi="Times New Roman"/>
          <w:sz w:val="24"/>
          <w:szCs w:val="24"/>
        </w:rPr>
        <w:t xml:space="preserve">Marquez, 2002; </w:t>
      </w:r>
      <w:r w:rsidR="004E0E06" w:rsidRPr="00020413">
        <w:rPr>
          <w:rFonts w:ascii="Times New Roman" w:hAnsi="Times New Roman"/>
          <w:sz w:val="24"/>
          <w:szCs w:val="24"/>
        </w:rPr>
        <w:t>Brown et al., 2009)</w:t>
      </w:r>
      <w:r w:rsidR="000B6481" w:rsidRPr="00020413">
        <w:rPr>
          <w:rFonts w:ascii="Times New Roman" w:hAnsi="Times New Roman"/>
          <w:sz w:val="24"/>
          <w:szCs w:val="24"/>
        </w:rPr>
        <w:t xml:space="preserve">. </w:t>
      </w:r>
      <w:r w:rsidR="00406FFD" w:rsidRPr="00020413">
        <w:rPr>
          <w:rFonts w:ascii="Times New Roman" w:hAnsi="Times New Roman"/>
          <w:sz w:val="24"/>
          <w:szCs w:val="24"/>
        </w:rPr>
        <w:t xml:space="preserve">For instance, </w:t>
      </w:r>
      <w:r w:rsidR="00AB3CF1" w:rsidRPr="00020413">
        <w:rPr>
          <w:rFonts w:ascii="Times New Roman" w:hAnsi="Times New Roman"/>
          <w:sz w:val="24"/>
          <w:szCs w:val="24"/>
        </w:rPr>
        <w:t>Brown et al. (2009)</w:t>
      </w:r>
      <w:r w:rsidR="0075338C" w:rsidRPr="00020413">
        <w:rPr>
          <w:rFonts w:ascii="Times New Roman" w:hAnsi="Times New Roman"/>
          <w:sz w:val="24"/>
          <w:szCs w:val="24"/>
        </w:rPr>
        <w:t xml:space="preserve"> report</w:t>
      </w:r>
      <w:r w:rsidR="00AB3CF1" w:rsidRPr="00020413">
        <w:rPr>
          <w:rFonts w:ascii="Times New Roman" w:hAnsi="Times New Roman"/>
          <w:sz w:val="24"/>
          <w:szCs w:val="24"/>
        </w:rPr>
        <w:t xml:space="preserve"> that 17 out of the 27 transition countries in Eastern Europe and the former Soviet Union established information sharing institutions between 1991 and 2005</w:t>
      </w:r>
      <w:r w:rsidR="00146C8F" w:rsidRPr="00020413">
        <w:rPr>
          <w:rFonts w:ascii="Times New Roman" w:hAnsi="Times New Roman"/>
          <w:sz w:val="24"/>
          <w:szCs w:val="24"/>
        </w:rPr>
        <w:t xml:space="preserve"> alone</w:t>
      </w:r>
      <w:r w:rsidR="00AB3CF1" w:rsidRPr="00020413">
        <w:rPr>
          <w:rFonts w:ascii="Times New Roman" w:hAnsi="Times New Roman"/>
          <w:sz w:val="24"/>
          <w:szCs w:val="24"/>
        </w:rPr>
        <w:t xml:space="preserve">. Furthermore, </w:t>
      </w:r>
      <w:r w:rsidR="003527BD" w:rsidRPr="00020413">
        <w:rPr>
          <w:rFonts w:ascii="Times New Roman" w:hAnsi="Times New Roman"/>
          <w:sz w:val="24"/>
          <w:szCs w:val="24"/>
        </w:rPr>
        <w:t xml:space="preserve">statistics based on </w:t>
      </w:r>
      <w:r w:rsidR="00E12720" w:rsidRPr="00020413">
        <w:rPr>
          <w:rFonts w:ascii="Times New Roman" w:hAnsi="Times New Roman"/>
          <w:sz w:val="24"/>
          <w:szCs w:val="24"/>
        </w:rPr>
        <w:t>World Bank</w:t>
      </w:r>
      <w:r w:rsidR="00270A33" w:rsidRPr="00020413">
        <w:rPr>
          <w:rFonts w:ascii="Times New Roman" w:hAnsi="Times New Roman"/>
          <w:sz w:val="24"/>
          <w:szCs w:val="24"/>
        </w:rPr>
        <w:t xml:space="preserve"> </w:t>
      </w:r>
      <w:r w:rsidR="003527BD" w:rsidRPr="00020413">
        <w:rPr>
          <w:rFonts w:ascii="Times New Roman" w:hAnsi="Times New Roman"/>
          <w:sz w:val="24"/>
          <w:szCs w:val="24"/>
        </w:rPr>
        <w:t>data</w:t>
      </w:r>
      <w:r w:rsidR="003527BD" w:rsidRPr="00020413">
        <w:rPr>
          <w:rStyle w:val="FootnoteReference"/>
          <w:rFonts w:ascii="Times New Roman" w:hAnsi="Times New Roman"/>
          <w:sz w:val="24"/>
          <w:szCs w:val="24"/>
        </w:rPr>
        <w:footnoteReference w:id="2"/>
      </w:r>
      <w:r w:rsidR="00AB3CF1" w:rsidRPr="00020413">
        <w:rPr>
          <w:rFonts w:ascii="Times New Roman" w:hAnsi="Times New Roman"/>
          <w:sz w:val="24"/>
          <w:szCs w:val="24"/>
        </w:rPr>
        <w:t xml:space="preserve"> suggest that</w:t>
      </w:r>
      <w:r w:rsidR="00E12720" w:rsidRPr="00020413">
        <w:rPr>
          <w:rFonts w:ascii="Times New Roman" w:hAnsi="Times New Roman"/>
          <w:sz w:val="24"/>
          <w:szCs w:val="24"/>
        </w:rPr>
        <w:t xml:space="preserve"> the depth of credit information shared</w:t>
      </w:r>
      <w:r w:rsidR="000B6481" w:rsidRPr="00020413">
        <w:rPr>
          <w:rFonts w:ascii="Times New Roman" w:hAnsi="Times New Roman"/>
          <w:sz w:val="24"/>
          <w:szCs w:val="24"/>
        </w:rPr>
        <w:t xml:space="preserve"> </w:t>
      </w:r>
      <w:r w:rsidR="00E12720" w:rsidRPr="00020413">
        <w:rPr>
          <w:rFonts w:ascii="Times New Roman" w:hAnsi="Times New Roman"/>
          <w:sz w:val="24"/>
          <w:szCs w:val="24"/>
        </w:rPr>
        <w:t xml:space="preserve">among lenders in developing countries surged by over 72% </w:t>
      </w:r>
      <w:r w:rsidR="00A73AFA" w:rsidRPr="00020413">
        <w:rPr>
          <w:rFonts w:ascii="Times New Roman" w:hAnsi="Times New Roman"/>
          <w:sz w:val="24"/>
          <w:szCs w:val="24"/>
        </w:rPr>
        <w:t>from 2004 to 2012 (</w:t>
      </w:r>
      <w:r w:rsidR="00DE1E0D" w:rsidRPr="00020413">
        <w:rPr>
          <w:rFonts w:ascii="Times New Roman" w:hAnsi="Times New Roman"/>
          <w:sz w:val="24"/>
          <w:szCs w:val="24"/>
        </w:rPr>
        <w:t>i.e.</w:t>
      </w:r>
      <w:r w:rsidR="00313082" w:rsidRPr="00020413">
        <w:rPr>
          <w:rFonts w:ascii="Times New Roman" w:hAnsi="Times New Roman"/>
          <w:sz w:val="24"/>
          <w:szCs w:val="24"/>
        </w:rPr>
        <w:t>,</w:t>
      </w:r>
      <w:r w:rsidR="00DE1E0D" w:rsidRPr="00020413">
        <w:rPr>
          <w:rFonts w:ascii="Times New Roman" w:hAnsi="Times New Roman"/>
          <w:sz w:val="24"/>
          <w:szCs w:val="24"/>
        </w:rPr>
        <w:t xml:space="preserve"> </w:t>
      </w:r>
      <w:r w:rsidR="00805756" w:rsidRPr="00020413">
        <w:rPr>
          <w:rFonts w:ascii="Times New Roman" w:hAnsi="Times New Roman"/>
          <w:sz w:val="24"/>
          <w:szCs w:val="24"/>
        </w:rPr>
        <w:t xml:space="preserve">depth </w:t>
      </w:r>
      <w:r w:rsidR="00156FFA" w:rsidRPr="00020413">
        <w:rPr>
          <w:rFonts w:ascii="Times New Roman" w:hAnsi="Times New Roman"/>
          <w:sz w:val="24"/>
          <w:szCs w:val="24"/>
        </w:rPr>
        <w:t xml:space="preserve">of </w:t>
      </w:r>
      <w:r w:rsidR="0036455A" w:rsidRPr="00020413">
        <w:rPr>
          <w:rFonts w:ascii="Times New Roman" w:hAnsi="Times New Roman"/>
          <w:sz w:val="24"/>
          <w:szCs w:val="24"/>
        </w:rPr>
        <w:t xml:space="preserve">credit </w:t>
      </w:r>
      <w:r w:rsidR="007C6164" w:rsidRPr="00020413">
        <w:rPr>
          <w:rFonts w:ascii="Times New Roman" w:hAnsi="Times New Roman"/>
          <w:sz w:val="24"/>
          <w:szCs w:val="24"/>
        </w:rPr>
        <w:t>information</w:t>
      </w:r>
      <w:r w:rsidR="00A73AFA" w:rsidRPr="00020413">
        <w:rPr>
          <w:rFonts w:ascii="Times New Roman" w:hAnsi="Times New Roman"/>
          <w:sz w:val="24"/>
          <w:szCs w:val="24"/>
        </w:rPr>
        <w:t xml:space="preserve"> index </w:t>
      </w:r>
      <w:r w:rsidR="00270A33" w:rsidRPr="00020413">
        <w:rPr>
          <w:rFonts w:ascii="Times New Roman" w:hAnsi="Times New Roman"/>
          <w:sz w:val="24"/>
          <w:szCs w:val="24"/>
        </w:rPr>
        <w:t>climbed</w:t>
      </w:r>
      <w:r w:rsidR="00DE1E0D" w:rsidRPr="00020413">
        <w:rPr>
          <w:rFonts w:ascii="Times New Roman" w:hAnsi="Times New Roman"/>
          <w:sz w:val="24"/>
          <w:szCs w:val="24"/>
        </w:rPr>
        <w:t xml:space="preserve"> from </w:t>
      </w:r>
      <w:r w:rsidR="007D31BA" w:rsidRPr="00020413">
        <w:rPr>
          <w:rFonts w:ascii="Times New Roman" w:hAnsi="Times New Roman"/>
          <w:sz w:val="24"/>
          <w:szCs w:val="24"/>
        </w:rPr>
        <w:t xml:space="preserve">an average of </w:t>
      </w:r>
      <w:r w:rsidR="001259C3" w:rsidRPr="00020413">
        <w:rPr>
          <w:rFonts w:ascii="Times New Roman" w:hAnsi="Times New Roman"/>
          <w:sz w:val="24"/>
          <w:szCs w:val="24"/>
        </w:rPr>
        <w:t>2.47 in 2004</w:t>
      </w:r>
      <w:r w:rsidR="00A73AFA" w:rsidRPr="00020413">
        <w:rPr>
          <w:rFonts w:ascii="Times New Roman" w:hAnsi="Times New Roman"/>
          <w:sz w:val="24"/>
          <w:szCs w:val="24"/>
        </w:rPr>
        <w:t xml:space="preserve"> </w:t>
      </w:r>
      <w:r w:rsidR="00DE1E0D" w:rsidRPr="00020413">
        <w:rPr>
          <w:rFonts w:ascii="Times New Roman" w:hAnsi="Times New Roman"/>
          <w:sz w:val="24"/>
          <w:szCs w:val="24"/>
        </w:rPr>
        <w:t>to</w:t>
      </w:r>
      <w:r w:rsidR="00E12720" w:rsidRPr="00020413">
        <w:rPr>
          <w:rFonts w:ascii="Times New Roman" w:hAnsi="Times New Roman"/>
          <w:sz w:val="24"/>
          <w:szCs w:val="24"/>
        </w:rPr>
        <w:t xml:space="preserve"> 4.26 in 2012</w:t>
      </w:r>
      <w:r w:rsidR="00A73AFA" w:rsidRPr="00020413">
        <w:rPr>
          <w:rFonts w:ascii="Times New Roman" w:hAnsi="Times New Roman"/>
          <w:sz w:val="24"/>
          <w:szCs w:val="24"/>
        </w:rPr>
        <w:t xml:space="preserve">). </w:t>
      </w:r>
      <w:r w:rsidR="007400F3" w:rsidRPr="00020413">
        <w:rPr>
          <w:rFonts w:ascii="Times New Roman" w:hAnsi="Times New Roman"/>
          <w:sz w:val="24"/>
          <w:szCs w:val="24"/>
        </w:rPr>
        <w:t>Meanwhile, the quality of l</w:t>
      </w:r>
      <w:r w:rsidR="00270A33" w:rsidRPr="00020413">
        <w:rPr>
          <w:rFonts w:ascii="Times New Roman" w:hAnsi="Times New Roman"/>
          <w:sz w:val="24"/>
          <w:szCs w:val="24"/>
        </w:rPr>
        <w:t>ending</w:t>
      </w:r>
      <w:r w:rsidR="007400F3" w:rsidRPr="00020413">
        <w:rPr>
          <w:rFonts w:ascii="Times New Roman" w:hAnsi="Times New Roman"/>
          <w:sz w:val="24"/>
          <w:szCs w:val="24"/>
        </w:rPr>
        <w:t xml:space="preserve"> </w:t>
      </w:r>
      <w:r w:rsidR="005C20EE" w:rsidRPr="00020413">
        <w:rPr>
          <w:rFonts w:ascii="Times New Roman" w:hAnsi="Times New Roman"/>
          <w:sz w:val="24"/>
          <w:szCs w:val="24"/>
        </w:rPr>
        <w:t>deteriorated</w:t>
      </w:r>
      <w:r w:rsidR="00BF0C34" w:rsidRPr="00020413">
        <w:rPr>
          <w:rFonts w:ascii="Times New Roman" w:hAnsi="Times New Roman"/>
          <w:sz w:val="24"/>
          <w:szCs w:val="24"/>
        </w:rPr>
        <w:t xml:space="preserve"> over the same period</w:t>
      </w:r>
      <w:r w:rsidR="008D4E24" w:rsidRPr="00020413">
        <w:rPr>
          <w:rFonts w:ascii="Times New Roman" w:hAnsi="Times New Roman"/>
          <w:sz w:val="24"/>
          <w:szCs w:val="24"/>
        </w:rPr>
        <w:t xml:space="preserve">, with the </w:t>
      </w:r>
      <w:r w:rsidR="00273100" w:rsidRPr="00020413">
        <w:rPr>
          <w:rFonts w:ascii="Times New Roman" w:hAnsi="Times New Roman"/>
          <w:sz w:val="24"/>
          <w:szCs w:val="24"/>
        </w:rPr>
        <w:t xml:space="preserve">size of </w:t>
      </w:r>
      <w:r w:rsidR="008D4E24" w:rsidRPr="00020413">
        <w:rPr>
          <w:rFonts w:ascii="Times New Roman" w:hAnsi="Times New Roman"/>
          <w:sz w:val="24"/>
          <w:szCs w:val="24"/>
        </w:rPr>
        <w:t xml:space="preserve">non-performing loans in banks’ portfolios </w:t>
      </w:r>
      <w:r w:rsidR="005C20EE" w:rsidRPr="00020413">
        <w:rPr>
          <w:rFonts w:ascii="Times New Roman" w:hAnsi="Times New Roman"/>
          <w:sz w:val="24"/>
          <w:szCs w:val="24"/>
        </w:rPr>
        <w:t xml:space="preserve">rising from </w:t>
      </w:r>
      <w:r w:rsidR="008D4E24" w:rsidRPr="00020413">
        <w:rPr>
          <w:rFonts w:ascii="Times New Roman" w:hAnsi="Times New Roman"/>
          <w:sz w:val="24"/>
          <w:szCs w:val="24"/>
        </w:rPr>
        <w:t>6.3% in 2004</w:t>
      </w:r>
      <w:r w:rsidR="005C20EE" w:rsidRPr="00020413">
        <w:rPr>
          <w:rFonts w:ascii="Times New Roman" w:hAnsi="Times New Roman"/>
          <w:sz w:val="24"/>
          <w:szCs w:val="24"/>
        </w:rPr>
        <w:t xml:space="preserve"> to </w:t>
      </w:r>
      <w:r w:rsidR="008D4E24" w:rsidRPr="00020413">
        <w:rPr>
          <w:rFonts w:ascii="Times New Roman" w:hAnsi="Times New Roman"/>
          <w:sz w:val="24"/>
          <w:szCs w:val="24"/>
        </w:rPr>
        <w:t xml:space="preserve">7.0% in 2012. </w:t>
      </w:r>
      <w:r w:rsidR="005C20EE" w:rsidRPr="00020413">
        <w:rPr>
          <w:rFonts w:ascii="Times New Roman" w:hAnsi="Times New Roman"/>
          <w:sz w:val="24"/>
          <w:szCs w:val="24"/>
        </w:rPr>
        <w:t xml:space="preserve">These developments </w:t>
      </w:r>
      <w:r w:rsidR="00A0359E" w:rsidRPr="00020413">
        <w:rPr>
          <w:rFonts w:ascii="Times New Roman" w:hAnsi="Times New Roman"/>
          <w:sz w:val="24"/>
          <w:szCs w:val="24"/>
        </w:rPr>
        <w:t xml:space="preserve">make it </w:t>
      </w:r>
      <w:r w:rsidR="000A14ED" w:rsidRPr="00020413">
        <w:rPr>
          <w:rFonts w:ascii="Times New Roman" w:hAnsi="Times New Roman"/>
          <w:sz w:val="24"/>
          <w:szCs w:val="24"/>
        </w:rPr>
        <w:t>an extremely relevant</w:t>
      </w:r>
      <w:r w:rsidR="00DB2B3C" w:rsidRPr="00020413">
        <w:rPr>
          <w:rFonts w:ascii="Times New Roman" w:hAnsi="Times New Roman"/>
          <w:sz w:val="24"/>
          <w:szCs w:val="24"/>
        </w:rPr>
        <w:t xml:space="preserve"> </w:t>
      </w:r>
      <w:r w:rsidR="00D27953" w:rsidRPr="00020413">
        <w:rPr>
          <w:rFonts w:ascii="Times New Roman" w:hAnsi="Times New Roman"/>
          <w:sz w:val="24"/>
          <w:szCs w:val="24"/>
        </w:rPr>
        <w:t>academic</w:t>
      </w:r>
      <w:r w:rsidR="00DB2B3C" w:rsidRPr="00020413">
        <w:rPr>
          <w:rFonts w:ascii="Times New Roman" w:hAnsi="Times New Roman"/>
          <w:sz w:val="24"/>
          <w:szCs w:val="24"/>
        </w:rPr>
        <w:t xml:space="preserve"> and</w:t>
      </w:r>
      <w:r w:rsidR="000A14ED" w:rsidRPr="00020413">
        <w:rPr>
          <w:rFonts w:ascii="Times New Roman" w:hAnsi="Times New Roman"/>
          <w:sz w:val="24"/>
          <w:szCs w:val="24"/>
        </w:rPr>
        <w:t xml:space="preserve"> policy issue to consider </w:t>
      </w:r>
      <w:r w:rsidR="00A849EC" w:rsidRPr="00020413">
        <w:rPr>
          <w:rFonts w:ascii="Times New Roman" w:hAnsi="Times New Roman"/>
          <w:sz w:val="24"/>
          <w:szCs w:val="24"/>
        </w:rPr>
        <w:t xml:space="preserve">whether </w:t>
      </w:r>
      <w:r w:rsidR="000A14ED" w:rsidRPr="00020413">
        <w:rPr>
          <w:rFonts w:ascii="Times New Roman" w:hAnsi="Times New Roman"/>
          <w:sz w:val="24"/>
          <w:szCs w:val="24"/>
        </w:rPr>
        <w:t xml:space="preserve">and under what industrial/institutional environments do credit information sharing schemes </w:t>
      </w:r>
      <w:r w:rsidR="00A849EC" w:rsidRPr="00020413">
        <w:rPr>
          <w:rFonts w:ascii="Times New Roman" w:hAnsi="Times New Roman"/>
          <w:sz w:val="24"/>
          <w:szCs w:val="24"/>
        </w:rPr>
        <w:t>y</w:t>
      </w:r>
      <w:r w:rsidR="000A14ED" w:rsidRPr="00020413">
        <w:rPr>
          <w:rFonts w:ascii="Times New Roman" w:hAnsi="Times New Roman"/>
          <w:sz w:val="24"/>
          <w:szCs w:val="24"/>
        </w:rPr>
        <w:t>ield</w:t>
      </w:r>
      <w:r w:rsidR="00A849EC" w:rsidRPr="00020413">
        <w:rPr>
          <w:rFonts w:ascii="Times New Roman" w:hAnsi="Times New Roman"/>
          <w:sz w:val="24"/>
          <w:szCs w:val="24"/>
        </w:rPr>
        <w:t xml:space="preserve"> </w:t>
      </w:r>
      <w:r w:rsidR="000A14ED" w:rsidRPr="00020413">
        <w:rPr>
          <w:rFonts w:ascii="Times New Roman" w:hAnsi="Times New Roman"/>
          <w:sz w:val="24"/>
          <w:szCs w:val="24"/>
        </w:rPr>
        <w:t xml:space="preserve">net </w:t>
      </w:r>
      <w:r w:rsidR="00A849EC" w:rsidRPr="00020413">
        <w:rPr>
          <w:rFonts w:ascii="Times New Roman" w:hAnsi="Times New Roman"/>
          <w:sz w:val="24"/>
          <w:szCs w:val="24"/>
        </w:rPr>
        <w:t>benefits</w:t>
      </w:r>
      <w:r w:rsidR="00DE1E0D" w:rsidRPr="00020413">
        <w:rPr>
          <w:rFonts w:ascii="Times New Roman" w:hAnsi="Times New Roman"/>
          <w:sz w:val="24"/>
          <w:szCs w:val="24"/>
        </w:rPr>
        <w:t xml:space="preserve"> in developing economies</w:t>
      </w:r>
      <w:r w:rsidR="000B6481" w:rsidRPr="00020413">
        <w:rPr>
          <w:rFonts w:ascii="Times New Roman" w:hAnsi="Times New Roman"/>
          <w:sz w:val="24"/>
          <w:szCs w:val="24"/>
        </w:rPr>
        <w:t xml:space="preserve">. </w:t>
      </w:r>
    </w:p>
    <w:p w:rsidR="00D2490B" w:rsidRPr="00020413" w:rsidRDefault="00B10AD0" w:rsidP="00D55D24">
      <w:pPr>
        <w:spacing w:after="120" w:line="360" w:lineRule="auto"/>
        <w:jc w:val="both"/>
        <w:rPr>
          <w:rFonts w:ascii="Times New Roman" w:hAnsi="Times New Roman"/>
          <w:sz w:val="24"/>
          <w:szCs w:val="24"/>
        </w:rPr>
      </w:pPr>
      <w:r w:rsidRPr="00020413">
        <w:rPr>
          <w:rFonts w:ascii="Times New Roman" w:hAnsi="Times New Roman"/>
          <w:sz w:val="24"/>
          <w:szCs w:val="24"/>
        </w:rPr>
        <w:t>Against this backdrop,</w:t>
      </w:r>
      <w:r w:rsidR="00CF657F" w:rsidRPr="00020413">
        <w:rPr>
          <w:rFonts w:ascii="Times New Roman" w:hAnsi="Times New Roman"/>
          <w:sz w:val="24"/>
          <w:szCs w:val="24"/>
        </w:rPr>
        <w:t xml:space="preserve"> </w:t>
      </w:r>
      <w:r w:rsidR="00E4558A" w:rsidRPr="00020413">
        <w:rPr>
          <w:rFonts w:ascii="Times New Roman" w:hAnsi="Times New Roman"/>
          <w:sz w:val="24"/>
          <w:szCs w:val="24"/>
        </w:rPr>
        <w:t>the current</w:t>
      </w:r>
      <w:r w:rsidR="000542D0" w:rsidRPr="00020413">
        <w:rPr>
          <w:rFonts w:ascii="Times New Roman" w:hAnsi="Times New Roman"/>
          <w:sz w:val="24"/>
          <w:szCs w:val="24"/>
        </w:rPr>
        <w:t xml:space="preserve"> paper </w:t>
      </w:r>
      <w:r w:rsidR="00CF657F" w:rsidRPr="00020413">
        <w:rPr>
          <w:rFonts w:ascii="Times New Roman" w:hAnsi="Times New Roman"/>
          <w:sz w:val="24"/>
          <w:szCs w:val="24"/>
        </w:rPr>
        <w:t>seek</w:t>
      </w:r>
      <w:r w:rsidR="006B7F06" w:rsidRPr="00020413">
        <w:rPr>
          <w:rFonts w:ascii="Times New Roman" w:hAnsi="Times New Roman"/>
          <w:sz w:val="24"/>
          <w:szCs w:val="24"/>
        </w:rPr>
        <w:t>s</w:t>
      </w:r>
      <w:r w:rsidR="00CF657F" w:rsidRPr="00020413">
        <w:rPr>
          <w:rFonts w:ascii="Times New Roman" w:hAnsi="Times New Roman"/>
          <w:sz w:val="24"/>
          <w:szCs w:val="24"/>
        </w:rPr>
        <w:t xml:space="preserve"> to </w:t>
      </w:r>
      <w:r w:rsidR="00EA4B95" w:rsidRPr="00020413">
        <w:rPr>
          <w:rFonts w:ascii="Times New Roman" w:hAnsi="Times New Roman"/>
          <w:sz w:val="24"/>
          <w:szCs w:val="24"/>
        </w:rPr>
        <w:t xml:space="preserve">contribute to this topical issue </w:t>
      </w:r>
      <w:r w:rsidR="0036455A" w:rsidRPr="00020413">
        <w:rPr>
          <w:rFonts w:ascii="Times New Roman" w:hAnsi="Times New Roman"/>
          <w:sz w:val="24"/>
          <w:szCs w:val="24"/>
        </w:rPr>
        <w:t>regarding</w:t>
      </w:r>
      <w:r w:rsidR="00E4558A" w:rsidRPr="00020413">
        <w:rPr>
          <w:rFonts w:ascii="Times New Roman" w:hAnsi="Times New Roman"/>
          <w:sz w:val="24"/>
          <w:szCs w:val="24"/>
        </w:rPr>
        <w:t xml:space="preserve"> the value</w:t>
      </w:r>
      <w:r w:rsidR="0036455A" w:rsidRPr="00020413">
        <w:rPr>
          <w:rFonts w:ascii="Times New Roman" w:hAnsi="Times New Roman"/>
          <w:sz w:val="24"/>
          <w:szCs w:val="24"/>
        </w:rPr>
        <w:t xml:space="preserve"> </w:t>
      </w:r>
      <w:r w:rsidR="00E4558A" w:rsidRPr="00020413">
        <w:rPr>
          <w:rFonts w:ascii="Times New Roman" w:hAnsi="Times New Roman"/>
          <w:sz w:val="24"/>
          <w:szCs w:val="24"/>
        </w:rPr>
        <w:t xml:space="preserve">of credit information sharing schemes </w:t>
      </w:r>
      <w:r w:rsidR="00EA4B95" w:rsidRPr="00020413">
        <w:rPr>
          <w:rFonts w:ascii="Times New Roman" w:hAnsi="Times New Roman"/>
          <w:sz w:val="24"/>
          <w:szCs w:val="24"/>
        </w:rPr>
        <w:t>by examining the impact</w:t>
      </w:r>
      <w:r w:rsidR="00CF657F" w:rsidRPr="00020413">
        <w:rPr>
          <w:rFonts w:ascii="Times New Roman" w:hAnsi="Times New Roman"/>
          <w:sz w:val="24"/>
          <w:szCs w:val="24"/>
        </w:rPr>
        <w:t xml:space="preserve"> of credi</w:t>
      </w:r>
      <w:r w:rsidR="00F63251" w:rsidRPr="00020413">
        <w:rPr>
          <w:rFonts w:ascii="Times New Roman" w:hAnsi="Times New Roman"/>
          <w:sz w:val="24"/>
          <w:szCs w:val="24"/>
        </w:rPr>
        <w:t xml:space="preserve">t information sharing on </w:t>
      </w:r>
      <w:r w:rsidR="00262D41" w:rsidRPr="00020413">
        <w:rPr>
          <w:rFonts w:ascii="Times New Roman" w:hAnsi="Times New Roman"/>
          <w:sz w:val="24"/>
          <w:szCs w:val="24"/>
        </w:rPr>
        <w:t>loan default rate</w:t>
      </w:r>
      <w:r w:rsidR="00EA4B95" w:rsidRPr="00020413">
        <w:rPr>
          <w:rFonts w:ascii="Times New Roman" w:hAnsi="Times New Roman"/>
          <w:sz w:val="24"/>
          <w:szCs w:val="24"/>
        </w:rPr>
        <w:t>s</w:t>
      </w:r>
      <w:r w:rsidR="00E37632" w:rsidRPr="00020413">
        <w:rPr>
          <w:rFonts w:ascii="Times New Roman" w:hAnsi="Times New Roman"/>
          <w:sz w:val="24"/>
          <w:szCs w:val="24"/>
        </w:rPr>
        <w:t xml:space="preserve"> </w:t>
      </w:r>
      <w:r w:rsidR="0036455A" w:rsidRPr="00020413">
        <w:rPr>
          <w:rFonts w:ascii="Times New Roman" w:hAnsi="Times New Roman"/>
          <w:sz w:val="24"/>
          <w:szCs w:val="24"/>
        </w:rPr>
        <w:t xml:space="preserve">in banks domiciled in developing economies. </w:t>
      </w:r>
      <w:r w:rsidR="00805756" w:rsidRPr="00020413">
        <w:rPr>
          <w:rFonts w:ascii="Times New Roman" w:hAnsi="Times New Roman"/>
          <w:sz w:val="24"/>
          <w:szCs w:val="24"/>
        </w:rPr>
        <w:t xml:space="preserve">Economic </w:t>
      </w:r>
      <w:r w:rsidR="00240B76" w:rsidRPr="00020413">
        <w:rPr>
          <w:rFonts w:ascii="Times New Roman" w:hAnsi="Times New Roman"/>
          <w:sz w:val="24"/>
          <w:szCs w:val="24"/>
        </w:rPr>
        <w:t>t</w:t>
      </w:r>
      <w:r w:rsidR="002408B7" w:rsidRPr="00020413">
        <w:rPr>
          <w:rFonts w:ascii="Times New Roman" w:hAnsi="Times New Roman"/>
          <w:sz w:val="24"/>
          <w:szCs w:val="24"/>
        </w:rPr>
        <w:t xml:space="preserve">heory suggests that </w:t>
      </w:r>
      <w:r w:rsidR="003D2C49" w:rsidRPr="00020413">
        <w:rPr>
          <w:rFonts w:ascii="Times New Roman" w:hAnsi="Times New Roman"/>
          <w:sz w:val="24"/>
          <w:szCs w:val="24"/>
        </w:rPr>
        <w:t>information asymmetry leads to adverse selection and moral hazard problems in credit markets</w:t>
      </w:r>
      <w:r w:rsidR="00D74B13" w:rsidRPr="00020413">
        <w:rPr>
          <w:rFonts w:ascii="Times New Roman" w:hAnsi="Times New Roman"/>
          <w:sz w:val="24"/>
          <w:szCs w:val="24"/>
        </w:rPr>
        <w:t xml:space="preserve"> (Stiglitz and Weiss, 1981)</w:t>
      </w:r>
      <w:r w:rsidR="003D2C49" w:rsidRPr="00020413">
        <w:rPr>
          <w:rFonts w:ascii="Times New Roman" w:hAnsi="Times New Roman"/>
          <w:sz w:val="24"/>
          <w:szCs w:val="24"/>
        </w:rPr>
        <w:t xml:space="preserve">. When lenders cannot </w:t>
      </w:r>
      <w:r w:rsidR="003D2C49" w:rsidRPr="00020413">
        <w:rPr>
          <w:rFonts w:ascii="Times New Roman" w:hAnsi="Times New Roman"/>
          <w:i/>
          <w:sz w:val="24"/>
          <w:szCs w:val="24"/>
        </w:rPr>
        <w:t>ex ante</w:t>
      </w:r>
      <w:r w:rsidR="003D2C49" w:rsidRPr="00020413">
        <w:rPr>
          <w:rFonts w:ascii="Times New Roman" w:hAnsi="Times New Roman"/>
          <w:sz w:val="24"/>
          <w:szCs w:val="24"/>
        </w:rPr>
        <w:t xml:space="preserve"> differentiate between safe and risky </w:t>
      </w:r>
      <w:r w:rsidR="008D6A37" w:rsidRPr="00020413">
        <w:rPr>
          <w:rFonts w:ascii="Times New Roman" w:hAnsi="Times New Roman"/>
          <w:sz w:val="24"/>
          <w:szCs w:val="24"/>
        </w:rPr>
        <w:t>borrowers, they may lend</w:t>
      </w:r>
      <w:r w:rsidR="003F25A1" w:rsidRPr="00020413">
        <w:rPr>
          <w:rFonts w:ascii="Times New Roman" w:hAnsi="Times New Roman"/>
          <w:sz w:val="24"/>
          <w:szCs w:val="24"/>
        </w:rPr>
        <w:t xml:space="preserve"> in an inefficient manner by</w:t>
      </w:r>
      <w:r w:rsidR="008D6A37" w:rsidRPr="00020413">
        <w:rPr>
          <w:rFonts w:ascii="Times New Roman" w:hAnsi="Times New Roman"/>
          <w:sz w:val="24"/>
          <w:szCs w:val="24"/>
        </w:rPr>
        <w:t xml:space="preserve"> refusing credit to safe borrowers</w:t>
      </w:r>
      <w:r w:rsidR="00313082" w:rsidRPr="00020413">
        <w:rPr>
          <w:rFonts w:ascii="Times New Roman" w:hAnsi="Times New Roman"/>
          <w:sz w:val="24"/>
          <w:szCs w:val="24"/>
        </w:rPr>
        <w:t>,</w:t>
      </w:r>
      <w:r w:rsidR="008D6A37" w:rsidRPr="00020413">
        <w:rPr>
          <w:rFonts w:ascii="Times New Roman" w:hAnsi="Times New Roman"/>
          <w:sz w:val="24"/>
          <w:szCs w:val="24"/>
        </w:rPr>
        <w:t xml:space="preserve"> while advancing loans to the risky </w:t>
      </w:r>
      <w:r w:rsidR="0056310E" w:rsidRPr="00020413">
        <w:rPr>
          <w:rFonts w:ascii="Times New Roman" w:hAnsi="Times New Roman"/>
          <w:sz w:val="24"/>
          <w:szCs w:val="24"/>
        </w:rPr>
        <w:t>ones and</w:t>
      </w:r>
      <w:r w:rsidR="008141C3" w:rsidRPr="00020413">
        <w:rPr>
          <w:rFonts w:ascii="Times New Roman" w:hAnsi="Times New Roman"/>
          <w:sz w:val="24"/>
          <w:szCs w:val="24"/>
        </w:rPr>
        <w:t xml:space="preserve"> </w:t>
      </w:r>
      <w:r w:rsidR="00D27953" w:rsidRPr="00020413">
        <w:rPr>
          <w:rFonts w:ascii="Times New Roman" w:hAnsi="Times New Roman"/>
          <w:sz w:val="24"/>
          <w:szCs w:val="24"/>
        </w:rPr>
        <w:t xml:space="preserve">thereby </w:t>
      </w:r>
      <w:r w:rsidR="008141C3" w:rsidRPr="00020413">
        <w:rPr>
          <w:rFonts w:ascii="Times New Roman" w:hAnsi="Times New Roman"/>
          <w:sz w:val="24"/>
          <w:szCs w:val="24"/>
        </w:rPr>
        <w:t>increasing the average lending rate</w:t>
      </w:r>
      <w:r w:rsidR="008D6A37" w:rsidRPr="00020413">
        <w:rPr>
          <w:rFonts w:ascii="Times New Roman" w:hAnsi="Times New Roman"/>
          <w:sz w:val="24"/>
          <w:szCs w:val="24"/>
        </w:rPr>
        <w:t>.</w:t>
      </w:r>
      <w:r w:rsidR="00843F65" w:rsidRPr="00020413">
        <w:rPr>
          <w:rFonts w:ascii="Times New Roman" w:hAnsi="Times New Roman"/>
          <w:sz w:val="24"/>
          <w:szCs w:val="24"/>
        </w:rPr>
        <w:t xml:space="preserve"> This could adversely affect aggregate credit and credit risk</w:t>
      </w:r>
      <w:r w:rsidR="004D264D" w:rsidRPr="00020413">
        <w:rPr>
          <w:rFonts w:ascii="Times New Roman" w:hAnsi="Times New Roman"/>
          <w:sz w:val="24"/>
          <w:szCs w:val="24"/>
        </w:rPr>
        <w:t>, particularly when lending to risky borrowers becomes disproportionately higher to necessitate increasing interest rates</w:t>
      </w:r>
      <w:r w:rsidR="00843F65" w:rsidRPr="00020413">
        <w:rPr>
          <w:rFonts w:ascii="Times New Roman" w:hAnsi="Times New Roman"/>
          <w:sz w:val="24"/>
          <w:szCs w:val="24"/>
        </w:rPr>
        <w:t xml:space="preserve">. </w:t>
      </w:r>
      <w:r w:rsidR="00843F65" w:rsidRPr="00020413">
        <w:rPr>
          <w:rFonts w:ascii="Times New Roman" w:hAnsi="Times New Roman"/>
          <w:sz w:val="24"/>
          <w:szCs w:val="24"/>
        </w:rPr>
        <w:lastRenderedPageBreak/>
        <w:t>However, credit information sharing among lenders may help to overcome adverse selection problems</w:t>
      </w:r>
      <w:r w:rsidR="00423D1F" w:rsidRPr="00020413">
        <w:rPr>
          <w:rFonts w:ascii="Times New Roman" w:hAnsi="Times New Roman"/>
          <w:sz w:val="24"/>
          <w:szCs w:val="24"/>
        </w:rPr>
        <w:t xml:space="preserve"> in credit markets (Pagano and Jappelli, 1993) and reduce moral hazard</w:t>
      </w:r>
      <w:r w:rsidR="005B5AE8" w:rsidRPr="00020413">
        <w:rPr>
          <w:rFonts w:ascii="Times New Roman" w:hAnsi="Times New Roman"/>
          <w:sz w:val="24"/>
          <w:szCs w:val="24"/>
        </w:rPr>
        <w:t>s</w:t>
      </w:r>
      <w:r w:rsidR="00423D1F" w:rsidRPr="00020413">
        <w:rPr>
          <w:rFonts w:ascii="Times New Roman" w:hAnsi="Times New Roman"/>
          <w:sz w:val="24"/>
          <w:szCs w:val="24"/>
        </w:rPr>
        <w:t xml:space="preserve"> by incentivising borrowers to repay loans (Padilla and Pagano, 2000) or by avoiding over-borrowing when borrowers patronise multiple banks (Bennardo et al., 2015).</w:t>
      </w:r>
      <w:r w:rsidR="009643BD" w:rsidRPr="00020413">
        <w:rPr>
          <w:rFonts w:ascii="Times New Roman" w:hAnsi="Times New Roman"/>
          <w:sz w:val="24"/>
          <w:szCs w:val="24"/>
        </w:rPr>
        <w:t xml:space="preserve"> Therefore, credit information </w:t>
      </w:r>
      <w:r w:rsidR="000607B0" w:rsidRPr="00020413">
        <w:rPr>
          <w:rFonts w:ascii="Times New Roman" w:hAnsi="Times New Roman"/>
          <w:sz w:val="24"/>
          <w:szCs w:val="24"/>
        </w:rPr>
        <w:t>c</w:t>
      </w:r>
      <w:r w:rsidR="009643BD" w:rsidRPr="00020413">
        <w:rPr>
          <w:rFonts w:ascii="Times New Roman" w:hAnsi="Times New Roman"/>
          <w:sz w:val="24"/>
          <w:szCs w:val="24"/>
        </w:rPr>
        <w:t>ould improve credit allocation and</w:t>
      </w:r>
      <w:r w:rsidR="00D2490B" w:rsidRPr="00020413">
        <w:rPr>
          <w:rFonts w:ascii="Times New Roman" w:hAnsi="Times New Roman"/>
          <w:sz w:val="24"/>
          <w:szCs w:val="24"/>
        </w:rPr>
        <w:t xml:space="preserve"> loan quality, </w:t>
      </w:r>
      <w:r w:rsidR="000607B0" w:rsidRPr="00020413">
        <w:rPr>
          <w:rFonts w:ascii="Times New Roman" w:hAnsi="Times New Roman"/>
          <w:sz w:val="24"/>
          <w:szCs w:val="24"/>
        </w:rPr>
        <w:t>especial</w:t>
      </w:r>
      <w:r w:rsidR="00D2490B" w:rsidRPr="00020413">
        <w:rPr>
          <w:rFonts w:ascii="Times New Roman" w:hAnsi="Times New Roman"/>
          <w:sz w:val="24"/>
          <w:szCs w:val="24"/>
        </w:rPr>
        <w:t>ly in environments where severe information asymmetry prevails.</w:t>
      </w:r>
    </w:p>
    <w:p w:rsidR="00545721" w:rsidRPr="00020413" w:rsidRDefault="00D2490B"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While information problems arise in any market, they are particularly problematic in developing countries, </w:t>
      </w:r>
      <w:r w:rsidR="00D22838" w:rsidRPr="00020413">
        <w:rPr>
          <w:rFonts w:ascii="Times New Roman" w:hAnsi="Times New Roman"/>
          <w:sz w:val="24"/>
          <w:szCs w:val="24"/>
        </w:rPr>
        <w:t xml:space="preserve">often </w:t>
      </w:r>
      <w:r w:rsidRPr="00020413">
        <w:rPr>
          <w:rFonts w:ascii="Times New Roman" w:hAnsi="Times New Roman"/>
          <w:sz w:val="24"/>
          <w:szCs w:val="24"/>
        </w:rPr>
        <w:t>characterised by underdeveloped financial structures and institutional voids</w:t>
      </w:r>
      <w:r w:rsidR="00DB2B3C" w:rsidRPr="00020413">
        <w:rPr>
          <w:rFonts w:ascii="Times New Roman" w:hAnsi="Times New Roman"/>
          <w:sz w:val="24"/>
          <w:szCs w:val="24"/>
        </w:rPr>
        <w:t xml:space="preserve"> (</w:t>
      </w:r>
      <w:r w:rsidR="004759E8" w:rsidRPr="00020413">
        <w:rPr>
          <w:rFonts w:ascii="Times New Roman" w:hAnsi="Times New Roman"/>
          <w:sz w:val="24"/>
          <w:szCs w:val="24"/>
        </w:rPr>
        <w:t>Fosu, 2013</w:t>
      </w:r>
      <w:r w:rsidR="00D65624" w:rsidRPr="00020413">
        <w:rPr>
          <w:rFonts w:ascii="Times New Roman" w:hAnsi="Times New Roman"/>
          <w:sz w:val="24"/>
          <w:szCs w:val="24"/>
        </w:rPr>
        <w:t xml:space="preserve">; </w:t>
      </w:r>
      <w:proofErr w:type="spellStart"/>
      <w:r w:rsidR="00D65624" w:rsidRPr="00020413">
        <w:rPr>
          <w:rFonts w:ascii="Times New Roman" w:hAnsi="Times New Roman"/>
          <w:sz w:val="24"/>
          <w:szCs w:val="24"/>
        </w:rPr>
        <w:t>Amaeshi</w:t>
      </w:r>
      <w:proofErr w:type="spellEnd"/>
      <w:r w:rsidR="00D65624" w:rsidRPr="00020413">
        <w:rPr>
          <w:rFonts w:ascii="Times New Roman" w:hAnsi="Times New Roman"/>
          <w:sz w:val="24"/>
          <w:szCs w:val="24"/>
        </w:rPr>
        <w:t xml:space="preserve">, Adegbite and </w:t>
      </w:r>
      <w:proofErr w:type="spellStart"/>
      <w:r w:rsidR="00D65624" w:rsidRPr="00020413">
        <w:rPr>
          <w:rFonts w:ascii="Times New Roman" w:hAnsi="Times New Roman"/>
          <w:sz w:val="24"/>
          <w:szCs w:val="24"/>
        </w:rPr>
        <w:t>Rajwani</w:t>
      </w:r>
      <w:proofErr w:type="spellEnd"/>
      <w:r w:rsidR="00D65624" w:rsidRPr="00020413">
        <w:rPr>
          <w:rFonts w:ascii="Times New Roman" w:hAnsi="Times New Roman"/>
          <w:sz w:val="24"/>
          <w:szCs w:val="24"/>
        </w:rPr>
        <w:t>, 2016</w:t>
      </w:r>
      <w:r w:rsidR="00DB2B3C" w:rsidRPr="00020413">
        <w:rPr>
          <w:rFonts w:ascii="Times New Roman" w:hAnsi="Times New Roman"/>
          <w:sz w:val="24"/>
          <w:szCs w:val="24"/>
        </w:rPr>
        <w:t>)</w:t>
      </w:r>
      <w:r w:rsidRPr="00020413">
        <w:rPr>
          <w:rFonts w:ascii="Times New Roman" w:hAnsi="Times New Roman"/>
          <w:sz w:val="24"/>
          <w:szCs w:val="24"/>
        </w:rPr>
        <w:t xml:space="preserve">. Most developing countries tend to have </w:t>
      </w:r>
      <w:r w:rsidR="007C6164" w:rsidRPr="00020413">
        <w:rPr>
          <w:rFonts w:ascii="Times New Roman" w:hAnsi="Times New Roman"/>
          <w:sz w:val="24"/>
          <w:szCs w:val="24"/>
        </w:rPr>
        <w:t xml:space="preserve">relatively </w:t>
      </w:r>
      <w:r w:rsidRPr="00020413">
        <w:rPr>
          <w:rFonts w:ascii="Times New Roman" w:hAnsi="Times New Roman"/>
          <w:sz w:val="24"/>
          <w:szCs w:val="24"/>
        </w:rPr>
        <w:t>weak company laws and regulations protecting creditors</w:t>
      </w:r>
      <w:r w:rsidR="00A56C44" w:rsidRPr="00020413">
        <w:rPr>
          <w:rFonts w:ascii="Times New Roman" w:hAnsi="Times New Roman"/>
          <w:sz w:val="24"/>
          <w:szCs w:val="24"/>
        </w:rPr>
        <w:t>’</w:t>
      </w:r>
      <w:r w:rsidRPr="00020413">
        <w:rPr>
          <w:rFonts w:ascii="Times New Roman" w:hAnsi="Times New Roman"/>
          <w:sz w:val="24"/>
          <w:szCs w:val="24"/>
        </w:rPr>
        <w:t xml:space="preserve"> rights</w:t>
      </w:r>
      <w:r w:rsidR="006A0E41" w:rsidRPr="00020413">
        <w:rPr>
          <w:rFonts w:ascii="Times New Roman" w:hAnsi="Times New Roman"/>
          <w:sz w:val="24"/>
          <w:szCs w:val="24"/>
        </w:rPr>
        <w:t xml:space="preserve"> coupled with</w:t>
      </w:r>
      <w:r w:rsidR="00A56C44" w:rsidRPr="00020413">
        <w:rPr>
          <w:rFonts w:ascii="Times New Roman" w:hAnsi="Times New Roman"/>
          <w:sz w:val="24"/>
          <w:szCs w:val="24"/>
        </w:rPr>
        <w:t xml:space="preserve"> </w:t>
      </w:r>
      <w:r w:rsidR="006A0E41" w:rsidRPr="00020413">
        <w:rPr>
          <w:rFonts w:ascii="Times New Roman" w:hAnsi="Times New Roman"/>
          <w:sz w:val="24"/>
          <w:szCs w:val="24"/>
        </w:rPr>
        <w:t>weak enforcement of contracts</w:t>
      </w:r>
      <w:r w:rsidR="002B23C4" w:rsidRPr="00020413">
        <w:rPr>
          <w:rFonts w:ascii="Times New Roman" w:hAnsi="Times New Roman"/>
          <w:sz w:val="24"/>
          <w:szCs w:val="24"/>
        </w:rPr>
        <w:t>,</w:t>
      </w:r>
      <w:r w:rsidR="006A0E41" w:rsidRPr="00020413">
        <w:rPr>
          <w:rFonts w:ascii="Times New Roman" w:hAnsi="Times New Roman"/>
          <w:sz w:val="24"/>
          <w:szCs w:val="24"/>
        </w:rPr>
        <w:t xml:space="preserve"> a</w:t>
      </w:r>
      <w:r w:rsidR="000607B0" w:rsidRPr="00020413">
        <w:rPr>
          <w:rFonts w:ascii="Times New Roman" w:hAnsi="Times New Roman"/>
          <w:sz w:val="24"/>
          <w:szCs w:val="24"/>
        </w:rPr>
        <w:t>s well as</w:t>
      </w:r>
      <w:r w:rsidR="006A0E41" w:rsidRPr="00020413">
        <w:rPr>
          <w:rFonts w:ascii="Times New Roman" w:hAnsi="Times New Roman"/>
          <w:sz w:val="24"/>
          <w:szCs w:val="24"/>
        </w:rPr>
        <w:t xml:space="preserve"> a </w:t>
      </w:r>
      <w:r w:rsidR="00A56C44" w:rsidRPr="00020413">
        <w:rPr>
          <w:rFonts w:ascii="Times New Roman" w:hAnsi="Times New Roman"/>
          <w:sz w:val="24"/>
          <w:szCs w:val="24"/>
        </w:rPr>
        <w:t xml:space="preserve">lack of transparency </w:t>
      </w:r>
      <w:r w:rsidR="006A0E41" w:rsidRPr="00020413">
        <w:rPr>
          <w:rFonts w:ascii="Times New Roman" w:hAnsi="Times New Roman"/>
          <w:sz w:val="24"/>
          <w:szCs w:val="24"/>
        </w:rPr>
        <w:t>in corporate reporting</w:t>
      </w:r>
      <w:r w:rsidR="00C338FF" w:rsidRPr="00020413">
        <w:rPr>
          <w:rFonts w:ascii="Times New Roman" w:hAnsi="Times New Roman"/>
          <w:sz w:val="24"/>
          <w:szCs w:val="24"/>
        </w:rPr>
        <w:t xml:space="preserve"> (La Porta et al., 1997; Brown et al., 2009)</w:t>
      </w:r>
      <w:r w:rsidR="00B513E9" w:rsidRPr="00020413">
        <w:rPr>
          <w:rFonts w:ascii="Times New Roman" w:hAnsi="Times New Roman"/>
          <w:sz w:val="24"/>
          <w:szCs w:val="24"/>
        </w:rPr>
        <w:t>.</w:t>
      </w:r>
      <w:r w:rsidR="00A56C44" w:rsidRPr="00020413">
        <w:rPr>
          <w:rFonts w:ascii="Times New Roman" w:hAnsi="Times New Roman"/>
          <w:sz w:val="24"/>
          <w:szCs w:val="24"/>
        </w:rPr>
        <w:t xml:space="preserve"> </w:t>
      </w:r>
      <w:r w:rsidR="007B15B9" w:rsidRPr="00020413">
        <w:rPr>
          <w:rFonts w:ascii="Times New Roman" w:hAnsi="Times New Roman"/>
          <w:sz w:val="24"/>
          <w:szCs w:val="24"/>
        </w:rPr>
        <w:t>The weak governance environment</w:t>
      </w:r>
      <w:r w:rsidR="00B513E9" w:rsidRPr="00020413">
        <w:rPr>
          <w:rFonts w:ascii="Times New Roman" w:hAnsi="Times New Roman"/>
          <w:sz w:val="24"/>
          <w:szCs w:val="24"/>
        </w:rPr>
        <w:t xml:space="preserve"> </w:t>
      </w:r>
      <w:r w:rsidR="00A56C44" w:rsidRPr="00020413">
        <w:rPr>
          <w:rFonts w:ascii="Times New Roman" w:hAnsi="Times New Roman"/>
          <w:sz w:val="24"/>
          <w:szCs w:val="24"/>
        </w:rPr>
        <w:t>exacerbate</w:t>
      </w:r>
      <w:r w:rsidR="007B15B9" w:rsidRPr="00020413">
        <w:rPr>
          <w:rFonts w:ascii="Times New Roman" w:hAnsi="Times New Roman"/>
          <w:sz w:val="24"/>
          <w:szCs w:val="24"/>
        </w:rPr>
        <w:t>s</w:t>
      </w:r>
      <w:r w:rsidR="00A56C44" w:rsidRPr="00020413">
        <w:rPr>
          <w:rFonts w:ascii="Times New Roman" w:hAnsi="Times New Roman"/>
          <w:sz w:val="24"/>
          <w:szCs w:val="24"/>
        </w:rPr>
        <w:t xml:space="preserve"> the adverse selection and moral h</w:t>
      </w:r>
      <w:r w:rsidR="00C338FF" w:rsidRPr="00020413">
        <w:rPr>
          <w:rFonts w:ascii="Times New Roman" w:hAnsi="Times New Roman"/>
          <w:sz w:val="24"/>
          <w:szCs w:val="24"/>
        </w:rPr>
        <w:t xml:space="preserve">azard problems, making it unfavourable for </w:t>
      </w:r>
      <w:r w:rsidR="000607B0" w:rsidRPr="00020413">
        <w:rPr>
          <w:rFonts w:ascii="Times New Roman" w:hAnsi="Times New Roman"/>
          <w:sz w:val="24"/>
          <w:szCs w:val="24"/>
        </w:rPr>
        <w:t xml:space="preserve">bank </w:t>
      </w:r>
      <w:r w:rsidR="00C338FF" w:rsidRPr="00020413">
        <w:rPr>
          <w:rFonts w:ascii="Times New Roman" w:hAnsi="Times New Roman"/>
          <w:sz w:val="24"/>
          <w:szCs w:val="24"/>
        </w:rPr>
        <w:t>lending</w:t>
      </w:r>
      <w:r w:rsidR="00A56C44" w:rsidRPr="00020413">
        <w:rPr>
          <w:rFonts w:ascii="Times New Roman" w:hAnsi="Times New Roman"/>
          <w:sz w:val="24"/>
          <w:szCs w:val="24"/>
        </w:rPr>
        <w:t>.</w:t>
      </w:r>
      <w:r w:rsidR="00C338FF" w:rsidRPr="00020413">
        <w:rPr>
          <w:rFonts w:ascii="Times New Roman" w:hAnsi="Times New Roman"/>
          <w:sz w:val="24"/>
          <w:szCs w:val="24"/>
        </w:rPr>
        <w:t xml:space="preserve"> These features make developing countries an interesting setting to study the </w:t>
      </w:r>
      <w:r w:rsidR="000607B0" w:rsidRPr="00020413">
        <w:rPr>
          <w:rFonts w:ascii="Times New Roman" w:hAnsi="Times New Roman"/>
          <w:sz w:val="24"/>
          <w:szCs w:val="24"/>
        </w:rPr>
        <w:t xml:space="preserve">potential </w:t>
      </w:r>
      <w:r w:rsidR="00C338FF" w:rsidRPr="00020413">
        <w:rPr>
          <w:rFonts w:ascii="Times New Roman" w:hAnsi="Times New Roman"/>
          <w:sz w:val="24"/>
          <w:szCs w:val="24"/>
        </w:rPr>
        <w:t xml:space="preserve">role of credit information sharing </w:t>
      </w:r>
      <w:r w:rsidR="000607B0" w:rsidRPr="00020413">
        <w:rPr>
          <w:rFonts w:ascii="Times New Roman" w:hAnsi="Times New Roman"/>
          <w:sz w:val="24"/>
          <w:szCs w:val="24"/>
        </w:rPr>
        <w:t>i</w:t>
      </w:r>
      <w:r w:rsidR="00C338FF" w:rsidRPr="00020413">
        <w:rPr>
          <w:rFonts w:ascii="Times New Roman" w:hAnsi="Times New Roman"/>
          <w:sz w:val="24"/>
          <w:szCs w:val="24"/>
        </w:rPr>
        <w:t xml:space="preserve">n </w:t>
      </w:r>
      <w:r w:rsidR="000607B0" w:rsidRPr="00020413">
        <w:rPr>
          <w:rFonts w:ascii="Times New Roman" w:hAnsi="Times New Roman"/>
          <w:sz w:val="24"/>
          <w:szCs w:val="24"/>
        </w:rPr>
        <w:t xml:space="preserve">enhancing </w:t>
      </w:r>
      <w:r w:rsidR="00C338FF" w:rsidRPr="00020413">
        <w:rPr>
          <w:rFonts w:ascii="Times New Roman" w:hAnsi="Times New Roman"/>
          <w:sz w:val="24"/>
          <w:szCs w:val="24"/>
        </w:rPr>
        <w:t>the quality of loans advanced by banks, as measured by the loan default rates.</w:t>
      </w:r>
    </w:p>
    <w:p w:rsidR="0066670A" w:rsidRPr="00020413" w:rsidRDefault="00545721"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Prior studies considering the relevance of information sharing schemes have often focused on their effect on availability of credit and largely </w:t>
      </w:r>
      <w:r w:rsidR="00EC3B6A" w:rsidRPr="00020413">
        <w:rPr>
          <w:rFonts w:ascii="Times New Roman" w:hAnsi="Times New Roman"/>
          <w:sz w:val="24"/>
          <w:szCs w:val="24"/>
        </w:rPr>
        <w:t>reported</w:t>
      </w:r>
      <w:r w:rsidRPr="00020413">
        <w:rPr>
          <w:rFonts w:ascii="Times New Roman" w:hAnsi="Times New Roman"/>
          <w:sz w:val="24"/>
          <w:szCs w:val="24"/>
        </w:rPr>
        <w:t xml:space="preserve"> a positive information sharing effect (</w:t>
      </w:r>
      <w:r w:rsidR="00D01C55" w:rsidRPr="00020413">
        <w:rPr>
          <w:rFonts w:ascii="Times New Roman" w:hAnsi="Times New Roman"/>
          <w:sz w:val="24"/>
          <w:szCs w:val="24"/>
        </w:rPr>
        <w:t xml:space="preserve">Jappelli and Pagano, 2002; Love and </w:t>
      </w:r>
      <w:proofErr w:type="spellStart"/>
      <w:r w:rsidR="00D01C55" w:rsidRPr="00020413">
        <w:rPr>
          <w:rFonts w:ascii="Times New Roman" w:hAnsi="Times New Roman"/>
          <w:sz w:val="24"/>
          <w:szCs w:val="24"/>
        </w:rPr>
        <w:t>Mylenko</w:t>
      </w:r>
      <w:proofErr w:type="spellEnd"/>
      <w:r w:rsidR="00D01C55" w:rsidRPr="00020413">
        <w:rPr>
          <w:rFonts w:ascii="Times New Roman" w:hAnsi="Times New Roman"/>
          <w:sz w:val="24"/>
          <w:szCs w:val="24"/>
        </w:rPr>
        <w:t>, 2003; Brown et al., 2009; Fosu, 2014)</w:t>
      </w:r>
      <w:r w:rsidRPr="00020413">
        <w:rPr>
          <w:rFonts w:ascii="Times New Roman" w:hAnsi="Times New Roman"/>
          <w:sz w:val="24"/>
          <w:szCs w:val="24"/>
        </w:rPr>
        <w:t xml:space="preserve">. </w:t>
      </w:r>
      <w:r w:rsidR="00DB2B3C" w:rsidRPr="00020413">
        <w:rPr>
          <w:rFonts w:ascii="Times New Roman" w:hAnsi="Times New Roman"/>
          <w:sz w:val="24"/>
          <w:szCs w:val="24"/>
        </w:rPr>
        <w:t>However</w:t>
      </w:r>
      <w:r w:rsidR="00A67D9A" w:rsidRPr="00020413">
        <w:rPr>
          <w:rFonts w:ascii="Times New Roman" w:hAnsi="Times New Roman"/>
          <w:sz w:val="24"/>
          <w:szCs w:val="24"/>
        </w:rPr>
        <w:t>, evidence on the information sharing effect on credit default rates is relatively limited, with th</w:t>
      </w:r>
      <w:r w:rsidR="00120E76" w:rsidRPr="00020413">
        <w:rPr>
          <w:rFonts w:ascii="Times New Roman" w:hAnsi="Times New Roman"/>
          <w:sz w:val="24"/>
          <w:szCs w:val="24"/>
        </w:rPr>
        <w:t>ose</w:t>
      </w:r>
      <w:r w:rsidR="00A67D9A" w:rsidRPr="00020413">
        <w:rPr>
          <w:rFonts w:ascii="Times New Roman" w:hAnsi="Times New Roman"/>
          <w:sz w:val="24"/>
          <w:szCs w:val="24"/>
        </w:rPr>
        <w:t xml:space="preserve"> few studies exploring the issue undertaking single-country analysis, </w:t>
      </w:r>
      <w:proofErr w:type="gramStart"/>
      <w:r w:rsidR="00A67D9A" w:rsidRPr="00020413">
        <w:rPr>
          <w:rFonts w:ascii="Times New Roman" w:hAnsi="Times New Roman"/>
          <w:sz w:val="24"/>
          <w:szCs w:val="24"/>
        </w:rPr>
        <w:t>and also</w:t>
      </w:r>
      <w:proofErr w:type="gramEnd"/>
      <w:r w:rsidR="00A67D9A" w:rsidRPr="00020413">
        <w:rPr>
          <w:rFonts w:ascii="Times New Roman" w:hAnsi="Times New Roman"/>
          <w:sz w:val="24"/>
          <w:szCs w:val="24"/>
        </w:rPr>
        <w:t xml:space="preserve"> often ignoring banks</w:t>
      </w:r>
      <w:r w:rsidR="00853401" w:rsidRPr="00020413">
        <w:rPr>
          <w:rFonts w:ascii="Times New Roman" w:hAnsi="Times New Roman"/>
          <w:sz w:val="24"/>
          <w:szCs w:val="24"/>
        </w:rPr>
        <w:t xml:space="preserve"> operating</w:t>
      </w:r>
      <w:r w:rsidR="00A67D9A" w:rsidRPr="00020413">
        <w:rPr>
          <w:rFonts w:ascii="Times New Roman" w:hAnsi="Times New Roman"/>
          <w:sz w:val="24"/>
          <w:szCs w:val="24"/>
        </w:rPr>
        <w:t xml:space="preserve"> in </w:t>
      </w:r>
      <w:r w:rsidR="00853401" w:rsidRPr="00020413">
        <w:rPr>
          <w:rFonts w:ascii="Times New Roman" w:hAnsi="Times New Roman"/>
          <w:sz w:val="24"/>
          <w:szCs w:val="24"/>
        </w:rPr>
        <w:t>other developing regions of the world</w:t>
      </w:r>
      <w:r w:rsidR="0066670A" w:rsidRPr="00020413">
        <w:rPr>
          <w:rFonts w:ascii="Times New Roman" w:hAnsi="Times New Roman"/>
          <w:sz w:val="24"/>
          <w:szCs w:val="24"/>
        </w:rPr>
        <w:t>.</w:t>
      </w:r>
      <w:r w:rsidR="00A67D9A" w:rsidRPr="00020413">
        <w:rPr>
          <w:rFonts w:ascii="Times New Roman" w:hAnsi="Times New Roman"/>
          <w:sz w:val="24"/>
          <w:szCs w:val="24"/>
        </w:rPr>
        <w:t xml:space="preserve"> </w:t>
      </w:r>
      <w:r w:rsidR="00216668" w:rsidRPr="00020413">
        <w:rPr>
          <w:rFonts w:ascii="Times New Roman" w:hAnsi="Times New Roman"/>
          <w:sz w:val="24"/>
          <w:szCs w:val="24"/>
        </w:rPr>
        <w:t xml:space="preserve">For example, </w:t>
      </w:r>
      <w:proofErr w:type="spellStart"/>
      <w:r w:rsidR="00A67D9A" w:rsidRPr="00020413">
        <w:rPr>
          <w:rFonts w:ascii="Times New Roman" w:hAnsi="Times New Roman"/>
          <w:sz w:val="24"/>
          <w:szCs w:val="24"/>
        </w:rPr>
        <w:t>Kallberg</w:t>
      </w:r>
      <w:proofErr w:type="spellEnd"/>
      <w:r w:rsidR="00A67D9A" w:rsidRPr="00020413">
        <w:rPr>
          <w:rFonts w:ascii="Times New Roman" w:hAnsi="Times New Roman"/>
          <w:sz w:val="24"/>
          <w:szCs w:val="24"/>
        </w:rPr>
        <w:t xml:space="preserve"> and </w:t>
      </w:r>
      <w:proofErr w:type="spellStart"/>
      <w:r w:rsidR="00A67D9A" w:rsidRPr="00020413">
        <w:rPr>
          <w:rFonts w:ascii="Times New Roman" w:hAnsi="Times New Roman"/>
          <w:sz w:val="24"/>
          <w:szCs w:val="24"/>
        </w:rPr>
        <w:t>Udell</w:t>
      </w:r>
      <w:proofErr w:type="spellEnd"/>
      <w:r w:rsidR="00A67D9A" w:rsidRPr="00020413">
        <w:rPr>
          <w:rFonts w:ascii="Times New Roman" w:hAnsi="Times New Roman"/>
          <w:sz w:val="24"/>
          <w:szCs w:val="24"/>
        </w:rPr>
        <w:t xml:space="preserve"> (2003)</w:t>
      </w:r>
      <w:r w:rsidR="00216668" w:rsidRPr="00020413">
        <w:rPr>
          <w:rFonts w:ascii="Times New Roman" w:hAnsi="Times New Roman"/>
          <w:sz w:val="24"/>
          <w:szCs w:val="24"/>
        </w:rPr>
        <w:t xml:space="preserve">, </w:t>
      </w:r>
      <w:r w:rsidR="003D3AFC" w:rsidRPr="00020413">
        <w:rPr>
          <w:rFonts w:ascii="Times New Roman" w:hAnsi="Times New Roman"/>
          <w:sz w:val="24"/>
          <w:szCs w:val="24"/>
        </w:rPr>
        <w:t xml:space="preserve">De </w:t>
      </w:r>
      <w:proofErr w:type="spellStart"/>
      <w:r w:rsidR="003D3AFC" w:rsidRPr="00020413">
        <w:rPr>
          <w:rFonts w:ascii="Times New Roman" w:hAnsi="Times New Roman"/>
          <w:sz w:val="24"/>
          <w:szCs w:val="24"/>
        </w:rPr>
        <w:t>Janvry</w:t>
      </w:r>
      <w:proofErr w:type="spellEnd"/>
      <w:r w:rsidR="003D3AFC" w:rsidRPr="00020413">
        <w:rPr>
          <w:rFonts w:ascii="Times New Roman" w:hAnsi="Times New Roman"/>
          <w:sz w:val="24"/>
          <w:szCs w:val="24"/>
        </w:rPr>
        <w:t xml:space="preserve"> </w:t>
      </w:r>
      <w:r w:rsidR="00216668" w:rsidRPr="00020413">
        <w:rPr>
          <w:rFonts w:ascii="Times New Roman" w:hAnsi="Times New Roman"/>
          <w:sz w:val="24"/>
          <w:szCs w:val="24"/>
        </w:rPr>
        <w:t xml:space="preserve">et al. (2010) and Behr and </w:t>
      </w:r>
      <w:proofErr w:type="spellStart"/>
      <w:r w:rsidR="00216668" w:rsidRPr="00020413">
        <w:rPr>
          <w:rFonts w:ascii="Times New Roman" w:hAnsi="Times New Roman"/>
          <w:sz w:val="24"/>
          <w:szCs w:val="24"/>
        </w:rPr>
        <w:t>Sonnekalb</w:t>
      </w:r>
      <w:proofErr w:type="spellEnd"/>
      <w:r w:rsidR="00216668" w:rsidRPr="00020413">
        <w:rPr>
          <w:rFonts w:ascii="Times New Roman" w:hAnsi="Times New Roman"/>
          <w:sz w:val="24"/>
          <w:szCs w:val="24"/>
        </w:rPr>
        <w:t xml:space="preserve"> (2012) examine the issue in the specific contexts of the US, Guatemala and Albania, respectively.</w:t>
      </w:r>
      <w:r w:rsidR="00BF70EC" w:rsidRPr="00020413">
        <w:rPr>
          <w:rFonts w:ascii="Times New Roman" w:hAnsi="Times New Roman"/>
          <w:sz w:val="24"/>
          <w:szCs w:val="24"/>
        </w:rPr>
        <w:t xml:space="preserve"> The lack of attention to the</w:t>
      </w:r>
      <w:r w:rsidR="00853401" w:rsidRPr="00020413">
        <w:rPr>
          <w:rFonts w:ascii="Times New Roman" w:hAnsi="Times New Roman"/>
          <w:sz w:val="24"/>
          <w:szCs w:val="24"/>
        </w:rPr>
        <w:t xml:space="preserve"> other mark</w:t>
      </w:r>
      <w:r w:rsidR="00E56419" w:rsidRPr="00020413">
        <w:rPr>
          <w:rFonts w:ascii="Times New Roman" w:hAnsi="Times New Roman"/>
          <w:sz w:val="24"/>
          <w:szCs w:val="24"/>
        </w:rPr>
        <w:t>et</w:t>
      </w:r>
      <w:r w:rsidR="00853401" w:rsidRPr="00020413">
        <w:rPr>
          <w:rFonts w:ascii="Times New Roman" w:hAnsi="Times New Roman"/>
          <w:sz w:val="24"/>
          <w:szCs w:val="24"/>
        </w:rPr>
        <w:t>s</w:t>
      </w:r>
      <w:r w:rsidR="00BF4C12" w:rsidRPr="00020413">
        <w:rPr>
          <w:rFonts w:ascii="Times New Roman" w:hAnsi="Times New Roman"/>
          <w:sz w:val="24"/>
          <w:szCs w:val="24"/>
        </w:rPr>
        <w:t>,</w:t>
      </w:r>
      <w:r w:rsidR="00853401" w:rsidRPr="00020413">
        <w:rPr>
          <w:rFonts w:ascii="Times New Roman" w:hAnsi="Times New Roman"/>
          <w:sz w:val="24"/>
          <w:szCs w:val="24"/>
        </w:rPr>
        <w:t xml:space="preserve"> such </w:t>
      </w:r>
      <w:r w:rsidR="00E56419" w:rsidRPr="00020413">
        <w:rPr>
          <w:rFonts w:ascii="Times New Roman" w:hAnsi="Times New Roman"/>
          <w:sz w:val="24"/>
          <w:szCs w:val="24"/>
        </w:rPr>
        <w:t xml:space="preserve">as </w:t>
      </w:r>
      <w:r w:rsidR="00853401" w:rsidRPr="00020413">
        <w:rPr>
          <w:rFonts w:ascii="Times New Roman" w:hAnsi="Times New Roman"/>
          <w:sz w:val="24"/>
          <w:szCs w:val="24"/>
        </w:rPr>
        <w:t>those in</w:t>
      </w:r>
      <w:r w:rsidR="00BF70EC" w:rsidRPr="00020413">
        <w:rPr>
          <w:rFonts w:ascii="Times New Roman" w:hAnsi="Times New Roman"/>
          <w:sz w:val="24"/>
          <w:szCs w:val="24"/>
        </w:rPr>
        <w:t xml:space="preserve"> Africa</w:t>
      </w:r>
      <w:r w:rsidR="00063563" w:rsidRPr="00020413">
        <w:rPr>
          <w:rFonts w:ascii="Times New Roman" w:hAnsi="Times New Roman"/>
          <w:sz w:val="24"/>
          <w:szCs w:val="24"/>
        </w:rPr>
        <w:t>, Asia</w:t>
      </w:r>
      <w:r w:rsidR="00853401" w:rsidRPr="00020413">
        <w:rPr>
          <w:rFonts w:ascii="Times New Roman" w:hAnsi="Times New Roman"/>
          <w:sz w:val="24"/>
          <w:szCs w:val="24"/>
        </w:rPr>
        <w:t xml:space="preserve"> and </w:t>
      </w:r>
      <w:r w:rsidR="00E56419" w:rsidRPr="00020413">
        <w:rPr>
          <w:rFonts w:ascii="Times New Roman" w:hAnsi="Times New Roman"/>
          <w:sz w:val="24"/>
          <w:szCs w:val="24"/>
        </w:rPr>
        <w:t xml:space="preserve">the </w:t>
      </w:r>
      <w:r w:rsidR="00853401" w:rsidRPr="00020413">
        <w:rPr>
          <w:rFonts w:ascii="Times New Roman" w:hAnsi="Times New Roman"/>
          <w:sz w:val="24"/>
          <w:szCs w:val="24"/>
        </w:rPr>
        <w:t>Middle East</w:t>
      </w:r>
      <w:r w:rsidR="00BF70EC" w:rsidRPr="00020413">
        <w:rPr>
          <w:rFonts w:ascii="Times New Roman" w:hAnsi="Times New Roman"/>
          <w:sz w:val="24"/>
          <w:szCs w:val="24"/>
        </w:rPr>
        <w:t xml:space="preserve"> is significant since information and credit accessibility problems are acute in most </w:t>
      </w:r>
      <w:r w:rsidR="00853401" w:rsidRPr="00020413">
        <w:rPr>
          <w:rFonts w:ascii="Times New Roman" w:hAnsi="Times New Roman"/>
          <w:sz w:val="24"/>
          <w:szCs w:val="24"/>
        </w:rPr>
        <w:t xml:space="preserve">of these </w:t>
      </w:r>
      <w:r w:rsidR="00BF70EC" w:rsidRPr="00020413">
        <w:rPr>
          <w:rFonts w:ascii="Times New Roman" w:hAnsi="Times New Roman"/>
          <w:sz w:val="24"/>
          <w:szCs w:val="24"/>
        </w:rPr>
        <w:t xml:space="preserve">countries </w:t>
      </w:r>
      <w:r w:rsidR="0088497C" w:rsidRPr="00020413">
        <w:rPr>
          <w:rFonts w:ascii="Times New Roman" w:hAnsi="Times New Roman"/>
          <w:sz w:val="24"/>
          <w:szCs w:val="24"/>
        </w:rPr>
        <w:t>(</w:t>
      </w:r>
      <w:proofErr w:type="spellStart"/>
      <w:r w:rsidR="0088497C" w:rsidRPr="00020413">
        <w:rPr>
          <w:rFonts w:ascii="Times New Roman" w:hAnsi="Times New Roman"/>
          <w:sz w:val="24"/>
          <w:szCs w:val="24"/>
        </w:rPr>
        <w:t>Gwatidzo</w:t>
      </w:r>
      <w:proofErr w:type="spellEnd"/>
      <w:r w:rsidR="0088497C" w:rsidRPr="00020413">
        <w:rPr>
          <w:rFonts w:ascii="Times New Roman" w:hAnsi="Times New Roman"/>
          <w:sz w:val="24"/>
          <w:szCs w:val="24"/>
        </w:rPr>
        <w:t xml:space="preserve"> and </w:t>
      </w:r>
      <w:proofErr w:type="spellStart"/>
      <w:r w:rsidR="0088497C" w:rsidRPr="00020413">
        <w:rPr>
          <w:rFonts w:ascii="Times New Roman" w:hAnsi="Times New Roman"/>
          <w:sz w:val="24"/>
          <w:szCs w:val="24"/>
        </w:rPr>
        <w:t>Ojah</w:t>
      </w:r>
      <w:proofErr w:type="spellEnd"/>
      <w:r w:rsidR="0088497C" w:rsidRPr="00020413">
        <w:rPr>
          <w:rFonts w:ascii="Times New Roman" w:hAnsi="Times New Roman"/>
          <w:sz w:val="24"/>
          <w:szCs w:val="24"/>
        </w:rPr>
        <w:t xml:space="preserve">, 2014; </w:t>
      </w:r>
      <w:proofErr w:type="spellStart"/>
      <w:r w:rsidR="0088497C" w:rsidRPr="00020413">
        <w:rPr>
          <w:rFonts w:ascii="Times New Roman" w:hAnsi="Times New Roman"/>
          <w:sz w:val="24"/>
          <w:szCs w:val="24"/>
        </w:rPr>
        <w:t>Tunyi</w:t>
      </w:r>
      <w:proofErr w:type="spellEnd"/>
      <w:r w:rsidR="0088497C" w:rsidRPr="00020413">
        <w:rPr>
          <w:rFonts w:ascii="Times New Roman" w:hAnsi="Times New Roman"/>
          <w:sz w:val="24"/>
          <w:szCs w:val="24"/>
        </w:rPr>
        <w:t xml:space="preserve"> and Ntim, 2016</w:t>
      </w:r>
      <w:r w:rsidR="00F6329F" w:rsidRPr="00020413">
        <w:rPr>
          <w:rFonts w:ascii="Times New Roman" w:hAnsi="Times New Roman"/>
          <w:sz w:val="24"/>
          <w:szCs w:val="24"/>
        </w:rPr>
        <w:t>; Agyei-Boapeah</w:t>
      </w:r>
      <w:r w:rsidR="008E24EE" w:rsidRPr="00020413">
        <w:rPr>
          <w:rFonts w:ascii="Times New Roman" w:hAnsi="Times New Roman"/>
          <w:sz w:val="24"/>
          <w:szCs w:val="24"/>
        </w:rPr>
        <w:t xml:space="preserve"> and Machokoto, 2018</w:t>
      </w:r>
      <w:r w:rsidR="0088497C" w:rsidRPr="00020413">
        <w:rPr>
          <w:rFonts w:ascii="Times New Roman" w:hAnsi="Times New Roman"/>
          <w:sz w:val="24"/>
          <w:szCs w:val="24"/>
        </w:rPr>
        <w:t>)</w:t>
      </w:r>
      <w:r w:rsidR="00BF70EC" w:rsidRPr="00020413">
        <w:rPr>
          <w:rFonts w:ascii="Times New Roman" w:hAnsi="Times New Roman"/>
          <w:sz w:val="24"/>
          <w:szCs w:val="24"/>
        </w:rPr>
        <w:t>.</w:t>
      </w:r>
      <w:r w:rsidR="008D6280" w:rsidRPr="00020413">
        <w:rPr>
          <w:rFonts w:ascii="Times New Roman" w:hAnsi="Times New Roman"/>
          <w:sz w:val="24"/>
          <w:szCs w:val="24"/>
        </w:rPr>
        <w:t xml:space="preserve"> </w:t>
      </w:r>
      <w:r w:rsidR="0066670A" w:rsidRPr="00020413">
        <w:rPr>
          <w:rFonts w:ascii="Times New Roman" w:hAnsi="Times New Roman"/>
          <w:sz w:val="24"/>
          <w:szCs w:val="24"/>
        </w:rPr>
        <w:t xml:space="preserve">Furthermore, </w:t>
      </w:r>
      <w:r w:rsidR="008D6280" w:rsidRPr="00020413">
        <w:rPr>
          <w:rFonts w:ascii="Times New Roman" w:hAnsi="Times New Roman"/>
          <w:sz w:val="24"/>
          <w:szCs w:val="24"/>
        </w:rPr>
        <w:t xml:space="preserve">the generalisability of </w:t>
      </w:r>
      <w:r w:rsidR="00612E5B" w:rsidRPr="00020413">
        <w:rPr>
          <w:rFonts w:ascii="Times New Roman" w:hAnsi="Times New Roman"/>
          <w:sz w:val="24"/>
          <w:szCs w:val="24"/>
        </w:rPr>
        <w:t xml:space="preserve">the </w:t>
      </w:r>
      <w:r w:rsidR="0066670A" w:rsidRPr="00020413">
        <w:rPr>
          <w:rFonts w:ascii="Times New Roman" w:hAnsi="Times New Roman"/>
          <w:sz w:val="24"/>
          <w:szCs w:val="24"/>
        </w:rPr>
        <w:t>existing literature</w:t>
      </w:r>
      <w:r w:rsidR="008D6280" w:rsidRPr="00020413">
        <w:rPr>
          <w:rFonts w:ascii="Times New Roman" w:hAnsi="Times New Roman"/>
          <w:sz w:val="24"/>
          <w:szCs w:val="24"/>
        </w:rPr>
        <w:t xml:space="preserve"> to </w:t>
      </w:r>
      <w:r w:rsidR="0066670A" w:rsidRPr="00020413">
        <w:rPr>
          <w:rFonts w:ascii="Times New Roman" w:hAnsi="Times New Roman"/>
          <w:sz w:val="24"/>
          <w:szCs w:val="24"/>
        </w:rPr>
        <w:t>these ignored</w:t>
      </w:r>
      <w:r w:rsidR="008D6280" w:rsidRPr="00020413">
        <w:rPr>
          <w:rFonts w:ascii="Times New Roman" w:hAnsi="Times New Roman"/>
          <w:sz w:val="24"/>
          <w:szCs w:val="24"/>
        </w:rPr>
        <w:t xml:space="preserve"> contexts</w:t>
      </w:r>
      <w:r w:rsidR="00A44F06" w:rsidRPr="00020413">
        <w:rPr>
          <w:rFonts w:ascii="Times New Roman" w:hAnsi="Times New Roman"/>
          <w:sz w:val="24"/>
          <w:szCs w:val="24"/>
        </w:rPr>
        <w:t xml:space="preserve"> </w:t>
      </w:r>
      <w:r w:rsidR="008D6280" w:rsidRPr="00020413">
        <w:rPr>
          <w:rFonts w:ascii="Times New Roman" w:hAnsi="Times New Roman"/>
          <w:sz w:val="24"/>
          <w:szCs w:val="24"/>
        </w:rPr>
        <w:t>may be problematic</w:t>
      </w:r>
      <w:r w:rsidR="00A44F06" w:rsidRPr="00020413">
        <w:rPr>
          <w:rFonts w:ascii="Times New Roman" w:hAnsi="Times New Roman"/>
          <w:sz w:val="24"/>
          <w:szCs w:val="24"/>
        </w:rPr>
        <w:t>,</w:t>
      </w:r>
      <w:r w:rsidR="008D6280" w:rsidRPr="00020413">
        <w:rPr>
          <w:rFonts w:ascii="Times New Roman" w:hAnsi="Times New Roman"/>
          <w:sz w:val="24"/>
          <w:szCs w:val="24"/>
        </w:rPr>
        <w:t xml:space="preserve"> given </w:t>
      </w:r>
      <w:r w:rsidR="00A44F06" w:rsidRPr="00020413">
        <w:rPr>
          <w:rFonts w:ascii="Times New Roman" w:hAnsi="Times New Roman"/>
          <w:sz w:val="24"/>
          <w:szCs w:val="24"/>
        </w:rPr>
        <w:t xml:space="preserve">the </w:t>
      </w:r>
      <w:r w:rsidR="008D6280" w:rsidRPr="00020413">
        <w:rPr>
          <w:rFonts w:ascii="Times New Roman" w:hAnsi="Times New Roman"/>
          <w:sz w:val="24"/>
          <w:szCs w:val="24"/>
        </w:rPr>
        <w:t>heterog</w:t>
      </w:r>
      <w:r w:rsidR="00A44F06" w:rsidRPr="00020413">
        <w:rPr>
          <w:rFonts w:ascii="Times New Roman" w:hAnsi="Times New Roman"/>
          <w:sz w:val="24"/>
          <w:szCs w:val="24"/>
        </w:rPr>
        <w:t xml:space="preserve">eneity in </w:t>
      </w:r>
      <w:r w:rsidR="00612E5B" w:rsidRPr="00020413">
        <w:rPr>
          <w:rFonts w:ascii="Times New Roman" w:hAnsi="Times New Roman"/>
          <w:sz w:val="24"/>
          <w:szCs w:val="24"/>
        </w:rPr>
        <w:t xml:space="preserve">the </w:t>
      </w:r>
      <w:r w:rsidR="00A44F06" w:rsidRPr="00020413">
        <w:rPr>
          <w:rFonts w:ascii="Times New Roman" w:hAnsi="Times New Roman"/>
          <w:sz w:val="24"/>
          <w:szCs w:val="24"/>
        </w:rPr>
        <w:t xml:space="preserve">banking </w:t>
      </w:r>
      <w:r w:rsidR="008D6280" w:rsidRPr="00020413">
        <w:rPr>
          <w:rFonts w:ascii="Times New Roman" w:hAnsi="Times New Roman"/>
          <w:sz w:val="24"/>
          <w:szCs w:val="24"/>
        </w:rPr>
        <w:t>industry</w:t>
      </w:r>
      <w:r w:rsidR="00A44F06" w:rsidRPr="00020413">
        <w:rPr>
          <w:rFonts w:ascii="Times New Roman" w:hAnsi="Times New Roman"/>
          <w:sz w:val="24"/>
          <w:szCs w:val="24"/>
        </w:rPr>
        <w:t xml:space="preserve"> dynamics and macro-governance factors</w:t>
      </w:r>
      <w:r w:rsidR="008D6280" w:rsidRPr="00020413">
        <w:rPr>
          <w:rFonts w:ascii="Times New Roman" w:hAnsi="Times New Roman"/>
          <w:sz w:val="24"/>
          <w:szCs w:val="24"/>
        </w:rPr>
        <w:t xml:space="preserve"> across countries. </w:t>
      </w:r>
      <w:r w:rsidR="00A44F06" w:rsidRPr="00020413">
        <w:rPr>
          <w:rFonts w:ascii="Times New Roman" w:hAnsi="Times New Roman"/>
          <w:sz w:val="24"/>
          <w:szCs w:val="24"/>
        </w:rPr>
        <w:t xml:space="preserve">We, therefore, </w:t>
      </w:r>
      <w:r w:rsidR="0058188D" w:rsidRPr="00020413">
        <w:rPr>
          <w:rFonts w:ascii="Times New Roman" w:hAnsi="Times New Roman"/>
          <w:sz w:val="24"/>
          <w:szCs w:val="24"/>
        </w:rPr>
        <w:t>take advantage of</w:t>
      </w:r>
      <w:r w:rsidR="00394644" w:rsidRPr="00020413">
        <w:rPr>
          <w:rFonts w:ascii="Times New Roman" w:hAnsi="Times New Roman"/>
          <w:sz w:val="24"/>
          <w:szCs w:val="24"/>
        </w:rPr>
        <w:t xml:space="preserve"> the </w:t>
      </w:r>
      <w:r w:rsidR="00A44F06" w:rsidRPr="00020413">
        <w:rPr>
          <w:rFonts w:ascii="Times New Roman" w:hAnsi="Times New Roman"/>
          <w:sz w:val="24"/>
          <w:szCs w:val="24"/>
        </w:rPr>
        <w:t>recent improvements in data coverage for information sharing</w:t>
      </w:r>
      <w:r w:rsidR="00FC2E7F" w:rsidRPr="00020413">
        <w:rPr>
          <w:rFonts w:ascii="Times New Roman" w:hAnsi="Times New Roman"/>
          <w:sz w:val="24"/>
          <w:szCs w:val="24"/>
        </w:rPr>
        <w:t xml:space="preserve"> </w:t>
      </w:r>
      <w:r w:rsidR="00D45011" w:rsidRPr="00020413">
        <w:rPr>
          <w:rFonts w:ascii="Times New Roman" w:hAnsi="Times New Roman"/>
          <w:sz w:val="24"/>
          <w:szCs w:val="24"/>
        </w:rPr>
        <w:t xml:space="preserve">to examine the </w:t>
      </w:r>
      <w:r w:rsidR="00394644" w:rsidRPr="00020413">
        <w:rPr>
          <w:rFonts w:ascii="Times New Roman" w:hAnsi="Times New Roman"/>
          <w:sz w:val="24"/>
          <w:szCs w:val="24"/>
        </w:rPr>
        <w:t xml:space="preserve">effect of </w:t>
      </w:r>
      <w:r w:rsidR="00631103" w:rsidRPr="00020413">
        <w:rPr>
          <w:rFonts w:ascii="Times New Roman" w:hAnsi="Times New Roman"/>
          <w:sz w:val="24"/>
          <w:szCs w:val="24"/>
        </w:rPr>
        <w:t xml:space="preserve">credit information sharing on loan default rates </w:t>
      </w:r>
      <w:r w:rsidR="00D2490B" w:rsidRPr="00020413">
        <w:rPr>
          <w:rFonts w:ascii="Times New Roman" w:hAnsi="Times New Roman"/>
          <w:sz w:val="24"/>
          <w:szCs w:val="24"/>
        </w:rPr>
        <w:lastRenderedPageBreak/>
        <w:t xml:space="preserve">using a large dataset of </w:t>
      </w:r>
      <w:r w:rsidR="00764746" w:rsidRPr="00020413">
        <w:rPr>
          <w:rFonts w:ascii="Times New Roman" w:hAnsi="Times New Roman"/>
          <w:sz w:val="24"/>
          <w:szCs w:val="24"/>
        </w:rPr>
        <w:t xml:space="preserve">879 </w:t>
      </w:r>
      <w:r w:rsidR="00D2490B" w:rsidRPr="00020413">
        <w:rPr>
          <w:rFonts w:ascii="Times New Roman" w:hAnsi="Times New Roman"/>
          <w:sz w:val="24"/>
          <w:szCs w:val="24"/>
        </w:rPr>
        <w:t>banks across 8</w:t>
      </w:r>
      <w:r w:rsidR="00764746" w:rsidRPr="00020413">
        <w:rPr>
          <w:rFonts w:ascii="Times New Roman" w:hAnsi="Times New Roman"/>
          <w:sz w:val="24"/>
          <w:szCs w:val="24"/>
        </w:rPr>
        <w:t>7</w:t>
      </w:r>
      <w:r w:rsidR="00D2490B" w:rsidRPr="00020413">
        <w:rPr>
          <w:rFonts w:ascii="Times New Roman" w:hAnsi="Times New Roman"/>
          <w:sz w:val="24"/>
          <w:szCs w:val="24"/>
        </w:rPr>
        <w:t xml:space="preserve"> developing countries </w:t>
      </w:r>
      <w:r w:rsidR="00631103" w:rsidRPr="00020413">
        <w:rPr>
          <w:rFonts w:ascii="Times New Roman" w:hAnsi="Times New Roman"/>
          <w:sz w:val="24"/>
          <w:szCs w:val="24"/>
        </w:rPr>
        <w:t xml:space="preserve">(including </w:t>
      </w:r>
      <w:r w:rsidR="007B10AE" w:rsidRPr="00020413">
        <w:rPr>
          <w:rFonts w:ascii="Times New Roman" w:hAnsi="Times New Roman"/>
          <w:sz w:val="24"/>
          <w:szCs w:val="24"/>
        </w:rPr>
        <w:t xml:space="preserve">banks from </w:t>
      </w:r>
      <w:r w:rsidR="00764746" w:rsidRPr="00020413">
        <w:rPr>
          <w:rFonts w:ascii="Times New Roman" w:hAnsi="Times New Roman"/>
          <w:sz w:val="24"/>
          <w:szCs w:val="24"/>
        </w:rPr>
        <w:t xml:space="preserve">26 </w:t>
      </w:r>
      <w:r w:rsidR="00631103" w:rsidRPr="00020413">
        <w:rPr>
          <w:rFonts w:ascii="Times New Roman" w:hAnsi="Times New Roman"/>
          <w:sz w:val="24"/>
          <w:szCs w:val="24"/>
        </w:rPr>
        <w:t xml:space="preserve">African markets) </w:t>
      </w:r>
      <w:r w:rsidR="00D2490B" w:rsidRPr="00020413">
        <w:rPr>
          <w:rFonts w:ascii="Times New Roman" w:hAnsi="Times New Roman"/>
          <w:sz w:val="24"/>
          <w:szCs w:val="24"/>
        </w:rPr>
        <w:t xml:space="preserve">over a period of </w:t>
      </w:r>
      <w:r w:rsidR="00E56419" w:rsidRPr="00020413">
        <w:rPr>
          <w:rFonts w:ascii="Times New Roman" w:hAnsi="Times New Roman"/>
          <w:sz w:val="24"/>
          <w:szCs w:val="24"/>
        </w:rPr>
        <w:t xml:space="preserve">nine </w:t>
      </w:r>
      <w:r w:rsidR="00D2490B" w:rsidRPr="00020413">
        <w:rPr>
          <w:rFonts w:ascii="Times New Roman" w:hAnsi="Times New Roman"/>
          <w:sz w:val="24"/>
          <w:szCs w:val="24"/>
        </w:rPr>
        <w:t>years</w:t>
      </w:r>
      <w:r w:rsidR="002E0352" w:rsidRPr="00020413">
        <w:rPr>
          <w:rFonts w:ascii="Times New Roman" w:hAnsi="Times New Roman"/>
          <w:sz w:val="24"/>
          <w:szCs w:val="24"/>
        </w:rPr>
        <w:t xml:space="preserve"> (i.e., over 6,300 observations)</w:t>
      </w:r>
      <w:r w:rsidR="00D2490B" w:rsidRPr="00020413">
        <w:rPr>
          <w:rFonts w:ascii="Times New Roman" w:hAnsi="Times New Roman"/>
          <w:sz w:val="24"/>
          <w:szCs w:val="24"/>
        </w:rPr>
        <w:t>.</w:t>
      </w:r>
      <w:r w:rsidR="00763956" w:rsidRPr="00020413">
        <w:rPr>
          <w:rFonts w:ascii="Times New Roman" w:hAnsi="Times New Roman"/>
          <w:sz w:val="24"/>
          <w:szCs w:val="24"/>
        </w:rPr>
        <w:t xml:space="preserve"> </w:t>
      </w:r>
    </w:p>
    <w:p w:rsidR="00A149B3" w:rsidRPr="00020413" w:rsidRDefault="0066670A" w:rsidP="00D55D24">
      <w:pPr>
        <w:spacing w:after="120" w:line="360" w:lineRule="auto"/>
        <w:jc w:val="both"/>
        <w:rPr>
          <w:rFonts w:ascii="Times New Roman" w:hAnsi="Times New Roman"/>
          <w:sz w:val="24"/>
          <w:szCs w:val="24"/>
        </w:rPr>
      </w:pPr>
      <w:r w:rsidRPr="00020413">
        <w:rPr>
          <w:rFonts w:ascii="Times New Roman" w:hAnsi="Times New Roman"/>
          <w:sz w:val="24"/>
          <w:szCs w:val="24"/>
        </w:rPr>
        <w:t>Th</w:t>
      </w:r>
      <w:r w:rsidR="00612E5B" w:rsidRPr="00020413">
        <w:rPr>
          <w:rFonts w:ascii="Times New Roman" w:hAnsi="Times New Roman"/>
          <w:sz w:val="24"/>
          <w:szCs w:val="24"/>
        </w:rPr>
        <w:t>e current study</w:t>
      </w:r>
      <w:r w:rsidR="00E008F8" w:rsidRPr="00020413">
        <w:rPr>
          <w:rFonts w:ascii="Times New Roman" w:hAnsi="Times New Roman"/>
          <w:sz w:val="24"/>
          <w:szCs w:val="24"/>
        </w:rPr>
        <w:t xml:space="preserve"> </w:t>
      </w:r>
      <w:r w:rsidR="00A149B3" w:rsidRPr="00020413">
        <w:rPr>
          <w:rFonts w:ascii="Times New Roman" w:hAnsi="Times New Roman"/>
          <w:sz w:val="24"/>
          <w:szCs w:val="24"/>
        </w:rPr>
        <w:t xml:space="preserve">provides </w:t>
      </w:r>
      <w:proofErr w:type="gramStart"/>
      <w:r w:rsidR="00A149B3" w:rsidRPr="00020413">
        <w:rPr>
          <w:rFonts w:ascii="Times New Roman" w:hAnsi="Times New Roman"/>
          <w:sz w:val="24"/>
          <w:szCs w:val="24"/>
        </w:rPr>
        <w:t>a number of</w:t>
      </w:r>
      <w:proofErr w:type="gramEnd"/>
      <w:r w:rsidR="00A149B3" w:rsidRPr="00020413">
        <w:rPr>
          <w:rFonts w:ascii="Times New Roman" w:hAnsi="Times New Roman"/>
          <w:sz w:val="24"/>
          <w:szCs w:val="24"/>
        </w:rPr>
        <w:t xml:space="preserve"> important findings. First, we observe that credit information sharing leads to a decrease in bank</w:t>
      </w:r>
      <w:r w:rsidR="00C00A43" w:rsidRPr="00020413">
        <w:rPr>
          <w:rFonts w:ascii="Times New Roman" w:hAnsi="Times New Roman"/>
          <w:sz w:val="24"/>
          <w:szCs w:val="24"/>
        </w:rPr>
        <w:t>s’</w:t>
      </w:r>
      <w:r w:rsidR="00A149B3" w:rsidRPr="00020413">
        <w:rPr>
          <w:rFonts w:ascii="Times New Roman" w:hAnsi="Times New Roman"/>
          <w:sz w:val="24"/>
          <w:szCs w:val="24"/>
        </w:rPr>
        <w:t xml:space="preserve"> loan default rate. Second, our findings suggest that the effect of credit information sharing on loan default rate is moderated by banking market concentration. Third, </w:t>
      </w:r>
      <w:bookmarkStart w:id="1" w:name="_Hlk535457299"/>
      <w:r w:rsidR="00A149B3" w:rsidRPr="00020413">
        <w:rPr>
          <w:rFonts w:ascii="Times New Roman" w:hAnsi="Times New Roman"/>
          <w:sz w:val="24"/>
          <w:szCs w:val="24"/>
        </w:rPr>
        <w:t xml:space="preserve">we find that </w:t>
      </w:r>
      <w:r w:rsidR="00C00A43" w:rsidRPr="00020413">
        <w:rPr>
          <w:rFonts w:ascii="Times New Roman" w:hAnsi="Times New Roman"/>
          <w:sz w:val="24"/>
          <w:szCs w:val="24"/>
        </w:rPr>
        <w:t xml:space="preserve">country-level </w:t>
      </w:r>
      <w:r w:rsidR="00A149B3" w:rsidRPr="00020413">
        <w:rPr>
          <w:rFonts w:ascii="Times New Roman" w:hAnsi="Times New Roman"/>
          <w:sz w:val="24"/>
          <w:szCs w:val="24"/>
        </w:rPr>
        <w:t xml:space="preserve">governance </w:t>
      </w:r>
      <w:r w:rsidR="00F605C1" w:rsidRPr="00020413">
        <w:rPr>
          <w:rFonts w:ascii="Times New Roman" w:hAnsi="Times New Roman"/>
          <w:sz w:val="24"/>
          <w:szCs w:val="24"/>
        </w:rPr>
        <w:t xml:space="preserve">quality has little or no </w:t>
      </w:r>
      <w:r w:rsidR="00A149B3" w:rsidRPr="00020413">
        <w:rPr>
          <w:rFonts w:ascii="Times New Roman" w:hAnsi="Times New Roman"/>
          <w:sz w:val="24"/>
          <w:szCs w:val="24"/>
        </w:rPr>
        <w:t>moderat</w:t>
      </w:r>
      <w:r w:rsidR="00F605C1" w:rsidRPr="00020413">
        <w:rPr>
          <w:rFonts w:ascii="Times New Roman" w:hAnsi="Times New Roman"/>
          <w:sz w:val="24"/>
          <w:szCs w:val="24"/>
        </w:rPr>
        <w:t>ing</w:t>
      </w:r>
      <w:r w:rsidR="00A149B3" w:rsidRPr="00020413">
        <w:rPr>
          <w:rFonts w:ascii="Times New Roman" w:hAnsi="Times New Roman"/>
          <w:sz w:val="24"/>
          <w:szCs w:val="24"/>
        </w:rPr>
        <w:t xml:space="preserve"> </w:t>
      </w:r>
      <w:r w:rsidR="00F605C1" w:rsidRPr="00020413">
        <w:rPr>
          <w:rFonts w:ascii="Times New Roman" w:hAnsi="Times New Roman"/>
          <w:sz w:val="24"/>
          <w:szCs w:val="24"/>
        </w:rPr>
        <w:t xml:space="preserve">role in shaping </w:t>
      </w:r>
      <w:r w:rsidR="00A149B3" w:rsidRPr="00020413">
        <w:rPr>
          <w:rFonts w:ascii="Times New Roman" w:hAnsi="Times New Roman"/>
          <w:sz w:val="24"/>
          <w:szCs w:val="24"/>
        </w:rPr>
        <w:t xml:space="preserve">the effect of credit information sharing on </w:t>
      </w:r>
      <w:r w:rsidR="00E70A88" w:rsidRPr="00020413">
        <w:rPr>
          <w:rFonts w:ascii="Times New Roman" w:hAnsi="Times New Roman"/>
          <w:sz w:val="24"/>
          <w:szCs w:val="24"/>
        </w:rPr>
        <w:t xml:space="preserve">loan </w:t>
      </w:r>
      <w:r w:rsidR="00A149B3" w:rsidRPr="00020413">
        <w:rPr>
          <w:rFonts w:ascii="Times New Roman" w:hAnsi="Times New Roman"/>
          <w:sz w:val="24"/>
          <w:szCs w:val="24"/>
        </w:rPr>
        <w:t>default rate</w:t>
      </w:r>
      <w:bookmarkEnd w:id="1"/>
      <w:r w:rsidR="00A149B3" w:rsidRPr="00020413">
        <w:rPr>
          <w:rFonts w:ascii="Times New Roman" w:hAnsi="Times New Roman"/>
          <w:sz w:val="24"/>
          <w:szCs w:val="24"/>
        </w:rPr>
        <w:t xml:space="preserve">. Finally, </w:t>
      </w:r>
      <w:r w:rsidR="00C51D67" w:rsidRPr="00020413">
        <w:rPr>
          <w:rFonts w:ascii="Times New Roman" w:hAnsi="Times New Roman"/>
          <w:sz w:val="24"/>
          <w:szCs w:val="24"/>
        </w:rPr>
        <w:t>our results indicate</w:t>
      </w:r>
      <w:r w:rsidR="00A149B3" w:rsidRPr="00020413">
        <w:rPr>
          <w:rFonts w:ascii="Times New Roman" w:hAnsi="Times New Roman"/>
          <w:sz w:val="24"/>
          <w:szCs w:val="24"/>
        </w:rPr>
        <w:t xml:space="preserve"> that banking market concentration </w:t>
      </w:r>
      <w:r w:rsidR="00F605C1" w:rsidRPr="00020413">
        <w:rPr>
          <w:rFonts w:ascii="Times New Roman" w:hAnsi="Times New Roman"/>
          <w:sz w:val="24"/>
          <w:szCs w:val="24"/>
        </w:rPr>
        <w:t xml:space="preserve">increases </w:t>
      </w:r>
      <w:r w:rsidR="00A149B3" w:rsidRPr="00020413">
        <w:rPr>
          <w:rFonts w:ascii="Times New Roman" w:hAnsi="Times New Roman"/>
          <w:sz w:val="24"/>
          <w:szCs w:val="24"/>
        </w:rPr>
        <w:t xml:space="preserve">loan default rate </w:t>
      </w:r>
      <w:r w:rsidR="00F605C1" w:rsidRPr="00020413">
        <w:rPr>
          <w:rFonts w:ascii="Times New Roman" w:hAnsi="Times New Roman"/>
          <w:sz w:val="24"/>
          <w:szCs w:val="24"/>
        </w:rPr>
        <w:t>and</w:t>
      </w:r>
      <w:r w:rsidR="00A149B3" w:rsidRPr="00020413">
        <w:rPr>
          <w:rFonts w:ascii="Times New Roman" w:hAnsi="Times New Roman"/>
          <w:sz w:val="24"/>
          <w:szCs w:val="24"/>
        </w:rPr>
        <w:t xml:space="preserve"> its effect is </w:t>
      </w:r>
      <w:r w:rsidR="00F605C1" w:rsidRPr="00020413">
        <w:rPr>
          <w:rFonts w:ascii="Times New Roman" w:hAnsi="Times New Roman"/>
          <w:sz w:val="24"/>
          <w:szCs w:val="24"/>
        </w:rPr>
        <w:t>accentuated</w:t>
      </w:r>
      <w:r w:rsidR="00A149B3" w:rsidRPr="00020413">
        <w:rPr>
          <w:rFonts w:ascii="Times New Roman" w:hAnsi="Times New Roman"/>
          <w:sz w:val="24"/>
          <w:szCs w:val="24"/>
        </w:rPr>
        <w:t xml:space="preserve"> by credit information sharing.</w:t>
      </w:r>
      <w:r w:rsidR="00A149B3" w:rsidRPr="00020413" w:rsidDel="00495E04">
        <w:rPr>
          <w:rFonts w:ascii="Times New Roman" w:hAnsi="Times New Roman"/>
          <w:sz w:val="24"/>
          <w:szCs w:val="24"/>
        </w:rPr>
        <w:t xml:space="preserve"> </w:t>
      </w:r>
    </w:p>
    <w:p w:rsidR="00A149B3" w:rsidRPr="00020413" w:rsidRDefault="00A149B3"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 findings </w:t>
      </w:r>
      <w:r w:rsidR="00002F84" w:rsidRPr="00020413">
        <w:rPr>
          <w:rFonts w:ascii="Times New Roman" w:hAnsi="Times New Roman"/>
          <w:sz w:val="24"/>
          <w:szCs w:val="24"/>
        </w:rPr>
        <w:t xml:space="preserve">of this study, thus, </w:t>
      </w:r>
      <w:r w:rsidRPr="00020413">
        <w:rPr>
          <w:rFonts w:ascii="Times New Roman" w:hAnsi="Times New Roman"/>
          <w:sz w:val="24"/>
          <w:szCs w:val="24"/>
        </w:rPr>
        <w:t xml:space="preserve">allow us to make new contributions to the existing literature. First, we </w:t>
      </w:r>
      <w:proofErr w:type="gramStart"/>
      <w:r w:rsidRPr="00020413">
        <w:rPr>
          <w:rFonts w:ascii="Times New Roman" w:hAnsi="Times New Roman"/>
          <w:sz w:val="24"/>
          <w:szCs w:val="24"/>
        </w:rPr>
        <w:t>open up</w:t>
      </w:r>
      <w:proofErr w:type="gramEnd"/>
      <w:r w:rsidRPr="00020413">
        <w:rPr>
          <w:rFonts w:ascii="Times New Roman" w:hAnsi="Times New Roman"/>
          <w:sz w:val="24"/>
          <w:szCs w:val="24"/>
        </w:rPr>
        <w:t xml:space="preserve"> a new research space by providing the first evidence (to the best of our knowledge) on the relationship between credit information sharing and loan default rate for a large sample of banks in </w:t>
      </w:r>
      <w:r w:rsidR="00E008F8" w:rsidRPr="00020413">
        <w:rPr>
          <w:rFonts w:ascii="Times New Roman" w:hAnsi="Times New Roman"/>
          <w:sz w:val="24"/>
          <w:szCs w:val="24"/>
        </w:rPr>
        <w:t>developing</w:t>
      </w:r>
      <w:r w:rsidRPr="00020413">
        <w:rPr>
          <w:rFonts w:ascii="Times New Roman" w:hAnsi="Times New Roman"/>
          <w:sz w:val="24"/>
          <w:szCs w:val="24"/>
        </w:rPr>
        <w:t xml:space="preserve"> economies. In doing so, we shed light on the potential effect of recent reforms in most developing countries</w:t>
      </w:r>
      <w:r w:rsidR="00951DF3" w:rsidRPr="00020413">
        <w:rPr>
          <w:rFonts w:ascii="Times New Roman" w:hAnsi="Times New Roman"/>
          <w:sz w:val="24"/>
          <w:szCs w:val="24"/>
        </w:rPr>
        <w:t xml:space="preserve"> that seek</w:t>
      </w:r>
      <w:r w:rsidRPr="00020413">
        <w:rPr>
          <w:rFonts w:ascii="Times New Roman" w:hAnsi="Times New Roman"/>
          <w:sz w:val="24"/>
          <w:szCs w:val="24"/>
        </w:rPr>
        <w:t xml:space="preserve"> to encourage information sharing </w:t>
      </w:r>
      <w:r w:rsidR="00951DF3" w:rsidRPr="00020413">
        <w:rPr>
          <w:rFonts w:ascii="Times New Roman" w:hAnsi="Times New Roman"/>
          <w:sz w:val="24"/>
          <w:szCs w:val="24"/>
        </w:rPr>
        <w:t>through</w:t>
      </w:r>
      <w:r w:rsidRPr="00020413">
        <w:rPr>
          <w:rFonts w:ascii="Times New Roman" w:hAnsi="Times New Roman"/>
          <w:sz w:val="24"/>
          <w:szCs w:val="24"/>
        </w:rPr>
        <w:t xml:space="preserve"> the establishment of credit bureaus</w:t>
      </w:r>
      <w:r w:rsidR="0058188D" w:rsidRPr="00020413">
        <w:rPr>
          <w:rFonts w:ascii="Times New Roman" w:hAnsi="Times New Roman"/>
          <w:sz w:val="24"/>
          <w:szCs w:val="24"/>
        </w:rPr>
        <w:t xml:space="preserve"> or registries</w:t>
      </w:r>
      <w:r w:rsidRPr="00020413">
        <w:rPr>
          <w:rFonts w:ascii="Times New Roman" w:hAnsi="Times New Roman"/>
          <w:sz w:val="24"/>
          <w:szCs w:val="24"/>
        </w:rPr>
        <w:t xml:space="preserve">. Second, by conditioning the effect of credit information sharing on banking market concentration, we shed light on the complex interactions between credit information sharing, banking market concentration and loan default rate. In particular, we show that </w:t>
      </w:r>
      <w:r w:rsidR="007148FE" w:rsidRPr="00020413">
        <w:rPr>
          <w:rFonts w:ascii="Times New Roman" w:hAnsi="Times New Roman"/>
          <w:sz w:val="24"/>
          <w:szCs w:val="24"/>
        </w:rPr>
        <w:t>banking</w:t>
      </w:r>
      <w:r w:rsidRPr="00020413">
        <w:rPr>
          <w:rFonts w:ascii="Times New Roman" w:hAnsi="Times New Roman"/>
          <w:sz w:val="24"/>
          <w:szCs w:val="24"/>
        </w:rPr>
        <w:t xml:space="preserve"> market concentration and credit information sharing are to some extent substitutes as far as loan default rate is concerned; hence, we highlight </w:t>
      </w:r>
      <w:r w:rsidR="00BF4023" w:rsidRPr="00020413">
        <w:rPr>
          <w:rFonts w:ascii="Times New Roman" w:hAnsi="Times New Roman"/>
          <w:sz w:val="24"/>
          <w:szCs w:val="24"/>
        </w:rPr>
        <w:t xml:space="preserve">the </w:t>
      </w:r>
      <w:r w:rsidRPr="00020413">
        <w:rPr>
          <w:rFonts w:ascii="Times New Roman" w:hAnsi="Times New Roman"/>
          <w:sz w:val="24"/>
          <w:szCs w:val="24"/>
        </w:rPr>
        <w:t>potential distortions and risk-shifting effects of the pro-competition banking sector reforms in the absence of effective credit information sharing schemes. This further has policy implications given the on</w:t>
      </w:r>
      <w:r w:rsidR="00E008F8" w:rsidRPr="00020413">
        <w:rPr>
          <w:rFonts w:ascii="Times New Roman" w:hAnsi="Times New Roman"/>
          <w:sz w:val="24"/>
          <w:szCs w:val="24"/>
        </w:rPr>
        <w:t>-</w:t>
      </w:r>
      <w:r w:rsidRPr="00020413">
        <w:rPr>
          <w:rFonts w:ascii="Times New Roman" w:hAnsi="Times New Roman"/>
          <w:sz w:val="24"/>
          <w:szCs w:val="24"/>
        </w:rPr>
        <w:t xml:space="preserve">going reforms in the financial sector of most developing countries </w:t>
      </w:r>
      <w:r w:rsidR="007211FF" w:rsidRPr="00020413">
        <w:rPr>
          <w:rFonts w:ascii="Times New Roman" w:hAnsi="Times New Roman"/>
          <w:sz w:val="24"/>
          <w:szCs w:val="24"/>
        </w:rPr>
        <w:t xml:space="preserve">that are </w:t>
      </w:r>
      <w:r w:rsidRPr="00020413">
        <w:rPr>
          <w:rFonts w:ascii="Times New Roman" w:hAnsi="Times New Roman"/>
          <w:sz w:val="24"/>
          <w:szCs w:val="24"/>
        </w:rPr>
        <w:t>aimed at promoting competition through credit information sharing (Marquez, 2002). Third, by conditioning the effect of credit information sharing on governance quality, we ass</w:t>
      </w:r>
      <w:r w:rsidR="00C6634E" w:rsidRPr="00020413">
        <w:rPr>
          <w:rFonts w:ascii="Times New Roman" w:hAnsi="Times New Roman"/>
          <w:sz w:val="24"/>
          <w:szCs w:val="24"/>
        </w:rPr>
        <w:t xml:space="preserve">ess the extent to which national </w:t>
      </w:r>
      <w:r w:rsidRPr="00020413">
        <w:rPr>
          <w:rFonts w:ascii="Times New Roman" w:hAnsi="Times New Roman"/>
          <w:sz w:val="24"/>
          <w:szCs w:val="24"/>
        </w:rPr>
        <w:t xml:space="preserve">governance </w:t>
      </w:r>
      <w:r w:rsidR="00C6634E" w:rsidRPr="00020413">
        <w:rPr>
          <w:rFonts w:ascii="Times New Roman" w:hAnsi="Times New Roman"/>
          <w:sz w:val="24"/>
          <w:szCs w:val="24"/>
        </w:rPr>
        <w:t xml:space="preserve">quality </w:t>
      </w:r>
      <w:r w:rsidRPr="00020413">
        <w:rPr>
          <w:rFonts w:ascii="Times New Roman" w:hAnsi="Times New Roman"/>
          <w:sz w:val="24"/>
          <w:szCs w:val="24"/>
        </w:rPr>
        <w:t xml:space="preserve">could substitute for </w:t>
      </w:r>
      <w:r w:rsidR="00866370" w:rsidRPr="00020413">
        <w:rPr>
          <w:rFonts w:ascii="Times New Roman" w:hAnsi="Times New Roman"/>
          <w:sz w:val="24"/>
          <w:szCs w:val="24"/>
        </w:rPr>
        <w:t xml:space="preserve">or complement </w:t>
      </w:r>
      <w:r w:rsidRPr="00020413">
        <w:rPr>
          <w:rFonts w:ascii="Times New Roman" w:hAnsi="Times New Roman"/>
          <w:sz w:val="24"/>
          <w:szCs w:val="24"/>
        </w:rPr>
        <w:t xml:space="preserve">the role of credit information sharing in reducing bank </w:t>
      </w:r>
      <w:r w:rsidR="00C6634E" w:rsidRPr="00020413">
        <w:rPr>
          <w:rFonts w:ascii="Times New Roman" w:hAnsi="Times New Roman"/>
          <w:sz w:val="24"/>
          <w:szCs w:val="24"/>
        </w:rPr>
        <w:t>loan defaults</w:t>
      </w:r>
      <w:r w:rsidRPr="00020413">
        <w:rPr>
          <w:rFonts w:ascii="Times New Roman" w:hAnsi="Times New Roman"/>
          <w:sz w:val="24"/>
          <w:szCs w:val="24"/>
        </w:rPr>
        <w:t xml:space="preserve">. Finally, we provide the first comprehensive study of the </w:t>
      </w:r>
      <w:r w:rsidR="00C6634E" w:rsidRPr="00020413">
        <w:rPr>
          <w:rFonts w:ascii="Times New Roman" w:hAnsi="Times New Roman"/>
          <w:sz w:val="24"/>
          <w:szCs w:val="24"/>
        </w:rPr>
        <w:t xml:space="preserve">determinants of </w:t>
      </w:r>
      <w:r w:rsidRPr="00020413">
        <w:rPr>
          <w:rFonts w:ascii="Times New Roman" w:hAnsi="Times New Roman"/>
          <w:sz w:val="24"/>
          <w:szCs w:val="24"/>
        </w:rPr>
        <w:t xml:space="preserve">loan default rate in </w:t>
      </w:r>
      <w:r w:rsidR="00C6634E" w:rsidRPr="00020413">
        <w:rPr>
          <w:rFonts w:ascii="Times New Roman" w:hAnsi="Times New Roman"/>
          <w:sz w:val="24"/>
          <w:szCs w:val="24"/>
        </w:rPr>
        <w:t>banks in developing</w:t>
      </w:r>
      <w:r w:rsidRPr="00020413">
        <w:rPr>
          <w:rFonts w:ascii="Times New Roman" w:hAnsi="Times New Roman"/>
          <w:sz w:val="24"/>
          <w:szCs w:val="24"/>
        </w:rPr>
        <w:t xml:space="preserve"> economies</w:t>
      </w:r>
      <w:r w:rsidR="00BF4C12" w:rsidRPr="00020413">
        <w:rPr>
          <w:rFonts w:ascii="Times New Roman" w:hAnsi="Times New Roman"/>
          <w:sz w:val="24"/>
          <w:szCs w:val="24"/>
        </w:rPr>
        <w:t>,</w:t>
      </w:r>
      <w:r w:rsidRPr="00020413">
        <w:rPr>
          <w:rFonts w:ascii="Times New Roman" w:hAnsi="Times New Roman"/>
          <w:sz w:val="24"/>
          <w:szCs w:val="24"/>
        </w:rPr>
        <w:t xml:space="preserve"> </w:t>
      </w:r>
      <w:r w:rsidR="001F7D66" w:rsidRPr="00020413">
        <w:rPr>
          <w:rFonts w:ascii="Times New Roman" w:hAnsi="Times New Roman"/>
          <w:sz w:val="24"/>
          <w:szCs w:val="24"/>
        </w:rPr>
        <w:t xml:space="preserve">which are </w:t>
      </w:r>
      <w:r w:rsidR="0070401D" w:rsidRPr="00020413">
        <w:rPr>
          <w:rFonts w:ascii="Times New Roman" w:hAnsi="Times New Roman"/>
          <w:sz w:val="24"/>
          <w:szCs w:val="24"/>
        </w:rPr>
        <w:t xml:space="preserve">usually </w:t>
      </w:r>
      <w:r w:rsidRPr="00020413">
        <w:rPr>
          <w:rFonts w:ascii="Times New Roman" w:hAnsi="Times New Roman"/>
          <w:sz w:val="24"/>
          <w:szCs w:val="24"/>
        </w:rPr>
        <w:t xml:space="preserve">characterised by </w:t>
      </w:r>
      <w:r w:rsidR="001F7D66" w:rsidRPr="00020413">
        <w:rPr>
          <w:rFonts w:ascii="Times New Roman" w:hAnsi="Times New Roman"/>
          <w:sz w:val="24"/>
          <w:szCs w:val="24"/>
        </w:rPr>
        <w:t xml:space="preserve">relatively </w:t>
      </w:r>
      <w:r w:rsidR="00040894" w:rsidRPr="00020413">
        <w:rPr>
          <w:rFonts w:ascii="Times New Roman" w:hAnsi="Times New Roman"/>
          <w:sz w:val="24"/>
          <w:szCs w:val="24"/>
        </w:rPr>
        <w:t>significant institutional voids</w:t>
      </w:r>
      <w:r w:rsidRPr="00020413">
        <w:rPr>
          <w:rFonts w:ascii="Times New Roman" w:hAnsi="Times New Roman"/>
          <w:sz w:val="24"/>
          <w:szCs w:val="24"/>
        </w:rPr>
        <w:t xml:space="preserve"> but remain severely under-researched. </w:t>
      </w:r>
    </w:p>
    <w:p w:rsidR="00611F87" w:rsidRPr="00020413" w:rsidRDefault="00A149B3" w:rsidP="00D55D24">
      <w:pPr>
        <w:spacing w:after="120" w:line="360" w:lineRule="auto"/>
        <w:jc w:val="both"/>
        <w:rPr>
          <w:rFonts w:ascii="Times New Roman" w:hAnsi="Times New Roman"/>
          <w:sz w:val="24"/>
          <w:szCs w:val="24"/>
          <w:lang w:eastAsia="en-GB"/>
        </w:rPr>
      </w:pPr>
      <w:r w:rsidRPr="00020413">
        <w:rPr>
          <w:rFonts w:ascii="Times New Roman" w:hAnsi="Times New Roman"/>
          <w:sz w:val="24"/>
          <w:szCs w:val="24"/>
          <w:lang w:eastAsia="en-GB"/>
        </w:rPr>
        <w:t xml:space="preserve">The rest of the paper proceeds as follows: Section 2 examines </w:t>
      </w:r>
      <w:r w:rsidR="0070401D" w:rsidRPr="00020413">
        <w:rPr>
          <w:rFonts w:ascii="Times New Roman" w:hAnsi="Times New Roman"/>
          <w:sz w:val="24"/>
          <w:szCs w:val="24"/>
          <w:lang w:eastAsia="en-GB"/>
        </w:rPr>
        <w:t xml:space="preserve">the </w:t>
      </w:r>
      <w:r w:rsidRPr="00020413">
        <w:rPr>
          <w:rFonts w:ascii="Times New Roman" w:hAnsi="Times New Roman"/>
          <w:sz w:val="24"/>
          <w:szCs w:val="24"/>
          <w:lang w:eastAsia="en-GB"/>
        </w:rPr>
        <w:t xml:space="preserve">relevant literature and develops our hypotheses. In Section 3, we discuss the sample, empirical design and </w:t>
      </w:r>
      <w:r w:rsidRPr="00020413">
        <w:rPr>
          <w:rFonts w:ascii="Times New Roman" w:hAnsi="Times New Roman"/>
          <w:sz w:val="24"/>
          <w:szCs w:val="24"/>
          <w:lang w:eastAsia="en-GB"/>
        </w:rPr>
        <w:lastRenderedPageBreak/>
        <w:t xml:space="preserve">measurement of </w:t>
      </w:r>
      <w:r w:rsidR="0070401D" w:rsidRPr="00020413">
        <w:rPr>
          <w:rFonts w:ascii="Times New Roman" w:hAnsi="Times New Roman"/>
          <w:sz w:val="24"/>
          <w:szCs w:val="24"/>
          <w:lang w:eastAsia="en-GB"/>
        </w:rPr>
        <w:t xml:space="preserve">the </w:t>
      </w:r>
      <w:r w:rsidRPr="00020413">
        <w:rPr>
          <w:rFonts w:ascii="Times New Roman" w:hAnsi="Times New Roman"/>
          <w:sz w:val="24"/>
          <w:szCs w:val="24"/>
          <w:lang w:eastAsia="en-GB"/>
        </w:rPr>
        <w:t xml:space="preserve">key variables. Regression results and robustness checks are presented in Section 4 and, finally, Section 5 concludes the study with </w:t>
      </w:r>
      <w:r w:rsidR="00D55D24" w:rsidRPr="00020413">
        <w:rPr>
          <w:rFonts w:ascii="Times New Roman" w:hAnsi="Times New Roman"/>
          <w:sz w:val="24"/>
          <w:szCs w:val="24"/>
          <w:lang w:eastAsia="en-GB"/>
        </w:rPr>
        <w:t xml:space="preserve">a summary of </w:t>
      </w:r>
      <w:r w:rsidR="00BF4023" w:rsidRPr="00020413">
        <w:rPr>
          <w:rFonts w:ascii="Times New Roman" w:hAnsi="Times New Roman"/>
          <w:sz w:val="24"/>
          <w:szCs w:val="24"/>
          <w:lang w:eastAsia="en-GB"/>
        </w:rPr>
        <w:t>the</w:t>
      </w:r>
      <w:r w:rsidR="00D55D24" w:rsidRPr="00020413">
        <w:rPr>
          <w:rFonts w:ascii="Times New Roman" w:hAnsi="Times New Roman"/>
          <w:sz w:val="24"/>
          <w:szCs w:val="24"/>
          <w:lang w:eastAsia="en-GB"/>
        </w:rPr>
        <w:t xml:space="preserve"> main findings.</w:t>
      </w:r>
    </w:p>
    <w:p w:rsidR="00D55D24" w:rsidRPr="00020413" w:rsidRDefault="00D55D24" w:rsidP="00D55D24">
      <w:pPr>
        <w:spacing w:after="120" w:line="360" w:lineRule="auto"/>
        <w:jc w:val="both"/>
        <w:rPr>
          <w:rFonts w:ascii="Times New Roman" w:hAnsi="Times New Roman"/>
          <w:sz w:val="24"/>
          <w:szCs w:val="24"/>
          <w:lang w:eastAsia="en-GB"/>
        </w:rPr>
      </w:pPr>
    </w:p>
    <w:p w:rsidR="00F331AE" w:rsidRPr="00020413" w:rsidRDefault="003D4C21" w:rsidP="007D659E">
      <w:pPr>
        <w:tabs>
          <w:tab w:val="left" w:pos="6270"/>
        </w:tabs>
        <w:spacing w:after="0" w:line="360" w:lineRule="auto"/>
        <w:jc w:val="both"/>
        <w:rPr>
          <w:rFonts w:ascii="Times New Roman" w:hAnsi="Times New Roman"/>
          <w:b/>
          <w:sz w:val="24"/>
          <w:szCs w:val="24"/>
        </w:rPr>
      </w:pPr>
      <w:r w:rsidRPr="00020413">
        <w:rPr>
          <w:rFonts w:ascii="Times New Roman" w:hAnsi="Times New Roman"/>
          <w:b/>
          <w:sz w:val="24"/>
          <w:szCs w:val="24"/>
        </w:rPr>
        <w:t>2</w:t>
      </w:r>
      <w:r w:rsidR="00A651BC" w:rsidRPr="00020413">
        <w:rPr>
          <w:rFonts w:ascii="Times New Roman" w:hAnsi="Times New Roman"/>
          <w:b/>
          <w:sz w:val="24"/>
          <w:szCs w:val="24"/>
        </w:rPr>
        <w:t xml:space="preserve">. </w:t>
      </w:r>
      <w:r w:rsidR="00CE4F2F" w:rsidRPr="00020413">
        <w:rPr>
          <w:rFonts w:ascii="Times New Roman" w:hAnsi="Times New Roman"/>
          <w:b/>
          <w:sz w:val="24"/>
          <w:szCs w:val="24"/>
        </w:rPr>
        <w:t xml:space="preserve">Related </w:t>
      </w:r>
      <w:r w:rsidR="005D16AC" w:rsidRPr="00020413">
        <w:rPr>
          <w:rFonts w:ascii="Times New Roman" w:hAnsi="Times New Roman"/>
          <w:b/>
          <w:sz w:val="24"/>
          <w:szCs w:val="24"/>
        </w:rPr>
        <w:t>l</w:t>
      </w:r>
      <w:r w:rsidR="00CE4F2F" w:rsidRPr="00020413">
        <w:rPr>
          <w:rFonts w:ascii="Times New Roman" w:hAnsi="Times New Roman"/>
          <w:b/>
          <w:sz w:val="24"/>
          <w:szCs w:val="24"/>
        </w:rPr>
        <w:t>iterature</w:t>
      </w:r>
      <w:r w:rsidR="005D16AC" w:rsidRPr="00020413">
        <w:rPr>
          <w:rFonts w:ascii="Times New Roman" w:hAnsi="Times New Roman"/>
          <w:b/>
          <w:sz w:val="24"/>
          <w:szCs w:val="24"/>
        </w:rPr>
        <w:t xml:space="preserve"> </w:t>
      </w:r>
      <w:r w:rsidR="00F35B31" w:rsidRPr="00020413">
        <w:rPr>
          <w:rFonts w:ascii="Times New Roman" w:hAnsi="Times New Roman"/>
          <w:b/>
          <w:sz w:val="24"/>
          <w:szCs w:val="24"/>
        </w:rPr>
        <w:t xml:space="preserve">and </w:t>
      </w:r>
      <w:r w:rsidR="005D16AC" w:rsidRPr="00020413">
        <w:rPr>
          <w:rFonts w:ascii="Times New Roman" w:hAnsi="Times New Roman"/>
          <w:b/>
          <w:sz w:val="24"/>
          <w:szCs w:val="24"/>
        </w:rPr>
        <w:t>hypotheses</w:t>
      </w:r>
    </w:p>
    <w:p w:rsidR="00A651BC" w:rsidRPr="00020413" w:rsidRDefault="00F331AE" w:rsidP="00466856">
      <w:pPr>
        <w:tabs>
          <w:tab w:val="left" w:pos="6270"/>
        </w:tabs>
        <w:spacing w:before="240" w:after="240" w:line="360" w:lineRule="auto"/>
        <w:jc w:val="both"/>
        <w:rPr>
          <w:rFonts w:ascii="Times New Roman" w:hAnsi="Times New Roman"/>
          <w:b/>
          <w:sz w:val="24"/>
          <w:szCs w:val="24"/>
        </w:rPr>
      </w:pPr>
      <w:r w:rsidRPr="00020413">
        <w:rPr>
          <w:rFonts w:ascii="Times New Roman" w:hAnsi="Times New Roman"/>
          <w:b/>
          <w:sz w:val="24"/>
          <w:szCs w:val="24"/>
        </w:rPr>
        <w:t>2.1 Theory, credit information</w:t>
      </w:r>
      <w:r w:rsidR="00E95741" w:rsidRPr="00020413">
        <w:rPr>
          <w:rFonts w:ascii="Times New Roman" w:hAnsi="Times New Roman"/>
          <w:b/>
          <w:sz w:val="24"/>
          <w:szCs w:val="24"/>
        </w:rPr>
        <w:t>,</w:t>
      </w:r>
      <w:r w:rsidRPr="00020413">
        <w:rPr>
          <w:rFonts w:ascii="Times New Roman" w:hAnsi="Times New Roman"/>
          <w:b/>
          <w:sz w:val="24"/>
          <w:szCs w:val="24"/>
        </w:rPr>
        <w:t xml:space="preserve"> bank lending</w:t>
      </w:r>
      <w:r w:rsidR="00E95741" w:rsidRPr="00020413">
        <w:rPr>
          <w:rFonts w:ascii="Times New Roman" w:hAnsi="Times New Roman"/>
          <w:b/>
          <w:sz w:val="24"/>
          <w:szCs w:val="24"/>
        </w:rPr>
        <w:t xml:space="preserve"> and </w:t>
      </w:r>
      <w:r w:rsidR="00B84B0E" w:rsidRPr="00020413">
        <w:rPr>
          <w:rFonts w:ascii="Times New Roman" w:hAnsi="Times New Roman"/>
          <w:b/>
          <w:sz w:val="24"/>
          <w:szCs w:val="24"/>
        </w:rPr>
        <w:t xml:space="preserve">loan </w:t>
      </w:r>
      <w:r w:rsidR="00E95741" w:rsidRPr="00020413">
        <w:rPr>
          <w:rFonts w:ascii="Times New Roman" w:hAnsi="Times New Roman"/>
          <w:b/>
          <w:sz w:val="24"/>
          <w:szCs w:val="24"/>
        </w:rPr>
        <w:t>default</w:t>
      </w:r>
      <w:r w:rsidR="00AA2F47" w:rsidRPr="00020413">
        <w:rPr>
          <w:rFonts w:ascii="Times New Roman" w:hAnsi="Times New Roman"/>
          <w:b/>
          <w:sz w:val="24"/>
          <w:szCs w:val="24"/>
        </w:rPr>
        <w:tab/>
      </w:r>
    </w:p>
    <w:p w:rsidR="006E471D" w:rsidRPr="00020413" w:rsidRDefault="00424030"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Theoretically, </w:t>
      </w:r>
      <w:r w:rsidR="0021119D" w:rsidRPr="00020413">
        <w:rPr>
          <w:rFonts w:ascii="Times New Roman" w:hAnsi="Times New Roman"/>
          <w:sz w:val="24"/>
          <w:szCs w:val="24"/>
        </w:rPr>
        <w:t>t</w:t>
      </w:r>
      <w:r w:rsidRPr="00020413">
        <w:rPr>
          <w:rFonts w:ascii="Times New Roman" w:hAnsi="Times New Roman"/>
          <w:sz w:val="24"/>
          <w:szCs w:val="24"/>
        </w:rPr>
        <w:t xml:space="preserve">he </w:t>
      </w:r>
      <w:r w:rsidR="0021119D" w:rsidRPr="00020413">
        <w:rPr>
          <w:rFonts w:ascii="Times New Roman" w:hAnsi="Times New Roman"/>
          <w:sz w:val="24"/>
          <w:szCs w:val="24"/>
        </w:rPr>
        <w:t>traditional functions of banks</w:t>
      </w:r>
      <w:r w:rsidR="00951DF3" w:rsidRPr="00020413">
        <w:rPr>
          <w:rFonts w:ascii="Times New Roman" w:hAnsi="Times New Roman"/>
          <w:sz w:val="24"/>
          <w:szCs w:val="24"/>
        </w:rPr>
        <w:t>,</w:t>
      </w:r>
      <w:r w:rsidR="0021119D" w:rsidRPr="00020413">
        <w:rPr>
          <w:rFonts w:ascii="Times New Roman" w:hAnsi="Times New Roman"/>
          <w:sz w:val="24"/>
          <w:szCs w:val="24"/>
        </w:rPr>
        <w:t xml:space="preserve"> which include liquidity provision (Diamond, 1984) and delegated monitoring (Diamond and </w:t>
      </w:r>
      <w:proofErr w:type="spellStart"/>
      <w:r w:rsidR="0021119D" w:rsidRPr="00020413">
        <w:rPr>
          <w:rFonts w:ascii="Times New Roman" w:hAnsi="Times New Roman"/>
          <w:sz w:val="24"/>
          <w:szCs w:val="24"/>
        </w:rPr>
        <w:t>Dybvig</w:t>
      </w:r>
      <w:proofErr w:type="spellEnd"/>
      <w:r w:rsidR="0021119D" w:rsidRPr="00020413">
        <w:rPr>
          <w:rFonts w:ascii="Times New Roman" w:hAnsi="Times New Roman"/>
          <w:sz w:val="24"/>
          <w:szCs w:val="24"/>
        </w:rPr>
        <w:t>, 1983)</w:t>
      </w:r>
      <w:r w:rsidR="007D659E" w:rsidRPr="00020413">
        <w:rPr>
          <w:rFonts w:ascii="Times New Roman" w:hAnsi="Times New Roman"/>
          <w:sz w:val="24"/>
          <w:szCs w:val="24"/>
        </w:rPr>
        <w:t>,</w:t>
      </w:r>
      <w:r w:rsidR="0021119D" w:rsidRPr="00020413">
        <w:rPr>
          <w:rFonts w:ascii="Times New Roman" w:hAnsi="Times New Roman"/>
          <w:sz w:val="24"/>
          <w:szCs w:val="24"/>
        </w:rPr>
        <w:t xml:space="preserve"> become more</w:t>
      </w:r>
      <w:r w:rsidRPr="00020413">
        <w:rPr>
          <w:rFonts w:ascii="Times New Roman" w:hAnsi="Times New Roman"/>
          <w:sz w:val="24"/>
          <w:szCs w:val="24"/>
        </w:rPr>
        <w:t xml:space="preserve"> </w:t>
      </w:r>
      <w:r w:rsidR="0021119D" w:rsidRPr="00020413">
        <w:rPr>
          <w:rFonts w:ascii="Times New Roman" w:hAnsi="Times New Roman"/>
          <w:sz w:val="24"/>
          <w:szCs w:val="24"/>
        </w:rPr>
        <w:t>challenging</w:t>
      </w:r>
      <w:r w:rsidRPr="00020413">
        <w:rPr>
          <w:rFonts w:ascii="Times New Roman" w:hAnsi="Times New Roman"/>
          <w:sz w:val="24"/>
          <w:szCs w:val="24"/>
        </w:rPr>
        <w:t xml:space="preserve"> </w:t>
      </w:r>
      <w:r w:rsidR="0021119D" w:rsidRPr="00020413">
        <w:rPr>
          <w:rFonts w:ascii="Times New Roman" w:hAnsi="Times New Roman"/>
          <w:sz w:val="24"/>
          <w:szCs w:val="24"/>
        </w:rPr>
        <w:t>when b</w:t>
      </w:r>
      <w:r w:rsidRPr="00020413">
        <w:rPr>
          <w:rFonts w:ascii="Times New Roman" w:hAnsi="Times New Roman"/>
          <w:sz w:val="24"/>
          <w:szCs w:val="24"/>
        </w:rPr>
        <w:t>anks</w:t>
      </w:r>
      <w:r w:rsidR="0021119D" w:rsidRPr="00020413">
        <w:rPr>
          <w:rFonts w:ascii="Times New Roman" w:hAnsi="Times New Roman"/>
          <w:sz w:val="24"/>
          <w:szCs w:val="24"/>
        </w:rPr>
        <w:t xml:space="preserve"> operate</w:t>
      </w:r>
      <w:r w:rsidRPr="00020413">
        <w:rPr>
          <w:rFonts w:ascii="Times New Roman" w:hAnsi="Times New Roman"/>
          <w:sz w:val="24"/>
          <w:szCs w:val="24"/>
        </w:rPr>
        <w:t xml:space="preserve"> in opaque and weak governance </w:t>
      </w:r>
      <w:r w:rsidR="0021119D" w:rsidRPr="00020413">
        <w:rPr>
          <w:rFonts w:ascii="Times New Roman" w:hAnsi="Times New Roman"/>
          <w:sz w:val="24"/>
          <w:szCs w:val="24"/>
        </w:rPr>
        <w:t xml:space="preserve">environments </w:t>
      </w:r>
      <w:r w:rsidR="00DC3B66" w:rsidRPr="00020413">
        <w:rPr>
          <w:rFonts w:ascii="Times New Roman" w:hAnsi="Times New Roman"/>
          <w:sz w:val="24"/>
          <w:szCs w:val="24"/>
        </w:rPr>
        <w:t xml:space="preserve">such as those that prevail in many </w:t>
      </w:r>
      <w:r w:rsidR="00E4531B" w:rsidRPr="00020413">
        <w:rPr>
          <w:rFonts w:ascii="Times New Roman" w:hAnsi="Times New Roman"/>
          <w:sz w:val="24"/>
          <w:szCs w:val="24"/>
        </w:rPr>
        <w:t>developing</w:t>
      </w:r>
      <w:r w:rsidR="00DC3B66" w:rsidRPr="00020413">
        <w:rPr>
          <w:rFonts w:ascii="Times New Roman" w:hAnsi="Times New Roman"/>
          <w:sz w:val="24"/>
          <w:szCs w:val="24"/>
        </w:rPr>
        <w:t xml:space="preserve"> economies</w:t>
      </w:r>
      <w:r w:rsidRPr="00020413">
        <w:rPr>
          <w:rFonts w:ascii="Times New Roman" w:hAnsi="Times New Roman"/>
          <w:sz w:val="24"/>
          <w:szCs w:val="24"/>
        </w:rPr>
        <w:t>.</w:t>
      </w:r>
      <w:r w:rsidR="005F43EB" w:rsidRPr="00020413">
        <w:rPr>
          <w:rFonts w:ascii="Times New Roman" w:hAnsi="Times New Roman"/>
          <w:sz w:val="24"/>
          <w:szCs w:val="24"/>
        </w:rPr>
        <w:t xml:space="preserve"> Within this context, the quantity and quality of credit information that banks possess on existing and potential borrowers become critical resources that do not onl</w:t>
      </w:r>
      <w:r w:rsidR="009E5437" w:rsidRPr="00020413">
        <w:rPr>
          <w:rFonts w:ascii="Times New Roman" w:hAnsi="Times New Roman"/>
          <w:sz w:val="24"/>
          <w:szCs w:val="24"/>
        </w:rPr>
        <w:t>y assist them</w:t>
      </w:r>
      <w:r w:rsidR="005F43EB" w:rsidRPr="00020413">
        <w:rPr>
          <w:rFonts w:ascii="Times New Roman" w:hAnsi="Times New Roman"/>
          <w:sz w:val="24"/>
          <w:szCs w:val="24"/>
        </w:rPr>
        <w:t xml:space="preserve"> to effectively deliver </w:t>
      </w:r>
      <w:r w:rsidR="009E5437" w:rsidRPr="00020413">
        <w:rPr>
          <w:rFonts w:ascii="Times New Roman" w:hAnsi="Times New Roman"/>
          <w:sz w:val="24"/>
          <w:szCs w:val="24"/>
        </w:rPr>
        <w:t>a significant</w:t>
      </w:r>
      <w:r w:rsidR="005F43EB" w:rsidRPr="00020413">
        <w:rPr>
          <w:rFonts w:ascii="Times New Roman" w:hAnsi="Times New Roman"/>
          <w:sz w:val="24"/>
          <w:szCs w:val="24"/>
        </w:rPr>
        <w:t xml:space="preserve"> co</w:t>
      </w:r>
      <w:r w:rsidR="009E5437" w:rsidRPr="00020413">
        <w:rPr>
          <w:rFonts w:ascii="Times New Roman" w:hAnsi="Times New Roman"/>
          <w:sz w:val="24"/>
          <w:szCs w:val="24"/>
        </w:rPr>
        <w:t>ntribution</w:t>
      </w:r>
      <w:r w:rsidR="005F43EB" w:rsidRPr="00020413">
        <w:rPr>
          <w:rFonts w:ascii="Times New Roman" w:hAnsi="Times New Roman"/>
          <w:sz w:val="24"/>
          <w:szCs w:val="24"/>
        </w:rPr>
        <w:t xml:space="preserve"> to the financial system, but also </w:t>
      </w:r>
      <w:r w:rsidR="009E5437" w:rsidRPr="00020413">
        <w:rPr>
          <w:rFonts w:ascii="Times New Roman" w:hAnsi="Times New Roman"/>
          <w:sz w:val="24"/>
          <w:szCs w:val="24"/>
        </w:rPr>
        <w:t xml:space="preserve">help </w:t>
      </w:r>
      <w:r w:rsidR="00DC3B66" w:rsidRPr="00020413">
        <w:rPr>
          <w:rFonts w:ascii="Times New Roman" w:hAnsi="Times New Roman"/>
          <w:sz w:val="24"/>
          <w:szCs w:val="24"/>
        </w:rPr>
        <w:t>the</w:t>
      </w:r>
      <w:r w:rsidR="00E56419" w:rsidRPr="00020413">
        <w:rPr>
          <w:rFonts w:ascii="Times New Roman" w:hAnsi="Times New Roman"/>
          <w:sz w:val="24"/>
          <w:szCs w:val="24"/>
        </w:rPr>
        <w:t>m</w:t>
      </w:r>
      <w:r w:rsidR="00DC3B66" w:rsidRPr="00020413">
        <w:rPr>
          <w:rFonts w:ascii="Times New Roman" w:hAnsi="Times New Roman"/>
          <w:sz w:val="24"/>
          <w:szCs w:val="24"/>
        </w:rPr>
        <w:t xml:space="preserve"> </w:t>
      </w:r>
      <w:r w:rsidR="009E5437" w:rsidRPr="00020413">
        <w:rPr>
          <w:rFonts w:ascii="Times New Roman" w:hAnsi="Times New Roman"/>
          <w:sz w:val="24"/>
          <w:szCs w:val="24"/>
        </w:rPr>
        <w:t xml:space="preserve">in creating </w:t>
      </w:r>
      <w:r w:rsidR="005F43EB" w:rsidRPr="00020413">
        <w:rPr>
          <w:rFonts w:ascii="Times New Roman" w:hAnsi="Times New Roman"/>
          <w:sz w:val="24"/>
          <w:szCs w:val="24"/>
        </w:rPr>
        <w:t xml:space="preserve">competitive advantage. </w:t>
      </w:r>
      <w:r w:rsidR="009D1892" w:rsidRPr="00020413">
        <w:rPr>
          <w:rFonts w:ascii="Times New Roman" w:hAnsi="Times New Roman"/>
          <w:sz w:val="24"/>
          <w:szCs w:val="24"/>
        </w:rPr>
        <w:t>Credit information sharing represents an effective means of enhancing both the quantity and quality of information available to banks</w:t>
      </w:r>
      <w:r w:rsidR="004B3990" w:rsidRPr="00020413">
        <w:rPr>
          <w:rFonts w:ascii="Times New Roman" w:hAnsi="Times New Roman"/>
          <w:sz w:val="24"/>
          <w:szCs w:val="24"/>
        </w:rPr>
        <w:t xml:space="preserve"> to enable them </w:t>
      </w:r>
      <w:proofErr w:type="gramStart"/>
      <w:r w:rsidR="000F5215" w:rsidRPr="00020413">
        <w:rPr>
          <w:rFonts w:ascii="Times New Roman" w:hAnsi="Times New Roman"/>
          <w:sz w:val="24"/>
          <w:szCs w:val="24"/>
        </w:rPr>
        <w:t>make</w:t>
      </w:r>
      <w:proofErr w:type="gramEnd"/>
      <w:r w:rsidR="004B3990" w:rsidRPr="00020413">
        <w:rPr>
          <w:rFonts w:ascii="Times New Roman" w:hAnsi="Times New Roman"/>
          <w:sz w:val="24"/>
          <w:szCs w:val="24"/>
        </w:rPr>
        <w:t xml:space="preserve"> their lending decisions</w:t>
      </w:r>
      <w:r w:rsidR="009D1892" w:rsidRPr="00020413">
        <w:rPr>
          <w:rFonts w:ascii="Times New Roman" w:hAnsi="Times New Roman"/>
          <w:sz w:val="24"/>
          <w:szCs w:val="24"/>
        </w:rPr>
        <w:t xml:space="preserve">. </w:t>
      </w:r>
    </w:p>
    <w:p w:rsidR="004E727E" w:rsidRPr="00020413" w:rsidRDefault="006E471D" w:rsidP="00D55D24">
      <w:pPr>
        <w:spacing w:after="120" w:line="360" w:lineRule="auto"/>
        <w:jc w:val="both"/>
        <w:rPr>
          <w:rFonts w:ascii="Times New Roman" w:hAnsi="Times New Roman"/>
          <w:sz w:val="24"/>
          <w:szCs w:val="24"/>
        </w:rPr>
      </w:pPr>
      <w:r w:rsidRPr="00020413">
        <w:rPr>
          <w:rFonts w:ascii="Times New Roman" w:hAnsi="Times New Roman"/>
          <w:sz w:val="24"/>
          <w:szCs w:val="24"/>
        </w:rPr>
        <w:t>The prior literature</w:t>
      </w:r>
      <w:r w:rsidR="009D1892" w:rsidRPr="00020413">
        <w:rPr>
          <w:rFonts w:ascii="Times New Roman" w:hAnsi="Times New Roman"/>
          <w:sz w:val="24"/>
          <w:szCs w:val="24"/>
        </w:rPr>
        <w:t xml:space="preserve"> </w:t>
      </w:r>
      <w:r w:rsidR="00F70608" w:rsidRPr="00020413">
        <w:rPr>
          <w:rFonts w:ascii="Times New Roman" w:hAnsi="Times New Roman"/>
          <w:sz w:val="24"/>
          <w:szCs w:val="24"/>
        </w:rPr>
        <w:t>ident</w:t>
      </w:r>
      <w:r w:rsidR="009707D6" w:rsidRPr="00020413">
        <w:rPr>
          <w:rFonts w:ascii="Times New Roman" w:hAnsi="Times New Roman"/>
          <w:sz w:val="24"/>
          <w:szCs w:val="24"/>
        </w:rPr>
        <w:t>ifies at least two major</w:t>
      </w:r>
      <w:r w:rsidR="00F70608" w:rsidRPr="00020413">
        <w:rPr>
          <w:rFonts w:ascii="Times New Roman" w:hAnsi="Times New Roman"/>
          <w:sz w:val="24"/>
          <w:szCs w:val="24"/>
        </w:rPr>
        <w:t xml:space="preserve"> </w:t>
      </w:r>
      <w:r w:rsidRPr="00020413">
        <w:rPr>
          <w:rFonts w:ascii="Times New Roman" w:hAnsi="Times New Roman"/>
          <w:sz w:val="24"/>
          <w:szCs w:val="24"/>
        </w:rPr>
        <w:t xml:space="preserve">theoretical </w:t>
      </w:r>
      <w:r w:rsidR="00A5055D" w:rsidRPr="00020413">
        <w:rPr>
          <w:rFonts w:ascii="Times New Roman" w:hAnsi="Times New Roman"/>
          <w:sz w:val="24"/>
          <w:szCs w:val="24"/>
        </w:rPr>
        <w:t>channels through which credit i</w:t>
      </w:r>
      <w:r w:rsidR="001866B5" w:rsidRPr="00020413">
        <w:rPr>
          <w:rFonts w:ascii="Times New Roman" w:hAnsi="Times New Roman"/>
          <w:sz w:val="24"/>
          <w:szCs w:val="24"/>
        </w:rPr>
        <w:t>nformation sharing</w:t>
      </w:r>
      <w:r w:rsidR="00F23A78" w:rsidRPr="00020413">
        <w:rPr>
          <w:rFonts w:ascii="Times New Roman" w:hAnsi="Times New Roman"/>
          <w:sz w:val="24"/>
          <w:szCs w:val="24"/>
        </w:rPr>
        <w:t xml:space="preserve"> can</w:t>
      </w:r>
      <w:r w:rsidR="001866B5" w:rsidRPr="00020413">
        <w:rPr>
          <w:rFonts w:ascii="Times New Roman" w:hAnsi="Times New Roman"/>
          <w:sz w:val="24"/>
          <w:szCs w:val="24"/>
        </w:rPr>
        <w:t xml:space="preserve"> </w:t>
      </w:r>
      <w:r w:rsidR="00A5055D" w:rsidRPr="00020413">
        <w:rPr>
          <w:rFonts w:ascii="Times New Roman" w:hAnsi="Times New Roman"/>
          <w:sz w:val="24"/>
          <w:szCs w:val="24"/>
        </w:rPr>
        <w:t xml:space="preserve">affect </w:t>
      </w:r>
      <w:r w:rsidR="00E56419" w:rsidRPr="00020413">
        <w:rPr>
          <w:rFonts w:ascii="Times New Roman" w:hAnsi="Times New Roman"/>
          <w:sz w:val="24"/>
          <w:szCs w:val="24"/>
        </w:rPr>
        <w:t xml:space="preserve">a bank’s </w:t>
      </w:r>
      <w:r w:rsidR="00A5055D" w:rsidRPr="00020413">
        <w:rPr>
          <w:rFonts w:ascii="Times New Roman" w:hAnsi="Times New Roman"/>
          <w:sz w:val="24"/>
          <w:szCs w:val="24"/>
        </w:rPr>
        <w:t>lending decision</w:t>
      </w:r>
      <w:r w:rsidR="00E61986" w:rsidRPr="00020413">
        <w:rPr>
          <w:rFonts w:ascii="Times New Roman" w:hAnsi="Times New Roman"/>
          <w:sz w:val="24"/>
          <w:szCs w:val="24"/>
        </w:rPr>
        <w:t xml:space="preserve"> (see Figure 1 in Appendix 1)</w:t>
      </w:r>
      <w:r w:rsidR="001866B5" w:rsidRPr="00020413">
        <w:rPr>
          <w:rFonts w:ascii="Times New Roman" w:hAnsi="Times New Roman"/>
          <w:sz w:val="24"/>
          <w:szCs w:val="24"/>
        </w:rPr>
        <w:t xml:space="preserve">. </w:t>
      </w:r>
      <w:r w:rsidR="00E51F69" w:rsidRPr="00020413">
        <w:rPr>
          <w:rFonts w:ascii="Times New Roman" w:hAnsi="Times New Roman"/>
          <w:sz w:val="24"/>
          <w:szCs w:val="24"/>
        </w:rPr>
        <w:t>The f</w:t>
      </w:r>
      <w:r w:rsidR="004E727E" w:rsidRPr="00020413">
        <w:rPr>
          <w:rFonts w:ascii="Times New Roman" w:hAnsi="Times New Roman"/>
          <w:sz w:val="24"/>
          <w:szCs w:val="24"/>
        </w:rPr>
        <w:t>irst</w:t>
      </w:r>
      <w:r w:rsidR="00E35F4D" w:rsidRPr="00020413">
        <w:rPr>
          <w:rFonts w:ascii="Times New Roman" w:hAnsi="Times New Roman"/>
          <w:sz w:val="24"/>
          <w:szCs w:val="24"/>
        </w:rPr>
        <w:t xml:space="preserve"> is </w:t>
      </w:r>
      <w:r w:rsidR="004E727E" w:rsidRPr="00020413">
        <w:rPr>
          <w:rFonts w:ascii="Times New Roman" w:hAnsi="Times New Roman"/>
          <w:sz w:val="24"/>
          <w:szCs w:val="24"/>
        </w:rPr>
        <w:t>t</w:t>
      </w:r>
      <w:r w:rsidR="00DF1C4D" w:rsidRPr="00020413">
        <w:rPr>
          <w:rFonts w:ascii="Times New Roman" w:hAnsi="Times New Roman"/>
          <w:sz w:val="24"/>
          <w:szCs w:val="24"/>
        </w:rPr>
        <w:t xml:space="preserve">he adverse selection </w:t>
      </w:r>
      <w:r w:rsidR="004E727E" w:rsidRPr="00020413">
        <w:rPr>
          <w:rFonts w:ascii="Times New Roman" w:hAnsi="Times New Roman"/>
          <w:sz w:val="24"/>
          <w:szCs w:val="24"/>
        </w:rPr>
        <w:t>channel</w:t>
      </w:r>
      <w:r w:rsidR="009B5DF8" w:rsidRPr="00020413">
        <w:rPr>
          <w:rFonts w:ascii="Times New Roman" w:hAnsi="Times New Roman"/>
          <w:sz w:val="24"/>
          <w:szCs w:val="24"/>
        </w:rPr>
        <w:t>,</w:t>
      </w:r>
      <w:r w:rsidR="00DF1C4D" w:rsidRPr="00020413">
        <w:rPr>
          <w:rFonts w:ascii="Times New Roman" w:hAnsi="Times New Roman"/>
          <w:sz w:val="24"/>
          <w:szCs w:val="24"/>
        </w:rPr>
        <w:t xml:space="preserve"> shown in Pagano and Jappelli (1993)</w:t>
      </w:r>
      <w:r w:rsidR="009B5DF8" w:rsidRPr="00020413">
        <w:rPr>
          <w:rFonts w:ascii="Times New Roman" w:hAnsi="Times New Roman"/>
          <w:sz w:val="24"/>
          <w:szCs w:val="24"/>
        </w:rPr>
        <w:t>,</w:t>
      </w:r>
      <w:r w:rsidR="003966A8" w:rsidRPr="00020413">
        <w:rPr>
          <w:rFonts w:ascii="Times New Roman" w:hAnsi="Times New Roman"/>
          <w:sz w:val="24"/>
          <w:szCs w:val="24"/>
        </w:rPr>
        <w:t xml:space="preserve"> </w:t>
      </w:r>
      <w:r w:rsidR="00F37092" w:rsidRPr="00020413">
        <w:rPr>
          <w:rFonts w:ascii="Times New Roman" w:hAnsi="Times New Roman"/>
          <w:sz w:val="24"/>
          <w:szCs w:val="24"/>
        </w:rPr>
        <w:t>relating to</w:t>
      </w:r>
      <w:r w:rsidR="004E727E" w:rsidRPr="00020413">
        <w:rPr>
          <w:rFonts w:ascii="Times New Roman" w:hAnsi="Times New Roman"/>
          <w:sz w:val="24"/>
          <w:szCs w:val="24"/>
        </w:rPr>
        <w:t xml:space="preserve"> banks </w:t>
      </w:r>
      <w:r w:rsidR="00E2690C" w:rsidRPr="00020413">
        <w:rPr>
          <w:rFonts w:ascii="Times New Roman" w:hAnsi="Times New Roman"/>
          <w:sz w:val="24"/>
          <w:szCs w:val="24"/>
        </w:rPr>
        <w:t xml:space="preserve">deciding </w:t>
      </w:r>
      <w:proofErr w:type="gramStart"/>
      <w:r w:rsidR="009D0746" w:rsidRPr="00020413">
        <w:rPr>
          <w:rFonts w:ascii="Times New Roman" w:hAnsi="Times New Roman"/>
          <w:sz w:val="24"/>
          <w:szCs w:val="24"/>
        </w:rPr>
        <w:t xml:space="preserve">whether </w:t>
      </w:r>
      <w:r w:rsidR="00F37092" w:rsidRPr="00020413">
        <w:rPr>
          <w:rFonts w:ascii="Times New Roman" w:hAnsi="Times New Roman"/>
          <w:sz w:val="24"/>
          <w:szCs w:val="24"/>
        </w:rPr>
        <w:t>or not</w:t>
      </w:r>
      <w:proofErr w:type="gramEnd"/>
      <w:r w:rsidR="00F37092" w:rsidRPr="00020413">
        <w:rPr>
          <w:rFonts w:ascii="Times New Roman" w:hAnsi="Times New Roman"/>
          <w:sz w:val="24"/>
          <w:szCs w:val="24"/>
        </w:rPr>
        <w:t xml:space="preserve"> </w:t>
      </w:r>
      <w:r w:rsidR="00E2690C" w:rsidRPr="00020413">
        <w:rPr>
          <w:rFonts w:ascii="Times New Roman" w:hAnsi="Times New Roman"/>
          <w:sz w:val="24"/>
          <w:szCs w:val="24"/>
        </w:rPr>
        <w:t>to</w:t>
      </w:r>
      <w:r w:rsidR="004E727E" w:rsidRPr="00020413">
        <w:rPr>
          <w:rFonts w:ascii="Times New Roman" w:hAnsi="Times New Roman"/>
          <w:sz w:val="24"/>
          <w:szCs w:val="24"/>
        </w:rPr>
        <w:t xml:space="preserve"> lend to </w:t>
      </w:r>
      <w:r w:rsidR="00011418" w:rsidRPr="00020413">
        <w:rPr>
          <w:rFonts w:ascii="Times New Roman" w:hAnsi="Times New Roman"/>
          <w:sz w:val="24"/>
          <w:szCs w:val="24"/>
        </w:rPr>
        <w:t xml:space="preserve">a </w:t>
      </w:r>
      <w:r w:rsidR="004E727E" w:rsidRPr="00020413">
        <w:rPr>
          <w:rFonts w:ascii="Times New Roman" w:hAnsi="Times New Roman"/>
          <w:sz w:val="24"/>
          <w:szCs w:val="24"/>
        </w:rPr>
        <w:t xml:space="preserve">new pool of potential borrowers. </w:t>
      </w:r>
      <w:r w:rsidR="00E2690C" w:rsidRPr="00020413">
        <w:rPr>
          <w:rFonts w:ascii="Times New Roman" w:hAnsi="Times New Roman"/>
          <w:sz w:val="24"/>
          <w:szCs w:val="24"/>
        </w:rPr>
        <w:t xml:space="preserve">Pagano and Jappelli (1993) show that credit information sharing amongst banks can help lending banks make </w:t>
      </w:r>
      <w:r w:rsidR="00011418" w:rsidRPr="00020413">
        <w:rPr>
          <w:rFonts w:ascii="Times New Roman" w:hAnsi="Times New Roman"/>
          <w:sz w:val="24"/>
          <w:szCs w:val="24"/>
        </w:rPr>
        <w:t xml:space="preserve">an </w:t>
      </w:r>
      <w:r w:rsidR="00E2690C" w:rsidRPr="00020413">
        <w:rPr>
          <w:rFonts w:ascii="Times New Roman" w:hAnsi="Times New Roman"/>
          <w:sz w:val="24"/>
          <w:szCs w:val="24"/>
        </w:rPr>
        <w:t xml:space="preserve">accurate assessment </w:t>
      </w:r>
      <w:r w:rsidR="00E95741" w:rsidRPr="00020413">
        <w:rPr>
          <w:rFonts w:ascii="Times New Roman" w:hAnsi="Times New Roman"/>
          <w:sz w:val="24"/>
          <w:szCs w:val="24"/>
        </w:rPr>
        <w:t xml:space="preserve">of the credit worthiness of </w:t>
      </w:r>
      <w:r w:rsidR="00E2690C" w:rsidRPr="00020413">
        <w:rPr>
          <w:rFonts w:ascii="Times New Roman" w:hAnsi="Times New Roman"/>
          <w:sz w:val="24"/>
          <w:szCs w:val="24"/>
        </w:rPr>
        <w:t xml:space="preserve">new </w:t>
      </w:r>
      <w:r w:rsidR="00E95741" w:rsidRPr="00020413">
        <w:rPr>
          <w:rFonts w:ascii="Times New Roman" w:hAnsi="Times New Roman"/>
          <w:sz w:val="24"/>
          <w:szCs w:val="24"/>
        </w:rPr>
        <w:t>(</w:t>
      </w:r>
      <w:r w:rsidR="00E2690C" w:rsidRPr="00020413">
        <w:rPr>
          <w:rFonts w:ascii="Times New Roman" w:hAnsi="Times New Roman"/>
          <w:sz w:val="24"/>
          <w:szCs w:val="24"/>
        </w:rPr>
        <w:t>potential</w:t>
      </w:r>
      <w:r w:rsidR="00E95741" w:rsidRPr="00020413">
        <w:rPr>
          <w:rFonts w:ascii="Times New Roman" w:hAnsi="Times New Roman"/>
          <w:sz w:val="24"/>
          <w:szCs w:val="24"/>
        </w:rPr>
        <w:t>)</w:t>
      </w:r>
      <w:r w:rsidR="00E2690C" w:rsidRPr="00020413">
        <w:rPr>
          <w:rFonts w:ascii="Times New Roman" w:hAnsi="Times New Roman"/>
          <w:sz w:val="24"/>
          <w:szCs w:val="24"/>
        </w:rPr>
        <w:t xml:space="preserve"> borrowers</w:t>
      </w:r>
      <w:r w:rsidR="006B080E" w:rsidRPr="00020413">
        <w:rPr>
          <w:rFonts w:ascii="Times New Roman" w:hAnsi="Times New Roman"/>
          <w:sz w:val="24"/>
          <w:szCs w:val="24"/>
        </w:rPr>
        <w:t>.</w:t>
      </w:r>
      <w:r w:rsidR="004F669B" w:rsidRPr="00020413">
        <w:rPr>
          <w:rFonts w:ascii="Times New Roman" w:hAnsi="Times New Roman"/>
          <w:sz w:val="24"/>
          <w:szCs w:val="24"/>
        </w:rPr>
        <w:t xml:space="preserve"> </w:t>
      </w:r>
      <w:r w:rsidR="006B080E" w:rsidRPr="00020413">
        <w:rPr>
          <w:rFonts w:ascii="Times New Roman" w:hAnsi="Times New Roman"/>
          <w:sz w:val="24"/>
          <w:szCs w:val="24"/>
        </w:rPr>
        <w:t xml:space="preserve">When </w:t>
      </w:r>
      <w:r w:rsidR="00B20272" w:rsidRPr="00020413">
        <w:rPr>
          <w:rFonts w:ascii="Times New Roman" w:hAnsi="Times New Roman"/>
          <w:sz w:val="24"/>
          <w:szCs w:val="24"/>
        </w:rPr>
        <w:t xml:space="preserve">each bank has private information about the credit worthiness of </w:t>
      </w:r>
      <w:r w:rsidR="006B080E" w:rsidRPr="00020413">
        <w:rPr>
          <w:rFonts w:ascii="Times New Roman" w:hAnsi="Times New Roman"/>
          <w:sz w:val="24"/>
          <w:szCs w:val="24"/>
        </w:rPr>
        <w:t xml:space="preserve">its </w:t>
      </w:r>
      <w:r w:rsidR="003F430E" w:rsidRPr="00020413">
        <w:rPr>
          <w:rFonts w:ascii="Times New Roman" w:hAnsi="Times New Roman"/>
          <w:sz w:val="24"/>
          <w:szCs w:val="24"/>
        </w:rPr>
        <w:t>‘</w:t>
      </w:r>
      <w:r w:rsidR="00B20272" w:rsidRPr="00020413">
        <w:rPr>
          <w:rFonts w:ascii="Times New Roman" w:hAnsi="Times New Roman"/>
          <w:sz w:val="24"/>
          <w:szCs w:val="24"/>
        </w:rPr>
        <w:t>local</w:t>
      </w:r>
      <w:r w:rsidR="003F430E" w:rsidRPr="00020413">
        <w:rPr>
          <w:rFonts w:ascii="Times New Roman" w:hAnsi="Times New Roman"/>
          <w:sz w:val="24"/>
          <w:szCs w:val="24"/>
        </w:rPr>
        <w:t>’</w:t>
      </w:r>
      <w:r w:rsidR="00B20272" w:rsidRPr="00020413">
        <w:rPr>
          <w:rFonts w:ascii="Times New Roman" w:hAnsi="Times New Roman"/>
          <w:sz w:val="24"/>
          <w:szCs w:val="24"/>
        </w:rPr>
        <w:t xml:space="preserve"> </w:t>
      </w:r>
      <w:r w:rsidR="006B080E" w:rsidRPr="00020413">
        <w:rPr>
          <w:rFonts w:ascii="Times New Roman" w:hAnsi="Times New Roman"/>
          <w:sz w:val="24"/>
          <w:szCs w:val="24"/>
        </w:rPr>
        <w:t>borrowers</w:t>
      </w:r>
      <w:r w:rsidR="00B20272" w:rsidRPr="00020413">
        <w:rPr>
          <w:rFonts w:ascii="Times New Roman" w:hAnsi="Times New Roman"/>
          <w:sz w:val="24"/>
          <w:szCs w:val="24"/>
        </w:rPr>
        <w:t xml:space="preserve"> but no information about </w:t>
      </w:r>
      <w:r w:rsidR="006B080E" w:rsidRPr="00020413">
        <w:rPr>
          <w:rFonts w:ascii="Times New Roman" w:hAnsi="Times New Roman"/>
          <w:sz w:val="24"/>
          <w:szCs w:val="24"/>
        </w:rPr>
        <w:t>other banks’ borrowers</w:t>
      </w:r>
      <w:r w:rsidR="00B20272" w:rsidRPr="00020413">
        <w:rPr>
          <w:rFonts w:ascii="Times New Roman" w:hAnsi="Times New Roman"/>
          <w:sz w:val="24"/>
          <w:szCs w:val="24"/>
        </w:rPr>
        <w:t xml:space="preserve">, </w:t>
      </w:r>
      <w:r w:rsidR="006B080E" w:rsidRPr="00020413">
        <w:rPr>
          <w:rFonts w:ascii="Times New Roman" w:hAnsi="Times New Roman"/>
          <w:sz w:val="24"/>
          <w:szCs w:val="24"/>
        </w:rPr>
        <w:t>they could</w:t>
      </w:r>
      <w:r w:rsidR="00B20272" w:rsidRPr="00020413">
        <w:rPr>
          <w:rFonts w:ascii="Times New Roman" w:hAnsi="Times New Roman"/>
          <w:sz w:val="24"/>
          <w:szCs w:val="24"/>
        </w:rPr>
        <w:t xml:space="preserve"> face adverse selection</w:t>
      </w:r>
      <w:r w:rsidR="006B080E" w:rsidRPr="00020413">
        <w:rPr>
          <w:rFonts w:ascii="Times New Roman" w:hAnsi="Times New Roman"/>
          <w:sz w:val="24"/>
          <w:szCs w:val="24"/>
        </w:rPr>
        <w:t xml:space="preserve"> in granting credit</w:t>
      </w:r>
      <w:r w:rsidR="00B20272" w:rsidRPr="00020413">
        <w:rPr>
          <w:rFonts w:ascii="Times New Roman" w:hAnsi="Times New Roman"/>
          <w:sz w:val="24"/>
          <w:szCs w:val="24"/>
        </w:rPr>
        <w:t xml:space="preserve">. </w:t>
      </w:r>
      <w:r w:rsidR="006B080E" w:rsidRPr="00020413">
        <w:rPr>
          <w:rFonts w:ascii="Times New Roman" w:hAnsi="Times New Roman"/>
          <w:sz w:val="24"/>
          <w:szCs w:val="24"/>
        </w:rPr>
        <w:t>However, i</w:t>
      </w:r>
      <w:r w:rsidR="00B20272" w:rsidRPr="00020413">
        <w:rPr>
          <w:rFonts w:ascii="Times New Roman" w:hAnsi="Times New Roman"/>
          <w:sz w:val="24"/>
          <w:szCs w:val="24"/>
        </w:rPr>
        <w:t xml:space="preserve">f banks </w:t>
      </w:r>
      <w:r w:rsidR="003F430E" w:rsidRPr="00020413">
        <w:rPr>
          <w:rFonts w:ascii="Times New Roman" w:hAnsi="Times New Roman"/>
          <w:sz w:val="24"/>
          <w:szCs w:val="24"/>
        </w:rPr>
        <w:t>share</w:t>
      </w:r>
      <w:r w:rsidR="00B20272" w:rsidRPr="00020413">
        <w:rPr>
          <w:rFonts w:ascii="Times New Roman" w:hAnsi="Times New Roman"/>
          <w:sz w:val="24"/>
          <w:szCs w:val="24"/>
        </w:rPr>
        <w:t xml:space="preserve"> private information about </w:t>
      </w:r>
      <w:r w:rsidR="006B080E" w:rsidRPr="00020413">
        <w:rPr>
          <w:rFonts w:ascii="Times New Roman" w:hAnsi="Times New Roman"/>
          <w:sz w:val="24"/>
          <w:szCs w:val="24"/>
        </w:rPr>
        <w:t xml:space="preserve">their </w:t>
      </w:r>
      <w:r w:rsidR="003F430E" w:rsidRPr="00020413">
        <w:rPr>
          <w:rFonts w:ascii="Times New Roman" w:hAnsi="Times New Roman"/>
          <w:sz w:val="24"/>
          <w:szCs w:val="24"/>
        </w:rPr>
        <w:t>‘</w:t>
      </w:r>
      <w:r w:rsidR="006B080E" w:rsidRPr="00020413">
        <w:rPr>
          <w:rFonts w:ascii="Times New Roman" w:hAnsi="Times New Roman"/>
          <w:sz w:val="24"/>
          <w:szCs w:val="24"/>
        </w:rPr>
        <w:t>local</w:t>
      </w:r>
      <w:r w:rsidR="003F430E" w:rsidRPr="00020413">
        <w:rPr>
          <w:rFonts w:ascii="Times New Roman" w:hAnsi="Times New Roman"/>
          <w:sz w:val="24"/>
          <w:szCs w:val="24"/>
        </w:rPr>
        <w:t>’</w:t>
      </w:r>
      <w:r w:rsidR="006B080E" w:rsidRPr="00020413">
        <w:rPr>
          <w:rFonts w:ascii="Times New Roman" w:hAnsi="Times New Roman"/>
          <w:sz w:val="24"/>
          <w:szCs w:val="24"/>
        </w:rPr>
        <w:t xml:space="preserve"> borrowers</w:t>
      </w:r>
      <w:r w:rsidR="00B20272" w:rsidRPr="00020413">
        <w:rPr>
          <w:rFonts w:ascii="Times New Roman" w:hAnsi="Times New Roman"/>
          <w:sz w:val="24"/>
          <w:szCs w:val="24"/>
        </w:rPr>
        <w:t xml:space="preserve">, they can lend safely to </w:t>
      </w:r>
      <w:r w:rsidR="006B080E" w:rsidRPr="00020413">
        <w:rPr>
          <w:rFonts w:ascii="Times New Roman" w:hAnsi="Times New Roman"/>
          <w:sz w:val="24"/>
          <w:szCs w:val="24"/>
        </w:rPr>
        <w:t>other banks’ customers</w:t>
      </w:r>
      <w:r w:rsidR="00B20272" w:rsidRPr="00020413">
        <w:rPr>
          <w:rFonts w:ascii="Times New Roman" w:hAnsi="Times New Roman"/>
          <w:sz w:val="24"/>
          <w:szCs w:val="24"/>
        </w:rPr>
        <w:t xml:space="preserve"> as well, </w:t>
      </w:r>
      <w:r w:rsidR="006B080E" w:rsidRPr="00020413">
        <w:rPr>
          <w:rFonts w:ascii="Times New Roman" w:hAnsi="Times New Roman"/>
          <w:sz w:val="24"/>
          <w:szCs w:val="24"/>
        </w:rPr>
        <w:t>in a way that decreases</w:t>
      </w:r>
      <w:r w:rsidR="00B20272" w:rsidRPr="00020413">
        <w:rPr>
          <w:rFonts w:ascii="Times New Roman" w:hAnsi="Times New Roman"/>
          <w:sz w:val="24"/>
          <w:szCs w:val="24"/>
        </w:rPr>
        <w:t xml:space="preserve"> default rate. </w:t>
      </w:r>
      <w:r w:rsidR="00EA34EC" w:rsidRPr="00020413">
        <w:rPr>
          <w:rFonts w:ascii="Times New Roman" w:hAnsi="Times New Roman"/>
          <w:sz w:val="24"/>
          <w:szCs w:val="24"/>
        </w:rPr>
        <w:t xml:space="preserve">Overall, </w:t>
      </w:r>
      <w:r w:rsidR="00004326" w:rsidRPr="00020413">
        <w:rPr>
          <w:rFonts w:ascii="Times New Roman" w:hAnsi="Times New Roman"/>
          <w:sz w:val="24"/>
          <w:szCs w:val="24"/>
        </w:rPr>
        <w:t xml:space="preserve">credit information sharing eases adverse selection problems by improving banks' knowledge of </w:t>
      </w:r>
      <w:r w:rsidR="00405E9E" w:rsidRPr="00020413">
        <w:rPr>
          <w:rFonts w:ascii="Times New Roman" w:hAnsi="Times New Roman"/>
          <w:sz w:val="24"/>
          <w:szCs w:val="24"/>
        </w:rPr>
        <w:t>credit</w:t>
      </w:r>
      <w:r w:rsidR="00004326" w:rsidRPr="00020413">
        <w:rPr>
          <w:rFonts w:ascii="Times New Roman" w:hAnsi="Times New Roman"/>
          <w:sz w:val="24"/>
          <w:szCs w:val="24"/>
        </w:rPr>
        <w:t xml:space="preserve"> applicants' characteristics and permit more accurate prediction of repayment probability. This </w:t>
      </w:r>
      <w:r w:rsidR="004F669B" w:rsidRPr="00020413">
        <w:rPr>
          <w:rFonts w:ascii="Times New Roman" w:hAnsi="Times New Roman"/>
          <w:sz w:val="24"/>
          <w:szCs w:val="24"/>
        </w:rPr>
        <w:t>lead</w:t>
      </w:r>
      <w:r w:rsidR="00004326" w:rsidRPr="00020413">
        <w:rPr>
          <w:rFonts w:ascii="Times New Roman" w:hAnsi="Times New Roman"/>
          <w:sz w:val="24"/>
          <w:szCs w:val="24"/>
        </w:rPr>
        <w:t>s</w:t>
      </w:r>
      <w:r w:rsidR="004F669B" w:rsidRPr="00020413">
        <w:rPr>
          <w:rFonts w:ascii="Times New Roman" w:hAnsi="Times New Roman"/>
          <w:sz w:val="24"/>
          <w:szCs w:val="24"/>
        </w:rPr>
        <w:t xml:space="preserve"> to an increased lending to safe borrowers and a reduced lending to risky borrowers</w:t>
      </w:r>
      <w:r w:rsidR="003966A8" w:rsidRPr="00020413">
        <w:rPr>
          <w:rFonts w:ascii="Times New Roman" w:hAnsi="Times New Roman"/>
          <w:sz w:val="24"/>
          <w:szCs w:val="24"/>
        </w:rPr>
        <w:t xml:space="preserve"> </w:t>
      </w:r>
      <w:r w:rsidR="00764746" w:rsidRPr="00020413">
        <w:rPr>
          <w:rFonts w:ascii="Times New Roman" w:hAnsi="Times New Roman"/>
          <w:sz w:val="24"/>
          <w:szCs w:val="24"/>
        </w:rPr>
        <w:t>and</w:t>
      </w:r>
      <w:r w:rsidR="00B174B8" w:rsidRPr="00020413">
        <w:rPr>
          <w:rFonts w:ascii="Times New Roman" w:hAnsi="Times New Roman"/>
          <w:sz w:val="24"/>
          <w:szCs w:val="24"/>
        </w:rPr>
        <w:t>,</w:t>
      </w:r>
      <w:r w:rsidR="00274CDA" w:rsidRPr="00020413">
        <w:rPr>
          <w:rFonts w:ascii="Times New Roman" w:hAnsi="Times New Roman"/>
          <w:sz w:val="24"/>
          <w:szCs w:val="24"/>
        </w:rPr>
        <w:t xml:space="preserve"> thus</w:t>
      </w:r>
      <w:r w:rsidR="003966A8" w:rsidRPr="00020413">
        <w:rPr>
          <w:rFonts w:ascii="Times New Roman" w:hAnsi="Times New Roman"/>
          <w:sz w:val="24"/>
          <w:szCs w:val="24"/>
        </w:rPr>
        <w:t>,</w:t>
      </w:r>
      <w:r w:rsidR="00E95741" w:rsidRPr="00020413">
        <w:rPr>
          <w:rFonts w:ascii="Times New Roman" w:hAnsi="Times New Roman"/>
          <w:sz w:val="24"/>
          <w:szCs w:val="24"/>
        </w:rPr>
        <w:t xml:space="preserve"> a decrease in</w:t>
      </w:r>
      <w:r w:rsidR="004D1711" w:rsidRPr="00020413">
        <w:rPr>
          <w:rFonts w:ascii="Times New Roman" w:hAnsi="Times New Roman"/>
          <w:sz w:val="24"/>
          <w:szCs w:val="24"/>
        </w:rPr>
        <w:t xml:space="preserve"> </w:t>
      </w:r>
      <w:r w:rsidR="00262D41" w:rsidRPr="00020413">
        <w:rPr>
          <w:rFonts w:ascii="Times New Roman" w:hAnsi="Times New Roman"/>
          <w:sz w:val="24"/>
          <w:szCs w:val="24"/>
        </w:rPr>
        <w:t>loan default rate</w:t>
      </w:r>
      <w:r w:rsidR="003966A8" w:rsidRPr="00020413">
        <w:rPr>
          <w:rFonts w:ascii="Times New Roman" w:hAnsi="Times New Roman"/>
          <w:sz w:val="24"/>
          <w:szCs w:val="24"/>
        </w:rPr>
        <w:t>.</w:t>
      </w:r>
    </w:p>
    <w:p w:rsidR="00B67B7F" w:rsidRPr="00020413" w:rsidRDefault="00D74179" w:rsidP="00D55D24">
      <w:pPr>
        <w:spacing w:after="120" w:line="360" w:lineRule="auto"/>
        <w:jc w:val="both"/>
        <w:rPr>
          <w:rFonts w:ascii="Times New Roman" w:hAnsi="Times New Roman"/>
          <w:sz w:val="24"/>
          <w:szCs w:val="24"/>
        </w:rPr>
      </w:pPr>
      <w:r w:rsidRPr="00020413">
        <w:rPr>
          <w:rFonts w:ascii="Times New Roman" w:hAnsi="Times New Roman"/>
          <w:sz w:val="24"/>
          <w:szCs w:val="24"/>
        </w:rPr>
        <w:t>Second</w:t>
      </w:r>
      <w:r w:rsidR="00E56419" w:rsidRPr="00020413">
        <w:rPr>
          <w:rFonts w:ascii="Times New Roman" w:hAnsi="Times New Roman"/>
          <w:sz w:val="24"/>
          <w:szCs w:val="24"/>
        </w:rPr>
        <w:t>,</w:t>
      </w:r>
      <w:r w:rsidRPr="00020413">
        <w:rPr>
          <w:rFonts w:ascii="Times New Roman" w:hAnsi="Times New Roman"/>
          <w:sz w:val="24"/>
          <w:szCs w:val="24"/>
        </w:rPr>
        <w:t xml:space="preserve"> and from t</w:t>
      </w:r>
      <w:r w:rsidR="0047440A" w:rsidRPr="00020413">
        <w:rPr>
          <w:rFonts w:ascii="Times New Roman" w:hAnsi="Times New Roman"/>
          <w:sz w:val="24"/>
          <w:szCs w:val="24"/>
        </w:rPr>
        <w:t xml:space="preserve">he moral hazard </w:t>
      </w:r>
      <w:r w:rsidRPr="00020413">
        <w:rPr>
          <w:rFonts w:ascii="Times New Roman" w:hAnsi="Times New Roman"/>
          <w:sz w:val="24"/>
          <w:szCs w:val="24"/>
        </w:rPr>
        <w:t>theoretical perspective,</w:t>
      </w:r>
      <w:r w:rsidR="0047440A" w:rsidRPr="00020413">
        <w:rPr>
          <w:rFonts w:ascii="Times New Roman" w:hAnsi="Times New Roman"/>
          <w:sz w:val="24"/>
          <w:szCs w:val="24"/>
        </w:rPr>
        <w:t xml:space="preserve"> credit information sharing </w:t>
      </w:r>
      <w:r w:rsidRPr="00020413">
        <w:rPr>
          <w:rFonts w:ascii="Times New Roman" w:hAnsi="Times New Roman"/>
          <w:sz w:val="24"/>
          <w:szCs w:val="24"/>
        </w:rPr>
        <w:t xml:space="preserve">can </w:t>
      </w:r>
      <w:r w:rsidR="003966A8" w:rsidRPr="00020413">
        <w:rPr>
          <w:rFonts w:ascii="Times New Roman" w:hAnsi="Times New Roman"/>
          <w:sz w:val="24"/>
          <w:szCs w:val="24"/>
        </w:rPr>
        <w:t xml:space="preserve">further </w:t>
      </w:r>
      <w:r w:rsidRPr="00020413">
        <w:rPr>
          <w:rFonts w:ascii="Times New Roman" w:hAnsi="Times New Roman"/>
          <w:sz w:val="24"/>
          <w:szCs w:val="24"/>
        </w:rPr>
        <w:t>reduce</w:t>
      </w:r>
      <w:r w:rsidR="0047440A" w:rsidRPr="00020413">
        <w:rPr>
          <w:rFonts w:ascii="Times New Roman" w:hAnsi="Times New Roman"/>
          <w:sz w:val="24"/>
          <w:szCs w:val="24"/>
        </w:rPr>
        <w:t xml:space="preserve"> borrower default by </w:t>
      </w:r>
      <w:r w:rsidRPr="00020413">
        <w:rPr>
          <w:rFonts w:ascii="Times New Roman" w:hAnsi="Times New Roman"/>
          <w:sz w:val="24"/>
          <w:szCs w:val="24"/>
        </w:rPr>
        <w:t xml:space="preserve">curbing </w:t>
      </w:r>
      <w:r w:rsidR="00C83C25" w:rsidRPr="00020413">
        <w:rPr>
          <w:rFonts w:ascii="Times New Roman" w:hAnsi="Times New Roman"/>
          <w:sz w:val="24"/>
          <w:szCs w:val="24"/>
        </w:rPr>
        <w:t>the borrower hold</w:t>
      </w:r>
      <w:r w:rsidR="00C37AC5" w:rsidRPr="00020413">
        <w:rPr>
          <w:rFonts w:ascii="Times New Roman" w:hAnsi="Times New Roman"/>
          <w:sz w:val="24"/>
          <w:szCs w:val="24"/>
        </w:rPr>
        <w:t>-</w:t>
      </w:r>
      <w:r w:rsidR="00C83C25" w:rsidRPr="00020413">
        <w:rPr>
          <w:rFonts w:ascii="Times New Roman" w:hAnsi="Times New Roman"/>
          <w:sz w:val="24"/>
          <w:szCs w:val="24"/>
        </w:rPr>
        <w:t>up problems as well as</w:t>
      </w:r>
      <w:r w:rsidR="0047440A" w:rsidRPr="00020413">
        <w:rPr>
          <w:rFonts w:ascii="Times New Roman" w:hAnsi="Times New Roman"/>
          <w:sz w:val="24"/>
          <w:szCs w:val="24"/>
        </w:rPr>
        <w:t xml:space="preserve"> </w:t>
      </w:r>
      <w:r w:rsidR="00C37AC5" w:rsidRPr="00020413">
        <w:rPr>
          <w:rFonts w:ascii="Times New Roman" w:hAnsi="Times New Roman"/>
          <w:sz w:val="24"/>
          <w:szCs w:val="24"/>
        </w:rPr>
        <w:t xml:space="preserve">increasing </w:t>
      </w:r>
      <w:r w:rsidR="0047440A" w:rsidRPr="00020413">
        <w:rPr>
          <w:rFonts w:ascii="Times New Roman" w:hAnsi="Times New Roman"/>
          <w:sz w:val="24"/>
          <w:szCs w:val="24"/>
        </w:rPr>
        <w:t>borrower</w:t>
      </w:r>
      <w:r w:rsidR="008C7139" w:rsidRPr="00020413">
        <w:rPr>
          <w:rFonts w:ascii="Times New Roman" w:hAnsi="Times New Roman"/>
          <w:sz w:val="24"/>
          <w:szCs w:val="24"/>
        </w:rPr>
        <w:t xml:space="preserve"> </w:t>
      </w:r>
      <w:r w:rsidR="00C37AC5" w:rsidRPr="00020413">
        <w:rPr>
          <w:rFonts w:ascii="Times New Roman" w:hAnsi="Times New Roman"/>
          <w:sz w:val="24"/>
          <w:szCs w:val="24"/>
        </w:rPr>
        <w:t xml:space="preserve">discipline </w:t>
      </w:r>
      <w:r w:rsidR="008C7139" w:rsidRPr="00020413">
        <w:rPr>
          <w:rFonts w:ascii="Times New Roman" w:hAnsi="Times New Roman"/>
          <w:sz w:val="24"/>
          <w:szCs w:val="24"/>
        </w:rPr>
        <w:t>(e.g.</w:t>
      </w:r>
      <w:r w:rsidR="00E51F69" w:rsidRPr="00020413">
        <w:rPr>
          <w:rFonts w:ascii="Times New Roman" w:hAnsi="Times New Roman"/>
          <w:sz w:val="24"/>
          <w:szCs w:val="24"/>
        </w:rPr>
        <w:t>,</w:t>
      </w:r>
      <w:r w:rsidR="008C7139" w:rsidRPr="00020413">
        <w:rPr>
          <w:rFonts w:ascii="Times New Roman" w:hAnsi="Times New Roman"/>
          <w:sz w:val="24"/>
          <w:szCs w:val="24"/>
        </w:rPr>
        <w:t xml:space="preserve"> </w:t>
      </w:r>
      <w:r w:rsidR="008C7139" w:rsidRPr="00020413">
        <w:rPr>
          <w:rFonts w:ascii="Times New Roman" w:hAnsi="Times New Roman"/>
          <w:sz w:val="24"/>
          <w:szCs w:val="20"/>
          <w:shd w:val="clear" w:color="auto" w:fill="FFFFFF"/>
        </w:rPr>
        <w:t>Vercammen, 1995;</w:t>
      </w:r>
      <w:r w:rsidR="008C7139" w:rsidRPr="00020413">
        <w:rPr>
          <w:rFonts w:ascii="Times New Roman" w:hAnsi="Times New Roman"/>
          <w:sz w:val="24"/>
          <w:szCs w:val="24"/>
        </w:rPr>
        <w:t xml:space="preserve"> Padilla and </w:t>
      </w:r>
      <w:r w:rsidR="008C7139" w:rsidRPr="00020413">
        <w:rPr>
          <w:rFonts w:ascii="Times New Roman" w:hAnsi="Times New Roman"/>
          <w:sz w:val="24"/>
          <w:szCs w:val="20"/>
          <w:shd w:val="clear" w:color="auto" w:fill="FFFFFF"/>
        </w:rPr>
        <w:t>Pagano, 2000)</w:t>
      </w:r>
      <w:r w:rsidR="00545F27" w:rsidRPr="00020413">
        <w:rPr>
          <w:rFonts w:ascii="Times New Roman" w:hAnsi="Times New Roman"/>
          <w:sz w:val="24"/>
          <w:szCs w:val="20"/>
          <w:shd w:val="clear" w:color="auto" w:fill="FFFFFF"/>
        </w:rPr>
        <w:t>.</w:t>
      </w:r>
      <w:r w:rsidR="0047440A" w:rsidRPr="00020413">
        <w:rPr>
          <w:rFonts w:ascii="Times New Roman" w:hAnsi="Times New Roman"/>
          <w:sz w:val="24"/>
          <w:szCs w:val="24"/>
        </w:rPr>
        <w:t xml:space="preserve"> </w:t>
      </w:r>
      <w:r w:rsidR="00717488" w:rsidRPr="00020413">
        <w:rPr>
          <w:rFonts w:ascii="Times New Roman" w:hAnsi="Times New Roman"/>
          <w:sz w:val="24"/>
          <w:szCs w:val="24"/>
        </w:rPr>
        <w:t xml:space="preserve">In the absence of a </w:t>
      </w:r>
      <w:r w:rsidR="00717488" w:rsidRPr="00020413">
        <w:rPr>
          <w:rFonts w:ascii="Times New Roman" w:hAnsi="Times New Roman"/>
          <w:sz w:val="24"/>
          <w:szCs w:val="24"/>
        </w:rPr>
        <w:lastRenderedPageBreak/>
        <w:t>credit information sharing scheme, individual banks incur the cost of obtaining p</w:t>
      </w:r>
      <w:r w:rsidR="0047440A" w:rsidRPr="00020413">
        <w:rPr>
          <w:rFonts w:ascii="Times New Roman" w:hAnsi="Times New Roman"/>
          <w:sz w:val="24"/>
          <w:szCs w:val="24"/>
        </w:rPr>
        <w:t>riv</w:t>
      </w:r>
      <w:r w:rsidR="00717488" w:rsidRPr="00020413">
        <w:rPr>
          <w:rFonts w:ascii="Times New Roman" w:hAnsi="Times New Roman"/>
          <w:sz w:val="24"/>
          <w:szCs w:val="24"/>
        </w:rPr>
        <w:t xml:space="preserve">ate information about </w:t>
      </w:r>
      <w:r w:rsidR="00764746" w:rsidRPr="00020413">
        <w:rPr>
          <w:rFonts w:ascii="Times New Roman" w:hAnsi="Times New Roman"/>
          <w:sz w:val="24"/>
          <w:szCs w:val="24"/>
        </w:rPr>
        <w:t>borrowers and</w:t>
      </w:r>
      <w:r w:rsidR="00717488" w:rsidRPr="00020413">
        <w:rPr>
          <w:rFonts w:ascii="Times New Roman" w:hAnsi="Times New Roman"/>
          <w:sz w:val="24"/>
          <w:szCs w:val="24"/>
        </w:rPr>
        <w:t xml:space="preserve"> shift these costs to borrowers (and perhaps even</w:t>
      </w:r>
      <w:r w:rsidR="0047440A" w:rsidRPr="00020413">
        <w:rPr>
          <w:rFonts w:ascii="Times New Roman" w:hAnsi="Times New Roman"/>
          <w:sz w:val="24"/>
          <w:szCs w:val="24"/>
        </w:rPr>
        <w:t xml:space="preserve"> extract </w:t>
      </w:r>
      <w:r w:rsidR="00B67B7F" w:rsidRPr="00020413">
        <w:rPr>
          <w:rFonts w:ascii="Times New Roman" w:hAnsi="Times New Roman"/>
          <w:sz w:val="24"/>
          <w:szCs w:val="24"/>
        </w:rPr>
        <w:t>rent</w:t>
      </w:r>
      <w:r w:rsidR="00717488" w:rsidRPr="00020413">
        <w:rPr>
          <w:rFonts w:ascii="Times New Roman" w:hAnsi="Times New Roman"/>
          <w:sz w:val="24"/>
          <w:szCs w:val="24"/>
        </w:rPr>
        <w:t>)</w:t>
      </w:r>
      <w:r w:rsidR="00B67B7F" w:rsidRPr="00020413">
        <w:rPr>
          <w:rFonts w:ascii="Times New Roman" w:hAnsi="Times New Roman"/>
          <w:sz w:val="24"/>
          <w:szCs w:val="24"/>
        </w:rPr>
        <w:t xml:space="preserve"> by pricing their loans</w:t>
      </w:r>
      <w:r w:rsidR="00F23A78" w:rsidRPr="00020413">
        <w:rPr>
          <w:rFonts w:ascii="Times New Roman" w:hAnsi="Times New Roman"/>
          <w:sz w:val="24"/>
          <w:szCs w:val="24"/>
        </w:rPr>
        <w:t xml:space="preserve"> relatively</w:t>
      </w:r>
      <w:r w:rsidR="00B67B7F" w:rsidRPr="00020413">
        <w:rPr>
          <w:rFonts w:ascii="Times New Roman" w:hAnsi="Times New Roman"/>
          <w:sz w:val="24"/>
          <w:szCs w:val="24"/>
        </w:rPr>
        <w:t xml:space="preserve"> high</w:t>
      </w:r>
      <w:r w:rsidR="00F23A78" w:rsidRPr="00020413">
        <w:rPr>
          <w:rFonts w:ascii="Times New Roman" w:hAnsi="Times New Roman"/>
          <w:sz w:val="24"/>
          <w:szCs w:val="24"/>
        </w:rPr>
        <w:t>,</w:t>
      </w:r>
      <w:r w:rsidR="00B67B7F" w:rsidRPr="00020413">
        <w:rPr>
          <w:rFonts w:ascii="Times New Roman" w:hAnsi="Times New Roman"/>
          <w:sz w:val="24"/>
          <w:szCs w:val="24"/>
        </w:rPr>
        <w:t xml:space="preserve"> and </w:t>
      </w:r>
      <w:r w:rsidR="00F23A78" w:rsidRPr="00020413">
        <w:rPr>
          <w:rFonts w:ascii="Times New Roman" w:hAnsi="Times New Roman"/>
          <w:sz w:val="24"/>
          <w:szCs w:val="24"/>
        </w:rPr>
        <w:t>thereby lead</w:t>
      </w:r>
      <w:r w:rsidR="00717488" w:rsidRPr="00020413">
        <w:rPr>
          <w:rFonts w:ascii="Times New Roman" w:hAnsi="Times New Roman"/>
          <w:sz w:val="24"/>
          <w:szCs w:val="24"/>
        </w:rPr>
        <w:t>ing</w:t>
      </w:r>
      <w:r w:rsidR="00F23A78" w:rsidRPr="00020413">
        <w:rPr>
          <w:rFonts w:ascii="Times New Roman" w:hAnsi="Times New Roman"/>
          <w:sz w:val="24"/>
          <w:szCs w:val="24"/>
        </w:rPr>
        <w:t xml:space="preserve"> to</w:t>
      </w:r>
      <w:r w:rsidR="00B67B7F" w:rsidRPr="00020413">
        <w:rPr>
          <w:rFonts w:ascii="Times New Roman" w:hAnsi="Times New Roman"/>
          <w:sz w:val="24"/>
          <w:szCs w:val="24"/>
        </w:rPr>
        <w:t xml:space="preserve"> borrower default. </w:t>
      </w:r>
      <w:r w:rsidR="000E441B" w:rsidRPr="00020413">
        <w:rPr>
          <w:rFonts w:ascii="Times New Roman" w:hAnsi="Times New Roman"/>
          <w:sz w:val="24"/>
          <w:szCs w:val="24"/>
        </w:rPr>
        <w:t>By</w:t>
      </w:r>
      <w:r w:rsidR="00717488" w:rsidRPr="00020413">
        <w:rPr>
          <w:rFonts w:ascii="Times New Roman" w:hAnsi="Times New Roman"/>
          <w:sz w:val="24"/>
          <w:szCs w:val="24"/>
        </w:rPr>
        <w:t xml:space="preserve"> contrast, the presence of a c</w:t>
      </w:r>
      <w:r w:rsidR="00B67B7F" w:rsidRPr="00020413">
        <w:rPr>
          <w:rFonts w:ascii="Times New Roman" w:hAnsi="Times New Roman"/>
          <w:sz w:val="24"/>
          <w:szCs w:val="24"/>
        </w:rPr>
        <w:t xml:space="preserve">redit information sharing </w:t>
      </w:r>
      <w:r w:rsidR="00717488" w:rsidRPr="00020413">
        <w:rPr>
          <w:rFonts w:ascii="Times New Roman" w:hAnsi="Times New Roman"/>
          <w:sz w:val="24"/>
          <w:szCs w:val="24"/>
        </w:rPr>
        <w:t xml:space="preserve">system </w:t>
      </w:r>
      <w:r w:rsidR="002C119F" w:rsidRPr="00020413">
        <w:rPr>
          <w:rFonts w:ascii="Times New Roman" w:hAnsi="Times New Roman"/>
          <w:sz w:val="24"/>
          <w:szCs w:val="24"/>
        </w:rPr>
        <w:t>help</w:t>
      </w:r>
      <w:r w:rsidR="000B6393" w:rsidRPr="00020413">
        <w:rPr>
          <w:rFonts w:ascii="Times New Roman" w:hAnsi="Times New Roman"/>
          <w:sz w:val="24"/>
          <w:szCs w:val="24"/>
        </w:rPr>
        <w:t>s</w:t>
      </w:r>
      <w:r w:rsidR="00B67B7F" w:rsidRPr="00020413">
        <w:rPr>
          <w:rFonts w:ascii="Times New Roman" w:hAnsi="Times New Roman"/>
          <w:sz w:val="24"/>
          <w:szCs w:val="24"/>
        </w:rPr>
        <w:t xml:space="preserve"> to reduce </w:t>
      </w:r>
      <w:r w:rsidR="00717488" w:rsidRPr="00020413">
        <w:rPr>
          <w:rFonts w:ascii="Times New Roman" w:hAnsi="Times New Roman"/>
          <w:sz w:val="24"/>
          <w:szCs w:val="24"/>
        </w:rPr>
        <w:t xml:space="preserve">banks’ private costs and </w:t>
      </w:r>
      <w:r w:rsidR="00626EB8" w:rsidRPr="00020413">
        <w:rPr>
          <w:rFonts w:ascii="Times New Roman" w:hAnsi="Times New Roman"/>
          <w:sz w:val="24"/>
          <w:szCs w:val="24"/>
        </w:rPr>
        <w:t xml:space="preserve">the extraction of </w:t>
      </w:r>
      <w:r w:rsidR="00B67B7F" w:rsidRPr="00020413">
        <w:rPr>
          <w:rFonts w:ascii="Times New Roman" w:hAnsi="Times New Roman"/>
          <w:sz w:val="24"/>
          <w:szCs w:val="24"/>
        </w:rPr>
        <w:t>information</w:t>
      </w:r>
      <w:r w:rsidR="00626EB8" w:rsidRPr="00020413">
        <w:rPr>
          <w:rFonts w:ascii="Times New Roman" w:hAnsi="Times New Roman"/>
          <w:sz w:val="24"/>
          <w:szCs w:val="24"/>
        </w:rPr>
        <w:t>al</w:t>
      </w:r>
      <w:r w:rsidR="00B67B7F" w:rsidRPr="00020413">
        <w:rPr>
          <w:rFonts w:ascii="Times New Roman" w:hAnsi="Times New Roman"/>
          <w:sz w:val="24"/>
          <w:szCs w:val="24"/>
        </w:rPr>
        <w:t xml:space="preserve"> rent</w:t>
      </w:r>
      <w:r w:rsidR="00895CD9" w:rsidRPr="00020413">
        <w:rPr>
          <w:rFonts w:ascii="Times New Roman" w:hAnsi="Times New Roman"/>
          <w:sz w:val="24"/>
          <w:szCs w:val="24"/>
        </w:rPr>
        <w:t xml:space="preserve">, </w:t>
      </w:r>
      <w:r w:rsidR="00717488" w:rsidRPr="00020413">
        <w:rPr>
          <w:rFonts w:ascii="Times New Roman" w:hAnsi="Times New Roman"/>
          <w:sz w:val="24"/>
          <w:szCs w:val="24"/>
        </w:rPr>
        <w:t xml:space="preserve">which in turn </w:t>
      </w:r>
      <w:r w:rsidR="00B67B7F" w:rsidRPr="00020413">
        <w:rPr>
          <w:rFonts w:ascii="Times New Roman" w:hAnsi="Times New Roman"/>
          <w:sz w:val="24"/>
          <w:szCs w:val="24"/>
        </w:rPr>
        <w:t>encourage</w:t>
      </w:r>
      <w:r w:rsidR="009D0746" w:rsidRPr="00020413">
        <w:rPr>
          <w:rFonts w:ascii="Times New Roman" w:hAnsi="Times New Roman"/>
          <w:sz w:val="24"/>
          <w:szCs w:val="24"/>
        </w:rPr>
        <w:t>s</w:t>
      </w:r>
      <w:r w:rsidR="00B67B7F" w:rsidRPr="00020413">
        <w:rPr>
          <w:rFonts w:ascii="Times New Roman" w:hAnsi="Times New Roman"/>
          <w:sz w:val="24"/>
          <w:szCs w:val="24"/>
        </w:rPr>
        <w:t xml:space="preserve"> borrower</w:t>
      </w:r>
      <w:r w:rsidR="00717488" w:rsidRPr="00020413">
        <w:rPr>
          <w:rFonts w:ascii="Times New Roman" w:hAnsi="Times New Roman"/>
          <w:sz w:val="24"/>
          <w:szCs w:val="24"/>
        </w:rPr>
        <w:t>s’ repayment</w:t>
      </w:r>
      <w:r w:rsidR="00B67B7F" w:rsidRPr="00020413">
        <w:rPr>
          <w:rFonts w:ascii="Times New Roman" w:hAnsi="Times New Roman"/>
          <w:sz w:val="24"/>
          <w:szCs w:val="24"/>
        </w:rPr>
        <w:t xml:space="preserve"> effort</w:t>
      </w:r>
      <w:r w:rsidR="00717488" w:rsidRPr="00020413">
        <w:rPr>
          <w:rFonts w:ascii="Times New Roman" w:hAnsi="Times New Roman"/>
          <w:sz w:val="24"/>
          <w:szCs w:val="24"/>
        </w:rPr>
        <w:t>s,</w:t>
      </w:r>
      <w:r w:rsidR="00895CD9" w:rsidRPr="00020413">
        <w:rPr>
          <w:rFonts w:ascii="Times New Roman" w:hAnsi="Times New Roman"/>
          <w:sz w:val="24"/>
          <w:szCs w:val="24"/>
        </w:rPr>
        <w:t xml:space="preserve"> and </w:t>
      </w:r>
      <w:r w:rsidR="00717488" w:rsidRPr="00020413">
        <w:rPr>
          <w:rFonts w:ascii="Times New Roman" w:hAnsi="Times New Roman"/>
          <w:sz w:val="24"/>
          <w:szCs w:val="24"/>
        </w:rPr>
        <w:t>subsequently reduc</w:t>
      </w:r>
      <w:r w:rsidR="00A370A8" w:rsidRPr="00020413">
        <w:rPr>
          <w:rFonts w:ascii="Times New Roman" w:hAnsi="Times New Roman"/>
          <w:sz w:val="24"/>
          <w:szCs w:val="24"/>
        </w:rPr>
        <w:t>es</w:t>
      </w:r>
      <w:r w:rsidR="00895CD9" w:rsidRPr="00020413">
        <w:rPr>
          <w:rFonts w:ascii="Times New Roman" w:hAnsi="Times New Roman"/>
          <w:sz w:val="24"/>
          <w:szCs w:val="24"/>
        </w:rPr>
        <w:t xml:space="preserve"> default risk</w:t>
      </w:r>
      <w:r w:rsidR="00717488" w:rsidRPr="00020413">
        <w:rPr>
          <w:rFonts w:ascii="Times New Roman" w:hAnsi="Times New Roman"/>
          <w:sz w:val="24"/>
          <w:szCs w:val="24"/>
        </w:rPr>
        <w:t>s</w:t>
      </w:r>
      <w:r w:rsidR="002C119F" w:rsidRPr="00020413">
        <w:rPr>
          <w:rFonts w:ascii="Times New Roman" w:hAnsi="Times New Roman"/>
          <w:sz w:val="24"/>
          <w:szCs w:val="24"/>
        </w:rPr>
        <w:t xml:space="preserve"> (Padilla </w:t>
      </w:r>
      <w:r w:rsidR="00675549" w:rsidRPr="00020413">
        <w:rPr>
          <w:rFonts w:ascii="Times New Roman" w:hAnsi="Times New Roman"/>
          <w:sz w:val="24"/>
          <w:szCs w:val="24"/>
        </w:rPr>
        <w:t xml:space="preserve">and </w:t>
      </w:r>
      <w:r w:rsidR="002C119F" w:rsidRPr="00020413">
        <w:rPr>
          <w:rFonts w:ascii="Times New Roman" w:hAnsi="Times New Roman"/>
          <w:sz w:val="24"/>
          <w:szCs w:val="20"/>
          <w:shd w:val="clear" w:color="auto" w:fill="FFFFFF"/>
        </w:rPr>
        <w:t>Pagano, 1997)</w:t>
      </w:r>
      <w:r w:rsidR="00EB58C9" w:rsidRPr="00020413">
        <w:rPr>
          <w:rFonts w:ascii="Times New Roman" w:hAnsi="Times New Roman"/>
          <w:sz w:val="24"/>
          <w:szCs w:val="24"/>
        </w:rPr>
        <w:t xml:space="preserve">. </w:t>
      </w:r>
      <w:r w:rsidR="00A370A8" w:rsidRPr="00020413">
        <w:rPr>
          <w:rFonts w:ascii="Times New Roman" w:hAnsi="Times New Roman"/>
          <w:sz w:val="24"/>
          <w:szCs w:val="24"/>
        </w:rPr>
        <w:t>Moreover,</w:t>
      </w:r>
      <w:r w:rsidR="00562FC2" w:rsidRPr="00020413">
        <w:rPr>
          <w:rFonts w:ascii="Times New Roman" w:hAnsi="Times New Roman"/>
          <w:sz w:val="24"/>
          <w:szCs w:val="24"/>
        </w:rPr>
        <w:t xml:space="preserve"> </w:t>
      </w:r>
      <w:r w:rsidR="00A370A8" w:rsidRPr="00020413">
        <w:rPr>
          <w:rFonts w:ascii="Times New Roman" w:hAnsi="Times New Roman"/>
          <w:sz w:val="24"/>
          <w:szCs w:val="24"/>
        </w:rPr>
        <w:t>an effective information sharing scheme enables</w:t>
      </w:r>
      <w:r w:rsidR="002A654B" w:rsidRPr="00020413">
        <w:rPr>
          <w:rFonts w:ascii="Times New Roman" w:hAnsi="Times New Roman"/>
          <w:sz w:val="24"/>
          <w:szCs w:val="24"/>
        </w:rPr>
        <w:t xml:space="preserve"> defaulting borrowers </w:t>
      </w:r>
      <w:r w:rsidR="00A370A8" w:rsidRPr="00020413">
        <w:rPr>
          <w:rFonts w:ascii="Times New Roman" w:hAnsi="Times New Roman"/>
          <w:sz w:val="24"/>
          <w:szCs w:val="24"/>
        </w:rPr>
        <w:t>to</w:t>
      </w:r>
      <w:r w:rsidR="009D0746" w:rsidRPr="00020413">
        <w:rPr>
          <w:rFonts w:ascii="Times New Roman" w:hAnsi="Times New Roman"/>
          <w:sz w:val="24"/>
          <w:szCs w:val="24"/>
        </w:rPr>
        <w:t xml:space="preserve"> </w:t>
      </w:r>
      <w:r w:rsidR="00011418" w:rsidRPr="00020413">
        <w:rPr>
          <w:rFonts w:ascii="Times New Roman" w:hAnsi="Times New Roman"/>
          <w:sz w:val="24"/>
          <w:szCs w:val="24"/>
        </w:rPr>
        <w:t xml:space="preserve">be </w:t>
      </w:r>
      <w:r w:rsidR="002A654B" w:rsidRPr="00020413">
        <w:rPr>
          <w:rFonts w:ascii="Times New Roman" w:hAnsi="Times New Roman"/>
          <w:sz w:val="24"/>
          <w:szCs w:val="24"/>
        </w:rPr>
        <w:t>blacklisted</w:t>
      </w:r>
      <w:r w:rsidR="00A370A8" w:rsidRPr="00020413">
        <w:rPr>
          <w:rFonts w:ascii="Times New Roman" w:hAnsi="Times New Roman"/>
          <w:sz w:val="24"/>
          <w:szCs w:val="24"/>
        </w:rPr>
        <w:t>, making it virtually impossible</w:t>
      </w:r>
      <w:r w:rsidR="002A654B" w:rsidRPr="00020413">
        <w:rPr>
          <w:rFonts w:ascii="Times New Roman" w:hAnsi="Times New Roman"/>
          <w:sz w:val="24"/>
          <w:szCs w:val="24"/>
        </w:rPr>
        <w:t xml:space="preserve"> </w:t>
      </w:r>
      <w:r w:rsidR="00A370A8" w:rsidRPr="00020413">
        <w:rPr>
          <w:rFonts w:ascii="Times New Roman" w:hAnsi="Times New Roman"/>
          <w:sz w:val="24"/>
          <w:szCs w:val="24"/>
        </w:rPr>
        <w:t xml:space="preserve">for such </w:t>
      </w:r>
      <w:r w:rsidR="00E56419" w:rsidRPr="00020413">
        <w:rPr>
          <w:rFonts w:ascii="Times New Roman" w:hAnsi="Times New Roman"/>
          <w:sz w:val="24"/>
          <w:szCs w:val="24"/>
        </w:rPr>
        <w:t>‘</w:t>
      </w:r>
      <w:r w:rsidR="00A370A8" w:rsidRPr="00020413">
        <w:rPr>
          <w:rFonts w:ascii="Times New Roman" w:hAnsi="Times New Roman"/>
          <w:sz w:val="24"/>
          <w:szCs w:val="24"/>
        </w:rPr>
        <w:t>bad</w:t>
      </w:r>
      <w:r w:rsidR="00E56419" w:rsidRPr="00020413">
        <w:rPr>
          <w:rFonts w:ascii="Times New Roman" w:hAnsi="Times New Roman"/>
          <w:sz w:val="24"/>
          <w:szCs w:val="24"/>
        </w:rPr>
        <w:t>’</w:t>
      </w:r>
      <w:r w:rsidR="00A370A8" w:rsidRPr="00020413">
        <w:rPr>
          <w:rFonts w:ascii="Times New Roman" w:hAnsi="Times New Roman"/>
          <w:sz w:val="24"/>
          <w:szCs w:val="24"/>
        </w:rPr>
        <w:t xml:space="preserve"> borrowers to access finance in the future or </w:t>
      </w:r>
      <w:r w:rsidR="00793A2D" w:rsidRPr="00020413">
        <w:rPr>
          <w:rFonts w:ascii="Times New Roman" w:hAnsi="Times New Roman"/>
          <w:sz w:val="24"/>
          <w:szCs w:val="24"/>
        </w:rPr>
        <w:t xml:space="preserve">if they </w:t>
      </w:r>
      <w:r w:rsidR="00A370A8" w:rsidRPr="00020413">
        <w:rPr>
          <w:rFonts w:ascii="Times New Roman" w:hAnsi="Times New Roman"/>
          <w:sz w:val="24"/>
          <w:szCs w:val="24"/>
        </w:rPr>
        <w:t>do</w:t>
      </w:r>
      <w:r w:rsidR="00793A2D" w:rsidRPr="00020413">
        <w:rPr>
          <w:rFonts w:ascii="Times New Roman" w:hAnsi="Times New Roman"/>
          <w:sz w:val="24"/>
          <w:szCs w:val="24"/>
        </w:rPr>
        <w:t>, it is</w:t>
      </w:r>
      <w:r w:rsidR="00A370A8" w:rsidRPr="00020413">
        <w:rPr>
          <w:rFonts w:ascii="Times New Roman" w:hAnsi="Times New Roman"/>
          <w:sz w:val="24"/>
          <w:szCs w:val="24"/>
        </w:rPr>
        <w:t xml:space="preserve"> at an excessively</w:t>
      </w:r>
      <w:r w:rsidR="00D95C11" w:rsidRPr="00020413">
        <w:rPr>
          <w:rFonts w:ascii="Times New Roman" w:hAnsi="Times New Roman"/>
          <w:sz w:val="24"/>
          <w:szCs w:val="24"/>
        </w:rPr>
        <w:t xml:space="preserve"> high</w:t>
      </w:r>
      <w:r w:rsidR="00A370A8" w:rsidRPr="00020413">
        <w:rPr>
          <w:rFonts w:ascii="Times New Roman" w:hAnsi="Times New Roman"/>
          <w:sz w:val="24"/>
          <w:szCs w:val="24"/>
        </w:rPr>
        <w:t>er cost</w:t>
      </w:r>
      <w:r w:rsidR="00905161" w:rsidRPr="00020413">
        <w:rPr>
          <w:rFonts w:ascii="Times New Roman" w:hAnsi="Times New Roman"/>
          <w:sz w:val="24"/>
          <w:szCs w:val="24"/>
        </w:rPr>
        <w:t xml:space="preserve">. </w:t>
      </w:r>
      <w:r w:rsidR="00A370A8" w:rsidRPr="00020413">
        <w:rPr>
          <w:rFonts w:ascii="Times New Roman" w:hAnsi="Times New Roman"/>
          <w:sz w:val="24"/>
          <w:szCs w:val="24"/>
        </w:rPr>
        <w:t>By this mechanism</w:t>
      </w:r>
      <w:r w:rsidR="002A654B" w:rsidRPr="00020413">
        <w:rPr>
          <w:rFonts w:ascii="Times New Roman" w:hAnsi="Times New Roman"/>
          <w:sz w:val="24"/>
          <w:szCs w:val="24"/>
        </w:rPr>
        <w:t xml:space="preserve">, credit information sharing </w:t>
      </w:r>
      <w:r w:rsidR="00AE0607" w:rsidRPr="00020413">
        <w:rPr>
          <w:rFonts w:ascii="Times New Roman" w:hAnsi="Times New Roman"/>
          <w:sz w:val="24"/>
          <w:szCs w:val="24"/>
        </w:rPr>
        <w:t>mitigates borrowers’ moral hazards by ins</w:t>
      </w:r>
      <w:r w:rsidR="005D2500" w:rsidRPr="00020413">
        <w:rPr>
          <w:rFonts w:ascii="Times New Roman" w:hAnsi="Times New Roman"/>
          <w:sz w:val="24"/>
          <w:szCs w:val="24"/>
        </w:rPr>
        <w:t xml:space="preserve">tilling borrower discipline, </w:t>
      </w:r>
      <w:r w:rsidR="00AE0607" w:rsidRPr="00020413">
        <w:rPr>
          <w:rFonts w:ascii="Times New Roman" w:hAnsi="Times New Roman"/>
          <w:sz w:val="24"/>
          <w:szCs w:val="24"/>
        </w:rPr>
        <w:t xml:space="preserve">improving repayment </w:t>
      </w:r>
      <w:r w:rsidR="002A654B" w:rsidRPr="00020413">
        <w:rPr>
          <w:rFonts w:ascii="Times New Roman" w:hAnsi="Times New Roman"/>
          <w:sz w:val="24"/>
          <w:szCs w:val="24"/>
        </w:rPr>
        <w:t>effort</w:t>
      </w:r>
      <w:r w:rsidR="00011418" w:rsidRPr="00020413">
        <w:rPr>
          <w:rFonts w:ascii="Times New Roman" w:hAnsi="Times New Roman"/>
          <w:sz w:val="24"/>
          <w:szCs w:val="24"/>
        </w:rPr>
        <w:t>s</w:t>
      </w:r>
      <w:r w:rsidR="00AE0607" w:rsidRPr="00020413">
        <w:rPr>
          <w:rFonts w:ascii="Times New Roman" w:hAnsi="Times New Roman"/>
          <w:sz w:val="24"/>
          <w:szCs w:val="24"/>
        </w:rPr>
        <w:t xml:space="preserve"> and </w:t>
      </w:r>
      <w:r w:rsidR="005D2500" w:rsidRPr="00020413">
        <w:rPr>
          <w:rFonts w:ascii="Times New Roman" w:hAnsi="Times New Roman"/>
          <w:sz w:val="24"/>
          <w:szCs w:val="24"/>
        </w:rPr>
        <w:t xml:space="preserve">consequently </w:t>
      </w:r>
      <w:r w:rsidR="00AE0607" w:rsidRPr="00020413">
        <w:rPr>
          <w:rFonts w:ascii="Times New Roman" w:hAnsi="Times New Roman"/>
          <w:sz w:val="24"/>
          <w:szCs w:val="24"/>
        </w:rPr>
        <w:t>minim</w:t>
      </w:r>
      <w:r w:rsidR="00646C25" w:rsidRPr="00020413">
        <w:rPr>
          <w:rFonts w:ascii="Times New Roman" w:hAnsi="Times New Roman"/>
          <w:sz w:val="24"/>
          <w:szCs w:val="24"/>
        </w:rPr>
        <w:t>isi</w:t>
      </w:r>
      <w:r w:rsidR="00AE0607" w:rsidRPr="00020413">
        <w:rPr>
          <w:rFonts w:ascii="Times New Roman" w:hAnsi="Times New Roman"/>
          <w:sz w:val="24"/>
          <w:szCs w:val="24"/>
        </w:rPr>
        <w:t>ng</w:t>
      </w:r>
      <w:r w:rsidR="002A654B" w:rsidRPr="00020413">
        <w:rPr>
          <w:rFonts w:ascii="Times New Roman" w:hAnsi="Times New Roman"/>
          <w:sz w:val="24"/>
          <w:szCs w:val="24"/>
        </w:rPr>
        <w:t xml:space="preserve"> default risk</w:t>
      </w:r>
      <w:r w:rsidR="00AE0607" w:rsidRPr="00020413">
        <w:rPr>
          <w:rFonts w:ascii="Times New Roman" w:hAnsi="Times New Roman"/>
          <w:sz w:val="24"/>
          <w:szCs w:val="24"/>
        </w:rPr>
        <w:t>s</w:t>
      </w:r>
      <w:r w:rsidR="002A654B" w:rsidRPr="00020413">
        <w:rPr>
          <w:rFonts w:ascii="Times New Roman" w:hAnsi="Times New Roman"/>
          <w:sz w:val="24"/>
          <w:szCs w:val="24"/>
        </w:rPr>
        <w:t xml:space="preserve"> (Klein, 1992;</w:t>
      </w:r>
      <w:r w:rsidR="00B26178" w:rsidRPr="00020413">
        <w:rPr>
          <w:rFonts w:ascii="Times New Roman" w:hAnsi="Times New Roman"/>
          <w:sz w:val="24"/>
          <w:szCs w:val="24"/>
        </w:rPr>
        <w:t xml:space="preserve"> </w:t>
      </w:r>
      <w:r w:rsidR="00B26178" w:rsidRPr="00020413">
        <w:rPr>
          <w:rFonts w:ascii="Times New Roman" w:hAnsi="Times New Roman"/>
          <w:sz w:val="24"/>
          <w:szCs w:val="20"/>
          <w:shd w:val="clear" w:color="auto" w:fill="FFFFFF"/>
        </w:rPr>
        <w:t>Vercammen, 1995;</w:t>
      </w:r>
      <w:r w:rsidR="002A654B" w:rsidRPr="00020413">
        <w:rPr>
          <w:rFonts w:ascii="Times New Roman" w:hAnsi="Times New Roman"/>
          <w:sz w:val="24"/>
          <w:szCs w:val="24"/>
        </w:rPr>
        <w:t xml:space="preserve"> Padilla </w:t>
      </w:r>
      <w:r w:rsidR="00675549" w:rsidRPr="00020413">
        <w:rPr>
          <w:rFonts w:ascii="Times New Roman" w:hAnsi="Times New Roman"/>
          <w:sz w:val="24"/>
          <w:szCs w:val="24"/>
        </w:rPr>
        <w:t xml:space="preserve">and </w:t>
      </w:r>
      <w:r w:rsidR="002A654B" w:rsidRPr="00020413">
        <w:rPr>
          <w:rFonts w:ascii="Times New Roman" w:hAnsi="Times New Roman"/>
          <w:sz w:val="24"/>
          <w:szCs w:val="20"/>
          <w:shd w:val="clear" w:color="auto" w:fill="FFFFFF"/>
        </w:rPr>
        <w:t>Pagano, 2000).</w:t>
      </w:r>
      <w:r w:rsidR="001C57DF" w:rsidRPr="00020413">
        <w:rPr>
          <w:rFonts w:ascii="Times New Roman" w:hAnsi="Times New Roman"/>
          <w:sz w:val="24"/>
          <w:szCs w:val="20"/>
          <w:shd w:val="clear" w:color="auto" w:fill="FFFFFF"/>
        </w:rPr>
        <w:t xml:space="preserve"> </w:t>
      </w:r>
      <w:r w:rsidR="00CE2C6F" w:rsidRPr="00020413">
        <w:rPr>
          <w:rFonts w:ascii="Times New Roman" w:hAnsi="Times New Roman"/>
          <w:sz w:val="24"/>
          <w:szCs w:val="24"/>
        </w:rPr>
        <w:t>Further</w:t>
      </w:r>
      <w:r w:rsidR="001C57DF" w:rsidRPr="00020413">
        <w:rPr>
          <w:rFonts w:ascii="Times New Roman" w:hAnsi="Times New Roman"/>
          <w:sz w:val="24"/>
          <w:szCs w:val="24"/>
        </w:rPr>
        <w:t>more</w:t>
      </w:r>
      <w:r w:rsidR="00CE2C6F" w:rsidRPr="00020413">
        <w:rPr>
          <w:rFonts w:ascii="Times New Roman" w:hAnsi="Times New Roman"/>
          <w:sz w:val="24"/>
          <w:szCs w:val="20"/>
          <w:shd w:val="clear" w:color="auto" w:fill="FFFFFF"/>
        </w:rPr>
        <w:t xml:space="preserve">, </w:t>
      </w:r>
      <w:r w:rsidR="00AC1188" w:rsidRPr="00020413">
        <w:rPr>
          <w:rFonts w:ascii="Times New Roman" w:hAnsi="Times New Roman"/>
          <w:sz w:val="24"/>
          <w:szCs w:val="20"/>
          <w:shd w:val="clear" w:color="auto" w:fill="FFFFFF"/>
        </w:rPr>
        <w:t xml:space="preserve">since </w:t>
      </w:r>
      <w:r w:rsidR="00CE2C6F" w:rsidRPr="00020413">
        <w:rPr>
          <w:rFonts w:ascii="Times New Roman" w:hAnsi="Times New Roman"/>
          <w:sz w:val="24"/>
          <w:szCs w:val="20"/>
          <w:shd w:val="clear" w:color="auto" w:fill="FFFFFF"/>
        </w:rPr>
        <w:t>the overall indebtedness of an individual borrower from all lending sources</w:t>
      </w:r>
      <w:r w:rsidR="000B6393" w:rsidRPr="00020413">
        <w:rPr>
          <w:rFonts w:ascii="Times New Roman" w:hAnsi="Times New Roman"/>
          <w:sz w:val="24"/>
          <w:szCs w:val="20"/>
          <w:shd w:val="clear" w:color="auto" w:fill="FFFFFF"/>
        </w:rPr>
        <w:t xml:space="preserve"> </w:t>
      </w:r>
      <w:r w:rsidR="00497FD3" w:rsidRPr="00020413">
        <w:rPr>
          <w:rFonts w:ascii="Times New Roman" w:hAnsi="Times New Roman"/>
          <w:sz w:val="24"/>
          <w:szCs w:val="20"/>
          <w:shd w:val="clear" w:color="auto" w:fill="FFFFFF"/>
        </w:rPr>
        <w:t>is</w:t>
      </w:r>
      <w:r w:rsidR="00CE2C6F" w:rsidRPr="00020413">
        <w:rPr>
          <w:rFonts w:ascii="Times New Roman" w:hAnsi="Times New Roman"/>
          <w:sz w:val="24"/>
          <w:szCs w:val="20"/>
          <w:shd w:val="clear" w:color="auto" w:fill="FFFFFF"/>
        </w:rPr>
        <w:t xml:space="preserve"> revea</w:t>
      </w:r>
      <w:r w:rsidR="00EB58C9" w:rsidRPr="00020413">
        <w:rPr>
          <w:rFonts w:ascii="Times New Roman" w:hAnsi="Times New Roman"/>
          <w:sz w:val="24"/>
          <w:szCs w:val="20"/>
          <w:shd w:val="clear" w:color="auto" w:fill="FFFFFF"/>
        </w:rPr>
        <w:t>led through information sharing,</w:t>
      </w:r>
      <w:r w:rsidR="00F23A78" w:rsidRPr="00020413">
        <w:rPr>
          <w:rFonts w:ascii="Times New Roman" w:hAnsi="Times New Roman"/>
          <w:sz w:val="24"/>
          <w:szCs w:val="20"/>
          <w:shd w:val="clear" w:color="auto" w:fill="FFFFFF"/>
        </w:rPr>
        <w:t xml:space="preserve"> </w:t>
      </w:r>
      <w:r w:rsidR="00CE2C6F" w:rsidRPr="00020413">
        <w:rPr>
          <w:rFonts w:ascii="Times New Roman" w:hAnsi="Times New Roman"/>
          <w:sz w:val="24"/>
          <w:szCs w:val="20"/>
          <w:shd w:val="clear" w:color="auto" w:fill="FFFFFF"/>
        </w:rPr>
        <w:t>potential over-borrowing from multiple lenders</w:t>
      </w:r>
      <w:r w:rsidR="00EB58C9" w:rsidRPr="00020413">
        <w:rPr>
          <w:rFonts w:ascii="Times New Roman" w:hAnsi="Times New Roman"/>
          <w:sz w:val="24"/>
          <w:szCs w:val="20"/>
          <w:shd w:val="clear" w:color="auto" w:fill="FFFFFF"/>
        </w:rPr>
        <w:t xml:space="preserve"> </w:t>
      </w:r>
      <w:r w:rsidR="00AC1188" w:rsidRPr="00020413">
        <w:rPr>
          <w:rFonts w:ascii="Times New Roman" w:hAnsi="Times New Roman"/>
          <w:sz w:val="24"/>
          <w:szCs w:val="20"/>
          <w:shd w:val="clear" w:color="auto" w:fill="FFFFFF"/>
        </w:rPr>
        <w:t xml:space="preserve">is mitigated </w:t>
      </w:r>
      <w:r w:rsidR="00EB58C9" w:rsidRPr="00020413">
        <w:rPr>
          <w:rFonts w:ascii="Times New Roman" w:hAnsi="Times New Roman"/>
          <w:sz w:val="24"/>
          <w:szCs w:val="20"/>
          <w:shd w:val="clear" w:color="auto" w:fill="FFFFFF"/>
        </w:rPr>
        <w:t>(Bennardo et al.</w:t>
      </w:r>
      <w:r w:rsidR="00C354C5" w:rsidRPr="00020413">
        <w:rPr>
          <w:rFonts w:ascii="Times New Roman" w:hAnsi="Times New Roman"/>
          <w:sz w:val="24"/>
          <w:szCs w:val="20"/>
          <w:shd w:val="clear" w:color="auto" w:fill="FFFFFF"/>
        </w:rPr>
        <w:t>,</w:t>
      </w:r>
      <w:r w:rsidR="00EB58C9" w:rsidRPr="00020413">
        <w:rPr>
          <w:rFonts w:ascii="Times New Roman" w:hAnsi="Times New Roman"/>
          <w:sz w:val="24"/>
          <w:szCs w:val="20"/>
          <w:shd w:val="clear" w:color="auto" w:fill="FFFFFF"/>
        </w:rPr>
        <w:t xml:space="preserve"> 2015)</w:t>
      </w:r>
      <w:r w:rsidR="00A24DDF" w:rsidRPr="00020413">
        <w:rPr>
          <w:rFonts w:ascii="Times New Roman" w:hAnsi="Times New Roman"/>
          <w:sz w:val="24"/>
          <w:szCs w:val="20"/>
          <w:shd w:val="clear" w:color="auto" w:fill="FFFFFF"/>
        </w:rPr>
        <w:t>,</w:t>
      </w:r>
      <w:r w:rsidR="00CE2C6F" w:rsidRPr="00020413">
        <w:rPr>
          <w:rFonts w:ascii="Times New Roman" w:hAnsi="Times New Roman"/>
          <w:sz w:val="24"/>
          <w:szCs w:val="20"/>
          <w:shd w:val="clear" w:color="auto" w:fill="FFFFFF"/>
        </w:rPr>
        <w:t xml:space="preserve"> </w:t>
      </w:r>
      <w:r w:rsidR="009852A7" w:rsidRPr="00020413">
        <w:rPr>
          <w:rFonts w:ascii="Times New Roman" w:hAnsi="Times New Roman"/>
          <w:sz w:val="24"/>
          <w:szCs w:val="20"/>
          <w:shd w:val="clear" w:color="auto" w:fill="FFFFFF"/>
        </w:rPr>
        <w:t xml:space="preserve">which </w:t>
      </w:r>
      <w:r w:rsidR="00CE2C6F" w:rsidRPr="00020413">
        <w:rPr>
          <w:rFonts w:ascii="Times New Roman" w:hAnsi="Times New Roman"/>
          <w:sz w:val="24"/>
          <w:szCs w:val="20"/>
          <w:shd w:val="clear" w:color="auto" w:fill="FFFFFF"/>
        </w:rPr>
        <w:t xml:space="preserve">subsequently reduces </w:t>
      </w:r>
      <w:r w:rsidR="00461D39" w:rsidRPr="00020413">
        <w:rPr>
          <w:rFonts w:ascii="Times New Roman" w:hAnsi="Times New Roman"/>
          <w:sz w:val="24"/>
          <w:szCs w:val="20"/>
          <w:shd w:val="clear" w:color="auto" w:fill="FFFFFF"/>
        </w:rPr>
        <w:t xml:space="preserve">individual borrowers’ debt burden as well as </w:t>
      </w:r>
      <w:r w:rsidR="00CE2C6F" w:rsidRPr="00020413">
        <w:rPr>
          <w:rFonts w:ascii="Times New Roman" w:hAnsi="Times New Roman"/>
          <w:sz w:val="24"/>
          <w:szCs w:val="20"/>
          <w:shd w:val="clear" w:color="auto" w:fill="FFFFFF"/>
        </w:rPr>
        <w:t>loan default rates.</w:t>
      </w:r>
      <w:r w:rsidR="00647243" w:rsidRPr="00020413">
        <w:rPr>
          <w:rFonts w:ascii="Times New Roman" w:hAnsi="Times New Roman"/>
          <w:sz w:val="24"/>
          <w:szCs w:val="24"/>
        </w:rPr>
        <w:t xml:space="preserve"> </w:t>
      </w:r>
      <w:r w:rsidR="00AC1188" w:rsidRPr="00020413">
        <w:rPr>
          <w:rFonts w:ascii="Times New Roman" w:hAnsi="Times New Roman"/>
          <w:sz w:val="24"/>
          <w:szCs w:val="24"/>
        </w:rPr>
        <w:t xml:space="preserve">Collectively, both the adverse selection and moral hazard theoretical </w:t>
      </w:r>
      <w:r w:rsidR="00E65ABD" w:rsidRPr="00020413">
        <w:rPr>
          <w:rFonts w:ascii="Times New Roman" w:hAnsi="Times New Roman"/>
          <w:sz w:val="24"/>
          <w:szCs w:val="24"/>
        </w:rPr>
        <w:t>perspective</w:t>
      </w:r>
      <w:r w:rsidR="00AC1188" w:rsidRPr="00020413">
        <w:rPr>
          <w:rFonts w:ascii="Times New Roman" w:hAnsi="Times New Roman"/>
          <w:sz w:val="24"/>
          <w:szCs w:val="24"/>
        </w:rPr>
        <w:t xml:space="preserve">s </w:t>
      </w:r>
      <w:r w:rsidR="0052493A" w:rsidRPr="00020413">
        <w:rPr>
          <w:rFonts w:ascii="Times New Roman" w:hAnsi="Times New Roman"/>
          <w:sz w:val="24"/>
          <w:szCs w:val="24"/>
        </w:rPr>
        <w:t>predict</w:t>
      </w:r>
      <w:r w:rsidR="00AC1188" w:rsidRPr="00020413">
        <w:rPr>
          <w:rFonts w:ascii="Times New Roman" w:hAnsi="Times New Roman"/>
          <w:sz w:val="24"/>
          <w:szCs w:val="24"/>
        </w:rPr>
        <w:t xml:space="preserve"> that c</w:t>
      </w:r>
      <w:r w:rsidR="00CE6DDA" w:rsidRPr="00020413">
        <w:rPr>
          <w:rFonts w:ascii="Times New Roman" w:hAnsi="Times New Roman"/>
          <w:sz w:val="24"/>
          <w:szCs w:val="24"/>
        </w:rPr>
        <w:t>redit information sharing should lead to</w:t>
      </w:r>
      <w:r w:rsidR="00E52602" w:rsidRPr="00020413">
        <w:rPr>
          <w:rFonts w:ascii="Times New Roman" w:hAnsi="Times New Roman"/>
          <w:sz w:val="24"/>
          <w:szCs w:val="24"/>
        </w:rPr>
        <w:t xml:space="preserve"> </w:t>
      </w:r>
      <w:r w:rsidR="00AC1188" w:rsidRPr="00020413">
        <w:rPr>
          <w:rFonts w:ascii="Times New Roman" w:hAnsi="Times New Roman"/>
          <w:sz w:val="24"/>
          <w:szCs w:val="24"/>
        </w:rPr>
        <w:t>enhanced bank lending</w:t>
      </w:r>
      <w:r w:rsidR="00E65ABD" w:rsidRPr="00020413">
        <w:rPr>
          <w:rFonts w:ascii="Times New Roman" w:hAnsi="Times New Roman"/>
          <w:sz w:val="24"/>
          <w:szCs w:val="24"/>
        </w:rPr>
        <w:t xml:space="preserve"> and a reduced loan default rate</w:t>
      </w:r>
      <w:r w:rsidR="00CE6DDA" w:rsidRPr="00020413">
        <w:rPr>
          <w:rFonts w:ascii="Times New Roman" w:hAnsi="Times New Roman"/>
          <w:sz w:val="24"/>
          <w:szCs w:val="24"/>
        </w:rPr>
        <w:t>.</w:t>
      </w:r>
    </w:p>
    <w:p w:rsidR="00672810" w:rsidRPr="00020413" w:rsidRDefault="00FC45F2" w:rsidP="00D55D24">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rPr>
        <w:t xml:space="preserve">Empirically, </w:t>
      </w:r>
      <w:r w:rsidR="00037D74" w:rsidRPr="00020413">
        <w:rPr>
          <w:rFonts w:ascii="Times New Roman" w:hAnsi="Times New Roman"/>
          <w:sz w:val="24"/>
          <w:szCs w:val="24"/>
        </w:rPr>
        <w:t>several</w:t>
      </w:r>
      <w:r w:rsidR="003E0347" w:rsidRPr="00020413">
        <w:rPr>
          <w:rFonts w:ascii="Times New Roman" w:hAnsi="Times New Roman"/>
          <w:sz w:val="24"/>
          <w:szCs w:val="24"/>
        </w:rPr>
        <w:t xml:space="preserve"> studies </w:t>
      </w:r>
      <w:r w:rsidR="00D25842" w:rsidRPr="00020413">
        <w:rPr>
          <w:rFonts w:ascii="Times New Roman" w:hAnsi="Times New Roman"/>
          <w:sz w:val="24"/>
          <w:szCs w:val="24"/>
        </w:rPr>
        <w:t xml:space="preserve">have </w:t>
      </w:r>
      <w:r w:rsidR="003E0347" w:rsidRPr="00020413">
        <w:rPr>
          <w:rFonts w:ascii="Times New Roman" w:hAnsi="Times New Roman"/>
          <w:sz w:val="24"/>
          <w:szCs w:val="24"/>
        </w:rPr>
        <w:t>investigate</w:t>
      </w:r>
      <w:r w:rsidR="00D25842" w:rsidRPr="00020413">
        <w:rPr>
          <w:rFonts w:ascii="Times New Roman" w:hAnsi="Times New Roman"/>
          <w:sz w:val="24"/>
          <w:szCs w:val="24"/>
        </w:rPr>
        <w:t>d</w:t>
      </w:r>
      <w:r w:rsidR="003E0347" w:rsidRPr="00020413">
        <w:rPr>
          <w:rFonts w:ascii="Times New Roman" w:hAnsi="Times New Roman"/>
          <w:sz w:val="24"/>
          <w:szCs w:val="24"/>
        </w:rPr>
        <w:t xml:space="preserve"> the link between credit </w:t>
      </w:r>
      <w:r w:rsidR="007553B9" w:rsidRPr="00020413">
        <w:rPr>
          <w:rFonts w:ascii="Times New Roman" w:hAnsi="Times New Roman"/>
          <w:sz w:val="24"/>
          <w:szCs w:val="24"/>
        </w:rPr>
        <w:t xml:space="preserve">information sharing and </w:t>
      </w:r>
      <w:r w:rsidR="003E0347" w:rsidRPr="00020413">
        <w:rPr>
          <w:rFonts w:ascii="Times New Roman" w:hAnsi="Times New Roman"/>
          <w:sz w:val="24"/>
          <w:szCs w:val="24"/>
        </w:rPr>
        <w:t>bank</w:t>
      </w:r>
      <w:r w:rsidR="007553B9" w:rsidRPr="00020413">
        <w:rPr>
          <w:rFonts w:ascii="Times New Roman" w:hAnsi="Times New Roman"/>
          <w:sz w:val="24"/>
          <w:szCs w:val="24"/>
        </w:rPr>
        <w:t>ing</w:t>
      </w:r>
      <w:r w:rsidR="003E0347" w:rsidRPr="00020413">
        <w:rPr>
          <w:rFonts w:ascii="Times New Roman" w:hAnsi="Times New Roman"/>
          <w:sz w:val="24"/>
          <w:szCs w:val="24"/>
        </w:rPr>
        <w:t xml:space="preserve"> outcomes </w:t>
      </w:r>
      <w:r w:rsidR="007553B9" w:rsidRPr="00020413">
        <w:rPr>
          <w:rFonts w:ascii="Times New Roman" w:hAnsi="Times New Roman"/>
          <w:sz w:val="24"/>
          <w:szCs w:val="24"/>
        </w:rPr>
        <w:t>such as lending</w:t>
      </w:r>
      <w:r w:rsidR="003E0347" w:rsidRPr="00020413">
        <w:rPr>
          <w:rFonts w:ascii="Times New Roman" w:hAnsi="Times New Roman"/>
          <w:sz w:val="24"/>
          <w:szCs w:val="24"/>
        </w:rPr>
        <w:t xml:space="preserve"> </w:t>
      </w:r>
      <w:r w:rsidR="00672810" w:rsidRPr="00020413">
        <w:rPr>
          <w:rFonts w:ascii="Times New Roman" w:hAnsi="Times New Roman"/>
          <w:sz w:val="24"/>
          <w:szCs w:val="24"/>
        </w:rPr>
        <w:t xml:space="preserve">and </w:t>
      </w:r>
      <w:r w:rsidR="007553B9" w:rsidRPr="00020413">
        <w:rPr>
          <w:rFonts w:ascii="Times New Roman" w:hAnsi="Times New Roman"/>
          <w:sz w:val="24"/>
          <w:szCs w:val="24"/>
        </w:rPr>
        <w:t xml:space="preserve">loan </w:t>
      </w:r>
      <w:r w:rsidR="003E0347" w:rsidRPr="00020413">
        <w:rPr>
          <w:rFonts w:ascii="Times New Roman" w:hAnsi="Times New Roman"/>
          <w:sz w:val="24"/>
          <w:szCs w:val="24"/>
        </w:rPr>
        <w:t>default rate</w:t>
      </w:r>
      <w:r w:rsidR="007553B9" w:rsidRPr="00020413">
        <w:rPr>
          <w:rFonts w:ascii="Times New Roman" w:hAnsi="Times New Roman"/>
          <w:sz w:val="24"/>
          <w:szCs w:val="24"/>
        </w:rPr>
        <w:t>s</w:t>
      </w:r>
      <w:r w:rsidR="00DC3B66" w:rsidRPr="00020413">
        <w:rPr>
          <w:rFonts w:ascii="Times New Roman" w:hAnsi="Times New Roman"/>
          <w:sz w:val="24"/>
          <w:szCs w:val="24"/>
        </w:rPr>
        <w:t xml:space="preserve">. </w:t>
      </w:r>
      <w:r w:rsidR="007553B9" w:rsidRPr="00020413">
        <w:rPr>
          <w:rFonts w:ascii="Times New Roman" w:hAnsi="Times New Roman"/>
          <w:sz w:val="24"/>
          <w:szCs w:val="24"/>
        </w:rPr>
        <w:t>For example, i</w:t>
      </w:r>
      <w:r w:rsidR="000C1BF9" w:rsidRPr="00020413">
        <w:rPr>
          <w:rFonts w:ascii="Times New Roman" w:hAnsi="Times New Roman"/>
          <w:sz w:val="24"/>
          <w:szCs w:val="24"/>
        </w:rPr>
        <w:t xml:space="preserve">n a cross-sectional study of 43 countries, Jappelli and Pagano (2002) </w:t>
      </w:r>
      <w:r w:rsidR="0030014C" w:rsidRPr="00020413">
        <w:rPr>
          <w:rFonts w:ascii="Times New Roman" w:hAnsi="Times New Roman"/>
          <w:sz w:val="24"/>
          <w:szCs w:val="24"/>
        </w:rPr>
        <w:t>find</w:t>
      </w:r>
      <w:r w:rsidR="000C1BF9" w:rsidRPr="00020413">
        <w:rPr>
          <w:rFonts w:ascii="Times New Roman" w:hAnsi="Times New Roman"/>
          <w:sz w:val="24"/>
          <w:szCs w:val="24"/>
        </w:rPr>
        <w:t xml:space="preserve"> that credit information sharing</w:t>
      </w:r>
      <w:r w:rsidR="007553B9" w:rsidRPr="00020413">
        <w:rPr>
          <w:rFonts w:ascii="Times New Roman" w:hAnsi="Times New Roman"/>
          <w:sz w:val="24"/>
          <w:szCs w:val="24"/>
        </w:rPr>
        <w:t xml:space="preserve"> among lenders</w:t>
      </w:r>
      <w:r w:rsidR="000C1BF9" w:rsidRPr="00020413">
        <w:rPr>
          <w:rFonts w:ascii="Times New Roman" w:hAnsi="Times New Roman"/>
          <w:sz w:val="24"/>
          <w:szCs w:val="24"/>
        </w:rPr>
        <w:t xml:space="preserve"> increase</w:t>
      </w:r>
      <w:r w:rsidR="004A1AFD" w:rsidRPr="00020413">
        <w:rPr>
          <w:rFonts w:ascii="Times New Roman" w:hAnsi="Times New Roman"/>
          <w:sz w:val="24"/>
          <w:szCs w:val="24"/>
        </w:rPr>
        <w:t>s</w:t>
      </w:r>
      <w:r w:rsidR="000C1BF9" w:rsidRPr="00020413">
        <w:rPr>
          <w:rFonts w:ascii="Times New Roman" w:hAnsi="Times New Roman"/>
          <w:sz w:val="24"/>
          <w:szCs w:val="24"/>
        </w:rPr>
        <w:t xml:space="preserve"> bank lending to the private sector</w:t>
      </w:r>
      <w:r w:rsidR="0030014C" w:rsidRPr="00020413">
        <w:rPr>
          <w:rFonts w:ascii="Times New Roman" w:hAnsi="Times New Roman"/>
          <w:sz w:val="24"/>
          <w:szCs w:val="24"/>
        </w:rPr>
        <w:t xml:space="preserve">, measured as </w:t>
      </w:r>
      <w:r w:rsidR="007553B9" w:rsidRPr="00020413">
        <w:rPr>
          <w:rFonts w:ascii="Times New Roman" w:hAnsi="Times New Roman"/>
          <w:sz w:val="24"/>
          <w:szCs w:val="24"/>
        </w:rPr>
        <w:t xml:space="preserve">the ratio of </w:t>
      </w:r>
      <w:r w:rsidR="0030014C" w:rsidRPr="00020413">
        <w:rPr>
          <w:rFonts w:ascii="Times New Roman" w:hAnsi="Times New Roman"/>
          <w:sz w:val="24"/>
          <w:szCs w:val="24"/>
        </w:rPr>
        <w:t>private credit to gross domestic</w:t>
      </w:r>
      <w:r w:rsidR="0083538A" w:rsidRPr="00020413">
        <w:rPr>
          <w:rFonts w:ascii="Times New Roman" w:hAnsi="Times New Roman"/>
          <w:sz w:val="24"/>
          <w:szCs w:val="24"/>
        </w:rPr>
        <w:t xml:space="preserve"> product</w:t>
      </w:r>
      <w:r w:rsidR="0030014C" w:rsidRPr="00020413">
        <w:rPr>
          <w:rFonts w:ascii="Times New Roman" w:hAnsi="Times New Roman"/>
          <w:sz w:val="24"/>
          <w:szCs w:val="24"/>
        </w:rPr>
        <w:t xml:space="preserve">. </w:t>
      </w:r>
      <w:r w:rsidR="007553B9" w:rsidRPr="00020413">
        <w:rPr>
          <w:rFonts w:ascii="Times New Roman" w:hAnsi="Times New Roman"/>
          <w:sz w:val="24"/>
          <w:szCs w:val="24"/>
        </w:rPr>
        <w:t>They also find information sharing to significantly reduce</w:t>
      </w:r>
      <w:r w:rsidR="005D577B" w:rsidRPr="00020413">
        <w:rPr>
          <w:rFonts w:ascii="Times New Roman" w:hAnsi="Times New Roman"/>
          <w:sz w:val="24"/>
          <w:szCs w:val="24"/>
        </w:rPr>
        <w:t xml:space="preserve"> country</w:t>
      </w:r>
      <w:r w:rsidR="00995B4E" w:rsidRPr="00020413">
        <w:rPr>
          <w:rFonts w:ascii="Times New Roman" w:hAnsi="Times New Roman"/>
          <w:sz w:val="24"/>
          <w:szCs w:val="24"/>
        </w:rPr>
        <w:t>-</w:t>
      </w:r>
      <w:r w:rsidR="005D577B" w:rsidRPr="00020413">
        <w:rPr>
          <w:rFonts w:ascii="Times New Roman" w:hAnsi="Times New Roman"/>
          <w:sz w:val="24"/>
          <w:szCs w:val="24"/>
        </w:rPr>
        <w:t xml:space="preserve">level (aggregate) </w:t>
      </w:r>
      <w:r w:rsidR="007553B9" w:rsidRPr="00020413">
        <w:rPr>
          <w:rFonts w:ascii="Times New Roman" w:hAnsi="Times New Roman"/>
          <w:sz w:val="24"/>
          <w:szCs w:val="24"/>
        </w:rPr>
        <w:t>borrower default.</w:t>
      </w:r>
      <w:r w:rsidR="007553B9" w:rsidRPr="00020413">
        <w:rPr>
          <w:rFonts w:ascii="Times New Roman" w:hAnsi="Times New Roman"/>
          <w:sz w:val="24"/>
          <w:szCs w:val="24"/>
          <w:lang w:eastAsia="en-GB"/>
        </w:rPr>
        <w:t xml:space="preserve"> </w:t>
      </w:r>
      <w:r w:rsidR="0048637D" w:rsidRPr="00020413">
        <w:rPr>
          <w:rFonts w:ascii="Times New Roman" w:hAnsi="Times New Roman"/>
          <w:sz w:val="24"/>
          <w:szCs w:val="24"/>
          <w:lang w:eastAsia="en-GB"/>
        </w:rPr>
        <w:t xml:space="preserve">In a </w:t>
      </w:r>
      <w:r w:rsidR="0030014C" w:rsidRPr="00020413">
        <w:rPr>
          <w:rFonts w:ascii="Times New Roman" w:hAnsi="Times New Roman"/>
          <w:sz w:val="24"/>
          <w:szCs w:val="24"/>
        </w:rPr>
        <w:t>bank</w:t>
      </w:r>
      <w:r w:rsidR="00F23A78" w:rsidRPr="00020413">
        <w:rPr>
          <w:rFonts w:ascii="Times New Roman" w:hAnsi="Times New Roman"/>
          <w:sz w:val="24"/>
          <w:szCs w:val="24"/>
        </w:rPr>
        <w:t>-</w:t>
      </w:r>
      <w:r w:rsidR="0030014C" w:rsidRPr="00020413">
        <w:rPr>
          <w:rFonts w:ascii="Times New Roman" w:hAnsi="Times New Roman"/>
          <w:sz w:val="24"/>
          <w:szCs w:val="24"/>
        </w:rPr>
        <w:t>level data</w:t>
      </w:r>
      <w:r w:rsidR="0048637D" w:rsidRPr="00020413">
        <w:rPr>
          <w:rFonts w:ascii="Times New Roman" w:hAnsi="Times New Roman"/>
          <w:sz w:val="24"/>
          <w:szCs w:val="24"/>
        </w:rPr>
        <w:t>set from African economies and focusing exclusively on bank lending</w:t>
      </w:r>
      <w:r w:rsidR="0030014C" w:rsidRPr="00020413">
        <w:rPr>
          <w:rFonts w:ascii="Times New Roman" w:hAnsi="Times New Roman"/>
          <w:sz w:val="24"/>
          <w:szCs w:val="24"/>
        </w:rPr>
        <w:t xml:space="preserve">, Fosu (2014) </w:t>
      </w:r>
      <w:r w:rsidR="00F23A78" w:rsidRPr="00020413">
        <w:rPr>
          <w:rFonts w:ascii="Times New Roman" w:hAnsi="Times New Roman"/>
          <w:sz w:val="24"/>
          <w:szCs w:val="24"/>
        </w:rPr>
        <w:t xml:space="preserve">reports </w:t>
      </w:r>
      <w:r w:rsidR="0030014C" w:rsidRPr="00020413">
        <w:rPr>
          <w:rFonts w:ascii="Times New Roman" w:hAnsi="Times New Roman"/>
          <w:sz w:val="24"/>
          <w:szCs w:val="24"/>
        </w:rPr>
        <w:t xml:space="preserve">that </w:t>
      </w:r>
      <w:r w:rsidR="0048637D" w:rsidRPr="00020413">
        <w:rPr>
          <w:rFonts w:ascii="Times New Roman" w:hAnsi="Times New Roman"/>
          <w:sz w:val="24"/>
          <w:szCs w:val="24"/>
        </w:rPr>
        <w:t xml:space="preserve">credit </w:t>
      </w:r>
      <w:r w:rsidR="0030014C" w:rsidRPr="00020413">
        <w:rPr>
          <w:rFonts w:ascii="Times New Roman" w:hAnsi="Times New Roman"/>
          <w:sz w:val="24"/>
          <w:szCs w:val="24"/>
        </w:rPr>
        <w:t>inf</w:t>
      </w:r>
      <w:r w:rsidR="006F4DBD" w:rsidRPr="00020413">
        <w:rPr>
          <w:rFonts w:ascii="Times New Roman" w:hAnsi="Times New Roman"/>
          <w:sz w:val="24"/>
          <w:szCs w:val="24"/>
        </w:rPr>
        <w:t xml:space="preserve">ormation sharing increases </w:t>
      </w:r>
      <w:r w:rsidR="0048637D" w:rsidRPr="00020413">
        <w:rPr>
          <w:rFonts w:ascii="Times New Roman" w:hAnsi="Times New Roman"/>
          <w:sz w:val="24"/>
          <w:szCs w:val="24"/>
        </w:rPr>
        <w:t xml:space="preserve">bank </w:t>
      </w:r>
      <w:r w:rsidR="0030014C" w:rsidRPr="00020413">
        <w:rPr>
          <w:rFonts w:ascii="Times New Roman" w:hAnsi="Times New Roman"/>
          <w:sz w:val="24"/>
          <w:szCs w:val="24"/>
        </w:rPr>
        <w:t xml:space="preserve">lending. </w:t>
      </w:r>
      <w:r w:rsidR="0048637D" w:rsidRPr="00020413">
        <w:rPr>
          <w:rFonts w:ascii="Times New Roman" w:hAnsi="Times New Roman"/>
          <w:sz w:val="24"/>
          <w:szCs w:val="24"/>
        </w:rPr>
        <w:t xml:space="preserve">Similarly, </w:t>
      </w:r>
      <w:r w:rsidR="0030014C" w:rsidRPr="00020413">
        <w:rPr>
          <w:rFonts w:ascii="Times New Roman" w:hAnsi="Times New Roman"/>
          <w:sz w:val="24"/>
          <w:szCs w:val="24"/>
          <w:lang w:eastAsia="en-GB"/>
        </w:rPr>
        <w:t xml:space="preserve">Brown et al. </w:t>
      </w:r>
      <w:r w:rsidR="0075022A" w:rsidRPr="00020413">
        <w:rPr>
          <w:rFonts w:ascii="Times New Roman" w:hAnsi="Times New Roman"/>
          <w:sz w:val="24"/>
          <w:szCs w:val="24"/>
          <w:lang w:eastAsia="en-GB"/>
        </w:rPr>
        <w:t>(</w:t>
      </w:r>
      <w:r w:rsidR="0030014C" w:rsidRPr="00020413">
        <w:rPr>
          <w:rFonts w:ascii="Times New Roman" w:hAnsi="Times New Roman"/>
          <w:sz w:val="24"/>
          <w:szCs w:val="24"/>
          <w:lang w:eastAsia="en-GB"/>
        </w:rPr>
        <w:t>2009)</w:t>
      </w:r>
      <w:r w:rsidR="0030014C" w:rsidRPr="00020413">
        <w:rPr>
          <w:rFonts w:ascii="Times New Roman" w:hAnsi="Times New Roman"/>
          <w:sz w:val="24"/>
          <w:szCs w:val="24"/>
        </w:rPr>
        <w:t xml:space="preserve"> </w:t>
      </w:r>
      <w:r w:rsidR="0075022A" w:rsidRPr="00020413">
        <w:rPr>
          <w:rFonts w:ascii="Times New Roman" w:hAnsi="Times New Roman"/>
          <w:sz w:val="24"/>
          <w:szCs w:val="24"/>
        </w:rPr>
        <w:t xml:space="preserve">and Love </w:t>
      </w:r>
      <w:r w:rsidR="00F23A78" w:rsidRPr="00020413">
        <w:rPr>
          <w:rFonts w:ascii="Times New Roman" w:hAnsi="Times New Roman"/>
          <w:sz w:val="24"/>
          <w:szCs w:val="24"/>
        </w:rPr>
        <w:t>and</w:t>
      </w:r>
      <w:r w:rsidR="0075022A" w:rsidRPr="00020413">
        <w:rPr>
          <w:rFonts w:ascii="Times New Roman" w:hAnsi="Times New Roman"/>
          <w:sz w:val="24"/>
          <w:szCs w:val="24"/>
        </w:rPr>
        <w:t xml:space="preserve"> </w:t>
      </w:r>
      <w:proofErr w:type="spellStart"/>
      <w:r w:rsidR="0075022A" w:rsidRPr="00020413">
        <w:rPr>
          <w:rFonts w:ascii="Times New Roman" w:hAnsi="Times New Roman"/>
          <w:sz w:val="24"/>
          <w:szCs w:val="24"/>
        </w:rPr>
        <w:t>Mylenko</w:t>
      </w:r>
      <w:proofErr w:type="spellEnd"/>
      <w:r w:rsidR="0075022A" w:rsidRPr="00020413">
        <w:rPr>
          <w:rFonts w:ascii="Times New Roman" w:hAnsi="Times New Roman"/>
          <w:sz w:val="24"/>
          <w:szCs w:val="24"/>
        </w:rPr>
        <w:t xml:space="preserve"> (2003) </w:t>
      </w:r>
      <w:r w:rsidR="0052493A" w:rsidRPr="00020413">
        <w:rPr>
          <w:rFonts w:ascii="Times New Roman" w:hAnsi="Times New Roman"/>
          <w:sz w:val="24"/>
          <w:szCs w:val="24"/>
        </w:rPr>
        <w:t>report</w:t>
      </w:r>
      <w:r w:rsidR="0075022A" w:rsidRPr="00020413">
        <w:rPr>
          <w:rFonts w:ascii="Times New Roman" w:hAnsi="Times New Roman"/>
          <w:sz w:val="24"/>
          <w:szCs w:val="24"/>
        </w:rPr>
        <w:t xml:space="preserve"> that information sharing reduces credit constraints </w:t>
      </w:r>
      <w:r w:rsidR="00D95C11" w:rsidRPr="00020413">
        <w:rPr>
          <w:rFonts w:ascii="Times New Roman" w:hAnsi="Times New Roman"/>
          <w:sz w:val="24"/>
          <w:szCs w:val="24"/>
        </w:rPr>
        <w:t xml:space="preserve">on </w:t>
      </w:r>
      <w:r w:rsidR="0075022A" w:rsidRPr="00020413">
        <w:rPr>
          <w:rFonts w:ascii="Times New Roman" w:hAnsi="Times New Roman"/>
          <w:sz w:val="24"/>
          <w:szCs w:val="24"/>
        </w:rPr>
        <w:t>firm</w:t>
      </w:r>
      <w:r w:rsidR="00F23A78" w:rsidRPr="00020413">
        <w:rPr>
          <w:rFonts w:ascii="Times New Roman" w:hAnsi="Times New Roman"/>
          <w:sz w:val="24"/>
          <w:szCs w:val="24"/>
        </w:rPr>
        <w:t>s</w:t>
      </w:r>
      <w:r w:rsidR="0075022A" w:rsidRPr="00020413">
        <w:rPr>
          <w:rFonts w:ascii="Times New Roman" w:hAnsi="Times New Roman"/>
          <w:sz w:val="24"/>
          <w:szCs w:val="24"/>
        </w:rPr>
        <w:t>.</w:t>
      </w:r>
      <w:r w:rsidR="0083538A" w:rsidRPr="00020413">
        <w:rPr>
          <w:rFonts w:ascii="Times New Roman" w:hAnsi="Times New Roman"/>
          <w:sz w:val="24"/>
          <w:szCs w:val="24"/>
        </w:rPr>
        <w:t xml:space="preserve"> </w:t>
      </w:r>
      <w:r w:rsidR="00997440" w:rsidRPr="00020413">
        <w:rPr>
          <w:rFonts w:ascii="Times New Roman" w:hAnsi="Times New Roman"/>
          <w:sz w:val="24"/>
          <w:szCs w:val="24"/>
        </w:rPr>
        <w:t xml:space="preserve">Focusing more directly on the information sharing effect on borrowers, </w:t>
      </w:r>
      <w:proofErr w:type="spellStart"/>
      <w:r w:rsidR="00954CE6" w:rsidRPr="00020413">
        <w:rPr>
          <w:rFonts w:ascii="Times New Roman" w:hAnsi="Times New Roman"/>
          <w:sz w:val="24"/>
          <w:szCs w:val="24"/>
          <w:shd w:val="clear" w:color="auto" w:fill="FFFFFF"/>
        </w:rPr>
        <w:t>Gietzen</w:t>
      </w:r>
      <w:proofErr w:type="spellEnd"/>
      <w:r w:rsidR="00954CE6" w:rsidRPr="00020413">
        <w:rPr>
          <w:rFonts w:ascii="Times New Roman" w:hAnsi="Times New Roman"/>
          <w:sz w:val="24"/>
          <w:szCs w:val="24"/>
          <w:shd w:val="clear" w:color="auto" w:fill="FFFFFF"/>
        </w:rPr>
        <w:t xml:space="preserve"> (2017) provides evidence to suggest that information sharing </w:t>
      </w:r>
      <w:r w:rsidR="00927EED" w:rsidRPr="00020413">
        <w:rPr>
          <w:rFonts w:ascii="Times New Roman" w:hAnsi="Times New Roman"/>
          <w:sz w:val="24"/>
          <w:szCs w:val="24"/>
          <w:shd w:val="clear" w:color="auto" w:fill="FFFFFF"/>
        </w:rPr>
        <w:t xml:space="preserve">in African banking markets </w:t>
      </w:r>
      <w:r w:rsidR="00954CE6" w:rsidRPr="00020413">
        <w:rPr>
          <w:rFonts w:ascii="Times New Roman" w:hAnsi="Times New Roman"/>
          <w:sz w:val="24"/>
          <w:szCs w:val="24"/>
          <w:shd w:val="clear" w:color="auto" w:fill="FFFFFF"/>
        </w:rPr>
        <w:t xml:space="preserve">reduces the </w:t>
      </w:r>
      <w:r w:rsidR="00927EED" w:rsidRPr="00020413">
        <w:rPr>
          <w:rFonts w:ascii="Times New Roman" w:hAnsi="Times New Roman"/>
          <w:sz w:val="24"/>
          <w:szCs w:val="24"/>
          <w:shd w:val="clear" w:color="auto" w:fill="FFFFFF"/>
        </w:rPr>
        <w:t xml:space="preserve">interest rate profile of </w:t>
      </w:r>
      <w:r w:rsidR="00954CE6" w:rsidRPr="00020413">
        <w:rPr>
          <w:rFonts w:ascii="Times New Roman" w:hAnsi="Times New Roman"/>
          <w:sz w:val="24"/>
          <w:szCs w:val="24"/>
          <w:shd w:val="clear" w:color="auto" w:fill="FFFFFF"/>
        </w:rPr>
        <w:t>borrow</w:t>
      </w:r>
      <w:r w:rsidR="00992F92" w:rsidRPr="00020413">
        <w:rPr>
          <w:rFonts w:ascii="Times New Roman" w:hAnsi="Times New Roman"/>
          <w:sz w:val="24"/>
          <w:szCs w:val="24"/>
          <w:shd w:val="clear" w:color="auto" w:fill="FFFFFF"/>
        </w:rPr>
        <w:t>ers</w:t>
      </w:r>
      <w:r w:rsidR="00954CE6" w:rsidRPr="00020413">
        <w:rPr>
          <w:rFonts w:ascii="Times New Roman" w:hAnsi="Times New Roman"/>
          <w:sz w:val="24"/>
          <w:szCs w:val="24"/>
          <w:shd w:val="clear" w:color="auto" w:fill="FFFFFF"/>
        </w:rPr>
        <w:t xml:space="preserve">, especially for </w:t>
      </w:r>
      <w:r w:rsidR="00927EED" w:rsidRPr="00020413">
        <w:rPr>
          <w:rFonts w:ascii="Times New Roman" w:hAnsi="Times New Roman"/>
          <w:sz w:val="24"/>
          <w:szCs w:val="24"/>
          <w:shd w:val="clear" w:color="auto" w:fill="FFFFFF"/>
        </w:rPr>
        <w:t xml:space="preserve">those repeated </w:t>
      </w:r>
      <w:r w:rsidR="00954CE6" w:rsidRPr="00020413">
        <w:rPr>
          <w:rFonts w:ascii="Times New Roman" w:hAnsi="Times New Roman"/>
          <w:sz w:val="24"/>
          <w:szCs w:val="24"/>
          <w:shd w:val="clear" w:color="auto" w:fill="FFFFFF"/>
        </w:rPr>
        <w:t xml:space="preserve">borrowers who </w:t>
      </w:r>
      <w:r w:rsidR="00927EED" w:rsidRPr="00020413">
        <w:rPr>
          <w:rFonts w:ascii="Times New Roman" w:hAnsi="Times New Roman"/>
          <w:sz w:val="24"/>
          <w:szCs w:val="24"/>
          <w:shd w:val="clear" w:color="auto" w:fill="FFFFFF"/>
        </w:rPr>
        <w:t>switched banks</w:t>
      </w:r>
      <w:r w:rsidR="00954CE6" w:rsidRPr="00020413">
        <w:rPr>
          <w:rFonts w:ascii="Times New Roman" w:hAnsi="Times New Roman"/>
          <w:sz w:val="24"/>
          <w:szCs w:val="24"/>
          <w:shd w:val="clear" w:color="auto" w:fill="FFFFFF"/>
        </w:rPr>
        <w:t>.</w:t>
      </w:r>
    </w:p>
    <w:p w:rsidR="007A1D51" w:rsidRPr="00020413" w:rsidRDefault="0083538A"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On </w:t>
      </w:r>
      <w:r w:rsidR="00FA7948" w:rsidRPr="00020413">
        <w:rPr>
          <w:rFonts w:ascii="Times New Roman" w:hAnsi="Times New Roman"/>
          <w:sz w:val="24"/>
          <w:szCs w:val="24"/>
        </w:rPr>
        <w:t xml:space="preserve">the </w:t>
      </w:r>
      <w:r w:rsidR="00672810" w:rsidRPr="00020413">
        <w:rPr>
          <w:rFonts w:ascii="Times New Roman" w:hAnsi="Times New Roman"/>
          <w:sz w:val="24"/>
          <w:szCs w:val="24"/>
        </w:rPr>
        <w:t xml:space="preserve">information sharing </w:t>
      </w:r>
      <w:r w:rsidR="00FA7948" w:rsidRPr="00020413">
        <w:rPr>
          <w:rFonts w:ascii="Times New Roman" w:hAnsi="Times New Roman"/>
          <w:sz w:val="24"/>
          <w:szCs w:val="24"/>
        </w:rPr>
        <w:t xml:space="preserve">effect </w:t>
      </w:r>
      <w:r w:rsidR="00672810" w:rsidRPr="00020413">
        <w:rPr>
          <w:rFonts w:ascii="Times New Roman" w:hAnsi="Times New Roman"/>
          <w:sz w:val="24"/>
          <w:szCs w:val="24"/>
        </w:rPr>
        <w:t xml:space="preserve">on </w:t>
      </w:r>
      <w:r w:rsidR="00BF0A0F" w:rsidRPr="00020413">
        <w:rPr>
          <w:rFonts w:ascii="Times New Roman" w:hAnsi="Times New Roman"/>
          <w:sz w:val="24"/>
          <w:szCs w:val="24"/>
        </w:rPr>
        <w:t xml:space="preserve">loan </w:t>
      </w:r>
      <w:r w:rsidRPr="00020413">
        <w:rPr>
          <w:rFonts w:ascii="Times New Roman" w:hAnsi="Times New Roman"/>
          <w:sz w:val="24"/>
          <w:szCs w:val="24"/>
        </w:rPr>
        <w:t>default</w:t>
      </w:r>
      <w:r w:rsidR="00672810" w:rsidRPr="00020413">
        <w:rPr>
          <w:rFonts w:ascii="Times New Roman" w:hAnsi="Times New Roman"/>
          <w:sz w:val="24"/>
          <w:szCs w:val="24"/>
        </w:rPr>
        <w:t xml:space="preserve"> probability</w:t>
      </w:r>
      <w:r w:rsidRPr="00020413">
        <w:rPr>
          <w:rFonts w:ascii="Times New Roman" w:hAnsi="Times New Roman"/>
          <w:sz w:val="24"/>
          <w:szCs w:val="24"/>
        </w:rPr>
        <w:t xml:space="preserve">, </w:t>
      </w:r>
      <w:proofErr w:type="spellStart"/>
      <w:r w:rsidR="00672810" w:rsidRPr="00020413">
        <w:rPr>
          <w:rFonts w:ascii="Times New Roman" w:hAnsi="Times New Roman"/>
          <w:sz w:val="24"/>
          <w:szCs w:val="24"/>
        </w:rPr>
        <w:t>Kallberg</w:t>
      </w:r>
      <w:proofErr w:type="spellEnd"/>
      <w:r w:rsidR="00672810" w:rsidRPr="00020413">
        <w:rPr>
          <w:rFonts w:ascii="Times New Roman" w:hAnsi="Times New Roman"/>
          <w:sz w:val="24"/>
          <w:szCs w:val="24"/>
        </w:rPr>
        <w:t xml:space="preserve"> and </w:t>
      </w:r>
      <w:proofErr w:type="spellStart"/>
      <w:r w:rsidR="00672810" w:rsidRPr="00020413">
        <w:rPr>
          <w:rFonts w:ascii="Times New Roman" w:hAnsi="Times New Roman"/>
          <w:sz w:val="24"/>
          <w:szCs w:val="24"/>
        </w:rPr>
        <w:t>Udell</w:t>
      </w:r>
      <w:proofErr w:type="spellEnd"/>
      <w:r w:rsidR="00672810" w:rsidRPr="00020413">
        <w:rPr>
          <w:rFonts w:ascii="Times New Roman" w:hAnsi="Times New Roman"/>
          <w:sz w:val="24"/>
          <w:szCs w:val="24"/>
        </w:rPr>
        <w:t xml:space="preserve"> (2003)</w:t>
      </w:r>
      <w:r w:rsidR="00AE02EC" w:rsidRPr="00020413">
        <w:rPr>
          <w:rFonts w:ascii="Times New Roman" w:hAnsi="Times New Roman"/>
          <w:sz w:val="24"/>
          <w:szCs w:val="24"/>
        </w:rPr>
        <w:t>,</w:t>
      </w:r>
      <w:r w:rsidR="00672810" w:rsidRPr="00020413">
        <w:rPr>
          <w:rFonts w:ascii="Times New Roman" w:hAnsi="Times New Roman"/>
          <w:sz w:val="24"/>
          <w:szCs w:val="24"/>
        </w:rPr>
        <w:t xml:space="preserve"> </w:t>
      </w:r>
      <w:r w:rsidR="00AE02EC" w:rsidRPr="00020413">
        <w:rPr>
          <w:rFonts w:ascii="Times New Roman" w:hAnsi="Times New Roman"/>
          <w:sz w:val="24"/>
          <w:szCs w:val="24"/>
        </w:rPr>
        <w:t xml:space="preserve">relying on US data, </w:t>
      </w:r>
      <w:r w:rsidR="00672810" w:rsidRPr="00020413">
        <w:rPr>
          <w:rFonts w:ascii="Times New Roman" w:hAnsi="Times New Roman"/>
          <w:sz w:val="24"/>
          <w:szCs w:val="24"/>
        </w:rPr>
        <w:t xml:space="preserve">demonstrate that information sharing schemes have a predictive effect on </w:t>
      </w:r>
      <w:r w:rsidR="00D041FA" w:rsidRPr="00020413">
        <w:rPr>
          <w:rFonts w:ascii="Times New Roman" w:hAnsi="Times New Roman"/>
          <w:sz w:val="24"/>
          <w:szCs w:val="24"/>
        </w:rPr>
        <w:t xml:space="preserve">business </w:t>
      </w:r>
      <w:r w:rsidR="00672810" w:rsidRPr="00020413">
        <w:rPr>
          <w:rFonts w:ascii="Times New Roman" w:hAnsi="Times New Roman"/>
          <w:sz w:val="24"/>
          <w:szCs w:val="24"/>
        </w:rPr>
        <w:t>credit default</w:t>
      </w:r>
      <w:r w:rsidR="00D041FA" w:rsidRPr="00020413">
        <w:rPr>
          <w:rFonts w:ascii="Times New Roman" w:hAnsi="Times New Roman"/>
          <w:sz w:val="24"/>
          <w:szCs w:val="24"/>
        </w:rPr>
        <w:t xml:space="preserve">, implying that information sharing could help banks to improve the </w:t>
      </w:r>
      <w:r w:rsidR="007D1D4B" w:rsidRPr="00020413">
        <w:rPr>
          <w:rFonts w:ascii="Times New Roman" w:hAnsi="Times New Roman"/>
          <w:sz w:val="24"/>
          <w:szCs w:val="24"/>
        </w:rPr>
        <w:lastRenderedPageBreak/>
        <w:t xml:space="preserve">quality of their </w:t>
      </w:r>
      <w:r w:rsidR="00D041FA" w:rsidRPr="00020413">
        <w:rPr>
          <w:rFonts w:ascii="Times New Roman" w:hAnsi="Times New Roman"/>
          <w:sz w:val="24"/>
          <w:szCs w:val="24"/>
        </w:rPr>
        <w:t>loan</w:t>
      </w:r>
      <w:r w:rsidR="00E953D1" w:rsidRPr="00020413">
        <w:rPr>
          <w:rFonts w:ascii="Times New Roman" w:hAnsi="Times New Roman"/>
          <w:sz w:val="24"/>
          <w:szCs w:val="24"/>
        </w:rPr>
        <w:t>s</w:t>
      </w:r>
      <w:r w:rsidR="00D041FA" w:rsidRPr="00020413">
        <w:rPr>
          <w:rFonts w:ascii="Times New Roman" w:hAnsi="Times New Roman"/>
          <w:sz w:val="24"/>
          <w:szCs w:val="24"/>
        </w:rPr>
        <w:t xml:space="preserve"> </w:t>
      </w:r>
      <w:r w:rsidR="007D1D4B" w:rsidRPr="00020413">
        <w:rPr>
          <w:rFonts w:ascii="Times New Roman" w:hAnsi="Times New Roman"/>
          <w:sz w:val="24"/>
          <w:szCs w:val="24"/>
        </w:rPr>
        <w:t>to corporations</w:t>
      </w:r>
      <w:r w:rsidR="00672810" w:rsidRPr="00020413">
        <w:rPr>
          <w:rFonts w:ascii="Times New Roman" w:hAnsi="Times New Roman"/>
          <w:sz w:val="24"/>
          <w:szCs w:val="24"/>
        </w:rPr>
        <w:t xml:space="preserve">. </w:t>
      </w:r>
      <w:r w:rsidR="00E953D1" w:rsidRPr="00020413">
        <w:rPr>
          <w:rFonts w:ascii="Times New Roman" w:hAnsi="Times New Roman"/>
          <w:sz w:val="24"/>
          <w:szCs w:val="24"/>
        </w:rPr>
        <w:t xml:space="preserve">Also, </w:t>
      </w:r>
      <w:r w:rsidR="00D80451" w:rsidRPr="00020413">
        <w:rPr>
          <w:rFonts w:ascii="Times New Roman" w:hAnsi="Times New Roman"/>
          <w:sz w:val="24"/>
          <w:szCs w:val="24"/>
        </w:rPr>
        <w:t xml:space="preserve">in Guatemala, </w:t>
      </w:r>
      <w:r w:rsidR="003D3AFC" w:rsidRPr="00020413">
        <w:rPr>
          <w:rFonts w:ascii="Times New Roman" w:hAnsi="Times New Roman"/>
          <w:sz w:val="24"/>
          <w:szCs w:val="24"/>
        </w:rPr>
        <w:t xml:space="preserve">De </w:t>
      </w:r>
      <w:proofErr w:type="spellStart"/>
      <w:r w:rsidR="003D3AFC" w:rsidRPr="00020413">
        <w:rPr>
          <w:rFonts w:ascii="Times New Roman" w:hAnsi="Times New Roman"/>
          <w:sz w:val="24"/>
          <w:szCs w:val="24"/>
        </w:rPr>
        <w:t>Janvry</w:t>
      </w:r>
      <w:proofErr w:type="spellEnd"/>
      <w:r w:rsidR="003D3AFC" w:rsidRPr="00020413">
        <w:rPr>
          <w:rFonts w:ascii="Times New Roman" w:hAnsi="Times New Roman"/>
          <w:sz w:val="24"/>
          <w:szCs w:val="24"/>
        </w:rPr>
        <w:t xml:space="preserve"> </w:t>
      </w:r>
      <w:r w:rsidR="00C53326" w:rsidRPr="00020413">
        <w:rPr>
          <w:rFonts w:ascii="Times New Roman" w:hAnsi="Times New Roman"/>
          <w:sz w:val="24"/>
          <w:szCs w:val="24"/>
        </w:rPr>
        <w:t xml:space="preserve">et al. (2010) </w:t>
      </w:r>
      <w:r w:rsidR="00D80451" w:rsidRPr="00020413">
        <w:rPr>
          <w:rFonts w:ascii="Times New Roman" w:hAnsi="Times New Roman"/>
          <w:sz w:val="24"/>
          <w:szCs w:val="24"/>
        </w:rPr>
        <w:t xml:space="preserve">show that credit information sharing schemes induce </w:t>
      </w:r>
      <w:r w:rsidR="00642C73" w:rsidRPr="00020413">
        <w:rPr>
          <w:rFonts w:ascii="Times New Roman" w:hAnsi="Times New Roman"/>
          <w:sz w:val="24"/>
          <w:szCs w:val="24"/>
        </w:rPr>
        <w:t xml:space="preserve">a moderate </w:t>
      </w:r>
      <w:r w:rsidR="00D80451" w:rsidRPr="00020413">
        <w:rPr>
          <w:rFonts w:ascii="Times New Roman" w:hAnsi="Times New Roman"/>
          <w:sz w:val="24"/>
          <w:szCs w:val="24"/>
        </w:rPr>
        <w:t xml:space="preserve">improvement in </w:t>
      </w:r>
      <w:r w:rsidR="002F2A55" w:rsidRPr="00020413">
        <w:rPr>
          <w:rFonts w:ascii="Times New Roman" w:hAnsi="Times New Roman"/>
          <w:sz w:val="24"/>
          <w:szCs w:val="24"/>
        </w:rPr>
        <w:t>loan repayments</w:t>
      </w:r>
      <w:r w:rsidR="00642C73" w:rsidRPr="00020413">
        <w:rPr>
          <w:rFonts w:ascii="Times New Roman" w:hAnsi="Times New Roman"/>
          <w:sz w:val="24"/>
          <w:szCs w:val="24"/>
        </w:rPr>
        <w:t xml:space="preserve">. </w:t>
      </w:r>
      <w:r w:rsidR="005923ED" w:rsidRPr="00020413">
        <w:rPr>
          <w:rFonts w:ascii="Times New Roman" w:hAnsi="Times New Roman"/>
          <w:sz w:val="24"/>
          <w:szCs w:val="24"/>
        </w:rPr>
        <w:t>Similarly,</w:t>
      </w:r>
      <w:r w:rsidR="00C551D9" w:rsidRPr="00020413">
        <w:rPr>
          <w:rFonts w:ascii="Times New Roman" w:hAnsi="Times New Roman"/>
          <w:sz w:val="24"/>
          <w:szCs w:val="24"/>
        </w:rPr>
        <w:t xml:space="preserve"> </w:t>
      </w:r>
      <w:r w:rsidR="005923ED" w:rsidRPr="00020413">
        <w:rPr>
          <w:rFonts w:ascii="Times New Roman" w:hAnsi="Times New Roman"/>
          <w:sz w:val="24"/>
          <w:szCs w:val="24"/>
        </w:rPr>
        <w:t xml:space="preserve">Behr and </w:t>
      </w:r>
      <w:proofErr w:type="spellStart"/>
      <w:r w:rsidR="005923ED" w:rsidRPr="00020413">
        <w:rPr>
          <w:rFonts w:ascii="Times New Roman" w:hAnsi="Times New Roman"/>
          <w:sz w:val="24"/>
          <w:szCs w:val="24"/>
        </w:rPr>
        <w:t>Sonnekalb</w:t>
      </w:r>
      <w:proofErr w:type="spellEnd"/>
      <w:r w:rsidR="005923ED" w:rsidRPr="00020413">
        <w:rPr>
          <w:rFonts w:ascii="Times New Roman" w:hAnsi="Times New Roman"/>
          <w:sz w:val="24"/>
          <w:szCs w:val="24"/>
        </w:rPr>
        <w:t xml:space="preserve"> (2012)</w:t>
      </w:r>
      <w:r w:rsidR="00873240" w:rsidRPr="00020413">
        <w:rPr>
          <w:rFonts w:ascii="Times New Roman" w:hAnsi="Times New Roman"/>
          <w:sz w:val="24"/>
          <w:szCs w:val="24"/>
        </w:rPr>
        <w:t>,</w:t>
      </w:r>
      <w:r w:rsidR="00E953D1" w:rsidRPr="00020413">
        <w:rPr>
          <w:rFonts w:ascii="Times New Roman" w:hAnsi="Times New Roman"/>
          <w:sz w:val="24"/>
          <w:szCs w:val="24"/>
        </w:rPr>
        <w:t xml:space="preserve"> u</w:t>
      </w:r>
      <w:r w:rsidR="00111978" w:rsidRPr="00020413">
        <w:rPr>
          <w:rFonts w:ascii="Times New Roman" w:hAnsi="Times New Roman"/>
          <w:sz w:val="24"/>
          <w:szCs w:val="24"/>
        </w:rPr>
        <w:t>sing</w:t>
      </w:r>
      <w:r w:rsidR="00C551D9" w:rsidRPr="00020413">
        <w:rPr>
          <w:rFonts w:ascii="Times New Roman" w:hAnsi="Times New Roman"/>
          <w:sz w:val="24"/>
          <w:szCs w:val="24"/>
        </w:rPr>
        <w:t xml:space="preserve"> loan-lev</w:t>
      </w:r>
      <w:r w:rsidR="002F2A55" w:rsidRPr="00020413">
        <w:rPr>
          <w:rFonts w:ascii="Times New Roman" w:hAnsi="Times New Roman"/>
          <w:sz w:val="24"/>
          <w:szCs w:val="24"/>
        </w:rPr>
        <w:t>el data from a commercial bank</w:t>
      </w:r>
      <w:r w:rsidR="00C551D9" w:rsidRPr="00020413">
        <w:rPr>
          <w:rFonts w:ascii="Times New Roman" w:hAnsi="Times New Roman"/>
          <w:sz w:val="24"/>
          <w:szCs w:val="24"/>
        </w:rPr>
        <w:t xml:space="preserve"> serving micro</w:t>
      </w:r>
      <w:r w:rsidR="00111978" w:rsidRPr="00020413">
        <w:rPr>
          <w:rFonts w:ascii="Times New Roman" w:hAnsi="Times New Roman"/>
          <w:sz w:val="24"/>
          <w:szCs w:val="24"/>
        </w:rPr>
        <w:t>-</w:t>
      </w:r>
      <w:r w:rsidR="00C551D9" w:rsidRPr="00020413">
        <w:rPr>
          <w:rFonts w:ascii="Times New Roman" w:hAnsi="Times New Roman"/>
          <w:sz w:val="24"/>
          <w:szCs w:val="24"/>
        </w:rPr>
        <w:t>enterprises and SME borrowers in Albania</w:t>
      </w:r>
      <w:r w:rsidR="003E0BC5" w:rsidRPr="00020413">
        <w:rPr>
          <w:rFonts w:ascii="Times New Roman" w:hAnsi="Times New Roman"/>
          <w:sz w:val="24"/>
          <w:szCs w:val="24"/>
        </w:rPr>
        <w:t xml:space="preserve"> </w:t>
      </w:r>
      <w:r w:rsidR="00F16B73" w:rsidRPr="00020413">
        <w:rPr>
          <w:rFonts w:ascii="Times New Roman" w:hAnsi="Times New Roman"/>
          <w:sz w:val="24"/>
          <w:szCs w:val="24"/>
        </w:rPr>
        <w:t xml:space="preserve">report that </w:t>
      </w:r>
      <w:r w:rsidR="00D93E19" w:rsidRPr="00020413">
        <w:rPr>
          <w:rFonts w:ascii="Times New Roman" w:hAnsi="Times New Roman"/>
          <w:sz w:val="24"/>
          <w:szCs w:val="24"/>
        </w:rPr>
        <w:t xml:space="preserve">the establishment of the </w:t>
      </w:r>
      <w:r w:rsidR="00F16B73" w:rsidRPr="00020413">
        <w:rPr>
          <w:rFonts w:ascii="Times New Roman" w:hAnsi="Times New Roman"/>
          <w:sz w:val="24"/>
          <w:szCs w:val="24"/>
        </w:rPr>
        <w:t xml:space="preserve">information sharing </w:t>
      </w:r>
      <w:r w:rsidR="00D93E19" w:rsidRPr="00020413">
        <w:rPr>
          <w:rFonts w:ascii="Times New Roman" w:hAnsi="Times New Roman"/>
          <w:sz w:val="24"/>
          <w:szCs w:val="24"/>
        </w:rPr>
        <w:t>scheme improved</w:t>
      </w:r>
      <w:r w:rsidR="00F16B73" w:rsidRPr="00020413">
        <w:rPr>
          <w:rFonts w:ascii="Times New Roman" w:hAnsi="Times New Roman"/>
          <w:sz w:val="24"/>
          <w:szCs w:val="24"/>
        </w:rPr>
        <w:t xml:space="preserve"> credit performance</w:t>
      </w:r>
      <w:r w:rsidR="00E953D1" w:rsidRPr="00020413">
        <w:rPr>
          <w:rFonts w:ascii="Times New Roman" w:hAnsi="Times New Roman"/>
          <w:sz w:val="24"/>
          <w:szCs w:val="24"/>
        </w:rPr>
        <w:t xml:space="preserve">. </w:t>
      </w:r>
      <w:r w:rsidR="00F16B73" w:rsidRPr="00020413">
        <w:rPr>
          <w:rFonts w:ascii="Times New Roman" w:hAnsi="Times New Roman"/>
          <w:sz w:val="24"/>
          <w:szCs w:val="24"/>
        </w:rPr>
        <w:t>The</w:t>
      </w:r>
      <w:r w:rsidR="0025060A" w:rsidRPr="00020413">
        <w:rPr>
          <w:rFonts w:ascii="Times New Roman" w:hAnsi="Times New Roman"/>
          <w:sz w:val="24"/>
          <w:szCs w:val="24"/>
        </w:rPr>
        <w:t>y</w:t>
      </w:r>
      <w:r w:rsidR="00F16B73" w:rsidRPr="00020413">
        <w:rPr>
          <w:rFonts w:ascii="Times New Roman" w:hAnsi="Times New Roman"/>
          <w:sz w:val="24"/>
          <w:szCs w:val="24"/>
        </w:rPr>
        <w:t xml:space="preserve"> further find this effect to be more pronounced among repeat borrowers and conclude that the disciplinary effect of information sharing is stronger for clients that have already secured a relationship with the lender.</w:t>
      </w:r>
      <w:r w:rsidR="008D75DF" w:rsidRPr="00020413">
        <w:rPr>
          <w:rFonts w:ascii="Times New Roman" w:hAnsi="Times New Roman"/>
          <w:sz w:val="24"/>
          <w:szCs w:val="24"/>
        </w:rPr>
        <w:t xml:space="preserve"> </w:t>
      </w:r>
      <w:r w:rsidR="001341F4" w:rsidRPr="00020413">
        <w:rPr>
          <w:rFonts w:ascii="Times New Roman" w:hAnsi="Times New Roman"/>
          <w:sz w:val="24"/>
          <w:szCs w:val="24"/>
        </w:rPr>
        <w:t>R</w:t>
      </w:r>
      <w:r w:rsidR="008D75DF" w:rsidRPr="00020413">
        <w:rPr>
          <w:rFonts w:ascii="Times New Roman" w:hAnsi="Times New Roman"/>
          <w:sz w:val="24"/>
          <w:szCs w:val="24"/>
        </w:rPr>
        <w:t xml:space="preserve">ecently, Bos, </w:t>
      </w:r>
      <w:r w:rsidR="00F340BD" w:rsidRPr="00020413">
        <w:rPr>
          <w:rFonts w:ascii="Times New Roman" w:hAnsi="Times New Roman"/>
          <w:sz w:val="24"/>
          <w:szCs w:val="24"/>
        </w:rPr>
        <w:t xml:space="preserve">de </w:t>
      </w:r>
      <w:r w:rsidR="008D75DF" w:rsidRPr="00020413">
        <w:rPr>
          <w:rFonts w:ascii="Times New Roman" w:hAnsi="Times New Roman"/>
          <w:sz w:val="24"/>
          <w:szCs w:val="24"/>
        </w:rPr>
        <w:t xml:space="preserve">Haas, and </w:t>
      </w:r>
      <w:proofErr w:type="spellStart"/>
      <w:r w:rsidR="008D75DF" w:rsidRPr="00020413">
        <w:rPr>
          <w:rFonts w:ascii="Times New Roman" w:hAnsi="Times New Roman"/>
          <w:sz w:val="24"/>
          <w:szCs w:val="24"/>
        </w:rPr>
        <w:t>Millone</w:t>
      </w:r>
      <w:proofErr w:type="spellEnd"/>
      <w:r w:rsidR="008D75DF" w:rsidRPr="00020413">
        <w:rPr>
          <w:rFonts w:ascii="Times New Roman" w:hAnsi="Times New Roman"/>
          <w:sz w:val="24"/>
          <w:szCs w:val="24"/>
        </w:rPr>
        <w:t xml:space="preserve"> (2016) show that information sharing through credit registries in Bosnia and Herzegovina increases loan quality by tightening lending and increasing the rejection rate for small-business loan applications.</w:t>
      </w:r>
      <w:r w:rsidR="00F16B73" w:rsidRPr="00020413">
        <w:rPr>
          <w:rFonts w:ascii="Times New Roman" w:hAnsi="Times New Roman"/>
          <w:sz w:val="24"/>
          <w:szCs w:val="24"/>
        </w:rPr>
        <w:t xml:space="preserve"> </w:t>
      </w:r>
      <w:r w:rsidR="00E953D1" w:rsidRPr="00020413">
        <w:rPr>
          <w:rFonts w:ascii="Times New Roman" w:hAnsi="Times New Roman"/>
          <w:sz w:val="24"/>
          <w:szCs w:val="24"/>
        </w:rPr>
        <w:t xml:space="preserve"> </w:t>
      </w:r>
    </w:p>
    <w:p w:rsidR="000E0474" w:rsidRPr="00020413" w:rsidRDefault="00C56A06" w:rsidP="003E0BC5">
      <w:pPr>
        <w:spacing w:after="120" w:line="360" w:lineRule="auto"/>
        <w:jc w:val="both"/>
        <w:rPr>
          <w:rFonts w:ascii="Times New Roman" w:hAnsi="Times New Roman"/>
          <w:sz w:val="24"/>
          <w:szCs w:val="24"/>
          <w:lang w:eastAsia="en-GB"/>
        </w:rPr>
      </w:pPr>
      <w:r w:rsidRPr="00020413">
        <w:rPr>
          <w:rFonts w:ascii="Times New Roman" w:hAnsi="Times New Roman"/>
          <w:sz w:val="24"/>
          <w:szCs w:val="24"/>
        </w:rPr>
        <w:t>While these prior studies enhance our understanding of the potential impact of information sharing on bank loan default, they have often been conducted within the context of a</w:t>
      </w:r>
      <w:r w:rsidR="00E953D1" w:rsidRPr="00020413">
        <w:rPr>
          <w:rFonts w:ascii="Times New Roman" w:hAnsi="Times New Roman"/>
          <w:sz w:val="24"/>
          <w:szCs w:val="24"/>
        </w:rPr>
        <w:t xml:space="preserve"> single</w:t>
      </w:r>
      <w:r w:rsidRPr="00020413">
        <w:rPr>
          <w:rFonts w:ascii="Times New Roman" w:hAnsi="Times New Roman"/>
          <w:sz w:val="24"/>
          <w:szCs w:val="24"/>
        </w:rPr>
        <w:t xml:space="preserve"> country-specific setting, thus</w:t>
      </w:r>
      <w:r w:rsidR="00920FDD" w:rsidRPr="00020413">
        <w:rPr>
          <w:rFonts w:ascii="Times New Roman" w:hAnsi="Times New Roman"/>
          <w:sz w:val="24"/>
          <w:szCs w:val="24"/>
        </w:rPr>
        <w:t>,</w:t>
      </w:r>
      <w:r w:rsidRPr="00020413">
        <w:rPr>
          <w:rFonts w:ascii="Times New Roman" w:hAnsi="Times New Roman"/>
          <w:sz w:val="24"/>
          <w:szCs w:val="24"/>
        </w:rPr>
        <w:t xml:space="preserve"> limiting the generalisability of the</w:t>
      </w:r>
      <w:r w:rsidR="0094400B" w:rsidRPr="00020413">
        <w:rPr>
          <w:rFonts w:ascii="Times New Roman" w:hAnsi="Times New Roman"/>
          <w:sz w:val="24"/>
          <w:szCs w:val="24"/>
        </w:rPr>
        <w:t>ir</w:t>
      </w:r>
      <w:r w:rsidRPr="00020413">
        <w:rPr>
          <w:rFonts w:ascii="Times New Roman" w:hAnsi="Times New Roman"/>
          <w:sz w:val="24"/>
          <w:szCs w:val="24"/>
        </w:rPr>
        <w:t xml:space="preserve"> findings. </w:t>
      </w:r>
      <w:r w:rsidR="0094400B" w:rsidRPr="00020413">
        <w:rPr>
          <w:rFonts w:ascii="Times New Roman" w:hAnsi="Times New Roman"/>
          <w:sz w:val="24"/>
          <w:szCs w:val="24"/>
        </w:rPr>
        <w:t xml:space="preserve">Additionally, the </w:t>
      </w:r>
      <w:r w:rsidR="005F636B" w:rsidRPr="00020413">
        <w:rPr>
          <w:rFonts w:ascii="Times New Roman" w:hAnsi="Times New Roman"/>
          <w:sz w:val="24"/>
          <w:szCs w:val="24"/>
        </w:rPr>
        <w:t>potential role</w:t>
      </w:r>
      <w:r w:rsidR="00D3546D" w:rsidRPr="00020413">
        <w:rPr>
          <w:rFonts w:ascii="Times New Roman" w:hAnsi="Times New Roman"/>
          <w:sz w:val="24"/>
          <w:szCs w:val="24"/>
        </w:rPr>
        <w:t>s</w:t>
      </w:r>
      <w:r w:rsidR="005F636B" w:rsidRPr="00020413">
        <w:rPr>
          <w:rFonts w:ascii="Times New Roman" w:hAnsi="Times New Roman"/>
          <w:sz w:val="24"/>
          <w:szCs w:val="24"/>
        </w:rPr>
        <w:t xml:space="preserve"> </w:t>
      </w:r>
      <w:r w:rsidR="00D3546D" w:rsidRPr="00020413">
        <w:rPr>
          <w:rFonts w:ascii="Times New Roman" w:hAnsi="Times New Roman"/>
          <w:sz w:val="24"/>
          <w:szCs w:val="24"/>
        </w:rPr>
        <w:t>of</w:t>
      </w:r>
      <w:r w:rsidR="005F636B" w:rsidRPr="00020413">
        <w:rPr>
          <w:rFonts w:ascii="Times New Roman" w:hAnsi="Times New Roman"/>
          <w:sz w:val="24"/>
          <w:szCs w:val="24"/>
        </w:rPr>
        <w:t xml:space="preserve"> </w:t>
      </w:r>
      <w:r w:rsidR="00D3546D" w:rsidRPr="00020413">
        <w:rPr>
          <w:rFonts w:ascii="Times New Roman" w:hAnsi="Times New Roman"/>
          <w:sz w:val="24"/>
          <w:szCs w:val="24"/>
        </w:rPr>
        <w:t>industry-level concentration and</w:t>
      </w:r>
      <w:r w:rsidR="005F636B" w:rsidRPr="00020413">
        <w:rPr>
          <w:rFonts w:ascii="Times New Roman" w:hAnsi="Times New Roman"/>
          <w:sz w:val="24"/>
          <w:szCs w:val="24"/>
        </w:rPr>
        <w:t xml:space="preserve"> country-level governance</w:t>
      </w:r>
      <w:r w:rsidR="00D3546D" w:rsidRPr="00020413">
        <w:rPr>
          <w:rFonts w:ascii="Times New Roman" w:hAnsi="Times New Roman"/>
          <w:sz w:val="24"/>
          <w:szCs w:val="24"/>
        </w:rPr>
        <w:t xml:space="preserve"> quality</w:t>
      </w:r>
      <w:r w:rsidR="005F636B" w:rsidRPr="00020413">
        <w:rPr>
          <w:rFonts w:ascii="Times New Roman" w:hAnsi="Times New Roman"/>
          <w:sz w:val="24"/>
          <w:szCs w:val="24"/>
        </w:rPr>
        <w:t xml:space="preserve"> in shaping the information sharing effect </w:t>
      </w:r>
      <w:r w:rsidR="00D3546D" w:rsidRPr="00020413">
        <w:rPr>
          <w:rFonts w:ascii="Times New Roman" w:hAnsi="Times New Roman"/>
          <w:sz w:val="24"/>
          <w:szCs w:val="24"/>
        </w:rPr>
        <w:t>remai</w:t>
      </w:r>
      <w:r w:rsidR="00BF0A0F" w:rsidRPr="00020413">
        <w:rPr>
          <w:rFonts w:ascii="Times New Roman" w:hAnsi="Times New Roman"/>
          <w:sz w:val="24"/>
          <w:szCs w:val="24"/>
        </w:rPr>
        <w:t>n</w:t>
      </w:r>
      <w:r w:rsidR="005F636B" w:rsidRPr="00020413">
        <w:rPr>
          <w:rFonts w:ascii="Times New Roman" w:hAnsi="Times New Roman"/>
          <w:sz w:val="24"/>
          <w:szCs w:val="24"/>
        </w:rPr>
        <w:t xml:space="preserve"> </w:t>
      </w:r>
      <w:r w:rsidR="0025060A" w:rsidRPr="00020413">
        <w:rPr>
          <w:rFonts w:ascii="Times New Roman" w:hAnsi="Times New Roman"/>
          <w:sz w:val="24"/>
          <w:szCs w:val="24"/>
        </w:rPr>
        <w:t xml:space="preserve">largely </w:t>
      </w:r>
      <w:r w:rsidR="005F636B" w:rsidRPr="00020413">
        <w:rPr>
          <w:rFonts w:ascii="Times New Roman" w:hAnsi="Times New Roman"/>
          <w:sz w:val="24"/>
          <w:szCs w:val="24"/>
        </w:rPr>
        <w:t>unexplored in existing</w:t>
      </w:r>
      <w:r w:rsidR="0094400B" w:rsidRPr="00020413">
        <w:rPr>
          <w:rFonts w:ascii="Times New Roman" w:hAnsi="Times New Roman"/>
          <w:sz w:val="24"/>
          <w:szCs w:val="24"/>
        </w:rPr>
        <w:t xml:space="preserve"> literature</w:t>
      </w:r>
      <w:r w:rsidR="005F636B" w:rsidRPr="00020413">
        <w:rPr>
          <w:rFonts w:ascii="Times New Roman" w:hAnsi="Times New Roman"/>
          <w:sz w:val="24"/>
          <w:szCs w:val="24"/>
        </w:rPr>
        <w:t>.</w:t>
      </w:r>
      <w:r w:rsidR="0094400B" w:rsidRPr="00020413">
        <w:rPr>
          <w:rFonts w:ascii="Times New Roman" w:hAnsi="Times New Roman"/>
          <w:sz w:val="24"/>
          <w:szCs w:val="24"/>
        </w:rPr>
        <w:t xml:space="preserve"> </w:t>
      </w:r>
      <w:r w:rsidR="009540C2" w:rsidRPr="00020413">
        <w:rPr>
          <w:rFonts w:ascii="Times New Roman" w:hAnsi="Times New Roman"/>
          <w:sz w:val="24"/>
          <w:szCs w:val="24"/>
        </w:rPr>
        <w:t>We</w:t>
      </w:r>
      <w:r w:rsidR="00E953D1" w:rsidRPr="00020413">
        <w:rPr>
          <w:rFonts w:ascii="Times New Roman" w:hAnsi="Times New Roman"/>
          <w:sz w:val="24"/>
          <w:szCs w:val="24"/>
        </w:rPr>
        <w:t xml:space="preserve"> address these gaps in the current paper.</w:t>
      </w:r>
      <w:r w:rsidR="00116BD6" w:rsidRPr="00020413">
        <w:rPr>
          <w:rFonts w:ascii="Times New Roman" w:hAnsi="Times New Roman"/>
          <w:sz w:val="24"/>
          <w:szCs w:val="24"/>
          <w:lang w:eastAsia="en-GB"/>
        </w:rPr>
        <w:t xml:space="preserve"> </w:t>
      </w:r>
      <w:r w:rsidR="00F10729" w:rsidRPr="00020413">
        <w:rPr>
          <w:rFonts w:ascii="Times New Roman" w:hAnsi="Times New Roman"/>
          <w:sz w:val="24"/>
          <w:szCs w:val="24"/>
          <w:lang w:eastAsia="en-GB"/>
        </w:rPr>
        <w:t>Overall, the foregoing discussion suggest</w:t>
      </w:r>
      <w:r w:rsidR="005D16D2" w:rsidRPr="00020413">
        <w:rPr>
          <w:rFonts w:ascii="Times New Roman" w:hAnsi="Times New Roman"/>
          <w:sz w:val="24"/>
          <w:szCs w:val="24"/>
          <w:lang w:eastAsia="en-GB"/>
        </w:rPr>
        <w:t>s</w:t>
      </w:r>
      <w:r w:rsidR="00F10729" w:rsidRPr="00020413">
        <w:rPr>
          <w:rFonts w:ascii="Times New Roman" w:hAnsi="Times New Roman"/>
          <w:sz w:val="24"/>
          <w:szCs w:val="24"/>
          <w:lang w:eastAsia="en-GB"/>
        </w:rPr>
        <w:t xml:space="preserve"> that credit information sharing reduces adverse selection costs</w:t>
      </w:r>
      <w:r w:rsidR="00AF7C06" w:rsidRPr="00020413">
        <w:rPr>
          <w:rFonts w:ascii="Times New Roman" w:hAnsi="Times New Roman"/>
          <w:sz w:val="24"/>
          <w:szCs w:val="24"/>
          <w:lang w:eastAsia="en-GB"/>
        </w:rPr>
        <w:t xml:space="preserve"> and</w:t>
      </w:r>
      <w:r w:rsidR="00F10729" w:rsidRPr="00020413">
        <w:rPr>
          <w:rFonts w:ascii="Times New Roman" w:hAnsi="Times New Roman"/>
          <w:sz w:val="24"/>
          <w:szCs w:val="24"/>
          <w:lang w:eastAsia="en-GB"/>
        </w:rPr>
        <w:t xml:space="preserve"> moral hazard</w:t>
      </w:r>
      <w:r w:rsidR="00AF7C06" w:rsidRPr="00020413">
        <w:rPr>
          <w:rFonts w:ascii="Times New Roman" w:hAnsi="Times New Roman"/>
          <w:sz w:val="24"/>
          <w:szCs w:val="24"/>
          <w:lang w:eastAsia="en-GB"/>
        </w:rPr>
        <w:t xml:space="preserve"> problems</w:t>
      </w:r>
      <w:r w:rsidR="00F23A78" w:rsidRPr="00020413">
        <w:rPr>
          <w:rFonts w:ascii="Times New Roman" w:hAnsi="Times New Roman"/>
          <w:sz w:val="24"/>
          <w:szCs w:val="24"/>
          <w:lang w:eastAsia="en-GB"/>
        </w:rPr>
        <w:t>,</w:t>
      </w:r>
      <w:r w:rsidR="00F10729" w:rsidRPr="00020413">
        <w:rPr>
          <w:rFonts w:ascii="Times New Roman" w:hAnsi="Times New Roman"/>
          <w:sz w:val="24"/>
          <w:szCs w:val="24"/>
          <w:lang w:eastAsia="en-GB"/>
        </w:rPr>
        <w:t xml:space="preserve"> and </w:t>
      </w:r>
      <w:r w:rsidR="00F23A78" w:rsidRPr="00020413">
        <w:rPr>
          <w:rFonts w:ascii="Times New Roman" w:hAnsi="Times New Roman"/>
          <w:sz w:val="24"/>
          <w:szCs w:val="24"/>
          <w:lang w:eastAsia="en-GB"/>
        </w:rPr>
        <w:t xml:space="preserve">thus </w:t>
      </w:r>
      <w:r w:rsidR="009540C2" w:rsidRPr="00020413">
        <w:rPr>
          <w:rFonts w:ascii="Times New Roman" w:hAnsi="Times New Roman"/>
          <w:sz w:val="24"/>
          <w:szCs w:val="24"/>
          <w:lang w:eastAsia="en-GB"/>
        </w:rPr>
        <w:t xml:space="preserve">enhances </w:t>
      </w:r>
      <w:r w:rsidR="00F10729" w:rsidRPr="00020413">
        <w:rPr>
          <w:rFonts w:ascii="Times New Roman" w:hAnsi="Times New Roman"/>
          <w:sz w:val="24"/>
          <w:szCs w:val="24"/>
          <w:lang w:eastAsia="en-GB"/>
        </w:rPr>
        <w:t>bank</w:t>
      </w:r>
      <w:r w:rsidR="00C244AA" w:rsidRPr="00020413">
        <w:rPr>
          <w:rFonts w:ascii="Times New Roman" w:hAnsi="Times New Roman"/>
          <w:sz w:val="24"/>
          <w:szCs w:val="24"/>
          <w:lang w:eastAsia="en-GB"/>
        </w:rPr>
        <w:t>s’</w:t>
      </w:r>
      <w:r w:rsidR="00F10729" w:rsidRPr="00020413">
        <w:rPr>
          <w:rFonts w:ascii="Times New Roman" w:hAnsi="Times New Roman"/>
          <w:sz w:val="24"/>
          <w:szCs w:val="24"/>
          <w:lang w:eastAsia="en-GB"/>
        </w:rPr>
        <w:t xml:space="preserve"> </w:t>
      </w:r>
      <w:r w:rsidR="00C244AA" w:rsidRPr="00020413">
        <w:rPr>
          <w:rFonts w:ascii="Times New Roman" w:hAnsi="Times New Roman"/>
          <w:sz w:val="24"/>
          <w:szCs w:val="24"/>
          <w:lang w:eastAsia="en-GB"/>
        </w:rPr>
        <w:t xml:space="preserve">loan </w:t>
      </w:r>
      <w:r w:rsidR="009540C2" w:rsidRPr="00020413">
        <w:rPr>
          <w:rFonts w:ascii="Times New Roman" w:hAnsi="Times New Roman"/>
          <w:sz w:val="24"/>
          <w:szCs w:val="24"/>
          <w:lang w:eastAsia="en-GB"/>
        </w:rPr>
        <w:t>quality</w:t>
      </w:r>
      <w:r w:rsidR="00F10729" w:rsidRPr="00020413">
        <w:rPr>
          <w:rFonts w:ascii="Times New Roman" w:hAnsi="Times New Roman"/>
          <w:sz w:val="24"/>
          <w:szCs w:val="24"/>
          <w:lang w:eastAsia="en-GB"/>
        </w:rPr>
        <w:t xml:space="preserve">. </w:t>
      </w:r>
      <w:r w:rsidR="00C244AA" w:rsidRPr="00020413">
        <w:rPr>
          <w:rFonts w:ascii="Times New Roman" w:hAnsi="Times New Roman"/>
          <w:sz w:val="24"/>
          <w:szCs w:val="24"/>
          <w:lang w:eastAsia="en-GB"/>
        </w:rPr>
        <w:t>Therefore,</w:t>
      </w:r>
      <w:r w:rsidR="000E0474" w:rsidRPr="00020413">
        <w:rPr>
          <w:rFonts w:ascii="Times New Roman" w:hAnsi="Times New Roman"/>
          <w:sz w:val="24"/>
          <w:szCs w:val="24"/>
          <w:lang w:eastAsia="en-GB"/>
        </w:rPr>
        <w:t xml:space="preserve"> credit information sharing </w:t>
      </w:r>
      <w:r w:rsidR="00B060F7" w:rsidRPr="00020413">
        <w:rPr>
          <w:rFonts w:ascii="Times New Roman" w:hAnsi="Times New Roman"/>
          <w:sz w:val="24"/>
          <w:szCs w:val="24"/>
          <w:lang w:eastAsia="en-GB"/>
        </w:rPr>
        <w:t xml:space="preserve">is expected </w:t>
      </w:r>
      <w:r w:rsidR="000E0474" w:rsidRPr="00020413">
        <w:rPr>
          <w:rFonts w:ascii="Times New Roman" w:hAnsi="Times New Roman"/>
          <w:sz w:val="24"/>
          <w:szCs w:val="24"/>
          <w:lang w:eastAsia="en-GB"/>
        </w:rPr>
        <w:t>to red</w:t>
      </w:r>
      <w:r w:rsidR="00B060F7" w:rsidRPr="00020413">
        <w:rPr>
          <w:rFonts w:ascii="Times New Roman" w:hAnsi="Times New Roman"/>
          <w:sz w:val="24"/>
          <w:szCs w:val="24"/>
          <w:lang w:eastAsia="en-GB"/>
        </w:rPr>
        <w:t>uce</w:t>
      </w:r>
      <w:r w:rsidR="009540C2" w:rsidRPr="00020413">
        <w:rPr>
          <w:rFonts w:ascii="Times New Roman" w:hAnsi="Times New Roman"/>
          <w:sz w:val="24"/>
          <w:szCs w:val="24"/>
          <w:lang w:eastAsia="en-GB"/>
        </w:rPr>
        <w:t xml:space="preserve"> </w:t>
      </w:r>
      <w:r w:rsidR="00262D41" w:rsidRPr="00020413">
        <w:rPr>
          <w:rFonts w:ascii="Times New Roman" w:hAnsi="Times New Roman"/>
          <w:sz w:val="24"/>
          <w:szCs w:val="24"/>
          <w:lang w:eastAsia="en-GB"/>
        </w:rPr>
        <w:t>loan default rate</w:t>
      </w:r>
      <w:r w:rsidR="000E0474" w:rsidRPr="00020413">
        <w:rPr>
          <w:rFonts w:ascii="Times New Roman" w:hAnsi="Times New Roman"/>
          <w:sz w:val="24"/>
          <w:szCs w:val="24"/>
          <w:lang w:eastAsia="en-GB"/>
        </w:rPr>
        <w:t>. We</w:t>
      </w:r>
      <w:r w:rsidR="00E51F69" w:rsidRPr="00020413">
        <w:rPr>
          <w:rFonts w:ascii="Times New Roman" w:hAnsi="Times New Roman"/>
          <w:sz w:val="24"/>
          <w:szCs w:val="24"/>
          <w:lang w:eastAsia="en-GB"/>
        </w:rPr>
        <w:t>,</w:t>
      </w:r>
      <w:r w:rsidR="000E0474" w:rsidRPr="00020413">
        <w:rPr>
          <w:rFonts w:ascii="Times New Roman" w:hAnsi="Times New Roman"/>
          <w:sz w:val="24"/>
          <w:szCs w:val="24"/>
          <w:lang w:eastAsia="en-GB"/>
        </w:rPr>
        <w:t xml:space="preserve"> therefore</w:t>
      </w:r>
      <w:r w:rsidR="00E51F69" w:rsidRPr="00020413">
        <w:rPr>
          <w:rFonts w:ascii="Times New Roman" w:hAnsi="Times New Roman"/>
          <w:sz w:val="24"/>
          <w:szCs w:val="24"/>
          <w:lang w:eastAsia="en-GB"/>
        </w:rPr>
        <w:t>,</w:t>
      </w:r>
      <w:r w:rsidR="000E0474" w:rsidRPr="00020413">
        <w:rPr>
          <w:rFonts w:ascii="Times New Roman" w:hAnsi="Times New Roman"/>
          <w:sz w:val="24"/>
          <w:szCs w:val="24"/>
          <w:lang w:eastAsia="en-GB"/>
        </w:rPr>
        <w:t xml:space="preserve"> </w:t>
      </w:r>
      <w:r w:rsidR="00CF16D2" w:rsidRPr="00020413">
        <w:rPr>
          <w:rFonts w:ascii="Times New Roman" w:hAnsi="Times New Roman"/>
          <w:sz w:val="24"/>
          <w:szCs w:val="24"/>
          <w:lang w:eastAsia="en-GB"/>
        </w:rPr>
        <w:t>formulate</w:t>
      </w:r>
      <w:r w:rsidR="000E0474" w:rsidRPr="00020413">
        <w:rPr>
          <w:rFonts w:ascii="Times New Roman" w:hAnsi="Times New Roman"/>
          <w:sz w:val="24"/>
          <w:szCs w:val="24"/>
          <w:lang w:eastAsia="en-GB"/>
        </w:rPr>
        <w:t xml:space="preserve"> o</w:t>
      </w:r>
      <w:r w:rsidR="00D55D24" w:rsidRPr="00020413">
        <w:rPr>
          <w:rFonts w:ascii="Times New Roman" w:hAnsi="Times New Roman"/>
          <w:sz w:val="24"/>
          <w:szCs w:val="24"/>
          <w:lang w:eastAsia="en-GB"/>
        </w:rPr>
        <w:t>ur first hypothesis as follows:</w:t>
      </w:r>
    </w:p>
    <w:p w:rsidR="00975D4B" w:rsidRPr="00020413" w:rsidRDefault="000E0474" w:rsidP="00D55D24">
      <w:pPr>
        <w:autoSpaceDE w:val="0"/>
        <w:autoSpaceDN w:val="0"/>
        <w:adjustRightInd w:val="0"/>
        <w:spacing w:after="120" w:line="360" w:lineRule="auto"/>
        <w:jc w:val="both"/>
        <w:rPr>
          <w:rFonts w:ascii="Times New Roman" w:hAnsi="Times New Roman"/>
          <w:i/>
          <w:sz w:val="24"/>
          <w:szCs w:val="24"/>
          <w:lang w:eastAsia="en-GB"/>
        </w:rPr>
      </w:pPr>
      <w:r w:rsidRPr="00020413">
        <w:rPr>
          <w:rFonts w:ascii="Times New Roman" w:hAnsi="Times New Roman"/>
          <w:i/>
          <w:sz w:val="24"/>
          <w:szCs w:val="24"/>
          <w:lang w:eastAsia="en-GB"/>
        </w:rPr>
        <w:t>H1: Credit information sharing red</w:t>
      </w:r>
      <w:r w:rsidR="00DC3B66" w:rsidRPr="00020413">
        <w:rPr>
          <w:rFonts w:ascii="Times New Roman" w:hAnsi="Times New Roman"/>
          <w:i/>
          <w:sz w:val="24"/>
          <w:szCs w:val="24"/>
          <w:lang w:eastAsia="en-GB"/>
        </w:rPr>
        <w:t>uces bank</w:t>
      </w:r>
      <w:r w:rsidR="0025060A" w:rsidRPr="00020413">
        <w:rPr>
          <w:rFonts w:ascii="Times New Roman" w:hAnsi="Times New Roman"/>
          <w:i/>
          <w:sz w:val="24"/>
          <w:szCs w:val="24"/>
          <w:lang w:eastAsia="en-GB"/>
        </w:rPr>
        <w:t>s’</w:t>
      </w:r>
      <w:r w:rsidR="00CF16D2" w:rsidRPr="00020413">
        <w:rPr>
          <w:rFonts w:ascii="Times New Roman" w:hAnsi="Times New Roman"/>
          <w:i/>
          <w:sz w:val="24"/>
          <w:szCs w:val="24"/>
          <w:lang w:eastAsia="en-GB"/>
        </w:rPr>
        <w:t xml:space="preserve"> </w:t>
      </w:r>
      <w:r w:rsidR="00262D41" w:rsidRPr="00020413">
        <w:rPr>
          <w:rFonts w:ascii="Times New Roman" w:hAnsi="Times New Roman"/>
          <w:i/>
          <w:sz w:val="24"/>
          <w:szCs w:val="24"/>
          <w:lang w:eastAsia="en-GB"/>
        </w:rPr>
        <w:t>loan default rate</w:t>
      </w:r>
      <w:r w:rsidRPr="00020413">
        <w:rPr>
          <w:rFonts w:ascii="Times New Roman" w:hAnsi="Times New Roman"/>
          <w:i/>
          <w:sz w:val="24"/>
          <w:szCs w:val="24"/>
          <w:lang w:eastAsia="en-GB"/>
        </w:rPr>
        <w:t>.</w:t>
      </w:r>
    </w:p>
    <w:p w:rsidR="00D55D24" w:rsidRPr="00020413" w:rsidRDefault="00D55D24" w:rsidP="00DB05C7">
      <w:pPr>
        <w:autoSpaceDE w:val="0"/>
        <w:autoSpaceDN w:val="0"/>
        <w:adjustRightInd w:val="0"/>
        <w:spacing w:after="0" w:line="360" w:lineRule="auto"/>
        <w:jc w:val="both"/>
        <w:rPr>
          <w:rFonts w:ascii="Times New Roman" w:hAnsi="Times New Roman"/>
          <w:sz w:val="24"/>
          <w:szCs w:val="24"/>
          <w:lang w:eastAsia="en-GB"/>
        </w:rPr>
      </w:pPr>
    </w:p>
    <w:p w:rsidR="00B34AC7" w:rsidRPr="00020413" w:rsidRDefault="00B34AC7" w:rsidP="00DB05C7">
      <w:pPr>
        <w:autoSpaceDE w:val="0"/>
        <w:autoSpaceDN w:val="0"/>
        <w:adjustRightInd w:val="0"/>
        <w:spacing w:after="0" w:line="360" w:lineRule="auto"/>
        <w:jc w:val="both"/>
        <w:rPr>
          <w:rFonts w:ascii="Times New Roman" w:hAnsi="Times New Roman"/>
          <w:b/>
          <w:sz w:val="24"/>
          <w:szCs w:val="24"/>
          <w:lang w:eastAsia="en-GB"/>
        </w:rPr>
      </w:pPr>
      <w:r w:rsidRPr="00020413">
        <w:rPr>
          <w:rFonts w:ascii="Times New Roman" w:hAnsi="Times New Roman"/>
          <w:b/>
          <w:sz w:val="24"/>
          <w:szCs w:val="24"/>
          <w:lang w:eastAsia="en-GB"/>
        </w:rPr>
        <w:t>2.2 Credit information, banking concentration and loan default</w:t>
      </w:r>
    </w:p>
    <w:p w:rsidR="00030528" w:rsidRPr="00020413" w:rsidRDefault="00227723" w:rsidP="00D55D24">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We argue in this section that the link between credit information sharing and the loan default rate of banks may be contingent on the levels of concentration in the banking industry. </w:t>
      </w:r>
      <w:r w:rsidR="003F24A0" w:rsidRPr="00020413">
        <w:rPr>
          <w:rFonts w:ascii="Times New Roman" w:hAnsi="Times New Roman"/>
          <w:sz w:val="24"/>
          <w:szCs w:val="24"/>
          <w:shd w:val="clear" w:color="auto" w:fill="FFFFFF"/>
        </w:rPr>
        <w:t>Specifically</w:t>
      </w:r>
      <w:r w:rsidRPr="00020413">
        <w:rPr>
          <w:rFonts w:ascii="Times New Roman" w:hAnsi="Times New Roman"/>
          <w:sz w:val="24"/>
          <w:szCs w:val="24"/>
          <w:shd w:val="clear" w:color="auto" w:fill="FFFFFF"/>
        </w:rPr>
        <w:t xml:space="preserve">, we draw </w:t>
      </w:r>
      <w:r w:rsidR="00116BD6" w:rsidRPr="00020413">
        <w:rPr>
          <w:rFonts w:ascii="Times New Roman" w:hAnsi="Times New Roman"/>
          <w:sz w:val="24"/>
          <w:szCs w:val="24"/>
          <w:shd w:val="clear" w:color="auto" w:fill="FFFFFF"/>
        </w:rPr>
        <w:t xml:space="preserve">on the </w:t>
      </w:r>
      <w:r w:rsidR="00B32FE2" w:rsidRPr="00020413">
        <w:rPr>
          <w:rFonts w:ascii="Times New Roman" w:hAnsi="Times New Roman"/>
          <w:sz w:val="24"/>
          <w:szCs w:val="24"/>
          <w:shd w:val="clear" w:color="auto" w:fill="FFFFFF"/>
        </w:rPr>
        <w:t xml:space="preserve">literature </w:t>
      </w:r>
      <w:r w:rsidRPr="00020413">
        <w:rPr>
          <w:rFonts w:ascii="Times New Roman" w:hAnsi="Times New Roman"/>
          <w:sz w:val="24"/>
          <w:szCs w:val="24"/>
          <w:shd w:val="clear" w:color="auto" w:fill="FFFFFF"/>
        </w:rPr>
        <w:t>suggesting</w:t>
      </w:r>
      <w:r w:rsidR="009852A7" w:rsidRPr="00020413">
        <w:rPr>
          <w:rFonts w:ascii="Times New Roman" w:hAnsi="Times New Roman"/>
          <w:sz w:val="24"/>
          <w:szCs w:val="24"/>
          <w:shd w:val="clear" w:color="auto" w:fill="FFFFFF"/>
        </w:rPr>
        <w:t xml:space="preserve"> that </w:t>
      </w:r>
      <w:r w:rsidR="00C53217" w:rsidRPr="00020413">
        <w:rPr>
          <w:rFonts w:ascii="Times New Roman" w:hAnsi="Times New Roman"/>
          <w:sz w:val="24"/>
          <w:szCs w:val="24"/>
          <w:shd w:val="clear" w:color="auto" w:fill="FFFFFF"/>
        </w:rPr>
        <w:t xml:space="preserve">banking market concentration may have an impact on </w:t>
      </w:r>
      <w:r w:rsidR="00873899" w:rsidRPr="00020413">
        <w:rPr>
          <w:rFonts w:ascii="Times New Roman" w:hAnsi="Times New Roman"/>
          <w:sz w:val="24"/>
          <w:szCs w:val="24"/>
          <w:shd w:val="clear" w:color="auto" w:fill="FFFFFF"/>
        </w:rPr>
        <w:t>bank</w:t>
      </w:r>
      <w:r w:rsidR="00C53217" w:rsidRPr="00020413">
        <w:rPr>
          <w:rFonts w:ascii="Times New Roman" w:hAnsi="Times New Roman"/>
          <w:sz w:val="24"/>
          <w:szCs w:val="24"/>
          <w:shd w:val="clear" w:color="auto" w:fill="FFFFFF"/>
        </w:rPr>
        <w:t>s’</w:t>
      </w:r>
      <w:r w:rsidR="00873899" w:rsidRPr="00020413">
        <w:rPr>
          <w:rFonts w:ascii="Times New Roman" w:hAnsi="Times New Roman"/>
          <w:sz w:val="24"/>
          <w:szCs w:val="24"/>
          <w:shd w:val="clear" w:color="auto" w:fill="FFFFFF"/>
        </w:rPr>
        <w:t xml:space="preserve"> lending decisions</w:t>
      </w:r>
      <w:r w:rsidR="00975D4B" w:rsidRPr="00020413">
        <w:rPr>
          <w:rFonts w:ascii="Times New Roman" w:hAnsi="Times New Roman"/>
          <w:sz w:val="24"/>
          <w:szCs w:val="24"/>
          <w:shd w:val="clear" w:color="auto" w:fill="FFFFFF"/>
        </w:rPr>
        <w:t xml:space="preserve"> </w:t>
      </w:r>
      <w:r w:rsidR="00472668" w:rsidRPr="00020413">
        <w:rPr>
          <w:rFonts w:ascii="Times New Roman" w:hAnsi="Times New Roman"/>
          <w:sz w:val="24"/>
          <w:szCs w:val="24"/>
          <w:shd w:val="clear" w:color="auto" w:fill="FFFFFF"/>
        </w:rPr>
        <w:t>(e.g.</w:t>
      </w:r>
      <w:r w:rsidR="003F24A0" w:rsidRPr="00020413">
        <w:rPr>
          <w:rFonts w:ascii="Times New Roman" w:hAnsi="Times New Roman"/>
          <w:sz w:val="24"/>
          <w:szCs w:val="24"/>
          <w:shd w:val="clear" w:color="auto" w:fill="FFFFFF"/>
        </w:rPr>
        <w:t>,</w:t>
      </w:r>
      <w:r w:rsidR="00472668" w:rsidRPr="00020413">
        <w:rPr>
          <w:rFonts w:ascii="Times New Roman" w:hAnsi="Times New Roman"/>
          <w:sz w:val="24"/>
          <w:szCs w:val="24"/>
          <w:shd w:val="clear" w:color="auto" w:fill="FFFFFF"/>
        </w:rPr>
        <w:t xml:space="preserve"> Petersen and </w:t>
      </w:r>
      <w:proofErr w:type="spellStart"/>
      <w:r w:rsidR="00472668" w:rsidRPr="00020413">
        <w:rPr>
          <w:rFonts w:ascii="Times New Roman" w:hAnsi="Times New Roman"/>
          <w:sz w:val="24"/>
          <w:szCs w:val="24"/>
          <w:shd w:val="clear" w:color="auto" w:fill="FFFFFF"/>
        </w:rPr>
        <w:t>Rajan</w:t>
      </w:r>
      <w:proofErr w:type="spellEnd"/>
      <w:r w:rsidR="00472668" w:rsidRPr="00020413">
        <w:rPr>
          <w:rFonts w:ascii="Times New Roman" w:hAnsi="Times New Roman"/>
          <w:sz w:val="24"/>
          <w:szCs w:val="24"/>
          <w:shd w:val="clear" w:color="auto" w:fill="FFFFFF"/>
        </w:rPr>
        <w:t>, 1995</w:t>
      </w:r>
      <w:r w:rsidR="008269D4" w:rsidRPr="00020413">
        <w:rPr>
          <w:rFonts w:ascii="Times New Roman" w:hAnsi="Times New Roman"/>
          <w:sz w:val="24"/>
          <w:szCs w:val="24"/>
          <w:shd w:val="clear" w:color="auto" w:fill="FFFFFF"/>
        </w:rPr>
        <w:t xml:space="preserve">; Marquez, 2002; </w:t>
      </w:r>
      <w:proofErr w:type="spellStart"/>
      <w:r w:rsidR="008269D4" w:rsidRPr="00020413">
        <w:rPr>
          <w:rFonts w:ascii="Times New Roman" w:hAnsi="Times New Roman"/>
          <w:sz w:val="24"/>
          <w:szCs w:val="24"/>
        </w:rPr>
        <w:t>Hauswald</w:t>
      </w:r>
      <w:proofErr w:type="spellEnd"/>
      <w:r w:rsidR="008269D4" w:rsidRPr="00020413">
        <w:rPr>
          <w:rFonts w:ascii="Times New Roman" w:hAnsi="Times New Roman"/>
          <w:sz w:val="24"/>
          <w:szCs w:val="24"/>
        </w:rPr>
        <w:t xml:space="preserve"> and Marquez, 2006</w:t>
      </w:r>
      <w:r w:rsidR="001426AC" w:rsidRPr="00020413">
        <w:rPr>
          <w:rFonts w:ascii="Times New Roman" w:hAnsi="Times New Roman"/>
          <w:sz w:val="24"/>
          <w:szCs w:val="24"/>
        </w:rPr>
        <w:t xml:space="preserve">; </w:t>
      </w:r>
      <w:proofErr w:type="spellStart"/>
      <w:r w:rsidR="001426AC" w:rsidRPr="00020413">
        <w:rPr>
          <w:rFonts w:ascii="Times New Roman" w:hAnsi="Times New Roman"/>
          <w:sz w:val="24"/>
          <w:szCs w:val="24"/>
        </w:rPr>
        <w:t>Gietzen</w:t>
      </w:r>
      <w:proofErr w:type="spellEnd"/>
      <w:r w:rsidR="001426AC" w:rsidRPr="00020413">
        <w:rPr>
          <w:rFonts w:ascii="Times New Roman" w:hAnsi="Times New Roman"/>
          <w:sz w:val="24"/>
          <w:szCs w:val="24"/>
        </w:rPr>
        <w:t>, 2017</w:t>
      </w:r>
      <w:r w:rsidR="00472668" w:rsidRPr="00020413">
        <w:rPr>
          <w:rFonts w:ascii="Times New Roman" w:hAnsi="Times New Roman"/>
          <w:sz w:val="24"/>
          <w:szCs w:val="24"/>
          <w:shd w:val="clear" w:color="auto" w:fill="FFFFFF"/>
        </w:rPr>
        <w:t>)</w:t>
      </w:r>
      <w:r w:rsidR="00E3399A" w:rsidRPr="00020413">
        <w:rPr>
          <w:rFonts w:ascii="Times New Roman" w:hAnsi="Times New Roman"/>
          <w:sz w:val="24"/>
          <w:szCs w:val="24"/>
          <w:shd w:val="clear" w:color="auto" w:fill="FFFFFF"/>
        </w:rPr>
        <w:t xml:space="preserve">. </w:t>
      </w:r>
      <w:r w:rsidR="00182EB1" w:rsidRPr="00020413">
        <w:rPr>
          <w:rFonts w:ascii="Times New Roman" w:hAnsi="Times New Roman"/>
          <w:sz w:val="24"/>
          <w:szCs w:val="24"/>
          <w:shd w:val="clear" w:color="auto" w:fill="FFFFFF"/>
        </w:rPr>
        <w:t>Since</w:t>
      </w:r>
      <w:r w:rsidR="00D24537" w:rsidRPr="00020413">
        <w:rPr>
          <w:rFonts w:ascii="Times New Roman" w:hAnsi="Times New Roman"/>
          <w:sz w:val="24"/>
          <w:szCs w:val="24"/>
        </w:rPr>
        <w:t xml:space="preserve"> banking sector concentration </w:t>
      </w:r>
      <w:r w:rsidR="00182EB1" w:rsidRPr="00020413">
        <w:rPr>
          <w:rFonts w:ascii="Times New Roman" w:hAnsi="Times New Roman"/>
          <w:sz w:val="24"/>
          <w:szCs w:val="24"/>
        </w:rPr>
        <w:t>tends to be</w:t>
      </w:r>
      <w:r w:rsidR="002A152D" w:rsidRPr="00020413">
        <w:rPr>
          <w:rFonts w:ascii="Times New Roman" w:hAnsi="Times New Roman"/>
          <w:sz w:val="24"/>
          <w:szCs w:val="24"/>
        </w:rPr>
        <w:t xml:space="preserve"> associated with </w:t>
      </w:r>
      <w:r w:rsidR="00182EB1" w:rsidRPr="00020413">
        <w:rPr>
          <w:rFonts w:ascii="Times New Roman" w:hAnsi="Times New Roman"/>
          <w:sz w:val="24"/>
          <w:szCs w:val="24"/>
        </w:rPr>
        <w:t>a few large</w:t>
      </w:r>
      <w:r w:rsidR="002A152D" w:rsidRPr="00020413">
        <w:rPr>
          <w:rFonts w:ascii="Times New Roman" w:hAnsi="Times New Roman"/>
          <w:sz w:val="24"/>
          <w:szCs w:val="24"/>
        </w:rPr>
        <w:t xml:space="preserve"> banks </w:t>
      </w:r>
      <w:r w:rsidR="00182EB1" w:rsidRPr="00020413">
        <w:rPr>
          <w:rFonts w:ascii="Times New Roman" w:hAnsi="Times New Roman"/>
          <w:sz w:val="24"/>
          <w:szCs w:val="24"/>
        </w:rPr>
        <w:t>that have</w:t>
      </w:r>
      <w:r w:rsidR="002A152D" w:rsidRPr="00020413">
        <w:rPr>
          <w:rFonts w:ascii="Times New Roman" w:hAnsi="Times New Roman"/>
          <w:sz w:val="24"/>
          <w:szCs w:val="24"/>
        </w:rPr>
        <w:t xml:space="preserve"> a large</w:t>
      </w:r>
      <w:r w:rsidR="00D24537" w:rsidRPr="00020413">
        <w:rPr>
          <w:rFonts w:ascii="Times New Roman" w:hAnsi="Times New Roman"/>
          <w:sz w:val="24"/>
          <w:szCs w:val="24"/>
        </w:rPr>
        <w:t xml:space="preserve"> pool of borrowers </w:t>
      </w:r>
      <w:r w:rsidR="00D24537" w:rsidRPr="00020413">
        <w:rPr>
          <w:rFonts w:ascii="Times New Roman" w:hAnsi="Times New Roman"/>
          <w:sz w:val="24"/>
          <w:szCs w:val="24"/>
          <w:shd w:val="clear" w:color="auto" w:fill="FFFFFF"/>
        </w:rPr>
        <w:t xml:space="preserve">(Marquez, 2002; </w:t>
      </w:r>
      <w:proofErr w:type="spellStart"/>
      <w:r w:rsidR="00D24537" w:rsidRPr="00020413">
        <w:rPr>
          <w:rFonts w:ascii="Times New Roman" w:hAnsi="Times New Roman"/>
          <w:sz w:val="24"/>
          <w:szCs w:val="24"/>
        </w:rPr>
        <w:t>Hauswald</w:t>
      </w:r>
      <w:proofErr w:type="spellEnd"/>
      <w:r w:rsidR="00D24537" w:rsidRPr="00020413">
        <w:rPr>
          <w:rFonts w:ascii="Times New Roman" w:hAnsi="Times New Roman"/>
          <w:sz w:val="24"/>
          <w:szCs w:val="24"/>
        </w:rPr>
        <w:t xml:space="preserve"> and Marquez, 2006),</w:t>
      </w:r>
      <w:r w:rsidR="002A152D" w:rsidRPr="00020413">
        <w:rPr>
          <w:rFonts w:ascii="Times New Roman" w:hAnsi="Times New Roman"/>
          <w:sz w:val="24"/>
          <w:szCs w:val="24"/>
        </w:rPr>
        <w:t xml:space="preserve"> </w:t>
      </w:r>
      <w:r w:rsidR="00182EB1" w:rsidRPr="00020413">
        <w:rPr>
          <w:rFonts w:ascii="Times New Roman" w:hAnsi="Times New Roman"/>
          <w:sz w:val="24"/>
          <w:szCs w:val="24"/>
        </w:rPr>
        <w:t>competition</w:t>
      </w:r>
      <w:r w:rsidR="00182EB1" w:rsidRPr="00020413">
        <w:rPr>
          <w:rFonts w:ascii="Times New Roman" w:hAnsi="Times New Roman"/>
          <w:sz w:val="24"/>
          <w:szCs w:val="24"/>
          <w:shd w:val="clear" w:color="auto" w:fill="FFFFFF"/>
        </w:rPr>
        <w:t xml:space="preserve"> is generally </w:t>
      </w:r>
      <w:r w:rsidR="00182EB1" w:rsidRPr="00020413">
        <w:rPr>
          <w:rFonts w:ascii="Times New Roman" w:hAnsi="Times New Roman"/>
          <w:sz w:val="24"/>
          <w:szCs w:val="24"/>
        </w:rPr>
        <w:t>stifled</w:t>
      </w:r>
      <w:r w:rsidR="00281A16" w:rsidRPr="00020413">
        <w:rPr>
          <w:rFonts w:ascii="Times New Roman" w:hAnsi="Times New Roman"/>
          <w:sz w:val="24"/>
          <w:szCs w:val="24"/>
          <w:shd w:val="clear" w:color="auto" w:fill="FFFFFF"/>
        </w:rPr>
        <w:t xml:space="preserve"> </w:t>
      </w:r>
      <w:r w:rsidR="006227BB" w:rsidRPr="00020413">
        <w:rPr>
          <w:rFonts w:ascii="Times New Roman" w:hAnsi="Times New Roman"/>
          <w:sz w:val="24"/>
          <w:szCs w:val="24"/>
          <w:shd w:val="clear" w:color="auto" w:fill="FFFFFF"/>
        </w:rPr>
        <w:t>in such</w:t>
      </w:r>
      <w:r w:rsidR="00281A16" w:rsidRPr="00020413">
        <w:rPr>
          <w:rFonts w:ascii="Times New Roman" w:hAnsi="Times New Roman"/>
          <w:sz w:val="24"/>
          <w:szCs w:val="24"/>
          <w:shd w:val="clear" w:color="auto" w:fill="FFFFFF"/>
        </w:rPr>
        <w:t xml:space="preserve"> banking markets</w:t>
      </w:r>
      <w:r w:rsidR="00182EB1" w:rsidRPr="00020413">
        <w:rPr>
          <w:rFonts w:ascii="Times New Roman" w:hAnsi="Times New Roman"/>
          <w:sz w:val="24"/>
          <w:szCs w:val="24"/>
          <w:shd w:val="clear" w:color="auto" w:fill="FFFFFF"/>
        </w:rPr>
        <w:t xml:space="preserve"> (Berger and Hannan, 1998) and </w:t>
      </w:r>
      <w:r w:rsidR="00281A16" w:rsidRPr="00020413">
        <w:rPr>
          <w:rFonts w:ascii="Times New Roman" w:hAnsi="Times New Roman"/>
          <w:sz w:val="24"/>
          <w:szCs w:val="24"/>
          <w:shd w:val="clear" w:color="auto" w:fill="FFFFFF"/>
        </w:rPr>
        <w:t xml:space="preserve">the few large </w:t>
      </w:r>
      <w:r w:rsidR="00182EB1" w:rsidRPr="00020413">
        <w:rPr>
          <w:rFonts w:ascii="Times New Roman" w:hAnsi="Times New Roman"/>
          <w:sz w:val="24"/>
          <w:szCs w:val="24"/>
          <w:shd w:val="clear" w:color="auto" w:fill="FFFFFF"/>
        </w:rPr>
        <w:t xml:space="preserve">banks </w:t>
      </w:r>
      <w:r w:rsidR="00281A16" w:rsidRPr="00020413">
        <w:rPr>
          <w:rFonts w:ascii="Times New Roman" w:hAnsi="Times New Roman"/>
          <w:sz w:val="24"/>
          <w:szCs w:val="24"/>
          <w:shd w:val="clear" w:color="auto" w:fill="FFFFFF"/>
        </w:rPr>
        <w:t xml:space="preserve">are able to </w:t>
      </w:r>
      <w:r w:rsidR="00182EB1" w:rsidRPr="00020413">
        <w:rPr>
          <w:rFonts w:ascii="Times New Roman" w:hAnsi="Times New Roman"/>
          <w:sz w:val="24"/>
          <w:szCs w:val="24"/>
          <w:shd w:val="clear" w:color="auto" w:fill="FFFFFF"/>
        </w:rPr>
        <w:t xml:space="preserve">easily assume a </w:t>
      </w:r>
      <w:r w:rsidR="00734EDA" w:rsidRPr="00020413">
        <w:rPr>
          <w:rFonts w:ascii="Times New Roman" w:hAnsi="Times New Roman"/>
          <w:sz w:val="24"/>
          <w:szCs w:val="24"/>
          <w:shd w:val="clear" w:color="auto" w:fill="FFFFFF"/>
        </w:rPr>
        <w:t>‘</w:t>
      </w:r>
      <w:r w:rsidR="00182EB1" w:rsidRPr="00020413">
        <w:rPr>
          <w:rFonts w:ascii="Times New Roman" w:hAnsi="Times New Roman"/>
          <w:sz w:val="24"/>
          <w:szCs w:val="24"/>
          <w:shd w:val="clear" w:color="auto" w:fill="FFFFFF"/>
        </w:rPr>
        <w:t>too</w:t>
      </w:r>
      <w:r w:rsidR="005B5FD5" w:rsidRPr="00020413">
        <w:rPr>
          <w:rFonts w:ascii="Times New Roman" w:hAnsi="Times New Roman"/>
          <w:sz w:val="24"/>
          <w:szCs w:val="24"/>
          <w:shd w:val="clear" w:color="auto" w:fill="FFFFFF"/>
        </w:rPr>
        <w:t>-</w:t>
      </w:r>
      <w:r w:rsidR="00182EB1" w:rsidRPr="00020413">
        <w:rPr>
          <w:rFonts w:ascii="Times New Roman" w:hAnsi="Times New Roman"/>
          <w:sz w:val="24"/>
          <w:szCs w:val="24"/>
          <w:shd w:val="clear" w:color="auto" w:fill="FFFFFF"/>
        </w:rPr>
        <w:t>big</w:t>
      </w:r>
      <w:r w:rsidR="005B5FD5" w:rsidRPr="00020413">
        <w:rPr>
          <w:rFonts w:ascii="Times New Roman" w:hAnsi="Times New Roman"/>
          <w:sz w:val="24"/>
          <w:szCs w:val="24"/>
          <w:shd w:val="clear" w:color="auto" w:fill="FFFFFF"/>
        </w:rPr>
        <w:t>-</w:t>
      </w:r>
      <w:r w:rsidR="00182EB1" w:rsidRPr="00020413">
        <w:rPr>
          <w:rFonts w:ascii="Times New Roman" w:hAnsi="Times New Roman"/>
          <w:sz w:val="24"/>
          <w:szCs w:val="24"/>
          <w:shd w:val="clear" w:color="auto" w:fill="FFFFFF"/>
        </w:rPr>
        <w:t>to</w:t>
      </w:r>
      <w:r w:rsidR="005B5FD5" w:rsidRPr="00020413">
        <w:rPr>
          <w:rFonts w:ascii="Times New Roman" w:hAnsi="Times New Roman"/>
          <w:sz w:val="24"/>
          <w:szCs w:val="24"/>
          <w:shd w:val="clear" w:color="auto" w:fill="FFFFFF"/>
        </w:rPr>
        <w:t>-</w:t>
      </w:r>
      <w:r w:rsidR="00182EB1" w:rsidRPr="00020413">
        <w:rPr>
          <w:rFonts w:ascii="Times New Roman" w:hAnsi="Times New Roman"/>
          <w:sz w:val="24"/>
          <w:szCs w:val="24"/>
          <w:shd w:val="clear" w:color="auto" w:fill="FFFFFF"/>
        </w:rPr>
        <w:t>fail</w:t>
      </w:r>
      <w:r w:rsidR="00734EDA" w:rsidRPr="00020413">
        <w:rPr>
          <w:rFonts w:ascii="Times New Roman" w:hAnsi="Times New Roman"/>
          <w:sz w:val="24"/>
          <w:szCs w:val="24"/>
          <w:shd w:val="clear" w:color="auto" w:fill="FFFFFF"/>
        </w:rPr>
        <w:t>’</w:t>
      </w:r>
      <w:r w:rsidR="00182EB1" w:rsidRPr="00020413">
        <w:rPr>
          <w:rFonts w:ascii="Times New Roman" w:hAnsi="Times New Roman"/>
          <w:sz w:val="24"/>
          <w:szCs w:val="24"/>
          <w:shd w:val="clear" w:color="auto" w:fill="FFFFFF"/>
        </w:rPr>
        <w:t xml:space="preserve"> status (</w:t>
      </w:r>
      <w:r w:rsidR="00182EB1" w:rsidRPr="00020413">
        <w:rPr>
          <w:rFonts w:ascii="Times New Roman" w:hAnsi="Times New Roman"/>
          <w:sz w:val="24"/>
          <w:szCs w:val="24"/>
          <w:lang w:eastAsia="en-GB"/>
        </w:rPr>
        <w:t>Acharya et al.,</w:t>
      </w:r>
      <w:r w:rsidR="00182EB1" w:rsidRPr="00020413">
        <w:rPr>
          <w:rFonts w:ascii="Times New Roman" w:hAnsi="Times New Roman"/>
          <w:sz w:val="24"/>
          <w:szCs w:val="24"/>
          <w:shd w:val="clear" w:color="auto" w:fill="FFFFFF"/>
        </w:rPr>
        <w:t xml:space="preserve"> 2013). </w:t>
      </w:r>
      <w:r w:rsidR="006227BB" w:rsidRPr="00020413">
        <w:rPr>
          <w:rFonts w:ascii="Times New Roman" w:hAnsi="Times New Roman"/>
          <w:sz w:val="24"/>
          <w:szCs w:val="24"/>
          <w:shd w:val="clear" w:color="auto" w:fill="FFFFFF"/>
        </w:rPr>
        <w:t>The</w:t>
      </w:r>
      <w:r w:rsidR="00281A16" w:rsidRPr="00020413">
        <w:rPr>
          <w:rFonts w:ascii="Times New Roman" w:hAnsi="Times New Roman"/>
          <w:sz w:val="24"/>
          <w:szCs w:val="24"/>
          <w:shd w:val="clear" w:color="auto" w:fill="FFFFFF"/>
        </w:rPr>
        <w:t>s</w:t>
      </w:r>
      <w:r w:rsidR="006227BB" w:rsidRPr="00020413">
        <w:rPr>
          <w:rFonts w:ascii="Times New Roman" w:hAnsi="Times New Roman"/>
          <w:sz w:val="24"/>
          <w:szCs w:val="24"/>
          <w:shd w:val="clear" w:color="auto" w:fill="FFFFFF"/>
        </w:rPr>
        <w:t>e</w:t>
      </w:r>
      <w:r w:rsidR="00281A16" w:rsidRPr="00020413">
        <w:rPr>
          <w:rFonts w:ascii="Times New Roman" w:hAnsi="Times New Roman"/>
          <w:sz w:val="24"/>
          <w:szCs w:val="24"/>
          <w:shd w:val="clear" w:color="auto" w:fill="FFFFFF"/>
        </w:rPr>
        <w:t xml:space="preserve"> feat</w:t>
      </w:r>
      <w:r w:rsidR="006227BB" w:rsidRPr="00020413">
        <w:rPr>
          <w:rFonts w:ascii="Times New Roman" w:hAnsi="Times New Roman"/>
          <w:sz w:val="24"/>
          <w:szCs w:val="24"/>
          <w:shd w:val="clear" w:color="auto" w:fill="FFFFFF"/>
        </w:rPr>
        <w:t>ures generally</w:t>
      </w:r>
      <w:r w:rsidR="00281A16" w:rsidRPr="00020413">
        <w:rPr>
          <w:rFonts w:ascii="Times New Roman" w:hAnsi="Times New Roman"/>
          <w:sz w:val="24"/>
          <w:szCs w:val="24"/>
          <w:shd w:val="clear" w:color="auto" w:fill="FFFFFF"/>
        </w:rPr>
        <w:t xml:space="preserve"> incentivise </w:t>
      </w:r>
      <w:r w:rsidR="002A152D" w:rsidRPr="00020413">
        <w:rPr>
          <w:rFonts w:ascii="Times New Roman" w:hAnsi="Times New Roman"/>
          <w:sz w:val="24"/>
          <w:szCs w:val="24"/>
          <w:shd w:val="clear" w:color="auto" w:fill="FFFFFF"/>
        </w:rPr>
        <w:t xml:space="preserve">banks </w:t>
      </w:r>
      <w:r w:rsidR="00281A16" w:rsidRPr="00020413">
        <w:rPr>
          <w:rFonts w:ascii="Times New Roman" w:hAnsi="Times New Roman"/>
          <w:sz w:val="24"/>
          <w:szCs w:val="24"/>
          <w:shd w:val="clear" w:color="auto" w:fill="FFFFFF"/>
        </w:rPr>
        <w:t xml:space="preserve">in concentrated markets </w:t>
      </w:r>
      <w:r w:rsidR="00F40CEC" w:rsidRPr="00020413">
        <w:rPr>
          <w:rFonts w:ascii="Times New Roman" w:hAnsi="Times New Roman"/>
          <w:sz w:val="24"/>
          <w:szCs w:val="24"/>
          <w:shd w:val="clear" w:color="auto" w:fill="FFFFFF"/>
        </w:rPr>
        <w:t>to make risky and/or</w:t>
      </w:r>
      <w:r w:rsidR="002A152D" w:rsidRPr="00020413">
        <w:rPr>
          <w:rFonts w:ascii="Times New Roman" w:hAnsi="Times New Roman"/>
          <w:sz w:val="24"/>
          <w:szCs w:val="24"/>
          <w:shd w:val="clear" w:color="auto" w:fill="FFFFFF"/>
        </w:rPr>
        <w:t xml:space="preserve"> inefficient lending decisions</w:t>
      </w:r>
      <w:r w:rsidR="006227BB" w:rsidRPr="00020413">
        <w:rPr>
          <w:rFonts w:ascii="Times New Roman" w:hAnsi="Times New Roman"/>
          <w:sz w:val="24"/>
          <w:szCs w:val="24"/>
          <w:shd w:val="clear" w:color="auto" w:fill="FFFFFF"/>
        </w:rPr>
        <w:t>, which</w:t>
      </w:r>
      <w:r w:rsidR="00281A16" w:rsidRPr="00020413">
        <w:rPr>
          <w:rFonts w:ascii="Times New Roman" w:hAnsi="Times New Roman"/>
          <w:sz w:val="24"/>
          <w:szCs w:val="24"/>
          <w:shd w:val="clear" w:color="auto" w:fill="FFFFFF"/>
        </w:rPr>
        <w:t xml:space="preserve"> increase loan default rates</w:t>
      </w:r>
      <w:r w:rsidR="00281A16" w:rsidRPr="00020413">
        <w:rPr>
          <w:rFonts w:ascii="Times New Roman" w:hAnsi="Times New Roman"/>
          <w:sz w:val="24"/>
          <w:szCs w:val="24"/>
        </w:rPr>
        <w:t xml:space="preserve">. </w:t>
      </w:r>
      <w:r w:rsidR="00F86418" w:rsidRPr="00020413">
        <w:rPr>
          <w:rFonts w:ascii="Times New Roman" w:hAnsi="Times New Roman"/>
          <w:sz w:val="24"/>
          <w:szCs w:val="24"/>
          <w:shd w:val="clear" w:color="auto" w:fill="FFFFFF"/>
        </w:rPr>
        <w:lastRenderedPageBreak/>
        <w:t>Based on a sample of 3</w:t>
      </w:r>
      <w:r w:rsidR="003F24A0" w:rsidRPr="00020413">
        <w:rPr>
          <w:rFonts w:ascii="Times New Roman" w:hAnsi="Times New Roman"/>
          <w:sz w:val="24"/>
          <w:szCs w:val="24"/>
          <w:shd w:val="clear" w:color="auto" w:fill="FFFFFF"/>
        </w:rPr>
        <w:t>,</w:t>
      </w:r>
      <w:r w:rsidR="00F86418" w:rsidRPr="00020413">
        <w:rPr>
          <w:rFonts w:ascii="Times New Roman" w:hAnsi="Times New Roman"/>
          <w:sz w:val="24"/>
          <w:szCs w:val="24"/>
          <w:shd w:val="clear" w:color="auto" w:fill="FFFFFF"/>
        </w:rPr>
        <w:t xml:space="preserve">404 US firms surveyed in 1988-1989, </w:t>
      </w:r>
      <w:bookmarkStart w:id="2" w:name="_Hlk507251418"/>
      <w:r w:rsidR="00F86418" w:rsidRPr="00020413">
        <w:rPr>
          <w:rFonts w:ascii="Times New Roman" w:hAnsi="Times New Roman"/>
          <w:sz w:val="24"/>
          <w:szCs w:val="24"/>
          <w:shd w:val="clear" w:color="auto" w:fill="FFFFFF"/>
        </w:rPr>
        <w:t xml:space="preserve">Petersen and </w:t>
      </w:r>
      <w:proofErr w:type="spellStart"/>
      <w:r w:rsidR="00F86418" w:rsidRPr="00020413">
        <w:rPr>
          <w:rFonts w:ascii="Times New Roman" w:hAnsi="Times New Roman"/>
          <w:sz w:val="24"/>
          <w:szCs w:val="24"/>
          <w:shd w:val="clear" w:color="auto" w:fill="FFFFFF"/>
        </w:rPr>
        <w:t>Rajan</w:t>
      </w:r>
      <w:proofErr w:type="spellEnd"/>
      <w:r w:rsidR="00F86418" w:rsidRPr="00020413">
        <w:rPr>
          <w:rFonts w:ascii="Times New Roman" w:hAnsi="Times New Roman"/>
          <w:sz w:val="24"/>
          <w:szCs w:val="24"/>
          <w:shd w:val="clear" w:color="auto" w:fill="FFFFFF"/>
        </w:rPr>
        <w:t xml:space="preserve"> (1995)</w:t>
      </w:r>
      <w:bookmarkEnd w:id="2"/>
      <w:r w:rsidR="00F86418" w:rsidRPr="00020413">
        <w:rPr>
          <w:rFonts w:ascii="Times New Roman" w:hAnsi="Times New Roman"/>
          <w:sz w:val="24"/>
          <w:szCs w:val="24"/>
          <w:shd w:val="clear" w:color="auto" w:fill="FFFFFF"/>
        </w:rPr>
        <w:t xml:space="preserve"> offer empirical evidence to suggest that</w:t>
      </w:r>
      <w:r w:rsidR="005E7200" w:rsidRPr="00020413">
        <w:rPr>
          <w:rFonts w:ascii="Times New Roman" w:hAnsi="Times New Roman"/>
          <w:sz w:val="24"/>
          <w:szCs w:val="24"/>
          <w:shd w:val="clear" w:color="auto" w:fill="FFFFFF"/>
        </w:rPr>
        <w:t xml:space="preserve"> risky decisions</w:t>
      </w:r>
      <w:r w:rsidR="00BC1759" w:rsidRPr="00020413">
        <w:rPr>
          <w:rFonts w:ascii="Times New Roman" w:hAnsi="Times New Roman"/>
          <w:sz w:val="24"/>
          <w:szCs w:val="24"/>
          <w:shd w:val="clear" w:color="auto" w:fill="FFFFFF"/>
        </w:rPr>
        <w:t>,</w:t>
      </w:r>
      <w:r w:rsidR="005E7200" w:rsidRPr="00020413">
        <w:rPr>
          <w:rFonts w:ascii="Times New Roman" w:hAnsi="Times New Roman"/>
          <w:sz w:val="24"/>
          <w:szCs w:val="24"/>
          <w:shd w:val="clear" w:color="auto" w:fill="FFFFFF"/>
        </w:rPr>
        <w:t xml:space="preserve"> such as lending to young firms</w:t>
      </w:r>
      <w:r w:rsidR="006227BB" w:rsidRPr="00020413">
        <w:rPr>
          <w:rFonts w:ascii="Times New Roman" w:hAnsi="Times New Roman"/>
          <w:sz w:val="24"/>
          <w:szCs w:val="24"/>
          <w:shd w:val="clear" w:color="auto" w:fill="FFFFFF"/>
        </w:rPr>
        <w:t xml:space="preserve">, </w:t>
      </w:r>
      <w:r w:rsidR="0013111C" w:rsidRPr="00020413">
        <w:rPr>
          <w:rFonts w:ascii="Times New Roman" w:hAnsi="Times New Roman"/>
          <w:sz w:val="24"/>
          <w:szCs w:val="24"/>
          <w:shd w:val="clear" w:color="auto" w:fill="FFFFFF"/>
        </w:rPr>
        <w:t>which</w:t>
      </w:r>
      <w:r w:rsidR="006227BB" w:rsidRPr="00020413">
        <w:rPr>
          <w:rFonts w:ascii="Times New Roman" w:hAnsi="Times New Roman"/>
          <w:sz w:val="24"/>
          <w:szCs w:val="24"/>
          <w:shd w:val="clear" w:color="auto" w:fill="FFFFFF"/>
        </w:rPr>
        <w:t xml:space="preserve"> are likely to be financially constrained,</w:t>
      </w:r>
      <w:r w:rsidR="005E7200" w:rsidRPr="00020413">
        <w:rPr>
          <w:rFonts w:ascii="Times New Roman" w:hAnsi="Times New Roman"/>
          <w:sz w:val="24"/>
          <w:szCs w:val="24"/>
          <w:shd w:val="clear" w:color="auto" w:fill="FFFFFF"/>
        </w:rPr>
        <w:t xml:space="preserve"> are</w:t>
      </w:r>
      <w:r w:rsidR="00F86418" w:rsidRPr="00020413">
        <w:rPr>
          <w:rFonts w:ascii="Times New Roman" w:hAnsi="Times New Roman"/>
          <w:sz w:val="24"/>
          <w:szCs w:val="24"/>
          <w:shd w:val="clear" w:color="auto" w:fill="FFFFFF"/>
        </w:rPr>
        <w:t xml:space="preserve"> encouraged in concentrated banking markets than in less concentrated markets.</w:t>
      </w:r>
      <w:r w:rsidR="005E7200" w:rsidRPr="00020413">
        <w:rPr>
          <w:rFonts w:ascii="Times New Roman" w:hAnsi="Times New Roman"/>
          <w:sz w:val="24"/>
          <w:szCs w:val="24"/>
          <w:shd w:val="clear" w:color="auto" w:fill="FFFFFF"/>
        </w:rPr>
        <w:t xml:space="preserve"> Similarly, </w:t>
      </w:r>
      <w:bookmarkStart w:id="3" w:name="_Hlk507251427"/>
      <w:proofErr w:type="spellStart"/>
      <w:r w:rsidR="00FB45C3" w:rsidRPr="00020413">
        <w:rPr>
          <w:rFonts w:ascii="Times New Roman" w:hAnsi="Times New Roman"/>
          <w:sz w:val="24"/>
          <w:szCs w:val="24"/>
          <w:shd w:val="clear" w:color="auto" w:fill="FFFFFF"/>
        </w:rPr>
        <w:t>Bonaccorsi</w:t>
      </w:r>
      <w:proofErr w:type="spellEnd"/>
      <w:r w:rsidR="00FB45C3" w:rsidRPr="00020413">
        <w:rPr>
          <w:rFonts w:ascii="Times New Roman" w:hAnsi="Times New Roman"/>
          <w:sz w:val="24"/>
          <w:szCs w:val="24"/>
          <w:shd w:val="clear" w:color="auto" w:fill="FFFFFF"/>
        </w:rPr>
        <w:t xml:space="preserve"> and </w:t>
      </w:r>
      <w:proofErr w:type="spellStart"/>
      <w:r w:rsidR="00FB45C3" w:rsidRPr="00020413">
        <w:rPr>
          <w:rFonts w:ascii="Times New Roman" w:hAnsi="Times New Roman"/>
          <w:sz w:val="24"/>
          <w:szCs w:val="24"/>
          <w:shd w:val="clear" w:color="auto" w:fill="FFFFFF"/>
        </w:rPr>
        <w:t>Dell’Ariccia</w:t>
      </w:r>
      <w:proofErr w:type="spellEnd"/>
      <w:r w:rsidR="00FB45C3" w:rsidRPr="00020413">
        <w:rPr>
          <w:rFonts w:ascii="Times New Roman" w:hAnsi="Times New Roman"/>
          <w:sz w:val="24"/>
          <w:szCs w:val="24"/>
          <w:shd w:val="clear" w:color="auto" w:fill="FFFFFF"/>
        </w:rPr>
        <w:t xml:space="preserve"> (2004)</w:t>
      </w:r>
      <w:bookmarkEnd w:id="3"/>
      <w:r w:rsidR="005E7200" w:rsidRPr="00020413">
        <w:rPr>
          <w:rFonts w:ascii="Times New Roman" w:hAnsi="Times New Roman"/>
          <w:sz w:val="24"/>
          <w:szCs w:val="24"/>
          <w:shd w:val="clear" w:color="auto" w:fill="FFFFFF"/>
        </w:rPr>
        <w:t xml:space="preserve"> analyse cross-industry I</w:t>
      </w:r>
      <w:r w:rsidR="00FB45C3" w:rsidRPr="00020413">
        <w:rPr>
          <w:rFonts w:ascii="Times New Roman" w:hAnsi="Times New Roman"/>
          <w:sz w:val="24"/>
          <w:szCs w:val="24"/>
          <w:shd w:val="clear" w:color="auto" w:fill="FFFFFF"/>
        </w:rPr>
        <w:t xml:space="preserve">talian data and find a </w:t>
      </w:r>
      <w:r w:rsidR="005E7200" w:rsidRPr="00020413">
        <w:rPr>
          <w:rFonts w:ascii="Times New Roman" w:hAnsi="Times New Roman"/>
          <w:sz w:val="24"/>
          <w:szCs w:val="24"/>
          <w:shd w:val="clear" w:color="auto" w:fill="FFFFFF"/>
        </w:rPr>
        <w:t xml:space="preserve">positive effect of bank concentration on </w:t>
      </w:r>
      <w:r w:rsidR="00FB45C3" w:rsidRPr="00020413">
        <w:rPr>
          <w:rFonts w:ascii="Times New Roman" w:hAnsi="Times New Roman"/>
          <w:sz w:val="24"/>
          <w:szCs w:val="24"/>
          <w:shd w:val="clear" w:color="auto" w:fill="FFFFFF"/>
        </w:rPr>
        <w:t>the emergence of new firms</w:t>
      </w:r>
      <w:r w:rsidR="005E7200" w:rsidRPr="00020413">
        <w:rPr>
          <w:rFonts w:ascii="Times New Roman" w:hAnsi="Times New Roman"/>
          <w:sz w:val="24"/>
          <w:szCs w:val="24"/>
          <w:shd w:val="clear" w:color="auto" w:fill="FFFFFF"/>
        </w:rPr>
        <w:t xml:space="preserve">, </w:t>
      </w:r>
      <w:r w:rsidR="00402E1A" w:rsidRPr="00020413">
        <w:rPr>
          <w:rFonts w:ascii="Times New Roman" w:hAnsi="Times New Roman"/>
          <w:sz w:val="24"/>
          <w:szCs w:val="24"/>
          <w:shd w:val="clear" w:color="auto" w:fill="FFFFFF"/>
        </w:rPr>
        <w:t xml:space="preserve">suggesting an increased lending to </w:t>
      </w:r>
      <w:r w:rsidR="00030528" w:rsidRPr="00020413">
        <w:rPr>
          <w:rFonts w:ascii="Times New Roman" w:hAnsi="Times New Roman"/>
          <w:sz w:val="24"/>
          <w:szCs w:val="24"/>
          <w:shd w:val="clear" w:color="auto" w:fill="FFFFFF"/>
        </w:rPr>
        <w:t>risky entrepreneurial activities and business start-ups in concentrated banking markets. They further show an amplification of such risky lending in</w:t>
      </w:r>
      <w:r w:rsidR="005E7200" w:rsidRPr="00020413">
        <w:rPr>
          <w:rFonts w:ascii="Times New Roman" w:hAnsi="Times New Roman"/>
          <w:sz w:val="24"/>
          <w:szCs w:val="24"/>
          <w:shd w:val="clear" w:color="auto" w:fill="FFFFFF"/>
        </w:rPr>
        <w:t xml:space="preserve"> more informationally opaque industrial sectors. </w:t>
      </w:r>
    </w:p>
    <w:p w:rsidR="00A50C13" w:rsidRPr="00020413" w:rsidRDefault="00864099" w:rsidP="00D55D24">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These arguments and evidence suggest that risky lending and</w:t>
      </w:r>
      <w:r w:rsidR="00734EDA" w:rsidRPr="00020413">
        <w:rPr>
          <w:rFonts w:ascii="Times New Roman" w:hAnsi="Times New Roman"/>
          <w:sz w:val="24"/>
          <w:szCs w:val="24"/>
          <w:shd w:val="clear" w:color="auto" w:fill="FFFFFF"/>
        </w:rPr>
        <w:t>,</w:t>
      </w:r>
      <w:r w:rsidRPr="00020413">
        <w:rPr>
          <w:rFonts w:ascii="Times New Roman" w:hAnsi="Times New Roman"/>
          <w:sz w:val="24"/>
          <w:szCs w:val="24"/>
          <w:shd w:val="clear" w:color="auto" w:fill="FFFFFF"/>
        </w:rPr>
        <w:t xml:space="preserve"> by extension, loan default rates may be higher in concentrated markets</w:t>
      </w:r>
      <w:r w:rsidR="00446402" w:rsidRPr="00020413">
        <w:rPr>
          <w:rFonts w:ascii="Times New Roman" w:hAnsi="Times New Roman"/>
          <w:sz w:val="24"/>
          <w:szCs w:val="24"/>
          <w:shd w:val="clear" w:color="auto" w:fill="FFFFFF"/>
        </w:rPr>
        <w:t>, and for that matter</w:t>
      </w:r>
      <w:r w:rsidR="00352A07" w:rsidRPr="00020413">
        <w:rPr>
          <w:rFonts w:ascii="Times New Roman" w:hAnsi="Times New Roman"/>
          <w:sz w:val="24"/>
          <w:szCs w:val="24"/>
          <w:shd w:val="clear" w:color="auto" w:fill="FFFFFF"/>
        </w:rPr>
        <w:t>,</w:t>
      </w:r>
      <w:r w:rsidR="00446402" w:rsidRPr="00020413">
        <w:rPr>
          <w:rFonts w:ascii="Times New Roman" w:hAnsi="Times New Roman"/>
          <w:sz w:val="24"/>
          <w:szCs w:val="24"/>
          <w:shd w:val="clear" w:color="auto" w:fill="FFFFFF"/>
        </w:rPr>
        <w:t xml:space="preserve"> credit information sharing may have a more critical role to play in such markets</w:t>
      </w:r>
      <w:r w:rsidRPr="00020413">
        <w:rPr>
          <w:rFonts w:ascii="Times New Roman" w:hAnsi="Times New Roman"/>
          <w:sz w:val="24"/>
          <w:szCs w:val="24"/>
          <w:shd w:val="clear" w:color="auto" w:fill="FFFFFF"/>
        </w:rPr>
        <w:t>.</w:t>
      </w:r>
      <w:r w:rsidR="00446402" w:rsidRPr="00020413">
        <w:rPr>
          <w:rFonts w:ascii="Times New Roman" w:hAnsi="Times New Roman"/>
          <w:sz w:val="24"/>
          <w:szCs w:val="24"/>
          <w:shd w:val="clear" w:color="auto" w:fill="FFFFFF"/>
        </w:rPr>
        <w:t xml:space="preserve"> However, a closer look at the theoretical </w:t>
      </w:r>
      <w:r w:rsidR="0098641D" w:rsidRPr="00020413">
        <w:rPr>
          <w:rFonts w:ascii="Times New Roman" w:hAnsi="Times New Roman"/>
          <w:sz w:val="24"/>
          <w:szCs w:val="24"/>
          <w:shd w:val="clear" w:color="auto" w:fill="FFFFFF"/>
        </w:rPr>
        <w:t>rationale</w:t>
      </w:r>
      <w:r w:rsidR="00446402" w:rsidRPr="00020413">
        <w:rPr>
          <w:rFonts w:ascii="Times New Roman" w:hAnsi="Times New Roman"/>
          <w:sz w:val="24"/>
          <w:szCs w:val="24"/>
          <w:shd w:val="clear" w:color="auto" w:fill="FFFFFF"/>
        </w:rPr>
        <w:t xml:space="preserve"> for the risky lending behaviour </w:t>
      </w:r>
      <w:r w:rsidR="0098641D" w:rsidRPr="00020413">
        <w:rPr>
          <w:rFonts w:ascii="Times New Roman" w:hAnsi="Times New Roman"/>
          <w:sz w:val="24"/>
          <w:szCs w:val="24"/>
          <w:shd w:val="clear" w:color="auto" w:fill="FFFFFF"/>
        </w:rPr>
        <w:t xml:space="preserve">in concentrated markets </w:t>
      </w:r>
      <w:r w:rsidR="00446402" w:rsidRPr="00020413">
        <w:rPr>
          <w:rFonts w:ascii="Times New Roman" w:hAnsi="Times New Roman"/>
          <w:sz w:val="24"/>
          <w:szCs w:val="24"/>
          <w:shd w:val="clear" w:color="auto" w:fill="FFFFFF"/>
        </w:rPr>
        <w:t>rather suggests the opposite (i.e.</w:t>
      </w:r>
      <w:r w:rsidR="00BC1759" w:rsidRPr="00020413">
        <w:rPr>
          <w:rFonts w:ascii="Times New Roman" w:hAnsi="Times New Roman"/>
          <w:sz w:val="24"/>
          <w:szCs w:val="24"/>
          <w:shd w:val="clear" w:color="auto" w:fill="FFFFFF"/>
        </w:rPr>
        <w:t>,</w:t>
      </w:r>
      <w:r w:rsidR="00446402" w:rsidRPr="00020413">
        <w:rPr>
          <w:rFonts w:ascii="Times New Roman" w:hAnsi="Times New Roman"/>
          <w:sz w:val="24"/>
          <w:szCs w:val="24"/>
          <w:shd w:val="clear" w:color="auto" w:fill="FFFFFF"/>
        </w:rPr>
        <w:t xml:space="preserve"> a minimal role for credit information sharing in concentrated banking markets).</w:t>
      </w:r>
      <w:r w:rsidR="0098641D" w:rsidRPr="00020413">
        <w:rPr>
          <w:rFonts w:ascii="Times New Roman" w:hAnsi="Times New Roman"/>
          <w:sz w:val="24"/>
          <w:szCs w:val="24"/>
          <w:shd w:val="clear" w:color="auto" w:fill="FFFFFF"/>
        </w:rPr>
        <w:t xml:space="preserve"> </w:t>
      </w:r>
      <w:r w:rsidR="0032328D" w:rsidRPr="00020413">
        <w:rPr>
          <w:rFonts w:ascii="Times New Roman" w:hAnsi="Times New Roman"/>
          <w:sz w:val="24"/>
          <w:szCs w:val="24"/>
          <w:shd w:val="clear" w:color="auto" w:fill="FFFFFF"/>
        </w:rPr>
        <w:t>F</w:t>
      </w:r>
      <w:r w:rsidR="00CE6166" w:rsidRPr="00020413">
        <w:rPr>
          <w:rFonts w:ascii="Times New Roman" w:hAnsi="Times New Roman"/>
          <w:sz w:val="24"/>
          <w:szCs w:val="24"/>
          <w:shd w:val="clear" w:color="auto" w:fill="FFFFFF"/>
        </w:rPr>
        <w:t>or instance</w:t>
      </w:r>
      <w:r w:rsidR="0032328D" w:rsidRPr="00020413">
        <w:rPr>
          <w:rFonts w:ascii="Times New Roman" w:hAnsi="Times New Roman"/>
          <w:sz w:val="24"/>
          <w:szCs w:val="24"/>
          <w:shd w:val="clear" w:color="auto" w:fill="FFFFFF"/>
        </w:rPr>
        <w:t xml:space="preserve">, </w:t>
      </w:r>
      <w:r w:rsidR="00CE6166" w:rsidRPr="00020413">
        <w:rPr>
          <w:rFonts w:ascii="Times New Roman" w:hAnsi="Times New Roman"/>
          <w:sz w:val="24"/>
          <w:szCs w:val="24"/>
          <w:shd w:val="clear" w:color="auto" w:fill="FFFFFF"/>
        </w:rPr>
        <w:t xml:space="preserve">in </w:t>
      </w:r>
      <w:r w:rsidR="008736E8" w:rsidRPr="00020413">
        <w:rPr>
          <w:rFonts w:ascii="Times New Roman" w:hAnsi="Times New Roman"/>
          <w:sz w:val="24"/>
          <w:szCs w:val="24"/>
          <w:shd w:val="clear" w:color="auto" w:fill="FFFFFF"/>
        </w:rPr>
        <w:t xml:space="preserve">Petersen </w:t>
      </w:r>
      <w:r w:rsidR="00D557B0" w:rsidRPr="00020413">
        <w:rPr>
          <w:rFonts w:ascii="Times New Roman" w:hAnsi="Times New Roman"/>
          <w:sz w:val="24"/>
          <w:szCs w:val="24"/>
          <w:shd w:val="clear" w:color="auto" w:fill="FFFFFF"/>
        </w:rPr>
        <w:t xml:space="preserve">and </w:t>
      </w:r>
      <w:proofErr w:type="spellStart"/>
      <w:r w:rsidR="008736E8" w:rsidRPr="00020413">
        <w:rPr>
          <w:rFonts w:ascii="Times New Roman" w:hAnsi="Times New Roman"/>
          <w:sz w:val="24"/>
          <w:szCs w:val="24"/>
          <w:shd w:val="clear" w:color="auto" w:fill="FFFFFF"/>
        </w:rPr>
        <w:t>Rajan</w:t>
      </w:r>
      <w:r w:rsidR="00CE6166" w:rsidRPr="00020413">
        <w:rPr>
          <w:rFonts w:ascii="Times New Roman" w:hAnsi="Times New Roman"/>
          <w:sz w:val="24"/>
          <w:szCs w:val="24"/>
          <w:shd w:val="clear" w:color="auto" w:fill="FFFFFF"/>
        </w:rPr>
        <w:t>’s</w:t>
      </w:r>
      <w:proofErr w:type="spellEnd"/>
      <w:r w:rsidR="008736E8" w:rsidRPr="00020413">
        <w:rPr>
          <w:rFonts w:ascii="Times New Roman" w:hAnsi="Times New Roman"/>
          <w:sz w:val="24"/>
          <w:szCs w:val="24"/>
          <w:shd w:val="clear" w:color="auto" w:fill="FFFFFF"/>
        </w:rPr>
        <w:t xml:space="preserve"> (1995) </w:t>
      </w:r>
      <w:r w:rsidR="00A24CE7" w:rsidRPr="00020413">
        <w:rPr>
          <w:rFonts w:ascii="Times New Roman" w:hAnsi="Times New Roman"/>
          <w:sz w:val="24"/>
          <w:szCs w:val="24"/>
          <w:shd w:val="clear" w:color="auto" w:fill="FFFFFF"/>
        </w:rPr>
        <w:t>theoretical framework</w:t>
      </w:r>
      <w:r w:rsidR="00CE6166" w:rsidRPr="00020413">
        <w:rPr>
          <w:rFonts w:ascii="Times New Roman" w:hAnsi="Times New Roman"/>
          <w:sz w:val="24"/>
          <w:szCs w:val="24"/>
          <w:shd w:val="clear" w:color="auto" w:fill="FFFFFF"/>
        </w:rPr>
        <w:t xml:space="preserve">, </w:t>
      </w:r>
      <w:r w:rsidR="00A24CE7" w:rsidRPr="00020413">
        <w:rPr>
          <w:rFonts w:ascii="Times New Roman" w:hAnsi="Times New Roman"/>
          <w:sz w:val="24"/>
          <w:szCs w:val="24"/>
          <w:shd w:val="clear" w:color="auto" w:fill="FFFFFF"/>
        </w:rPr>
        <w:t xml:space="preserve">banking </w:t>
      </w:r>
      <w:r w:rsidR="00CE6166" w:rsidRPr="00020413">
        <w:rPr>
          <w:rFonts w:ascii="Times New Roman" w:hAnsi="Times New Roman"/>
          <w:sz w:val="24"/>
          <w:szCs w:val="24"/>
          <w:shd w:val="clear" w:color="auto" w:fill="FFFFFF"/>
        </w:rPr>
        <w:t xml:space="preserve">market </w:t>
      </w:r>
      <w:r w:rsidR="00A24CE7" w:rsidRPr="00020413">
        <w:rPr>
          <w:rFonts w:ascii="Times New Roman" w:hAnsi="Times New Roman"/>
          <w:sz w:val="24"/>
          <w:szCs w:val="24"/>
          <w:shd w:val="clear" w:color="auto" w:fill="FFFFFF"/>
        </w:rPr>
        <w:t>concentration permits the building of closer and long-term ties between lenders and borrowers in such a way that the lender-bank</w:t>
      </w:r>
      <w:r w:rsidR="00CE6166" w:rsidRPr="00020413">
        <w:rPr>
          <w:rFonts w:ascii="Times New Roman" w:hAnsi="Times New Roman"/>
          <w:sz w:val="24"/>
          <w:szCs w:val="24"/>
          <w:shd w:val="clear" w:color="auto" w:fill="FFFFFF"/>
        </w:rPr>
        <w:t>s</w:t>
      </w:r>
      <w:r w:rsidR="00876151" w:rsidRPr="00020413">
        <w:rPr>
          <w:rFonts w:ascii="Times New Roman" w:hAnsi="Times New Roman"/>
          <w:sz w:val="24"/>
          <w:szCs w:val="24"/>
          <w:shd w:val="clear" w:color="auto" w:fill="FFFFFF"/>
        </w:rPr>
        <w:t xml:space="preserve"> </w:t>
      </w:r>
      <w:proofErr w:type="gramStart"/>
      <w:r w:rsidR="00876151" w:rsidRPr="00020413">
        <w:rPr>
          <w:rFonts w:ascii="Times New Roman" w:hAnsi="Times New Roman"/>
          <w:sz w:val="24"/>
          <w:szCs w:val="24"/>
          <w:shd w:val="clear" w:color="auto" w:fill="FFFFFF"/>
        </w:rPr>
        <w:t>are able to</w:t>
      </w:r>
      <w:proofErr w:type="gramEnd"/>
      <w:r w:rsidR="00A24CE7" w:rsidRPr="00020413">
        <w:rPr>
          <w:rFonts w:ascii="Times New Roman" w:hAnsi="Times New Roman"/>
          <w:sz w:val="24"/>
          <w:szCs w:val="24"/>
          <w:shd w:val="clear" w:color="auto" w:fill="FFFFFF"/>
        </w:rPr>
        <w:t xml:space="preserve"> share in the future surplus</w:t>
      </w:r>
      <w:r w:rsidR="00FB13DE" w:rsidRPr="00020413">
        <w:rPr>
          <w:rFonts w:ascii="Times New Roman" w:hAnsi="Times New Roman"/>
          <w:sz w:val="24"/>
          <w:szCs w:val="24"/>
          <w:shd w:val="clear" w:color="auto" w:fill="FFFFFF"/>
        </w:rPr>
        <w:t xml:space="preserve"> of the borrowe</w:t>
      </w:r>
      <w:r w:rsidR="00A24CE7" w:rsidRPr="00020413">
        <w:rPr>
          <w:rFonts w:ascii="Times New Roman" w:hAnsi="Times New Roman"/>
          <w:sz w:val="24"/>
          <w:szCs w:val="24"/>
          <w:shd w:val="clear" w:color="auto" w:fill="FFFFFF"/>
        </w:rPr>
        <w:t>r-firm</w:t>
      </w:r>
      <w:r w:rsidR="00CE6166" w:rsidRPr="00020413">
        <w:rPr>
          <w:rFonts w:ascii="Times New Roman" w:hAnsi="Times New Roman"/>
          <w:sz w:val="24"/>
          <w:szCs w:val="24"/>
          <w:shd w:val="clear" w:color="auto" w:fill="FFFFFF"/>
        </w:rPr>
        <w:t>s</w:t>
      </w:r>
      <w:r w:rsidR="00A24CE7" w:rsidRPr="00020413">
        <w:rPr>
          <w:rFonts w:ascii="Times New Roman" w:hAnsi="Times New Roman"/>
          <w:sz w:val="24"/>
          <w:szCs w:val="24"/>
          <w:shd w:val="clear" w:color="auto" w:fill="FFFFFF"/>
        </w:rPr>
        <w:t xml:space="preserve">. </w:t>
      </w:r>
      <w:r w:rsidR="00876151" w:rsidRPr="00020413">
        <w:rPr>
          <w:rFonts w:ascii="Times New Roman" w:hAnsi="Times New Roman"/>
          <w:sz w:val="24"/>
          <w:szCs w:val="24"/>
          <w:shd w:val="clear" w:color="auto" w:fill="FFFFFF"/>
        </w:rPr>
        <w:t>This is because,</w:t>
      </w:r>
      <w:r w:rsidR="00FB13DE" w:rsidRPr="00020413">
        <w:rPr>
          <w:rFonts w:ascii="Times New Roman" w:hAnsi="Times New Roman"/>
          <w:sz w:val="24"/>
          <w:szCs w:val="24"/>
          <w:shd w:val="clear" w:color="auto" w:fill="FFFFFF"/>
        </w:rPr>
        <w:t xml:space="preserve"> unlike in competitive banking markets</w:t>
      </w:r>
      <w:r w:rsidR="00BC1759" w:rsidRPr="00020413">
        <w:rPr>
          <w:rFonts w:ascii="Times New Roman" w:hAnsi="Times New Roman"/>
          <w:sz w:val="24"/>
          <w:szCs w:val="24"/>
          <w:shd w:val="clear" w:color="auto" w:fill="FFFFFF"/>
        </w:rPr>
        <w:t>,</w:t>
      </w:r>
      <w:r w:rsidR="00FB13DE" w:rsidRPr="00020413">
        <w:rPr>
          <w:rFonts w:ascii="Times New Roman" w:hAnsi="Times New Roman"/>
          <w:sz w:val="24"/>
          <w:szCs w:val="24"/>
          <w:shd w:val="clear" w:color="auto" w:fill="FFFFFF"/>
        </w:rPr>
        <w:t xml:space="preserve"> where borrowers can easily switch banks,</w:t>
      </w:r>
      <w:r w:rsidR="008736E8" w:rsidRPr="00020413">
        <w:rPr>
          <w:rFonts w:ascii="Times New Roman" w:hAnsi="Times New Roman"/>
          <w:sz w:val="24"/>
          <w:szCs w:val="24"/>
          <w:shd w:val="clear" w:color="auto" w:fill="FFFFFF"/>
        </w:rPr>
        <w:t xml:space="preserve"> </w:t>
      </w:r>
      <w:r w:rsidR="00B67DF1" w:rsidRPr="00020413">
        <w:rPr>
          <w:rFonts w:ascii="Times New Roman" w:hAnsi="Times New Roman"/>
          <w:sz w:val="24"/>
          <w:szCs w:val="24"/>
          <w:shd w:val="clear" w:color="auto" w:fill="FFFFFF"/>
        </w:rPr>
        <w:t xml:space="preserve">the dynamics prevailing in </w:t>
      </w:r>
      <w:r w:rsidR="00CE6166" w:rsidRPr="00020413">
        <w:rPr>
          <w:rFonts w:ascii="Times New Roman" w:hAnsi="Times New Roman"/>
          <w:sz w:val="24"/>
          <w:szCs w:val="24"/>
          <w:shd w:val="clear" w:color="auto" w:fill="FFFFFF"/>
        </w:rPr>
        <w:t>concentrated</w:t>
      </w:r>
      <w:r w:rsidR="008736E8" w:rsidRPr="00020413">
        <w:rPr>
          <w:rFonts w:ascii="Times New Roman" w:hAnsi="Times New Roman"/>
          <w:sz w:val="24"/>
          <w:szCs w:val="24"/>
          <w:shd w:val="clear" w:color="auto" w:fill="FFFFFF"/>
        </w:rPr>
        <w:t xml:space="preserve"> banking market</w:t>
      </w:r>
      <w:r w:rsidR="00D557B0" w:rsidRPr="00020413">
        <w:rPr>
          <w:rFonts w:ascii="Times New Roman" w:hAnsi="Times New Roman"/>
          <w:sz w:val="24"/>
          <w:szCs w:val="24"/>
          <w:shd w:val="clear" w:color="auto" w:fill="FFFFFF"/>
        </w:rPr>
        <w:t>s</w:t>
      </w:r>
      <w:r w:rsidR="00FB13DE" w:rsidRPr="00020413">
        <w:rPr>
          <w:rFonts w:ascii="Times New Roman" w:hAnsi="Times New Roman"/>
          <w:sz w:val="24"/>
          <w:szCs w:val="24"/>
          <w:shd w:val="clear" w:color="auto" w:fill="FFFFFF"/>
        </w:rPr>
        <w:t xml:space="preserve"> lead</w:t>
      </w:r>
      <w:r w:rsidR="008736E8" w:rsidRPr="00020413">
        <w:rPr>
          <w:rFonts w:ascii="Times New Roman" w:hAnsi="Times New Roman"/>
          <w:sz w:val="24"/>
          <w:szCs w:val="24"/>
          <w:shd w:val="clear" w:color="auto" w:fill="FFFFFF"/>
        </w:rPr>
        <w:t xml:space="preserve"> to </w:t>
      </w:r>
      <w:r w:rsidR="00FB13DE" w:rsidRPr="00020413">
        <w:rPr>
          <w:rFonts w:ascii="Times New Roman" w:hAnsi="Times New Roman"/>
          <w:sz w:val="24"/>
          <w:szCs w:val="24"/>
          <w:shd w:val="clear" w:color="auto" w:fill="FFFFFF"/>
        </w:rPr>
        <w:t xml:space="preserve">the establishment of </w:t>
      </w:r>
      <w:r w:rsidR="00A24DDF" w:rsidRPr="00020413">
        <w:rPr>
          <w:rFonts w:ascii="Times New Roman" w:hAnsi="Times New Roman"/>
          <w:sz w:val="24"/>
          <w:szCs w:val="24"/>
          <w:shd w:val="clear" w:color="auto" w:fill="FFFFFF"/>
        </w:rPr>
        <w:t xml:space="preserve">a </w:t>
      </w:r>
      <w:r w:rsidR="008736E8" w:rsidRPr="00020413">
        <w:rPr>
          <w:rFonts w:ascii="Times New Roman" w:hAnsi="Times New Roman"/>
          <w:sz w:val="24"/>
          <w:szCs w:val="24"/>
          <w:shd w:val="clear" w:color="auto" w:fill="FFFFFF"/>
        </w:rPr>
        <w:t>long</w:t>
      </w:r>
      <w:r w:rsidR="00A24DDF" w:rsidRPr="00020413">
        <w:rPr>
          <w:rFonts w:ascii="Times New Roman" w:hAnsi="Times New Roman"/>
          <w:sz w:val="24"/>
          <w:szCs w:val="24"/>
          <w:shd w:val="clear" w:color="auto" w:fill="FFFFFF"/>
        </w:rPr>
        <w:t>-</w:t>
      </w:r>
      <w:r w:rsidR="008736E8" w:rsidRPr="00020413">
        <w:rPr>
          <w:rFonts w:ascii="Times New Roman" w:hAnsi="Times New Roman"/>
          <w:sz w:val="24"/>
          <w:szCs w:val="24"/>
          <w:shd w:val="clear" w:color="auto" w:fill="FFFFFF"/>
        </w:rPr>
        <w:t xml:space="preserve">term </w:t>
      </w:r>
      <w:r w:rsidR="00975D4B" w:rsidRPr="00020413">
        <w:rPr>
          <w:rFonts w:ascii="Times New Roman" w:hAnsi="Times New Roman"/>
          <w:sz w:val="24"/>
          <w:szCs w:val="24"/>
          <w:shd w:val="clear" w:color="auto" w:fill="FFFFFF"/>
        </w:rPr>
        <w:t xml:space="preserve">lending </w:t>
      </w:r>
      <w:r w:rsidR="008736E8" w:rsidRPr="00020413">
        <w:rPr>
          <w:rFonts w:ascii="Times New Roman" w:hAnsi="Times New Roman"/>
          <w:sz w:val="24"/>
          <w:szCs w:val="24"/>
          <w:shd w:val="clear" w:color="auto" w:fill="FFFFFF"/>
        </w:rPr>
        <w:t>relationship</w:t>
      </w:r>
      <w:r w:rsidR="00807D5B" w:rsidRPr="00020413">
        <w:rPr>
          <w:rFonts w:ascii="Times New Roman" w:hAnsi="Times New Roman"/>
          <w:sz w:val="24"/>
          <w:szCs w:val="24"/>
          <w:shd w:val="clear" w:color="auto" w:fill="FFFFFF"/>
        </w:rPr>
        <w:t xml:space="preserve"> between the </w:t>
      </w:r>
      <w:r w:rsidR="000B62D5" w:rsidRPr="00020413">
        <w:rPr>
          <w:rFonts w:ascii="Times New Roman" w:hAnsi="Times New Roman"/>
          <w:sz w:val="24"/>
          <w:szCs w:val="24"/>
          <w:shd w:val="clear" w:color="auto" w:fill="FFFFFF"/>
        </w:rPr>
        <w:t xml:space="preserve">few </w:t>
      </w:r>
      <w:r w:rsidR="00807D5B" w:rsidRPr="00020413">
        <w:rPr>
          <w:rFonts w:ascii="Times New Roman" w:hAnsi="Times New Roman"/>
          <w:sz w:val="24"/>
          <w:szCs w:val="24"/>
          <w:shd w:val="clear" w:color="auto" w:fill="FFFFFF"/>
        </w:rPr>
        <w:t xml:space="preserve">top banks and </w:t>
      </w:r>
      <w:r w:rsidR="000B62D5" w:rsidRPr="00020413">
        <w:rPr>
          <w:rFonts w:ascii="Times New Roman" w:hAnsi="Times New Roman"/>
          <w:sz w:val="24"/>
          <w:szCs w:val="24"/>
          <w:shd w:val="clear" w:color="auto" w:fill="FFFFFF"/>
        </w:rPr>
        <w:t xml:space="preserve">their </w:t>
      </w:r>
      <w:r w:rsidR="00734EDA" w:rsidRPr="00020413">
        <w:rPr>
          <w:rFonts w:ascii="Times New Roman" w:hAnsi="Times New Roman"/>
          <w:sz w:val="24"/>
          <w:szCs w:val="24"/>
          <w:shd w:val="clear" w:color="auto" w:fill="FFFFFF"/>
        </w:rPr>
        <w:t>‘</w:t>
      </w:r>
      <w:r w:rsidR="000B62D5" w:rsidRPr="00020413">
        <w:rPr>
          <w:rFonts w:ascii="Times New Roman" w:hAnsi="Times New Roman"/>
          <w:sz w:val="24"/>
          <w:szCs w:val="24"/>
          <w:shd w:val="clear" w:color="auto" w:fill="FFFFFF"/>
        </w:rPr>
        <w:t>loyal</w:t>
      </w:r>
      <w:r w:rsidR="00734EDA" w:rsidRPr="00020413">
        <w:rPr>
          <w:rFonts w:ascii="Times New Roman" w:hAnsi="Times New Roman"/>
          <w:sz w:val="24"/>
          <w:szCs w:val="24"/>
          <w:shd w:val="clear" w:color="auto" w:fill="FFFFFF"/>
        </w:rPr>
        <w:t>’</w:t>
      </w:r>
      <w:r w:rsidR="000B62D5" w:rsidRPr="00020413">
        <w:rPr>
          <w:rFonts w:ascii="Times New Roman" w:hAnsi="Times New Roman"/>
          <w:sz w:val="24"/>
          <w:szCs w:val="24"/>
          <w:shd w:val="clear" w:color="auto" w:fill="FFFFFF"/>
        </w:rPr>
        <w:t xml:space="preserve"> </w:t>
      </w:r>
      <w:r w:rsidR="00807D5B" w:rsidRPr="00020413">
        <w:rPr>
          <w:rFonts w:ascii="Times New Roman" w:hAnsi="Times New Roman"/>
          <w:sz w:val="24"/>
          <w:szCs w:val="24"/>
          <w:shd w:val="clear" w:color="auto" w:fill="FFFFFF"/>
        </w:rPr>
        <w:t>borrowers</w:t>
      </w:r>
      <w:r w:rsidR="00D85075" w:rsidRPr="00020413">
        <w:rPr>
          <w:rFonts w:ascii="Times New Roman" w:hAnsi="Times New Roman"/>
          <w:sz w:val="24"/>
          <w:szCs w:val="24"/>
          <w:shd w:val="clear" w:color="auto" w:fill="FFFFFF"/>
        </w:rPr>
        <w:t>. This</w:t>
      </w:r>
      <w:r w:rsidR="00876151" w:rsidRPr="00020413">
        <w:rPr>
          <w:rFonts w:ascii="Times New Roman" w:hAnsi="Times New Roman"/>
          <w:sz w:val="24"/>
          <w:szCs w:val="24"/>
          <w:shd w:val="clear" w:color="auto" w:fill="FFFFFF"/>
        </w:rPr>
        <w:t xml:space="preserve"> </w:t>
      </w:r>
      <w:r w:rsidR="00C25170" w:rsidRPr="00020413">
        <w:rPr>
          <w:rFonts w:ascii="Times New Roman" w:hAnsi="Times New Roman"/>
          <w:sz w:val="24"/>
          <w:szCs w:val="24"/>
          <w:shd w:val="clear" w:color="auto" w:fill="FFFFFF"/>
        </w:rPr>
        <w:t>then</w:t>
      </w:r>
      <w:r w:rsidR="00975D4B" w:rsidRPr="00020413">
        <w:rPr>
          <w:rFonts w:ascii="Times New Roman" w:hAnsi="Times New Roman"/>
          <w:sz w:val="24"/>
          <w:szCs w:val="24"/>
          <w:shd w:val="clear" w:color="auto" w:fill="FFFFFF"/>
        </w:rPr>
        <w:t xml:space="preserve"> </w:t>
      </w:r>
      <w:r w:rsidR="00510FAD" w:rsidRPr="00020413">
        <w:rPr>
          <w:rFonts w:ascii="Times New Roman" w:hAnsi="Times New Roman"/>
          <w:sz w:val="24"/>
          <w:szCs w:val="24"/>
          <w:shd w:val="clear" w:color="auto" w:fill="FFFFFF"/>
        </w:rPr>
        <w:t>facilitate</w:t>
      </w:r>
      <w:r w:rsidR="00C25170" w:rsidRPr="00020413">
        <w:rPr>
          <w:rFonts w:ascii="Times New Roman" w:hAnsi="Times New Roman"/>
          <w:sz w:val="24"/>
          <w:szCs w:val="24"/>
          <w:shd w:val="clear" w:color="auto" w:fill="FFFFFF"/>
        </w:rPr>
        <w:t>s</w:t>
      </w:r>
      <w:r w:rsidR="00510FAD" w:rsidRPr="00020413">
        <w:rPr>
          <w:rFonts w:ascii="Times New Roman" w:hAnsi="Times New Roman"/>
          <w:sz w:val="24"/>
          <w:szCs w:val="24"/>
          <w:shd w:val="clear" w:color="auto" w:fill="FFFFFF"/>
        </w:rPr>
        <w:t xml:space="preserve"> the acquisition of </w:t>
      </w:r>
      <w:r w:rsidR="00734EDA" w:rsidRPr="00020413">
        <w:rPr>
          <w:rFonts w:ascii="Times New Roman" w:hAnsi="Times New Roman"/>
          <w:sz w:val="24"/>
          <w:szCs w:val="24"/>
          <w:shd w:val="clear" w:color="auto" w:fill="FFFFFF"/>
        </w:rPr>
        <w:t>‘</w:t>
      </w:r>
      <w:r w:rsidR="00675E28" w:rsidRPr="00020413">
        <w:rPr>
          <w:rFonts w:ascii="Times New Roman" w:hAnsi="Times New Roman"/>
          <w:sz w:val="24"/>
          <w:szCs w:val="24"/>
          <w:shd w:val="clear" w:color="auto" w:fill="FFFFFF"/>
        </w:rPr>
        <w:t>soft</w:t>
      </w:r>
      <w:r w:rsidR="00734EDA" w:rsidRPr="00020413">
        <w:rPr>
          <w:rFonts w:ascii="Times New Roman" w:hAnsi="Times New Roman"/>
          <w:sz w:val="24"/>
          <w:szCs w:val="24"/>
          <w:shd w:val="clear" w:color="auto" w:fill="FFFFFF"/>
        </w:rPr>
        <w:t>’</w:t>
      </w:r>
      <w:r w:rsidR="00675E28" w:rsidRPr="00020413">
        <w:rPr>
          <w:rFonts w:ascii="Times New Roman" w:hAnsi="Times New Roman"/>
          <w:sz w:val="24"/>
          <w:szCs w:val="24"/>
          <w:shd w:val="clear" w:color="auto" w:fill="FFFFFF"/>
        </w:rPr>
        <w:t xml:space="preserve"> </w:t>
      </w:r>
      <w:r w:rsidR="00510FAD" w:rsidRPr="00020413">
        <w:rPr>
          <w:rFonts w:ascii="Times New Roman" w:hAnsi="Times New Roman"/>
          <w:sz w:val="24"/>
          <w:szCs w:val="24"/>
          <w:shd w:val="clear" w:color="auto" w:fill="FFFFFF"/>
        </w:rPr>
        <w:t xml:space="preserve">credit information </w:t>
      </w:r>
      <w:r w:rsidR="00A8173A" w:rsidRPr="00020413">
        <w:rPr>
          <w:rFonts w:ascii="Times New Roman" w:hAnsi="Times New Roman"/>
          <w:sz w:val="24"/>
          <w:szCs w:val="24"/>
          <w:shd w:val="clear" w:color="auto" w:fill="FFFFFF"/>
        </w:rPr>
        <w:t xml:space="preserve">by banks </w:t>
      </w:r>
      <w:r w:rsidR="00510FAD" w:rsidRPr="00020413">
        <w:rPr>
          <w:rFonts w:ascii="Times New Roman" w:hAnsi="Times New Roman"/>
          <w:sz w:val="24"/>
          <w:szCs w:val="24"/>
          <w:shd w:val="clear" w:color="auto" w:fill="FFFFFF"/>
        </w:rPr>
        <w:t xml:space="preserve">about </w:t>
      </w:r>
      <w:r w:rsidR="00D81934" w:rsidRPr="00020413">
        <w:rPr>
          <w:rFonts w:ascii="Times New Roman" w:hAnsi="Times New Roman"/>
          <w:sz w:val="24"/>
          <w:szCs w:val="24"/>
          <w:shd w:val="clear" w:color="auto" w:fill="FFFFFF"/>
        </w:rPr>
        <w:t xml:space="preserve">their </w:t>
      </w:r>
      <w:r w:rsidR="00510FAD" w:rsidRPr="00020413">
        <w:rPr>
          <w:rFonts w:ascii="Times New Roman" w:hAnsi="Times New Roman"/>
          <w:sz w:val="24"/>
          <w:szCs w:val="24"/>
          <w:shd w:val="clear" w:color="auto" w:fill="FFFFFF"/>
        </w:rPr>
        <w:t>borrowers</w:t>
      </w:r>
      <w:r w:rsidR="00E1010F" w:rsidRPr="00020413">
        <w:rPr>
          <w:rFonts w:ascii="Times New Roman" w:hAnsi="Times New Roman"/>
          <w:sz w:val="24"/>
          <w:szCs w:val="24"/>
          <w:shd w:val="clear" w:color="auto" w:fill="FFFFFF"/>
        </w:rPr>
        <w:t>, as well as a willingness on the part of the lender</w:t>
      </w:r>
      <w:r w:rsidR="00D81934" w:rsidRPr="00020413">
        <w:rPr>
          <w:rFonts w:ascii="Times New Roman" w:hAnsi="Times New Roman"/>
          <w:sz w:val="24"/>
          <w:szCs w:val="24"/>
          <w:shd w:val="clear" w:color="auto" w:fill="FFFFFF"/>
        </w:rPr>
        <w:t>s</w:t>
      </w:r>
      <w:r w:rsidR="00E1010F" w:rsidRPr="00020413">
        <w:rPr>
          <w:rFonts w:ascii="Times New Roman" w:hAnsi="Times New Roman"/>
          <w:sz w:val="24"/>
          <w:szCs w:val="24"/>
          <w:shd w:val="clear" w:color="auto" w:fill="FFFFFF"/>
        </w:rPr>
        <w:t xml:space="preserve"> to </w:t>
      </w:r>
      <w:r w:rsidR="00B67DF1" w:rsidRPr="00020413">
        <w:rPr>
          <w:rFonts w:ascii="Times New Roman" w:hAnsi="Times New Roman"/>
          <w:sz w:val="24"/>
          <w:szCs w:val="24"/>
          <w:shd w:val="clear" w:color="auto" w:fill="FFFFFF"/>
        </w:rPr>
        <w:t>disregard a</w:t>
      </w:r>
      <w:r w:rsidR="00EF5935" w:rsidRPr="00020413">
        <w:rPr>
          <w:rFonts w:ascii="Times New Roman" w:hAnsi="Times New Roman"/>
          <w:sz w:val="24"/>
          <w:szCs w:val="24"/>
          <w:shd w:val="clear" w:color="auto" w:fill="FFFFFF"/>
        </w:rPr>
        <w:t>vailable</w:t>
      </w:r>
      <w:r w:rsidR="00B67DF1" w:rsidRPr="00020413">
        <w:rPr>
          <w:rFonts w:ascii="Times New Roman" w:hAnsi="Times New Roman"/>
          <w:sz w:val="24"/>
          <w:szCs w:val="24"/>
          <w:shd w:val="clear" w:color="auto" w:fill="FFFFFF"/>
        </w:rPr>
        <w:t xml:space="preserve"> negative credit information about important customers, </w:t>
      </w:r>
      <w:r w:rsidR="00D85075" w:rsidRPr="00020413">
        <w:rPr>
          <w:rFonts w:ascii="Times New Roman" w:hAnsi="Times New Roman"/>
          <w:sz w:val="24"/>
          <w:szCs w:val="24"/>
          <w:shd w:val="clear" w:color="auto" w:fill="FFFFFF"/>
        </w:rPr>
        <w:t>but</w:t>
      </w:r>
      <w:r w:rsidR="00B67DF1" w:rsidRPr="00020413">
        <w:rPr>
          <w:rFonts w:ascii="Times New Roman" w:hAnsi="Times New Roman"/>
          <w:sz w:val="24"/>
          <w:szCs w:val="24"/>
          <w:shd w:val="clear" w:color="auto" w:fill="FFFFFF"/>
        </w:rPr>
        <w:t xml:space="preserve"> rather </w:t>
      </w:r>
      <w:r w:rsidR="00E1010F" w:rsidRPr="00020413">
        <w:rPr>
          <w:rFonts w:ascii="Times New Roman" w:hAnsi="Times New Roman"/>
          <w:sz w:val="24"/>
          <w:szCs w:val="24"/>
          <w:shd w:val="clear" w:color="auto" w:fill="FFFFFF"/>
        </w:rPr>
        <w:t xml:space="preserve">focus on </w:t>
      </w:r>
      <w:r w:rsidR="00511A92" w:rsidRPr="00020413">
        <w:rPr>
          <w:rFonts w:ascii="Times New Roman" w:hAnsi="Times New Roman"/>
          <w:sz w:val="24"/>
          <w:szCs w:val="24"/>
          <w:shd w:val="clear" w:color="auto" w:fill="FFFFFF"/>
        </w:rPr>
        <w:t xml:space="preserve">the </w:t>
      </w:r>
      <w:r w:rsidR="00E1010F" w:rsidRPr="00020413">
        <w:rPr>
          <w:rFonts w:ascii="Times New Roman" w:hAnsi="Times New Roman"/>
          <w:sz w:val="24"/>
          <w:szCs w:val="24"/>
          <w:shd w:val="clear" w:color="auto" w:fill="FFFFFF"/>
        </w:rPr>
        <w:t>future rent</w:t>
      </w:r>
      <w:r w:rsidR="00B67DF1" w:rsidRPr="00020413">
        <w:rPr>
          <w:rFonts w:ascii="Times New Roman" w:hAnsi="Times New Roman"/>
          <w:sz w:val="24"/>
          <w:szCs w:val="24"/>
          <w:shd w:val="clear" w:color="auto" w:fill="FFFFFF"/>
        </w:rPr>
        <w:t xml:space="preserve"> that the bank</w:t>
      </w:r>
      <w:r w:rsidR="00D81934" w:rsidRPr="00020413">
        <w:rPr>
          <w:rFonts w:ascii="Times New Roman" w:hAnsi="Times New Roman"/>
          <w:sz w:val="24"/>
          <w:szCs w:val="24"/>
          <w:shd w:val="clear" w:color="auto" w:fill="FFFFFF"/>
        </w:rPr>
        <w:t xml:space="preserve"> </w:t>
      </w:r>
      <w:r w:rsidR="00EF5935" w:rsidRPr="00020413">
        <w:rPr>
          <w:rFonts w:ascii="Times New Roman" w:hAnsi="Times New Roman"/>
          <w:sz w:val="24"/>
          <w:szCs w:val="24"/>
          <w:shd w:val="clear" w:color="auto" w:fill="FFFFFF"/>
        </w:rPr>
        <w:t>can</w:t>
      </w:r>
      <w:r w:rsidR="00D81934" w:rsidRPr="00020413">
        <w:rPr>
          <w:rFonts w:ascii="Times New Roman" w:hAnsi="Times New Roman"/>
          <w:sz w:val="24"/>
          <w:szCs w:val="24"/>
          <w:shd w:val="clear" w:color="auto" w:fill="FFFFFF"/>
        </w:rPr>
        <w:t xml:space="preserve"> extract from </w:t>
      </w:r>
      <w:r w:rsidR="00EF5935" w:rsidRPr="00020413">
        <w:rPr>
          <w:rFonts w:ascii="Times New Roman" w:hAnsi="Times New Roman"/>
          <w:sz w:val="24"/>
          <w:szCs w:val="24"/>
          <w:shd w:val="clear" w:color="auto" w:fill="FFFFFF"/>
        </w:rPr>
        <w:t>its</w:t>
      </w:r>
      <w:r w:rsidR="00E1010F" w:rsidRPr="00020413">
        <w:rPr>
          <w:rFonts w:ascii="Times New Roman" w:hAnsi="Times New Roman"/>
          <w:sz w:val="24"/>
          <w:szCs w:val="24"/>
          <w:shd w:val="clear" w:color="auto" w:fill="FFFFFF"/>
        </w:rPr>
        <w:t xml:space="preserve"> borrower</w:t>
      </w:r>
      <w:r w:rsidR="00D81934" w:rsidRPr="00020413">
        <w:rPr>
          <w:rFonts w:ascii="Times New Roman" w:hAnsi="Times New Roman"/>
          <w:sz w:val="24"/>
          <w:szCs w:val="24"/>
          <w:shd w:val="clear" w:color="auto" w:fill="FFFFFF"/>
        </w:rPr>
        <w:t>s</w:t>
      </w:r>
      <w:r w:rsidR="00510FAD" w:rsidRPr="00020413">
        <w:rPr>
          <w:rFonts w:ascii="Times New Roman" w:hAnsi="Times New Roman"/>
          <w:sz w:val="24"/>
          <w:szCs w:val="24"/>
          <w:shd w:val="clear" w:color="auto" w:fill="FFFFFF"/>
        </w:rPr>
        <w:t>.</w:t>
      </w:r>
      <w:r w:rsidR="001125E0" w:rsidRPr="00020413">
        <w:rPr>
          <w:rFonts w:ascii="Times New Roman" w:hAnsi="Times New Roman"/>
          <w:sz w:val="24"/>
          <w:szCs w:val="24"/>
          <w:shd w:val="clear" w:color="auto" w:fill="FFFFFF"/>
        </w:rPr>
        <w:t xml:space="preserve"> </w:t>
      </w:r>
      <w:r w:rsidR="00F4379F" w:rsidRPr="00020413">
        <w:rPr>
          <w:rFonts w:ascii="Times New Roman" w:hAnsi="Times New Roman"/>
          <w:sz w:val="24"/>
          <w:szCs w:val="24"/>
          <w:shd w:val="clear" w:color="auto" w:fill="FFFFFF"/>
        </w:rPr>
        <w:t xml:space="preserve">In such an environment, </w:t>
      </w:r>
      <w:r w:rsidR="009343B7" w:rsidRPr="00020413">
        <w:rPr>
          <w:rFonts w:ascii="Times New Roman" w:hAnsi="Times New Roman"/>
          <w:sz w:val="24"/>
          <w:szCs w:val="24"/>
          <w:shd w:val="clear" w:color="auto" w:fill="FFFFFF"/>
        </w:rPr>
        <w:t xml:space="preserve">credit information sharing is likely to yield minimal benefits, and the average quality of loans will be lower, resulting in </w:t>
      </w:r>
      <w:r w:rsidR="00866EE8" w:rsidRPr="00020413">
        <w:rPr>
          <w:rFonts w:ascii="Times New Roman" w:hAnsi="Times New Roman"/>
          <w:sz w:val="24"/>
          <w:szCs w:val="24"/>
          <w:shd w:val="clear" w:color="auto" w:fill="FFFFFF"/>
        </w:rPr>
        <w:t>higher default rates.</w:t>
      </w:r>
      <w:r w:rsidR="0025496E" w:rsidRPr="00020413">
        <w:rPr>
          <w:rFonts w:ascii="Times New Roman" w:hAnsi="Times New Roman"/>
          <w:sz w:val="24"/>
          <w:szCs w:val="24"/>
          <w:shd w:val="clear" w:color="auto" w:fill="FFFFFF"/>
        </w:rPr>
        <w:t xml:space="preserve"> </w:t>
      </w:r>
      <w:r w:rsidR="00866EE8" w:rsidRPr="00020413">
        <w:rPr>
          <w:rFonts w:ascii="Times New Roman" w:hAnsi="Times New Roman"/>
          <w:sz w:val="24"/>
          <w:szCs w:val="24"/>
          <w:shd w:val="clear" w:color="auto" w:fill="FFFFFF"/>
        </w:rPr>
        <w:t xml:space="preserve"> </w:t>
      </w:r>
    </w:p>
    <w:p w:rsidR="0025496E" w:rsidRPr="00020413" w:rsidRDefault="007C3570" w:rsidP="00D55D24">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rPr>
        <w:t xml:space="preserve">Similar conclusions are drawn from </w:t>
      </w:r>
      <w:proofErr w:type="spellStart"/>
      <w:r w:rsidR="001945D9" w:rsidRPr="00020413">
        <w:rPr>
          <w:rFonts w:ascii="Times New Roman" w:hAnsi="Times New Roman"/>
          <w:sz w:val="24"/>
          <w:szCs w:val="24"/>
        </w:rPr>
        <w:t>Cetorelli</w:t>
      </w:r>
      <w:proofErr w:type="spellEnd"/>
      <w:r w:rsidR="001945D9" w:rsidRPr="00020413">
        <w:rPr>
          <w:rFonts w:ascii="Times New Roman" w:hAnsi="Times New Roman"/>
          <w:sz w:val="24"/>
          <w:szCs w:val="24"/>
        </w:rPr>
        <w:t xml:space="preserve"> and </w:t>
      </w:r>
      <w:proofErr w:type="spellStart"/>
      <w:r w:rsidR="001945D9" w:rsidRPr="00020413">
        <w:rPr>
          <w:rFonts w:ascii="Times New Roman" w:hAnsi="Times New Roman"/>
          <w:sz w:val="24"/>
          <w:szCs w:val="24"/>
        </w:rPr>
        <w:t>Peretto</w:t>
      </w:r>
      <w:proofErr w:type="spellEnd"/>
      <w:r w:rsidR="001945D9" w:rsidRPr="00020413">
        <w:rPr>
          <w:rFonts w:ascii="Times New Roman" w:hAnsi="Times New Roman"/>
          <w:sz w:val="24"/>
          <w:szCs w:val="24"/>
        </w:rPr>
        <w:t xml:space="preserve"> (2000)</w:t>
      </w:r>
      <w:r w:rsidR="00734EDA" w:rsidRPr="00020413">
        <w:rPr>
          <w:rFonts w:ascii="Times New Roman" w:hAnsi="Times New Roman"/>
          <w:sz w:val="24"/>
          <w:szCs w:val="24"/>
        </w:rPr>
        <w:t>,</w:t>
      </w:r>
      <w:r w:rsidR="001945D9" w:rsidRPr="00020413">
        <w:rPr>
          <w:rFonts w:ascii="Times New Roman" w:hAnsi="Times New Roman"/>
          <w:sz w:val="24"/>
          <w:szCs w:val="24"/>
        </w:rPr>
        <w:t xml:space="preserve"> </w:t>
      </w:r>
      <w:r w:rsidR="00B77076" w:rsidRPr="00020413">
        <w:rPr>
          <w:rFonts w:ascii="Times New Roman" w:hAnsi="Times New Roman"/>
          <w:sz w:val="24"/>
          <w:szCs w:val="24"/>
        </w:rPr>
        <w:t>who present a model in which b</w:t>
      </w:r>
      <w:r w:rsidR="00A50C13" w:rsidRPr="00020413">
        <w:rPr>
          <w:rFonts w:ascii="Times New Roman" w:hAnsi="Times New Roman"/>
          <w:sz w:val="24"/>
          <w:szCs w:val="24"/>
          <w:shd w:val="clear" w:color="auto" w:fill="FFFFFF"/>
        </w:rPr>
        <w:t>anks have access to a costly screening technology which allows them to discriminate between high</w:t>
      </w:r>
      <w:r w:rsidR="00C23C7E" w:rsidRPr="00020413">
        <w:rPr>
          <w:rFonts w:ascii="Times New Roman" w:hAnsi="Times New Roman"/>
          <w:sz w:val="24"/>
          <w:szCs w:val="24"/>
          <w:shd w:val="clear" w:color="auto" w:fill="FFFFFF"/>
        </w:rPr>
        <w:t>-</w:t>
      </w:r>
      <w:r w:rsidR="00A50C13" w:rsidRPr="00020413">
        <w:rPr>
          <w:rFonts w:ascii="Times New Roman" w:hAnsi="Times New Roman"/>
          <w:sz w:val="24"/>
          <w:szCs w:val="24"/>
          <w:shd w:val="clear" w:color="auto" w:fill="FFFFFF"/>
        </w:rPr>
        <w:t xml:space="preserve"> and low</w:t>
      </w:r>
      <w:r w:rsidR="00C23C7E" w:rsidRPr="00020413">
        <w:rPr>
          <w:rFonts w:ascii="Times New Roman" w:hAnsi="Times New Roman"/>
          <w:sz w:val="24"/>
          <w:szCs w:val="24"/>
          <w:shd w:val="clear" w:color="auto" w:fill="FFFFFF"/>
        </w:rPr>
        <w:t>-</w:t>
      </w:r>
      <w:r w:rsidR="00A50C13" w:rsidRPr="00020413">
        <w:rPr>
          <w:rFonts w:ascii="Times New Roman" w:hAnsi="Times New Roman"/>
          <w:sz w:val="24"/>
          <w:szCs w:val="24"/>
          <w:shd w:val="clear" w:color="auto" w:fill="FFFFFF"/>
        </w:rPr>
        <w:t xml:space="preserve">quality borrowers. </w:t>
      </w:r>
      <w:r w:rsidR="008672A0" w:rsidRPr="00020413">
        <w:rPr>
          <w:rFonts w:ascii="Times New Roman" w:hAnsi="Times New Roman"/>
          <w:sz w:val="24"/>
          <w:szCs w:val="24"/>
          <w:shd w:val="clear" w:color="auto" w:fill="FFFFFF"/>
        </w:rPr>
        <w:t>If a bank incurs the cost to acquire this screening technology, c</w:t>
      </w:r>
      <w:r w:rsidR="00A50C13" w:rsidRPr="00020413">
        <w:rPr>
          <w:rFonts w:ascii="Times New Roman" w:hAnsi="Times New Roman"/>
          <w:sz w:val="24"/>
          <w:szCs w:val="24"/>
          <w:shd w:val="clear" w:color="auto" w:fill="FFFFFF"/>
        </w:rPr>
        <w:t xml:space="preserve">ompetitor banks </w:t>
      </w:r>
      <w:proofErr w:type="gramStart"/>
      <w:r w:rsidR="00A50C13" w:rsidRPr="00020413">
        <w:rPr>
          <w:rFonts w:ascii="Times New Roman" w:hAnsi="Times New Roman"/>
          <w:sz w:val="24"/>
          <w:szCs w:val="24"/>
          <w:shd w:val="clear" w:color="auto" w:fill="FFFFFF"/>
        </w:rPr>
        <w:t>are able to</w:t>
      </w:r>
      <w:proofErr w:type="gramEnd"/>
      <w:r w:rsidR="00A50C13" w:rsidRPr="00020413">
        <w:rPr>
          <w:rFonts w:ascii="Times New Roman" w:hAnsi="Times New Roman"/>
          <w:sz w:val="24"/>
          <w:szCs w:val="24"/>
          <w:shd w:val="clear" w:color="auto" w:fill="FFFFFF"/>
        </w:rPr>
        <w:t xml:space="preserve"> </w:t>
      </w:r>
      <w:r w:rsidR="0028784B" w:rsidRPr="00020413">
        <w:rPr>
          <w:rFonts w:ascii="Times New Roman" w:hAnsi="Times New Roman"/>
          <w:sz w:val="24"/>
          <w:szCs w:val="24"/>
          <w:shd w:val="clear" w:color="auto" w:fill="FFFFFF"/>
        </w:rPr>
        <w:t xml:space="preserve">freely </w:t>
      </w:r>
      <w:r w:rsidR="00F75DC1" w:rsidRPr="00020413">
        <w:rPr>
          <w:rFonts w:ascii="Times New Roman" w:hAnsi="Times New Roman"/>
          <w:sz w:val="24"/>
          <w:szCs w:val="24"/>
          <w:shd w:val="clear" w:color="auto" w:fill="FFFFFF"/>
        </w:rPr>
        <w:t xml:space="preserve">extract the information about the screened borrower through </w:t>
      </w:r>
      <w:r w:rsidR="00734EDA" w:rsidRPr="00020413">
        <w:rPr>
          <w:rFonts w:ascii="Times New Roman" w:hAnsi="Times New Roman"/>
          <w:sz w:val="24"/>
          <w:szCs w:val="24"/>
          <w:shd w:val="clear" w:color="auto" w:fill="FFFFFF"/>
        </w:rPr>
        <w:t xml:space="preserve">that bank’s </w:t>
      </w:r>
      <w:r w:rsidR="00F75DC1" w:rsidRPr="00020413">
        <w:rPr>
          <w:rFonts w:ascii="Times New Roman" w:hAnsi="Times New Roman"/>
          <w:sz w:val="24"/>
          <w:szCs w:val="24"/>
          <w:shd w:val="clear" w:color="auto" w:fill="FFFFFF"/>
        </w:rPr>
        <w:t>decision to grant or deny</w:t>
      </w:r>
      <w:r w:rsidR="00A44E72" w:rsidRPr="00020413">
        <w:rPr>
          <w:rFonts w:ascii="Times New Roman" w:hAnsi="Times New Roman"/>
          <w:sz w:val="24"/>
          <w:szCs w:val="24"/>
          <w:shd w:val="clear" w:color="auto" w:fill="FFFFFF"/>
        </w:rPr>
        <w:t xml:space="preserve"> a loan</w:t>
      </w:r>
      <w:r w:rsidR="00F75DC1" w:rsidRPr="00020413">
        <w:rPr>
          <w:rFonts w:ascii="Times New Roman" w:hAnsi="Times New Roman"/>
          <w:sz w:val="24"/>
          <w:szCs w:val="24"/>
          <w:shd w:val="clear" w:color="auto" w:fill="FFFFFF"/>
        </w:rPr>
        <w:t xml:space="preserve"> </w:t>
      </w:r>
      <w:r w:rsidR="00A44E72" w:rsidRPr="00020413">
        <w:rPr>
          <w:rFonts w:ascii="Times New Roman" w:hAnsi="Times New Roman"/>
          <w:sz w:val="24"/>
          <w:szCs w:val="24"/>
          <w:shd w:val="clear" w:color="auto" w:fill="FFFFFF"/>
        </w:rPr>
        <w:t xml:space="preserve">to </w:t>
      </w:r>
      <w:r w:rsidR="00F75DC1" w:rsidRPr="00020413">
        <w:rPr>
          <w:rFonts w:ascii="Times New Roman" w:hAnsi="Times New Roman"/>
          <w:sz w:val="24"/>
          <w:szCs w:val="24"/>
          <w:shd w:val="clear" w:color="auto" w:fill="FFFFFF"/>
        </w:rPr>
        <w:t>the screened borrower. This leads to informational externality that generates a free-riding problem</w:t>
      </w:r>
      <w:r w:rsidR="00A44E72" w:rsidRPr="00020413">
        <w:rPr>
          <w:rFonts w:ascii="Times New Roman" w:hAnsi="Times New Roman"/>
          <w:sz w:val="24"/>
          <w:szCs w:val="24"/>
          <w:shd w:val="clear" w:color="auto" w:fill="FFFFFF"/>
        </w:rPr>
        <w:t xml:space="preserve">, </w:t>
      </w:r>
      <w:r w:rsidR="00C85D35" w:rsidRPr="00020413">
        <w:rPr>
          <w:rFonts w:ascii="Times New Roman" w:hAnsi="Times New Roman"/>
          <w:sz w:val="24"/>
          <w:szCs w:val="24"/>
          <w:shd w:val="clear" w:color="auto" w:fill="FFFFFF"/>
        </w:rPr>
        <w:t xml:space="preserve">and </w:t>
      </w:r>
      <w:r w:rsidR="00CB43B1" w:rsidRPr="00020413">
        <w:rPr>
          <w:rFonts w:ascii="Times New Roman" w:hAnsi="Times New Roman"/>
          <w:sz w:val="24"/>
          <w:szCs w:val="24"/>
          <w:shd w:val="clear" w:color="auto" w:fill="FFFFFF"/>
        </w:rPr>
        <w:t xml:space="preserve">thus weakening </w:t>
      </w:r>
      <w:r w:rsidR="00F75DC1" w:rsidRPr="00020413">
        <w:rPr>
          <w:rFonts w:ascii="Times New Roman" w:hAnsi="Times New Roman"/>
          <w:sz w:val="24"/>
          <w:szCs w:val="24"/>
          <w:shd w:val="clear" w:color="auto" w:fill="FFFFFF"/>
        </w:rPr>
        <w:t xml:space="preserve">banks’ incentives to incur </w:t>
      </w:r>
      <w:r w:rsidR="008F0EEB" w:rsidRPr="00020413">
        <w:rPr>
          <w:rFonts w:ascii="Times New Roman" w:hAnsi="Times New Roman"/>
          <w:sz w:val="24"/>
          <w:szCs w:val="24"/>
          <w:shd w:val="clear" w:color="auto" w:fill="FFFFFF"/>
        </w:rPr>
        <w:t xml:space="preserve">the cost of screening </w:t>
      </w:r>
      <w:r w:rsidR="00CB43B1" w:rsidRPr="00020413">
        <w:rPr>
          <w:rFonts w:ascii="Times New Roman" w:hAnsi="Times New Roman"/>
          <w:sz w:val="24"/>
          <w:szCs w:val="24"/>
          <w:shd w:val="clear" w:color="auto" w:fill="FFFFFF"/>
        </w:rPr>
        <w:t xml:space="preserve">and </w:t>
      </w:r>
      <w:r w:rsidR="008F0EEB" w:rsidRPr="00020413">
        <w:rPr>
          <w:rFonts w:ascii="Times New Roman" w:hAnsi="Times New Roman"/>
          <w:sz w:val="24"/>
          <w:szCs w:val="24"/>
          <w:shd w:val="clear" w:color="auto" w:fill="FFFFFF"/>
        </w:rPr>
        <w:t xml:space="preserve">to carry out an information-based (efficient) lending strategy. Within this theoretical framework, concentrated banking markets have a </w:t>
      </w:r>
      <w:r w:rsidR="008F0EEB" w:rsidRPr="00020413">
        <w:rPr>
          <w:rFonts w:ascii="Times New Roman" w:hAnsi="Times New Roman"/>
          <w:sz w:val="24"/>
          <w:szCs w:val="24"/>
          <w:shd w:val="clear" w:color="auto" w:fill="FFFFFF"/>
        </w:rPr>
        <w:lastRenderedPageBreak/>
        <w:t xml:space="preserve">higher incentive to </w:t>
      </w:r>
      <w:r w:rsidR="00A44E72" w:rsidRPr="00020413">
        <w:rPr>
          <w:rFonts w:ascii="Times New Roman" w:hAnsi="Times New Roman"/>
          <w:sz w:val="24"/>
          <w:szCs w:val="24"/>
          <w:shd w:val="clear" w:color="auto" w:fill="FFFFFF"/>
        </w:rPr>
        <w:t xml:space="preserve">internally </w:t>
      </w:r>
      <w:r w:rsidR="008F0EEB" w:rsidRPr="00020413">
        <w:rPr>
          <w:rFonts w:ascii="Times New Roman" w:hAnsi="Times New Roman"/>
          <w:sz w:val="24"/>
          <w:szCs w:val="24"/>
          <w:shd w:val="clear" w:color="auto" w:fill="FFFFFF"/>
        </w:rPr>
        <w:t>produce information</w:t>
      </w:r>
      <w:r w:rsidR="00A44E72" w:rsidRPr="00020413">
        <w:rPr>
          <w:rFonts w:ascii="Times New Roman" w:hAnsi="Times New Roman"/>
          <w:sz w:val="24"/>
          <w:szCs w:val="24"/>
          <w:shd w:val="clear" w:color="auto" w:fill="FFFFFF"/>
        </w:rPr>
        <w:t xml:space="preserve"> and effectively screen loan applicants due to a reduced free-riding problem when competitors are few.</w:t>
      </w:r>
      <w:r w:rsidR="008F0EEB" w:rsidRPr="00020413">
        <w:rPr>
          <w:rFonts w:ascii="Times New Roman" w:hAnsi="Times New Roman"/>
          <w:sz w:val="24"/>
          <w:szCs w:val="24"/>
          <w:shd w:val="clear" w:color="auto" w:fill="FFFFFF"/>
        </w:rPr>
        <w:t xml:space="preserve"> </w:t>
      </w:r>
      <w:r w:rsidR="00A44E72" w:rsidRPr="00020413">
        <w:rPr>
          <w:rFonts w:ascii="Times New Roman" w:hAnsi="Times New Roman"/>
          <w:sz w:val="24"/>
          <w:szCs w:val="24"/>
          <w:shd w:val="clear" w:color="auto" w:fill="FFFFFF"/>
        </w:rPr>
        <w:t>T</w:t>
      </w:r>
      <w:r w:rsidR="008F0EEB" w:rsidRPr="00020413">
        <w:rPr>
          <w:rFonts w:ascii="Times New Roman" w:hAnsi="Times New Roman"/>
          <w:sz w:val="24"/>
          <w:szCs w:val="24"/>
          <w:shd w:val="clear" w:color="auto" w:fill="FFFFFF"/>
        </w:rPr>
        <w:t>herefore</w:t>
      </w:r>
      <w:r w:rsidR="00A44E72" w:rsidRPr="00020413">
        <w:rPr>
          <w:rFonts w:ascii="Times New Roman" w:hAnsi="Times New Roman"/>
          <w:sz w:val="24"/>
          <w:szCs w:val="24"/>
          <w:shd w:val="clear" w:color="auto" w:fill="FFFFFF"/>
        </w:rPr>
        <w:t>,</w:t>
      </w:r>
      <w:r w:rsidR="008F0EEB" w:rsidRPr="00020413">
        <w:rPr>
          <w:rFonts w:ascii="Times New Roman" w:hAnsi="Times New Roman"/>
          <w:sz w:val="24"/>
          <w:szCs w:val="24"/>
          <w:shd w:val="clear" w:color="auto" w:fill="FFFFFF"/>
        </w:rPr>
        <w:t xml:space="preserve"> </w:t>
      </w:r>
      <w:r w:rsidR="00327A96" w:rsidRPr="00020413">
        <w:rPr>
          <w:rFonts w:ascii="Times New Roman" w:hAnsi="Times New Roman"/>
          <w:sz w:val="24"/>
          <w:szCs w:val="24"/>
          <w:shd w:val="clear" w:color="auto" w:fill="FFFFFF"/>
        </w:rPr>
        <w:t xml:space="preserve">the potential benefits accruing from </w:t>
      </w:r>
      <w:r w:rsidR="000400FA" w:rsidRPr="00020413">
        <w:rPr>
          <w:rFonts w:ascii="Times New Roman" w:hAnsi="Times New Roman"/>
          <w:sz w:val="24"/>
          <w:szCs w:val="24"/>
          <w:shd w:val="clear" w:color="auto" w:fill="FFFFFF"/>
        </w:rPr>
        <w:t>a public credit information sharing scheme may be minimal in concentrated banking markets</w:t>
      </w:r>
      <w:r w:rsidR="008F0EEB" w:rsidRPr="00020413">
        <w:rPr>
          <w:rFonts w:ascii="Times New Roman" w:hAnsi="Times New Roman"/>
          <w:sz w:val="24"/>
          <w:szCs w:val="24"/>
          <w:shd w:val="clear" w:color="auto" w:fill="FFFFFF"/>
        </w:rPr>
        <w:t>.</w:t>
      </w:r>
      <w:r w:rsidR="00ED5E86" w:rsidRPr="00020413">
        <w:rPr>
          <w:rFonts w:ascii="Times New Roman" w:hAnsi="Times New Roman"/>
          <w:sz w:val="24"/>
          <w:szCs w:val="24"/>
          <w:shd w:val="clear" w:color="auto" w:fill="FFFFFF"/>
        </w:rPr>
        <w:t xml:space="preserve"> A related argument is that since banks in concentrated markets may find information sharing to be less useful, </w:t>
      </w:r>
      <w:r w:rsidR="00CF1955" w:rsidRPr="00020413">
        <w:rPr>
          <w:rFonts w:ascii="Times New Roman" w:hAnsi="Times New Roman"/>
          <w:sz w:val="24"/>
          <w:szCs w:val="24"/>
          <w:shd w:val="clear" w:color="auto" w:fill="FFFFFF"/>
        </w:rPr>
        <w:t xml:space="preserve">the </w:t>
      </w:r>
      <w:r w:rsidR="00ED5E86" w:rsidRPr="00020413">
        <w:rPr>
          <w:rFonts w:ascii="Times New Roman" w:hAnsi="Times New Roman"/>
          <w:sz w:val="24"/>
          <w:szCs w:val="24"/>
          <w:shd w:val="clear" w:color="auto" w:fill="FFFFFF"/>
        </w:rPr>
        <w:t>individual banks may be less willing to share information with each other.</w:t>
      </w:r>
      <w:r w:rsidR="00593AB3" w:rsidRPr="00020413">
        <w:rPr>
          <w:rStyle w:val="FootnoteReference"/>
          <w:rFonts w:ascii="Times New Roman" w:hAnsi="Times New Roman"/>
          <w:sz w:val="24"/>
          <w:szCs w:val="24"/>
          <w:shd w:val="clear" w:color="auto" w:fill="FFFFFF"/>
        </w:rPr>
        <w:footnoteReference w:id="3"/>
      </w:r>
      <w:r w:rsidR="00ED5E86" w:rsidRPr="00020413">
        <w:rPr>
          <w:rFonts w:ascii="Times New Roman" w:hAnsi="Times New Roman"/>
          <w:sz w:val="24"/>
          <w:szCs w:val="24"/>
          <w:shd w:val="clear" w:color="auto" w:fill="FFFFFF"/>
        </w:rPr>
        <w:t xml:space="preserve"> This can again</w:t>
      </w:r>
      <w:r w:rsidR="005052BD" w:rsidRPr="00020413">
        <w:rPr>
          <w:rFonts w:ascii="Times New Roman" w:hAnsi="Times New Roman"/>
          <w:sz w:val="24"/>
          <w:szCs w:val="24"/>
          <w:shd w:val="clear" w:color="auto" w:fill="FFFFFF"/>
        </w:rPr>
        <w:t xml:space="preserve"> reduce any potential benefit of credit information </w:t>
      </w:r>
      <w:r w:rsidR="009A0C50" w:rsidRPr="00020413">
        <w:rPr>
          <w:rFonts w:ascii="Times New Roman" w:hAnsi="Times New Roman"/>
          <w:sz w:val="24"/>
          <w:szCs w:val="24"/>
          <w:shd w:val="clear" w:color="auto" w:fill="FFFFFF"/>
        </w:rPr>
        <w:t xml:space="preserve">sharing </w:t>
      </w:r>
      <w:r w:rsidR="005052BD" w:rsidRPr="00020413">
        <w:rPr>
          <w:rFonts w:ascii="Times New Roman" w:hAnsi="Times New Roman"/>
          <w:sz w:val="24"/>
          <w:szCs w:val="24"/>
          <w:shd w:val="clear" w:color="auto" w:fill="FFFFFF"/>
        </w:rPr>
        <w:t>schemes in concentrated banking markets.</w:t>
      </w:r>
      <w:r w:rsidR="00ED5E86" w:rsidRPr="00020413">
        <w:rPr>
          <w:rFonts w:ascii="Times New Roman" w:hAnsi="Times New Roman"/>
          <w:sz w:val="24"/>
          <w:szCs w:val="24"/>
          <w:shd w:val="clear" w:color="auto" w:fill="FFFFFF"/>
        </w:rPr>
        <w:t xml:space="preserve">   </w:t>
      </w:r>
    </w:p>
    <w:p w:rsidR="0079464C" w:rsidRPr="00020413" w:rsidRDefault="00F07DE7" w:rsidP="00D55D24">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In sum, </w:t>
      </w:r>
      <w:r w:rsidR="001E0AC0" w:rsidRPr="00020413">
        <w:rPr>
          <w:rFonts w:ascii="Times New Roman" w:hAnsi="Times New Roman"/>
          <w:sz w:val="24"/>
          <w:szCs w:val="24"/>
          <w:shd w:val="clear" w:color="auto" w:fill="FFFFFF"/>
        </w:rPr>
        <w:t xml:space="preserve">the key </w:t>
      </w:r>
      <w:r w:rsidRPr="00020413">
        <w:rPr>
          <w:rFonts w:ascii="Times New Roman" w:hAnsi="Times New Roman"/>
          <w:sz w:val="24"/>
          <w:szCs w:val="24"/>
          <w:shd w:val="clear" w:color="auto" w:fill="FFFFFF"/>
        </w:rPr>
        <w:t xml:space="preserve">implication of </w:t>
      </w:r>
      <w:r w:rsidR="001E0AC0" w:rsidRPr="00020413">
        <w:rPr>
          <w:rFonts w:ascii="Times New Roman" w:hAnsi="Times New Roman"/>
          <w:sz w:val="24"/>
          <w:szCs w:val="24"/>
          <w:shd w:val="clear" w:color="auto" w:fill="FFFFFF"/>
        </w:rPr>
        <w:t>both</w:t>
      </w:r>
      <w:r w:rsidR="00734EDA" w:rsidRPr="00020413">
        <w:rPr>
          <w:rFonts w:ascii="Times New Roman" w:hAnsi="Times New Roman"/>
          <w:sz w:val="24"/>
          <w:szCs w:val="24"/>
          <w:shd w:val="clear" w:color="auto" w:fill="FFFFFF"/>
        </w:rPr>
        <w:t xml:space="preserve"> </w:t>
      </w:r>
      <w:r w:rsidR="001E0AC0" w:rsidRPr="00020413">
        <w:rPr>
          <w:rFonts w:ascii="Times New Roman" w:hAnsi="Times New Roman"/>
          <w:sz w:val="24"/>
          <w:szCs w:val="24"/>
          <w:shd w:val="clear" w:color="auto" w:fill="FFFFFF"/>
        </w:rPr>
        <w:t xml:space="preserve">theoretical models of Petersen and </w:t>
      </w:r>
      <w:proofErr w:type="spellStart"/>
      <w:r w:rsidR="001E0AC0" w:rsidRPr="00020413">
        <w:rPr>
          <w:rFonts w:ascii="Times New Roman" w:hAnsi="Times New Roman"/>
          <w:sz w:val="24"/>
          <w:szCs w:val="24"/>
          <w:shd w:val="clear" w:color="auto" w:fill="FFFFFF"/>
        </w:rPr>
        <w:t>Rajan</w:t>
      </w:r>
      <w:proofErr w:type="spellEnd"/>
      <w:r w:rsidRPr="00020413">
        <w:rPr>
          <w:rFonts w:ascii="Times New Roman" w:hAnsi="Times New Roman"/>
          <w:sz w:val="24"/>
          <w:szCs w:val="24"/>
          <w:shd w:val="clear" w:color="auto" w:fill="FFFFFF"/>
        </w:rPr>
        <w:t xml:space="preserve"> (1995) and </w:t>
      </w:r>
      <w:proofErr w:type="spellStart"/>
      <w:r w:rsidRPr="00020413">
        <w:rPr>
          <w:rFonts w:ascii="Times New Roman" w:hAnsi="Times New Roman"/>
          <w:sz w:val="24"/>
          <w:szCs w:val="24"/>
        </w:rPr>
        <w:t>Cetorelli</w:t>
      </w:r>
      <w:proofErr w:type="spellEnd"/>
      <w:r w:rsidRPr="00020413">
        <w:rPr>
          <w:rFonts w:ascii="Times New Roman" w:hAnsi="Times New Roman"/>
          <w:sz w:val="24"/>
          <w:szCs w:val="24"/>
        </w:rPr>
        <w:t xml:space="preserve"> and </w:t>
      </w:r>
      <w:proofErr w:type="spellStart"/>
      <w:r w:rsidRPr="00020413">
        <w:rPr>
          <w:rFonts w:ascii="Times New Roman" w:hAnsi="Times New Roman"/>
          <w:sz w:val="24"/>
          <w:szCs w:val="24"/>
        </w:rPr>
        <w:t>Peretto</w:t>
      </w:r>
      <w:proofErr w:type="spellEnd"/>
      <w:r w:rsidRPr="00020413">
        <w:rPr>
          <w:rFonts w:ascii="Times New Roman" w:hAnsi="Times New Roman"/>
          <w:sz w:val="24"/>
          <w:szCs w:val="24"/>
        </w:rPr>
        <w:t xml:space="preserve"> (2000) </w:t>
      </w:r>
      <w:r w:rsidRPr="00020413">
        <w:rPr>
          <w:rFonts w:ascii="Times New Roman" w:hAnsi="Times New Roman"/>
          <w:sz w:val="24"/>
          <w:szCs w:val="24"/>
          <w:shd w:val="clear" w:color="auto" w:fill="FFFFFF"/>
        </w:rPr>
        <w:t>with respect to the relevance of credit information sharing</w:t>
      </w:r>
      <w:r w:rsidR="0079464C" w:rsidRPr="00020413">
        <w:rPr>
          <w:rFonts w:ascii="Times New Roman" w:hAnsi="Times New Roman"/>
          <w:sz w:val="24"/>
          <w:szCs w:val="24"/>
          <w:shd w:val="clear" w:color="auto" w:fill="FFFFFF"/>
        </w:rPr>
        <w:t xml:space="preserve"> schemes is that the </w:t>
      </w:r>
      <w:r w:rsidR="001E0AC0" w:rsidRPr="00020413">
        <w:rPr>
          <w:rFonts w:ascii="Times New Roman" w:hAnsi="Times New Roman"/>
          <w:sz w:val="24"/>
          <w:szCs w:val="24"/>
          <w:shd w:val="clear" w:color="auto" w:fill="FFFFFF"/>
        </w:rPr>
        <w:t xml:space="preserve">potential benefits of reduced loan default rates associated with having a </w:t>
      </w:r>
      <w:r w:rsidRPr="00020413">
        <w:rPr>
          <w:rFonts w:ascii="Times New Roman" w:hAnsi="Times New Roman"/>
          <w:sz w:val="24"/>
          <w:szCs w:val="24"/>
          <w:shd w:val="clear" w:color="auto" w:fill="FFFFFF"/>
        </w:rPr>
        <w:t xml:space="preserve">public credit information sharing system </w:t>
      </w:r>
      <w:r w:rsidR="0079464C" w:rsidRPr="00020413">
        <w:rPr>
          <w:rFonts w:ascii="Times New Roman" w:hAnsi="Times New Roman"/>
          <w:sz w:val="24"/>
          <w:szCs w:val="24"/>
          <w:shd w:val="clear" w:color="auto" w:fill="FFFFFF"/>
        </w:rPr>
        <w:t xml:space="preserve">may be minimal, if not completely absent, </w:t>
      </w:r>
      <w:r w:rsidR="001E0AC0" w:rsidRPr="00020413">
        <w:rPr>
          <w:rFonts w:ascii="Times New Roman" w:hAnsi="Times New Roman"/>
          <w:sz w:val="24"/>
          <w:szCs w:val="24"/>
          <w:shd w:val="clear" w:color="auto" w:fill="FFFFFF"/>
        </w:rPr>
        <w:t>in concentrated banking markets. This is due to the view that banks in concentrated markets may possess</w:t>
      </w:r>
      <w:r w:rsidRPr="00020413">
        <w:rPr>
          <w:rFonts w:ascii="Times New Roman" w:hAnsi="Times New Roman"/>
          <w:sz w:val="24"/>
          <w:szCs w:val="24"/>
          <w:shd w:val="clear" w:color="auto" w:fill="FFFFFF"/>
        </w:rPr>
        <w:t xml:space="preserve"> adequate internal mechanisms (e.g.</w:t>
      </w:r>
      <w:r w:rsidR="00837249" w:rsidRPr="00020413">
        <w:rPr>
          <w:rFonts w:ascii="Times New Roman" w:hAnsi="Times New Roman"/>
          <w:sz w:val="24"/>
          <w:szCs w:val="24"/>
          <w:shd w:val="clear" w:color="auto" w:fill="FFFFFF"/>
        </w:rPr>
        <w:t>,</w:t>
      </w:r>
      <w:r w:rsidRPr="00020413">
        <w:rPr>
          <w:rFonts w:ascii="Times New Roman" w:hAnsi="Times New Roman"/>
          <w:sz w:val="24"/>
          <w:szCs w:val="24"/>
          <w:shd w:val="clear" w:color="auto" w:fill="FFFFFF"/>
        </w:rPr>
        <w:t xml:space="preserve"> long-term relationships or screening t</w:t>
      </w:r>
      <w:r w:rsidR="00D85075" w:rsidRPr="00020413">
        <w:rPr>
          <w:rFonts w:ascii="Times New Roman" w:hAnsi="Times New Roman"/>
          <w:sz w:val="24"/>
          <w:szCs w:val="24"/>
          <w:shd w:val="clear" w:color="auto" w:fill="FFFFFF"/>
        </w:rPr>
        <w:t xml:space="preserve">ools) </w:t>
      </w:r>
      <w:r w:rsidR="0079464C" w:rsidRPr="00020413">
        <w:rPr>
          <w:rFonts w:ascii="Times New Roman" w:hAnsi="Times New Roman"/>
          <w:sz w:val="24"/>
          <w:szCs w:val="24"/>
          <w:shd w:val="clear" w:color="auto" w:fill="FFFFFF"/>
        </w:rPr>
        <w:t xml:space="preserve">to </w:t>
      </w:r>
      <w:r w:rsidR="001E0AC0" w:rsidRPr="00020413">
        <w:rPr>
          <w:rFonts w:ascii="Times New Roman" w:hAnsi="Times New Roman"/>
          <w:sz w:val="24"/>
          <w:szCs w:val="24"/>
          <w:shd w:val="clear" w:color="auto" w:fill="FFFFFF"/>
        </w:rPr>
        <w:t xml:space="preserve">be able to </w:t>
      </w:r>
      <w:r w:rsidR="0079464C" w:rsidRPr="00020413">
        <w:rPr>
          <w:rFonts w:ascii="Times New Roman" w:hAnsi="Times New Roman"/>
          <w:sz w:val="24"/>
          <w:szCs w:val="24"/>
          <w:shd w:val="clear" w:color="auto" w:fill="FFFFFF"/>
        </w:rPr>
        <w:t xml:space="preserve">generate </w:t>
      </w:r>
      <w:r w:rsidR="001E0AC0" w:rsidRPr="00020413">
        <w:rPr>
          <w:rFonts w:ascii="Times New Roman" w:hAnsi="Times New Roman"/>
          <w:sz w:val="24"/>
          <w:szCs w:val="24"/>
          <w:shd w:val="clear" w:color="auto" w:fill="FFFFFF"/>
        </w:rPr>
        <w:t xml:space="preserve">quality </w:t>
      </w:r>
      <w:r w:rsidR="0079464C" w:rsidRPr="00020413">
        <w:rPr>
          <w:rFonts w:ascii="Times New Roman" w:hAnsi="Times New Roman"/>
          <w:sz w:val="24"/>
          <w:szCs w:val="24"/>
          <w:shd w:val="clear" w:color="auto" w:fill="FFFFFF"/>
        </w:rPr>
        <w:t>information about their borrowers</w:t>
      </w:r>
      <w:r w:rsidRPr="00020413">
        <w:rPr>
          <w:rFonts w:ascii="Times New Roman" w:hAnsi="Times New Roman"/>
          <w:sz w:val="24"/>
          <w:szCs w:val="24"/>
          <w:shd w:val="clear" w:color="auto" w:fill="FFFFFF"/>
        </w:rPr>
        <w:t>.</w:t>
      </w:r>
      <w:r w:rsidR="0079464C" w:rsidRPr="00020413">
        <w:rPr>
          <w:rFonts w:ascii="Times New Roman" w:hAnsi="Times New Roman"/>
          <w:sz w:val="24"/>
          <w:szCs w:val="24"/>
          <w:shd w:val="clear" w:color="auto" w:fill="FFFFFF"/>
        </w:rPr>
        <w:t xml:space="preserve"> Accordingly, </w:t>
      </w:r>
      <w:r w:rsidR="005773F8" w:rsidRPr="00020413">
        <w:rPr>
          <w:rFonts w:ascii="Times New Roman" w:hAnsi="Times New Roman"/>
          <w:sz w:val="24"/>
          <w:szCs w:val="24"/>
          <w:shd w:val="clear" w:color="auto" w:fill="FFFFFF"/>
        </w:rPr>
        <w:t xml:space="preserve">our second </w:t>
      </w:r>
      <w:r w:rsidR="0079464C" w:rsidRPr="00020413">
        <w:rPr>
          <w:rFonts w:ascii="Times New Roman" w:hAnsi="Times New Roman"/>
          <w:sz w:val="24"/>
          <w:szCs w:val="24"/>
          <w:shd w:val="clear" w:color="auto" w:fill="FFFFFF"/>
        </w:rPr>
        <w:t>h</w:t>
      </w:r>
      <w:r w:rsidR="005773F8" w:rsidRPr="00020413">
        <w:rPr>
          <w:rFonts w:ascii="Times New Roman" w:hAnsi="Times New Roman"/>
          <w:sz w:val="24"/>
          <w:szCs w:val="24"/>
          <w:shd w:val="clear" w:color="auto" w:fill="FFFFFF"/>
        </w:rPr>
        <w:t>ypothesis</w:t>
      </w:r>
      <w:r w:rsidR="0079464C" w:rsidRPr="00020413">
        <w:rPr>
          <w:rFonts w:ascii="Times New Roman" w:hAnsi="Times New Roman"/>
          <w:sz w:val="24"/>
          <w:szCs w:val="24"/>
          <w:shd w:val="clear" w:color="auto" w:fill="FFFFFF"/>
        </w:rPr>
        <w:t xml:space="preserve"> </w:t>
      </w:r>
      <w:r w:rsidR="005773F8" w:rsidRPr="00020413">
        <w:rPr>
          <w:rFonts w:ascii="Times New Roman" w:hAnsi="Times New Roman"/>
          <w:sz w:val="24"/>
          <w:szCs w:val="24"/>
          <w:shd w:val="clear" w:color="auto" w:fill="FFFFFF"/>
        </w:rPr>
        <w:t xml:space="preserve">is </w:t>
      </w:r>
      <w:r w:rsidR="0079464C" w:rsidRPr="00020413">
        <w:rPr>
          <w:rFonts w:ascii="Times New Roman" w:hAnsi="Times New Roman"/>
          <w:sz w:val="24"/>
          <w:szCs w:val="24"/>
          <w:shd w:val="clear" w:color="auto" w:fill="FFFFFF"/>
        </w:rPr>
        <w:t>as follows:</w:t>
      </w:r>
      <w:r w:rsidR="00D55D24" w:rsidRPr="00020413">
        <w:rPr>
          <w:rFonts w:ascii="Times New Roman" w:hAnsi="Times New Roman"/>
          <w:sz w:val="24"/>
          <w:szCs w:val="24"/>
          <w:shd w:val="clear" w:color="auto" w:fill="FFFFFF"/>
        </w:rPr>
        <w:t xml:space="preserve">  </w:t>
      </w:r>
    </w:p>
    <w:p w:rsidR="0079464C" w:rsidRPr="00020413" w:rsidRDefault="0079464C" w:rsidP="0079464C">
      <w:pPr>
        <w:spacing w:after="0" w:line="360" w:lineRule="auto"/>
        <w:jc w:val="both"/>
        <w:rPr>
          <w:rFonts w:ascii="Times New Roman" w:hAnsi="Times New Roman"/>
          <w:i/>
          <w:sz w:val="24"/>
          <w:szCs w:val="24"/>
        </w:rPr>
      </w:pPr>
      <w:r w:rsidRPr="00020413">
        <w:rPr>
          <w:rFonts w:ascii="Times New Roman" w:hAnsi="Times New Roman"/>
          <w:i/>
          <w:sz w:val="24"/>
          <w:szCs w:val="24"/>
          <w:shd w:val="clear" w:color="auto" w:fill="FFFFFF"/>
        </w:rPr>
        <w:t>H2: The effect of credit information s</w:t>
      </w:r>
      <w:r w:rsidR="005773F8" w:rsidRPr="00020413">
        <w:rPr>
          <w:rFonts w:ascii="Times New Roman" w:hAnsi="Times New Roman"/>
          <w:i/>
          <w:sz w:val="24"/>
          <w:szCs w:val="24"/>
          <w:shd w:val="clear" w:color="auto" w:fill="FFFFFF"/>
        </w:rPr>
        <w:t>haring on</w:t>
      </w:r>
      <w:r w:rsidRPr="00020413">
        <w:rPr>
          <w:rFonts w:ascii="Times New Roman" w:hAnsi="Times New Roman"/>
          <w:i/>
          <w:sz w:val="24"/>
          <w:szCs w:val="24"/>
          <w:shd w:val="clear" w:color="auto" w:fill="FFFFFF"/>
        </w:rPr>
        <w:t xml:space="preserve"> loan default rate is conditional on banking market concentration.</w:t>
      </w:r>
    </w:p>
    <w:p w:rsidR="006909B4" w:rsidRPr="00020413" w:rsidRDefault="006909B4" w:rsidP="00894076">
      <w:pPr>
        <w:spacing w:after="0" w:line="360" w:lineRule="auto"/>
        <w:jc w:val="center"/>
        <w:rPr>
          <w:rFonts w:ascii="Times New Roman" w:hAnsi="Times New Roman"/>
          <w:sz w:val="24"/>
          <w:szCs w:val="24"/>
          <w:shd w:val="clear" w:color="auto" w:fill="FFFFFF"/>
        </w:rPr>
      </w:pPr>
    </w:p>
    <w:p w:rsidR="00B34AC7" w:rsidRPr="00020413" w:rsidRDefault="00B34AC7" w:rsidP="00A91E8F">
      <w:pPr>
        <w:spacing w:after="0" w:line="360" w:lineRule="auto"/>
        <w:jc w:val="both"/>
        <w:rPr>
          <w:rFonts w:ascii="Times New Roman" w:hAnsi="Times New Roman"/>
          <w:b/>
          <w:sz w:val="24"/>
          <w:szCs w:val="24"/>
          <w:lang w:eastAsia="en-GB"/>
        </w:rPr>
      </w:pPr>
      <w:r w:rsidRPr="00020413">
        <w:rPr>
          <w:rFonts w:ascii="Times New Roman" w:hAnsi="Times New Roman"/>
          <w:b/>
          <w:sz w:val="24"/>
          <w:szCs w:val="24"/>
          <w:lang w:eastAsia="en-GB"/>
        </w:rPr>
        <w:t>2.3 Credit information, governance quality and loan default</w:t>
      </w:r>
    </w:p>
    <w:p w:rsidR="00D95032" w:rsidRPr="00020413" w:rsidRDefault="00E77905" w:rsidP="00D55D24">
      <w:pPr>
        <w:spacing w:after="120" w:line="360" w:lineRule="auto"/>
        <w:jc w:val="both"/>
        <w:rPr>
          <w:rFonts w:ascii="Times New Roman" w:hAnsi="Times New Roman"/>
          <w:sz w:val="24"/>
          <w:szCs w:val="24"/>
          <w:lang w:eastAsia="en-GB"/>
        </w:rPr>
      </w:pPr>
      <w:r w:rsidRPr="00020413">
        <w:rPr>
          <w:rFonts w:ascii="Times New Roman" w:hAnsi="Times New Roman"/>
          <w:sz w:val="24"/>
          <w:szCs w:val="24"/>
          <w:lang w:eastAsia="en-GB"/>
        </w:rPr>
        <w:t xml:space="preserve">We take the view that the nature of the institutional environment </w:t>
      </w:r>
      <w:r w:rsidR="000112FB" w:rsidRPr="00020413">
        <w:rPr>
          <w:rFonts w:ascii="Times New Roman" w:hAnsi="Times New Roman"/>
          <w:sz w:val="24"/>
          <w:szCs w:val="24"/>
          <w:lang w:eastAsia="en-GB"/>
        </w:rPr>
        <w:t xml:space="preserve">in which banks operate </w:t>
      </w:r>
      <w:r w:rsidRPr="00020413">
        <w:rPr>
          <w:rFonts w:ascii="Times New Roman" w:hAnsi="Times New Roman"/>
          <w:sz w:val="24"/>
          <w:szCs w:val="24"/>
          <w:lang w:eastAsia="en-GB"/>
        </w:rPr>
        <w:t xml:space="preserve">is likely to impact the </w:t>
      </w:r>
      <w:r w:rsidR="00DC5AD4" w:rsidRPr="00020413">
        <w:rPr>
          <w:rFonts w:ascii="Times New Roman" w:hAnsi="Times New Roman"/>
          <w:sz w:val="24"/>
          <w:szCs w:val="24"/>
          <w:lang w:eastAsia="en-GB"/>
        </w:rPr>
        <w:t xml:space="preserve">relationship </w:t>
      </w:r>
      <w:r w:rsidR="00E500B9" w:rsidRPr="00020413">
        <w:rPr>
          <w:rFonts w:ascii="Times New Roman" w:hAnsi="Times New Roman"/>
          <w:sz w:val="24"/>
          <w:szCs w:val="24"/>
          <w:lang w:eastAsia="en-GB"/>
        </w:rPr>
        <w:t>between information</w:t>
      </w:r>
      <w:r w:rsidR="004745B5" w:rsidRPr="00020413">
        <w:rPr>
          <w:rFonts w:ascii="Times New Roman" w:hAnsi="Times New Roman"/>
          <w:sz w:val="24"/>
          <w:szCs w:val="24"/>
          <w:lang w:eastAsia="en-GB"/>
        </w:rPr>
        <w:t xml:space="preserve"> sharing</w:t>
      </w:r>
      <w:r w:rsidR="00EB081B" w:rsidRPr="00020413">
        <w:rPr>
          <w:rFonts w:ascii="Times New Roman" w:hAnsi="Times New Roman"/>
          <w:sz w:val="24"/>
          <w:szCs w:val="24"/>
          <w:lang w:eastAsia="en-GB"/>
        </w:rPr>
        <w:t xml:space="preserve"> and </w:t>
      </w:r>
      <w:r w:rsidR="00262D41" w:rsidRPr="00020413">
        <w:rPr>
          <w:rFonts w:ascii="Times New Roman" w:hAnsi="Times New Roman"/>
          <w:sz w:val="24"/>
          <w:szCs w:val="24"/>
          <w:lang w:eastAsia="en-GB"/>
        </w:rPr>
        <w:t>loan default rate</w:t>
      </w:r>
      <w:r w:rsidR="009F1983" w:rsidRPr="00020413">
        <w:rPr>
          <w:rFonts w:ascii="Times New Roman" w:hAnsi="Times New Roman"/>
          <w:sz w:val="24"/>
          <w:szCs w:val="24"/>
          <w:lang w:eastAsia="en-GB"/>
        </w:rPr>
        <w:t xml:space="preserve">. </w:t>
      </w:r>
      <w:r w:rsidR="00E65782" w:rsidRPr="00020413">
        <w:rPr>
          <w:rFonts w:ascii="Times New Roman" w:hAnsi="Times New Roman"/>
          <w:sz w:val="24"/>
          <w:szCs w:val="24"/>
          <w:lang w:eastAsia="en-GB"/>
        </w:rPr>
        <w:t xml:space="preserve">Drawing from institutional theory in the management </w:t>
      </w:r>
      <w:r w:rsidR="00562FB4" w:rsidRPr="00020413">
        <w:rPr>
          <w:rFonts w:ascii="Times New Roman" w:hAnsi="Times New Roman"/>
          <w:sz w:val="24"/>
          <w:szCs w:val="24"/>
          <w:lang w:eastAsia="en-GB"/>
        </w:rPr>
        <w:t>and international business</w:t>
      </w:r>
      <w:r w:rsidR="003E15F0" w:rsidRPr="00020413">
        <w:rPr>
          <w:rFonts w:ascii="Times New Roman" w:hAnsi="Times New Roman"/>
          <w:sz w:val="24"/>
          <w:szCs w:val="24"/>
          <w:lang w:eastAsia="en-GB"/>
        </w:rPr>
        <w:t xml:space="preserve"> </w:t>
      </w:r>
      <w:r w:rsidR="00E65782" w:rsidRPr="00020413">
        <w:rPr>
          <w:rFonts w:ascii="Times New Roman" w:hAnsi="Times New Roman"/>
          <w:sz w:val="24"/>
          <w:szCs w:val="24"/>
          <w:lang w:eastAsia="en-GB"/>
        </w:rPr>
        <w:t>literature</w:t>
      </w:r>
      <w:r w:rsidR="003E15F0" w:rsidRPr="00020413">
        <w:rPr>
          <w:rFonts w:ascii="Times New Roman" w:hAnsi="Times New Roman"/>
          <w:sz w:val="24"/>
          <w:szCs w:val="24"/>
          <w:lang w:eastAsia="en-GB"/>
        </w:rPr>
        <w:t xml:space="preserve"> (e.g.</w:t>
      </w:r>
      <w:r w:rsidR="00837249" w:rsidRPr="00020413">
        <w:rPr>
          <w:rFonts w:ascii="Times New Roman" w:hAnsi="Times New Roman"/>
          <w:sz w:val="24"/>
          <w:szCs w:val="24"/>
          <w:lang w:eastAsia="en-GB"/>
        </w:rPr>
        <w:t>,</w:t>
      </w:r>
      <w:r w:rsidR="003E15F0" w:rsidRPr="00020413">
        <w:rPr>
          <w:rFonts w:ascii="Times New Roman" w:hAnsi="Times New Roman"/>
          <w:sz w:val="24"/>
          <w:szCs w:val="24"/>
          <w:lang w:eastAsia="en-GB"/>
        </w:rPr>
        <w:t xml:space="preserve"> </w:t>
      </w:r>
      <w:r w:rsidR="005C6487" w:rsidRPr="00020413">
        <w:rPr>
          <w:rFonts w:ascii="Times New Roman" w:hAnsi="Times New Roman"/>
          <w:sz w:val="24"/>
          <w:szCs w:val="24"/>
        </w:rPr>
        <w:t xml:space="preserve">Barley and </w:t>
      </w:r>
      <w:proofErr w:type="spellStart"/>
      <w:r w:rsidR="005C6487" w:rsidRPr="00020413">
        <w:rPr>
          <w:rFonts w:ascii="Times New Roman" w:hAnsi="Times New Roman"/>
          <w:sz w:val="24"/>
          <w:szCs w:val="24"/>
        </w:rPr>
        <w:t>Tolbet</w:t>
      </w:r>
      <w:proofErr w:type="spellEnd"/>
      <w:r w:rsidR="005C6487" w:rsidRPr="00020413">
        <w:rPr>
          <w:rFonts w:ascii="Times New Roman" w:hAnsi="Times New Roman"/>
          <w:sz w:val="24"/>
          <w:szCs w:val="24"/>
        </w:rPr>
        <w:t>, 1997</w:t>
      </w:r>
      <w:r w:rsidR="00E0786A" w:rsidRPr="00020413">
        <w:rPr>
          <w:rFonts w:ascii="Times New Roman" w:hAnsi="Times New Roman"/>
          <w:sz w:val="24"/>
          <w:szCs w:val="24"/>
          <w:lang w:eastAsia="en-GB"/>
        </w:rPr>
        <w:t xml:space="preserve">; </w:t>
      </w:r>
      <w:proofErr w:type="spellStart"/>
      <w:r w:rsidR="003E15F0" w:rsidRPr="00020413">
        <w:rPr>
          <w:rFonts w:ascii="Times New Roman" w:hAnsi="Times New Roman"/>
          <w:sz w:val="24"/>
          <w:szCs w:val="24"/>
          <w:lang w:eastAsia="en-GB"/>
        </w:rPr>
        <w:t>Hanousek</w:t>
      </w:r>
      <w:proofErr w:type="spellEnd"/>
      <w:r w:rsidR="003E15F0" w:rsidRPr="00020413">
        <w:rPr>
          <w:rFonts w:ascii="Times New Roman" w:hAnsi="Times New Roman"/>
          <w:sz w:val="24"/>
          <w:szCs w:val="24"/>
          <w:lang w:eastAsia="en-GB"/>
        </w:rPr>
        <w:t xml:space="preserve"> and </w:t>
      </w:r>
      <w:proofErr w:type="spellStart"/>
      <w:r w:rsidR="003E15F0" w:rsidRPr="00020413">
        <w:rPr>
          <w:rFonts w:ascii="Times New Roman" w:hAnsi="Times New Roman"/>
          <w:sz w:val="24"/>
          <w:szCs w:val="24"/>
          <w:lang w:eastAsia="en-GB"/>
        </w:rPr>
        <w:t>Kochanova</w:t>
      </w:r>
      <w:proofErr w:type="spellEnd"/>
      <w:r w:rsidR="003E15F0" w:rsidRPr="00020413">
        <w:rPr>
          <w:rFonts w:ascii="Times New Roman" w:hAnsi="Times New Roman"/>
          <w:sz w:val="24"/>
          <w:szCs w:val="24"/>
          <w:lang w:eastAsia="en-GB"/>
        </w:rPr>
        <w:t>, 2016)</w:t>
      </w:r>
      <w:r w:rsidR="00E65782" w:rsidRPr="00020413">
        <w:rPr>
          <w:rFonts w:ascii="Times New Roman" w:hAnsi="Times New Roman"/>
          <w:sz w:val="24"/>
          <w:szCs w:val="24"/>
          <w:lang w:eastAsia="en-GB"/>
        </w:rPr>
        <w:t>, o</w:t>
      </w:r>
      <w:r w:rsidR="007C675E" w:rsidRPr="00020413">
        <w:rPr>
          <w:rFonts w:ascii="Times New Roman" w:hAnsi="Times New Roman"/>
          <w:sz w:val="24"/>
          <w:szCs w:val="24"/>
          <w:lang w:eastAsia="en-GB"/>
        </w:rPr>
        <w:t>ur core argument</w:t>
      </w:r>
      <w:r w:rsidR="00800D8A" w:rsidRPr="00020413">
        <w:rPr>
          <w:rFonts w:ascii="Times New Roman" w:hAnsi="Times New Roman"/>
          <w:sz w:val="24"/>
          <w:szCs w:val="24"/>
          <w:lang w:eastAsia="en-GB"/>
        </w:rPr>
        <w:t xml:space="preserve"> in this section</w:t>
      </w:r>
      <w:r w:rsidR="007C675E" w:rsidRPr="00020413">
        <w:rPr>
          <w:rFonts w:ascii="Times New Roman" w:hAnsi="Times New Roman"/>
          <w:sz w:val="24"/>
          <w:szCs w:val="24"/>
          <w:lang w:eastAsia="en-GB"/>
        </w:rPr>
        <w:t xml:space="preserve"> is that b</w:t>
      </w:r>
      <w:r w:rsidR="00DE4EBB" w:rsidRPr="00020413">
        <w:rPr>
          <w:rFonts w:ascii="Times New Roman" w:hAnsi="Times New Roman"/>
          <w:sz w:val="24"/>
          <w:szCs w:val="24"/>
          <w:lang w:eastAsia="en-GB"/>
        </w:rPr>
        <w:t xml:space="preserve">anks in specific institutional settings may reap more </w:t>
      </w:r>
      <w:r w:rsidR="007C675E" w:rsidRPr="00020413">
        <w:rPr>
          <w:rFonts w:ascii="Times New Roman" w:hAnsi="Times New Roman"/>
          <w:sz w:val="24"/>
          <w:szCs w:val="24"/>
          <w:lang w:eastAsia="en-GB"/>
        </w:rPr>
        <w:t xml:space="preserve">or </w:t>
      </w:r>
      <w:r w:rsidR="00734EDA" w:rsidRPr="00020413">
        <w:rPr>
          <w:rFonts w:ascii="Times New Roman" w:hAnsi="Times New Roman"/>
          <w:sz w:val="24"/>
          <w:szCs w:val="24"/>
          <w:lang w:eastAsia="en-GB"/>
        </w:rPr>
        <w:t xml:space="preserve">fewer </w:t>
      </w:r>
      <w:r w:rsidR="00DE4EBB" w:rsidRPr="00020413">
        <w:rPr>
          <w:rFonts w:ascii="Times New Roman" w:hAnsi="Times New Roman"/>
          <w:sz w:val="24"/>
          <w:szCs w:val="24"/>
          <w:lang w:eastAsia="en-GB"/>
        </w:rPr>
        <w:t xml:space="preserve">benefits from credit information sharing than their counterparts operating elsewhere. </w:t>
      </w:r>
      <w:r w:rsidR="007332FB" w:rsidRPr="00020413">
        <w:rPr>
          <w:rFonts w:ascii="Times New Roman" w:hAnsi="Times New Roman"/>
          <w:sz w:val="24"/>
          <w:szCs w:val="24"/>
          <w:lang w:eastAsia="en-GB"/>
        </w:rPr>
        <w:t>To start with, o</w:t>
      </w:r>
      <w:r w:rsidR="00D02ED5" w:rsidRPr="00020413">
        <w:rPr>
          <w:rFonts w:ascii="Times New Roman" w:hAnsi="Times New Roman"/>
          <w:sz w:val="24"/>
          <w:szCs w:val="24"/>
          <w:lang w:eastAsia="en-GB"/>
        </w:rPr>
        <w:t xml:space="preserve">rganisational behaviour, culture, practices and performance </w:t>
      </w:r>
      <w:r w:rsidR="0051282E" w:rsidRPr="00020413">
        <w:rPr>
          <w:rFonts w:ascii="Times New Roman" w:hAnsi="Times New Roman"/>
          <w:sz w:val="24"/>
          <w:szCs w:val="24"/>
          <w:lang w:eastAsia="en-GB"/>
        </w:rPr>
        <w:t xml:space="preserve">generally </w:t>
      </w:r>
      <w:r w:rsidR="00D02ED5" w:rsidRPr="00020413">
        <w:rPr>
          <w:rFonts w:ascii="Times New Roman" w:hAnsi="Times New Roman"/>
          <w:sz w:val="24"/>
          <w:szCs w:val="24"/>
          <w:lang w:eastAsia="en-GB"/>
        </w:rPr>
        <w:t xml:space="preserve">differ across countries due to institutional differences </w:t>
      </w:r>
      <w:r w:rsidR="009A5775" w:rsidRPr="00020413">
        <w:rPr>
          <w:rFonts w:ascii="Times New Roman" w:hAnsi="Times New Roman"/>
          <w:sz w:val="24"/>
          <w:szCs w:val="24"/>
          <w:lang w:eastAsia="en-GB"/>
        </w:rPr>
        <w:t>such as</w:t>
      </w:r>
      <w:r w:rsidR="00D02ED5" w:rsidRPr="00020413">
        <w:rPr>
          <w:rFonts w:ascii="Times New Roman" w:hAnsi="Times New Roman"/>
          <w:sz w:val="24"/>
          <w:szCs w:val="24"/>
          <w:lang w:eastAsia="en-GB"/>
        </w:rPr>
        <w:t xml:space="preserve"> governance quality </w:t>
      </w:r>
      <w:r w:rsidR="009A5775" w:rsidRPr="00020413">
        <w:rPr>
          <w:rFonts w:ascii="Times New Roman" w:hAnsi="Times New Roman"/>
          <w:sz w:val="24"/>
          <w:szCs w:val="24"/>
          <w:lang w:eastAsia="en-GB"/>
        </w:rPr>
        <w:t>in the form of t</w:t>
      </w:r>
      <w:r w:rsidR="00B37B1D" w:rsidRPr="00020413">
        <w:rPr>
          <w:rFonts w:ascii="Times New Roman" w:hAnsi="Times New Roman"/>
          <w:sz w:val="24"/>
          <w:szCs w:val="24"/>
          <w:lang w:eastAsia="en-GB"/>
        </w:rPr>
        <w:t xml:space="preserve">he effectiveness of </w:t>
      </w:r>
      <w:r w:rsidR="00837249" w:rsidRPr="00020413">
        <w:rPr>
          <w:rFonts w:ascii="Times New Roman" w:hAnsi="Times New Roman"/>
          <w:sz w:val="24"/>
          <w:szCs w:val="24"/>
        </w:rPr>
        <w:t>rule of law, regulatory quality</w:t>
      </w:r>
      <w:r w:rsidR="003B358A" w:rsidRPr="00020413">
        <w:rPr>
          <w:rFonts w:ascii="Times New Roman" w:hAnsi="Times New Roman"/>
          <w:sz w:val="24"/>
          <w:szCs w:val="24"/>
        </w:rPr>
        <w:t xml:space="preserve"> and</w:t>
      </w:r>
      <w:r w:rsidR="00837249" w:rsidRPr="00020413">
        <w:rPr>
          <w:rFonts w:ascii="Times New Roman" w:hAnsi="Times New Roman"/>
          <w:sz w:val="24"/>
          <w:szCs w:val="24"/>
        </w:rPr>
        <w:t xml:space="preserve"> control of corruption</w:t>
      </w:r>
      <w:r w:rsidR="00B37B1D" w:rsidRPr="00020413">
        <w:rPr>
          <w:rFonts w:ascii="Times New Roman" w:hAnsi="Times New Roman"/>
          <w:sz w:val="24"/>
          <w:szCs w:val="24"/>
          <w:lang w:eastAsia="en-GB"/>
        </w:rPr>
        <w:t xml:space="preserve">, </w:t>
      </w:r>
      <w:r w:rsidR="009A5775" w:rsidRPr="00020413">
        <w:rPr>
          <w:rFonts w:ascii="Times New Roman" w:hAnsi="Times New Roman"/>
          <w:sz w:val="24"/>
          <w:szCs w:val="24"/>
          <w:lang w:eastAsia="en-GB"/>
        </w:rPr>
        <w:t xml:space="preserve">among others </w:t>
      </w:r>
      <w:r w:rsidR="00D02ED5" w:rsidRPr="00020413">
        <w:rPr>
          <w:rFonts w:ascii="Times New Roman" w:hAnsi="Times New Roman"/>
          <w:sz w:val="24"/>
          <w:szCs w:val="24"/>
          <w:lang w:eastAsia="en-GB"/>
        </w:rPr>
        <w:t>(</w:t>
      </w:r>
      <w:r w:rsidR="0015526C" w:rsidRPr="00020413">
        <w:rPr>
          <w:rFonts w:ascii="Times New Roman" w:hAnsi="Times New Roman"/>
          <w:sz w:val="24"/>
          <w:szCs w:val="24"/>
          <w:lang w:eastAsia="en-GB"/>
        </w:rPr>
        <w:t>Dodd and Gilbert, 2016</w:t>
      </w:r>
      <w:r w:rsidR="00420795" w:rsidRPr="00020413">
        <w:rPr>
          <w:rFonts w:ascii="Times New Roman" w:hAnsi="Times New Roman"/>
          <w:sz w:val="24"/>
          <w:szCs w:val="24"/>
          <w:lang w:eastAsia="en-GB"/>
        </w:rPr>
        <w:t>; Hearn et al., 2017</w:t>
      </w:r>
      <w:r w:rsidR="00D02ED5" w:rsidRPr="00020413">
        <w:rPr>
          <w:rFonts w:ascii="Times New Roman" w:hAnsi="Times New Roman"/>
          <w:sz w:val="24"/>
          <w:szCs w:val="24"/>
          <w:lang w:eastAsia="en-GB"/>
        </w:rPr>
        <w:t xml:space="preserve">). </w:t>
      </w:r>
      <w:r w:rsidR="00A628CF" w:rsidRPr="00020413">
        <w:rPr>
          <w:rFonts w:ascii="Times New Roman" w:hAnsi="Times New Roman"/>
          <w:sz w:val="24"/>
          <w:szCs w:val="24"/>
          <w:lang w:eastAsia="en-GB"/>
        </w:rPr>
        <w:t>Martins et al. (2014) argue that enforcement of contracts depends on the quality of country</w:t>
      </w:r>
      <w:r w:rsidR="00084437" w:rsidRPr="00020413">
        <w:rPr>
          <w:rFonts w:ascii="Times New Roman" w:hAnsi="Times New Roman"/>
          <w:sz w:val="24"/>
          <w:szCs w:val="24"/>
          <w:lang w:eastAsia="en-GB"/>
        </w:rPr>
        <w:t>-</w:t>
      </w:r>
      <w:r w:rsidR="00A628CF" w:rsidRPr="00020413">
        <w:rPr>
          <w:rFonts w:ascii="Times New Roman" w:hAnsi="Times New Roman"/>
          <w:sz w:val="24"/>
          <w:szCs w:val="24"/>
          <w:lang w:eastAsia="en-GB"/>
        </w:rPr>
        <w:t>level governance</w:t>
      </w:r>
      <w:r w:rsidR="00D371F4" w:rsidRPr="00020413">
        <w:rPr>
          <w:rFonts w:ascii="Times New Roman" w:hAnsi="Times New Roman"/>
          <w:sz w:val="24"/>
          <w:szCs w:val="24"/>
          <w:lang w:eastAsia="en-GB"/>
        </w:rPr>
        <w:t>, imply</w:t>
      </w:r>
      <w:r w:rsidR="00CE47BB" w:rsidRPr="00020413">
        <w:rPr>
          <w:rFonts w:ascii="Times New Roman" w:hAnsi="Times New Roman"/>
          <w:sz w:val="24"/>
          <w:szCs w:val="24"/>
          <w:lang w:eastAsia="en-GB"/>
        </w:rPr>
        <w:t xml:space="preserve">ing that </w:t>
      </w:r>
      <w:r w:rsidR="00D371F4" w:rsidRPr="00020413">
        <w:rPr>
          <w:rFonts w:ascii="Times New Roman" w:hAnsi="Times New Roman"/>
          <w:sz w:val="24"/>
          <w:szCs w:val="24"/>
          <w:lang w:eastAsia="en-GB"/>
        </w:rPr>
        <w:t xml:space="preserve">moral hazard problems arising from </w:t>
      </w:r>
      <w:r w:rsidR="00E90483" w:rsidRPr="00020413">
        <w:rPr>
          <w:rFonts w:ascii="Times New Roman" w:hAnsi="Times New Roman"/>
          <w:sz w:val="24"/>
          <w:szCs w:val="24"/>
          <w:lang w:eastAsia="en-GB"/>
        </w:rPr>
        <w:t>weak legal s</w:t>
      </w:r>
      <w:r w:rsidR="00CE47BB" w:rsidRPr="00020413">
        <w:rPr>
          <w:rFonts w:ascii="Times New Roman" w:hAnsi="Times New Roman"/>
          <w:sz w:val="24"/>
          <w:szCs w:val="24"/>
          <w:lang w:eastAsia="en-GB"/>
        </w:rPr>
        <w:t>tructures</w:t>
      </w:r>
      <w:r w:rsidR="00E90483" w:rsidRPr="00020413">
        <w:rPr>
          <w:rFonts w:ascii="Times New Roman" w:hAnsi="Times New Roman"/>
          <w:sz w:val="24"/>
          <w:szCs w:val="24"/>
          <w:lang w:eastAsia="en-GB"/>
        </w:rPr>
        <w:t xml:space="preserve"> may vary across countries</w:t>
      </w:r>
      <w:r w:rsidR="00A628CF" w:rsidRPr="00020413">
        <w:rPr>
          <w:rFonts w:ascii="Times New Roman" w:hAnsi="Times New Roman"/>
          <w:sz w:val="24"/>
          <w:szCs w:val="24"/>
          <w:lang w:eastAsia="en-GB"/>
        </w:rPr>
        <w:t xml:space="preserve">. </w:t>
      </w:r>
      <w:r w:rsidR="00E90483" w:rsidRPr="00020413">
        <w:rPr>
          <w:rFonts w:ascii="Times New Roman" w:hAnsi="Times New Roman"/>
          <w:sz w:val="24"/>
          <w:szCs w:val="24"/>
          <w:lang w:eastAsia="en-GB"/>
        </w:rPr>
        <w:t xml:space="preserve">Although </w:t>
      </w:r>
      <w:r w:rsidR="00CE47BB" w:rsidRPr="00020413">
        <w:rPr>
          <w:rFonts w:ascii="Times New Roman" w:hAnsi="Times New Roman"/>
          <w:sz w:val="24"/>
          <w:szCs w:val="24"/>
          <w:lang w:eastAsia="en-GB"/>
        </w:rPr>
        <w:t>countries in developing economies are largely characterised by institutional voids</w:t>
      </w:r>
      <w:r w:rsidR="007332FB" w:rsidRPr="00020413">
        <w:rPr>
          <w:rFonts w:ascii="Times New Roman" w:hAnsi="Times New Roman"/>
          <w:sz w:val="24"/>
          <w:szCs w:val="24"/>
          <w:lang w:eastAsia="en-GB"/>
        </w:rPr>
        <w:t xml:space="preserve"> (</w:t>
      </w:r>
      <w:proofErr w:type="spellStart"/>
      <w:r w:rsidR="007332FB" w:rsidRPr="00020413">
        <w:rPr>
          <w:rFonts w:ascii="Times New Roman" w:hAnsi="Times New Roman"/>
          <w:sz w:val="24"/>
          <w:szCs w:val="24"/>
          <w:lang w:eastAsia="en-GB"/>
        </w:rPr>
        <w:t>Amaeshi</w:t>
      </w:r>
      <w:proofErr w:type="spellEnd"/>
      <w:r w:rsidR="007332FB" w:rsidRPr="00020413">
        <w:rPr>
          <w:rFonts w:ascii="Times New Roman" w:hAnsi="Times New Roman"/>
          <w:sz w:val="24"/>
          <w:szCs w:val="24"/>
          <w:lang w:eastAsia="en-GB"/>
        </w:rPr>
        <w:t xml:space="preserve"> et. al. 2016</w:t>
      </w:r>
      <w:r w:rsidR="00577FC4" w:rsidRPr="00020413">
        <w:rPr>
          <w:rFonts w:ascii="Times New Roman" w:hAnsi="Times New Roman"/>
          <w:sz w:val="24"/>
          <w:szCs w:val="24"/>
          <w:lang w:eastAsia="en-GB"/>
        </w:rPr>
        <w:t>; Agyei-Boapeah and Machokoto, 2018</w:t>
      </w:r>
      <w:r w:rsidR="007332FB" w:rsidRPr="00020413">
        <w:rPr>
          <w:rFonts w:ascii="Times New Roman" w:hAnsi="Times New Roman"/>
          <w:sz w:val="24"/>
          <w:szCs w:val="24"/>
          <w:lang w:eastAsia="en-GB"/>
        </w:rPr>
        <w:t>)</w:t>
      </w:r>
      <w:r w:rsidR="00CE47BB" w:rsidRPr="00020413">
        <w:rPr>
          <w:rFonts w:ascii="Times New Roman" w:hAnsi="Times New Roman"/>
          <w:sz w:val="24"/>
          <w:szCs w:val="24"/>
          <w:lang w:eastAsia="en-GB"/>
        </w:rPr>
        <w:t xml:space="preserve"> such as </w:t>
      </w:r>
      <w:r w:rsidR="00CE47BB" w:rsidRPr="00020413">
        <w:rPr>
          <w:rFonts w:ascii="Times New Roman" w:hAnsi="Times New Roman"/>
          <w:sz w:val="24"/>
          <w:szCs w:val="24"/>
          <w:lang w:eastAsia="en-GB"/>
        </w:rPr>
        <w:lastRenderedPageBreak/>
        <w:t>weak enforcement of laws and laxity in fighting corruption</w:t>
      </w:r>
      <w:r w:rsidR="00E90483" w:rsidRPr="00020413">
        <w:rPr>
          <w:rFonts w:ascii="Times New Roman" w:hAnsi="Times New Roman"/>
          <w:sz w:val="24"/>
          <w:szCs w:val="24"/>
          <w:lang w:eastAsia="en-GB"/>
        </w:rPr>
        <w:t xml:space="preserve">, there is also a wide variation </w:t>
      </w:r>
      <w:r w:rsidR="00B37B1D" w:rsidRPr="00020413">
        <w:rPr>
          <w:rFonts w:ascii="Times New Roman" w:hAnsi="Times New Roman"/>
          <w:sz w:val="24"/>
          <w:szCs w:val="24"/>
          <w:lang w:eastAsia="en-GB"/>
        </w:rPr>
        <w:t xml:space="preserve">in the quality of governance </w:t>
      </w:r>
      <w:r w:rsidR="00CE47BB" w:rsidRPr="00020413">
        <w:rPr>
          <w:rFonts w:ascii="Times New Roman" w:hAnsi="Times New Roman"/>
          <w:sz w:val="24"/>
          <w:szCs w:val="24"/>
          <w:lang w:eastAsia="en-GB"/>
        </w:rPr>
        <w:t>across countries</w:t>
      </w:r>
      <w:r w:rsidR="00D15475" w:rsidRPr="00020413">
        <w:rPr>
          <w:rFonts w:ascii="Times New Roman" w:hAnsi="Times New Roman"/>
          <w:sz w:val="24"/>
          <w:szCs w:val="24"/>
          <w:lang w:eastAsia="en-GB"/>
        </w:rPr>
        <w:t>,</w:t>
      </w:r>
      <w:r w:rsidR="00CE47BB" w:rsidRPr="00020413">
        <w:rPr>
          <w:rFonts w:ascii="Times New Roman" w:hAnsi="Times New Roman"/>
          <w:sz w:val="24"/>
          <w:szCs w:val="24"/>
          <w:lang w:eastAsia="en-GB"/>
        </w:rPr>
        <w:t xml:space="preserve"> with some having better governance structures than others.</w:t>
      </w:r>
      <w:r w:rsidR="00D95032" w:rsidRPr="00020413">
        <w:rPr>
          <w:rFonts w:ascii="Times New Roman" w:hAnsi="Times New Roman"/>
          <w:sz w:val="24"/>
          <w:szCs w:val="24"/>
          <w:lang w:eastAsia="en-GB"/>
        </w:rPr>
        <w:t xml:space="preserve"> </w:t>
      </w:r>
      <w:r w:rsidR="00CE47BB" w:rsidRPr="00020413">
        <w:rPr>
          <w:rFonts w:ascii="Times New Roman" w:hAnsi="Times New Roman"/>
          <w:sz w:val="24"/>
          <w:szCs w:val="24"/>
          <w:lang w:eastAsia="en-GB"/>
        </w:rPr>
        <w:t>Banks operating in countries with severe</w:t>
      </w:r>
      <w:r w:rsidR="00D95032" w:rsidRPr="00020413">
        <w:rPr>
          <w:rFonts w:ascii="Times New Roman" w:hAnsi="Times New Roman"/>
          <w:sz w:val="24"/>
          <w:szCs w:val="24"/>
          <w:lang w:eastAsia="en-GB"/>
        </w:rPr>
        <w:t xml:space="preserve"> institutional voids</w:t>
      </w:r>
      <w:r w:rsidR="00D15475" w:rsidRPr="00020413">
        <w:rPr>
          <w:rFonts w:ascii="Times New Roman" w:hAnsi="Times New Roman"/>
          <w:sz w:val="24"/>
          <w:szCs w:val="24"/>
          <w:lang w:eastAsia="en-GB"/>
        </w:rPr>
        <w:t xml:space="preserve"> may</w:t>
      </w:r>
      <w:r w:rsidR="007332FB" w:rsidRPr="00020413">
        <w:rPr>
          <w:rFonts w:ascii="Times New Roman" w:hAnsi="Times New Roman"/>
          <w:sz w:val="24"/>
          <w:szCs w:val="24"/>
          <w:lang w:eastAsia="en-GB"/>
        </w:rPr>
        <w:t xml:space="preserve"> thus</w:t>
      </w:r>
      <w:r w:rsidR="00D15475" w:rsidRPr="00020413">
        <w:rPr>
          <w:rFonts w:ascii="Times New Roman" w:hAnsi="Times New Roman"/>
          <w:sz w:val="24"/>
          <w:szCs w:val="24"/>
          <w:lang w:eastAsia="en-GB"/>
        </w:rPr>
        <w:t xml:space="preserve"> face relatively higher cost since they need to incur additional costs </w:t>
      </w:r>
      <w:r w:rsidR="005A1D11" w:rsidRPr="00020413">
        <w:rPr>
          <w:rFonts w:ascii="Times New Roman" w:hAnsi="Times New Roman"/>
          <w:sz w:val="24"/>
          <w:szCs w:val="24"/>
          <w:lang w:eastAsia="en-GB"/>
        </w:rPr>
        <w:t xml:space="preserve">in order </w:t>
      </w:r>
      <w:r w:rsidR="0086227F" w:rsidRPr="00020413">
        <w:rPr>
          <w:rFonts w:ascii="Times New Roman" w:hAnsi="Times New Roman"/>
          <w:sz w:val="24"/>
          <w:szCs w:val="24"/>
          <w:lang w:eastAsia="en-GB"/>
        </w:rPr>
        <w:t>to enforce their loan contracts</w:t>
      </w:r>
      <w:r w:rsidR="00D15475" w:rsidRPr="00020413">
        <w:rPr>
          <w:rFonts w:ascii="Times New Roman" w:hAnsi="Times New Roman"/>
          <w:sz w:val="24"/>
          <w:szCs w:val="24"/>
          <w:lang w:eastAsia="en-GB"/>
        </w:rPr>
        <w:t>.</w:t>
      </w:r>
      <w:r w:rsidR="0086227F" w:rsidRPr="00020413">
        <w:rPr>
          <w:rFonts w:ascii="Times New Roman" w:hAnsi="Times New Roman"/>
          <w:sz w:val="24"/>
          <w:szCs w:val="24"/>
          <w:lang w:eastAsia="en-GB"/>
        </w:rPr>
        <w:t xml:space="preserve"> </w:t>
      </w:r>
      <w:r w:rsidR="00D15475" w:rsidRPr="00020413">
        <w:rPr>
          <w:rFonts w:ascii="Times New Roman" w:hAnsi="Times New Roman"/>
          <w:sz w:val="24"/>
          <w:szCs w:val="24"/>
          <w:lang w:eastAsia="en-GB"/>
        </w:rPr>
        <w:t xml:space="preserve">Higher loan enforcement costs may </w:t>
      </w:r>
      <w:r w:rsidR="000E727E" w:rsidRPr="00020413">
        <w:rPr>
          <w:rFonts w:ascii="Times New Roman" w:hAnsi="Times New Roman"/>
          <w:sz w:val="24"/>
          <w:szCs w:val="24"/>
          <w:lang w:eastAsia="en-GB"/>
        </w:rPr>
        <w:t>subsequently</w:t>
      </w:r>
      <w:r w:rsidR="00D15475" w:rsidRPr="00020413">
        <w:rPr>
          <w:rFonts w:ascii="Times New Roman" w:hAnsi="Times New Roman"/>
          <w:sz w:val="24"/>
          <w:szCs w:val="24"/>
          <w:lang w:eastAsia="en-GB"/>
        </w:rPr>
        <w:t xml:space="preserve"> </w:t>
      </w:r>
      <w:r w:rsidR="0086227F" w:rsidRPr="00020413">
        <w:rPr>
          <w:rFonts w:ascii="Times New Roman" w:hAnsi="Times New Roman"/>
          <w:sz w:val="24"/>
          <w:szCs w:val="24"/>
          <w:lang w:eastAsia="en-GB"/>
        </w:rPr>
        <w:t xml:space="preserve">lead to </w:t>
      </w:r>
      <w:r w:rsidR="00180342" w:rsidRPr="00020413">
        <w:rPr>
          <w:rFonts w:ascii="Times New Roman" w:hAnsi="Times New Roman"/>
          <w:sz w:val="24"/>
          <w:szCs w:val="24"/>
          <w:lang w:eastAsia="en-GB"/>
        </w:rPr>
        <w:t xml:space="preserve">greater agency problems and </w:t>
      </w:r>
      <w:r w:rsidR="0086227F" w:rsidRPr="00020413">
        <w:rPr>
          <w:rFonts w:ascii="Times New Roman" w:hAnsi="Times New Roman"/>
          <w:sz w:val="24"/>
          <w:szCs w:val="24"/>
          <w:lang w:eastAsia="en-GB"/>
        </w:rPr>
        <w:t>higher</w:t>
      </w:r>
      <w:r w:rsidR="00425083" w:rsidRPr="00020413">
        <w:rPr>
          <w:rFonts w:ascii="Times New Roman" w:hAnsi="Times New Roman"/>
          <w:sz w:val="24"/>
          <w:szCs w:val="24"/>
          <w:lang w:eastAsia="en-GB"/>
        </w:rPr>
        <w:t xml:space="preserve"> </w:t>
      </w:r>
      <w:r w:rsidR="005F3097" w:rsidRPr="00020413">
        <w:rPr>
          <w:rFonts w:ascii="Times New Roman" w:hAnsi="Times New Roman"/>
          <w:sz w:val="24"/>
          <w:szCs w:val="24"/>
          <w:lang w:eastAsia="en-GB"/>
        </w:rPr>
        <w:t>loan default</w:t>
      </w:r>
      <w:r w:rsidR="00425083" w:rsidRPr="00020413">
        <w:rPr>
          <w:rFonts w:ascii="Times New Roman" w:hAnsi="Times New Roman"/>
          <w:sz w:val="24"/>
          <w:szCs w:val="24"/>
          <w:lang w:eastAsia="en-GB"/>
        </w:rPr>
        <w:t xml:space="preserve"> rates</w:t>
      </w:r>
      <w:r w:rsidR="0086227F" w:rsidRPr="00020413">
        <w:rPr>
          <w:rFonts w:ascii="Times New Roman" w:hAnsi="Times New Roman"/>
          <w:sz w:val="24"/>
          <w:szCs w:val="24"/>
          <w:lang w:eastAsia="en-GB"/>
        </w:rPr>
        <w:t xml:space="preserve"> in countries with poor national governance quality</w:t>
      </w:r>
      <w:r w:rsidR="00D95032" w:rsidRPr="00020413">
        <w:rPr>
          <w:rFonts w:ascii="Times New Roman" w:hAnsi="Times New Roman"/>
          <w:sz w:val="24"/>
          <w:szCs w:val="24"/>
          <w:lang w:eastAsia="en-GB"/>
        </w:rPr>
        <w:t>.</w:t>
      </w:r>
      <w:r w:rsidR="00D02ED5" w:rsidRPr="00020413">
        <w:rPr>
          <w:rFonts w:ascii="Times New Roman" w:hAnsi="Times New Roman"/>
          <w:sz w:val="24"/>
          <w:szCs w:val="24"/>
          <w:lang w:eastAsia="en-GB"/>
        </w:rPr>
        <w:t xml:space="preserve"> </w:t>
      </w:r>
    </w:p>
    <w:p w:rsidR="004B3990" w:rsidRPr="00020413" w:rsidRDefault="00425083" w:rsidP="00D55D24">
      <w:pPr>
        <w:spacing w:after="120" w:line="360" w:lineRule="auto"/>
        <w:jc w:val="both"/>
        <w:rPr>
          <w:rFonts w:ascii="Times New Roman" w:hAnsi="Times New Roman"/>
          <w:sz w:val="24"/>
          <w:szCs w:val="24"/>
          <w:lang w:eastAsia="en-GB"/>
        </w:rPr>
      </w:pPr>
      <w:r w:rsidRPr="00020413">
        <w:rPr>
          <w:rFonts w:ascii="Times New Roman" w:hAnsi="Times New Roman"/>
          <w:sz w:val="24"/>
          <w:szCs w:val="24"/>
          <w:lang w:eastAsia="en-GB"/>
        </w:rPr>
        <w:t xml:space="preserve">The empirical </w:t>
      </w:r>
      <w:r w:rsidR="0086227F" w:rsidRPr="00020413">
        <w:rPr>
          <w:rFonts w:ascii="Times New Roman" w:hAnsi="Times New Roman"/>
          <w:sz w:val="24"/>
          <w:szCs w:val="24"/>
          <w:lang w:eastAsia="en-GB"/>
        </w:rPr>
        <w:t>literature largely</w:t>
      </w:r>
      <w:r w:rsidRPr="00020413">
        <w:rPr>
          <w:rFonts w:ascii="Times New Roman" w:hAnsi="Times New Roman"/>
          <w:sz w:val="24"/>
          <w:szCs w:val="24"/>
          <w:lang w:eastAsia="en-GB"/>
        </w:rPr>
        <w:t xml:space="preserve"> suggest</w:t>
      </w:r>
      <w:r w:rsidR="0086227F" w:rsidRPr="00020413">
        <w:rPr>
          <w:rFonts w:ascii="Times New Roman" w:hAnsi="Times New Roman"/>
          <w:sz w:val="24"/>
          <w:szCs w:val="24"/>
          <w:lang w:eastAsia="en-GB"/>
        </w:rPr>
        <w:t>s</w:t>
      </w:r>
      <w:r w:rsidRPr="00020413">
        <w:rPr>
          <w:rFonts w:ascii="Times New Roman" w:hAnsi="Times New Roman"/>
          <w:sz w:val="24"/>
          <w:szCs w:val="24"/>
          <w:lang w:eastAsia="en-GB"/>
        </w:rPr>
        <w:t xml:space="preserve"> that corporate outcomes are adversely affected when </w:t>
      </w:r>
      <w:r w:rsidR="00EC167E" w:rsidRPr="00020413">
        <w:rPr>
          <w:rFonts w:ascii="Times New Roman" w:hAnsi="Times New Roman"/>
          <w:sz w:val="24"/>
          <w:szCs w:val="24"/>
          <w:lang w:eastAsia="en-GB"/>
        </w:rPr>
        <w:t>firms operate</w:t>
      </w:r>
      <w:r w:rsidRPr="00020413">
        <w:rPr>
          <w:rFonts w:ascii="Times New Roman" w:hAnsi="Times New Roman"/>
          <w:sz w:val="24"/>
          <w:szCs w:val="24"/>
          <w:lang w:eastAsia="en-GB"/>
        </w:rPr>
        <w:t xml:space="preserve"> in poor macro-governance environment</w:t>
      </w:r>
      <w:r w:rsidR="00414E2E" w:rsidRPr="00020413">
        <w:rPr>
          <w:rFonts w:ascii="Times New Roman" w:hAnsi="Times New Roman"/>
          <w:sz w:val="24"/>
          <w:szCs w:val="24"/>
          <w:lang w:eastAsia="en-GB"/>
        </w:rPr>
        <w:t>s</w:t>
      </w:r>
      <w:r w:rsidRPr="00020413">
        <w:rPr>
          <w:rFonts w:ascii="Times New Roman" w:hAnsi="Times New Roman"/>
          <w:sz w:val="24"/>
          <w:szCs w:val="24"/>
          <w:lang w:eastAsia="en-GB"/>
        </w:rPr>
        <w:t xml:space="preserve">. </w:t>
      </w:r>
      <w:r w:rsidR="0086227F" w:rsidRPr="00020413">
        <w:rPr>
          <w:rFonts w:ascii="Times New Roman" w:hAnsi="Times New Roman"/>
          <w:sz w:val="24"/>
          <w:szCs w:val="24"/>
          <w:lang w:eastAsia="en-GB"/>
        </w:rPr>
        <w:t xml:space="preserve">For example, </w:t>
      </w:r>
      <w:proofErr w:type="spellStart"/>
      <w:r w:rsidR="00D95032" w:rsidRPr="00020413">
        <w:rPr>
          <w:rFonts w:ascii="Times New Roman" w:hAnsi="Times New Roman"/>
          <w:sz w:val="24"/>
          <w:szCs w:val="24"/>
          <w:lang w:eastAsia="en-GB"/>
        </w:rPr>
        <w:t>Hanousek</w:t>
      </w:r>
      <w:proofErr w:type="spellEnd"/>
      <w:r w:rsidR="00D95032" w:rsidRPr="00020413">
        <w:rPr>
          <w:rFonts w:ascii="Times New Roman" w:hAnsi="Times New Roman"/>
          <w:sz w:val="24"/>
          <w:szCs w:val="24"/>
          <w:lang w:eastAsia="en-GB"/>
        </w:rPr>
        <w:t xml:space="preserve"> and </w:t>
      </w:r>
      <w:proofErr w:type="spellStart"/>
      <w:r w:rsidR="00D95032" w:rsidRPr="00020413">
        <w:rPr>
          <w:rFonts w:ascii="Times New Roman" w:hAnsi="Times New Roman"/>
          <w:sz w:val="24"/>
          <w:szCs w:val="24"/>
          <w:lang w:eastAsia="en-GB"/>
        </w:rPr>
        <w:t>Kochanova</w:t>
      </w:r>
      <w:proofErr w:type="spellEnd"/>
      <w:r w:rsidR="00D95032" w:rsidRPr="00020413">
        <w:rPr>
          <w:rFonts w:ascii="Times New Roman" w:hAnsi="Times New Roman"/>
          <w:sz w:val="24"/>
          <w:szCs w:val="24"/>
          <w:lang w:eastAsia="en-GB"/>
        </w:rPr>
        <w:t xml:space="preserve"> (2016) utilise</w:t>
      </w:r>
      <w:r w:rsidR="005E27AB" w:rsidRPr="00020413">
        <w:rPr>
          <w:rFonts w:ascii="Times New Roman" w:hAnsi="Times New Roman"/>
          <w:sz w:val="24"/>
          <w:szCs w:val="24"/>
          <w:lang w:eastAsia="en-GB"/>
        </w:rPr>
        <w:t xml:space="preserve"> a sample from </w:t>
      </w:r>
      <w:r w:rsidR="003D0668" w:rsidRPr="00020413">
        <w:rPr>
          <w:rFonts w:ascii="Times New Roman" w:hAnsi="Times New Roman"/>
          <w:sz w:val="24"/>
          <w:szCs w:val="24"/>
          <w:lang w:eastAsia="en-GB"/>
        </w:rPr>
        <w:t xml:space="preserve">14 </w:t>
      </w:r>
      <w:r w:rsidR="005E27AB" w:rsidRPr="00020413">
        <w:rPr>
          <w:rFonts w:ascii="Times New Roman" w:hAnsi="Times New Roman"/>
          <w:sz w:val="24"/>
          <w:szCs w:val="24"/>
          <w:lang w:eastAsia="en-GB"/>
        </w:rPr>
        <w:t>Central and Eastern European countries</w:t>
      </w:r>
      <w:r w:rsidR="00EC167E" w:rsidRPr="00020413">
        <w:rPr>
          <w:rFonts w:ascii="Times New Roman" w:hAnsi="Times New Roman"/>
          <w:sz w:val="24"/>
          <w:szCs w:val="24"/>
          <w:lang w:eastAsia="en-GB"/>
        </w:rPr>
        <w:t xml:space="preserve"> to </w:t>
      </w:r>
      <w:r w:rsidRPr="00020413">
        <w:rPr>
          <w:rFonts w:ascii="Times New Roman" w:hAnsi="Times New Roman"/>
          <w:sz w:val="24"/>
          <w:szCs w:val="24"/>
          <w:lang w:eastAsia="en-GB"/>
        </w:rPr>
        <w:t xml:space="preserve">suggest </w:t>
      </w:r>
      <w:r w:rsidR="00881D57" w:rsidRPr="00020413">
        <w:rPr>
          <w:rFonts w:ascii="Times New Roman" w:hAnsi="Times New Roman"/>
          <w:sz w:val="24"/>
          <w:szCs w:val="24"/>
          <w:lang w:eastAsia="en-GB"/>
        </w:rPr>
        <w:t xml:space="preserve">that bribery and corruption </w:t>
      </w:r>
      <w:r w:rsidR="003A2692" w:rsidRPr="00020413">
        <w:rPr>
          <w:rFonts w:ascii="Times New Roman" w:hAnsi="Times New Roman"/>
          <w:sz w:val="24"/>
          <w:szCs w:val="24"/>
          <w:lang w:eastAsia="en-GB"/>
        </w:rPr>
        <w:t xml:space="preserve">at the national level </w:t>
      </w:r>
      <w:r w:rsidR="00881D57" w:rsidRPr="00020413">
        <w:rPr>
          <w:rFonts w:ascii="Times New Roman" w:hAnsi="Times New Roman"/>
          <w:sz w:val="24"/>
          <w:szCs w:val="24"/>
          <w:lang w:eastAsia="en-GB"/>
        </w:rPr>
        <w:t xml:space="preserve">negatively </w:t>
      </w:r>
      <w:r w:rsidR="005E27AB" w:rsidRPr="00020413">
        <w:rPr>
          <w:rFonts w:ascii="Times New Roman" w:hAnsi="Times New Roman"/>
          <w:sz w:val="24"/>
          <w:szCs w:val="24"/>
          <w:lang w:eastAsia="en-GB"/>
        </w:rPr>
        <w:t>impact</w:t>
      </w:r>
      <w:r w:rsidR="00881D57" w:rsidRPr="00020413">
        <w:rPr>
          <w:rFonts w:ascii="Times New Roman" w:hAnsi="Times New Roman"/>
          <w:sz w:val="24"/>
          <w:szCs w:val="24"/>
          <w:lang w:eastAsia="en-GB"/>
        </w:rPr>
        <w:t xml:space="preserve"> firms’ sales and productivity growth.</w:t>
      </w:r>
      <w:r w:rsidR="00FA0812" w:rsidRPr="00020413">
        <w:rPr>
          <w:rFonts w:ascii="Times New Roman" w:hAnsi="Times New Roman"/>
          <w:sz w:val="24"/>
          <w:szCs w:val="24"/>
          <w:lang w:eastAsia="en-GB"/>
        </w:rPr>
        <w:t xml:space="preserve"> </w:t>
      </w:r>
      <w:r w:rsidR="0086227F" w:rsidRPr="00020413">
        <w:rPr>
          <w:rFonts w:ascii="Times New Roman" w:hAnsi="Times New Roman"/>
          <w:sz w:val="24"/>
          <w:szCs w:val="24"/>
          <w:lang w:eastAsia="en-GB"/>
        </w:rPr>
        <w:t xml:space="preserve">This implies </w:t>
      </w:r>
      <w:r w:rsidR="005A3791" w:rsidRPr="00020413">
        <w:rPr>
          <w:rFonts w:ascii="Times New Roman" w:hAnsi="Times New Roman"/>
          <w:sz w:val="24"/>
          <w:szCs w:val="24"/>
          <w:lang w:eastAsia="en-GB"/>
        </w:rPr>
        <w:t xml:space="preserve">increased loan default rates in highly corrupt countries. Similarly, </w:t>
      </w:r>
      <w:r w:rsidR="00A628CF" w:rsidRPr="00020413">
        <w:rPr>
          <w:rFonts w:ascii="Times New Roman" w:hAnsi="Times New Roman"/>
          <w:sz w:val="24"/>
          <w:szCs w:val="24"/>
          <w:lang w:eastAsia="en-GB"/>
        </w:rPr>
        <w:t xml:space="preserve">Li et al. (2006) </w:t>
      </w:r>
      <w:r w:rsidR="003D0668" w:rsidRPr="00020413">
        <w:rPr>
          <w:rFonts w:ascii="Times New Roman" w:hAnsi="Times New Roman"/>
          <w:sz w:val="24"/>
          <w:szCs w:val="24"/>
          <w:lang w:eastAsia="en-GB"/>
        </w:rPr>
        <w:t xml:space="preserve">find that macro-governance characteristics substantially explain the cross-country variations in </w:t>
      </w:r>
      <w:r w:rsidR="00EC167E" w:rsidRPr="00020413">
        <w:rPr>
          <w:rFonts w:ascii="Times New Roman" w:hAnsi="Times New Roman"/>
          <w:sz w:val="24"/>
          <w:szCs w:val="24"/>
          <w:lang w:eastAsia="en-GB"/>
        </w:rPr>
        <w:t xml:space="preserve">the effectiveness </w:t>
      </w:r>
      <w:r w:rsidR="005A3791" w:rsidRPr="00020413">
        <w:rPr>
          <w:rFonts w:ascii="Times New Roman" w:hAnsi="Times New Roman"/>
          <w:sz w:val="24"/>
          <w:szCs w:val="24"/>
          <w:lang w:eastAsia="en-GB"/>
        </w:rPr>
        <w:t>of</w:t>
      </w:r>
      <w:r w:rsidR="00EC167E" w:rsidRPr="00020413">
        <w:rPr>
          <w:rFonts w:ascii="Times New Roman" w:hAnsi="Times New Roman"/>
          <w:sz w:val="24"/>
          <w:szCs w:val="24"/>
          <w:lang w:eastAsia="en-GB"/>
        </w:rPr>
        <w:t xml:space="preserve"> managerial </w:t>
      </w:r>
      <w:r w:rsidR="003D0668" w:rsidRPr="00020413">
        <w:rPr>
          <w:rFonts w:ascii="Times New Roman" w:hAnsi="Times New Roman"/>
          <w:sz w:val="24"/>
          <w:szCs w:val="24"/>
          <w:lang w:eastAsia="en-GB"/>
        </w:rPr>
        <w:t xml:space="preserve">monitoring </w:t>
      </w:r>
      <w:r w:rsidR="00EC167E" w:rsidRPr="00020413">
        <w:rPr>
          <w:rFonts w:ascii="Times New Roman" w:hAnsi="Times New Roman"/>
          <w:sz w:val="24"/>
          <w:szCs w:val="24"/>
          <w:lang w:eastAsia="en-GB"/>
        </w:rPr>
        <w:t>mechanisms at the firm level</w:t>
      </w:r>
      <w:r w:rsidR="003D0668" w:rsidRPr="00020413">
        <w:rPr>
          <w:rFonts w:ascii="Times New Roman" w:hAnsi="Times New Roman"/>
          <w:sz w:val="24"/>
          <w:szCs w:val="24"/>
          <w:lang w:eastAsia="en-GB"/>
        </w:rPr>
        <w:t xml:space="preserve">. </w:t>
      </w:r>
      <w:r w:rsidR="005A3791" w:rsidRPr="00020413">
        <w:rPr>
          <w:rFonts w:ascii="Times New Roman" w:hAnsi="Times New Roman"/>
          <w:sz w:val="24"/>
          <w:szCs w:val="24"/>
          <w:lang w:eastAsia="en-GB"/>
        </w:rPr>
        <w:t>Specifically, t</w:t>
      </w:r>
      <w:r w:rsidR="003D0668" w:rsidRPr="00020413">
        <w:rPr>
          <w:rFonts w:ascii="Times New Roman" w:hAnsi="Times New Roman"/>
          <w:sz w:val="24"/>
          <w:szCs w:val="24"/>
          <w:lang w:eastAsia="en-GB"/>
        </w:rPr>
        <w:t>he</w:t>
      </w:r>
      <w:r w:rsidR="005A3791" w:rsidRPr="00020413">
        <w:rPr>
          <w:rFonts w:ascii="Times New Roman" w:hAnsi="Times New Roman"/>
          <w:sz w:val="24"/>
          <w:szCs w:val="24"/>
          <w:lang w:eastAsia="en-GB"/>
        </w:rPr>
        <w:t>y show</w:t>
      </w:r>
      <w:r w:rsidR="00A628CF" w:rsidRPr="00020413">
        <w:rPr>
          <w:rFonts w:ascii="Times New Roman" w:hAnsi="Times New Roman"/>
          <w:sz w:val="24"/>
          <w:szCs w:val="24"/>
          <w:lang w:eastAsia="en-GB"/>
        </w:rPr>
        <w:t xml:space="preserve"> that effective managerial monitoring</w:t>
      </w:r>
      <w:r w:rsidR="00EC167E" w:rsidRPr="00020413">
        <w:rPr>
          <w:rFonts w:ascii="Times New Roman" w:hAnsi="Times New Roman"/>
          <w:sz w:val="24"/>
          <w:szCs w:val="24"/>
          <w:lang w:eastAsia="en-GB"/>
        </w:rPr>
        <w:t xml:space="preserve"> systems</w:t>
      </w:r>
      <w:r w:rsidR="005A3791" w:rsidRPr="00020413">
        <w:rPr>
          <w:rFonts w:ascii="Times New Roman" w:hAnsi="Times New Roman"/>
          <w:sz w:val="24"/>
          <w:szCs w:val="24"/>
          <w:lang w:eastAsia="en-GB"/>
        </w:rPr>
        <w:t xml:space="preserve"> (i.e.</w:t>
      </w:r>
      <w:r w:rsidR="00495ADE" w:rsidRPr="00020413">
        <w:rPr>
          <w:rFonts w:ascii="Times New Roman" w:hAnsi="Times New Roman"/>
          <w:sz w:val="24"/>
          <w:szCs w:val="24"/>
          <w:lang w:eastAsia="en-GB"/>
        </w:rPr>
        <w:t>,</w:t>
      </w:r>
      <w:r w:rsidR="00A628CF" w:rsidRPr="00020413">
        <w:rPr>
          <w:rFonts w:ascii="Times New Roman" w:hAnsi="Times New Roman"/>
          <w:sz w:val="24"/>
          <w:szCs w:val="24"/>
          <w:lang w:eastAsia="en-GB"/>
        </w:rPr>
        <w:t xml:space="preserve"> reduced agency problems</w:t>
      </w:r>
      <w:r w:rsidR="005A3791" w:rsidRPr="00020413">
        <w:rPr>
          <w:rFonts w:ascii="Times New Roman" w:hAnsi="Times New Roman"/>
          <w:sz w:val="24"/>
          <w:szCs w:val="24"/>
          <w:lang w:eastAsia="en-GB"/>
        </w:rPr>
        <w:t>)</w:t>
      </w:r>
      <w:r w:rsidR="00A628CF" w:rsidRPr="00020413">
        <w:rPr>
          <w:rFonts w:ascii="Times New Roman" w:hAnsi="Times New Roman"/>
          <w:sz w:val="24"/>
          <w:szCs w:val="24"/>
          <w:lang w:eastAsia="en-GB"/>
        </w:rPr>
        <w:t xml:space="preserve"> are more prevalent in countries with stronger shareholder rights, greater access to voting rights, more effective legal enforcement and extensive financial disclosures.</w:t>
      </w:r>
      <w:r w:rsidR="00EC167E" w:rsidRPr="00020413">
        <w:rPr>
          <w:rFonts w:ascii="Times New Roman" w:hAnsi="Times New Roman"/>
          <w:sz w:val="24"/>
          <w:szCs w:val="24"/>
          <w:lang w:eastAsia="en-GB"/>
        </w:rPr>
        <w:t xml:space="preserve"> </w:t>
      </w:r>
      <w:r w:rsidR="005A3791" w:rsidRPr="00020413">
        <w:rPr>
          <w:rFonts w:ascii="Times New Roman" w:hAnsi="Times New Roman"/>
          <w:sz w:val="24"/>
          <w:szCs w:val="24"/>
          <w:lang w:eastAsia="en-GB"/>
        </w:rPr>
        <w:t xml:space="preserve">To the extent that poor corporate governance in the form of ineffective managerial monitoring may be correlated with poor financial performance, </w:t>
      </w:r>
      <w:r w:rsidR="000774B9" w:rsidRPr="00020413">
        <w:rPr>
          <w:rFonts w:ascii="Times New Roman" w:hAnsi="Times New Roman"/>
          <w:sz w:val="24"/>
          <w:szCs w:val="24"/>
          <w:lang w:eastAsia="en-GB"/>
        </w:rPr>
        <w:t>it is reasonable to</w:t>
      </w:r>
      <w:r w:rsidR="005A3791" w:rsidRPr="00020413">
        <w:rPr>
          <w:rFonts w:ascii="Times New Roman" w:hAnsi="Times New Roman"/>
          <w:sz w:val="24"/>
          <w:szCs w:val="24"/>
          <w:lang w:eastAsia="en-GB"/>
        </w:rPr>
        <w:t xml:space="preserve"> </w:t>
      </w:r>
      <w:r w:rsidR="000774B9" w:rsidRPr="00020413">
        <w:rPr>
          <w:rFonts w:ascii="Times New Roman" w:hAnsi="Times New Roman"/>
          <w:sz w:val="24"/>
          <w:szCs w:val="24"/>
          <w:lang w:eastAsia="en-GB"/>
        </w:rPr>
        <w:t xml:space="preserve">equally </w:t>
      </w:r>
      <w:r w:rsidR="005A3791" w:rsidRPr="00020413">
        <w:rPr>
          <w:rFonts w:ascii="Times New Roman" w:hAnsi="Times New Roman"/>
          <w:sz w:val="24"/>
          <w:szCs w:val="24"/>
          <w:lang w:eastAsia="en-GB"/>
        </w:rPr>
        <w:t xml:space="preserve">suggest </w:t>
      </w:r>
      <w:r w:rsidR="000774B9" w:rsidRPr="00020413">
        <w:rPr>
          <w:rFonts w:ascii="Times New Roman" w:hAnsi="Times New Roman"/>
          <w:sz w:val="24"/>
          <w:szCs w:val="24"/>
          <w:lang w:eastAsia="en-GB"/>
        </w:rPr>
        <w:t xml:space="preserve">that </w:t>
      </w:r>
      <w:r w:rsidR="005A3791" w:rsidRPr="00020413">
        <w:rPr>
          <w:rFonts w:ascii="Times New Roman" w:hAnsi="Times New Roman"/>
          <w:sz w:val="24"/>
          <w:szCs w:val="24"/>
          <w:lang w:eastAsia="en-GB"/>
        </w:rPr>
        <w:t xml:space="preserve">higher loan default rates for </w:t>
      </w:r>
      <w:r w:rsidR="00A54DB8" w:rsidRPr="00020413">
        <w:rPr>
          <w:rFonts w:ascii="Times New Roman" w:hAnsi="Times New Roman"/>
          <w:sz w:val="24"/>
          <w:szCs w:val="24"/>
          <w:lang w:eastAsia="en-GB"/>
        </w:rPr>
        <w:t>bank</w:t>
      </w:r>
      <w:r w:rsidR="005A3791" w:rsidRPr="00020413">
        <w:rPr>
          <w:rFonts w:ascii="Times New Roman" w:hAnsi="Times New Roman"/>
          <w:sz w:val="24"/>
          <w:szCs w:val="24"/>
          <w:lang w:eastAsia="en-GB"/>
        </w:rPr>
        <w:t>s</w:t>
      </w:r>
      <w:r w:rsidR="00A54DB8" w:rsidRPr="00020413">
        <w:rPr>
          <w:rFonts w:ascii="Times New Roman" w:hAnsi="Times New Roman"/>
          <w:sz w:val="24"/>
          <w:szCs w:val="24"/>
          <w:lang w:eastAsia="en-GB"/>
        </w:rPr>
        <w:t xml:space="preserve"> operating</w:t>
      </w:r>
      <w:r w:rsidR="005A3791" w:rsidRPr="00020413">
        <w:rPr>
          <w:rFonts w:ascii="Times New Roman" w:hAnsi="Times New Roman"/>
          <w:sz w:val="24"/>
          <w:szCs w:val="24"/>
          <w:lang w:eastAsia="en-GB"/>
        </w:rPr>
        <w:t xml:space="preserve"> in p</w:t>
      </w:r>
      <w:r w:rsidR="00E15406" w:rsidRPr="00020413">
        <w:rPr>
          <w:rFonts w:ascii="Times New Roman" w:hAnsi="Times New Roman"/>
          <w:sz w:val="24"/>
          <w:szCs w:val="24"/>
          <w:lang w:eastAsia="en-GB"/>
        </w:rPr>
        <w:t>oor national governance environments</w:t>
      </w:r>
      <w:r w:rsidR="000774B9" w:rsidRPr="00020413">
        <w:rPr>
          <w:rFonts w:ascii="Times New Roman" w:hAnsi="Times New Roman"/>
          <w:sz w:val="24"/>
          <w:szCs w:val="24"/>
          <w:lang w:eastAsia="en-GB"/>
        </w:rPr>
        <w:t xml:space="preserve"> are highly likely</w:t>
      </w:r>
      <w:r w:rsidR="00E15406" w:rsidRPr="00020413">
        <w:rPr>
          <w:rFonts w:ascii="Times New Roman" w:hAnsi="Times New Roman"/>
          <w:sz w:val="24"/>
          <w:szCs w:val="24"/>
          <w:lang w:eastAsia="en-GB"/>
        </w:rPr>
        <w:t>.</w:t>
      </w:r>
      <w:r w:rsidR="009E6664" w:rsidRPr="00020413">
        <w:rPr>
          <w:rFonts w:ascii="Times New Roman" w:hAnsi="Times New Roman"/>
          <w:sz w:val="24"/>
          <w:szCs w:val="24"/>
          <w:lang w:eastAsia="en-GB"/>
        </w:rPr>
        <w:t xml:space="preserve"> </w:t>
      </w:r>
      <w:r w:rsidR="00A628CF" w:rsidRPr="00020413">
        <w:rPr>
          <w:rFonts w:ascii="Times New Roman" w:hAnsi="Times New Roman"/>
          <w:sz w:val="24"/>
          <w:szCs w:val="24"/>
          <w:lang w:eastAsia="en-GB"/>
        </w:rPr>
        <w:t xml:space="preserve">  </w:t>
      </w:r>
      <w:r w:rsidR="003D0668" w:rsidRPr="00020413">
        <w:rPr>
          <w:rFonts w:ascii="Times New Roman" w:hAnsi="Times New Roman"/>
          <w:sz w:val="24"/>
          <w:szCs w:val="24"/>
          <w:lang w:eastAsia="en-GB"/>
        </w:rPr>
        <w:t xml:space="preserve"> </w:t>
      </w:r>
    </w:p>
    <w:p w:rsidR="00B34977" w:rsidRPr="00020413" w:rsidRDefault="00E15406" w:rsidP="00D55D24">
      <w:pPr>
        <w:spacing w:after="120" w:line="360" w:lineRule="auto"/>
        <w:jc w:val="both"/>
        <w:rPr>
          <w:rFonts w:ascii="Times New Roman" w:hAnsi="Times New Roman"/>
          <w:sz w:val="24"/>
          <w:szCs w:val="24"/>
          <w:lang w:eastAsia="en-GB"/>
        </w:rPr>
      </w:pPr>
      <w:r w:rsidRPr="00020413">
        <w:rPr>
          <w:rFonts w:ascii="Times New Roman" w:hAnsi="Times New Roman"/>
          <w:sz w:val="24"/>
          <w:szCs w:val="24"/>
          <w:lang w:eastAsia="en-GB"/>
        </w:rPr>
        <w:t xml:space="preserve">Within the context of the role of information sharing in shaping </w:t>
      </w:r>
      <w:r w:rsidR="00D83AE7" w:rsidRPr="00020413">
        <w:rPr>
          <w:rFonts w:ascii="Times New Roman" w:hAnsi="Times New Roman"/>
          <w:sz w:val="24"/>
          <w:szCs w:val="24"/>
          <w:lang w:eastAsia="en-GB"/>
        </w:rPr>
        <w:t xml:space="preserve">lending decisions and </w:t>
      </w:r>
      <w:r w:rsidRPr="00020413">
        <w:rPr>
          <w:rFonts w:ascii="Times New Roman" w:hAnsi="Times New Roman"/>
          <w:sz w:val="24"/>
          <w:szCs w:val="24"/>
          <w:lang w:eastAsia="en-GB"/>
        </w:rPr>
        <w:t xml:space="preserve">default risk in the banking sector, </w:t>
      </w:r>
      <w:r w:rsidR="00B41D2F" w:rsidRPr="00020413">
        <w:rPr>
          <w:rFonts w:ascii="Times New Roman" w:hAnsi="Times New Roman"/>
          <w:sz w:val="24"/>
          <w:szCs w:val="24"/>
          <w:lang w:eastAsia="en-GB"/>
        </w:rPr>
        <w:t xml:space="preserve">research on </w:t>
      </w:r>
      <w:r w:rsidR="00481D76" w:rsidRPr="00020413">
        <w:rPr>
          <w:rFonts w:ascii="Times New Roman" w:hAnsi="Times New Roman"/>
          <w:sz w:val="24"/>
          <w:szCs w:val="24"/>
          <w:lang w:eastAsia="en-GB"/>
        </w:rPr>
        <w:t xml:space="preserve">the effect of national governance quality </w:t>
      </w:r>
      <w:r w:rsidR="00B41D2F" w:rsidRPr="00020413">
        <w:rPr>
          <w:rFonts w:ascii="Times New Roman" w:hAnsi="Times New Roman"/>
          <w:sz w:val="24"/>
          <w:szCs w:val="24"/>
          <w:lang w:eastAsia="en-GB"/>
        </w:rPr>
        <w:t xml:space="preserve">is </w:t>
      </w:r>
      <w:r w:rsidR="007332FB" w:rsidRPr="00020413">
        <w:rPr>
          <w:rFonts w:ascii="Times New Roman" w:hAnsi="Times New Roman"/>
          <w:sz w:val="24"/>
          <w:szCs w:val="24"/>
          <w:lang w:eastAsia="en-GB"/>
        </w:rPr>
        <w:t>very much</w:t>
      </w:r>
      <w:r w:rsidR="00B41D2F" w:rsidRPr="00020413">
        <w:rPr>
          <w:rFonts w:ascii="Times New Roman" w:hAnsi="Times New Roman"/>
          <w:sz w:val="24"/>
          <w:szCs w:val="24"/>
          <w:lang w:eastAsia="en-GB"/>
        </w:rPr>
        <w:t xml:space="preserve"> lacking</w:t>
      </w:r>
      <w:r w:rsidR="00481D76" w:rsidRPr="00020413">
        <w:rPr>
          <w:rFonts w:ascii="Times New Roman" w:hAnsi="Times New Roman"/>
          <w:sz w:val="24"/>
          <w:szCs w:val="24"/>
          <w:lang w:eastAsia="en-GB"/>
        </w:rPr>
        <w:t xml:space="preserve">. </w:t>
      </w:r>
      <w:r w:rsidR="00B41D2F" w:rsidRPr="00020413">
        <w:rPr>
          <w:rFonts w:ascii="Times New Roman" w:hAnsi="Times New Roman"/>
          <w:sz w:val="24"/>
          <w:szCs w:val="24"/>
          <w:lang w:eastAsia="en-GB"/>
        </w:rPr>
        <w:t xml:space="preserve">The few existing studies examining the issue </w:t>
      </w:r>
      <w:r w:rsidR="004B72E8" w:rsidRPr="00020413">
        <w:rPr>
          <w:rFonts w:ascii="Times New Roman" w:hAnsi="Times New Roman"/>
          <w:sz w:val="24"/>
          <w:szCs w:val="24"/>
          <w:lang w:eastAsia="en-GB"/>
        </w:rPr>
        <w:t>have largely focused on</w:t>
      </w:r>
      <w:r w:rsidR="00D83AE7" w:rsidRPr="00020413">
        <w:rPr>
          <w:rFonts w:ascii="Times New Roman" w:hAnsi="Times New Roman"/>
          <w:sz w:val="24"/>
          <w:szCs w:val="24"/>
          <w:lang w:eastAsia="en-GB"/>
        </w:rPr>
        <w:t xml:space="preserve"> the link between information sharing and bank lending </w:t>
      </w:r>
      <w:r w:rsidR="00B41D2F" w:rsidRPr="00020413">
        <w:rPr>
          <w:rFonts w:ascii="Times New Roman" w:hAnsi="Times New Roman"/>
          <w:sz w:val="24"/>
          <w:szCs w:val="24"/>
          <w:lang w:eastAsia="en-GB"/>
        </w:rPr>
        <w:t>(e.g.</w:t>
      </w:r>
      <w:r w:rsidR="00220F81" w:rsidRPr="00020413">
        <w:rPr>
          <w:rFonts w:ascii="Times New Roman" w:hAnsi="Times New Roman"/>
          <w:sz w:val="24"/>
          <w:szCs w:val="24"/>
          <w:lang w:eastAsia="en-GB"/>
        </w:rPr>
        <w:t>,</w:t>
      </w:r>
      <w:r w:rsidR="00B41D2F" w:rsidRPr="00020413">
        <w:rPr>
          <w:rFonts w:ascii="Times New Roman" w:hAnsi="Times New Roman"/>
          <w:sz w:val="24"/>
          <w:szCs w:val="24"/>
          <w:lang w:eastAsia="en-GB"/>
        </w:rPr>
        <w:t xml:space="preserve"> Brown et al., 2009; Fosu, 2014) </w:t>
      </w:r>
      <w:r w:rsidR="004B72E8" w:rsidRPr="00020413">
        <w:rPr>
          <w:rFonts w:ascii="Times New Roman" w:hAnsi="Times New Roman"/>
          <w:sz w:val="24"/>
          <w:szCs w:val="24"/>
          <w:lang w:eastAsia="en-GB"/>
        </w:rPr>
        <w:t xml:space="preserve">and they </w:t>
      </w:r>
      <w:r w:rsidR="00B41D2F" w:rsidRPr="00020413">
        <w:rPr>
          <w:rFonts w:ascii="Times New Roman" w:hAnsi="Times New Roman"/>
          <w:sz w:val="24"/>
          <w:szCs w:val="24"/>
          <w:lang w:eastAsia="en-GB"/>
        </w:rPr>
        <w:t>note that</w:t>
      </w:r>
      <w:r w:rsidR="005F248E" w:rsidRPr="00020413">
        <w:rPr>
          <w:rFonts w:ascii="Times New Roman" w:hAnsi="Times New Roman"/>
          <w:sz w:val="24"/>
          <w:szCs w:val="24"/>
          <w:lang w:eastAsia="en-GB"/>
        </w:rPr>
        <w:t>,</w:t>
      </w:r>
      <w:r w:rsidR="00B41D2F" w:rsidRPr="00020413">
        <w:rPr>
          <w:rFonts w:ascii="Times New Roman" w:hAnsi="Times New Roman"/>
          <w:sz w:val="24"/>
          <w:szCs w:val="24"/>
          <w:lang w:eastAsia="en-GB"/>
        </w:rPr>
        <w:t xml:space="preserve"> although information sharing is </w:t>
      </w:r>
      <w:r w:rsidR="00941DD4" w:rsidRPr="00020413">
        <w:rPr>
          <w:rFonts w:ascii="Times New Roman" w:hAnsi="Times New Roman"/>
          <w:sz w:val="24"/>
          <w:szCs w:val="24"/>
          <w:lang w:eastAsia="en-GB"/>
        </w:rPr>
        <w:t xml:space="preserve">associated with improved </w:t>
      </w:r>
      <w:r w:rsidR="006C4BE0" w:rsidRPr="00020413">
        <w:rPr>
          <w:rFonts w:ascii="Times New Roman" w:hAnsi="Times New Roman"/>
          <w:sz w:val="24"/>
          <w:szCs w:val="24"/>
          <w:lang w:eastAsia="en-GB"/>
        </w:rPr>
        <w:t xml:space="preserve">credit </w:t>
      </w:r>
      <w:r w:rsidR="00941DD4" w:rsidRPr="00020413">
        <w:rPr>
          <w:rFonts w:ascii="Times New Roman" w:hAnsi="Times New Roman"/>
          <w:sz w:val="24"/>
          <w:szCs w:val="24"/>
          <w:lang w:eastAsia="en-GB"/>
        </w:rPr>
        <w:t>availability and lower cost of credit to firms</w:t>
      </w:r>
      <w:r w:rsidR="00B41D2F" w:rsidRPr="00020413">
        <w:rPr>
          <w:rFonts w:ascii="Times New Roman" w:hAnsi="Times New Roman"/>
          <w:sz w:val="24"/>
          <w:szCs w:val="24"/>
          <w:lang w:eastAsia="en-GB"/>
        </w:rPr>
        <w:t xml:space="preserve">, its effect is minimal in countries with high governance quality. </w:t>
      </w:r>
      <w:r w:rsidR="00D83AE7" w:rsidRPr="00020413">
        <w:rPr>
          <w:rFonts w:ascii="Times New Roman" w:hAnsi="Times New Roman"/>
          <w:sz w:val="24"/>
          <w:szCs w:val="24"/>
          <w:lang w:eastAsia="en-GB"/>
        </w:rPr>
        <w:t>Thus, i</w:t>
      </w:r>
      <w:r w:rsidR="00B41D2F" w:rsidRPr="00020413">
        <w:rPr>
          <w:rFonts w:ascii="Times New Roman" w:hAnsi="Times New Roman"/>
          <w:sz w:val="24"/>
          <w:szCs w:val="24"/>
          <w:lang w:eastAsia="en-GB"/>
        </w:rPr>
        <w:t xml:space="preserve">t seems that </w:t>
      </w:r>
      <w:r w:rsidR="00D83AE7" w:rsidRPr="00020413">
        <w:rPr>
          <w:rFonts w:ascii="Times New Roman" w:hAnsi="Times New Roman"/>
          <w:sz w:val="24"/>
          <w:szCs w:val="24"/>
          <w:lang w:eastAsia="en-GB"/>
        </w:rPr>
        <w:t>the relatively lower</w:t>
      </w:r>
      <w:r w:rsidR="00481D76" w:rsidRPr="00020413">
        <w:rPr>
          <w:rFonts w:ascii="Times New Roman" w:hAnsi="Times New Roman"/>
          <w:sz w:val="24"/>
          <w:szCs w:val="24"/>
          <w:lang w:eastAsia="en-GB"/>
        </w:rPr>
        <w:t xml:space="preserve"> agency and information asymmetry problems in </w:t>
      </w:r>
      <w:r w:rsidR="00B41D2F" w:rsidRPr="00020413">
        <w:rPr>
          <w:rFonts w:ascii="Times New Roman" w:hAnsi="Times New Roman"/>
          <w:sz w:val="24"/>
          <w:szCs w:val="24"/>
          <w:lang w:eastAsia="en-GB"/>
        </w:rPr>
        <w:t>better</w:t>
      </w:r>
      <w:r w:rsidR="006C4BE0" w:rsidRPr="00020413">
        <w:rPr>
          <w:rFonts w:ascii="Times New Roman" w:hAnsi="Times New Roman"/>
          <w:sz w:val="24"/>
          <w:szCs w:val="24"/>
          <w:lang w:eastAsia="en-GB"/>
        </w:rPr>
        <w:t>-</w:t>
      </w:r>
      <w:r w:rsidR="00481D76" w:rsidRPr="00020413">
        <w:rPr>
          <w:rFonts w:ascii="Times New Roman" w:hAnsi="Times New Roman"/>
          <w:sz w:val="24"/>
          <w:szCs w:val="24"/>
          <w:lang w:eastAsia="en-GB"/>
        </w:rPr>
        <w:t>govern</w:t>
      </w:r>
      <w:r w:rsidR="006C4BE0" w:rsidRPr="00020413">
        <w:rPr>
          <w:rFonts w:ascii="Times New Roman" w:hAnsi="Times New Roman"/>
          <w:sz w:val="24"/>
          <w:szCs w:val="24"/>
          <w:lang w:eastAsia="en-GB"/>
        </w:rPr>
        <w:t>ed</w:t>
      </w:r>
      <w:r w:rsidR="00481D76" w:rsidRPr="00020413">
        <w:rPr>
          <w:rFonts w:ascii="Times New Roman" w:hAnsi="Times New Roman"/>
          <w:sz w:val="24"/>
          <w:szCs w:val="24"/>
          <w:lang w:eastAsia="en-GB"/>
        </w:rPr>
        <w:t xml:space="preserve"> </w:t>
      </w:r>
      <w:r w:rsidR="00D83AE7" w:rsidRPr="00020413">
        <w:rPr>
          <w:rFonts w:ascii="Times New Roman" w:hAnsi="Times New Roman"/>
          <w:sz w:val="24"/>
          <w:szCs w:val="24"/>
          <w:lang w:eastAsia="en-GB"/>
        </w:rPr>
        <w:t xml:space="preserve">countries limit the expected benefits </w:t>
      </w:r>
      <w:r w:rsidR="000149EA" w:rsidRPr="00020413">
        <w:rPr>
          <w:rFonts w:ascii="Times New Roman" w:hAnsi="Times New Roman"/>
          <w:sz w:val="24"/>
          <w:szCs w:val="24"/>
          <w:lang w:eastAsia="en-GB"/>
        </w:rPr>
        <w:t>of</w:t>
      </w:r>
      <w:r w:rsidR="00481D76" w:rsidRPr="00020413">
        <w:rPr>
          <w:rFonts w:ascii="Times New Roman" w:hAnsi="Times New Roman"/>
          <w:sz w:val="24"/>
          <w:szCs w:val="24"/>
          <w:lang w:eastAsia="en-GB"/>
        </w:rPr>
        <w:t xml:space="preserve"> credit information sharing in such environments. </w:t>
      </w:r>
      <w:r w:rsidR="000149EA" w:rsidRPr="00020413">
        <w:rPr>
          <w:rFonts w:ascii="Times New Roman" w:hAnsi="Times New Roman"/>
          <w:sz w:val="24"/>
          <w:szCs w:val="24"/>
          <w:lang w:eastAsia="en-GB"/>
        </w:rPr>
        <w:t>C</w:t>
      </w:r>
      <w:r w:rsidR="00010F60" w:rsidRPr="00020413">
        <w:rPr>
          <w:rFonts w:ascii="Times New Roman" w:hAnsi="Times New Roman"/>
          <w:sz w:val="24"/>
          <w:szCs w:val="24"/>
          <w:lang w:eastAsia="en-GB"/>
        </w:rPr>
        <w:t>redit information sharing may</w:t>
      </w:r>
      <w:r w:rsidR="000149EA" w:rsidRPr="00020413">
        <w:rPr>
          <w:rFonts w:ascii="Times New Roman" w:hAnsi="Times New Roman"/>
          <w:sz w:val="24"/>
          <w:szCs w:val="24"/>
          <w:lang w:eastAsia="en-GB"/>
        </w:rPr>
        <w:t>, therefore,</w:t>
      </w:r>
      <w:r w:rsidR="00010F60" w:rsidRPr="00020413">
        <w:rPr>
          <w:rFonts w:ascii="Times New Roman" w:hAnsi="Times New Roman"/>
          <w:sz w:val="24"/>
          <w:szCs w:val="24"/>
          <w:lang w:eastAsia="en-GB"/>
        </w:rPr>
        <w:t xml:space="preserve"> not significantly </w:t>
      </w:r>
      <w:r w:rsidR="000149EA" w:rsidRPr="00020413">
        <w:rPr>
          <w:rFonts w:ascii="Times New Roman" w:hAnsi="Times New Roman"/>
          <w:sz w:val="24"/>
          <w:szCs w:val="24"/>
          <w:lang w:eastAsia="en-GB"/>
        </w:rPr>
        <w:t>impact</w:t>
      </w:r>
      <w:r w:rsidR="00010F60" w:rsidRPr="00020413">
        <w:rPr>
          <w:rFonts w:ascii="Times New Roman" w:hAnsi="Times New Roman"/>
          <w:sz w:val="24"/>
          <w:szCs w:val="24"/>
          <w:lang w:eastAsia="en-GB"/>
        </w:rPr>
        <w:t xml:space="preserve"> loan default risks in better</w:t>
      </w:r>
      <w:r w:rsidR="006C4BE0" w:rsidRPr="00020413">
        <w:rPr>
          <w:rFonts w:ascii="Times New Roman" w:hAnsi="Times New Roman"/>
          <w:sz w:val="24"/>
          <w:szCs w:val="24"/>
          <w:lang w:eastAsia="en-GB"/>
        </w:rPr>
        <w:t>-</w:t>
      </w:r>
      <w:r w:rsidR="00010F60" w:rsidRPr="00020413">
        <w:rPr>
          <w:rFonts w:ascii="Times New Roman" w:hAnsi="Times New Roman"/>
          <w:sz w:val="24"/>
          <w:szCs w:val="24"/>
          <w:lang w:eastAsia="en-GB"/>
        </w:rPr>
        <w:t xml:space="preserve">governed countries. </w:t>
      </w:r>
      <w:r w:rsidR="00B41D2F" w:rsidRPr="00020413">
        <w:rPr>
          <w:rFonts w:ascii="Times New Roman" w:hAnsi="Times New Roman"/>
          <w:sz w:val="24"/>
          <w:szCs w:val="24"/>
          <w:lang w:eastAsia="en-GB"/>
        </w:rPr>
        <w:t>Put differently,</w:t>
      </w:r>
      <w:r w:rsidR="00664A7D" w:rsidRPr="00020413">
        <w:rPr>
          <w:rFonts w:ascii="Times New Roman" w:hAnsi="Times New Roman"/>
          <w:sz w:val="24"/>
          <w:szCs w:val="24"/>
          <w:lang w:eastAsia="en-GB"/>
        </w:rPr>
        <w:t xml:space="preserve"> information sharing </w:t>
      </w:r>
      <w:r w:rsidR="00B41D2F" w:rsidRPr="00020413">
        <w:rPr>
          <w:rFonts w:ascii="Times New Roman" w:hAnsi="Times New Roman"/>
          <w:sz w:val="24"/>
          <w:szCs w:val="24"/>
          <w:lang w:eastAsia="en-GB"/>
        </w:rPr>
        <w:t>may play</w:t>
      </w:r>
      <w:r w:rsidR="00664A7D" w:rsidRPr="00020413">
        <w:rPr>
          <w:rFonts w:ascii="Times New Roman" w:hAnsi="Times New Roman"/>
          <w:sz w:val="24"/>
          <w:szCs w:val="24"/>
          <w:lang w:eastAsia="en-GB"/>
        </w:rPr>
        <w:t xml:space="preserve"> a substitution role </w:t>
      </w:r>
      <w:r w:rsidR="003A5371" w:rsidRPr="00020413">
        <w:rPr>
          <w:rFonts w:ascii="Times New Roman" w:hAnsi="Times New Roman"/>
          <w:sz w:val="24"/>
          <w:szCs w:val="24"/>
          <w:lang w:eastAsia="en-GB"/>
        </w:rPr>
        <w:t xml:space="preserve">to institutional </w:t>
      </w:r>
      <w:r w:rsidR="00B41D2F" w:rsidRPr="00020413">
        <w:rPr>
          <w:rFonts w:ascii="Times New Roman" w:hAnsi="Times New Roman"/>
          <w:sz w:val="24"/>
          <w:szCs w:val="24"/>
          <w:lang w:eastAsia="en-GB"/>
        </w:rPr>
        <w:t xml:space="preserve">(national governance) </w:t>
      </w:r>
      <w:r w:rsidR="003A5371" w:rsidRPr="00020413">
        <w:rPr>
          <w:rFonts w:ascii="Times New Roman" w:hAnsi="Times New Roman"/>
          <w:sz w:val="24"/>
          <w:szCs w:val="24"/>
          <w:lang w:eastAsia="en-GB"/>
        </w:rPr>
        <w:t xml:space="preserve">quality </w:t>
      </w:r>
      <w:r w:rsidR="00664A7D" w:rsidRPr="00020413">
        <w:rPr>
          <w:rFonts w:ascii="Times New Roman" w:hAnsi="Times New Roman"/>
          <w:sz w:val="24"/>
          <w:szCs w:val="24"/>
          <w:lang w:eastAsia="en-GB"/>
        </w:rPr>
        <w:t xml:space="preserve">as </w:t>
      </w:r>
      <w:r w:rsidR="006835D5" w:rsidRPr="00020413">
        <w:rPr>
          <w:rFonts w:ascii="Times New Roman" w:hAnsi="Times New Roman"/>
          <w:sz w:val="24"/>
          <w:szCs w:val="24"/>
          <w:lang w:eastAsia="en-GB"/>
        </w:rPr>
        <w:t xml:space="preserve">it </w:t>
      </w:r>
      <w:r w:rsidR="00664A7D" w:rsidRPr="00020413">
        <w:rPr>
          <w:rFonts w:ascii="Times New Roman" w:hAnsi="Times New Roman"/>
          <w:sz w:val="24"/>
          <w:szCs w:val="24"/>
          <w:lang w:eastAsia="en-GB"/>
        </w:rPr>
        <w:t>mitigate</w:t>
      </w:r>
      <w:r w:rsidR="006835D5" w:rsidRPr="00020413">
        <w:rPr>
          <w:rFonts w:ascii="Times New Roman" w:hAnsi="Times New Roman"/>
          <w:sz w:val="24"/>
          <w:szCs w:val="24"/>
          <w:lang w:eastAsia="en-GB"/>
        </w:rPr>
        <w:t>s</w:t>
      </w:r>
      <w:r w:rsidR="00664A7D" w:rsidRPr="00020413">
        <w:rPr>
          <w:rFonts w:ascii="Times New Roman" w:hAnsi="Times New Roman"/>
          <w:sz w:val="24"/>
          <w:szCs w:val="24"/>
          <w:lang w:eastAsia="en-GB"/>
        </w:rPr>
        <w:t xml:space="preserve"> the effects of weak protection afforded to creditors</w:t>
      </w:r>
      <w:r w:rsidR="00B34977" w:rsidRPr="00020413">
        <w:rPr>
          <w:rFonts w:ascii="Times New Roman" w:hAnsi="Times New Roman"/>
          <w:sz w:val="24"/>
          <w:szCs w:val="24"/>
          <w:lang w:eastAsia="en-GB"/>
        </w:rPr>
        <w:t xml:space="preserve">. </w:t>
      </w:r>
      <w:r w:rsidR="006B5BA8" w:rsidRPr="00020413">
        <w:rPr>
          <w:rFonts w:ascii="Times New Roman" w:hAnsi="Times New Roman"/>
          <w:sz w:val="24"/>
          <w:szCs w:val="24"/>
          <w:lang w:eastAsia="en-GB"/>
        </w:rPr>
        <w:t xml:space="preserve">In the light of the above discussion, </w:t>
      </w:r>
      <w:r w:rsidR="00B34977" w:rsidRPr="00020413">
        <w:rPr>
          <w:rFonts w:ascii="Times New Roman" w:hAnsi="Times New Roman"/>
          <w:sz w:val="24"/>
          <w:szCs w:val="24"/>
          <w:lang w:eastAsia="en-GB"/>
        </w:rPr>
        <w:t xml:space="preserve">we formulate our </w:t>
      </w:r>
      <w:r w:rsidR="00B41D2F" w:rsidRPr="00020413">
        <w:rPr>
          <w:rFonts w:ascii="Times New Roman" w:hAnsi="Times New Roman"/>
          <w:sz w:val="24"/>
          <w:szCs w:val="24"/>
          <w:lang w:eastAsia="en-GB"/>
        </w:rPr>
        <w:t>final</w:t>
      </w:r>
      <w:r w:rsidR="0090486F" w:rsidRPr="00020413">
        <w:rPr>
          <w:rFonts w:ascii="Times New Roman" w:hAnsi="Times New Roman"/>
          <w:sz w:val="24"/>
          <w:szCs w:val="24"/>
          <w:lang w:eastAsia="en-GB"/>
        </w:rPr>
        <w:t xml:space="preserve"> </w:t>
      </w:r>
      <w:r w:rsidR="00B34977" w:rsidRPr="00020413">
        <w:rPr>
          <w:rFonts w:ascii="Times New Roman" w:hAnsi="Times New Roman"/>
          <w:sz w:val="24"/>
          <w:szCs w:val="24"/>
          <w:lang w:eastAsia="en-GB"/>
        </w:rPr>
        <w:t>hypothesis as follow</w:t>
      </w:r>
      <w:r w:rsidR="00BA6E0A" w:rsidRPr="00020413">
        <w:rPr>
          <w:rFonts w:ascii="Times New Roman" w:hAnsi="Times New Roman"/>
          <w:sz w:val="24"/>
          <w:szCs w:val="24"/>
          <w:lang w:eastAsia="en-GB"/>
        </w:rPr>
        <w:t>s</w:t>
      </w:r>
      <w:r w:rsidR="00D55D24" w:rsidRPr="00020413">
        <w:rPr>
          <w:rFonts w:ascii="Times New Roman" w:hAnsi="Times New Roman"/>
          <w:sz w:val="24"/>
          <w:szCs w:val="24"/>
          <w:lang w:eastAsia="en-GB"/>
        </w:rPr>
        <w:t>:</w:t>
      </w:r>
    </w:p>
    <w:p w:rsidR="00A651BC" w:rsidRPr="00020413" w:rsidRDefault="00322D52" w:rsidP="00D55D24">
      <w:pPr>
        <w:spacing w:after="120" w:line="360" w:lineRule="auto"/>
        <w:jc w:val="both"/>
        <w:rPr>
          <w:rFonts w:ascii="Times New Roman" w:hAnsi="Times New Roman"/>
          <w:i/>
          <w:sz w:val="24"/>
          <w:szCs w:val="24"/>
          <w:shd w:val="clear" w:color="auto" w:fill="FFFFFF"/>
        </w:rPr>
      </w:pPr>
      <w:r w:rsidRPr="00020413">
        <w:rPr>
          <w:rFonts w:ascii="Times New Roman" w:hAnsi="Times New Roman"/>
          <w:i/>
          <w:sz w:val="24"/>
          <w:szCs w:val="24"/>
          <w:shd w:val="clear" w:color="auto" w:fill="FFFFFF"/>
        </w:rPr>
        <w:lastRenderedPageBreak/>
        <w:t>H</w:t>
      </w:r>
      <w:r w:rsidR="007C6A4D" w:rsidRPr="00020413">
        <w:rPr>
          <w:rFonts w:ascii="Times New Roman" w:hAnsi="Times New Roman"/>
          <w:i/>
          <w:sz w:val="24"/>
          <w:szCs w:val="24"/>
          <w:shd w:val="clear" w:color="auto" w:fill="FFFFFF"/>
        </w:rPr>
        <w:t>3</w:t>
      </w:r>
      <w:r w:rsidRPr="00020413">
        <w:rPr>
          <w:rFonts w:ascii="Times New Roman" w:hAnsi="Times New Roman"/>
          <w:i/>
          <w:sz w:val="24"/>
          <w:szCs w:val="24"/>
          <w:shd w:val="clear" w:color="auto" w:fill="FFFFFF"/>
        </w:rPr>
        <w:t xml:space="preserve">: The effect of credit information sharing on </w:t>
      </w:r>
      <w:r w:rsidR="00E70A88" w:rsidRPr="00020413">
        <w:rPr>
          <w:rFonts w:ascii="Times New Roman" w:hAnsi="Times New Roman"/>
          <w:i/>
          <w:sz w:val="24"/>
          <w:szCs w:val="24"/>
          <w:shd w:val="clear" w:color="auto" w:fill="FFFFFF"/>
        </w:rPr>
        <w:t xml:space="preserve">loan </w:t>
      </w:r>
      <w:r w:rsidR="00262D41" w:rsidRPr="00020413">
        <w:rPr>
          <w:rFonts w:ascii="Times New Roman" w:hAnsi="Times New Roman"/>
          <w:i/>
          <w:sz w:val="24"/>
          <w:szCs w:val="24"/>
          <w:shd w:val="clear" w:color="auto" w:fill="FFFFFF"/>
        </w:rPr>
        <w:t>default rate</w:t>
      </w:r>
      <w:r w:rsidRPr="00020413">
        <w:rPr>
          <w:rFonts w:ascii="Times New Roman" w:hAnsi="Times New Roman"/>
          <w:i/>
          <w:sz w:val="24"/>
          <w:szCs w:val="24"/>
          <w:shd w:val="clear" w:color="auto" w:fill="FFFFFF"/>
        </w:rPr>
        <w:t xml:space="preserve"> </w:t>
      </w:r>
      <w:r w:rsidR="00560BD8" w:rsidRPr="00020413">
        <w:rPr>
          <w:rFonts w:ascii="Times New Roman" w:hAnsi="Times New Roman"/>
          <w:i/>
          <w:sz w:val="24"/>
          <w:szCs w:val="24"/>
          <w:shd w:val="clear" w:color="auto" w:fill="FFFFFF"/>
        </w:rPr>
        <w:t>is</w:t>
      </w:r>
      <w:r w:rsidRPr="00020413">
        <w:rPr>
          <w:rFonts w:ascii="Times New Roman" w:hAnsi="Times New Roman"/>
          <w:i/>
          <w:sz w:val="24"/>
          <w:szCs w:val="24"/>
          <w:shd w:val="clear" w:color="auto" w:fill="FFFFFF"/>
        </w:rPr>
        <w:t xml:space="preserve"> moderated by </w:t>
      </w:r>
      <w:r w:rsidR="00190CD0" w:rsidRPr="00020413">
        <w:rPr>
          <w:rFonts w:ascii="Times New Roman" w:hAnsi="Times New Roman"/>
          <w:i/>
          <w:sz w:val="24"/>
          <w:szCs w:val="24"/>
          <w:shd w:val="clear" w:color="auto" w:fill="FFFFFF"/>
        </w:rPr>
        <w:t xml:space="preserve">national </w:t>
      </w:r>
      <w:r w:rsidR="00C508B8" w:rsidRPr="00020413">
        <w:rPr>
          <w:rFonts w:ascii="Times New Roman" w:hAnsi="Times New Roman"/>
          <w:i/>
          <w:sz w:val="24"/>
          <w:szCs w:val="24"/>
          <w:shd w:val="clear" w:color="auto" w:fill="FFFFFF"/>
        </w:rPr>
        <w:t>governance quality</w:t>
      </w:r>
      <w:r w:rsidR="008D2171" w:rsidRPr="00020413">
        <w:rPr>
          <w:rFonts w:ascii="Times New Roman" w:hAnsi="Times New Roman"/>
          <w:i/>
          <w:sz w:val="24"/>
          <w:szCs w:val="24"/>
          <w:shd w:val="clear" w:color="auto" w:fill="FFFFFF"/>
        </w:rPr>
        <w:t>.</w:t>
      </w:r>
    </w:p>
    <w:p w:rsidR="008D2171" w:rsidRPr="00020413" w:rsidRDefault="008D2171" w:rsidP="00D55D24">
      <w:pPr>
        <w:spacing w:after="120" w:line="360" w:lineRule="auto"/>
        <w:jc w:val="both"/>
        <w:rPr>
          <w:rFonts w:ascii="Times New Roman" w:hAnsi="Times New Roman"/>
          <w:i/>
          <w:sz w:val="24"/>
          <w:szCs w:val="24"/>
          <w:shd w:val="clear" w:color="auto" w:fill="FFFFFF"/>
        </w:rPr>
      </w:pPr>
    </w:p>
    <w:p w:rsidR="00A651BC" w:rsidRPr="00020413" w:rsidRDefault="006277D5" w:rsidP="00960F87">
      <w:pPr>
        <w:spacing w:after="0" w:line="360" w:lineRule="auto"/>
        <w:jc w:val="both"/>
        <w:rPr>
          <w:rFonts w:ascii="Times New Roman" w:hAnsi="Times New Roman"/>
          <w:sz w:val="24"/>
          <w:szCs w:val="24"/>
        </w:rPr>
      </w:pPr>
      <w:r w:rsidRPr="00020413">
        <w:rPr>
          <w:rFonts w:ascii="Times New Roman" w:hAnsi="Times New Roman"/>
          <w:b/>
          <w:sz w:val="24"/>
          <w:szCs w:val="24"/>
        </w:rPr>
        <w:t>3</w:t>
      </w:r>
      <w:r w:rsidR="00A651BC" w:rsidRPr="00020413">
        <w:rPr>
          <w:rFonts w:ascii="Times New Roman" w:hAnsi="Times New Roman"/>
          <w:b/>
          <w:sz w:val="24"/>
          <w:szCs w:val="24"/>
        </w:rPr>
        <w:t xml:space="preserve">. Data and </w:t>
      </w:r>
      <w:r w:rsidR="00391AC3" w:rsidRPr="00020413">
        <w:rPr>
          <w:rFonts w:ascii="Times New Roman" w:hAnsi="Times New Roman"/>
          <w:b/>
          <w:sz w:val="24"/>
          <w:szCs w:val="24"/>
        </w:rPr>
        <w:t>e</w:t>
      </w:r>
      <w:r w:rsidR="00A651BC" w:rsidRPr="00020413">
        <w:rPr>
          <w:rFonts w:ascii="Times New Roman" w:hAnsi="Times New Roman"/>
          <w:b/>
          <w:sz w:val="24"/>
          <w:szCs w:val="24"/>
        </w:rPr>
        <w:t xml:space="preserve">mpirical </w:t>
      </w:r>
      <w:r w:rsidR="00391AC3" w:rsidRPr="00020413">
        <w:rPr>
          <w:rFonts w:ascii="Times New Roman" w:hAnsi="Times New Roman"/>
          <w:b/>
          <w:sz w:val="24"/>
          <w:szCs w:val="24"/>
        </w:rPr>
        <w:t xml:space="preserve">methodology </w:t>
      </w:r>
    </w:p>
    <w:p w:rsidR="00A651BC" w:rsidRPr="00020413" w:rsidRDefault="001115AB" w:rsidP="00444D9D">
      <w:pPr>
        <w:spacing w:before="240" w:after="240" w:line="360" w:lineRule="auto"/>
        <w:jc w:val="both"/>
        <w:rPr>
          <w:rFonts w:ascii="Times New Roman" w:hAnsi="Times New Roman"/>
          <w:b/>
          <w:sz w:val="24"/>
          <w:szCs w:val="24"/>
        </w:rPr>
      </w:pPr>
      <w:r w:rsidRPr="00020413">
        <w:rPr>
          <w:rFonts w:ascii="Times New Roman" w:hAnsi="Times New Roman"/>
          <w:b/>
          <w:sz w:val="24"/>
          <w:szCs w:val="24"/>
        </w:rPr>
        <w:t>3</w:t>
      </w:r>
      <w:r w:rsidR="00A651BC" w:rsidRPr="00020413">
        <w:rPr>
          <w:rFonts w:ascii="Times New Roman" w:hAnsi="Times New Roman"/>
          <w:b/>
          <w:sz w:val="24"/>
          <w:szCs w:val="24"/>
        </w:rPr>
        <w:t xml:space="preserve">.1. Data </w:t>
      </w:r>
      <w:r w:rsidR="00391AC3" w:rsidRPr="00020413">
        <w:rPr>
          <w:rFonts w:ascii="Times New Roman" w:hAnsi="Times New Roman"/>
          <w:b/>
          <w:sz w:val="24"/>
          <w:szCs w:val="24"/>
        </w:rPr>
        <w:t>description</w:t>
      </w:r>
    </w:p>
    <w:p w:rsidR="006E1360" w:rsidRPr="00020413" w:rsidRDefault="00BF4301" w:rsidP="00D55D24">
      <w:pPr>
        <w:spacing w:after="120" w:line="360" w:lineRule="auto"/>
        <w:jc w:val="both"/>
        <w:rPr>
          <w:rFonts w:ascii="Times New Roman" w:hAnsi="Times New Roman"/>
          <w:sz w:val="24"/>
          <w:szCs w:val="24"/>
        </w:rPr>
      </w:pPr>
      <w:r w:rsidRPr="00020413">
        <w:rPr>
          <w:rFonts w:ascii="Times New Roman" w:hAnsi="Times New Roman"/>
          <w:sz w:val="24"/>
          <w:szCs w:val="24"/>
        </w:rPr>
        <w:t>Bank</w:t>
      </w:r>
      <w:r w:rsidR="0028099D" w:rsidRPr="00020413">
        <w:rPr>
          <w:rFonts w:ascii="Times New Roman" w:hAnsi="Times New Roman"/>
          <w:sz w:val="24"/>
          <w:szCs w:val="24"/>
        </w:rPr>
        <w:t>-</w:t>
      </w:r>
      <w:r w:rsidRPr="00020413">
        <w:rPr>
          <w:rFonts w:ascii="Times New Roman" w:hAnsi="Times New Roman"/>
          <w:sz w:val="24"/>
          <w:szCs w:val="24"/>
        </w:rPr>
        <w:t xml:space="preserve">level data for this study </w:t>
      </w:r>
      <w:r w:rsidR="00465CE0" w:rsidRPr="00020413">
        <w:rPr>
          <w:rFonts w:ascii="Times New Roman" w:hAnsi="Times New Roman"/>
          <w:sz w:val="24"/>
          <w:szCs w:val="24"/>
        </w:rPr>
        <w:t xml:space="preserve">was </w:t>
      </w:r>
      <w:r w:rsidRPr="00020413">
        <w:rPr>
          <w:rFonts w:ascii="Times New Roman" w:hAnsi="Times New Roman"/>
          <w:sz w:val="24"/>
          <w:szCs w:val="24"/>
        </w:rPr>
        <w:t xml:space="preserve">obtained from </w:t>
      </w:r>
      <w:r w:rsidR="00C03F91" w:rsidRPr="00020413">
        <w:rPr>
          <w:rFonts w:ascii="Times New Roman" w:hAnsi="Times New Roman"/>
          <w:sz w:val="24"/>
          <w:szCs w:val="24"/>
        </w:rPr>
        <w:t>Bank</w:t>
      </w:r>
      <w:r w:rsidR="008532A2" w:rsidRPr="00020413">
        <w:rPr>
          <w:rFonts w:ascii="Times New Roman" w:hAnsi="Times New Roman"/>
          <w:sz w:val="24"/>
          <w:szCs w:val="24"/>
        </w:rPr>
        <w:t>s</w:t>
      </w:r>
      <w:r w:rsidRPr="00020413">
        <w:rPr>
          <w:rFonts w:ascii="Times New Roman" w:hAnsi="Times New Roman"/>
          <w:sz w:val="24"/>
          <w:szCs w:val="24"/>
        </w:rPr>
        <w:t>cope</w:t>
      </w:r>
      <w:r w:rsidR="0079509E" w:rsidRPr="00020413">
        <w:rPr>
          <w:rFonts w:ascii="Times New Roman" w:hAnsi="Times New Roman"/>
          <w:sz w:val="24"/>
          <w:szCs w:val="24"/>
        </w:rPr>
        <w:t>,</w:t>
      </w:r>
      <w:r w:rsidRPr="00020413">
        <w:rPr>
          <w:rFonts w:ascii="Times New Roman" w:hAnsi="Times New Roman"/>
          <w:sz w:val="24"/>
          <w:szCs w:val="24"/>
        </w:rPr>
        <w:t xml:space="preserve"> which contains information on banks around the world. The </w:t>
      </w:r>
      <w:r w:rsidR="00BF7422" w:rsidRPr="00020413">
        <w:rPr>
          <w:rFonts w:ascii="Times New Roman" w:hAnsi="Times New Roman"/>
          <w:sz w:val="24"/>
          <w:szCs w:val="24"/>
        </w:rPr>
        <w:t xml:space="preserve">study’s </w:t>
      </w:r>
      <w:r w:rsidRPr="00020413">
        <w:rPr>
          <w:rFonts w:ascii="Times New Roman" w:hAnsi="Times New Roman"/>
          <w:sz w:val="24"/>
          <w:szCs w:val="24"/>
        </w:rPr>
        <w:t>sample period is from 2004 – 201</w:t>
      </w:r>
      <w:r w:rsidR="000A64AF" w:rsidRPr="00020413">
        <w:rPr>
          <w:rFonts w:ascii="Times New Roman" w:hAnsi="Times New Roman"/>
          <w:sz w:val="24"/>
          <w:szCs w:val="24"/>
        </w:rPr>
        <w:t>2</w:t>
      </w:r>
      <w:r w:rsidRPr="00020413">
        <w:rPr>
          <w:rFonts w:ascii="Times New Roman" w:hAnsi="Times New Roman"/>
          <w:sz w:val="24"/>
          <w:szCs w:val="24"/>
        </w:rPr>
        <w:t>.</w:t>
      </w:r>
      <w:r w:rsidR="004A6A2A" w:rsidRPr="00020413">
        <w:rPr>
          <w:rStyle w:val="FootnoteReference"/>
          <w:rFonts w:ascii="Times New Roman" w:hAnsi="Times New Roman"/>
          <w:sz w:val="24"/>
          <w:szCs w:val="24"/>
        </w:rPr>
        <w:footnoteReference w:id="4"/>
      </w:r>
      <w:r w:rsidRPr="00020413">
        <w:rPr>
          <w:rFonts w:ascii="Times New Roman" w:hAnsi="Times New Roman"/>
          <w:sz w:val="24"/>
          <w:szCs w:val="24"/>
        </w:rPr>
        <w:t xml:space="preserve"> In line with existing literature (e.g.</w:t>
      </w:r>
      <w:r w:rsidR="00F634F4" w:rsidRPr="00020413">
        <w:rPr>
          <w:rFonts w:ascii="Times New Roman" w:hAnsi="Times New Roman"/>
          <w:sz w:val="24"/>
          <w:szCs w:val="24"/>
        </w:rPr>
        <w:t>,</w:t>
      </w:r>
      <w:r w:rsidRPr="00020413">
        <w:rPr>
          <w:rFonts w:ascii="Times New Roman" w:hAnsi="Times New Roman"/>
          <w:sz w:val="24"/>
          <w:szCs w:val="24"/>
        </w:rPr>
        <w:t xml:space="preserve"> Fosu, 2013; Beck et al</w:t>
      </w:r>
      <w:r w:rsidR="00F634F4" w:rsidRPr="00020413">
        <w:rPr>
          <w:rFonts w:ascii="Times New Roman" w:hAnsi="Times New Roman"/>
          <w:sz w:val="24"/>
          <w:szCs w:val="24"/>
        </w:rPr>
        <w:t>.</w:t>
      </w:r>
      <w:r w:rsidRPr="00020413">
        <w:rPr>
          <w:rFonts w:ascii="Times New Roman" w:hAnsi="Times New Roman"/>
          <w:sz w:val="24"/>
          <w:szCs w:val="24"/>
        </w:rPr>
        <w:t xml:space="preserve">, 2013), </w:t>
      </w:r>
      <w:proofErr w:type="gramStart"/>
      <w:r w:rsidRPr="00020413">
        <w:rPr>
          <w:rFonts w:ascii="Times New Roman" w:hAnsi="Times New Roman"/>
          <w:sz w:val="24"/>
          <w:szCs w:val="24"/>
        </w:rPr>
        <w:t>a number of</w:t>
      </w:r>
      <w:proofErr w:type="gramEnd"/>
      <w:r w:rsidRPr="00020413">
        <w:rPr>
          <w:rFonts w:ascii="Times New Roman" w:hAnsi="Times New Roman"/>
          <w:sz w:val="24"/>
          <w:szCs w:val="24"/>
        </w:rPr>
        <w:t xml:space="preserve"> exclusion criteria were applied. These include the exclusion of countries with </w:t>
      </w:r>
      <w:r w:rsidR="0028099D" w:rsidRPr="00020413">
        <w:rPr>
          <w:rFonts w:ascii="Times New Roman" w:hAnsi="Times New Roman"/>
          <w:sz w:val="24"/>
          <w:szCs w:val="24"/>
        </w:rPr>
        <w:t xml:space="preserve">fewer than </w:t>
      </w:r>
      <w:r w:rsidR="000A64AF" w:rsidRPr="00020413">
        <w:rPr>
          <w:rFonts w:ascii="Times New Roman" w:hAnsi="Times New Roman"/>
          <w:sz w:val="24"/>
          <w:szCs w:val="24"/>
        </w:rPr>
        <w:t>1</w:t>
      </w:r>
      <w:r w:rsidR="0028099D" w:rsidRPr="00020413">
        <w:rPr>
          <w:rFonts w:ascii="Times New Roman" w:hAnsi="Times New Roman"/>
          <w:sz w:val="24"/>
          <w:szCs w:val="24"/>
        </w:rPr>
        <w:t xml:space="preserve">0 </w:t>
      </w:r>
      <w:r w:rsidRPr="00020413">
        <w:rPr>
          <w:rFonts w:ascii="Times New Roman" w:hAnsi="Times New Roman"/>
          <w:sz w:val="24"/>
          <w:szCs w:val="24"/>
        </w:rPr>
        <w:t>bank</w:t>
      </w:r>
      <w:r w:rsidR="00B0771A" w:rsidRPr="00020413">
        <w:rPr>
          <w:rFonts w:ascii="Times New Roman" w:hAnsi="Times New Roman"/>
          <w:sz w:val="24"/>
          <w:szCs w:val="24"/>
        </w:rPr>
        <w:t>-year</w:t>
      </w:r>
      <w:r w:rsidRPr="00020413">
        <w:rPr>
          <w:rFonts w:ascii="Times New Roman" w:hAnsi="Times New Roman"/>
          <w:sz w:val="24"/>
          <w:szCs w:val="24"/>
        </w:rPr>
        <w:t xml:space="preserve"> observations. Also,</w:t>
      </w:r>
      <w:r w:rsidR="000A64AF" w:rsidRPr="00020413">
        <w:t xml:space="preserve"> </w:t>
      </w:r>
      <w:r w:rsidR="000A64AF" w:rsidRPr="00020413">
        <w:rPr>
          <w:rFonts w:ascii="Times New Roman" w:hAnsi="Times New Roman"/>
          <w:sz w:val="24"/>
          <w:szCs w:val="24"/>
        </w:rPr>
        <w:t xml:space="preserve">banks with </w:t>
      </w:r>
      <w:r w:rsidR="00016D8B" w:rsidRPr="00020413">
        <w:rPr>
          <w:rFonts w:ascii="Times New Roman" w:hAnsi="Times New Roman"/>
          <w:sz w:val="24"/>
          <w:szCs w:val="24"/>
        </w:rPr>
        <w:t>fewer</w:t>
      </w:r>
      <w:r w:rsidR="000A64AF" w:rsidRPr="00020413">
        <w:rPr>
          <w:rFonts w:ascii="Times New Roman" w:hAnsi="Times New Roman"/>
          <w:sz w:val="24"/>
          <w:szCs w:val="24"/>
        </w:rPr>
        <w:t xml:space="preserve"> than three consecutive years of observations</w:t>
      </w:r>
      <w:r w:rsidR="000A64AF" w:rsidRPr="00020413" w:rsidDel="000A64AF">
        <w:rPr>
          <w:rFonts w:ascii="Times New Roman" w:hAnsi="Times New Roman"/>
          <w:sz w:val="24"/>
          <w:szCs w:val="24"/>
        </w:rPr>
        <w:t xml:space="preserve"> </w:t>
      </w:r>
      <w:r w:rsidRPr="00020413">
        <w:rPr>
          <w:rFonts w:ascii="Times New Roman" w:hAnsi="Times New Roman"/>
          <w:sz w:val="24"/>
          <w:szCs w:val="24"/>
        </w:rPr>
        <w:t>were</w:t>
      </w:r>
      <w:r w:rsidR="00611F87" w:rsidRPr="00020413">
        <w:rPr>
          <w:rFonts w:ascii="Times New Roman" w:hAnsi="Times New Roman"/>
          <w:sz w:val="24"/>
          <w:szCs w:val="24"/>
        </w:rPr>
        <w:t xml:space="preserve"> </w:t>
      </w:r>
      <w:r w:rsidRPr="00020413">
        <w:rPr>
          <w:rFonts w:ascii="Times New Roman" w:hAnsi="Times New Roman"/>
          <w:sz w:val="24"/>
          <w:szCs w:val="24"/>
        </w:rPr>
        <w:t xml:space="preserve">excluded. Finally, bank-year observations </w:t>
      </w:r>
      <w:r w:rsidR="000A64AF" w:rsidRPr="00020413">
        <w:rPr>
          <w:rFonts w:ascii="Times New Roman" w:hAnsi="Times New Roman"/>
          <w:sz w:val="24"/>
          <w:szCs w:val="24"/>
        </w:rPr>
        <w:t>with missing</w:t>
      </w:r>
      <w:r w:rsidRPr="00020413">
        <w:rPr>
          <w:rFonts w:ascii="Times New Roman" w:hAnsi="Times New Roman"/>
          <w:sz w:val="24"/>
          <w:szCs w:val="24"/>
        </w:rPr>
        <w:t xml:space="preserve"> data on </w:t>
      </w:r>
      <w:r w:rsidR="000A64AF" w:rsidRPr="00020413">
        <w:rPr>
          <w:rFonts w:ascii="Times New Roman" w:hAnsi="Times New Roman"/>
          <w:sz w:val="24"/>
          <w:szCs w:val="24"/>
        </w:rPr>
        <w:t xml:space="preserve">key </w:t>
      </w:r>
      <w:r w:rsidRPr="00020413">
        <w:rPr>
          <w:rFonts w:ascii="Times New Roman" w:hAnsi="Times New Roman"/>
          <w:sz w:val="24"/>
          <w:szCs w:val="24"/>
        </w:rPr>
        <w:t xml:space="preserve">variables were also dropped. </w:t>
      </w:r>
      <w:r w:rsidR="00BF7422" w:rsidRPr="00020413">
        <w:rPr>
          <w:rFonts w:ascii="Times New Roman" w:hAnsi="Times New Roman"/>
          <w:sz w:val="24"/>
          <w:szCs w:val="24"/>
        </w:rPr>
        <w:t>Overall, a</w:t>
      </w:r>
      <w:r w:rsidRPr="00020413">
        <w:rPr>
          <w:rFonts w:ascii="Times New Roman" w:hAnsi="Times New Roman"/>
          <w:sz w:val="24"/>
          <w:szCs w:val="24"/>
        </w:rPr>
        <w:t xml:space="preserve"> total of </w:t>
      </w:r>
      <w:r w:rsidR="00950AEE" w:rsidRPr="00020413">
        <w:rPr>
          <w:rFonts w:ascii="Times New Roman" w:hAnsi="Times New Roman"/>
          <w:sz w:val="24"/>
          <w:szCs w:val="24"/>
        </w:rPr>
        <w:t>879</w:t>
      </w:r>
      <w:r w:rsidR="003838FE" w:rsidRPr="00020413">
        <w:rPr>
          <w:rFonts w:ascii="Times New Roman" w:hAnsi="Times New Roman"/>
          <w:sz w:val="24"/>
          <w:szCs w:val="24"/>
        </w:rPr>
        <w:t xml:space="preserve"> </w:t>
      </w:r>
      <w:r w:rsidR="00465DC7" w:rsidRPr="00020413">
        <w:rPr>
          <w:rFonts w:ascii="Times New Roman" w:hAnsi="Times New Roman"/>
          <w:sz w:val="24"/>
          <w:szCs w:val="24"/>
        </w:rPr>
        <w:t>banks</w:t>
      </w:r>
      <w:r w:rsidRPr="00020413">
        <w:rPr>
          <w:rFonts w:ascii="Times New Roman" w:hAnsi="Times New Roman"/>
          <w:sz w:val="24"/>
          <w:szCs w:val="24"/>
        </w:rPr>
        <w:t xml:space="preserve"> from </w:t>
      </w:r>
      <w:r w:rsidR="00950AEE" w:rsidRPr="00020413">
        <w:rPr>
          <w:rFonts w:ascii="Times New Roman" w:hAnsi="Times New Roman"/>
          <w:sz w:val="24"/>
          <w:szCs w:val="24"/>
        </w:rPr>
        <w:t>87</w:t>
      </w:r>
      <w:r w:rsidR="003838FE" w:rsidRPr="00020413">
        <w:rPr>
          <w:rFonts w:ascii="Times New Roman" w:hAnsi="Times New Roman"/>
          <w:sz w:val="24"/>
          <w:szCs w:val="24"/>
        </w:rPr>
        <w:t xml:space="preserve"> </w:t>
      </w:r>
      <w:r w:rsidR="00BF7422" w:rsidRPr="00020413">
        <w:rPr>
          <w:rFonts w:ascii="Times New Roman" w:hAnsi="Times New Roman"/>
          <w:sz w:val="24"/>
          <w:szCs w:val="24"/>
        </w:rPr>
        <w:t xml:space="preserve">developing </w:t>
      </w:r>
      <w:r w:rsidRPr="00020413">
        <w:rPr>
          <w:rFonts w:ascii="Times New Roman" w:hAnsi="Times New Roman"/>
          <w:sz w:val="24"/>
          <w:szCs w:val="24"/>
        </w:rPr>
        <w:t>countries</w:t>
      </w:r>
      <w:r w:rsidR="00EF135A" w:rsidRPr="00020413">
        <w:rPr>
          <w:rStyle w:val="FootnoteReference"/>
          <w:rFonts w:ascii="Times New Roman" w:hAnsi="Times New Roman"/>
          <w:sz w:val="24"/>
          <w:szCs w:val="24"/>
        </w:rPr>
        <w:footnoteReference w:id="5"/>
      </w:r>
      <w:r w:rsidR="00EB5B36" w:rsidRPr="00020413">
        <w:rPr>
          <w:rFonts w:ascii="Times New Roman" w:hAnsi="Times New Roman"/>
          <w:sz w:val="24"/>
          <w:szCs w:val="24"/>
        </w:rPr>
        <w:t xml:space="preserve"> from every continent</w:t>
      </w:r>
      <w:r w:rsidRPr="00020413">
        <w:rPr>
          <w:rFonts w:ascii="Times New Roman" w:hAnsi="Times New Roman"/>
          <w:sz w:val="24"/>
          <w:szCs w:val="24"/>
        </w:rPr>
        <w:t xml:space="preserve"> were </w:t>
      </w:r>
      <w:r w:rsidR="00465DC7" w:rsidRPr="00020413">
        <w:rPr>
          <w:rFonts w:ascii="Times New Roman" w:hAnsi="Times New Roman"/>
          <w:sz w:val="24"/>
          <w:szCs w:val="24"/>
        </w:rPr>
        <w:t>employed in our analysis</w:t>
      </w:r>
      <w:r w:rsidR="0021219A" w:rsidRPr="00020413">
        <w:rPr>
          <w:rFonts w:ascii="Times New Roman" w:hAnsi="Times New Roman"/>
          <w:sz w:val="24"/>
          <w:szCs w:val="24"/>
        </w:rPr>
        <w:t xml:space="preserve">. </w:t>
      </w:r>
      <w:r w:rsidR="00A7098E" w:rsidRPr="00020413">
        <w:rPr>
          <w:rFonts w:ascii="Times New Roman" w:hAnsi="Times New Roman"/>
          <w:sz w:val="24"/>
          <w:szCs w:val="24"/>
        </w:rPr>
        <w:t>The</w:t>
      </w:r>
      <w:r w:rsidR="00082154" w:rsidRPr="00020413">
        <w:rPr>
          <w:rFonts w:ascii="Times New Roman" w:hAnsi="Times New Roman"/>
          <w:sz w:val="24"/>
          <w:szCs w:val="24"/>
        </w:rPr>
        <w:t xml:space="preserve"> list of countries and</w:t>
      </w:r>
      <w:r w:rsidR="00A7098E" w:rsidRPr="00020413">
        <w:rPr>
          <w:rFonts w:ascii="Times New Roman" w:hAnsi="Times New Roman"/>
          <w:sz w:val="24"/>
          <w:szCs w:val="24"/>
        </w:rPr>
        <w:t xml:space="preserve"> distribution of the sample showing the</w:t>
      </w:r>
      <w:r w:rsidR="003F73E2" w:rsidRPr="00020413">
        <w:rPr>
          <w:rFonts w:ascii="Times New Roman" w:hAnsi="Times New Roman"/>
          <w:sz w:val="24"/>
          <w:szCs w:val="24"/>
        </w:rPr>
        <w:t xml:space="preserve"> contribution</w:t>
      </w:r>
      <w:r w:rsidR="00A7098E" w:rsidRPr="00020413">
        <w:rPr>
          <w:rFonts w:ascii="Times New Roman" w:hAnsi="Times New Roman"/>
          <w:sz w:val="24"/>
          <w:szCs w:val="24"/>
        </w:rPr>
        <w:t xml:space="preserve"> of each country is presented </w:t>
      </w:r>
      <w:r w:rsidR="003F73E2" w:rsidRPr="00020413">
        <w:rPr>
          <w:rFonts w:ascii="Times New Roman" w:hAnsi="Times New Roman"/>
          <w:sz w:val="24"/>
          <w:szCs w:val="24"/>
        </w:rPr>
        <w:t xml:space="preserve">as an </w:t>
      </w:r>
      <w:r w:rsidR="00E109BC" w:rsidRPr="00020413">
        <w:rPr>
          <w:rFonts w:ascii="Times New Roman" w:hAnsi="Times New Roman"/>
          <w:sz w:val="24"/>
          <w:szCs w:val="24"/>
        </w:rPr>
        <w:t>a</w:t>
      </w:r>
      <w:r w:rsidR="00A7098E" w:rsidRPr="00020413">
        <w:rPr>
          <w:rFonts w:ascii="Times New Roman" w:hAnsi="Times New Roman"/>
          <w:sz w:val="24"/>
          <w:szCs w:val="24"/>
        </w:rPr>
        <w:t xml:space="preserve">ppendix (see Table </w:t>
      </w:r>
      <w:r w:rsidR="00C071FB" w:rsidRPr="00020413">
        <w:rPr>
          <w:rFonts w:ascii="Times New Roman" w:hAnsi="Times New Roman"/>
          <w:sz w:val="24"/>
          <w:szCs w:val="24"/>
        </w:rPr>
        <w:t>1</w:t>
      </w:r>
      <w:r w:rsidR="00887689" w:rsidRPr="00020413">
        <w:rPr>
          <w:rFonts w:ascii="Times New Roman" w:hAnsi="Times New Roman"/>
          <w:sz w:val="24"/>
          <w:szCs w:val="24"/>
        </w:rPr>
        <w:t>2</w:t>
      </w:r>
      <w:r w:rsidR="00A7098E" w:rsidRPr="00020413">
        <w:rPr>
          <w:rFonts w:ascii="Times New Roman" w:hAnsi="Times New Roman"/>
          <w:sz w:val="24"/>
          <w:szCs w:val="24"/>
        </w:rPr>
        <w:t>).</w:t>
      </w:r>
      <w:r w:rsidR="00F02730" w:rsidRPr="00020413">
        <w:rPr>
          <w:rFonts w:ascii="Times New Roman" w:hAnsi="Times New Roman"/>
          <w:sz w:val="24"/>
          <w:szCs w:val="24"/>
        </w:rPr>
        <w:t xml:space="preserve"> The top</w:t>
      </w:r>
      <w:r w:rsidR="007E1653" w:rsidRPr="00020413">
        <w:rPr>
          <w:rFonts w:ascii="Times New Roman" w:hAnsi="Times New Roman"/>
          <w:sz w:val="24"/>
          <w:szCs w:val="24"/>
        </w:rPr>
        <w:t xml:space="preserve"> five countries represented in the sample are </w:t>
      </w:r>
      <w:r w:rsidR="00F02730" w:rsidRPr="00020413">
        <w:rPr>
          <w:rFonts w:ascii="Times New Roman" w:hAnsi="Times New Roman"/>
          <w:sz w:val="24"/>
          <w:szCs w:val="24"/>
        </w:rPr>
        <w:t>Turkey (5.69</w:t>
      </w:r>
      <w:r w:rsidR="003B579C" w:rsidRPr="00020413">
        <w:rPr>
          <w:rFonts w:ascii="Times New Roman" w:hAnsi="Times New Roman"/>
          <w:sz w:val="24"/>
          <w:szCs w:val="24"/>
        </w:rPr>
        <w:t>%</w:t>
      </w:r>
      <w:r w:rsidR="00F02730" w:rsidRPr="00020413">
        <w:rPr>
          <w:rFonts w:ascii="Times New Roman" w:hAnsi="Times New Roman"/>
          <w:sz w:val="24"/>
          <w:szCs w:val="24"/>
        </w:rPr>
        <w:t xml:space="preserve">), </w:t>
      </w:r>
      <w:r w:rsidR="0076439D" w:rsidRPr="00020413">
        <w:rPr>
          <w:rFonts w:ascii="Times New Roman" w:hAnsi="Times New Roman"/>
          <w:sz w:val="24"/>
          <w:szCs w:val="24"/>
        </w:rPr>
        <w:t xml:space="preserve">Argentina (3.75%), </w:t>
      </w:r>
      <w:r w:rsidR="00F02730" w:rsidRPr="00020413">
        <w:rPr>
          <w:rFonts w:ascii="Times New Roman" w:hAnsi="Times New Roman"/>
          <w:sz w:val="24"/>
          <w:szCs w:val="24"/>
        </w:rPr>
        <w:t>Hong Kong (3.64</w:t>
      </w:r>
      <w:r w:rsidR="003B579C" w:rsidRPr="00020413">
        <w:rPr>
          <w:rFonts w:ascii="Times New Roman" w:hAnsi="Times New Roman"/>
          <w:sz w:val="24"/>
          <w:szCs w:val="24"/>
        </w:rPr>
        <w:t>%</w:t>
      </w:r>
      <w:r w:rsidR="00F02730" w:rsidRPr="00020413">
        <w:rPr>
          <w:rFonts w:ascii="Times New Roman" w:hAnsi="Times New Roman"/>
          <w:sz w:val="24"/>
          <w:szCs w:val="24"/>
        </w:rPr>
        <w:t>), Kenya (3.19</w:t>
      </w:r>
      <w:r w:rsidR="003B579C" w:rsidRPr="00020413">
        <w:rPr>
          <w:rFonts w:ascii="Times New Roman" w:hAnsi="Times New Roman"/>
          <w:sz w:val="24"/>
          <w:szCs w:val="24"/>
        </w:rPr>
        <w:t>%</w:t>
      </w:r>
      <w:r w:rsidR="00F02730" w:rsidRPr="00020413">
        <w:rPr>
          <w:rFonts w:ascii="Times New Roman" w:hAnsi="Times New Roman"/>
          <w:sz w:val="24"/>
          <w:szCs w:val="24"/>
        </w:rPr>
        <w:t>), and South Africa (3.07</w:t>
      </w:r>
      <w:r w:rsidR="003B579C" w:rsidRPr="00020413">
        <w:rPr>
          <w:rFonts w:ascii="Times New Roman" w:hAnsi="Times New Roman"/>
          <w:sz w:val="24"/>
          <w:szCs w:val="24"/>
        </w:rPr>
        <w:t>%</w:t>
      </w:r>
      <w:r w:rsidR="00F02730" w:rsidRPr="00020413">
        <w:rPr>
          <w:rFonts w:ascii="Times New Roman" w:hAnsi="Times New Roman"/>
          <w:sz w:val="24"/>
          <w:szCs w:val="24"/>
        </w:rPr>
        <w:t xml:space="preserve">). </w:t>
      </w:r>
      <w:r w:rsidR="003B579C" w:rsidRPr="00020413">
        <w:rPr>
          <w:rFonts w:ascii="Times New Roman" w:hAnsi="Times New Roman"/>
          <w:sz w:val="24"/>
          <w:szCs w:val="24"/>
        </w:rPr>
        <w:t xml:space="preserve">The </w:t>
      </w:r>
      <w:r w:rsidR="00F02730" w:rsidRPr="00020413">
        <w:rPr>
          <w:rFonts w:ascii="Times New Roman" w:hAnsi="Times New Roman"/>
          <w:sz w:val="24"/>
          <w:szCs w:val="24"/>
        </w:rPr>
        <w:t xml:space="preserve">least represented countries are </w:t>
      </w:r>
      <w:r w:rsidR="00A721ED" w:rsidRPr="00020413">
        <w:rPr>
          <w:rFonts w:ascii="Times New Roman" w:hAnsi="Times New Roman"/>
          <w:sz w:val="24"/>
          <w:szCs w:val="24"/>
        </w:rPr>
        <w:t>Algeria, Benin, Ethiopia</w:t>
      </w:r>
      <w:r w:rsidR="003B579C" w:rsidRPr="00020413">
        <w:rPr>
          <w:rFonts w:ascii="Times New Roman" w:hAnsi="Times New Roman"/>
          <w:sz w:val="24"/>
          <w:szCs w:val="24"/>
        </w:rPr>
        <w:t>,</w:t>
      </w:r>
      <w:r w:rsidR="00A721ED" w:rsidRPr="00020413">
        <w:rPr>
          <w:rFonts w:ascii="Times New Roman" w:hAnsi="Times New Roman"/>
          <w:sz w:val="24"/>
          <w:szCs w:val="24"/>
        </w:rPr>
        <w:t xml:space="preserve"> Grenada, Guyana, Maldives, Montene</w:t>
      </w:r>
      <w:r w:rsidR="003B579C" w:rsidRPr="00020413">
        <w:rPr>
          <w:rFonts w:ascii="Times New Roman" w:hAnsi="Times New Roman"/>
          <w:sz w:val="24"/>
          <w:szCs w:val="24"/>
        </w:rPr>
        <w:t xml:space="preserve">gro, Rwanda, Sierra Leone, Tajikistan, and Togo, all contributing 0.23% each to the sample. </w:t>
      </w:r>
      <w:r w:rsidR="00ED2D7C" w:rsidRPr="00020413">
        <w:rPr>
          <w:rFonts w:ascii="Times New Roman" w:hAnsi="Times New Roman"/>
          <w:sz w:val="24"/>
          <w:szCs w:val="24"/>
        </w:rPr>
        <w:t>Information sharing variables and other m</w:t>
      </w:r>
      <w:r w:rsidR="00465DC7" w:rsidRPr="00020413">
        <w:rPr>
          <w:rFonts w:ascii="Times New Roman" w:hAnsi="Times New Roman"/>
          <w:sz w:val="24"/>
          <w:szCs w:val="24"/>
        </w:rPr>
        <w:t>a</w:t>
      </w:r>
      <w:r w:rsidRPr="00020413">
        <w:rPr>
          <w:rFonts w:ascii="Times New Roman" w:hAnsi="Times New Roman"/>
          <w:sz w:val="24"/>
          <w:szCs w:val="24"/>
        </w:rPr>
        <w:t xml:space="preserve">croeconomic variables used </w:t>
      </w:r>
      <w:r w:rsidR="00315D63" w:rsidRPr="00020413">
        <w:rPr>
          <w:rFonts w:ascii="Times New Roman" w:hAnsi="Times New Roman"/>
          <w:sz w:val="24"/>
          <w:szCs w:val="24"/>
        </w:rPr>
        <w:t xml:space="preserve">in the study </w:t>
      </w:r>
      <w:r w:rsidRPr="00020413">
        <w:rPr>
          <w:rFonts w:ascii="Times New Roman" w:hAnsi="Times New Roman"/>
          <w:sz w:val="24"/>
          <w:szCs w:val="24"/>
        </w:rPr>
        <w:t>were obtained from the</w:t>
      </w:r>
      <w:r w:rsidR="009B6256" w:rsidRPr="00020413">
        <w:rPr>
          <w:rFonts w:ascii="Times New Roman" w:hAnsi="Times New Roman"/>
          <w:sz w:val="24"/>
          <w:szCs w:val="24"/>
        </w:rPr>
        <w:t xml:space="preserve"> </w:t>
      </w:r>
      <w:r w:rsidR="009B6256" w:rsidRPr="00020413">
        <w:rPr>
          <w:rFonts w:ascii="Times New Roman" w:hAnsi="Times New Roman"/>
          <w:bCs/>
          <w:sz w:val="24"/>
          <w:szCs w:val="24"/>
        </w:rPr>
        <w:t>World Bank Doing Business and</w:t>
      </w:r>
      <w:r w:rsidRPr="00020413">
        <w:rPr>
          <w:rFonts w:ascii="Times New Roman" w:hAnsi="Times New Roman"/>
          <w:sz w:val="24"/>
          <w:szCs w:val="24"/>
        </w:rPr>
        <w:t xml:space="preserve"> </w:t>
      </w:r>
      <w:r w:rsidR="009C18DC" w:rsidRPr="00020413">
        <w:rPr>
          <w:rFonts w:ascii="Times New Roman" w:hAnsi="Times New Roman"/>
          <w:sz w:val="24"/>
          <w:szCs w:val="24"/>
        </w:rPr>
        <w:t xml:space="preserve">the </w:t>
      </w:r>
      <w:r w:rsidRPr="00020413">
        <w:rPr>
          <w:rFonts w:ascii="Times New Roman" w:hAnsi="Times New Roman"/>
          <w:sz w:val="24"/>
          <w:szCs w:val="24"/>
        </w:rPr>
        <w:t xml:space="preserve">World Bank </w:t>
      </w:r>
      <w:r w:rsidR="00EA2ADC" w:rsidRPr="00020413">
        <w:rPr>
          <w:rFonts w:ascii="Times New Roman" w:hAnsi="Times New Roman"/>
          <w:sz w:val="24"/>
          <w:szCs w:val="24"/>
        </w:rPr>
        <w:t xml:space="preserve">World </w:t>
      </w:r>
      <w:r w:rsidR="00EA2ADC" w:rsidRPr="00020413">
        <w:rPr>
          <w:rFonts w:ascii="Times New Roman" w:hAnsi="Times New Roman"/>
          <w:sz w:val="24"/>
          <w:szCs w:val="24"/>
        </w:rPr>
        <w:lastRenderedPageBreak/>
        <w:t>Development Indicators</w:t>
      </w:r>
      <w:r w:rsidR="00AA64B2" w:rsidRPr="00020413">
        <w:rPr>
          <w:rFonts w:ascii="Times New Roman" w:hAnsi="Times New Roman"/>
          <w:sz w:val="24"/>
          <w:szCs w:val="24"/>
        </w:rPr>
        <w:t>, respectively</w:t>
      </w:r>
      <w:r w:rsidR="00465DC7" w:rsidRPr="00020413">
        <w:rPr>
          <w:rFonts w:ascii="Times New Roman" w:hAnsi="Times New Roman"/>
          <w:sz w:val="24"/>
          <w:szCs w:val="24"/>
        </w:rPr>
        <w:t xml:space="preserve">. Governance variables were obtained from </w:t>
      </w:r>
      <w:r w:rsidR="00A24730" w:rsidRPr="00020413">
        <w:rPr>
          <w:rFonts w:ascii="Times New Roman" w:hAnsi="Times New Roman"/>
          <w:sz w:val="24"/>
          <w:szCs w:val="24"/>
        </w:rPr>
        <w:t xml:space="preserve">the World Bank’s </w:t>
      </w:r>
      <w:r w:rsidR="00465DC7" w:rsidRPr="00020413">
        <w:rPr>
          <w:rFonts w:ascii="Times New Roman" w:hAnsi="Times New Roman"/>
          <w:sz w:val="24"/>
          <w:szCs w:val="24"/>
        </w:rPr>
        <w:t>World</w:t>
      </w:r>
      <w:r w:rsidR="00F64B01" w:rsidRPr="00020413">
        <w:rPr>
          <w:rFonts w:ascii="Times New Roman" w:hAnsi="Times New Roman"/>
          <w:sz w:val="24"/>
          <w:szCs w:val="24"/>
        </w:rPr>
        <w:t>wide</w:t>
      </w:r>
      <w:r w:rsidR="00465DC7" w:rsidRPr="00020413">
        <w:rPr>
          <w:rFonts w:ascii="Times New Roman" w:hAnsi="Times New Roman"/>
          <w:sz w:val="24"/>
          <w:szCs w:val="24"/>
        </w:rPr>
        <w:t xml:space="preserve"> Governance indicators.</w:t>
      </w:r>
      <w:r w:rsidR="00E109BC" w:rsidRPr="00020413">
        <w:rPr>
          <w:rFonts w:ascii="Times New Roman" w:hAnsi="Times New Roman"/>
          <w:sz w:val="24"/>
          <w:szCs w:val="24"/>
        </w:rPr>
        <w:t xml:space="preserve"> </w:t>
      </w:r>
    </w:p>
    <w:p w:rsidR="00156FFA" w:rsidRPr="00020413" w:rsidRDefault="00156FFA" w:rsidP="00D55D24">
      <w:pPr>
        <w:spacing w:after="120" w:line="360" w:lineRule="auto"/>
        <w:jc w:val="both"/>
        <w:rPr>
          <w:rFonts w:ascii="Times New Roman" w:hAnsi="Times New Roman"/>
          <w:sz w:val="24"/>
          <w:szCs w:val="24"/>
        </w:rPr>
      </w:pPr>
    </w:p>
    <w:p w:rsidR="00A651BC" w:rsidRPr="00020413" w:rsidRDefault="001115AB" w:rsidP="00960F87">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A651BC" w:rsidRPr="00020413">
        <w:rPr>
          <w:rFonts w:ascii="Times New Roman" w:hAnsi="Times New Roman"/>
          <w:b/>
          <w:sz w:val="24"/>
          <w:szCs w:val="24"/>
        </w:rPr>
        <w:t xml:space="preserve">.2. Measurement of </w:t>
      </w:r>
      <w:r w:rsidR="00391AC3" w:rsidRPr="00020413">
        <w:rPr>
          <w:rFonts w:ascii="Times New Roman" w:hAnsi="Times New Roman"/>
          <w:b/>
          <w:sz w:val="24"/>
          <w:szCs w:val="24"/>
        </w:rPr>
        <w:t>variables</w:t>
      </w:r>
    </w:p>
    <w:p w:rsidR="005406DD" w:rsidRPr="00020413" w:rsidRDefault="002C626C"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 measures used in this study were chosen </w:t>
      </w:r>
      <w:r w:rsidR="002664F1" w:rsidRPr="00020413">
        <w:rPr>
          <w:rFonts w:ascii="Times New Roman" w:hAnsi="Times New Roman"/>
          <w:sz w:val="24"/>
          <w:szCs w:val="24"/>
        </w:rPr>
        <w:t>in line with the previously discussed empirical and theoretical literature</w:t>
      </w:r>
      <w:r w:rsidR="004E1831" w:rsidRPr="00020413">
        <w:rPr>
          <w:rFonts w:ascii="Times New Roman" w:hAnsi="Times New Roman"/>
          <w:sz w:val="24"/>
          <w:szCs w:val="24"/>
        </w:rPr>
        <w:t>,</w:t>
      </w:r>
      <w:r w:rsidR="00CA3784" w:rsidRPr="00020413">
        <w:rPr>
          <w:rFonts w:ascii="Times New Roman" w:hAnsi="Times New Roman"/>
          <w:sz w:val="24"/>
          <w:szCs w:val="24"/>
        </w:rPr>
        <w:t xml:space="preserve"> which </w:t>
      </w:r>
      <w:r w:rsidRPr="00020413">
        <w:rPr>
          <w:rFonts w:ascii="Times New Roman" w:hAnsi="Times New Roman"/>
          <w:sz w:val="24"/>
          <w:szCs w:val="24"/>
        </w:rPr>
        <w:t>enable</w:t>
      </w:r>
      <w:r w:rsidR="00CA3784" w:rsidRPr="00020413">
        <w:rPr>
          <w:rFonts w:ascii="Times New Roman" w:hAnsi="Times New Roman"/>
          <w:sz w:val="24"/>
          <w:szCs w:val="24"/>
        </w:rPr>
        <w:t>d</w:t>
      </w:r>
      <w:r w:rsidRPr="00020413">
        <w:rPr>
          <w:rFonts w:ascii="Times New Roman" w:hAnsi="Times New Roman"/>
          <w:sz w:val="24"/>
          <w:szCs w:val="24"/>
        </w:rPr>
        <w:t xml:space="preserve"> us </w:t>
      </w:r>
      <w:r w:rsidR="00950AEE" w:rsidRPr="00020413">
        <w:rPr>
          <w:rFonts w:ascii="Times New Roman" w:hAnsi="Times New Roman"/>
          <w:sz w:val="24"/>
          <w:szCs w:val="24"/>
        </w:rPr>
        <w:t>to compare</w:t>
      </w:r>
      <w:r w:rsidRPr="00020413">
        <w:rPr>
          <w:rFonts w:ascii="Times New Roman" w:hAnsi="Times New Roman"/>
          <w:sz w:val="24"/>
          <w:szCs w:val="24"/>
        </w:rPr>
        <w:t xml:space="preserve"> our results with </w:t>
      </w:r>
      <w:r w:rsidR="002664F1" w:rsidRPr="00020413">
        <w:rPr>
          <w:rFonts w:ascii="Times New Roman" w:hAnsi="Times New Roman"/>
          <w:sz w:val="24"/>
          <w:szCs w:val="24"/>
        </w:rPr>
        <w:t>prior research</w:t>
      </w:r>
      <w:r w:rsidR="00E674AB" w:rsidRPr="00020413">
        <w:rPr>
          <w:rFonts w:ascii="Times New Roman" w:hAnsi="Times New Roman"/>
          <w:sz w:val="24"/>
          <w:szCs w:val="24"/>
        </w:rPr>
        <w:t>.</w:t>
      </w:r>
      <w:r w:rsidRPr="00020413">
        <w:rPr>
          <w:rFonts w:ascii="Times New Roman" w:hAnsi="Times New Roman"/>
          <w:sz w:val="24"/>
          <w:szCs w:val="24"/>
        </w:rPr>
        <w:t xml:space="preserve"> </w:t>
      </w:r>
      <w:r w:rsidR="00215131" w:rsidRPr="00020413">
        <w:rPr>
          <w:rFonts w:ascii="Times New Roman" w:hAnsi="Times New Roman"/>
          <w:sz w:val="24"/>
          <w:szCs w:val="24"/>
        </w:rPr>
        <w:t>We</w:t>
      </w:r>
      <w:r w:rsidR="00D92927" w:rsidRPr="00020413">
        <w:rPr>
          <w:rFonts w:ascii="Times New Roman" w:hAnsi="Times New Roman"/>
          <w:sz w:val="24"/>
          <w:szCs w:val="24"/>
        </w:rPr>
        <w:t xml:space="preserve"> draw on the extant literature (e.g.</w:t>
      </w:r>
      <w:r w:rsidR="00154E28" w:rsidRPr="00020413">
        <w:rPr>
          <w:rFonts w:ascii="Times New Roman" w:hAnsi="Times New Roman"/>
          <w:sz w:val="24"/>
          <w:szCs w:val="24"/>
        </w:rPr>
        <w:t>,</w:t>
      </w:r>
      <w:r w:rsidR="00F40A96" w:rsidRPr="00020413">
        <w:rPr>
          <w:rFonts w:ascii="Times New Roman" w:hAnsi="Times New Roman"/>
          <w:sz w:val="24"/>
          <w:szCs w:val="24"/>
        </w:rPr>
        <w:t xml:space="preserve"> Berger, 2009;</w:t>
      </w:r>
      <w:r w:rsidR="00646C25" w:rsidRPr="00020413">
        <w:rPr>
          <w:rFonts w:ascii="Times New Roman" w:hAnsi="Times New Roman"/>
          <w:sz w:val="24"/>
          <w:szCs w:val="24"/>
        </w:rPr>
        <w:t xml:space="preserve"> </w:t>
      </w:r>
      <w:proofErr w:type="spellStart"/>
      <w:r w:rsidR="00630559" w:rsidRPr="00020413">
        <w:rPr>
          <w:rFonts w:ascii="Times New Roman" w:hAnsi="Times New Roman"/>
          <w:sz w:val="24"/>
          <w:szCs w:val="24"/>
          <w:shd w:val="clear" w:color="auto" w:fill="FFFFFF"/>
        </w:rPr>
        <w:t>Louzis</w:t>
      </w:r>
      <w:proofErr w:type="spellEnd"/>
      <w:r w:rsidR="00630559" w:rsidRPr="00020413" w:rsidDel="00630559">
        <w:rPr>
          <w:rFonts w:ascii="Times New Roman" w:hAnsi="Times New Roman"/>
          <w:sz w:val="24"/>
          <w:szCs w:val="24"/>
          <w:lang w:eastAsia="en-GB"/>
        </w:rPr>
        <w:t xml:space="preserve"> </w:t>
      </w:r>
      <w:r w:rsidR="009344CD" w:rsidRPr="00020413">
        <w:rPr>
          <w:rFonts w:ascii="Times New Roman" w:hAnsi="Times New Roman"/>
          <w:sz w:val="24"/>
          <w:szCs w:val="24"/>
        </w:rPr>
        <w:t xml:space="preserve">et al., 2012; </w:t>
      </w:r>
      <w:r w:rsidR="00593339" w:rsidRPr="00020413">
        <w:rPr>
          <w:rFonts w:ascii="Times New Roman" w:hAnsi="Times New Roman"/>
          <w:sz w:val="24"/>
          <w:szCs w:val="24"/>
        </w:rPr>
        <w:t>Vazquez et al., 2012;</w:t>
      </w:r>
      <w:r w:rsidR="00394FF5" w:rsidRPr="00020413">
        <w:rPr>
          <w:rFonts w:ascii="Times New Roman" w:hAnsi="Times New Roman"/>
          <w:sz w:val="24"/>
          <w:szCs w:val="24"/>
        </w:rPr>
        <w:t xml:space="preserve"> </w:t>
      </w:r>
      <w:r w:rsidR="00593339" w:rsidRPr="00020413">
        <w:rPr>
          <w:rFonts w:ascii="Times New Roman" w:hAnsi="Times New Roman"/>
          <w:sz w:val="24"/>
          <w:szCs w:val="24"/>
          <w:shd w:val="clear" w:color="auto" w:fill="FFFFFF"/>
        </w:rPr>
        <w:t xml:space="preserve">Jiménez et al., 2013 </w:t>
      </w:r>
      <w:proofErr w:type="spellStart"/>
      <w:r w:rsidR="00394FF5" w:rsidRPr="00020413">
        <w:rPr>
          <w:rFonts w:ascii="Times New Roman" w:hAnsi="Times New Roman"/>
          <w:sz w:val="24"/>
          <w:szCs w:val="24"/>
          <w:shd w:val="clear" w:color="auto" w:fill="FFFFFF"/>
        </w:rPr>
        <w:t>Demirg</w:t>
      </w:r>
      <w:r w:rsidR="00F77A15" w:rsidRPr="00020413">
        <w:rPr>
          <w:rFonts w:ascii="Times New Roman" w:hAnsi="Times New Roman"/>
          <w:sz w:val="24"/>
          <w:szCs w:val="24"/>
        </w:rPr>
        <w:t>üç</w:t>
      </w:r>
      <w:r w:rsidR="00394FF5" w:rsidRPr="00020413">
        <w:rPr>
          <w:rFonts w:ascii="Times New Roman" w:hAnsi="Times New Roman"/>
          <w:sz w:val="24"/>
          <w:szCs w:val="24"/>
          <w:shd w:val="clear" w:color="auto" w:fill="FFFFFF"/>
        </w:rPr>
        <w:t>-Kunt</w:t>
      </w:r>
      <w:proofErr w:type="spellEnd"/>
      <w:r w:rsidR="00394FF5" w:rsidRPr="00020413">
        <w:rPr>
          <w:rFonts w:ascii="Times New Roman" w:hAnsi="Times New Roman"/>
          <w:sz w:val="24"/>
          <w:szCs w:val="24"/>
          <w:shd w:val="clear" w:color="auto" w:fill="FFFFFF"/>
        </w:rPr>
        <w:t xml:space="preserve"> et al., 2003; </w:t>
      </w:r>
      <w:r w:rsidR="00593339" w:rsidRPr="00020413">
        <w:rPr>
          <w:rFonts w:ascii="Times New Roman" w:hAnsi="Times New Roman"/>
          <w:sz w:val="24"/>
          <w:szCs w:val="24"/>
        </w:rPr>
        <w:t>Ghosh, 2015</w:t>
      </w:r>
      <w:r w:rsidR="0017266C" w:rsidRPr="00020413">
        <w:rPr>
          <w:rFonts w:ascii="Times New Roman" w:hAnsi="Times New Roman"/>
          <w:sz w:val="24"/>
          <w:szCs w:val="24"/>
        </w:rPr>
        <w:t xml:space="preserve">; </w:t>
      </w:r>
      <w:r w:rsidR="0017266C" w:rsidRPr="00020413">
        <w:rPr>
          <w:rFonts w:ascii="Times New Roman" w:hAnsi="Times New Roman"/>
          <w:sz w:val="24"/>
          <w:szCs w:val="24"/>
          <w:lang w:val="en-US"/>
        </w:rPr>
        <w:t xml:space="preserve">Kalyvas and </w:t>
      </w:r>
      <w:proofErr w:type="spellStart"/>
      <w:r w:rsidR="0017266C" w:rsidRPr="00020413">
        <w:rPr>
          <w:rFonts w:ascii="Times New Roman" w:hAnsi="Times New Roman"/>
          <w:sz w:val="24"/>
          <w:szCs w:val="24"/>
          <w:lang w:val="en-US"/>
        </w:rPr>
        <w:t>Mamatzakis</w:t>
      </w:r>
      <w:proofErr w:type="spellEnd"/>
      <w:r w:rsidR="0017266C" w:rsidRPr="00020413">
        <w:rPr>
          <w:rFonts w:ascii="Times New Roman" w:hAnsi="Times New Roman"/>
          <w:sz w:val="24"/>
          <w:szCs w:val="24"/>
          <w:lang w:val="en-US"/>
        </w:rPr>
        <w:t>, 2017</w:t>
      </w:r>
      <w:r w:rsidR="001D4C46" w:rsidRPr="00020413">
        <w:rPr>
          <w:rFonts w:ascii="Times New Roman" w:hAnsi="Times New Roman"/>
          <w:sz w:val="24"/>
          <w:szCs w:val="24"/>
        </w:rPr>
        <w:t>)</w:t>
      </w:r>
      <w:r w:rsidR="00D92927" w:rsidRPr="00020413">
        <w:rPr>
          <w:rFonts w:ascii="Times New Roman" w:hAnsi="Times New Roman"/>
          <w:sz w:val="24"/>
          <w:szCs w:val="24"/>
        </w:rPr>
        <w:t xml:space="preserve"> </w:t>
      </w:r>
      <w:r w:rsidR="001D4C46" w:rsidRPr="00020413">
        <w:rPr>
          <w:rFonts w:ascii="Times New Roman" w:hAnsi="Times New Roman"/>
          <w:sz w:val="24"/>
          <w:szCs w:val="24"/>
        </w:rPr>
        <w:t>and include</w:t>
      </w:r>
      <w:r w:rsidR="00215131" w:rsidRPr="00020413">
        <w:rPr>
          <w:rFonts w:ascii="Times New Roman" w:hAnsi="Times New Roman"/>
          <w:sz w:val="24"/>
          <w:szCs w:val="24"/>
        </w:rPr>
        <w:t xml:space="preserve"> </w:t>
      </w:r>
      <w:proofErr w:type="gramStart"/>
      <w:r w:rsidR="00215131" w:rsidRPr="00020413">
        <w:rPr>
          <w:rFonts w:ascii="Times New Roman" w:hAnsi="Times New Roman"/>
          <w:sz w:val="24"/>
          <w:szCs w:val="24"/>
        </w:rPr>
        <w:t>a number of</w:t>
      </w:r>
      <w:proofErr w:type="gramEnd"/>
      <w:r w:rsidR="00215131" w:rsidRPr="00020413">
        <w:rPr>
          <w:rFonts w:ascii="Times New Roman" w:hAnsi="Times New Roman"/>
          <w:sz w:val="24"/>
          <w:szCs w:val="24"/>
        </w:rPr>
        <w:t xml:space="preserve"> bank</w:t>
      </w:r>
      <w:r w:rsidR="0028099D" w:rsidRPr="00020413">
        <w:rPr>
          <w:rFonts w:ascii="Times New Roman" w:hAnsi="Times New Roman"/>
          <w:sz w:val="24"/>
          <w:szCs w:val="24"/>
        </w:rPr>
        <w:t>-</w:t>
      </w:r>
      <w:r w:rsidR="00215131" w:rsidRPr="00020413">
        <w:rPr>
          <w:rFonts w:ascii="Times New Roman" w:hAnsi="Times New Roman"/>
          <w:sz w:val="24"/>
          <w:szCs w:val="24"/>
        </w:rPr>
        <w:t xml:space="preserve">specific and </w:t>
      </w:r>
      <w:r w:rsidR="001D4C46" w:rsidRPr="00020413">
        <w:rPr>
          <w:rFonts w:ascii="Times New Roman" w:hAnsi="Times New Roman"/>
          <w:sz w:val="24"/>
          <w:szCs w:val="24"/>
        </w:rPr>
        <w:t xml:space="preserve">macroeconomic </w:t>
      </w:r>
      <w:r w:rsidR="00215131" w:rsidRPr="00020413">
        <w:rPr>
          <w:rFonts w:ascii="Times New Roman" w:hAnsi="Times New Roman"/>
          <w:sz w:val="24"/>
          <w:szCs w:val="24"/>
        </w:rPr>
        <w:t>variables in our analysis.</w:t>
      </w:r>
      <w:r w:rsidR="00722D6E" w:rsidRPr="00020413">
        <w:rPr>
          <w:rFonts w:ascii="Times New Roman" w:hAnsi="Times New Roman"/>
          <w:sz w:val="24"/>
          <w:szCs w:val="24"/>
        </w:rPr>
        <w:t xml:space="preserve"> These variables </w:t>
      </w:r>
      <w:r w:rsidR="00CA3784" w:rsidRPr="00020413">
        <w:rPr>
          <w:rFonts w:ascii="Times New Roman" w:hAnsi="Times New Roman"/>
          <w:sz w:val="24"/>
          <w:szCs w:val="24"/>
        </w:rPr>
        <w:t>are presented</w:t>
      </w:r>
      <w:r w:rsidR="00A075B7" w:rsidRPr="00020413">
        <w:rPr>
          <w:rFonts w:ascii="Times New Roman" w:hAnsi="Times New Roman"/>
          <w:sz w:val="24"/>
          <w:szCs w:val="24"/>
        </w:rPr>
        <w:t xml:space="preserve"> </w:t>
      </w:r>
      <w:r w:rsidR="00CA3784" w:rsidRPr="00020413">
        <w:rPr>
          <w:rFonts w:ascii="Times New Roman" w:hAnsi="Times New Roman"/>
          <w:sz w:val="24"/>
          <w:szCs w:val="24"/>
        </w:rPr>
        <w:t xml:space="preserve">in </w:t>
      </w:r>
      <w:r w:rsidR="00A075B7" w:rsidRPr="00020413">
        <w:rPr>
          <w:rFonts w:ascii="Times New Roman" w:hAnsi="Times New Roman"/>
          <w:sz w:val="24"/>
          <w:szCs w:val="24"/>
        </w:rPr>
        <w:t xml:space="preserve">Table 1 </w:t>
      </w:r>
      <w:r w:rsidR="002B1729" w:rsidRPr="00020413">
        <w:rPr>
          <w:rFonts w:ascii="Times New Roman" w:hAnsi="Times New Roman"/>
          <w:sz w:val="24"/>
          <w:szCs w:val="24"/>
        </w:rPr>
        <w:t xml:space="preserve">and are </w:t>
      </w:r>
      <w:r w:rsidR="00B95328" w:rsidRPr="00020413">
        <w:rPr>
          <w:rFonts w:ascii="Times New Roman" w:hAnsi="Times New Roman"/>
          <w:sz w:val="24"/>
          <w:szCs w:val="24"/>
        </w:rPr>
        <w:t>discussed below</w:t>
      </w:r>
      <w:r w:rsidR="00E109BC" w:rsidRPr="00020413">
        <w:rPr>
          <w:rFonts w:ascii="Times New Roman" w:hAnsi="Times New Roman"/>
          <w:sz w:val="24"/>
          <w:szCs w:val="24"/>
        </w:rPr>
        <w:t>.</w:t>
      </w:r>
    </w:p>
    <w:p w:rsidR="0073194F" w:rsidRPr="00020413" w:rsidRDefault="001115AB" w:rsidP="00960F87">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73194F" w:rsidRPr="00020413">
        <w:rPr>
          <w:rFonts w:ascii="Times New Roman" w:hAnsi="Times New Roman"/>
          <w:b/>
          <w:sz w:val="24"/>
          <w:szCs w:val="24"/>
        </w:rPr>
        <w:t>.2.1.</w:t>
      </w:r>
      <w:r w:rsidR="00CC240C" w:rsidRPr="00020413">
        <w:rPr>
          <w:rFonts w:ascii="Times New Roman" w:hAnsi="Times New Roman"/>
          <w:b/>
          <w:sz w:val="24"/>
          <w:szCs w:val="24"/>
        </w:rPr>
        <w:t xml:space="preserve"> Credit</w:t>
      </w:r>
      <w:r w:rsidR="0073194F" w:rsidRPr="00020413">
        <w:rPr>
          <w:rFonts w:ascii="Times New Roman" w:hAnsi="Times New Roman"/>
          <w:b/>
          <w:sz w:val="24"/>
          <w:szCs w:val="24"/>
        </w:rPr>
        <w:t xml:space="preserve"> </w:t>
      </w:r>
      <w:r w:rsidR="00405DA4" w:rsidRPr="00020413">
        <w:rPr>
          <w:rFonts w:ascii="Times New Roman" w:hAnsi="Times New Roman"/>
          <w:b/>
          <w:sz w:val="24"/>
          <w:szCs w:val="24"/>
        </w:rPr>
        <w:t>i</w:t>
      </w:r>
      <w:r w:rsidR="0073194F" w:rsidRPr="00020413">
        <w:rPr>
          <w:rFonts w:ascii="Times New Roman" w:hAnsi="Times New Roman"/>
          <w:b/>
          <w:sz w:val="24"/>
          <w:szCs w:val="24"/>
        </w:rPr>
        <w:t xml:space="preserve">nformation </w:t>
      </w:r>
      <w:r w:rsidR="00405DA4" w:rsidRPr="00020413">
        <w:rPr>
          <w:rFonts w:ascii="Times New Roman" w:hAnsi="Times New Roman"/>
          <w:b/>
          <w:sz w:val="24"/>
          <w:szCs w:val="24"/>
        </w:rPr>
        <w:t>s</w:t>
      </w:r>
      <w:r w:rsidR="0073194F" w:rsidRPr="00020413">
        <w:rPr>
          <w:rFonts w:ascii="Times New Roman" w:hAnsi="Times New Roman"/>
          <w:b/>
          <w:sz w:val="24"/>
          <w:szCs w:val="24"/>
        </w:rPr>
        <w:t xml:space="preserve">haring </w:t>
      </w:r>
      <w:r w:rsidR="00466856" w:rsidRPr="00020413">
        <w:rPr>
          <w:rFonts w:ascii="Times New Roman" w:hAnsi="Times New Roman"/>
          <w:b/>
          <w:sz w:val="24"/>
          <w:szCs w:val="24"/>
        </w:rPr>
        <w:t xml:space="preserve">and </w:t>
      </w:r>
      <w:r w:rsidR="00262D41" w:rsidRPr="00020413">
        <w:rPr>
          <w:rFonts w:ascii="Times New Roman" w:hAnsi="Times New Roman"/>
          <w:b/>
          <w:sz w:val="24"/>
          <w:szCs w:val="24"/>
        </w:rPr>
        <w:t>loan default rate</w:t>
      </w:r>
    </w:p>
    <w:p w:rsidR="003B4B19" w:rsidRPr="00020413" w:rsidRDefault="004E7A0A" w:rsidP="00D55D24">
      <w:pPr>
        <w:spacing w:after="120" w:line="360" w:lineRule="auto"/>
        <w:jc w:val="both"/>
        <w:rPr>
          <w:rFonts w:ascii="Times New Roman" w:hAnsi="Times New Roman"/>
          <w:sz w:val="24"/>
          <w:szCs w:val="24"/>
        </w:rPr>
      </w:pPr>
      <w:r w:rsidRPr="00020413">
        <w:rPr>
          <w:rFonts w:ascii="Times New Roman" w:hAnsi="Times New Roman"/>
          <w:sz w:val="24"/>
          <w:szCs w:val="24"/>
        </w:rPr>
        <w:t>Consistent with the emerging empirical literature on the role of information sharing on credit markets (e.g.</w:t>
      </w:r>
      <w:r w:rsidR="0032345A" w:rsidRPr="00020413">
        <w:rPr>
          <w:rFonts w:ascii="Times New Roman" w:hAnsi="Times New Roman"/>
          <w:sz w:val="24"/>
          <w:szCs w:val="24"/>
        </w:rPr>
        <w:t>,</w:t>
      </w:r>
      <w:r w:rsidRPr="00020413">
        <w:rPr>
          <w:rFonts w:ascii="Times New Roman" w:hAnsi="Times New Roman"/>
          <w:sz w:val="24"/>
          <w:szCs w:val="24"/>
        </w:rPr>
        <w:t xml:space="preserve"> Fosu, 2014</w:t>
      </w:r>
      <w:r w:rsidR="00621DA3" w:rsidRPr="00020413">
        <w:rPr>
          <w:rFonts w:ascii="Times New Roman" w:hAnsi="Times New Roman"/>
          <w:sz w:val="24"/>
          <w:szCs w:val="24"/>
        </w:rPr>
        <w:t>; Nana, 2014</w:t>
      </w:r>
      <w:r w:rsidR="00B8103D" w:rsidRPr="00020413">
        <w:rPr>
          <w:rFonts w:ascii="Times New Roman" w:hAnsi="Times New Roman"/>
          <w:sz w:val="24"/>
          <w:szCs w:val="24"/>
        </w:rPr>
        <w:t>;</w:t>
      </w:r>
      <w:r w:rsidR="00B8103D" w:rsidRPr="00020413">
        <w:rPr>
          <w:rFonts w:ascii="Times New Roman" w:hAnsi="Times New Roman"/>
          <w:lang w:val="en-US"/>
        </w:rPr>
        <w:t xml:space="preserve"> </w:t>
      </w:r>
      <w:r w:rsidR="00B8103D" w:rsidRPr="00020413">
        <w:rPr>
          <w:rFonts w:ascii="Times New Roman" w:hAnsi="Times New Roman"/>
          <w:sz w:val="24"/>
          <w:szCs w:val="24"/>
          <w:lang w:val="en-US"/>
        </w:rPr>
        <w:t xml:space="preserve">Kalyvas and </w:t>
      </w:r>
      <w:proofErr w:type="spellStart"/>
      <w:r w:rsidR="00B8103D" w:rsidRPr="00020413">
        <w:rPr>
          <w:rFonts w:ascii="Times New Roman" w:hAnsi="Times New Roman"/>
          <w:sz w:val="24"/>
          <w:szCs w:val="24"/>
          <w:lang w:val="en-US"/>
        </w:rPr>
        <w:t>Mamatzakis</w:t>
      </w:r>
      <w:proofErr w:type="spellEnd"/>
      <w:r w:rsidR="00B8103D" w:rsidRPr="00020413">
        <w:rPr>
          <w:rFonts w:ascii="Times New Roman" w:hAnsi="Times New Roman"/>
          <w:sz w:val="24"/>
          <w:szCs w:val="24"/>
          <w:lang w:val="en-US"/>
        </w:rPr>
        <w:t>, 2017</w:t>
      </w:r>
      <w:r w:rsidR="00B8103D" w:rsidRPr="00020413">
        <w:rPr>
          <w:rFonts w:ascii="Times New Roman" w:hAnsi="Times New Roman"/>
          <w:sz w:val="24"/>
          <w:szCs w:val="24"/>
        </w:rPr>
        <w:t>)</w:t>
      </w:r>
      <w:r w:rsidRPr="00020413">
        <w:rPr>
          <w:rFonts w:ascii="Times New Roman" w:hAnsi="Times New Roman"/>
          <w:sz w:val="24"/>
          <w:szCs w:val="24"/>
        </w:rPr>
        <w:t>, we adopt the d</w:t>
      </w:r>
      <w:r w:rsidR="00CC240C" w:rsidRPr="00020413">
        <w:rPr>
          <w:rFonts w:ascii="Times New Roman" w:hAnsi="Times New Roman"/>
          <w:sz w:val="24"/>
          <w:szCs w:val="24"/>
        </w:rPr>
        <w:t>epth of credit information sharing</w:t>
      </w:r>
      <w:r w:rsidR="00621DA3" w:rsidRPr="00020413">
        <w:rPr>
          <w:rFonts w:ascii="Times New Roman" w:hAnsi="Times New Roman"/>
          <w:sz w:val="24"/>
          <w:szCs w:val="24"/>
        </w:rPr>
        <w:t xml:space="preserve"> index</w:t>
      </w:r>
      <w:r w:rsidR="00CC240C" w:rsidRPr="00020413">
        <w:rPr>
          <w:rFonts w:ascii="Times New Roman" w:hAnsi="Times New Roman"/>
          <w:sz w:val="24"/>
          <w:szCs w:val="24"/>
        </w:rPr>
        <w:t xml:space="preserve"> as our main measure of information sharing</w:t>
      </w:r>
      <w:r w:rsidRPr="00020413">
        <w:rPr>
          <w:rFonts w:ascii="Times New Roman" w:hAnsi="Times New Roman"/>
          <w:sz w:val="24"/>
          <w:szCs w:val="24"/>
        </w:rPr>
        <w:t xml:space="preserve">. </w:t>
      </w:r>
      <w:r w:rsidR="00621DA3" w:rsidRPr="00020413">
        <w:rPr>
          <w:rFonts w:ascii="Times New Roman" w:hAnsi="Times New Roman"/>
          <w:sz w:val="24"/>
          <w:szCs w:val="24"/>
        </w:rPr>
        <w:t xml:space="preserve">This index </w:t>
      </w:r>
      <w:r w:rsidR="000F7B31" w:rsidRPr="00020413">
        <w:rPr>
          <w:rFonts w:ascii="Times New Roman" w:hAnsi="Times New Roman"/>
          <w:sz w:val="24"/>
          <w:szCs w:val="24"/>
        </w:rPr>
        <w:t>“</w:t>
      </w:r>
      <w:r w:rsidR="00992420" w:rsidRPr="00020413">
        <w:rPr>
          <w:rFonts w:ascii="Times New Roman" w:hAnsi="Times New Roman"/>
          <w:bCs/>
          <w:i/>
          <w:iCs/>
          <w:sz w:val="24"/>
          <w:szCs w:val="24"/>
        </w:rPr>
        <w:t>measures rules and practices affecting the coverage, scope and accessibility of credit information available through either a public credit registry or a private credit bureau</w:t>
      </w:r>
      <w:r w:rsidR="000F7B31" w:rsidRPr="00020413">
        <w:rPr>
          <w:rFonts w:ascii="Times New Roman" w:hAnsi="Times New Roman"/>
          <w:bCs/>
          <w:sz w:val="24"/>
          <w:szCs w:val="24"/>
        </w:rPr>
        <w:t>”</w:t>
      </w:r>
      <w:r w:rsidR="00992420" w:rsidRPr="00020413">
        <w:rPr>
          <w:rFonts w:ascii="Times New Roman" w:hAnsi="Times New Roman"/>
          <w:bCs/>
          <w:sz w:val="24"/>
          <w:szCs w:val="24"/>
        </w:rPr>
        <w:t xml:space="preserve"> (</w:t>
      </w:r>
      <w:r w:rsidR="00E56A06" w:rsidRPr="00020413">
        <w:rPr>
          <w:rFonts w:ascii="Times New Roman" w:hAnsi="Times New Roman"/>
          <w:bCs/>
          <w:sz w:val="24"/>
          <w:szCs w:val="24"/>
        </w:rPr>
        <w:t xml:space="preserve">World Bank </w:t>
      </w:r>
      <w:r w:rsidR="00992420" w:rsidRPr="00020413">
        <w:rPr>
          <w:rFonts w:ascii="Times New Roman" w:hAnsi="Times New Roman"/>
          <w:bCs/>
          <w:sz w:val="24"/>
          <w:szCs w:val="24"/>
        </w:rPr>
        <w:t>Doing Business, 2016)</w:t>
      </w:r>
      <w:r w:rsidR="00045F5D" w:rsidRPr="00020413">
        <w:rPr>
          <w:rStyle w:val="FootnoteReference"/>
          <w:rFonts w:ascii="Times New Roman" w:hAnsi="Times New Roman"/>
          <w:bCs/>
          <w:sz w:val="24"/>
          <w:szCs w:val="24"/>
        </w:rPr>
        <w:footnoteReference w:id="6"/>
      </w:r>
      <w:r w:rsidR="00992420" w:rsidRPr="00020413">
        <w:rPr>
          <w:rFonts w:ascii="Times New Roman" w:hAnsi="Times New Roman"/>
          <w:sz w:val="24"/>
          <w:szCs w:val="24"/>
        </w:rPr>
        <w:t>.</w:t>
      </w:r>
      <w:r w:rsidR="00D52EE3" w:rsidRPr="00020413">
        <w:rPr>
          <w:rFonts w:ascii="Times New Roman" w:hAnsi="Times New Roman"/>
          <w:sz w:val="24"/>
          <w:szCs w:val="24"/>
        </w:rPr>
        <w:t xml:space="preserve"> </w:t>
      </w:r>
      <w:r w:rsidR="004649EF" w:rsidRPr="00020413">
        <w:rPr>
          <w:rFonts w:ascii="Times New Roman" w:hAnsi="Times New Roman"/>
          <w:sz w:val="24"/>
          <w:szCs w:val="24"/>
        </w:rPr>
        <w:t xml:space="preserve">The index is constructed </w:t>
      </w:r>
      <w:r w:rsidR="000C3062" w:rsidRPr="00020413">
        <w:rPr>
          <w:rFonts w:ascii="Times New Roman" w:hAnsi="Times New Roman"/>
          <w:sz w:val="24"/>
          <w:szCs w:val="24"/>
        </w:rPr>
        <w:t xml:space="preserve">by the World Bank </w:t>
      </w:r>
      <w:r w:rsidR="004649EF" w:rsidRPr="00020413">
        <w:rPr>
          <w:rFonts w:ascii="Times New Roman" w:hAnsi="Times New Roman"/>
          <w:sz w:val="24"/>
          <w:szCs w:val="24"/>
        </w:rPr>
        <w:t xml:space="preserve">in two stages. First, banking supervision authorities and other public sources </w:t>
      </w:r>
      <w:r w:rsidR="004A2D98" w:rsidRPr="00020413">
        <w:rPr>
          <w:rFonts w:ascii="Times New Roman" w:hAnsi="Times New Roman"/>
          <w:sz w:val="24"/>
          <w:szCs w:val="24"/>
        </w:rPr>
        <w:t>(e.g.</w:t>
      </w:r>
      <w:r w:rsidR="00A67931" w:rsidRPr="00020413">
        <w:rPr>
          <w:rFonts w:ascii="Times New Roman" w:hAnsi="Times New Roman"/>
          <w:sz w:val="24"/>
          <w:szCs w:val="24"/>
        </w:rPr>
        <w:t>,</w:t>
      </w:r>
      <w:r w:rsidR="004A2D98" w:rsidRPr="00020413">
        <w:rPr>
          <w:rFonts w:ascii="Times New Roman" w:hAnsi="Times New Roman"/>
          <w:sz w:val="24"/>
          <w:szCs w:val="24"/>
        </w:rPr>
        <w:t xml:space="preserve"> government officials) </w:t>
      </w:r>
      <w:r w:rsidR="004649EF" w:rsidRPr="00020413">
        <w:rPr>
          <w:rFonts w:ascii="Times New Roman" w:hAnsi="Times New Roman"/>
          <w:sz w:val="24"/>
          <w:szCs w:val="24"/>
        </w:rPr>
        <w:t xml:space="preserve">are surveyed to confirm the presence of public credit registries and private credit bureaus. </w:t>
      </w:r>
      <w:r w:rsidR="000C3062" w:rsidRPr="00020413">
        <w:rPr>
          <w:rFonts w:ascii="Times New Roman" w:hAnsi="Times New Roman"/>
          <w:sz w:val="24"/>
          <w:szCs w:val="24"/>
        </w:rPr>
        <w:t>Second, a detailed survey about their structure, law, and associated rules is administered to the registry or bureau.</w:t>
      </w:r>
      <w:r w:rsidR="004649EF" w:rsidRPr="00020413">
        <w:rPr>
          <w:rFonts w:ascii="Times New Roman" w:hAnsi="Times New Roman"/>
          <w:sz w:val="24"/>
          <w:szCs w:val="24"/>
        </w:rPr>
        <w:t xml:space="preserve"> </w:t>
      </w:r>
      <w:r w:rsidR="00992420" w:rsidRPr="00020413">
        <w:rPr>
          <w:rFonts w:ascii="Times New Roman" w:hAnsi="Times New Roman"/>
          <w:sz w:val="24"/>
          <w:szCs w:val="24"/>
        </w:rPr>
        <w:t xml:space="preserve"> </w:t>
      </w:r>
      <w:r w:rsidR="001D2181" w:rsidRPr="00020413">
        <w:rPr>
          <w:rFonts w:ascii="Times New Roman" w:hAnsi="Times New Roman"/>
          <w:sz w:val="24"/>
          <w:szCs w:val="24"/>
        </w:rPr>
        <w:t>Over our sample period, t</w:t>
      </w:r>
      <w:r w:rsidR="00992420" w:rsidRPr="00020413">
        <w:rPr>
          <w:rFonts w:ascii="Times New Roman" w:hAnsi="Times New Roman"/>
          <w:sz w:val="24"/>
          <w:szCs w:val="24"/>
        </w:rPr>
        <w:t xml:space="preserve">he index ranges from 0 to </w:t>
      </w:r>
      <w:r w:rsidR="001D2181" w:rsidRPr="00020413">
        <w:rPr>
          <w:rFonts w:ascii="Times New Roman" w:hAnsi="Times New Roman"/>
          <w:sz w:val="24"/>
          <w:szCs w:val="24"/>
        </w:rPr>
        <w:t>6</w:t>
      </w:r>
      <w:r w:rsidR="00621DA3" w:rsidRPr="00020413">
        <w:rPr>
          <w:rFonts w:ascii="Times New Roman" w:hAnsi="Times New Roman"/>
          <w:sz w:val="24"/>
          <w:szCs w:val="24"/>
        </w:rPr>
        <w:t xml:space="preserve">, </w:t>
      </w:r>
      <w:r w:rsidR="00354921" w:rsidRPr="00020413">
        <w:rPr>
          <w:rFonts w:ascii="Times New Roman" w:hAnsi="Times New Roman"/>
          <w:sz w:val="24"/>
          <w:szCs w:val="24"/>
        </w:rPr>
        <w:t>where</w:t>
      </w:r>
      <w:r w:rsidR="00621DA3" w:rsidRPr="00020413">
        <w:rPr>
          <w:rFonts w:ascii="Times New Roman" w:hAnsi="Times New Roman"/>
          <w:sz w:val="24"/>
          <w:szCs w:val="24"/>
        </w:rPr>
        <w:t xml:space="preserve"> higher values indicat</w:t>
      </w:r>
      <w:r w:rsidR="00354921" w:rsidRPr="00020413">
        <w:rPr>
          <w:rFonts w:ascii="Times New Roman" w:hAnsi="Times New Roman"/>
          <w:sz w:val="24"/>
          <w:szCs w:val="24"/>
        </w:rPr>
        <w:t>e</w:t>
      </w:r>
      <w:r w:rsidR="00621DA3" w:rsidRPr="00020413">
        <w:rPr>
          <w:rFonts w:ascii="Times New Roman" w:hAnsi="Times New Roman"/>
          <w:sz w:val="24"/>
          <w:szCs w:val="24"/>
        </w:rPr>
        <w:t xml:space="preserve"> </w:t>
      </w:r>
      <w:r w:rsidR="00354921" w:rsidRPr="00020413">
        <w:rPr>
          <w:rFonts w:ascii="Times New Roman" w:hAnsi="Times New Roman"/>
          <w:sz w:val="24"/>
          <w:szCs w:val="24"/>
        </w:rPr>
        <w:t xml:space="preserve">the </w:t>
      </w:r>
      <w:r w:rsidR="00C42A8B" w:rsidRPr="00020413">
        <w:rPr>
          <w:rFonts w:ascii="Times New Roman" w:hAnsi="Times New Roman"/>
          <w:sz w:val="24"/>
          <w:szCs w:val="24"/>
        </w:rPr>
        <w:t>a</w:t>
      </w:r>
      <w:r w:rsidR="00354921" w:rsidRPr="00020413">
        <w:rPr>
          <w:rFonts w:ascii="Times New Roman" w:hAnsi="Times New Roman"/>
          <w:sz w:val="24"/>
          <w:szCs w:val="24"/>
        </w:rPr>
        <w:t>vailability of more credit information to help in lending decision</w:t>
      </w:r>
      <w:r w:rsidR="0028099D" w:rsidRPr="00020413">
        <w:rPr>
          <w:rFonts w:ascii="Times New Roman" w:hAnsi="Times New Roman"/>
          <w:sz w:val="24"/>
          <w:szCs w:val="24"/>
        </w:rPr>
        <w:t>s</w:t>
      </w:r>
      <w:r w:rsidR="00C42A8B" w:rsidRPr="00020413">
        <w:rPr>
          <w:rFonts w:ascii="Times New Roman" w:hAnsi="Times New Roman"/>
          <w:sz w:val="24"/>
          <w:szCs w:val="24"/>
        </w:rPr>
        <w:t>.</w:t>
      </w:r>
      <w:r w:rsidR="00354921" w:rsidRPr="00020413">
        <w:rPr>
          <w:rFonts w:ascii="Times New Roman" w:hAnsi="Times New Roman"/>
          <w:sz w:val="24"/>
          <w:szCs w:val="24"/>
        </w:rPr>
        <w:t xml:space="preserve"> </w:t>
      </w:r>
      <w:r w:rsidR="000E152C" w:rsidRPr="00020413">
        <w:rPr>
          <w:rFonts w:ascii="Times New Roman" w:hAnsi="Times New Roman"/>
          <w:sz w:val="24"/>
          <w:szCs w:val="24"/>
        </w:rPr>
        <w:t xml:space="preserve">An </w:t>
      </w:r>
      <w:r w:rsidR="00354921" w:rsidRPr="00020413">
        <w:rPr>
          <w:rFonts w:ascii="Times New Roman" w:hAnsi="Times New Roman"/>
          <w:sz w:val="24"/>
          <w:szCs w:val="24"/>
        </w:rPr>
        <w:t xml:space="preserve">index </w:t>
      </w:r>
      <w:r w:rsidR="005B1138" w:rsidRPr="00020413">
        <w:rPr>
          <w:rFonts w:ascii="Times New Roman" w:hAnsi="Times New Roman"/>
          <w:sz w:val="24"/>
          <w:szCs w:val="24"/>
        </w:rPr>
        <w:t>of zero</w:t>
      </w:r>
      <w:r w:rsidR="00DF3B30" w:rsidRPr="00020413">
        <w:rPr>
          <w:rFonts w:ascii="Times New Roman" w:hAnsi="Times New Roman"/>
          <w:sz w:val="24"/>
          <w:szCs w:val="24"/>
        </w:rPr>
        <w:t xml:space="preserve"> </w:t>
      </w:r>
      <w:r w:rsidR="00354921" w:rsidRPr="00020413">
        <w:rPr>
          <w:rFonts w:ascii="Times New Roman" w:hAnsi="Times New Roman"/>
          <w:sz w:val="24"/>
          <w:szCs w:val="24"/>
        </w:rPr>
        <w:t xml:space="preserve">means that the </w:t>
      </w:r>
      <w:r w:rsidR="006771C0" w:rsidRPr="00020413">
        <w:rPr>
          <w:rFonts w:ascii="Times New Roman" w:hAnsi="Times New Roman"/>
          <w:sz w:val="24"/>
          <w:szCs w:val="24"/>
        </w:rPr>
        <w:t xml:space="preserve">public </w:t>
      </w:r>
      <w:r w:rsidR="00354921" w:rsidRPr="00020413">
        <w:rPr>
          <w:rFonts w:ascii="Times New Roman" w:hAnsi="Times New Roman"/>
          <w:sz w:val="24"/>
          <w:szCs w:val="24"/>
        </w:rPr>
        <w:t xml:space="preserve">credit registry or private credit bureau is </w:t>
      </w:r>
      <w:r w:rsidR="00950AEE" w:rsidRPr="00020413">
        <w:rPr>
          <w:rFonts w:ascii="Times New Roman" w:hAnsi="Times New Roman"/>
          <w:sz w:val="24"/>
          <w:szCs w:val="24"/>
        </w:rPr>
        <w:t>non-operational,</w:t>
      </w:r>
      <w:r w:rsidR="005B1138" w:rsidRPr="00020413">
        <w:rPr>
          <w:rFonts w:ascii="Times New Roman" w:hAnsi="Times New Roman"/>
          <w:sz w:val="24"/>
          <w:szCs w:val="24"/>
        </w:rPr>
        <w:t xml:space="preserve"> or its coverage falls below</w:t>
      </w:r>
      <w:r w:rsidR="00DF3B30" w:rsidRPr="00020413">
        <w:rPr>
          <w:rFonts w:ascii="Times New Roman" w:hAnsi="Times New Roman"/>
          <w:sz w:val="24"/>
          <w:szCs w:val="24"/>
        </w:rPr>
        <w:t xml:space="preserve"> </w:t>
      </w:r>
      <w:r w:rsidR="00A947E5" w:rsidRPr="00020413">
        <w:rPr>
          <w:rFonts w:ascii="Times New Roman" w:hAnsi="Times New Roman"/>
          <w:sz w:val="24"/>
          <w:szCs w:val="24"/>
        </w:rPr>
        <w:t>0.</w:t>
      </w:r>
      <w:r w:rsidR="00354921" w:rsidRPr="00020413">
        <w:rPr>
          <w:rFonts w:ascii="Times New Roman" w:hAnsi="Times New Roman"/>
          <w:sz w:val="24"/>
          <w:szCs w:val="24"/>
        </w:rPr>
        <w:t>1% of the adult population.</w:t>
      </w:r>
      <w:r w:rsidR="00611F87" w:rsidRPr="00020413">
        <w:rPr>
          <w:rFonts w:ascii="Times New Roman" w:hAnsi="Times New Roman"/>
          <w:sz w:val="24"/>
          <w:szCs w:val="24"/>
        </w:rPr>
        <w:t xml:space="preserve"> </w:t>
      </w:r>
      <w:r w:rsidR="00373646" w:rsidRPr="00020413">
        <w:rPr>
          <w:rFonts w:ascii="Times New Roman" w:hAnsi="Times New Roman"/>
          <w:sz w:val="24"/>
          <w:szCs w:val="24"/>
        </w:rPr>
        <w:t xml:space="preserve">By contrast, the maximum score of six is assigned to a country that has an operational credit registry or private credit bureau </w:t>
      </w:r>
      <w:r w:rsidR="008018CB" w:rsidRPr="00020413">
        <w:rPr>
          <w:rFonts w:ascii="Times New Roman" w:hAnsi="Times New Roman"/>
          <w:sz w:val="24"/>
          <w:szCs w:val="24"/>
        </w:rPr>
        <w:t xml:space="preserve">(and covers at least 0.1% of the adult population) </w:t>
      </w:r>
      <w:r w:rsidR="00373646" w:rsidRPr="00020413">
        <w:rPr>
          <w:rFonts w:ascii="Times New Roman" w:hAnsi="Times New Roman"/>
          <w:sz w:val="24"/>
          <w:szCs w:val="24"/>
        </w:rPr>
        <w:t xml:space="preserve">in addition to </w:t>
      </w:r>
      <w:r w:rsidR="00BD37A1" w:rsidRPr="00020413">
        <w:rPr>
          <w:rFonts w:ascii="Times New Roman" w:hAnsi="Times New Roman"/>
          <w:sz w:val="24"/>
          <w:szCs w:val="24"/>
        </w:rPr>
        <w:t xml:space="preserve">the following </w:t>
      </w:r>
      <w:r w:rsidR="00373646" w:rsidRPr="00020413">
        <w:rPr>
          <w:rFonts w:ascii="Times New Roman" w:hAnsi="Times New Roman"/>
          <w:sz w:val="24"/>
          <w:szCs w:val="24"/>
        </w:rPr>
        <w:t xml:space="preserve">five pieces of </w:t>
      </w:r>
      <w:r w:rsidR="00BD37A1" w:rsidRPr="00020413">
        <w:rPr>
          <w:rFonts w:ascii="Times New Roman" w:hAnsi="Times New Roman"/>
          <w:sz w:val="24"/>
          <w:szCs w:val="24"/>
        </w:rPr>
        <w:t xml:space="preserve">information: (i) both positive and negative information; (ii) </w:t>
      </w:r>
      <w:r w:rsidR="00E37919" w:rsidRPr="00020413">
        <w:rPr>
          <w:rFonts w:ascii="Times New Roman" w:hAnsi="Times New Roman"/>
          <w:sz w:val="24"/>
          <w:szCs w:val="24"/>
        </w:rPr>
        <w:t>data on households and firms; (iii) data on retailers and utility providers as well as financial institutions; (iv)</w:t>
      </w:r>
      <w:r w:rsidR="00B50D20" w:rsidRPr="00020413">
        <w:rPr>
          <w:rFonts w:ascii="Times New Roman" w:hAnsi="Times New Roman"/>
          <w:sz w:val="24"/>
          <w:szCs w:val="24"/>
        </w:rPr>
        <w:t xml:space="preserve"> more than 2 years of data; and (v)</w:t>
      </w:r>
      <w:r w:rsidR="005B1138" w:rsidRPr="00020413">
        <w:rPr>
          <w:rFonts w:ascii="Times New Roman" w:hAnsi="Times New Roman"/>
          <w:sz w:val="24"/>
          <w:szCs w:val="24"/>
        </w:rPr>
        <w:t xml:space="preserve"> data on loans below 1% of income per capita.</w:t>
      </w:r>
      <w:r w:rsidR="00BD37A1" w:rsidRPr="00020413">
        <w:rPr>
          <w:rFonts w:ascii="Times New Roman" w:hAnsi="Times New Roman"/>
          <w:sz w:val="24"/>
          <w:szCs w:val="24"/>
        </w:rPr>
        <w:t xml:space="preserve"> </w:t>
      </w:r>
      <w:r w:rsidR="00CA3784" w:rsidRPr="00020413">
        <w:rPr>
          <w:rFonts w:ascii="Times New Roman" w:hAnsi="Times New Roman"/>
          <w:sz w:val="24"/>
          <w:szCs w:val="24"/>
        </w:rPr>
        <w:t>Thus</w:t>
      </w:r>
      <w:r w:rsidR="000B4819" w:rsidRPr="00020413">
        <w:rPr>
          <w:rFonts w:ascii="Times New Roman" w:hAnsi="Times New Roman"/>
          <w:sz w:val="24"/>
          <w:szCs w:val="24"/>
        </w:rPr>
        <w:t xml:space="preserve">, </w:t>
      </w:r>
      <w:r w:rsidR="00EE7D06" w:rsidRPr="00020413">
        <w:rPr>
          <w:rFonts w:ascii="Times New Roman" w:hAnsi="Times New Roman"/>
          <w:sz w:val="24"/>
          <w:szCs w:val="24"/>
        </w:rPr>
        <w:t>an</w:t>
      </w:r>
      <w:r w:rsidR="000B4819" w:rsidRPr="00020413">
        <w:rPr>
          <w:rFonts w:ascii="Times New Roman" w:hAnsi="Times New Roman"/>
          <w:sz w:val="24"/>
          <w:szCs w:val="24"/>
        </w:rPr>
        <w:t xml:space="preserve"> index </w:t>
      </w:r>
      <w:r w:rsidR="00EE7D06" w:rsidRPr="00020413">
        <w:rPr>
          <w:rFonts w:ascii="Times New Roman" w:hAnsi="Times New Roman"/>
          <w:sz w:val="24"/>
          <w:szCs w:val="24"/>
        </w:rPr>
        <w:t xml:space="preserve">of </w:t>
      </w:r>
      <w:r w:rsidR="00155D2B" w:rsidRPr="00020413">
        <w:rPr>
          <w:rFonts w:ascii="Times New Roman" w:hAnsi="Times New Roman"/>
          <w:sz w:val="24"/>
          <w:szCs w:val="24"/>
        </w:rPr>
        <w:t xml:space="preserve">2 and above </w:t>
      </w:r>
      <w:r w:rsidR="000B4819" w:rsidRPr="00020413">
        <w:rPr>
          <w:rFonts w:ascii="Times New Roman" w:hAnsi="Times New Roman"/>
          <w:sz w:val="24"/>
          <w:szCs w:val="24"/>
        </w:rPr>
        <w:t xml:space="preserve">does not merely indicate the </w:t>
      </w:r>
      <w:r w:rsidR="000B4819" w:rsidRPr="00020413">
        <w:rPr>
          <w:rFonts w:ascii="Times New Roman" w:hAnsi="Times New Roman"/>
          <w:sz w:val="24"/>
          <w:szCs w:val="24"/>
        </w:rPr>
        <w:lastRenderedPageBreak/>
        <w:t xml:space="preserve">presence of a credit information sharing system in a </w:t>
      </w:r>
      <w:r w:rsidR="00D60F3D" w:rsidRPr="00020413">
        <w:rPr>
          <w:rFonts w:ascii="Times New Roman" w:hAnsi="Times New Roman"/>
          <w:sz w:val="24"/>
          <w:szCs w:val="24"/>
        </w:rPr>
        <w:t>country but</w:t>
      </w:r>
      <w:r w:rsidR="000B4819" w:rsidRPr="00020413">
        <w:rPr>
          <w:rFonts w:ascii="Times New Roman" w:hAnsi="Times New Roman"/>
          <w:sz w:val="24"/>
          <w:szCs w:val="24"/>
        </w:rPr>
        <w:t xml:space="preserve"> cap</w:t>
      </w:r>
      <w:r w:rsidR="00570080" w:rsidRPr="00020413">
        <w:rPr>
          <w:rFonts w:ascii="Times New Roman" w:hAnsi="Times New Roman"/>
          <w:sz w:val="24"/>
          <w:szCs w:val="24"/>
        </w:rPr>
        <w:t>tures the quality (depth) of a</w:t>
      </w:r>
      <w:r w:rsidR="000B4819" w:rsidRPr="00020413">
        <w:rPr>
          <w:rFonts w:ascii="Times New Roman" w:hAnsi="Times New Roman"/>
          <w:sz w:val="24"/>
          <w:szCs w:val="24"/>
        </w:rPr>
        <w:t xml:space="preserve"> </w:t>
      </w:r>
      <w:r w:rsidR="008018CB" w:rsidRPr="00020413">
        <w:rPr>
          <w:rFonts w:ascii="Times New Roman" w:hAnsi="Times New Roman"/>
          <w:sz w:val="24"/>
          <w:szCs w:val="24"/>
        </w:rPr>
        <w:t xml:space="preserve">country’s </w:t>
      </w:r>
      <w:r w:rsidR="000B4819" w:rsidRPr="00020413">
        <w:rPr>
          <w:rFonts w:ascii="Times New Roman" w:hAnsi="Times New Roman"/>
          <w:sz w:val="24"/>
          <w:szCs w:val="24"/>
        </w:rPr>
        <w:t>credit information sharing in</w:t>
      </w:r>
      <w:r w:rsidR="00155D2B" w:rsidRPr="00020413">
        <w:rPr>
          <w:rFonts w:ascii="Times New Roman" w:hAnsi="Times New Roman"/>
          <w:sz w:val="24"/>
          <w:szCs w:val="24"/>
        </w:rPr>
        <w:t>frastructure</w:t>
      </w:r>
      <w:r w:rsidR="000B4819" w:rsidRPr="00020413">
        <w:rPr>
          <w:rFonts w:ascii="Times New Roman" w:hAnsi="Times New Roman"/>
          <w:sz w:val="24"/>
          <w:szCs w:val="24"/>
        </w:rPr>
        <w:t>.</w:t>
      </w:r>
      <w:r w:rsidR="00155D2B" w:rsidRPr="00020413">
        <w:rPr>
          <w:rFonts w:ascii="Times New Roman" w:hAnsi="Times New Roman"/>
          <w:sz w:val="24"/>
          <w:szCs w:val="24"/>
        </w:rPr>
        <w:t xml:space="preserve"> </w:t>
      </w:r>
      <w:r w:rsidR="000B4819" w:rsidRPr="00020413">
        <w:rPr>
          <w:rFonts w:ascii="Times New Roman" w:hAnsi="Times New Roman"/>
          <w:sz w:val="24"/>
          <w:szCs w:val="24"/>
        </w:rPr>
        <w:t xml:space="preserve"> </w:t>
      </w:r>
    </w:p>
    <w:p w:rsidR="00E109BC" w:rsidRPr="00020413" w:rsidRDefault="00CA3784" w:rsidP="00D55D24">
      <w:pPr>
        <w:spacing w:after="120" w:line="360" w:lineRule="auto"/>
        <w:jc w:val="both"/>
        <w:rPr>
          <w:rFonts w:ascii="Times New Roman" w:hAnsi="Times New Roman"/>
          <w:b/>
          <w:bCs/>
          <w:sz w:val="24"/>
          <w:szCs w:val="24"/>
        </w:rPr>
      </w:pPr>
      <w:r w:rsidRPr="00020413">
        <w:rPr>
          <w:rFonts w:ascii="Times New Roman" w:hAnsi="Times New Roman"/>
          <w:sz w:val="24"/>
          <w:szCs w:val="24"/>
        </w:rPr>
        <w:t>For our</w:t>
      </w:r>
      <w:r w:rsidR="000F7B31" w:rsidRPr="00020413">
        <w:rPr>
          <w:rFonts w:ascii="Times New Roman" w:hAnsi="Times New Roman"/>
          <w:sz w:val="24"/>
          <w:szCs w:val="24"/>
        </w:rPr>
        <w:t xml:space="preserve"> </w:t>
      </w:r>
      <w:r w:rsidR="00F96201" w:rsidRPr="00020413">
        <w:rPr>
          <w:rFonts w:ascii="Times New Roman" w:hAnsi="Times New Roman"/>
          <w:sz w:val="24"/>
          <w:szCs w:val="24"/>
        </w:rPr>
        <w:t>robustness check</w:t>
      </w:r>
      <w:r w:rsidR="006D74F5" w:rsidRPr="00020413">
        <w:rPr>
          <w:rFonts w:ascii="Times New Roman" w:hAnsi="Times New Roman"/>
          <w:sz w:val="24"/>
          <w:szCs w:val="24"/>
        </w:rPr>
        <w:t>s</w:t>
      </w:r>
      <w:r w:rsidR="00F96201" w:rsidRPr="00020413">
        <w:rPr>
          <w:rFonts w:ascii="Times New Roman" w:hAnsi="Times New Roman"/>
          <w:sz w:val="24"/>
          <w:szCs w:val="24"/>
        </w:rPr>
        <w:t xml:space="preserve">, </w:t>
      </w:r>
      <w:r w:rsidR="0096787E" w:rsidRPr="00020413">
        <w:rPr>
          <w:rFonts w:ascii="Times New Roman" w:hAnsi="Times New Roman"/>
          <w:sz w:val="24"/>
          <w:szCs w:val="24"/>
        </w:rPr>
        <w:t xml:space="preserve">we adopt </w:t>
      </w:r>
      <w:r w:rsidR="00F96201" w:rsidRPr="00020413">
        <w:rPr>
          <w:rFonts w:ascii="Times New Roman" w:hAnsi="Times New Roman"/>
          <w:sz w:val="24"/>
          <w:szCs w:val="24"/>
        </w:rPr>
        <w:t xml:space="preserve">two other measures of </w:t>
      </w:r>
      <w:r w:rsidR="0096787E" w:rsidRPr="00020413">
        <w:rPr>
          <w:rFonts w:ascii="Times New Roman" w:hAnsi="Times New Roman"/>
          <w:sz w:val="24"/>
          <w:szCs w:val="24"/>
        </w:rPr>
        <w:t>credit information sharing</w:t>
      </w:r>
      <w:r w:rsidR="00F96201" w:rsidRPr="00020413">
        <w:rPr>
          <w:rFonts w:ascii="Times New Roman" w:hAnsi="Times New Roman"/>
          <w:sz w:val="24"/>
          <w:szCs w:val="24"/>
        </w:rPr>
        <w:t xml:space="preserve">. These are credit registry </w:t>
      </w:r>
      <w:r w:rsidR="00D654D4" w:rsidRPr="00020413">
        <w:rPr>
          <w:rFonts w:ascii="Times New Roman" w:hAnsi="Times New Roman"/>
          <w:sz w:val="24"/>
          <w:szCs w:val="24"/>
        </w:rPr>
        <w:t xml:space="preserve">(public) </w:t>
      </w:r>
      <w:r w:rsidR="00F96201" w:rsidRPr="00020413">
        <w:rPr>
          <w:rFonts w:ascii="Times New Roman" w:hAnsi="Times New Roman"/>
          <w:sz w:val="24"/>
          <w:szCs w:val="24"/>
        </w:rPr>
        <w:t xml:space="preserve">coverage and credit bureau </w:t>
      </w:r>
      <w:r w:rsidR="00D654D4" w:rsidRPr="00020413">
        <w:rPr>
          <w:rFonts w:ascii="Times New Roman" w:hAnsi="Times New Roman"/>
          <w:sz w:val="24"/>
          <w:szCs w:val="24"/>
        </w:rPr>
        <w:t xml:space="preserve">(private) </w:t>
      </w:r>
      <w:r w:rsidR="00F96201" w:rsidRPr="00020413">
        <w:rPr>
          <w:rFonts w:ascii="Times New Roman" w:hAnsi="Times New Roman"/>
          <w:sz w:val="24"/>
          <w:szCs w:val="24"/>
        </w:rPr>
        <w:t>coverage</w:t>
      </w:r>
      <w:r w:rsidRPr="00020413">
        <w:rPr>
          <w:rFonts w:ascii="Times New Roman" w:hAnsi="Times New Roman"/>
          <w:sz w:val="24"/>
          <w:szCs w:val="24"/>
        </w:rPr>
        <w:t xml:space="preserve">, both </w:t>
      </w:r>
      <w:r w:rsidRPr="00020413">
        <w:rPr>
          <w:rFonts w:ascii="Times New Roman" w:hAnsi="Times New Roman"/>
          <w:bCs/>
          <w:sz w:val="24"/>
          <w:szCs w:val="24"/>
        </w:rPr>
        <w:t>expressed as a percentage of the adult population</w:t>
      </w:r>
      <w:r w:rsidR="00F13953" w:rsidRPr="00020413">
        <w:rPr>
          <w:rFonts w:ascii="Times New Roman" w:hAnsi="Times New Roman"/>
          <w:sz w:val="24"/>
          <w:szCs w:val="24"/>
        </w:rPr>
        <w:t>.</w:t>
      </w:r>
      <w:r w:rsidR="00992420" w:rsidRPr="00020413">
        <w:rPr>
          <w:rFonts w:ascii="Times New Roman" w:hAnsi="Times New Roman"/>
          <w:sz w:val="24"/>
          <w:szCs w:val="24"/>
        </w:rPr>
        <w:t xml:space="preserve"> Credit registry coverage </w:t>
      </w:r>
      <w:r w:rsidR="00BA5E76" w:rsidRPr="00020413">
        <w:rPr>
          <w:rFonts w:ascii="Times New Roman" w:hAnsi="Times New Roman"/>
          <w:bCs/>
          <w:sz w:val="24"/>
          <w:szCs w:val="24"/>
        </w:rPr>
        <w:t xml:space="preserve">measures the </w:t>
      </w:r>
      <w:r w:rsidR="0076224B" w:rsidRPr="00020413">
        <w:rPr>
          <w:rFonts w:ascii="Times New Roman" w:hAnsi="Times New Roman"/>
          <w:bCs/>
          <w:sz w:val="24"/>
          <w:szCs w:val="24"/>
        </w:rPr>
        <w:t>number of individuals and firms listed by a public credit registry concerning the informa</w:t>
      </w:r>
      <w:r w:rsidR="006D74F5" w:rsidRPr="00020413">
        <w:rPr>
          <w:rFonts w:ascii="Times New Roman" w:hAnsi="Times New Roman"/>
          <w:bCs/>
          <w:sz w:val="24"/>
          <w:szCs w:val="24"/>
        </w:rPr>
        <w:t>tion on their borrowing and credit history</w:t>
      </w:r>
      <w:r w:rsidR="00EE56D0" w:rsidRPr="00020413">
        <w:rPr>
          <w:rFonts w:ascii="Times New Roman" w:hAnsi="Times New Roman"/>
          <w:bCs/>
          <w:sz w:val="24"/>
          <w:szCs w:val="24"/>
        </w:rPr>
        <w:t xml:space="preserve"> </w:t>
      </w:r>
      <w:r w:rsidR="00057BC2" w:rsidRPr="00020413">
        <w:rPr>
          <w:rFonts w:ascii="Times New Roman" w:hAnsi="Times New Roman"/>
          <w:bCs/>
          <w:sz w:val="24"/>
          <w:szCs w:val="24"/>
        </w:rPr>
        <w:t>(e.g.</w:t>
      </w:r>
      <w:r w:rsidR="00A67931" w:rsidRPr="00020413">
        <w:rPr>
          <w:rFonts w:ascii="Times New Roman" w:hAnsi="Times New Roman"/>
          <w:bCs/>
          <w:sz w:val="24"/>
          <w:szCs w:val="24"/>
        </w:rPr>
        <w:t>,</w:t>
      </w:r>
      <w:r w:rsidR="00EE56D0" w:rsidRPr="00020413">
        <w:rPr>
          <w:rFonts w:ascii="Times New Roman" w:hAnsi="Times New Roman"/>
          <w:bCs/>
          <w:sz w:val="24"/>
          <w:szCs w:val="24"/>
        </w:rPr>
        <w:t xml:space="preserve"> repayment history, unpaid debts, or credit outstanding</w:t>
      </w:r>
      <w:r w:rsidR="00057BC2" w:rsidRPr="00020413">
        <w:rPr>
          <w:rFonts w:ascii="Times New Roman" w:hAnsi="Times New Roman"/>
          <w:bCs/>
          <w:sz w:val="24"/>
          <w:szCs w:val="24"/>
        </w:rPr>
        <w:t xml:space="preserve">) </w:t>
      </w:r>
      <w:r w:rsidR="0076224B" w:rsidRPr="00020413">
        <w:rPr>
          <w:rFonts w:ascii="Times New Roman" w:hAnsi="Times New Roman"/>
          <w:bCs/>
          <w:sz w:val="24"/>
          <w:szCs w:val="24"/>
        </w:rPr>
        <w:t>for the past five years</w:t>
      </w:r>
      <w:r w:rsidR="00005A62" w:rsidRPr="00020413">
        <w:rPr>
          <w:rFonts w:ascii="Times New Roman" w:hAnsi="Times New Roman"/>
          <w:bCs/>
          <w:sz w:val="24"/>
          <w:szCs w:val="24"/>
        </w:rPr>
        <w:t>.</w:t>
      </w:r>
      <w:r w:rsidR="004D55AC" w:rsidRPr="00020413">
        <w:rPr>
          <w:rFonts w:ascii="Times New Roman" w:hAnsi="Times New Roman"/>
          <w:bCs/>
          <w:sz w:val="24"/>
          <w:szCs w:val="24"/>
        </w:rPr>
        <w:t xml:space="preserve"> Similarly, </w:t>
      </w:r>
      <w:r w:rsidR="004D55AC" w:rsidRPr="00020413">
        <w:rPr>
          <w:rFonts w:ascii="Times New Roman" w:hAnsi="Times New Roman"/>
          <w:sz w:val="24"/>
          <w:szCs w:val="24"/>
        </w:rPr>
        <w:t>credit bureau coverage</w:t>
      </w:r>
      <w:r w:rsidR="004D55AC" w:rsidRPr="00020413">
        <w:rPr>
          <w:rFonts w:ascii="Times New Roman" w:hAnsi="Times New Roman"/>
          <w:bCs/>
          <w:sz w:val="24"/>
          <w:szCs w:val="24"/>
        </w:rPr>
        <w:t xml:space="preserve"> </w:t>
      </w:r>
      <w:r w:rsidR="000221F5" w:rsidRPr="00020413">
        <w:rPr>
          <w:rFonts w:ascii="Times New Roman" w:hAnsi="Times New Roman"/>
          <w:bCs/>
          <w:sz w:val="24"/>
          <w:szCs w:val="24"/>
        </w:rPr>
        <w:t>measures</w:t>
      </w:r>
      <w:r w:rsidR="004D55AC" w:rsidRPr="00020413">
        <w:rPr>
          <w:rFonts w:ascii="Times New Roman" w:hAnsi="Times New Roman"/>
          <w:bCs/>
          <w:sz w:val="24"/>
          <w:szCs w:val="24"/>
        </w:rPr>
        <w:t xml:space="preserve"> the</w:t>
      </w:r>
      <w:r w:rsidR="00FD1368" w:rsidRPr="00020413">
        <w:rPr>
          <w:rFonts w:ascii="Times New Roman" w:hAnsi="Times New Roman"/>
          <w:bCs/>
          <w:sz w:val="24"/>
          <w:szCs w:val="24"/>
        </w:rPr>
        <w:t xml:space="preserve"> </w:t>
      </w:r>
      <w:r w:rsidR="0076224B" w:rsidRPr="00020413">
        <w:rPr>
          <w:rFonts w:ascii="Times New Roman" w:hAnsi="Times New Roman"/>
          <w:bCs/>
          <w:sz w:val="24"/>
          <w:szCs w:val="24"/>
        </w:rPr>
        <w:t xml:space="preserve">number </w:t>
      </w:r>
      <w:r w:rsidR="00057BC2" w:rsidRPr="00020413">
        <w:rPr>
          <w:rFonts w:ascii="Times New Roman" w:hAnsi="Times New Roman"/>
          <w:bCs/>
          <w:sz w:val="24"/>
          <w:szCs w:val="24"/>
        </w:rPr>
        <w:t>of individuals or</w:t>
      </w:r>
      <w:r w:rsidR="004D55AC" w:rsidRPr="00020413">
        <w:rPr>
          <w:rFonts w:ascii="Times New Roman" w:hAnsi="Times New Roman"/>
          <w:bCs/>
          <w:sz w:val="24"/>
          <w:szCs w:val="24"/>
        </w:rPr>
        <w:t xml:space="preserve"> firms</w:t>
      </w:r>
      <w:r w:rsidR="00980E51" w:rsidRPr="00020413">
        <w:rPr>
          <w:rFonts w:ascii="Times New Roman" w:hAnsi="Times New Roman"/>
          <w:bCs/>
          <w:sz w:val="24"/>
          <w:szCs w:val="24"/>
        </w:rPr>
        <w:t xml:space="preserve"> </w:t>
      </w:r>
      <w:r w:rsidR="004D55AC" w:rsidRPr="00020413">
        <w:rPr>
          <w:rFonts w:ascii="Times New Roman" w:hAnsi="Times New Roman"/>
          <w:bCs/>
          <w:sz w:val="24"/>
          <w:szCs w:val="24"/>
        </w:rPr>
        <w:t xml:space="preserve">listed </w:t>
      </w:r>
      <w:r w:rsidR="0076224B" w:rsidRPr="00020413">
        <w:rPr>
          <w:rFonts w:ascii="Times New Roman" w:hAnsi="Times New Roman"/>
          <w:bCs/>
          <w:sz w:val="24"/>
          <w:szCs w:val="24"/>
        </w:rPr>
        <w:t xml:space="preserve">in </w:t>
      </w:r>
      <w:r w:rsidR="004D55AC" w:rsidRPr="00020413">
        <w:rPr>
          <w:rFonts w:ascii="Times New Roman" w:hAnsi="Times New Roman"/>
          <w:bCs/>
          <w:sz w:val="24"/>
          <w:szCs w:val="24"/>
        </w:rPr>
        <w:t xml:space="preserve">a private credit bureau </w:t>
      </w:r>
      <w:r w:rsidR="000221F5" w:rsidRPr="00020413">
        <w:rPr>
          <w:rFonts w:ascii="Times New Roman" w:hAnsi="Times New Roman"/>
          <w:bCs/>
          <w:sz w:val="24"/>
          <w:szCs w:val="24"/>
        </w:rPr>
        <w:t xml:space="preserve">concerning the </w:t>
      </w:r>
      <w:r w:rsidR="004D55AC" w:rsidRPr="00020413">
        <w:rPr>
          <w:rFonts w:ascii="Times New Roman" w:hAnsi="Times New Roman"/>
          <w:bCs/>
          <w:sz w:val="24"/>
          <w:szCs w:val="24"/>
        </w:rPr>
        <w:t xml:space="preserve">information on their borrowing history </w:t>
      </w:r>
      <w:r w:rsidR="00FD1368" w:rsidRPr="00020413">
        <w:rPr>
          <w:rFonts w:ascii="Times New Roman" w:hAnsi="Times New Roman"/>
          <w:bCs/>
          <w:sz w:val="24"/>
          <w:szCs w:val="24"/>
        </w:rPr>
        <w:t xml:space="preserve">for </w:t>
      </w:r>
      <w:r w:rsidR="004D55AC" w:rsidRPr="00020413">
        <w:rPr>
          <w:rFonts w:ascii="Times New Roman" w:hAnsi="Times New Roman"/>
          <w:bCs/>
          <w:sz w:val="24"/>
          <w:szCs w:val="24"/>
        </w:rPr>
        <w:t xml:space="preserve">the past </w:t>
      </w:r>
      <w:r w:rsidR="000F7B31" w:rsidRPr="00020413">
        <w:rPr>
          <w:rFonts w:ascii="Times New Roman" w:hAnsi="Times New Roman"/>
          <w:bCs/>
          <w:sz w:val="24"/>
          <w:szCs w:val="24"/>
        </w:rPr>
        <w:t xml:space="preserve">five </w:t>
      </w:r>
      <w:r w:rsidR="004D55AC" w:rsidRPr="00020413">
        <w:rPr>
          <w:rFonts w:ascii="Times New Roman" w:hAnsi="Times New Roman"/>
          <w:bCs/>
          <w:sz w:val="24"/>
          <w:szCs w:val="24"/>
        </w:rPr>
        <w:t>years</w:t>
      </w:r>
      <w:r w:rsidRPr="00020413">
        <w:rPr>
          <w:rFonts w:ascii="Times New Roman" w:hAnsi="Times New Roman"/>
          <w:bCs/>
          <w:sz w:val="24"/>
          <w:szCs w:val="24"/>
        </w:rPr>
        <w:t xml:space="preserve">. </w:t>
      </w:r>
      <w:r w:rsidR="00057BC2" w:rsidRPr="00020413">
        <w:rPr>
          <w:rFonts w:ascii="Times New Roman" w:hAnsi="Times New Roman"/>
          <w:bCs/>
          <w:sz w:val="24"/>
          <w:szCs w:val="24"/>
        </w:rPr>
        <w:t xml:space="preserve">Overall, our measures of </w:t>
      </w:r>
      <w:bookmarkStart w:id="5" w:name="_Hlk534611805"/>
      <w:r w:rsidR="00057BC2" w:rsidRPr="00020413">
        <w:rPr>
          <w:rFonts w:ascii="Times New Roman" w:hAnsi="Times New Roman"/>
          <w:bCs/>
          <w:sz w:val="24"/>
          <w:szCs w:val="24"/>
        </w:rPr>
        <w:t>credit information sharing</w:t>
      </w:r>
      <w:r w:rsidR="005733B8" w:rsidRPr="00020413">
        <w:rPr>
          <w:rFonts w:ascii="Times New Roman" w:hAnsi="Times New Roman"/>
          <w:bCs/>
          <w:sz w:val="24"/>
          <w:szCs w:val="24"/>
        </w:rPr>
        <w:t xml:space="preserve"> </w:t>
      </w:r>
      <w:bookmarkEnd w:id="5"/>
      <w:r w:rsidR="005733B8" w:rsidRPr="00020413">
        <w:rPr>
          <w:rFonts w:ascii="Times New Roman" w:hAnsi="Times New Roman"/>
          <w:bCs/>
          <w:sz w:val="24"/>
          <w:szCs w:val="24"/>
        </w:rPr>
        <w:t xml:space="preserve">are consistent with </w:t>
      </w:r>
      <w:r w:rsidR="009E6FA8" w:rsidRPr="00020413">
        <w:rPr>
          <w:rFonts w:ascii="Times New Roman" w:hAnsi="Times New Roman"/>
          <w:bCs/>
          <w:sz w:val="24"/>
          <w:szCs w:val="24"/>
        </w:rPr>
        <w:t xml:space="preserve">Barth et al. (2009) and </w:t>
      </w:r>
      <w:bookmarkStart w:id="6" w:name="_Hlk534613743"/>
      <w:proofErr w:type="spellStart"/>
      <w:r w:rsidR="005733B8" w:rsidRPr="00020413">
        <w:rPr>
          <w:rFonts w:ascii="Times New Roman" w:hAnsi="Times New Roman"/>
          <w:bCs/>
          <w:sz w:val="24"/>
          <w:szCs w:val="24"/>
        </w:rPr>
        <w:t>B</w:t>
      </w:r>
      <w:r w:rsidR="005733B8" w:rsidRPr="00020413">
        <w:rPr>
          <w:rFonts w:ascii="Times New Roman" w:hAnsi="Times New Roman"/>
          <w:sz w:val="24"/>
          <w:szCs w:val="24"/>
        </w:rPr>
        <w:t>üyükkarabacak</w:t>
      </w:r>
      <w:proofErr w:type="spellEnd"/>
      <w:r w:rsidR="005733B8" w:rsidRPr="00020413">
        <w:rPr>
          <w:rFonts w:ascii="Times New Roman" w:hAnsi="Times New Roman"/>
          <w:sz w:val="24"/>
          <w:szCs w:val="24"/>
        </w:rPr>
        <w:t xml:space="preserve"> and </w:t>
      </w:r>
      <w:proofErr w:type="spellStart"/>
      <w:r w:rsidR="005733B8" w:rsidRPr="00020413">
        <w:rPr>
          <w:rFonts w:ascii="Times New Roman" w:hAnsi="Times New Roman"/>
          <w:sz w:val="24"/>
          <w:szCs w:val="24"/>
        </w:rPr>
        <w:t>Valev</w:t>
      </w:r>
      <w:proofErr w:type="spellEnd"/>
      <w:r w:rsidR="005733B8" w:rsidRPr="00020413">
        <w:rPr>
          <w:rFonts w:ascii="Times New Roman" w:hAnsi="Times New Roman"/>
          <w:sz w:val="24"/>
          <w:szCs w:val="24"/>
        </w:rPr>
        <w:t xml:space="preserve"> (2012)</w:t>
      </w:r>
      <w:bookmarkEnd w:id="6"/>
      <w:r w:rsidR="005733B8" w:rsidRPr="00020413">
        <w:rPr>
          <w:rFonts w:ascii="Times New Roman" w:hAnsi="Times New Roman"/>
          <w:sz w:val="24"/>
          <w:szCs w:val="24"/>
        </w:rPr>
        <w:t xml:space="preserve"> who</w:t>
      </w:r>
      <w:r w:rsidR="008C7DF7" w:rsidRPr="00020413">
        <w:rPr>
          <w:rFonts w:ascii="Times New Roman" w:hAnsi="Times New Roman"/>
          <w:sz w:val="24"/>
          <w:szCs w:val="24"/>
        </w:rPr>
        <w:t>,</w:t>
      </w:r>
      <w:r w:rsidR="005733B8" w:rsidRPr="00020413">
        <w:rPr>
          <w:rFonts w:ascii="Times New Roman" w:hAnsi="Times New Roman"/>
          <w:sz w:val="24"/>
          <w:szCs w:val="24"/>
        </w:rPr>
        <w:t xml:space="preserve"> </w:t>
      </w:r>
      <w:r w:rsidR="009E6FA8" w:rsidRPr="00020413">
        <w:rPr>
          <w:rFonts w:ascii="Times New Roman" w:hAnsi="Times New Roman"/>
          <w:sz w:val="24"/>
          <w:szCs w:val="24"/>
        </w:rPr>
        <w:t>respectively</w:t>
      </w:r>
      <w:r w:rsidR="008C7DF7" w:rsidRPr="00020413">
        <w:rPr>
          <w:rFonts w:ascii="Times New Roman" w:hAnsi="Times New Roman"/>
          <w:sz w:val="24"/>
          <w:szCs w:val="24"/>
        </w:rPr>
        <w:t>,</w:t>
      </w:r>
      <w:r w:rsidR="009E6FA8" w:rsidRPr="00020413">
        <w:rPr>
          <w:rFonts w:ascii="Times New Roman" w:hAnsi="Times New Roman"/>
          <w:sz w:val="24"/>
          <w:szCs w:val="24"/>
        </w:rPr>
        <w:t xml:space="preserve"> </w:t>
      </w:r>
      <w:r w:rsidR="005733B8" w:rsidRPr="00020413">
        <w:rPr>
          <w:rFonts w:ascii="Times New Roman" w:hAnsi="Times New Roman"/>
          <w:sz w:val="24"/>
          <w:szCs w:val="24"/>
        </w:rPr>
        <w:t>explore</w:t>
      </w:r>
      <w:r w:rsidR="005733B8" w:rsidRPr="00020413">
        <w:rPr>
          <w:rFonts w:ascii="Times New Roman" w:hAnsi="Times New Roman"/>
          <w:bCs/>
          <w:sz w:val="24"/>
          <w:szCs w:val="24"/>
        </w:rPr>
        <w:t xml:space="preserve"> the effect of credit information sharing on </w:t>
      </w:r>
      <w:r w:rsidR="007C3A5B" w:rsidRPr="00020413">
        <w:rPr>
          <w:rFonts w:ascii="Times New Roman" w:hAnsi="Times New Roman"/>
          <w:bCs/>
          <w:sz w:val="24"/>
          <w:szCs w:val="24"/>
        </w:rPr>
        <w:t xml:space="preserve">corruption in </w:t>
      </w:r>
      <w:r w:rsidR="00164437" w:rsidRPr="00020413">
        <w:rPr>
          <w:rFonts w:ascii="Times New Roman" w:hAnsi="Times New Roman"/>
          <w:bCs/>
          <w:sz w:val="24"/>
          <w:szCs w:val="24"/>
        </w:rPr>
        <w:t>bank</w:t>
      </w:r>
      <w:r w:rsidR="009E6FA8" w:rsidRPr="00020413">
        <w:rPr>
          <w:rFonts w:ascii="Times New Roman" w:hAnsi="Times New Roman"/>
          <w:bCs/>
          <w:sz w:val="24"/>
          <w:szCs w:val="24"/>
        </w:rPr>
        <w:t xml:space="preserve"> lending and </w:t>
      </w:r>
      <w:r w:rsidR="005E7D76" w:rsidRPr="00020413">
        <w:rPr>
          <w:rFonts w:ascii="Times New Roman" w:hAnsi="Times New Roman"/>
          <w:bCs/>
          <w:sz w:val="24"/>
          <w:szCs w:val="24"/>
        </w:rPr>
        <w:t>on</w:t>
      </w:r>
      <w:r w:rsidRPr="00020413">
        <w:rPr>
          <w:rFonts w:ascii="Times New Roman" w:hAnsi="Times New Roman"/>
          <w:bCs/>
          <w:sz w:val="24"/>
          <w:szCs w:val="24"/>
        </w:rPr>
        <w:t xml:space="preserve"> </w:t>
      </w:r>
      <w:r w:rsidR="005733B8" w:rsidRPr="00020413">
        <w:rPr>
          <w:rFonts w:ascii="Times New Roman" w:hAnsi="Times New Roman"/>
          <w:bCs/>
          <w:sz w:val="24"/>
          <w:szCs w:val="24"/>
        </w:rPr>
        <w:t xml:space="preserve">banking crisis. </w:t>
      </w:r>
      <w:r w:rsidR="004C259A" w:rsidRPr="00020413">
        <w:rPr>
          <w:rFonts w:ascii="Times New Roman" w:hAnsi="Times New Roman"/>
          <w:bCs/>
          <w:sz w:val="24"/>
          <w:szCs w:val="24"/>
        </w:rPr>
        <w:t xml:space="preserve">Unlike studies such as </w:t>
      </w:r>
      <w:bookmarkStart w:id="7" w:name="_Hlk534613547"/>
      <w:proofErr w:type="spellStart"/>
      <w:r w:rsidR="009E6FA8" w:rsidRPr="00020413">
        <w:rPr>
          <w:rFonts w:ascii="Times New Roman" w:hAnsi="Times New Roman"/>
          <w:bCs/>
          <w:sz w:val="24"/>
          <w:szCs w:val="24"/>
        </w:rPr>
        <w:t>Kallberg</w:t>
      </w:r>
      <w:proofErr w:type="spellEnd"/>
      <w:r w:rsidR="009E6FA8" w:rsidRPr="00020413">
        <w:rPr>
          <w:rFonts w:ascii="Times New Roman" w:hAnsi="Times New Roman"/>
          <w:bCs/>
          <w:sz w:val="24"/>
          <w:szCs w:val="24"/>
        </w:rPr>
        <w:t xml:space="preserve"> and </w:t>
      </w:r>
      <w:proofErr w:type="spellStart"/>
      <w:r w:rsidR="009E6FA8" w:rsidRPr="00020413">
        <w:rPr>
          <w:rFonts w:ascii="Times New Roman" w:hAnsi="Times New Roman"/>
          <w:bCs/>
          <w:sz w:val="24"/>
          <w:szCs w:val="24"/>
        </w:rPr>
        <w:t>Udell</w:t>
      </w:r>
      <w:proofErr w:type="spellEnd"/>
      <w:r w:rsidR="009E6FA8" w:rsidRPr="00020413">
        <w:rPr>
          <w:rFonts w:ascii="Times New Roman" w:hAnsi="Times New Roman"/>
          <w:bCs/>
          <w:sz w:val="24"/>
          <w:szCs w:val="24"/>
        </w:rPr>
        <w:t xml:space="preserve"> (2003)</w:t>
      </w:r>
      <w:bookmarkEnd w:id="7"/>
      <w:r w:rsidR="009E6FA8" w:rsidRPr="00020413">
        <w:rPr>
          <w:rFonts w:ascii="Times New Roman" w:hAnsi="Times New Roman"/>
          <w:bCs/>
          <w:sz w:val="24"/>
          <w:szCs w:val="24"/>
        </w:rPr>
        <w:t xml:space="preserve"> and </w:t>
      </w:r>
      <w:proofErr w:type="spellStart"/>
      <w:r w:rsidR="0029426C" w:rsidRPr="00020413">
        <w:rPr>
          <w:rFonts w:ascii="Times New Roman" w:hAnsi="Times New Roman"/>
          <w:bCs/>
          <w:sz w:val="24"/>
          <w:szCs w:val="24"/>
        </w:rPr>
        <w:t>Giannetti</w:t>
      </w:r>
      <w:proofErr w:type="spellEnd"/>
      <w:r w:rsidR="0029426C" w:rsidRPr="00020413">
        <w:rPr>
          <w:rFonts w:ascii="Times New Roman" w:hAnsi="Times New Roman"/>
          <w:bCs/>
          <w:sz w:val="24"/>
          <w:szCs w:val="24"/>
        </w:rPr>
        <w:t xml:space="preserve"> et al. (2017) </w:t>
      </w:r>
      <w:r w:rsidRPr="00020413">
        <w:rPr>
          <w:rFonts w:ascii="Times New Roman" w:hAnsi="Times New Roman"/>
          <w:bCs/>
          <w:sz w:val="24"/>
          <w:szCs w:val="24"/>
        </w:rPr>
        <w:t xml:space="preserve">who </w:t>
      </w:r>
      <w:r w:rsidR="0029426C" w:rsidRPr="00020413">
        <w:rPr>
          <w:rFonts w:ascii="Times New Roman" w:hAnsi="Times New Roman"/>
          <w:bCs/>
          <w:sz w:val="24"/>
          <w:szCs w:val="24"/>
        </w:rPr>
        <w:t>employ</w:t>
      </w:r>
      <w:r w:rsidRPr="00020413">
        <w:rPr>
          <w:rFonts w:ascii="Times New Roman" w:hAnsi="Times New Roman"/>
          <w:bCs/>
          <w:sz w:val="24"/>
          <w:szCs w:val="24"/>
        </w:rPr>
        <w:t>ed</w:t>
      </w:r>
      <w:r w:rsidR="0029426C" w:rsidRPr="00020413">
        <w:rPr>
          <w:rFonts w:ascii="Times New Roman" w:hAnsi="Times New Roman"/>
          <w:bCs/>
          <w:sz w:val="24"/>
          <w:szCs w:val="24"/>
        </w:rPr>
        <w:t xml:space="preserve"> micro-level measures of credit information sharing, o</w:t>
      </w:r>
      <w:r w:rsidR="007704A4" w:rsidRPr="00020413">
        <w:rPr>
          <w:rFonts w:ascii="Times New Roman" w:hAnsi="Times New Roman"/>
          <w:bCs/>
          <w:sz w:val="24"/>
          <w:szCs w:val="24"/>
        </w:rPr>
        <w:t xml:space="preserve">ur macro-level </w:t>
      </w:r>
      <w:r w:rsidRPr="00020413">
        <w:rPr>
          <w:rFonts w:ascii="Times New Roman" w:hAnsi="Times New Roman"/>
          <w:bCs/>
          <w:sz w:val="24"/>
          <w:szCs w:val="24"/>
        </w:rPr>
        <w:t>alternative</w:t>
      </w:r>
      <w:r w:rsidR="007704A4" w:rsidRPr="00020413">
        <w:rPr>
          <w:rFonts w:ascii="Times New Roman" w:hAnsi="Times New Roman"/>
          <w:bCs/>
          <w:sz w:val="24"/>
          <w:szCs w:val="24"/>
        </w:rPr>
        <w:t xml:space="preserve"> </w:t>
      </w:r>
      <w:r w:rsidR="0092468E" w:rsidRPr="00020413">
        <w:rPr>
          <w:rFonts w:ascii="Times New Roman" w:hAnsi="Times New Roman"/>
          <w:bCs/>
          <w:sz w:val="24"/>
          <w:szCs w:val="24"/>
        </w:rPr>
        <w:t>allows</w:t>
      </w:r>
      <w:r w:rsidR="007704A4" w:rsidRPr="00020413">
        <w:rPr>
          <w:rFonts w:ascii="Times New Roman" w:hAnsi="Times New Roman"/>
          <w:bCs/>
          <w:sz w:val="24"/>
          <w:szCs w:val="24"/>
        </w:rPr>
        <w:t xml:space="preserve"> us to</w:t>
      </w:r>
      <w:r w:rsidR="008C4B6B" w:rsidRPr="00020413">
        <w:rPr>
          <w:rFonts w:ascii="Times New Roman" w:hAnsi="Times New Roman"/>
          <w:bCs/>
          <w:sz w:val="24"/>
          <w:szCs w:val="24"/>
        </w:rPr>
        <w:t xml:space="preserve"> consider a broad array of</w:t>
      </w:r>
      <w:r w:rsidR="007704A4" w:rsidRPr="00020413">
        <w:rPr>
          <w:rFonts w:ascii="Times New Roman" w:hAnsi="Times New Roman"/>
          <w:bCs/>
          <w:sz w:val="24"/>
          <w:szCs w:val="24"/>
        </w:rPr>
        <w:t xml:space="preserve"> </w:t>
      </w:r>
      <w:r w:rsidR="004C259A" w:rsidRPr="00020413">
        <w:rPr>
          <w:rFonts w:ascii="Times New Roman" w:hAnsi="Times New Roman"/>
          <w:bCs/>
          <w:sz w:val="24"/>
          <w:szCs w:val="24"/>
        </w:rPr>
        <w:t>credit information about</w:t>
      </w:r>
      <w:r w:rsidR="008C4B6B" w:rsidRPr="00020413">
        <w:rPr>
          <w:rFonts w:ascii="Times New Roman" w:hAnsi="Times New Roman"/>
          <w:bCs/>
          <w:sz w:val="24"/>
          <w:szCs w:val="24"/>
        </w:rPr>
        <w:t xml:space="preserve"> households and firms</w:t>
      </w:r>
      <w:r w:rsidRPr="00020413">
        <w:rPr>
          <w:rFonts w:ascii="Times New Roman" w:hAnsi="Times New Roman"/>
          <w:bCs/>
          <w:sz w:val="24"/>
          <w:szCs w:val="24"/>
        </w:rPr>
        <w:t xml:space="preserve">, </w:t>
      </w:r>
      <w:r w:rsidR="008C4B6B" w:rsidRPr="00020413">
        <w:rPr>
          <w:rFonts w:ascii="Times New Roman" w:hAnsi="Times New Roman"/>
          <w:bCs/>
          <w:sz w:val="24"/>
          <w:szCs w:val="24"/>
        </w:rPr>
        <w:t xml:space="preserve">from both public </w:t>
      </w:r>
      <w:r w:rsidR="007C3A5B" w:rsidRPr="00020413">
        <w:rPr>
          <w:rFonts w:ascii="Times New Roman" w:hAnsi="Times New Roman"/>
          <w:bCs/>
          <w:sz w:val="24"/>
          <w:szCs w:val="24"/>
        </w:rPr>
        <w:t>(mandatory) and private (voluntary</w:t>
      </w:r>
      <w:r w:rsidR="008C4B6B" w:rsidRPr="00020413">
        <w:rPr>
          <w:rFonts w:ascii="Times New Roman" w:hAnsi="Times New Roman"/>
          <w:bCs/>
          <w:sz w:val="24"/>
          <w:szCs w:val="24"/>
        </w:rPr>
        <w:t>) sources.</w:t>
      </w:r>
      <w:r w:rsidR="00FF1862" w:rsidRPr="00020413">
        <w:rPr>
          <w:rFonts w:ascii="Times New Roman" w:hAnsi="Times New Roman"/>
          <w:bCs/>
          <w:sz w:val="24"/>
          <w:szCs w:val="24"/>
        </w:rPr>
        <w:t xml:space="preserve"> </w:t>
      </w:r>
      <w:r w:rsidR="006A7621" w:rsidRPr="00020413">
        <w:rPr>
          <w:rFonts w:ascii="Times New Roman" w:hAnsi="Times New Roman"/>
          <w:bCs/>
          <w:sz w:val="24"/>
          <w:szCs w:val="24"/>
        </w:rPr>
        <w:t xml:space="preserve">Moreover, </w:t>
      </w:r>
      <w:r w:rsidR="00A34AFC" w:rsidRPr="00020413">
        <w:rPr>
          <w:rFonts w:ascii="Times New Roman" w:hAnsi="Times New Roman"/>
          <w:bCs/>
          <w:sz w:val="24"/>
          <w:szCs w:val="24"/>
        </w:rPr>
        <w:t xml:space="preserve">the use of the country-level measure of credit information sharing helps to minimize endogeneity concerns since the variable is largely exogenous to the firm. </w:t>
      </w:r>
      <w:r w:rsidR="00FF1862" w:rsidRPr="00020413">
        <w:rPr>
          <w:rFonts w:ascii="Times New Roman" w:hAnsi="Times New Roman"/>
          <w:bCs/>
          <w:sz w:val="24"/>
          <w:szCs w:val="24"/>
        </w:rPr>
        <w:t>However,</w:t>
      </w:r>
      <w:r w:rsidR="00256E43" w:rsidRPr="00020413">
        <w:rPr>
          <w:rFonts w:ascii="Times New Roman" w:hAnsi="Times New Roman"/>
          <w:bCs/>
          <w:sz w:val="24"/>
          <w:szCs w:val="24"/>
        </w:rPr>
        <w:t xml:space="preserve"> our measures of credit information sharing are not without limitation. For instance, they </w:t>
      </w:r>
      <w:r w:rsidR="0092468E" w:rsidRPr="00020413">
        <w:rPr>
          <w:rFonts w:ascii="Times New Roman" w:hAnsi="Times New Roman"/>
          <w:bCs/>
          <w:sz w:val="24"/>
          <w:szCs w:val="24"/>
        </w:rPr>
        <w:t xml:space="preserve">only </w:t>
      </w:r>
      <w:r w:rsidR="00256E43" w:rsidRPr="00020413">
        <w:rPr>
          <w:rFonts w:ascii="Times New Roman" w:hAnsi="Times New Roman"/>
          <w:bCs/>
          <w:sz w:val="24"/>
          <w:szCs w:val="24"/>
        </w:rPr>
        <w:t>capture “hard information” on creditworthiness (</w:t>
      </w:r>
      <w:proofErr w:type="spellStart"/>
      <w:r w:rsidR="00256E43" w:rsidRPr="00020413">
        <w:rPr>
          <w:rFonts w:ascii="Times New Roman" w:hAnsi="Times New Roman"/>
          <w:bCs/>
          <w:sz w:val="24"/>
          <w:szCs w:val="24"/>
        </w:rPr>
        <w:t>B</w:t>
      </w:r>
      <w:r w:rsidR="00256E43" w:rsidRPr="00020413">
        <w:rPr>
          <w:rFonts w:ascii="Times New Roman" w:hAnsi="Times New Roman"/>
          <w:sz w:val="24"/>
          <w:szCs w:val="24"/>
        </w:rPr>
        <w:t>üyükkarabacak</w:t>
      </w:r>
      <w:proofErr w:type="spellEnd"/>
      <w:r w:rsidR="00256E43" w:rsidRPr="00020413">
        <w:rPr>
          <w:rFonts w:ascii="Times New Roman" w:hAnsi="Times New Roman"/>
          <w:sz w:val="24"/>
          <w:szCs w:val="24"/>
        </w:rPr>
        <w:t xml:space="preserve"> and </w:t>
      </w:r>
      <w:proofErr w:type="spellStart"/>
      <w:r w:rsidR="00256E43" w:rsidRPr="00020413">
        <w:rPr>
          <w:rFonts w:ascii="Times New Roman" w:hAnsi="Times New Roman"/>
          <w:sz w:val="24"/>
          <w:szCs w:val="24"/>
        </w:rPr>
        <w:t>Valev</w:t>
      </w:r>
      <w:proofErr w:type="spellEnd"/>
      <w:r w:rsidR="00256E43" w:rsidRPr="00020413">
        <w:rPr>
          <w:rFonts w:ascii="Times New Roman" w:hAnsi="Times New Roman"/>
          <w:sz w:val="24"/>
          <w:szCs w:val="24"/>
        </w:rPr>
        <w:t>, 2012)</w:t>
      </w:r>
      <w:r w:rsidR="008A61B2" w:rsidRPr="00020413">
        <w:rPr>
          <w:rFonts w:ascii="Times New Roman" w:hAnsi="Times New Roman"/>
          <w:bCs/>
          <w:sz w:val="24"/>
          <w:szCs w:val="24"/>
        </w:rPr>
        <w:t xml:space="preserve"> </w:t>
      </w:r>
      <w:proofErr w:type="gramStart"/>
      <w:r w:rsidR="008A61B2" w:rsidRPr="00020413">
        <w:rPr>
          <w:rFonts w:ascii="Times New Roman" w:hAnsi="Times New Roman"/>
          <w:bCs/>
          <w:sz w:val="24"/>
          <w:szCs w:val="24"/>
        </w:rPr>
        <w:t>and also</w:t>
      </w:r>
      <w:proofErr w:type="gramEnd"/>
      <w:r w:rsidR="008A61B2" w:rsidRPr="00020413">
        <w:rPr>
          <w:rFonts w:ascii="Times New Roman" w:hAnsi="Times New Roman"/>
          <w:bCs/>
          <w:sz w:val="24"/>
          <w:szCs w:val="24"/>
        </w:rPr>
        <w:t xml:space="preserve"> provide less</w:t>
      </w:r>
      <w:r w:rsidR="00256E43" w:rsidRPr="00020413">
        <w:rPr>
          <w:rFonts w:ascii="Times New Roman" w:hAnsi="Times New Roman"/>
          <w:bCs/>
          <w:sz w:val="24"/>
          <w:szCs w:val="24"/>
        </w:rPr>
        <w:t xml:space="preserve"> detailed breakdown of the type of information shared (</w:t>
      </w:r>
      <w:proofErr w:type="spellStart"/>
      <w:r w:rsidR="00256E43" w:rsidRPr="00020413">
        <w:rPr>
          <w:rFonts w:ascii="Times New Roman" w:hAnsi="Times New Roman"/>
          <w:bCs/>
          <w:sz w:val="24"/>
          <w:szCs w:val="24"/>
        </w:rPr>
        <w:t>Kallberg</w:t>
      </w:r>
      <w:proofErr w:type="spellEnd"/>
      <w:r w:rsidR="00256E43" w:rsidRPr="00020413">
        <w:rPr>
          <w:rFonts w:ascii="Times New Roman" w:hAnsi="Times New Roman"/>
          <w:bCs/>
          <w:sz w:val="24"/>
          <w:szCs w:val="24"/>
        </w:rPr>
        <w:t xml:space="preserve"> and </w:t>
      </w:r>
      <w:proofErr w:type="spellStart"/>
      <w:r w:rsidR="00256E43" w:rsidRPr="00020413">
        <w:rPr>
          <w:rFonts w:ascii="Times New Roman" w:hAnsi="Times New Roman"/>
          <w:bCs/>
          <w:sz w:val="24"/>
          <w:szCs w:val="24"/>
        </w:rPr>
        <w:t>Udell</w:t>
      </w:r>
      <w:proofErr w:type="spellEnd"/>
      <w:r w:rsidR="00256E43" w:rsidRPr="00020413">
        <w:rPr>
          <w:rFonts w:ascii="Times New Roman" w:hAnsi="Times New Roman"/>
          <w:bCs/>
          <w:sz w:val="24"/>
          <w:szCs w:val="24"/>
        </w:rPr>
        <w:t>, 2003).</w:t>
      </w:r>
      <w:r w:rsidR="007E0F56" w:rsidRPr="00020413">
        <w:rPr>
          <w:rFonts w:ascii="Times New Roman" w:eastAsiaTheme="minorEastAsia" w:hAnsi="Times New Roman"/>
          <w:sz w:val="24"/>
          <w:szCs w:val="24"/>
          <w:lang w:eastAsia="en-GB"/>
        </w:rPr>
        <w:t xml:space="preserve"> </w:t>
      </w:r>
      <w:r w:rsidR="0035200F" w:rsidRPr="00020413">
        <w:rPr>
          <w:rFonts w:ascii="Times New Roman" w:eastAsiaTheme="minorEastAsia" w:hAnsi="Times New Roman"/>
          <w:sz w:val="24"/>
          <w:szCs w:val="24"/>
          <w:lang w:eastAsia="en-GB"/>
        </w:rPr>
        <w:t xml:space="preserve"> </w:t>
      </w:r>
    </w:p>
    <w:p w:rsidR="009A47AB" w:rsidRPr="00020413" w:rsidRDefault="004D42DC" w:rsidP="00D55D24">
      <w:pPr>
        <w:spacing w:after="120" w:line="360" w:lineRule="auto"/>
        <w:jc w:val="both"/>
        <w:rPr>
          <w:rFonts w:ascii="Times New Roman" w:hAnsi="Times New Roman"/>
          <w:b/>
          <w:sz w:val="24"/>
          <w:szCs w:val="24"/>
        </w:rPr>
      </w:pPr>
      <w:r w:rsidRPr="00020413">
        <w:rPr>
          <w:rFonts w:ascii="Times New Roman" w:hAnsi="Times New Roman"/>
          <w:sz w:val="24"/>
          <w:szCs w:val="24"/>
        </w:rPr>
        <w:t>Following</w:t>
      </w:r>
      <w:r w:rsidR="00F63CF5" w:rsidRPr="00020413">
        <w:rPr>
          <w:rFonts w:ascii="Times New Roman" w:hAnsi="Times New Roman"/>
          <w:sz w:val="24"/>
          <w:szCs w:val="24"/>
        </w:rPr>
        <w:t xml:space="preserve"> </w:t>
      </w:r>
      <w:r w:rsidR="00593339" w:rsidRPr="00020413">
        <w:rPr>
          <w:rFonts w:ascii="Times New Roman" w:hAnsi="Times New Roman"/>
          <w:sz w:val="24"/>
          <w:szCs w:val="24"/>
        </w:rPr>
        <w:t>the literature</w:t>
      </w:r>
      <w:r w:rsidR="00ED71C6" w:rsidRPr="00020413">
        <w:rPr>
          <w:rFonts w:ascii="Times New Roman" w:hAnsi="Times New Roman"/>
          <w:sz w:val="24"/>
          <w:szCs w:val="24"/>
        </w:rPr>
        <w:t xml:space="preserve"> </w:t>
      </w:r>
      <w:r w:rsidR="00F63CF5" w:rsidRPr="00020413">
        <w:rPr>
          <w:rFonts w:ascii="Times New Roman" w:hAnsi="Times New Roman"/>
          <w:sz w:val="24"/>
          <w:szCs w:val="24"/>
        </w:rPr>
        <w:t>(e.g.</w:t>
      </w:r>
      <w:r w:rsidR="0032345A" w:rsidRPr="00020413">
        <w:rPr>
          <w:rFonts w:ascii="Times New Roman" w:hAnsi="Times New Roman"/>
          <w:sz w:val="24"/>
          <w:szCs w:val="24"/>
        </w:rPr>
        <w:t>,</w:t>
      </w:r>
      <w:r w:rsidR="000E6640" w:rsidRPr="00020413">
        <w:rPr>
          <w:rFonts w:ascii="Times New Roman" w:hAnsi="Times New Roman"/>
          <w:sz w:val="24"/>
          <w:szCs w:val="24"/>
        </w:rPr>
        <w:t xml:space="preserve"> </w:t>
      </w:r>
      <w:r w:rsidR="008D3ABF" w:rsidRPr="00020413">
        <w:rPr>
          <w:rFonts w:ascii="Times New Roman" w:hAnsi="Times New Roman"/>
          <w:sz w:val="24"/>
          <w:szCs w:val="24"/>
        </w:rPr>
        <w:t xml:space="preserve">Chu et al., 2007; </w:t>
      </w:r>
      <w:r w:rsidR="00B86B63" w:rsidRPr="00020413">
        <w:rPr>
          <w:rFonts w:ascii="Times New Roman" w:hAnsi="Times New Roman"/>
          <w:sz w:val="24"/>
          <w:szCs w:val="24"/>
        </w:rPr>
        <w:t>Berger</w:t>
      </w:r>
      <w:r w:rsidR="004C7054" w:rsidRPr="00020413">
        <w:rPr>
          <w:rFonts w:ascii="Times New Roman" w:hAnsi="Times New Roman"/>
          <w:sz w:val="24"/>
          <w:szCs w:val="24"/>
        </w:rPr>
        <w:t xml:space="preserve"> et al.</w:t>
      </w:r>
      <w:r w:rsidR="00B86B63" w:rsidRPr="00020413">
        <w:rPr>
          <w:rFonts w:ascii="Times New Roman" w:hAnsi="Times New Roman"/>
          <w:sz w:val="24"/>
          <w:szCs w:val="24"/>
        </w:rPr>
        <w:t xml:space="preserve">, 2009; </w:t>
      </w:r>
      <w:proofErr w:type="spellStart"/>
      <w:r w:rsidR="00630559" w:rsidRPr="00020413">
        <w:rPr>
          <w:rFonts w:ascii="Times New Roman" w:hAnsi="Times New Roman"/>
          <w:sz w:val="24"/>
          <w:szCs w:val="24"/>
          <w:shd w:val="clear" w:color="auto" w:fill="FFFFFF"/>
        </w:rPr>
        <w:t>Louzis</w:t>
      </w:r>
      <w:proofErr w:type="spellEnd"/>
      <w:r w:rsidR="00630559" w:rsidRPr="00020413" w:rsidDel="00630559">
        <w:rPr>
          <w:rFonts w:ascii="Times New Roman" w:hAnsi="Times New Roman"/>
          <w:sz w:val="24"/>
          <w:szCs w:val="24"/>
          <w:lang w:eastAsia="en-GB"/>
        </w:rPr>
        <w:t xml:space="preserve"> </w:t>
      </w:r>
      <w:r w:rsidR="00CB6C31" w:rsidRPr="00020413">
        <w:rPr>
          <w:rFonts w:ascii="Times New Roman" w:hAnsi="Times New Roman"/>
          <w:sz w:val="24"/>
          <w:szCs w:val="24"/>
        </w:rPr>
        <w:t xml:space="preserve">et al., 2012; Vazquez et al., 2012; </w:t>
      </w:r>
      <w:r w:rsidR="00CB6C31" w:rsidRPr="00020413">
        <w:rPr>
          <w:rFonts w:ascii="Times New Roman" w:hAnsi="Times New Roman"/>
          <w:sz w:val="24"/>
          <w:szCs w:val="24"/>
          <w:shd w:val="clear" w:color="auto" w:fill="FFFFFF"/>
        </w:rPr>
        <w:t>Jiménez et al., 2013</w:t>
      </w:r>
      <w:r w:rsidR="0032345A" w:rsidRPr="00020413">
        <w:rPr>
          <w:rFonts w:ascii="Times New Roman" w:hAnsi="Times New Roman"/>
          <w:sz w:val="24"/>
          <w:szCs w:val="24"/>
          <w:shd w:val="clear" w:color="auto" w:fill="FFFFFF"/>
        </w:rPr>
        <w:t>;</w:t>
      </w:r>
      <w:r w:rsidR="00CB6C31" w:rsidRPr="00020413">
        <w:rPr>
          <w:rFonts w:ascii="Times New Roman" w:hAnsi="Times New Roman"/>
          <w:sz w:val="24"/>
          <w:szCs w:val="24"/>
          <w:shd w:val="clear" w:color="auto" w:fill="FFFFFF"/>
        </w:rPr>
        <w:t xml:space="preserve"> </w:t>
      </w:r>
      <w:r w:rsidR="00CB6C31" w:rsidRPr="00020413">
        <w:rPr>
          <w:rFonts w:ascii="Times New Roman" w:hAnsi="Times New Roman"/>
          <w:sz w:val="24"/>
          <w:szCs w:val="24"/>
        </w:rPr>
        <w:t>Ghosh, 2015</w:t>
      </w:r>
      <w:r w:rsidR="00F63CF5" w:rsidRPr="00020413">
        <w:rPr>
          <w:rFonts w:ascii="Times New Roman" w:hAnsi="Times New Roman"/>
          <w:sz w:val="24"/>
          <w:szCs w:val="24"/>
          <w:shd w:val="clear" w:color="auto" w:fill="FFFFFF"/>
        </w:rPr>
        <w:t>)</w:t>
      </w:r>
      <w:r w:rsidR="002664F1" w:rsidRPr="00020413">
        <w:rPr>
          <w:rFonts w:ascii="Times New Roman" w:hAnsi="Times New Roman"/>
          <w:sz w:val="24"/>
          <w:szCs w:val="24"/>
          <w:shd w:val="clear" w:color="auto" w:fill="FFFFFF"/>
        </w:rPr>
        <w:t>,</w:t>
      </w:r>
      <w:r w:rsidRPr="00020413">
        <w:rPr>
          <w:rFonts w:ascii="Times New Roman" w:hAnsi="Times New Roman"/>
          <w:sz w:val="24"/>
          <w:szCs w:val="24"/>
        </w:rPr>
        <w:t xml:space="preserve"> o</w:t>
      </w:r>
      <w:r w:rsidR="001D2651" w:rsidRPr="00020413">
        <w:rPr>
          <w:rFonts w:ascii="Times New Roman" w:hAnsi="Times New Roman"/>
          <w:sz w:val="24"/>
          <w:szCs w:val="24"/>
        </w:rPr>
        <w:t xml:space="preserve">ur </w:t>
      </w:r>
      <w:r w:rsidR="002664F1" w:rsidRPr="00020413">
        <w:rPr>
          <w:rFonts w:ascii="Times New Roman" w:hAnsi="Times New Roman"/>
          <w:sz w:val="24"/>
          <w:szCs w:val="24"/>
        </w:rPr>
        <w:t xml:space="preserve">study </w:t>
      </w:r>
      <w:r w:rsidR="001D2651" w:rsidRPr="00020413">
        <w:rPr>
          <w:rFonts w:ascii="Times New Roman" w:hAnsi="Times New Roman"/>
          <w:sz w:val="24"/>
          <w:szCs w:val="24"/>
        </w:rPr>
        <w:t>util</w:t>
      </w:r>
      <w:r w:rsidR="00611F87" w:rsidRPr="00020413">
        <w:rPr>
          <w:rFonts w:ascii="Times New Roman" w:hAnsi="Times New Roman"/>
          <w:sz w:val="24"/>
          <w:szCs w:val="24"/>
        </w:rPr>
        <w:t>ise</w:t>
      </w:r>
      <w:r w:rsidR="001D2651" w:rsidRPr="00020413">
        <w:rPr>
          <w:rFonts w:ascii="Times New Roman" w:hAnsi="Times New Roman"/>
          <w:sz w:val="24"/>
          <w:szCs w:val="24"/>
        </w:rPr>
        <w:t xml:space="preserve">s </w:t>
      </w:r>
      <w:r w:rsidRPr="00020413">
        <w:rPr>
          <w:rFonts w:ascii="Times New Roman" w:eastAsia="AdvEPSTIM" w:hAnsi="Times New Roman"/>
          <w:sz w:val="24"/>
          <w:szCs w:val="24"/>
          <w:lang w:eastAsia="en-GB"/>
        </w:rPr>
        <w:t>the</w:t>
      </w:r>
      <w:r w:rsidR="00AE242E" w:rsidRPr="00020413">
        <w:rPr>
          <w:rFonts w:ascii="Times New Roman" w:eastAsia="AdvEPSTIM" w:hAnsi="Times New Roman"/>
          <w:sz w:val="24"/>
          <w:szCs w:val="24"/>
          <w:lang w:eastAsia="en-GB"/>
        </w:rPr>
        <w:t xml:space="preserve"> </w:t>
      </w:r>
      <w:r w:rsidR="00720C75" w:rsidRPr="00020413">
        <w:rPr>
          <w:rFonts w:ascii="Times New Roman" w:eastAsia="AdvEPSTIM" w:hAnsi="Times New Roman"/>
          <w:sz w:val="24"/>
          <w:szCs w:val="24"/>
          <w:lang w:eastAsia="en-GB"/>
        </w:rPr>
        <w:t>ratio of non-performing loans to total loans</w:t>
      </w:r>
      <w:r w:rsidR="001D2651" w:rsidRPr="00020413">
        <w:rPr>
          <w:rFonts w:ascii="Times New Roman" w:hAnsi="Times New Roman"/>
          <w:sz w:val="24"/>
          <w:szCs w:val="24"/>
        </w:rPr>
        <w:t xml:space="preserve"> </w:t>
      </w:r>
      <w:r w:rsidR="005E5FBC" w:rsidRPr="00020413">
        <w:rPr>
          <w:rFonts w:ascii="Times New Roman" w:hAnsi="Times New Roman"/>
          <w:sz w:val="24"/>
          <w:szCs w:val="24"/>
        </w:rPr>
        <w:t xml:space="preserve">(NPL) </w:t>
      </w:r>
      <w:r w:rsidR="001D2651" w:rsidRPr="00020413">
        <w:rPr>
          <w:rFonts w:ascii="Times New Roman" w:hAnsi="Times New Roman"/>
          <w:sz w:val="24"/>
          <w:szCs w:val="24"/>
        </w:rPr>
        <w:t xml:space="preserve">as </w:t>
      </w:r>
      <w:r w:rsidR="00720C75" w:rsidRPr="00020413">
        <w:rPr>
          <w:rFonts w:ascii="Times New Roman" w:hAnsi="Times New Roman"/>
          <w:sz w:val="24"/>
          <w:szCs w:val="24"/>
        </w:rPr>
        <w:t>the</w:t>
      </w:r>
      <w:r w:rsidR="001D2651" w:rsidRPr="00020413">
        <w:rPr>
          <w:rFonts w:ascii="Times New Roman" w:hAnsi="Times New Roman"/>
          <w:sz w:val="24"/>
          <w:szCs w:val="24"/>
        </w:rPr>
        <w:t xml:space="preserve"> measure of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Pr="00020413">
        <w:rPr>
          <w:rFonts w:ascii="Times New Roman" w:hAnsi="Times New Roman"/>
          <w:sz w:val="24"/>
          <w:szCs w:val="24"/>
        </w:rPr>
        <w:t>.</w:t>
      </w:r>
      <w:r w:rsidR="00E109BC" w:rsidRPr="00020413">
        <w:rPr>
          <w:rFonts w:ascii="Times New Roman" w:hAnsi="Times New Roman"/>
          <w:sz w:val="24"/>
          <w:szCs w:val="24"/>
        </w:rPr>
        <w:t xml:space="preserve"> </w:t>
      </w:r>
      <w:r w:rsidR="009358CD" w:rsidRPr="00020413">
        <w:rPr>
          <w:rFonts w:ascii="Times New Roman" w:hAnsi="Times New Roman"/>
          <w:sz w:val="24"/>
          <w:szCs w:val="24"/>
        </w:rPr>
        <w:t>In our ro</w:t>
      </w:r>
      <w:r w:rsidR="00B72037" w:rsidRPr="00020413">
        <w:rPr>
          <w:rFonts w:ascii="Times New Roman" w:hAnsi="Times New Roman"/>
          <w:sz w:val="24"/>
          <w:szCs w:val="24"/>
        </w:rPr>
        <w:t>bustness analysis in Section 4.6</w:t>
      </w:r>
      <w:r w:rsidR="009358CD" w:rsidRPr="00020413">
        <w:rPr>
          <w:rFonts w:ascii="Times New Roman" w:hAnsi="Times New Roman"/>
          <w:sz w:val="24"/>
          <w:szCs w:val="24"/>
        </w:rPr>
        <w:t xml:space="preserve">, we </w:t>
      </w:r>
      <w:r w:rsidR="000D0052" w:rsidRPr="00020413">
        <w:rPr>
          <w:rFonts w:ascii="Times New Roman" w:hAnsi="Times New Roman"/>
          <w:sz w:val="24"/>
          <w:szCs w:val="24"/>
        </w:rPr>
        <w:t xml:space="preserve">utilise the net charge off </w:t>
      </w:r>
      <w:r w:rsidR="009720A1" w:rsidRPr="00020413">
        <w:rPr>
          <w:rFonts w:ascii="Times New Roman" w:hAnsi="Times New Roman"/>
          <w:sz w:val="24"/>
          <w:szCs w:val="24"/>
        </w:rPr>
        <w:t xml:space="preserve">rates </w:t>
      </w:r>
      <w:r w:rsidR="000D0052" w:rsidRPr="00020413">
        <w:rPr>
          <w:rFonts w:ascii="Times New Roman" w:hAnsi="Times New Roman"/>
          <w:sz w:val="24"/>
          <w:szCs w:val="24"/>
        </w:rPr>
        <w:t xml:space="preserve">as an alternative measure of loan default rates. </w:t>
      </w:r>
      <w:r w:rsidR="00E109BC" w:rsidRPr="00020413">
        <w:rPr>
          <w:rFonts w:ascii="Times New Roman" w:hAnsi="Times New Roman"/>
          <w:sz w:val="24"/>
          <w:szCs w:val="24"/>
        </w:rPr>
        <w:t xml:space="preserve">Table </w:t>
      </w:r>
      <w:r w:rsidR="00C071FB" w:rsidRPr="00020413">
        <w:rPr>
          <w:rFonts w:ascii="Times New Roman" w:hAnsi="Times New Roman"/>
          <w:sz w:val="24"/>
          <w:szCs w:val="24"/>
        </w:rPr>
        <w:t>1</w:t>
      </w:r>
      <w:r w:rsidR="00887689" w:rsidRPr="00020413">
        <w:rPr>
          <w:rFonts w:ascii="Times New Roman" w:hAnsi="Times New Roman"/>
          <w:sz w:val="24"/>
          <w:szCs w:val="24"/>
        </w:rPr>
        <w:t>3</w:t>
      </w:r>
      <w:r w:rsidR="00E109BC" w:rsidRPr="00020413">
        <w:rPr>
          <w:rFonts w:ascii="Times New Roman" w:hAnsi="Times New Roman"/>
          <w:sz w:val="24"/>
          <w:szCs w:val="24"/>
        </w:rPr>
        <w:t xml:space="preserve"> in the appendix presents the mean values of our loan default measure and our main measure of credit information sharing (Depth)</w:t>
      </w:r>
      <w:r w:rsidR="005E5069" w:rsidRPr="00020413">
        <w:rPr>
          <w:rFonts w:ascii="Times New Roman" w:hAnsi="Times New Roman"/>
          <w:sz w:val="24"/>
          <w:szCs w:val="24"/>
        </w:rPr>
        <w:t>.</w:t>
      </w:r>
      <w:r w:rsidR="007A2650" w:rsidRPr="00020413">
        <w:rPr>
          <w:rFonts w:ascii="Times New Roman" w:hAnsi="Times New Roman"/>
          <w:sz w:val="24"/>
          <w:szCs w:val="24"/>
        </w:rPr>
        <w:t xml:space="preserve"> As can be seen</w:t>
      </w:r>
      <w:r w:rsidR="007A1949" w:rsidRPr="00020413">
        <w:rPr>
          <w:rFonts w:ascii="Times New Roman" w:hAnsi="Times New Roman"/>
          <w:sz w:val="24"/>
          <w:szCs w:val="24"/>
        </w:rPr>
        <w:t xml:space="preserve"> from Table </w:t>
      </w:r>
      <w:r w:rsidR="00C071FB" w:rsidRPr="00020413">
        <w:rPr>
          <w:rFonts w:ascii="Times New Roman" w:hAnsi="Times New Roman"/>
          <w:sz w:val="24"/>
          <w:szCs w:val="24"/>
        </w:rPr>
        <w:t>1</w:t>
      </w:r>
      <w:r w:rsidR="00403678" w:rsidRPr="00020413">
        <w:rPr>
          <w:rFonts w:ascii="Times New Roman" w:hAnsi="Times New Roman"/>
          <w:sz w:val="24"/>
          <w:szCs w:val="24"/>
        </w:rPr>
        <w:t>3</w:t>
      </w:r>
      <w:r w:rsidR="007A2650" w:rsidRPr="00020413">
        <w:rPr>
          <w:rFonts w:ascii="Times New Roman" w:hAnsi="Times New Roman"/>
          <w:sz w:val="24"/>
          <w:szCs w:val="24"/>
        </w:rPr>
        <w:t xml:space="preserve">, there is high variability in </w:t>
      </w:r>
      <w:r w:rsidR="00BB5A0E" w:rsidRPr="00020413">
        <w:rPr>
          <w:rFonts w:ascii="Times New Roman" w:hAnsi="Times New Roman"/>
          <w:sz w:val="24"/>
          <w:szCs w:val="24"/>
        </w:rPr>
        <w:t xml:space="preserve">loan default and </w:t>
      </w:r>
      <w:r w:rsidR="007A2650" w:rsidRPr="00020413">
        <w:rPr>
          <w:rFonts w:ascii="Times New Roman" w:hAnsi="Times New Roman"/>
          <w:sz w:val="24"/>
          <w:szCs w:val="24"/>
        </w:rPr>
        <w:t>the depth of credit information sharing across countries in our sample.</w:t>
      </w:r>
    </w:p>
    <w:p w:rsidR="00B95328" w:rsidRPr="00020413" w:rsidRDefault="001115AB" w:rsidP="00960F87">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B95328" w:rsidRPr="00020413">
        <w:rPr>
          <w:rFonts w:ascii="Times New Roman" w:hAnsi="Times New Roman"/>
          <w:b/>
          <w:sz w:val="24"/>
          <w:szCs w:val="24"/>
        </w:rPr>
        <w:t>.2.</w:t>
      </w:r>
      <w:r w:rsidR="00466856" w:rsidRPr="00020413">
        <w:rPr>
          <w:rFonts w:ascii="Times New Roman" w:hAnsi="Times New Roman"/>
          <w:b/>
          <w:sz w:val="24"/>
          <w:szCs w:val="24"/>
        </w:rPr>
        <w:t>2</w:t>
      </w:r>
      <w:r w:rsidR="00533B14" w:rsidRPr="00020413">
        <w:rPr>
          <w:rFonts w:ascii="Times New Roman" w:hAnsi="Times New Roman"/>
          <w:b/>
          <w:sz w:val="24"/>
          <w:szCs w:val="24"/>
        </w:rPr>
        <w:t>. Concentration</w:t>
      </w:r>
    </w:p>
    <w:p w:rsidR="008D0966" w:rsidRPr="00020413" w:rsidRDefault="00C856E0" w:rsidP="00D55D24">
      <w:pPr>
        <w:autoSpaceDE w:val="0"/>
        <w:autoSpaceDN w:val="0"/>
        <w:adjustRightInd w:val="0"/>
        <w:spacing w:after="120" w:line="360" w:lineRule="auto"/>
        <w:jc w:val="both"/>
        <w:rPr>
          <w:rFonts w:ascii="Times New Roman" w:hAnsi="Times New Roman"/>
          <w:sz w:val="24"/>
          <w:szCs w:val="24"/>
          <w:lang w:eastAsia="en-GB"/>
        </w:rPr>
      </w:pPr>
      <w:r w:rsidRPr="00020413">
        <w:rPr>
          <w:rFonts w:ascii="Times New Roman" w:hAnsi="Times New Roman"/>
          <w:sz w:val="24"/>
          <w:szCs w:val="24"/>
        </w:rPr>
        <w:t xml:space="preserve">In the light of </w:t>
      </w:r>
      <w:r w:rsidR="006053C0" w:rsidRPr="00020413">
        <w:rPr>
          <w:rFonts w:ascii="Times New Roman" w:hAnsi="Times New Roman"/>
          <w:sz w:val="24"/>
          <w:szCs w:val="24"/>
        </w:rPr>
        <w:t xml:space="preserve">the </w:t>
      </w:r>
      <w:r w:rsidRPr="00020413">
        <w:rPr>
          <w:rFonts w:ascii="Times New Roman" w:hAnsi="Times New Roman"/>
          <w:sz w:val="24"/>
          <w:szCs w:val="24"/>
        </w:rPr>
        <w:t>extant literature (e.g.</w:t>
      </w:r>
      <w:r w:rsidR="00980E51" w:rsidRPr="00020413">
        <w:rPr>
          <w:rFonts w:ascii="Times New Roman" w:hAnsi="Times New Roman"/>
          <w:sz w:val="24"/>
          <w:szCs w:val="24"/>
        </w:rPr>
        <w:t xml:space="preserve">, </w:t>
      </w:r>
      <w:r w:rsidR="00980E51" w:rsidRPr="00020413">
        <w:rPr>
          <w:rFonts w:ascii="Times New Roman" w:hAnsi="Times New Roman"/>
          <w:sz w:val="24"/>
          <w:szCs w:val="24"/>
          <w:lang w:eastAsia="en-GB"/>
        </w:rPr>
        <w:t>Beck et al., 2006;</w:t>
      </w:r>
      <w:r w:rsidRPr="00020413">
        <w:rPr>
          <w:rFonts w:ascii="Times New Roman" w:hAnsi="Times New Roman"/>
          <w:sz w:val="24"/>
          <w:szCs w:val="24"/>
        </w:rPr>
        <w:t xml:space="preserve"> Fosu, 2014</w:t>
      </w:r>
      <w:r w:rsidR="00141D75" w:rsidRPr="00020413">
        <w:rPr>
          <w:rFonts w:ascii="Times New Roman" w:hAnsi="Times New Roman"/>
          <w:sz w:val="24"/>
          <w:szCs w:val="24"/>
        </w:rPr>
        <w:t>; Dietrich, 2016</w:t>
      </w:r>
      <w:r w:rsidR="00C97EBC" w:rsidRPr="00020413">
        <w:rPr>
          <w:rFonts w:ascii="Times New Roman" w:hAnsi="Times New Roman"/>
          <w:sz w:val="24"/>
          <w:szCs w:val="24"/>
        </w:rPr>
        <w:t>, Chen</w:t>
      </w:r>
      <w:r w:rsidR="0099639F" w:rsidRPr="00020413">
        <w:rPr>
          <w:rFonts w:ascii="Times New Roman" w:hAnsi="Times New Roman"/>
          <w:sz w:val="24"/>
          <w:szCs w:val="24"/>
        </w:rPr>
        <w:t xml:space="preserve"> et al.</w:t>
      </w:r>
      <w:r w:rsidR="00C97EBC" w:rsidRPr="00020413">
        <w:rPr>
          <w:rFonts w:ascii="Times New Roman" w:hAnsi="Times New Roman"/>
          <w:sz w:val="24"/>
          <w:szCs w:val="24"/>
        </w:rPr>
        <w:t>, 2018</w:t>
      </w:r>
      <w:r w:rsidRPr="00020413">
        <w:rPr>
          <w:rFonts w:ascii="Times New Roman" w:hAnsi="Times New Roman"/>
          <w:sz w:val="24"/>
          <w:szCs w:val="24"/>
        </w:rPr>
        <w:t>)</w:t>
      </w:r>
      <w:r w:rsidR="00FC3795" w:rsidRPr="00020413">
        <w:rPr>
          <w:rFonts w:ascii="Times New Roman" w:hAnsi="Times New Roman"/>
          <w:sz w:val="24"/>
          <w:szCs w:val="24"/>
        </w:rPr>
        <w:t>,</w:t>
      </w:r>
      <w:r w:rsidRPr="00020413">
        <w:rPr>
          <w:rFonts w:ascii="Times New Roman" w:hAnsi="Times New Roman"/>
          <w:sz w:val="24"/>
          <w:szCs w:val="24"/>
        </w:rPr>
        <w:t xml:space="preserve"> we measure banking market concentration by using the three-bank concentration </w:t>
      </w:r>
      <w:r w:rsidRPr="00020413">
        <w:rPr>
          <w:rFonts w:ascii="Times New Roman" w:hAnsi="Times New Roman"/>
          <w:sz w:val="24"/>
          <w:szCs w:val="24"/>
        </w:rPr>
        <w:lastRenderedPageBreak/>
        <w:t xml:space="preserve">ratio defined as the share of assets of the </w:t>
      </w:r>
      <w:r w:rsidR="00D02864" w:rsidRPr="00020413">
        <w:rPr>
          <w:rFonts w:ascii="Times New Roman" w:hAnsi="Times New Roman"/>
          <w:sz w:val="24"/>
          <w:szCs w:val="24"/>
        </w:rPr>
        <w:t xml:space="preserve">three </w:t>
      </w:r>
      <w:r w:rsidRPr="00020413">
        <w:rPr>
          <w:rFonts w:ascii="Times New Roman" w:hAnsi="Times New Roman"/>
          <w:sz w:val="24"/>
          <w:szCs w:val="24"/>
        </w:rPr>
        <w:t>largest banks</w:t>
      </w:r>
      <w:r w:rsidR="006053C0" w:rsidRPr="00020413">
        <w:rPr>
          <w:rFonts w:ascii="Times New Roman" w:hAnsi="Times New Roman"/>
          <w:sz w:val="24"/>
          <w:szCs w:val="24"/>
        </w:rPr>
        <w:t xml:space="preserve">, </w:t>
      </w:r>
      <w:r w:rsidR="00AF5010" w:rsidRPr="00020413">
        <w:rPr>
          <w:rFonts w:ascii="Times New Roman" w:hAnsi="Times New Roman"/>
          <w:sz w:val="24"/>
          <w:szCs w:val="24"/>
        </w:rPr>
        <w:t xml:space="preserve">expressed </w:t>
      </w:r>
      <w:r w:rsidRPr="00020413">
        <w:rPr>
          <w:rFonts w:ascii="Times New Roman" w:hAnsi="Times New Roman"/>
          <w:sz w:val="24"/>
          <w:szCs w:val="24"/>
        </w:rPr>
        <w:t>as a percentage of the entire banking assets.</w:t>
      </w:r>
      <w:r w:rsidR="00A93C71" w:rsidRPr="00020413">
        <w:rPr>
          <w:rFonts w:ascii="Times New Roman" w:hAnsi="Times New Roman"/>
          <w:sz w:val="24"/>
          <w:szCs w:val="24"/>
        </w:rPr>
        <w:t xml:space="preserve"> The choice of this measure as against other alternative measures (e.g.</w:t>
      </w:r>
      <w:r w:rsidR="005A6250" w:rsidRPr="00020413">
        <w:rPr>
          <w:rFonts w:ascii="Times New Roman" w:hAnsi="Times New Roman"/>
          <w:sz w:val="24"/>
          <w:szCs w:val="24"/>
        </w:rPr>
        <w:t>,</w:t>
      </w:r>
      <w:r w:rsidR="005E01C0" w:rsidRPr="00020413">
        <w:rPr>
          <w:rFonts w:ascii="Times New Roman" w:hAnsi="Times New Roman"/>
          <w:sz w:val="24"/>
          <w:szCs w:val="24"/>
          <w:lang w:eastAsia="en-GB"/>
        </w:rPr>
        <w:t xml:space="preserve"> the </w:t>
      </w:r>
      <w:r w:rsidR="00E73524" w:rsidRPr="00020413">
        <w:rPr>
          <w:rFonts w:ascii="Times New Roman" w:hAnsi="Times New Roman"/>
          <w:sz w:val="24"/>
          <w:szCs w:val="24"/>
          <w:lang w:eastAsia="en-GB"/>
        </w:rPr>
        <w:t xml:space="preserve">Lerner index, </w:t>
      </w:r>
      <w:r w:rsidR="005E01C0" w:rsidRPr="00020413">
        <w:rPr>
          <w:rFonts w:ascii="Times New Roman" w:hAnsi="Times New Roman"/>
          <w:sz w:val="24"/>
          <w:szCs w:val="24"/>
          <w:lang w:eastAsia="en-GB"/>
        </w:rPr>
        <w:t>Herfindahl–Hirschman Index and five-bank concentration</w:t>
      </w:r>
      <w:r w:rsidR="00E73524" w:rsidRPr="00020413">
        <w:rPr>
          <w:rFonts w:ascii="Times New Roman" w:hAnsi="Times New Roman"/>
          <w:sz w:val="24"/>
          <w:szCs w:val="24"/>
          <w:lang w:eastAsia="en-GB"/>
        </w:rPr>
        <w:t xml:space="preserve"> as in </w:t>
      </w:r>
      <w:r w:rsidR="00BD45F7" w:rsidRPr="00020413">
        <w:rPr>
          <w:rFonts w:ascii="Times New Roman" w:hAnsi="Times New Roman"/>
          <w:sz w:val="24"/>
          <w:szCs w:val="24"/>
          <w:lang w:eastAsia="en-GB"/>
        </w:rPr>
        <w:t xml:space="preserve">Sharma et al. (2015) and </w:t>
      </w:r>
      <w:r w:rsidR="00E73524" w:rsidRPr="00020413">
        <w:rPr>
          <w:rFonts w:ascii="Times New Roman" w:hAnsi="Times New Roman"/>
          <w:sz w:val="24"/>
          <w:szCs w:val="24"/>
          <w:lang w:eastAsia="en-GB"/>
        </w:rPr>
        <w:t>Fosu et al.</w:t>
      </w:r>
      <w:r w:rsidR="00BD45F7" w:rsidRPr="00020413">
        <w:rPr>
          <w:rFonts w:ascii="Times New Roman" w:hAnsi="Times New Roman"/>
          <w:sz w:val="24"/>
          <w:szCs w:val="24"/>
          <w:lang w:eastAsia="en-GB"/>
        </w:rPr>
        <w:t xml:space="preserve"> (</w:t>
      </w:r>
      <w:r w:rsidR="00E73524" w:rsidRPr="00020413">
        <w:rPr>
          <w:rFonts w:ascii="Times New Roman" w:hAnsi="Times New Roman"/>
          <w:sz w:val="24"/>
          <w:szCs w:val="24"/>
          <w:lang w:eastAsia="en-GB"/>
        </w:rPr>
        <w:t>2018</w:t>
      </w:r>
      <w:r w:rsidR="00BD45F7" w:rsidRPr="00020413">
        <w:rPr>
          <w:rFonts w:ascii="Times New Roman" w:hAnsi="Times New Roman"/>
          <w:sz w:val="24"/>
          <w:szCs w:val="24"/>
          <w:lang w:eastAsia="en-GB"/>
        </w:rPr>
        <w:t>)</w:t>
      </w:r>
      <w:r w:rsidR="00A93C71" w:rsidRPr="00020413">
        <w:rPr>
          <w:rFonts w:ascii="Times New Roman" w:hAnsi="Times New Roman"/>
          <w:sz w:val="24"/>
          <w:szCs w:val="24"/>
        </w:rPr>
        <w:t xml:space="preserve">) is due to </w:t>
      </w:r>
      <w:r w:rsidR="005E01C0" w:rsidRPr="00020413">
        <w:rPr>
          <w:rFonts w:ascii="Times New Roman" w:hAnsi="Times New Roman"/>
          <w:sz w:val="24"/>
          <w:szCs w:val="24"/>
        </w:rPr>
        <w:t xml:space="preserve">the fact that the sample size changes over the sample period and this could lead to a measurement </w:t>
      </w:r>
      <w:r w:rsidR="00A12F29" w:rsidRPr="00020413">
        <w:rPr>
          <w:rFonts w:ascii="Times New Roman" w:hAnsi="Times New Roman"/>
          <w:sz w:val="24"/>
          <w:szCs w:val="24"/>
        </w:rPr>
        <w:t xml:space="preserve">error </w:t>
      </w:r>
      <w:r w:rsidR="00980E51" w:rsidRPr="00020413">
        <w:rPr>
          <w:rFonts w:ascii="Times New Roman" w:hAnsi="Times New Roman"/>
          <w:sz w:val="24"/>
          <w:szCs w:val="24"/>
        </w:rPr>
        <w:t>if we utilised more than the top three banks</w:t>
      </w:r>
      <w:r w:rsidR="00980E51" w:rsidRPr="00020413" w:rsidDel="00980E51">
        <w:rPr>
          <w:rFonts w:ascii="Times New Roman" w:hAnsi="Times New Roman"/>
          <w:sz w:val="24"/>
          <w:szCs w:val="24"/>
        </w:rPr>
        <w:t xml:space="preserve"> </w:t>
      </w:r>
      <w:r w:rsidR="005E01C0" w:rsidRPr="00020413">
        <w:rPr>
          <w:rFonts w:ascii="Times New Roman" w:hAnsi="Times New Roman"/>
          <w:sz w:val="24"/>
          <w:szCs w:val="24"/>
        </w:rPr>
        <w:t>(</w:t>
      </w:r>
      <w:r w:rsidR="00980E51" w:rsidRPr="00020413">
        <w:rPr>
          <w:rFonts w:ascii="Times New Roman" w:hAnsi="Times New Roman"/>
          <w:sz w:val="24"/>
          <w:szCs w:val="24"/>
        </w:rPr>
        <w:t>see</w:t>
      </w:r>
      <w:r w:rsidR="005E01C0" w:rsidRPr="00020413">
        <w:rPr>
          <w:rFonts w:ascii="Times New Roman" w:hAnsi="Times New Roman"/>
          <w:sz w:val="24"/>
          <w:szCs w:val="24"/>
        </w:rPr>
        <w:t xml:space="preserve"> </w:t>
      </w:r>
      <w:r w:rsidR="005E01C0" w:rsidRPr="00020413">
        <w:rPr>
          <w:rFonts w:ascii="Times New Roman" w:hAnsi="Times New Roman"/>
          <w:sz w:val="24"/>
          <w:szCs w:val="24"/>
          <w:lang w:eastAsia="en-GB"/>
        </w:rPr>
        <w:t>Beck</w:t>
      </w:r>
      <w:r w:rsidR="005D2849" w:rsidRPr="00020413">
        <w:rPr>
          <w:rFonts w:ascii="Times New Roman" w:hAnsi="Times New Roman"/>
          <w:sz w:val="24"/>
          <w:szCs w:val="24"/>
          <w:lang w:eastAsia="en-GB"/>
        </w:rPr>
        <w:t xml:space="preserve"> et al.</w:t>
      </w:r>
      <w:r w:rsidR="005E01C0" w:rsidRPr="00020413">
        <w:rPr>
          <w:rFonts w:ascii="Times New Roman" w:hAnsi="Times New Roman"/>
          <w:sz w:val="24"/>
          <w:szCs w:val="24"/>
          <w:lang w:eastAsia="en-GB"/>
        </w:rPr>
        <w:t>, 2006)</w:t>
      </w:r>
      <w:r w:rsidR="005E01C0" w:rsidRPr="00020413">
        <w:rPr>
          <w:rFonts w:ascii="Times New Roman" w:hAnsi="Times New Roman"/>
          <w:sz w:val="24"/>
          <w:szCs w:val="24"/>
        </w:rPr>
        <w:t>.</w:t>
      </w:r>
    </w:p>
    <w:p w:rsidR="00533B14" w:rsidRPr="00020413" w:rsidRDefault="001115AB" w:rsidP="00BE37AD">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533B14" w:rsidRPr="00020413">
        <w:rPr>
          <w:rFonts w:ascii="Times New Roman" w:hAnsi="Times New Roman"/>
          <w:b/>
          <w:sz w:val="24"/>
          <w:szCs w:val="24"/>
        </w:rPr>
        <w:t>.2.</w:t>
      </w:r>
      <w:r w:rsidR="00466856" w:rsidRPr="00020413">
        <w:rPr>
          <w:rFonts w:ascii="Times New Roman" w:hAnsi="Times New Roman"/>
          <w:b/>
          <w:sz w:val="24"/>
          <w:szCs w:val="24"/>
        </w:rPr>
        <w:t>3</w:t>
      </w:r>
      <w:r w:rsidR="00533B14" w:rsidRPr="00020413">
        <w:rPr>
          <w:rFonts w:ascii="Times New Roman" w:hAnsi="Times New Roman"/>
          <w:b/>
          <w:sz w:val="24"/>
          <w:szCs w:val="24"/>
        </w:rPr>
        <w:t xml:space="preserve">. Other </w:t>
      </w:r>
      <w:r w:rsidR="005B765A" w:rsidRPr="00020413">
        <w:rPr>
          <w:rFonts w:ascii="Times New Roman" w:hAnsi="Times New Roman"/>
          <w:b/>
          <w:sz w:val="24"/>
          <w:szCs w:val="24"/>
        </w:rPr>
        <w:t>bank</w:t>
      </w:r>
      <w:r w:rsidR="000F7B31" w:rsidRPr="00020413">
        <w:rPr>
          <w:rFonts w:ascii="Times New Roman" w:hAnsi="Times New Roman"/>
          <w:b/>
          <w:sz w:val="24"/>
          <w:szCs w:val="24"/>
        </w:rPr>
        <w:t>-</w:t>
      </w:r>
      <w:r w:rsidR="00533B14" w:rsidRPr="00020413">
        <w:rPr>
          <w:rFonts w:ascii="Times New Roman" w:hAnsi="Times New Roman"/>
          <w:b/>
          <w:sz w:val="24"/>
          <w:szCs w:val="24"/>
        </w:rPr>
        <w:t xml:space="preserve">specific </w:t>
      </w:r>
      <w:r w:rsidR="005B765A" w:rsidRPr="00020413">
        <w:rPr>
          <w:rFonts w:ascii="Times New Roman" w:hAnsi="Times New Roman"/>
          <w:b/>
          <w:sz w:val="24"/>
          <w:szCs w:val="24"/>
        </w:rPr>
        <w:t>f</w:t>
      </w:r>
      <w:r w:rsidR="00533B14" w:rsidRPr="00020413">
        <w:rPr>
          <w:rFonts w:ascii="Times New Roman" w:hAnsi="Times New Roman"/>
          <w:b/>
          <w:sz w:val="24"/>
          <w:szCs w:val="24"/>
        </w:rPr>
        <w:t>actors</w:t>
      </w:r>
    </w:p>
    <w:p w:rsidR="004D38DC" w:rsidRPr="00020413" w:rsidRDefault="004D38DC"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 econometric models we specify in our study also account for other bank-specific variables. These include </w:t>
      </w:r>
      <w:r w:rsidR="00085C6A" w:rsidRPr="00020413">
        <w:rPr>
          <w:rFonts w:ascii="Times New Roman" w:hAnsi="Times New Roman"/>
          <w:sz w:val="24"/>
          <w:szCs w:val="24"/>
        </w:rPr>
        <w:t xml:space="preserve">bank </w:t>
      </w:r>
      <w:r w:rsidRPr="00020413">
        <w:rPr>
          <w:rFonts w:ascii="Times New Roman" w:hAnsi="Times New Roman"/>
          <w:sz w:val="24"/>
          <w:szCs w:val="24"/>
        </w:rPr>
        <w:t xml:space="preserve">size, lending specialisation, bank capital and profit. Bank size may be an important determinant of loan default because larger banks can assume a </w:t>
      </w:r>
      <w:r w:rsidR="009E2F0F" w:rsidRPr="00020413">
        <w:rPr>
          <w:rFonts w:ascii="Times New Roman" w:hAnsi="Times New Roman"/>
          <w:sz w:val="24"/>
          <w:szCs w:val="24"/>
        </w:rPr>
        <w:t>‘</w:t>
      </w:r>
      <w:r w:rsidRPr="00020413">
        <w:rPr>
          <w:rFonts w:ascii="Times New Roman" w:hAnsi="Times New Roman"/>
          <w:sz w:val="24"/>
          <w:szCs w:val="24"/>
        </w:rPr>
        <w:t>too</w:t>
      </w:r>
      <w:r w:rsidR="006405D0" w:rsidRPr="00020413">
        <w:rPr>
          <w:rFonts w:ascii="Times New Roman" w:hAnsi="Times New Roman"/>
          <w:sz w:val="24"/>
          <w:szCs w:val="24"/>
        </w:rPr>
        <w:t>-</w:t>
      </w:r>
      <w:r w:rsidRPr="00020413">
        <w:rPr>
          <w:rFonts w:ascii="Times New Roman" w:hAnsi="Times New Roman"/>
          <w:sz w:val="24"/>
          <w:szCs w:val="24"/>
        </w:rPr>
        <w:t>big</w:t>
      </w:r>
      <w:r w:rsidR="006405D0" w:rsidRPr="00020413">
        <w:rPr>
          <w:rFonts w:ascii="Times New Roman" w:hAnsi="Times New Roman"/>
          <w:sz w:val="24"/>
          <w:szCs w:val="24"/>
        </w:rPr>
        <w:t>-</w:t>
      </w:r>
      <w:r w:rsidRPr="00020413">
        <w:rPr>
          <w:rFonts w:ascii="Times New Roman" w:hAnsi="Times New Roman"/>
          <w:sz w:val="24"/>
          <w:szCs w:val="24"/>
        </w:rPr>
        <w:t>to</w:t>
      </w:r>
      <w:r w:rsidR="006405D0" w:rsidRPr="00020413">
        <w:rPr>
          <w:rFonts w:ascii="Times New Roman" w:hAnsi="Times New Roman"/>
          <w:sz w:val="24"/>
          <w:szCs w:val="24"/>
        </w:rPr>
        <w:t>-</w:t>
      </w:r>
      <w:r w:rsidRPr="00020413">
        <w:rPr>
          <w:rFonts w:ascii="Times New Roman" w:hAnsi="Times New Roman"/>
          <w:sz w:val="24"/>
          <w:szCs w:val="24"/>
        </w:rPr>
        <w:t>fail</w:t>
      </w:r>
      <w:r w:rsidR="009E2F0F" w:rsidRPr="00020413">
        <w:rPr>
          <w:rFonts w:ascii="Times New Roman" w:hAnsi="Times New Roman"/>
          <w:sz w:val="24"/>
          <w:szCs w:val="24"/>
        </w:rPr>
        <w:t>’</w:t>
      </w:r>
      <w:r w:rsidRPr="00020413">
        <w:rPr>
          <w:rFonts w:ascii="Times New Roman" w:hAnsi="Times New Roman"/>
          <w:sz w:val="24"/>
          <w:szCs w:val="24"/>
        </w:rPr>
        <w:t xml:space="preserve"> </w:t>
      </w:r>
      <w:r w:rsidR="00085C6A" w:rsidRPr="00020413">
        <w:rPr>
          <w:rFonts w:ascii="Times New Roman" w:hAnsi="Times New Roman"/>
          <w:sz w:val="24"/>
          <w:szCs w:val="24"/>
        </w:rPr>
        <w:t xml:space="preserve">attitude </w:t>
      </w:r>
      <w:r w:rsidRPr="00020413">
        <w:rPr>
          <w:rFonts w:ascii="Times New Roman" w:hAnsi="Times New Roman"/>
          <w:sz w:val="24"/>
          <w:szCs w:val="24"/>
        </w:rPr>
        <w:t xml:space="preserve">and </w:t>
      </w:r>
      <w:r w:rsidR="00935990" w:rsidRPr="00020413">
        <w:rPr>
          <w:rFonts w:ascii="Times New Roman" w:hAnsi="Times New Roman"/>
          <w:sz w:val="24"/>
          <w:szCs w:val="24"/>
        </w:rPr>
        <w:t>thus</w:t>
      </w:r>
      <w:r w:rsidR="00085C6A" w:rsidRPr="00020413">
        <w:rPr>
          <w:rFonts w:ascii="Times New Roman" w:hAnsi="Times New Roman"/>
          <w:sz w:val="24"/>
          <w:szCs w:val="24"/>
        </w:rPr>
        <w:t xml:space="preserve"> </w:t>
      </w:r>
      <w:r w:rsidRPr="00020413">
        <w:rPr>
          <w:rFonts w:ascii="Times New Roman" w:hAnsi="Times New Roman"/>
          <w:sz w:val="24"/>
          <w:szCs w:val="24"/>
        </w:rPr>
        <w:t>engage in more risky lending (</w:t>
      </w:r>
      <w:r w:rsidRPr="00020413">
        <w:rPr>
          <w:rFonts w:ascii="Times New Roman" w:hAnsi="Times New Roman"/>
          <w:sz w:val="24"/>
          <w:szCs w:val="24"/>
          <w:shd w:val="clear" w:color="auto" w:fill="FFFFFF"/>
        </w:rPr>
        <w:t xml:space="preserve">Kane, 2010; </w:t>
      </w:r>
      <w:r w:rsidRPr="00020413">
        <w:rPr>
          <w:rFonts w:ascii="Times New Roman" w:hAnsi="Times New Roman"/>
          <w:sz w:val="24"/>
          <w:szCs w:val="24"/>
          <w:lang w:eastAsia="en-GB"/>
        </w:rPr>
        <w:t>Acharya et al.,</w:t>
      </w:r>
      <w:r w:rsidRPr="00020413">
        <w:rPr>
          <w:rFonts w:ascii="Times New Roman" w:hAnsi="Times New Roman"/>
          <w:sz w:val="24"/>
          <w:szCs w:val="24"/>
          <w:shd w:val="clear" w:color="auto" w:fill="FFFFFF"/>
        </w:rPr>
        <w:t xml:space="preserve"> 2013; Ghosh, 2013</w:t>
      </w:r>
      <w:r w:rsidR="009B5282" w:rsidRPr="00020413">
        <w:rPr>
          <w:rFonts w:ascii="Times New Roman" w:hAnsi="Times New Roman"/>
          <w:sz w:val="24"/>
          <w:szCs w:val="24"/>
          <w:shd w:val="clear" w:color="auto" w:fill="FFFFFF"/>
        </w:rPr>
        <w:t>;</w:t>
      </w:r>
      <w:r w:rsidR="006368EE" w:rsidRPr="00020413">
        <w:rPr>
          <w:rFonts w:ascii="Times New Roman" w:hAnsi="Times New Roman"/>
          <w:sz w:val="24"/>
          <w:szCs w:val="24"/>
          <w:shd w:val="clear" w:color="auto" w:fill="FFFFFF"/>
        </w:rPr>
        <w:t xml:space="preserve"> Hu and Mao, 2017;</w:t>
      </w:r>
      <w:r w:rsidR="009B5282" w:rsidRPr="00020413">
        <w:rPr>
          <w:rFonts w:ascii="Times New Roman" w:hAnsi="Times New Roman"/>
          <w:sz w:val="24"/>
          <w:szCs w:val="24"/>
          <w:shd w:val="clear" w:color="auto" w:fill="FFFFFF"/>
        </w:rPr>
        <w:t xml:space="preserve"> </w:t>
      </w:r>
      <w:proofErr w:type="spellStart"/>
      <w:r w:rsidR="00A12BBF" w:rsidRPr="00020413">
        <w:rPr>
          <w:rFonts w:ascii="Times New Roman" w:hAnsi="Times New Roman"/>
          <w:sz w:val="24"/>
          <w:szCs w:val="24"/>
          <w:shd w:val="clear" w:color="auto" w:fill="FFFFFF"/>
        </w:rPr>
        <w:t>Goenner</w:t>
      </w:r>
      <w:proofErr w:type="spellEnd"/>
      <w:r w:rsidR="009B5282" w:rsidRPr="00020413">
        <w:rPr>
          <w:rFonts w:ascii="Times New Roman" w:hAnsi="Times New Roman"/>
          <w:sz w:val="24"/>
          <w:szCs w:val="24"/>
          <w:shd w:val="clear" w:color="auto" w:fill="FFFFFF"/>
        </w:rPr>
        <w:t>, 2018</w:t>
      </w:r>
      <w:r w:rsidRPr="00020413">
        <w:rPr>
          <w:rFonts w:ascii="Times New Roman" w:hAnsi="Times New Roman"/>
          <w:sz w:val="24"/>
          <w:szCs w:val="24"/>
          <w:shd w:val="clear" w:color="auto" w:fill="FFFFFF"/>
        </w:rPr>
        <w:t>)</w:t>
      </w:r>
      <w:r w:rsidR="00184599" w:rsidRPr="00020413">
        <w:rPr>
          <w:rFonts w:ascii="Times New Roman" w:hAnsi="Times New Roman"/>
          <w:sz w:val="24"/>
          <w:szCs w:val="24"/>
          <w:shd w:val="clear" w:color="auto" w:fill="FFFFFF"/>
        </w:rPr>
        <w:t>. This can</w:t>
      </w:r>
      <w:r w:rsidR="00085C6A" w:rsidRPr="00020413">
        <w:rPr>
          <w:rFonts w:ascii="Times New Roman" w:hAnsi="Times New Roman"/>
          <w:sz w:val="24"/>
          <w:szCs w:val="24"/>
          <w:shd w:val="clear" w:color="auto" w:fill="FFFFFF"/>
        </w:rPr>
        <w:t xml:space="preserve"> </w:t>
      </w:r>
      <w:r w:rsidR="00184599" w:rsidRPr="00020413">
        <w:rPr>
          <w:rFonts w:ascii="Times New Roman" w:hAnsi="Times New Roman"/>
          <w:sz w:val="24"/>
          <w:szCs w:val="24"/>
          <w:shd w:val="clear" w:color="auto" w:fill="FFFFFF"/>
        </w:rPr>
        <w:t>result</w:t>
      </w:r>
      <w:r w:rsidR="00085C6A" w:rsidRPr="00020413">
        <w:rPr>
          <w:rFonts w:ascii="Times New Roman" w:hAnsi="Times New Roman"/>
          <w:sz w:val="24"/>
          <w:szCs w:val="24"/>
          <w:shd w:val="clear" w:color="auto" w:fill="FFFFFF"/>
        </w:rPr>
        <w:t xml:space="preserve"> in increased loan default rate</w:t>
      </w:r>
      <w:r w:rsidRPr="00020413">
        <w:rPr>
          <w:rFonts w:ascii="Times New Roman" w:hAnsi="Times New Roman"/>
          <w:sz w:val="24"/>
          <w:szCs w:val="24"/>
        </w:rPr>
        <w:t xml:space="preserve">. </w:t>
      </w:r>
      <w:r w:rsidR="00E95CB3" w:rsidRPr="00020413">
        <w:rPr>
          <w:rFonts w:ascii="Times New Roman" w:hAnsi="Times New Roman"/>
          <w:sz w:val="24"/>
          <w:szCs w:val="24"/>
        </w:rPr>
        <w:t>Bank s</w:t>
      </w:r>
      <w:r w:rsidRPr="00020413">
        <w:rPr>
          <w:rFonts w:ascii="Times New Roman" w:hAnsi="Times New Roman"/>
          <w:sz w:val="24"/>
          <w:szCs w:val="24"/>
        </w:rPr>
        <w:t>ize is defined as the logarithm of total bank assets. An increase in the lending specialisation may lead to an increase in efficiency, hence</w:t>
      </w:r>
      <w:r w:rsidR="003225ED" w:rsidRPr="00020413">
        <w:rPr>
          <w:rFonts w:ascii="Times New Roman" w:hAnsi="Times New Roman"/>
          <w:sz w:val="24"/>
          <w:szCs w:val="24"/>
        </w:rPr>
        <w:t>,</w:t>
      </w:r>
      <w:r w:rsidRPr="00020413">
        <w:rPr>
          <w:rFonts w:ascii="Times New Roman" w:hAnsi="Times New Roman"/>
          <w:sz w:val="24"/>
          <w:szCs w:val="24"/>
        </w:rPr>
        <w:t xml:space="preserve"> a lower loan default rate (e.g.</w:t>
      </w:r>
      <w:r w:rsidR="00E57C41" w:rsidRPr="00020413">
        <w:rPr>
          <w:rFonts w:ascii="Times New Roman" w:hAnsi="Times New Roman"/>
          <w:sz w:val="24"/>
          <w:szCs w:val="24"/>
        </w:rPr>
        <w:t>,</w:t>
      </w:r>
      <w:r w:rsidRPr="00020413">
        <w:rPr>
          <w:rFonts w:ascii="Times New Roman" w:hAnsi="Times New Roman"/>
          <w:sz w:val="24"/>
          <w:szCs w:val="24"/>
        </w:rPr>
        <w:t xml:space="preserve"> </w:t>
      </w:r>
      <w:r w:rsidRPr="00020413">
        <w:rPr>
          <w:rFonts w:ascii="Times New Roman" w:hAnsi="Times New Roman"/>
          <w:sz w:val="24"/>
          <w:szCs w:val="20"/>
          <w:shd w:val="clear" w:color="auto" w:fill="FFFFFF"/>
        </w:rPr>
        <w:t xml:space="preserve">Petersen and </w:t>
      </w:r>
      <w:proofErr w:type="spellStart"/>
      <w:r w:rsidRPr="00020413">
        <w:rPr>
          <w:rFonts w:ascii="Times New Roman" w:hAnsi="Times New Roman"/>
          <w:sz w:val="24"/>
          <w:szCs w:val="20"/>
          <w:shd w:val="clear" w:color="auto" w:fill="FFFFFF"/>
        </w:rPr>
        <w:t>Rajan</w:t>
      </w:r>
      <w:proofErr w:type="spellEnd"/>
      <w:r w:rsidRPr="00020413">
        <w:rPr>
          <w:rFonts w:ascii="Times New Roman" w:hAnsi="Times New Roman"/>
          <w:sz w:val="24"/>
          <w:szCs w:val="20"/>
          <w:shd w:val="clear" w:color="auto" w:fill="FFFFFF"/>
        </w:rPr>
        <w:t xml:space="preserve"> 1995</w:t>
      </w:r>
      <w:r w:rsidRPr="00020413">
        <w:rPr>
          <w:rFonts w:ascii="Times New Roman" w:hAnsi="Times New Roman"/>
          <w:sz w:val="24"/>
          <w:szCs w:val="24"/>
          <w:shd w:val="clear" w:color="auto" w:fill="FFFFFF"/>
        </w:rPr>
        <w:t xml:space="preserve">). </w:t>
      </w:r>
      <w:r w:rsidRPr="00020413">
        <w:rPr>
          <w:rFonts w:ascii="Times New Roman" w:hAnsi="Times New Roman"/>
          <w:sz w:val="24"/>
          <w:szCs w:val="24"/>
        </w:rPr>
        <w:t xml:space="preserve">However, increased lending growth driven by supply side incentives can lead to less stringent </w:t>
      </w:r>
      <w:r w:rsidR="006053C0" w:rsidRPr="00020413">
        <w:rPr>
          <w:rFonts w:ascii="Times New Roman" w:hAnsi="Times New Roman"/>
          <w:sz w:val="24"/>
          <w:szCs w:val="24"/>
        </w:rPr>
        <w:t xml:space="preserve">lending </w:t>
      </w:r>
      <w:r w:rsidRPr="00020413">
        <w:rPr>
          <w:rFonts w:ascii="Times New Roman" w:hAnsi="Times New Roman"/>
          <w:sz w:val="24"/>
          <w:szCs w:val="24"/>
        </w:rPr>
        <w:t>and ultimately increase</w:t>
      </w:r>
      <w:r w:rsidR="004D0825" w:rsidRPr="00020413">
        <w:rPr>
          <w:rFonts w:ascii="Times New Roman" w:hAnsi="Times New Roman"/>
          <w:sz w:val="24"/>
          <w:szCs w:val="24"/>
        </w:rPr>
        <w:t>d</w:t>
      </w:r>
      <w:r w:rsidRPr="00020413">
        <w:rPr>
          <w:rFonts w:ascii="Times New Roman" w:hAnsi="Times New Roman"/>
          <w:sz w:val="24"/>
          <w:szCs w:val="24"/>
        </w:rPr>
        <w:t xml:space="preserve"> loan default</w:t>
      </w:r>
      <w:r w:rsidR="004D0825" w:rsidRPr="00020413">
        <w:rPr>
          <w:rFonts w:ascii="Times New Roman" w:hAnsi="Times New Roman"/>
          <w:sz w:val="24"/>
          <w:szCs w:val="24"/>
        </w:rPr>
        <w:t xml:space="preserve"> rate</w:t>
      </w:r>
      <w:r w:rsidRPr="00020413">
        <w:rPr>
          <w:rFonts w:ascii="Times New Roman" w:hAnsi="Times New Roman"/>
          <w:sz w:val="24"/>
          <w:szCs w:val="24"/>
        </w:rPr>
        <w:t xml:space="preserve"> (Keeton, 2013).</w:t>
      </w:r>
      <w:r w:rsidR="00925384" w:rsidRPr="00020413">
        <w:rPr>
          <w:rFonts w:ascii="Times New Roman" w:hAnsi="Times New Roman"/>
          <w:sz w:val="24"/>
          <w:szCs w:val="24"/>
        </w:rPr>
        <w:t xml:space="preserve"> We measure lending specialisation as the percentage of total loans to total assets.</w:t>
      </w:r>
    </w:p>
    <w:p w:rsidR="009526EC" w:rsidRPr="00020413" w:rsidRDefault="006053C0" w:rsidP="008710DB">
      <w:pPr>
        <w:spacing w:after="120" w:line="360" w:lineRule="auto"/>
        <w:jc w:val="both"/>
        <w:rPr>
          <w:rFonts w:ascii="Times New Roman" w:hAnsi="Times New Roman"/>
          <w:sz w:val="24"/>
          <w:szCs w:val="24"/>
        </w:rPr>
      </w:pPr>
      <w:r w:rsidRPr="00020413">
        <w:rPr>
          <w:rFonts w:ascii="Times New Roman" w:hAnsi="Times New Roman"/>
          <w:sz w:val="24"/>
          <w:szCs w:val="24"/>
        </w:rPr>
        <w:t>Furthermore, b</w:t>
      </w:r>
      <w:r w:rsidR="004D38DC" w:rsidRPr="00020413">
        <w:rPr>
          <w:rFonts w:ascii="Times New Roman" w:hAnsi="Times New Roman"/>
          <w:sz w:val="24"/>
          <w:szCs w:val="24"/>
        </w:rPr>
        <w:t>ank capital accounts for the effects of leverage on risk level and the required risk premium (</w:t>
      </w:r>
      <w:proofErr w:type="spellStart"/>
      <w:r w:rsidR="004D38DC" w:rsidRPr="00020413">
        <w:rPr>
          <w:rFonts w:ascii="Times New Roman" w:hAnsi="Times New Roman"/>
          <w:sz w:val="24"/>
          <w:szCs w:val="24"/>
          <w:shd w:val="clear" w:color="auto" w:fill="FFFFFF"/>
        </w:rPr>
        <w:t>Lepetit</w:t>
      </w:r>
      <w:proofErr w:type="spellEnd"/>
      <w:r w:rsidR="004D38DC" w:rsidRPr="00020413">
        <w:rPr>
          <w:rFonts w:ascii="Times New Roman" w:hAnsi="Times New Roman"/>
          <w:sz w:val="24"/>
          <w:szCs w:val="24"/>
          <w:shd w:val="clear" w:color="auto" w:fill="FFFFFF"/>
        </w:rPr>
        <w:t xml:space="preserve"> et al., 2008).</w:t>
      </w:r>
      <w:r w:rsidR="004D38DC" w:rsidRPr="00020413">
        <w:rPr>
          <w:rFonts w:ascii="Times New Roman" w:hAnsi="Times New Roman"/>
          <w:sz w:val="24"/>
          <w:szCs w:val="24"/>
        </w:rPr>
        <w:t xml:space="preserve"> From </w:t>
      </w:r>
      <w:r w:rsidR="009E2F0F" w:rsidRPr="00020413">
        <w:rPr>
          <w:rFonts w:ascii="Times New Roman" w:hAnsi="Times New Roman"/>
          <w:sz w:val="24"/>
          <w:szCs w:val="24"/>
        </w:rPr>
        <w:t xml:space="preserve">a </w:t>
      </w:r>
      <w:r w:rsidR="004D38DC" w:rsidRPr="00020413">
        <w:rPr>
          <w:rFonts w:ascii="Times New Roman" w:hAnsi="Times New Roman"/>
          <w:sz w:val="24"/>
          <w:szCs w:val="24"/>
        </w:rPr>
        <w:t>moral hazard perspective, banks with significant equity capital may have lower incentives to take risk (Sharpe, 1978; Furlong and Keeley, 1989). However, the ‘too-big-</w:t>
      </w:r>
      <w:r w:rsidRPr="00020413">
        <w:rPr>
          <w:rFonts w:ascii="Times New Roman" w:hAnsi="Times New Roman"/>
          <w:sz w:val="24"/>
          <w:szCs w:val="24"/>
        </w:rPr>
        <w:t>to-</w:t>
      </w:r>
      <w:r w:rsidR="004D38DC" w:rsidRPr="00020413">
        <w:rPr>
          <w:rFonts w:ascii="Times New Roman" w:hAnsi="Times New Roman"/>
          <w:sz w:val="24"/>
          <w:szCs w:val="24"/>
        </w:rPr>
        <w:t xml:space="preserve">fail’ hypothesis suggests that highly capitalised banks may have stronger incentives to engage in more risky lending due to </w:t>
      </w:r>
      <w:r w:rsidR="009E2F0F" w:rsidRPr="00020413">
        <w:rPr>
          <w:rFonts w:ascii="Times New Roman" w:hAnsi="Times New Roman"/>
          <w:sz w:val="24"/>
          <w:szCs w:val="24"/>
        </w:rPr>
        <w:t xml:space="preserve">their </w:t>
      </w:r>
      <w:r w:rsidR="004D38DC" w:rsidRPr="00020413">
        <w:rPr>
          <w:rFonts w:ascii="Times New Roman" w:hAnsi="Times New Roman"/>
          <w:sz w:val="24"/>
          <w:szCs w:val="24"/>
        </w:rPr>
        <w:t xml:space="preserve">larger capital base </w:t>
      </w:r>
      <w:r w:rsidR="004D38DC" w:rsidRPr="00020413">
        <w:rPr>
          <w:rFonts w:ascii="Times New Roman" w:hAnsi="Times New Roman"/>
          <w:sz w:val="24"/>
          <w:szCs w:val="24"/>
          <w:shd w:val="clear" w:color="auto" w:fill="FFFFFF"/>
        </w:rPr>
        <w:t xml:space="preserve">(Kane, 2010; </w:t>
      </w:r>
      <w:r w:rsidR="004D38DC" w:rsidRPr="00020413">
        <w:rPr>
          <w:rFonts w:ascii="Times New Roman" w:hAnsi="Times New Roman"/>
          <w:sz w:val="24"/>
          <w:szCs w:val="24"/>
          <w:lang w:eastAsia="en-GB"/>
        </w:rPr>
        <w:t>Acharya et al.,</w:t>
      </w:r>
      <w:r w:rsidR="004D38DC" w:rsidRPr="00020413">
        <w:rPr>
          <w:rFonts w:ascii="Times New Roman" w:hAnsi="Times New Roman"/>
          <w:sz w:val="24"/>
          <w:szCs w:val="24"/>
          <w:shd w:val="clear" w:color="auto" w:fill="FFFFFF"/>
        </w:rPr>
        <w:t xml:space="preserve"> 2013). Thus, the impact of capital on bank default ca</w:t>
      </w:r>
      <w:r w:rsidR="009E2F0F" w:rsidRPr="00020413">
        <w:rPr>
          <w:rFonts w:ascii="Times New Roman" w:hAnsi="Times New Roman"/>
          <w:sz w:val="24"/>
          <w:szCs w:val="24"/>
          <w:shd w:val="clear" w:color="auto" w:fill="FFFFFF"/>
        </w:rPr>
        <w:t>n</w:t>
      </w:r>
      <w:r w:rsidR="004D38DC" w:rsidRPr="00020413">
        <w:rPr>
          <w:rFonts w:ascii="Times New Roman" w:hAnsi="Times New Roman"/>
          <w:sz w:val="24"/>
          <w:szCs w:val="24"/>
          <w:shd w:val="clear" w:color="auto" w:fill="FFFFFF"/>
        </w:rPr>
        <w:t xml:space="preserve"> be ambiguous. Bank capital </w:t>
      </w:r>
      <w:r w:rsidR="004D38DC" w:rsidRPr="00020413">
        <w:rPr>
          <w:rFonts w:ascii="Times New Roman" w:hAnsi="Times New Roman"/>
          <w:sz w:val="24"/>
          <w:szCs w:val="24"/>
        </w:rPr>
        <w:t>is measured as the ratio of book value of equity to total assets</w:t>
      </w:r>
      <w:r w:rsidR="008710DB" w:rsidRPr="00020413">
        <w:rPr>
          <w:rFonts w:ascii="Times New Roman" w:hAnsi="Times New Roman"/>
          <w:sz w:val="24"/>
          <w:szCs w:val="24"/>
        </w:rPr>
        <w:t>.</w:t>
      </w:r>
      <w:r w:rsidRPr="00020413">
        <w:rPr>
          <w:rFonts w:ascii="Times New Roman" w:hAnsi="Times New Roman"/>
          <w:sz w:val="24"/>
          <w:szCs w:val="24"/>
        </w:rPr>
        <w:t xml:space="preserve"> </w:t>
      </w:r>
      <w:r w:rsidR="004D38DC" w:rsidRPr="00020413">
        <w:rPr>
          <w:rFonts w:ascii="Times New Roman" w:hAnsi="Times New Roman"/>
          <w:sz w:val="24"/>
          <w:szCs w:val="24"/>
        </w:rPr>
        <w:t>Finally, bank profitability may be associated with managerial efficiency</w:t>
      </w:r>
      <w:r w:rsidR="009E2F0F" w:rsidRPr="00020413">
        <w:rPr>
          <w:rFonts w:ascii="Times New Roman" w:hAnsi="Times New Roman"/>
          <w:sz w:val="24"/>
          <w:szCs w:val="24"/>
        </w:rPr>
        <w:t>,</w:t>
      </w:r>
      <w:r w:rsidR="004D38DC" w:rsidRPr="00020413">
        <w:rPr>
          <w:rFonts w:ascii="Times New Roman" w:hAnsi="Times New Roman"/>
          <w:sz w:val="24"/>
          <w:szCs w:val="24"/>
        </w:rPr>
        <w:t xml:space="preserve"> in which case highly profitable banks are expected to have </w:t>
      </w:r>
      <w:r w:rsidR="009E2F0F" w:rsidRPr="00020413">
        <w:rPr>
          <w:rFonts w:ascii="Times New Roman" w:hAnsi="Times New Roman"/>
          <w:sz w:val="24"/>
          <w:szCs w:val="24"/>
        </w:rPr>
        <w:t xml:space="preserve">a </w:t>
      </w:r>
      <w:r w:rsidR="004D38DC" w:rsidRPr="00020413">
        <w:rPr>
          <w:rFonts w:ascii="Times New Roman" w:hAnsi="Times New Roman"/>
          <w:sz w:val="24"/>
          <w:szCs w:val="24"/>
        </w:rPr>
        <w:t>lower default rate (Berger and DeYoung, 1997). However, profitability could be driven by managerial incentives</w:t>
      </w:r>
      <w:r w:rsidR="009E2F0F" w:rsidRPr="00020413">
        <w:rPr>
          <w:rFonts w:ascii="Times New Roman" w:hAnsi="Times New Roman"/>
          <w:sz w:val="24"/>
          <w:szCs w:val="24"/>
        </w:rPr>
        <w:t>,</w:t>
      </w:r>
      <w:r w:rsidR="004D38DC" w:rsidRPr="00020413">
        <w:rPr>
          <w:rFonts w:ascii="Times New Roman" w:hAnsi="Times New Roman"/>
          <w:sz w:val="24"/>
          <w:szCs w:val="24"/>
        </w:rPr>
        <w:t xml:space="preserve"> </w:t>
      </w:r>
      <w:r w:rsidR="008710DB" w:rsidRPr="00020413">
        <w:rPr>
          <w:rFonts w:ascii="Times New Roman" w:hAnsi="Times New Roman"/>
          <w:sz w:val="24"/>
          <w:szCs w:val="24"/>
        </w:rPr>
        <w:t>which can result in</w:t>
      </w:r>
      <w:r w:rsidR="004D38DC" w:rsidRPr="00020413">
        <w:rPr>
          <w:rFonts w:ascii="Times New Roman" w:hAnsi="Times New Roman"/>
          <w:sz w:val="24"/>
          <w:szCs w:val="24"/>
        </w:rPr>
        <w:t xml:space="preserve"> lower loan quality (</w:t>
      </w:r>
      <w:proofErr w:type="spellStart"/>
      <w:r w:rsidR="004D38DC" w:rsidRPr="00020413">
        <w:rPr>
          <w:rFonts w:ascii="Times New Roman" w:hAnsi="Times New Roman"/>
          <w:sz w:val="24"/>
          <w:szCs w:val="24"/>
        </w:rPr>
        <w:t>Rajan</w:t>
      </w:r>
      <w:proofErr w:type="spellEnd"/>
      <w:r w:rsidR="004D38DC" w:rsidRPr="00020413">
        <w:rPr>
          <w:rFonts w:ascii="Times New Roman" w:hAnsi="Times New Roman"/>
          <w:sz w:val="24"/>
          <w:szCs w:val="24"/>
        </w:rPr>
        <w:t>, 1994</w:t>
      </w:r>
      <w:r w:rsidR="009E2F0F" w:rsidRPr="00020413">
        <w:rPr>
          <w:rFonts w:ascii="Times New Roman" w:hAnsi="Times New Roman"/>
          <w:sz w:val="24"/>
          <w:szCs w:val="24"/>
        </w:rPr>
        <w:t>;</w:t>
      </w:r>
      <w:r w:rsidR="004D38DC" w:rsidRPr="00020413">
        <w:rPr>
          <w:rFonts w:ascii="Times New Roman" w:hAnsi="Times New Roman"/>
          <w:sz w:val="24"/>
          <w:szCs w:val="24"/>
        </w:rPr>
        <w:t xml:space="preserve"> Ghosh, 2015)</w:t>
      </w:r>
      <w:r w:rsidR="00BE37AD" w:rsidRPr="00020413">
        <w:rPr>
          <w:rFonts w:ascii="Times New Roman" w:hAnsi="Times New Roman"/>
          <w:sz w:val="24"/>
          <w:szCs w:val="24"/>
        </w:rPr>
        <w:t xml:space="preserve">. We </w:t>
      </w:r>
      <w:r w:rsidR="004D38DC" w:rsidRPr="00020413">
        <w:rPr>
          <w:rFonts w:ascii="Times New Roman" w:hAnsi="Times New Roman"/>
          <w:sz w:val="24"/>
          <w:szCs w:val="24"/>
        </w:rPr>
        <w:t>measure profit as the ratio of op</w:t>
      </w:r>
      <w:r w:rsidR="00D55D24" w:rsidRPr="00020413">
        <w:rPr>
          <w:rFonts w:ascii="Times New Roman" w:hAnsi="Times New Roman"/>
          <w:sz w:val="24"/>
          <w:szCs w:val="24"/>
        </w:rPr>
        <w:t>erating profit to total assets.</w:t>
      </w:r>
    </w:p>
    <w:p w:rsidR="00533B14" w:rsidRPr="00020413" w:rsidRDefault="001115AB" w:rsidP="00BE37AD">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533B14" w:rsidRPr="00020413">
        <w:rPr>
          <w:rFonts w:ascii="Times New Roman" w:hAnsi="Times New Roman"/>
          <w:b/>
          <w:sz w:val="24"/>
          <w:szCs w:val="24"/>
        </w:rPr>
        <w:t>.2.</w:t>
      </w:r>
      <w:r w:rsidR="00466856" w:rsidRPr="00020413">
        <w:rPr>
          <w:rFonts w:ascii="Times New Roman" w:hAnsi="Times New Roman"/>
          <w:b/>
          <w:sz w:val="24"/>
          <w:szCs w:val="24"/>
        </w:rPr>
        <w:t>4</w:t>
      </w:r>
      <w:r w:rsidR="00533B14" w:rsidRPr="00020413">
        <w:rPr>
          <w:rFonts w:ascii="Times New Roman" w:hAnsi="Times New Roman"/>
          <w:b/>
          <w:sz w:val="24"/>
          <w:szCs w:val="24"/>
        </w:rPr>
        <w:t xml:space="preserve">. Macroeconomic </w:t>
      </w:r>
      <w:r w:rsidR="00AA7454" w:rsidRPr="00020413">
        <w:rPr>
          <w:rFonts w:ascii="Times New Roman" w:hAnsi="Times New Roman"/>
          <w:b/>
          <w:sz w:val="24"/>
          <w:szCs w:val="24"/>
        </w:rPr>
        <w:t xml:space="preserve">and </w:t>
      </w:r>
      <w:r w:rsidR="003C090F" w:rsidRPr="00020413">
        <w:rPr>
          <w:rFonts w:ascii="Times New Roman" w:hAnsi="Times New Roman"/>
          <w:b/>
          <w:sz w:val="24"/>
          <w:szCs w:val="24"/>
        </w:rPr>
        <w:t>g</w:t>
      </w:r>
      <w:r w:rsidR="00AA7454" w:rsidRPr="00020413">
        <w:rPr>
          <w:rFonts w:ascii="Times New Roman" w:hAnsi="Times New Roman"/>
          <w:b/>
          <w:sz w:val="24"/>
          <w:szCs w:val="24"/>
        </w:rPr>
        <w:t xml:space="preserve">overnance </w:t>
      </w:r>
      <w:r w:rsidR="00533B14" w:rsidRPr="00020413">
        <w:rPr>
          <w:rFonts w:ascii="Times New Roman" w:hAnsi="Times New Roman"/>
          <w:b/>
          <w:sz w:val="24"/>
          <w:szCs w:val="24"/>
        </w:rPr>
        <w:t>variables</w:t>
      </w:r>
    </w:p>
    <w:p w:rsidR="002C626C" w:rsidRPr="00020413" w:rsidRDefault="00793FBC" w:rsidP="00D55D24">
      <w:pPr>
        <w:autoSpaceDE w:val="0"/>
        <w:autoSpaceDN w:val="0"/>
        <w:adjustRightInd w:val="0"/>
        <w:spacing w:after="120" w:line="360" w:lineRule="auto"/>
        <w:jc w:val="both"/>
        <w:rPr>
          <w:rFonts w:ascii="Times New Roman" w:hAnsi="Times New Roman"/>
          <w:sz w:val="24"/>
          <w:szCs w:val="24"/>
          <w:lang w:eastAsia="en-GB"/>
        </w:rPr>
      </w:pPr>
      <w:r w:rsidRPr="00020413">
        <w:rPr>
          <w:rFonts w:ascii="Times New Roman" w:hAnsi="Times New Roman"/>
          <w:sz w:val="24"/>
          <w:szCs w:val="24"/>
        </w:rPr>
        <w:t xml:space="preserve">In line with other </w:t>
      </w:r>
      <w:r w:rsidR="00067109" w:rsidRPr="00020413">
        <w:rPr>
          <w:rFonts w:ascii="Times New Roman" w:hAnsi="Times New Roman"/>
          <w:sz w:val="24"/>
          <w:szCs w:val="24"/>
        </w:rPr>
        <w:t xml:space="preserve">past </w:t>
      </w:r>
      <w:r w:rsidRPr="00020413">
        <w:rPr>
          <w:rFonts w:ascii="Times New Roman" w:hAnsi="Times New Roman"/>
          <w:sz w:val="24"/>
          <w:szCs w:val="24"/>
        </w:rPr>
        <w:t>empirical studies (e.g.</w:t>
      </w:r>
      <w:r w:rsidR="00B86B63" w:rsidRPr="00020413">
        <w:rPr>
          <w:rFonts w:ascii="Times New Roman" w:hAnsi="Times New Roman"/>
          <w:sz w:val="24"/>
          <w:szCs w:val="24"/>
          <w:shd w:val="clear" w:color="auto" w:fill="FFFFFF"/>
        </w:rPr>
        <w:t>,</w:t>
      </w:r>
      <w:r w:rsidR="00865240" w:rsidRPr="00020413">
        <w:rPr>
          <w:rFonts w:ascii="Times New Roman" w:hAnsi="Times New Roman"/>
          <w:sz w:val="24"/>
          <w:szCs w:val="24"/>
          <w:shd w:val="clear" w:color="auto" w:fill="FFFFFF"/>
        </w:rPr>
        <w:t xml:space="preserve"> </w:t>
      </w:r>
      <w:r w:rsidR="00F464E0" w:rsidRPr="00020413">
        <w:rPr>
          <w:rFonts w:ascii="Times New Roman" w:hAnsi="Times New Roman"/>
          <w:sz w:val="24"/>
          <w:szCs w:val="24"/>
          <w:shd w:val="clear" w:color="auto" w:fill="FFFFFF"/>
        </w:rPr>
        <w:t>Berger et al., 2009;</w:t>
      </w:r>
      <w:r w:rsidR="00950295" w:rsidRPr="00020413">
        <w:rPr>
          <w:rFonts w:ascii="Times New Roman" w:hAnsi="Times New Roman"/>
          <w:sz w:val="24"/>
          <w:szCs w:val="24"/>
          <w:shd w:val="clear" w:color="auto" w:fill="FFFFFF"/>
        </w:rPr>
        <w:t xml:space="preserve"> </w:t>
      </w:r>
      <w:proofErr w:type="spellStart"/>
      <w:r w:rsidRPr="00020413">
        <w:rPr>
          <w:rFonts w:ascii="Times New Roman" w:hAnsi="Times New Roman"/>
          <w:sz w:val="24"/>
          <w:szCs w:val="24"/>
          <w:shd w:val="clear" w:color="auto" w:fill="FFFFFF"/>
        </w:rPr>
        <w:t>Demirg</w:t>
      </w:r>
      <w:r w:rsidR="00F77A15" w:rsidRPr="00020413">
        <w:rPr>
          <w:rFonts w:ascii="Times New Roman" w:hAnsi="Times New Roman"/>
          <w:sz w:val="24"/>
          <w:szCs w:val="24"/>
        </w:rPr>
        <w:t>üç</w:t>
      </w:r>
      <w:r w:rsidRPr="00020413">
        <w:rPr>
          <w:rFonts w:ascii="Times New Roman" w:hAnsi="Times New Roman"/>
          <w:sz w:val="24"/>
          <w:szCs w:val="24"/>
          <w:shd w:val="clear" w:color="auto" w:fill="FFFFFF"/>
        </w:rPr>
        <w:t>-Kunt</w:t>
      </w:r>
      <w:proofErr w:type="spellEnd"/>
      <w:r w:rsidRPr="00020413">
        <w:rPr>
          <w:rFonts w:ascii="Times New Roman" w:hAnsi="Times New Roman"/>
          <w:sz w:val="24"/>
          <w:szCs w:val="24"/>
          <w:shd w:val="clear" w:color="auto" w:fill="FFFFFF"/>
        </w:rPr>
        <w:t xml:space="preserve"> et al.</w:t>
      </w:r>
      <w:r w:rsidR="000F7B31" w:rsidRPr="00020413">
        <w:rPr>
          <w:rFonts w:ascii="Times New Roman" w:hAnsi="Times New Roman"/>
          <w:sz w:val="24"/>
          <w:szCs w:val="24"/>
          <w:shd w:val="clear" w:color="auto" w:fill="FFFFFF"/>
        </w:rPr>
        <w:t>,</w:t>
      </w:r>
      <w:r w:rsidRPr="00020413">
        <w:rPr>
          <w:rFonts w:ascii="Times New Roman" w:hAnsi="Times New Roman"/>
          <w:sz w:val="24"/>
          <w:szCs w:val="24"/>
          <w:shd w:val="clear" w:color="auto" w:fill="FFFFFF"/>
        </w:rPr>
        <w:t xml:space="preserve"> 2003</w:t>
      </w:r>
      <w:r w:rsidR="00F464E0" w:rsidRPr="00020413">
        <w:rPr>
          <w:rFonts w:ascii="Times New Roman" w:hAnsi="Times New Roman"/>
          <w:sz w:val="24"/>
          <w:szCs w:val="24"/>
          <w:shd w:val="clear" w:color="auto" w:fill="FFFFFF"/>
        </w:rPr>
        <w:t>; Ghosh, 2015</w:t>
      </w:r>
      <w:r w:rsidRPr="00020413">
        <w:rPr>
          <w:rFonts w:ascii="Times New Roman" w:hAnsi="Times New Roman"/>
          <w:sz w:val="24"/>
          <w:szCs w:val="24"/>
          <w:shd w:val="clear" w:color="auto" w:fill="FFFFFF"/>
        </w:rPr>
        <w:t>)</w:t>
      </w:r>
      <w:r w:rsidR="00582BDF" w:rsidRPr="00020413">
        <w:rPr>
          <w:rFonts w:ascii="Times New Roman" w:hAnsi="Times New Roman"/>
          <w:sz w:val="24"/>
          <w:szCs w:val="24"/>
          <w:shd w:val="clear" w:color="auto" w:fill="FFFFFF"/>
        </w:rPr>
        <w:t>,</w:t>
      </w:r>
      <w:r w:rsidRPr="00020413">
        <w:rPr>
          <w:rFonts w:ascii="Times New Roman" w:hAnsi="Times New Roman"/>
          <w:sz w:val="24"/>
          <w:szCs w:val="24"/>
        </w:rPr>
        <w:t xml:space="preserve"> we control for </w:t>
      </w:r>
      <w:proofErr w:type="gramStart"/>
      <w:r w:rsidRPr="00020413">
        <w:rPr>
          <w:rFonts w:ascii="Times New Roman" w:hAnsi="Times New Roman"/>
          <w:sz w:val="24"/>
          <w:szCs w:val="24"/>
        </w:rPr>
        <w:t>a number of</w:t>
      </w:r>
      <w:proofErr w:type="gramEnd"/>
      <w:r w:rsidRPr="00020413">
        <w:rPr>
          <w:rFonts w:ascii="Times New Roman" w:hAnsi="Times New Roman"/>
          <w:sz w:val="24"/>
          <w:szCs w:val="24"/>
        </w:rPr>
        <w:t xml:space="preserve"> country</w:t>
      </w:r>
      <w:r w:rsidR="000F7B31" w:rsidRPr="00020413">
        <w:rPr>
          <w:rFonts w:ascii="Times New Roman" w:hAnsi="Times New Roman"/>
          <w:sz w:val="24"/>
          <w:szCs w:val="24"/>
        </w:rPr>
        <w:t>-</w:t>
      </w:r>
      <w:r w:rsidRPr="00020413">
        <w:rPr>
          <w:rFonts w:ascii="Times New Roman" w:hAnsi="Times New Roman"/>
          <w:sz w:val="24"/>
          <w:szCs w:val="24"/>
        </w:rPr>
        <w:t xml:space="preserve">specific traits. </w:t>
      </w:r>
      <w:r w:rsidR="009928F0" w:rsidRPr="00020413">
        <w:rPr>
          <w:rFonts w:ascii="Times New Roman" w:hAnsi="Times New Roman"/>
          <w:sz w:val="24"/>
          <w:szCs w:val="24"/>
        </w:rPr>
        <w:t xml:space="preserve">This is to ensure that the relationship between credit information sharing and </w:t>
      </w:r>
      <w:r w:rsidR="00262D41" w:rsidRPr="00020413">
        <w:rPr>
          <w:rFonts w:ascii="Times New Roman" w:hAnsi="Times New Roman"/>
          <w:sz w:val="24"/>
          <w:szCs w:val="24"/>
        </w:rPr>
        <w:t>loan default rate</w:t>
      </w:r>
      <w:r w:rsidR="009928F0" w:rsidRPr="00020413">
        <w:rPr>
          <w:rFonts w:ascii="Times New Roman" w:hAnsi="Times New Roman"/>
          <w:sz w:val="24"/>
          <w:szCs w:val="24"/>
        </w:rPr>
        <w:t xml:space="preserve"> is not driven by </w:t>
      </w:r>
      <w:r w:rsidR="009928F0" w:rsidRPr="00020413">
        <w:rPr>
          <w:rFonts w:ascii="Times New Roman" w:hAnsi="Times New Roman"/>
          <w:sz w:val="24"/>
          <w:szCs w:val="24"/>
        </w:rPr>
        <w:lastRenderedPageBreak/>
        <w:t xml:space="preserve">macroeconomic variations. </w:t>
      </w:r>
      <w:r w:rsidR="00613743" w:rsidRPr="00020413">
        <w:rPr>
          <w:rFonts w:ascii="Times New Roman" w:hAnsi="Times New Roman"/>
          <w:sz w:val="24"/>
          <w:szCs w:val="24"/>
        </w:rPr>
        <w:t xml:space="preserve">These variables include </w:t>
      </w:r>
      <w:r w:rsidR="008A2C43" w:rsidRPr="00020413">
        <w:rPr>
          <w:rFonts w:ascii="Times New Roman" w:hAnsi="Times New Roman"/>
          <w:sz w:val="24"/>
          <w:szCs w:val="24"/>
        </w:rPr>
        <w:t>inflation</w:t>
      </w:r>
      <w:r w:rsidR="00882C54" w:rsidRPr="00020413">
        <w:rPr>
          <w:rFonts w:ascii="Times New Roman" w:hAnsi="Times New Roman"/>
          <w:sz w:val="24"/>
          <w:szCs w:val="24"/>
        </w:rPr>
        <w:t>,</w:t>
      </w:r>
      <w:r w:rsidR="008A2C43" w:rsidRPr="00020413">
        <w:rPr>
          <w:rFonts w:ascii="Times New Roman" w:hAnsi="Times New Roman"/>
          <w:sz w:val="24"/>
          <w:szCs w:val="24"/>
        </w:rPr>
        <w:t xml:space="preserve"> measured </w:t>
      </w:r>
      <w:r w:rsidR="00E30031" w:rsidRPr="00020413">
        <w:rPr>
          <w:rFonts w:ascii="Times New Roman" w:hAnsi="Times New Roman"/>
          <w:sz w:val="24"/>
          <w:szCs w:val="24"/>
        </w:rPr>
        <w:t xml:space="preserve">as the annual </w:t>
      </w:r>
      <w:r w:rsidR="00370539" w:rsidRPr="00020413">
        <w:rPr>
          <w:rFonts w:ascii="Times New Roman" w:hAnsi="Times New Roman"/>
          <w:sz w:val="24"/>
          <w:szCs w:val="24"/>
        </w:rPr>
        <w:t>percentage change</w:t>
      </w:r>
      <w:r w:rsidR="00E30031" w:rsidRPr="00020413">
        <w:rPr>
          <w:rFonts w:ascii="Times New Roman" w:hAnsi="Times New Roman"/>
          <w:sz w:val="24"/>
          <w:szCs w:val="24"/>
        </w:rPr>
        <w:t xml:space="preserve"> in consumer price index</w:t>
      </w:r>
      <w:r w:rsidR="008A2C43" w:rsidRPr="00020413">
        <w:rPr>
          <w:rFonts w:ascii="Times New Roman" w:hAnsi="Times New Roman"/>
          <w:sz w:val="24"/>
          <w:szCs w:val="24"/>
        </w:rPr>
        <w:t>. This accounts for possible uncertainty in the credit market (Fosu, 2014).</w:t>
      </w:r>
      <w:r w:rsidR="00D5019C" w:rsidRPr="00020413">
        <w:rPr>
          <w:rFonts w:ascii="Times New Roman" w:hAnsi="Times New Roman"/>
          <w:sz w:val="24"/>
          <w:szCs w:val="24"/>
        </w:rPr>
        <w:t xml:space="preserve"> We also include</w:t>
      </w:r>
      <w:r w:rsidR="008A2C43" w:rsidRPr="00020413">
        <w:rPr>
          <w:rFonts w:ascii="Times New Roman" w:hAnsi="Times New Roman"/>
          <w:sz w:val="24"/>
          <w:szCs w:val="24"/>
        </w:rPr>
        <w:t xml:space="preserve"> </w:t>
      </w:r>
      <w:r w:rsidR="00613743" w:rsidRPr="00020413">
        <w:rPr>
          <w:rFonts w:ascii="Times New Roman" w:hAnsi="Times New Roman"/>
          <w:sz w:val="24"/>
          <w:szCs w:val="24"/>
        </w:rPr>
        <w:t>growth in gross domestic product (GDP</w:t>
      </w:r>
      <w:r w:rsidR="00E30031" w:rsidRPr="00020413">
        <w:rPr>
          <w:rFonts w:ascii="Times New Roman" w:hAnsi="Times New Roman"/>
          <w:sz w:val="24"/>
          <w:szCs w:val="24"/>
        </w:rPr>
        <w:t xml:space="preserve"> </w:t>
      </w:r>
      <w:r w:rsidR="00613743" w:rsidRPr="00020413">
        <w:rPr>
          <w:rFonts w:ascii="Times New Roman" w:hAnsi="Times New Roman"/>
          <w:sz w:val="24"/>
          <w:szCs w:val="24"/>
        </w:rPr>
        <w:t>G</w:t>
      </w:r>
      <w:r w:rsidR="00E30031" w:rsidRPr="00020413">
        <w:rPr>
          <w:rFonts w:ascii="Times New Roman" w:hAnsi="Times New Roman"/>
          <w:sz w:val="24"/>
          <w:szCs w:val="24"/>
        </w:rPr>
        <w:t>rowth</w:t>
      </w:r>
      <w:r w:rsidR="00613743" w:rsidRPr="00020413">
        <w:rPr>
          <w:rFonts w:ascii="Times New Roman" w:hAnsi="Times New Roman"/>
          <w:sz w:val="24"/>
          <w:szCs w:val="24"/>
        </w:rPr>
        <w:t>)</w:t>
      </w:r>
      <w:r w:rsidR="00B52C44" w:rsidRPr="00020413">
        <w:rPr>
          <w:rFonts w:ascii="Times New Roman" w:hAnsi="Times New Roman"/>
          <w:sz w:val="24"/>
          <w:szCs w:val="24"/>
        </w:rPr>
        <w:t xml:space="preserve">, which is measured </w:t>
      </w:r>
      <w:r w:rsidR="008A2C43" w:rsidRPr="00020413">
        <w:rPr>
          <w:rFonts w:ascii="Times New Roman" w:hAnsi="Times New Roman"/>
          <w:sz w:val="24"/>
          <w:szCs w:val="24"/>
        </w:rPr>
        <w:t>as the</w:t>
      </w:r>
      <w:r w:rsidR="00B52C44" w:rsidRPr="00020413">
        <w:rPr>
          <w:rFonts w:ascii="Times New Roman" w:hAnsi="Times New Roman"/>
          <w:sz w:val="24"/>
          <w:szCs w:val="24"/>
        </w:rPr>
        <w:t xml:space="preserve"> annual percentage change in real GDP.</w:t>
      </w:r>
      <w:r w:rsidR="0092624C" w:rsidRPr="00020413">
        <w:rPr>
          <w:rFonts w:ascii="Times New Roman" w:hAnsi="Times New Roman"/>
          <w:sz w:val="24"/>
          <w:szCs w:val="24"/>
        </w:rPr>
        <w:t xml:space="preserve"> The inclusion of this variable is to account for changes in credit demand within a country</w:t>
      </w:r>
      <w:r w:rsidR="00865240" w:rsidRPr="00020413">
        <w:rPr>
          <w:rFonts w:ascii="Times New Roman" w:hAnsi="Times New Roman"/>
          <w:sz w:val="24"/>
          <w:szCs w:val="24"/>
        </w:rPr>
        <w:t>,</w:t>
      </w:r>
      <w:r w:rsidR="0092624C" w:rsidRPr="00020413">
        <w:rPr>
          <w:rFonts w:ascii="Times New Roman" w:hAnsi="Times New Roman"/>
          <w:sz w:val="24"/>
          <w:szCs w:val="24"/>
        </w:rPr>
        <w:t xml:space="preserve"> as well as the possible variations in adverse selection and moral hazards in business cycles (</w:t>
      </w:r>
      <w:proofErr w:type="spellStart"/>
      <w:r w:rsidR="00C82FC3" w:rsidRPr="00020413">
        <w:rPr>
          <w:rFonts w:ascii="Times New Roman" w:hAnsi="Times New Roman"/>
          <w:sz w:val="24"/>
          <w:szCs w:val="24"/>
        </w:rPr>
        <w:t>Altunbas</w:t>
      </w:r>
      <w:proofErr w:type="spellEnd"/>
      <w:r w:rsidR="00C82FC3" w:rsidRPr="00020413">
        <w:rPr>
          <w:rFonts w:ascii="Times New Roman" w:hAnsi="Times New Roman"/>
          <w:sz w:val="24"/>
          <w:szCs w:val="24"/>
        </w:rPr>
        <w:t xml:space="preserve"> et al., 2009; </w:t>
      </w:r>
      <w:proofErr w:type="spellStart"/>
      <w:r w:rsidR="008A7FD2" w:rsidRPr="00020413">
        <w:rPr>
          <w:rFonts w:ascii="Times New Roman" w:hAnsi="Times New Roman"/>
          <w:sz w:val="24"/>
          <w:szCs w:val="24"/>
          <w:shd w:val="clear" w:color="auto" w:fill="FFFFFF"/>
        </w:rPr>
        <w:t>Andrianova</w:t>
      </w:r>
      <w:proofErr w:type="spellEnd"/>
      <w:r w:rsidR="008A7FD2" w:rsidRPr="00020413">
        <w:rPr>
          <w:rFonts w:ascii="Times New Roman" w:hAnsi="Times New Roman"/>
          <w:sz w:val="24"/>
          <w:szCs w:val="24"/>
          <w:shd w:val="clear" w:color="auto" w:fill="FFFFFF"/>
        </w:rPr>
        <w:t xml:space="preserve"> et al.</w:t>
      </w:r>
      <w:r w:rsidR="003C090F" w:rsidRPr="00020413">
        <w:rPr>
          <w:rFonts w:ascii="Times New Roman" w:hAnsi="Times New Roman"/>
          <w:sz w:val="24"/>
          <w:szCs w:val="24"/>
          <w:shd w:val="clear" w:color="auto" w:fill="FFFFFF"/>
        </w:rPr>
        <w:t>,</w:t>
      </w:r>
      <w:r w:rsidR="008A7FD2" w:rsidRPr="00020413">
        <w:rPr>
          <w:rFonts w:ascii="Times New Roman" w:hAnsi="Times New Roman"/>
          <w:sz w:val="24"/>
          <w:szCs w:val="24"/>
          <w:shd w:val="clear" w:color="auto" w:fill="FFFFFF"/>
        </w:rPr>
        <w:t xml:space="preserve"> 2015</w:t>
      </w:r>
      <w:r w:rsidR="00411462" w:rsidRPr="00020413">
        <w:rPr>
          <w:rFonts w:ascii="Times New Roman" w:hAnsi="Times New Roman"/>
          <w:sz w:val="24"/>
          <w:szCs w:val="24"/>
        </w:rPr>
        <w:t>).</w:t>
      </w:r>
      <w:r w:rsidR="00067690" w:rsidRPr="00020413">
        <w:rPr>
          <w:rFonts w:ascii="Times New Roman" w:hAnsi="Times New Roman"/>
          <w:sz w:val="24"/>
          <w:szCs w:val="24"/>
        </w:rPr>
        <w:t xml:space="preserve"> </w:t>
      </w:r>
      <w:r w:rsidR="000F7B31" w:rsidRPr="00020413">
        <w:rPr>
          <w:rFonts w:ascii="Times New Roman" w:hAnsi="Times New Roman"/>
          <w:sz w:val="24"/>
          <w:szCs w:val="24"/>
        </w:rPr>
        <w:t xml:space="preserve">In addition to </w:t>
      </w:r>
      <w:r w:rsidR="00067690" w:rsidRPr="00020413">
        <w:rPr>
          <w:rFonts w:ascii="Times New Roman" w:hAnsi="Times New Roman"/>
          <w:sz w:val="24"/>
          <w:szCs w:val="24"/>
        </w:rPr>
        <w:t xml:space="preserve">the variables described above, we also include </w:t>
      </w:r>
      <w:proofErr w:type="gramStart"/>
      <w:r w:rsidR="00067690" w:rsidRPr="00020413">
        <w:rPr>
          <w:rFonts w:ascii="Times New Roman" w:hAnsi="Times New Roman"/>
          <w:sz w:val="24"/>
          <w:szCs w:val="24"/>
        </w:rPr>
        <w:t>a number of</w:t>
      </w:r>
      <w:proofErr w:type="gramEnd"/>
      <w:r w:rsidR="00067690" w:rsidRPr="00020413">
        <w:rPr>
          <w:rFonts w:ascii="Times New Roman" w:hAnsi="Times New Roman"/>
          <w:sz w:val="24"/>
          <w:szCs w:val="24"/>
        </w:rPr>
        <w:t xml:space="preserve"> governance indicators. These include rule of law, control o</w:t>
      </w:r>
      <w:r w:rsidR="000F7B31" w:rsidRPr="00020413">
        <w:rPr>
          <w:rFonts w:ascii="Times New Roman" w:hAnsi="Times New Roman"/>
          <w:sz w:val="24"/>
          <w:szCs w:val="24"/>
        </w:rPr>
        <w:t>f</w:t>
      </w:r>
      <w:r w:rsidR="00067690" w:rsidRPr="00020413">
        <w:rPr>
          <w:rFonts w:ascii="Times New Roman" w:hAnsi="Times New Roman"/>
          <w:sz w:val="24"/>
          <w:szCs w:val="24"/>
        </w:rPr>
        <w:t xml:space="preserve"> corruption and regulatory quality. </w:t>
      </w:r>
      <w:r w:rsidR="001E5269" w:rsidRPr="00020413">
        <w:rPr>
          <w:rFonts w:ascii="Times New Roman" w:hAnsi="Times New Roman"/>
          <w:sz w:val="24"/>
          <w:szCs w:val="24"/>
        </w:rPr>
        <w:t xml:space="preserve">The rule of law </w:t>
      </w:r>
      <w:r w:rsidR="00FD475C" w:rsidRPr="00020413">
        <w:rPr>
          <w:rFonts w:ascii="Times New Roman" w:hAnsi="Times New Roman"/>
          <w:sz w:val="24"/>
          <w:szCs w:val="24"/>
        </w:rPr>
        <w:t xml:space="preserve">measures </w:t>
      </w:r>
      <w:r w:rsidR="00FD475C" w:rsidRPr="00020413">
        <w:rPr>
          <w:rFonts w:ascii="Times New Roman" w:hAnsi="Times New Roman"/>
          <w:sz w:val="24"/>
          <w:szCs w:val="24"/>
          <w:lang w:eastAsia="en-GB"/>
        </w:rPr>
        <w:t>“</w:t>
      </w:r>
      <w:r w:rsidR="00E76247" w:rsidRPr="00020413">
        <w:rPr>
          <w:rFonts w:ascii="Times New Roman" w:hAnsi="Times New Roman"/>
          <w:i/>
          <w:iCs/>
          <w:sz w:val="24"/>
        </w:rPr>
        <w:t>perceptions of the extent to which agents have confidence in and abide by the rules of society, and in particular the quality of contract enforcement, property rights, the police, and the courts, as well as the likelihood of crime and violence</w:t>
      </w:r>
      <w:r w:rsidR="00582BDF" w:rsidRPr="00020413">
        <w:rPr>
          <w:rFonts w:ascii="Times New Roman" w:hAnsi="Times New Roman"/>
          <w:sz w:val="24"/>
          <w:szCs w:val="24"/>
          <w:lang w:eastAsia="en-GB"/>
        </w:rPr>
        <w:t>”</w:t>
      </w:r>
      <w:r w:rsidR="001E5269" w:rsidRPr="00020413">
        <w:rPr>
          <w:rFonts w:ascii="Times New Roman" w:hAnsi="Times New Roman"/>
          <w:sz w:val="24"/>
          <w:szCs w:val="24"/>
          <w:lang w:eastAsia="en-GB"/>
        </w:rPr>
        <w:t xml:space="preserve"> </w:t>
      </w:r>
      <w:r w:rsidR="007A3DF7" w:rsidRPr="00020413">
        <w:rPr>
          <w:rFonts w:ascii="Times New Roman" w:hAnsi="Times New Roman"/>
          <w:sz w:val="24"/>
          <w:szCs w:val="24"/>
          <w:lang w:eastAsia="en-GB"/>
        </w:rPr>
        <w:t>(Kaufmann et al., 2011, p. 223).</w:t>
      </w:r>
      <w:r w:rsidR="00DA5F8B" w:rsidRPr="00020413">
        <w:rPr>
          <w:rFonts w:ascii="Times New Roman" w:hAnsi="Times New Roman"/>
          <w:sz w:val="24"/>
          <w:szCs w:val="24"/>
          <w:lang w:eastAsia="en-GB"/>
        </w:rPr>
        <w:t xml:space="preserve"> </w:t>
      </w:r>
      <w:r w:rsidR="002F424B" w:rsidRPr="00020413">
        <w:rPr>
          <w:rFonts w:ascii="Times New Roman" w:hAnsi="Times New Roman"/>
          <w:sz w:val="24"/>
          <w:szCs w:val="24"/>
          <w:shd w:val="clear" w:color="auto" w:fill="FFFFFF"/>
        </w:rPr>
        <w:t xml:space="preserve">The control of corruption index measures </w:t>
      </w:r>
      <w:r w:rsidR="002F424B" w:rsidRPr="00020413">
        <w:rPr>
          <w:rFonts w:ascii="Times New Roman" w:hAnsi="Times New Roman"/>
          <w:sz w:val="24"/>
          <w:szCs w:val="24"/>
          <w:lang w:eastAsia="en-GB"/>
        </w:rPr>
        <w:t>“</w:t>
      </w:r>
      <w:r w:rsidR="004E76A3" w:rsidRPr="00020413">
        <w:rPr>
          <w:rFonts w:ascii="Times New Roman" w:hAnsi="Times New Roman"/>
          <w:i/>
          <w:iCs/>
          <w:sz w:val="24"/>
        </w:rPr>
        <w:t xml:space="preserve">perceptions of the extent to which public power is exercised for private gain, including both petty and grand forms of corruption, as well as </w:t>
      </w:r>
      <w:r w:rsidR="000F7B31" w:rsidRPr="00020413">
        <w:rPr>
          <w:rFonts w:ascii="Times New Roman" w:hAnsi="Times New Roman"/>
          <w:i/>
          <w:iCs/>
          <w:sz w:val="24"/>
        </w:rPr>
        <w:t>‘</w:t>
      </w:r>
      <w:r w:rsidR="004E76A3" w:rsidRPr="00020413">
        <w:rPr>
          <w:rFonts w:ascii="Times New Roman" w:hAnsi="Times New Roman"/>
          <w:i/>
          <w:iCs/>
          <w:sz w:val="24"/>
        </w:rPr>
        <w:t>capture</w:t>
      </w:r>
      <w:r w:rsidR="000F7B31" w:rsidRPr="00020413">
        <w:rPr>
          <w:rFonts w:ascii="Times New Roman" w:hAnsi="Times New Roman"/>
          <w:i/>
          <w:iCs/>
          <w:sz w:val="24"/>
        </w:rPr>
        <w:t>’</w:t>
      </w:r>
      <w:r w:rsidR="004E76A3" w:rsidRPr="00020413">
        <w:rPr>
          <w:rFonts w:ascii="Times New Roman" w:hAnsi="Times New Roman"/>
          <w:i/>
          <w:iCs/>
          <w:sz w:val="24"/>
        </w:rPr>
        <w:t xml:space="preserve"> of the state by elites and private interests</w:t>
      </w:r>
      <w:r w:rsidR="00DA5F8B" w:rsidRPr="00020413">
        <w:rPr>
          <w:rFonts w:ascii="Times New Roman" w:hAnsi="Times New Roman"/>
          <w:sz w:val="24"/>
          <w:szCs w:val="24"/>
          <w:lang w:eastAsia="en-GB"/>
        </w:rPr>
        <w:t>”</w:t>
      </w:r>
      <w:r w:rsidR="002F424B" w:rsidRPr="00020413">
        <w:rPr>
          <w:rFonts w:ascii="Times New Roman" w:hAnsi="Times New Roman"/>
          <w:sz w:val="24"/>
          <w:szCs w:val="24"/>
          <w:lang w:eastAsia="en-GB"/>
        </w:rPr>
        <w:t xml:space="preserve"> (Kaufmann et al., 2011, p. 223). Fin</w:t>
      </w:r>
      <w:r w:rsidR="008669E2" w:rsidRPr="00020413">
        <w:rPr>
          <w:rFonts w:ascii="Times New Roman" w:hAnsi="Times New Roman"/>
          <w:sz w:val="24"/>
          <w:szCs w:val="24"/>
          <w:lang w:eastAsia="en-GB"/>
        </w:rPr>
        <w:t xml:space="preserve">ally, </w:t>
      </w:r>
      <w:r w:rsidR="000F7B31" w:rsidRPr="00020413">
        <w:rPr>
          <w:rFonts w:ascii="Times New Roman" w:hAnsi="Times New Roman"/>
          <w:sz w:val="24"/>
          <w:szCs w:val="24"/>
          <w:lang w:eastAsia="en-GB"/>
        </w:rPr>
        <w:t xml:space="preserve">the </w:t>
      </w:r>
      <w:r w:rsidR="008669E2" w:rsidRPr="00020413">
        <w:rPr>
          <w:rFonts w:ascii="Times New Roman" w:hAnsi="Times New Roman"/>
          <w:sz w:val="24"/>
          <w:szCs w:val="24"/>
          <w:lang w:eastAsia="en-GB"/>
        </w:rPr>
        <w:t>regulatory quality index capture</w:t>
      </w:r>
      <w:r w:rsidR="007A3DF7" w:rsidRPr="00020413">
        <w:rPr>
          <w:rFonts w:ascii="Times New Roman" w:hAnsi="Times New Roman"/>
          <w:sz w:val="24"/>
          <w:szCs w:val="24"/>
          <w:lang w:eastAsia="en-GB"/>
        </w:rPr>
        <w:t>s</w:t>
      </w:r>
      <w:r w:rsidR="008669E2" w:rsidRPr="00020413">
        <w:rPr>
          <w:rFonts w:ascii="Times New Roman" w:hAnsi="Times New Roman"/>
          <w:sz w:val="24"/>
          <w:szCs w:val="24"/>
          <w:lang w:eastAsia="en-GB"/>
        </w:rPr>
        <w:t xml:space="preserve"> “</w:t>
      </w:r>
      <w:r w:rsidR="007A3DF7" w:rsidRPr="00020413">
        <w:rPr>
          <w:rFonts w:ascii="Times New Roman" w:hAnsi="Times New Roman"/>
          <w:i/>
          <w:iCs/>
          <w:sz w:val="24"/>
          <w:szCs w:val="24"/>
        </w:rPr>
        <w:t>perceptions of the ability of the government to formulate and implement sound policies and regulations that permit and promote private sector development</w:t>
      </w:r>
      <w:r w:rsidR="008669E2" w:rsidRPr="00020413">
        <w:rPr>
          <w:rFonts w:ascii="Times New Roman" w:hAnsi="Times New Roman"/>
          <w:sz w:val="24"/>
          <w:szCs w:val="24"/>
          <w:lang w:eastAsia="en-GB"/>
        </w:rPr>
        <w:t>” (Kaufmann et al., 2011, p. 223).</w:t>
      </w:r>
    </w:p>
    <w:p w:rsidR="00C927BA" w:rsidRPr="00020413" w:rsidRDefault="00C927BA" w:rsidP="00D55D24">
      <w:pPr>
        <w:autoSpaceDE w:val="0"/>
        <w:autoSpaceDN w:val="0"/>
        <w:adjustRightInd w:val="0"/>
        <w:spacing w:after="120" w:line="360" w:lineRule="auto"/>
        <w:jc w:val="both"/>
        <w:rPr>
          <w:rFonts w:ascii="Times New Roman" w:hAnsi="Times New Roman"/>
          <w:sz w:val="24"/>
          <w:szCs w:val="24"/>
          <w:lang w:eastAsia="en-GB"/>
        </w:rPr>
      </w:pPr>
    </w:p>
    <w:p w:rsidR="00A651BC" w:rsidRPr="00020413" w:rsidRDefault="001115AB" w:rsidP="00BA0D4E">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A651BC" w:rsidRPr="00020413">
        <w:rPr>
          <w:rFonts w:ascii="Times New Roman" w:hAnsi="Times New Roman"/>
          <w:b/>
          <w:sz w:val="24"/>
          <w:szCs w:val="24"/>
        </w:rPr>
        <w:t>.3</w:t>
      </w:r>
      <w:r w:rsidR="00001DCE" w:rsidRPr="00020413">
        <w:rPr>
          <w:rFonts w:ascii="Times New Roman" w:hAnsi="Times New Roman"/>
          <w:b/>
          <w:sz w:val="24"/>
          <w:szCs w:val="24"/>
        </w:rPr>
        <w:t>.</w:t>
      </w:r>
      <w:r w:rsidR="00A651BC" w:rsidRPr="00020413">
        <w:rPr>
          <w:rFonts w:ascii="Times New Roman" w:hAnsi="Times New Roman"/>
          <w:b/>
          <w:sz w:val="24"/>
          <w:szCs w:val="24"/>
        </w:rPr>
        <w:t xml:space="preserve"> Descriptive statistics and correlations</w:t>
      </w:r>
    </w:p>
    <w:p w:rsidR="00151886" w:rsidRPr="00020413" w:rsidRDefault="006F4DC6" w:rsidP="00D55D24">
      <w:pPr>
        <w:spacing w:after="120" w:line="360" w:lineRule="auto"/>
        <w:jc w:val="both"/>
        <w:rPr>
          <w:rFonts w:ascii="Times New Roman" w:hAnsi="Times New Roman"/>
          <w:sz w:val="24"/>
          <w:szCs w:val="24"/>
        </w:rPr>
      </w:pPr>
      <w:r w:rsidRPr="00020413">
        <w:rPr>
          <w:rFonts w:ascii="Times New Roman" w:hAnsi="Times New Roman"/>
          <w:sz w:val="24"/>
          <w:szCs w:val="24"/>
        </w:rPr>
        <w:t>In Table 1, we present the summary statistics of the variables used in this study.</w:t>
      </w:r>
      <w:r w:rsidR="00001DCE" w:rsidRPr="00020413">
        <w:rPr>
          <w:rFonts w:ascii="Times New Roman" w:hAnsi="Times New Roman"/>
          <w:sz w:val="24"/>
          <w:szCs w:val="24"/>
        </w:rPr>
        <w:t xml:space="preserve"> The information is confined to </w:t>
      </w:r>
      <w:r w:rsidR="001B67E5" w:rsidRPr="00020413">
        <w:rPr>
          <w:rFonts w:ascii="Times New Roman" w:hAnsi="Times New Roman"/>
          <w:sz w:val="24"/>
          <w:szCs w:val="24"/>
        </w:rPr>
        <w:t>6</w:t>
      </w:r>
      <w:r w:rsidR="00865240" w:rsidRPr="00020413">
        <w:rPr>
          <w:rFonts w:ascii="Times New Roman" w:hAnsi="Times New Roman"/>
          <w:sz w:val="24"/>
          <w:szCs w:val="24"/>
        </w:rPr>
        <w:t>,</w:t>
      </w:r>
      <w:r w:rsidR="001B67E5" w:rsidRPr="00020413">
        <w:rPr>
          <w:rFonts w:ascii="Times New Roman" w:hAnsi="Times New Roman"/>
          <w:sz w:val="24"/>
          <w:szCs w:val="24"/>
        </w:rPr>
        <w:t xml:space="preserve">323 </w:t>
      </w:r>
      <w:r w:rsidR="00001DCE" w:rsidRPr="00020413">
        <w:rPr>
          <w:rFonts w:ascii="Times New Roman" w:hAnsi="Times New Roman"/>
          <w:sz w:val="24"/>
          <w:szCs w:val="24"/>
        </w:rPr>
        <w:t>observations.</w:t>
      </w:r>
      <w:r w:rsidR="00307266" w:rsidRPr="00020413">
        <w:rPr>
          <w:rFonts w:ascii="Times New Roman" w:hAnsi="Times New Roman"/>
          <w:sz w:val="24"/>
          <w:szCs w:val="24"/>
        </w:rPr>
        <w:t xml:space="preserve"> </w:t>
      </w:r>
    </w:p>
    <w:p w:rsidR="00151886" w:rsidRPr="00020413" w:rsidRDefault="00151886"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t>[Table 1 about here]</w:t>
      </w:r>
    </w:p>
    <w:p w:rsidR="00EA4585" w:rsidRPr="00020413" w:rsidRDefault="00307266" w:rsidP="00D55D24">
      <w:pPr>
        <w:spacing w:after="120" w:line="360" w:lineRule="auto"/>
        <w:jc w:val="both"/>
        <w:rPr>
          <w:rFonts w:ascii="Times New Roman" w:hAnsi="Times New Roman"/>
          <w:sz w:val="24"/>
          <w:szCs w:val="24"/>
        </w:rPr>
      </w:pPr>
      <w:r w:rsidRPr="00020413">
        <w:rPr>
          <w:rFonts w:ascii="Times New Roman" w:hAnsi="Times New Roman"/>
          <w:sz w:val="24"/>
          <w:szCs w:val="24"/>
        </w:rPr>
        <w:t>A few findings are worth noting.</w:t>
      </w:r>
      <w:r w:rsidR="006F4DC6" w:rsidRPr="00020413">
        <w:rPr>
          <w:rFonts w:ascii="Times New Roman" w:hAnsi="Times New Roman"/>
          <w:sz w:val="24"/>
          <w:szCs w:val="24"/>
        </w:rPr>
        <w:t xml:space="preserve"> The average value of </w:t>
      </w:r>
      <w:r w:rsidR="000424A7" w:rsidRPr="00020413">
        <w:rPr>
          <w:rFonts w:ascii="Times New Roman" w:hAnsi="Times New Roman"/>
          <w:sz w:val="24"/>
          <w:szCs w:val="24"/>
        </w:rPr>
        <w:t>loan default</w:t>
      </w:r>
      <w:r w:rsidR="006F4DC6" w:rsidRPr="00020413">
        <w:rPr>
          <w:rFonts w:ascii="Times New Roman" w:hAnsi="Times New Roman"/>
          <w:sz w:val="24"/>
          <w:szCs w:val="24"/>
        </w:rPr>
        <w:t xml:space="preserve"> is </w:t>
      </w:r>
      <w:r w:rsidR="000424A7" w:rsidRPr="00020413">
        <w:rPr>
          <w:rFonts w:ascii="Times New Roman" w:hAnsi="Times New Roman"/>
          <w:sz w:val="24"/>
          <w:szCs w:val="24"/>
        </w:rPr>
        <w:t>6</w:t>
      </w:r>
      <w:r w:rsidR="00542146" w:rsidRPr="00020413">
        <w:rPr>
          <w:rFonts w:ascii="Times New Roman" w:hAnsi="Times New Roman"/>
          <w:sz w:val="24"/>
          <w:szCs w:val="24"/>
        </w:rPr>
        <w:t>%</w:t>
      </w:r>
      <w:r w:rsidR="000424A7" w:rsidRPr="00020413">
        <w:rPr>
          <w:rFonts w:ascii="Times New Roman" w:hAnsi="Times New Roman"/>
          <w:sz w:val="24"/>
          <w:szCs w:val="24"/>
        </w:rPr>
        <w:t xml:space="preserve"> and ranges between 0</w:t>
      </w:r>
      <w:r w:rsidR="00775032" w:rsidRPr="00020413">
        <w:rPr>
          <w:rFonts w:ascii="Times New Roman" w:hAnsi="Times New Roman"/>
          <w:sz w:val="24"/>
          <w:szCs w:val="24"/>
        </w:rPr>
        <w:t>%</w:t>
      </w:r>
      <w:r w:rsidR="000424A7" w:rsidRPr="00020413">
        <w:rPr>
          <w:rFonts w:ascii="Times New Roman" w:hAnsi="Times New Roman"/>
          <w:sz w:val="24"/>
          <w:szCs w:val="24"/>
        </w:rPr>
        <w:t xml:space="preserve"> and 28%</w:t>
      </w:r>
      <w:r w:rsidR="009F590C" w:rsidRPr="00020413">
        <w:rPr>
          <w:rFonts w:ascii="Times New Roman" w:hAnsi="Times New Roman"/>
          <w:sz w:val="24"/>
          <w:szCs w:val="24"/>
        </w:rPr>
        <w:t xml:space="preserve">. This suggests a high degree of heterogeneity across banks. </w:t>
      </w:r>
      <w:r w:rsidR="00FC2185" w:rsidRPr="00020413">
        <w:rPr>
          <w:rFonts w:ascii="Times New Roman" w:hAnsi="Times New Roman"/>
          <w:sz w:val="24"/>
          <w:szCs w:val="24"/>
        </w:rPr>
        <w:t>The mean value of dep</w:t>
      </w:r>
      <w:r w:rsidR="00CA590D" w:rsidRPr="00020413">
        <w:rPr>
          <w:rFonts w:ascii="Times New Roman" w:hAnsi="Times New Roman"/>
          <w:sz w:val="24"/>
          <w:szCs w:val="24"/>
        </w:rPr>
        <w:t>th of credit information</w:t>
      </w:r>
      <w:r w:rsidR="00FC2185" w:rsidRPr="00020413">
        <w:rPr>
          <w:rFonts w:ascii="Times New Roman" w:hAnsi="Times New Roman"/>
          <w:sz w:val="24"/>
          <w:szCs w:val="24"/>
        </w:rPr>
        <w:t xml:space="preserve"> index (which is our main measure of credit information sharing) is </w:t>
      </w:r>
      <w:r w:rsidR="000424A7" w:rsidRPr="00020413">
        <w:rPr>
          <w:rFonts w:ascii="Times New Roman" w:hAnsi="Times New Roman"/>
          <w:sz w:val="24"/>
          <w:szCs w:val="24"/>
        </w:rPr>
        <w:t>3.54</w:t>
      </w:r>
      <w:r w:rsidR="001E26B7" w:rsidRPr="00020413">
        <w:rPr>
          <w:rFonts w:ascii="Times New Roman" w:hAnsi="Times New Roman"/>
          <w:sz w:val="24"/>
          <w:szCs w:val="24"/>
        </w:rPr>
        <w:t xml:space="preserve">. This variable ranges between </w:t>
      </w:r>
      <w:r w:rsidR="005C6E18" w:rsidRPr="00020413">
        <w:rPr>
          <w:rFonts w:ascii="Times New Roman" w:hAnsi="Times New Roman"/>
          <w:sz w:val="24"/>
          <w:szCs w:val="24"/>
        </w:rPr>
        <w:t>0</w:t>
      </w:r>
      <w:r w:rsidR="001E26B7" w:rsidRPr="00020413">
        <w:rPr>
          <w:rFonts w:ascii="Times New Roman" w:hAnsi="Times New Roman"/>
          <w:sz w:val="24"/>
          <w:szCs w:val="24"/>
        </w:rPr>
        <w:t xml:space="preserve"> and 6 and has a standard deviation of 2.41</w:t>
      </w:r>
      <w:r w:rsidR="00FC2185" w:rsidRPr="00020413">
        <w:rPr>
          <w:rFonts w:ascii="Times New Roman" w:hAnsi="Times New Roman"/>
          <w:sz w:val="24"/>
          <w:szCs w:val="24"/>
        </w:rPr>
        <w:t xml:space="preserve">. </w:t>
      </w:r>
      <w:r w:rsidR="001E26B7" w:rsidRPr="00020413">
        <w:rPr>
          <w:rFonts w:ascii="Times New Roman" w:hAnsi="Times New Roman"/>
          <w:sz w:val="24"/>
          <w:szCs w:val="24"/>
        </w:rPr>
        <w:t>These values suggest a modera</w:t>
      </w:r>
      <w:r w:rsidR="00CA590D" w:rsidRPr="00020413">
        <w:rPr>
          <w:rFonts w:ascii="Times New Roman" w:hAnsi="Times New Roman"/>
          <w:sz w:val="24"/>
          <w:szCs w:val="24"/>
        </w:rPr>
        <w:t>te depth of credit information</w:t>
      </w:r>
      <w:r w:rsidR="001E26B7" w:rsidRPr="00020413">
        <w:rPr>
          <w:rFonts w:ascii="Times New Roman" w:hAnsi="Times New Roman"/>
          <w:sz w:val="24"/>
          <w:szCs w:val="24"/>
        </w:rPr>
        <w:t xml:space="preserve"> with a fair degree of heterogeneity across countries. </w:t>
      </w:r>
      <w:r w:rsidR="00FC2185" w:rsidRPr="00020413">
        <w:rPr>
          <w:rFonts w:ascii="Times New Roman" w:hAnsi="Times New Roman"/>
          <w:sz w:val="24"/>
          <w:szCs w:val="24"/>
        </w:rPr>
        <w:t>The mean values of our alternative measure</w:t>
      </w:r>
      <w:r w:rsidR="00CA590D" w:rsidRPr="00020413">
        <w:rPr>
          <w:rFonts w:ascii="Times New Roman" w:hAnsi="Times New Roman"/>
          <w:sz w:val="24"/>
          <w:szCs w:val="24"/>
        </w:rPr>
        <w:t>s</w:t>
      </w:r>
      <w:r w:rsidR="00FC2185" w:rsidRPr="00020413">
        <w:rPr>
          <w:rFonts w:ascii="Times New Roman" w:hAnsi="Times New Roman"/>
          <w:sz w:val="24"/>
          <w:szCs w:val="24"/>
        </w:rPr>
        <w:t xml:space="preserve"> of credit information sharing (i.e.</w:t>
      </w:r>
      <w:r w:rsidR="00865240" w:rsidRPr="00020413">
        <w:rPr>
          <w:rFonts w:ascii="Times New Roman" w:hAnsi="Times New Roman"/>
          <w:sz w:val="24"/>
          <w:szCs w:val="24"/>
        </w:rPr>
        <w:t>,</w:t>
      </w:r>
      <w:r w:rsidR="00FC2185" w:rsidRPr="00020413">
        <w:rPr>
          <w:rFonts w:ascii="Times New Roman" w:hAnsi="Times New Roman"/>
          <w:sz w:val="24"/>
          <w:szCs w:val="24"/>
        </w:rPr>
        <w:t xml:space="preserve"> credit registry coverage and credit bureau coverage) are </w:t>
      </w:r>
      <w:r w:rsidR="000424A7" w:rsidRPr="00020413">
        <w:rPr>
          <w:rFonts w:ascii="Times New Roman" w:hAnsi="Times New Roman"/>
          <w:sz w:val="24"/>
          <w:szCs w:val="24"/>
        </w:rPr>
        <w:t>9.37</w:t>
      </w:r>
      <w:r w:rsidR="00E35D32" w:rsidRPr="00020413">
        <w:rPr>
          <w:rFonts w:ascii="Times New Roman" w:hAnsi="Times New Roman"/>
          <w:sz w:val="24"/>
          <w:szCs w:val="24"/>
        </w:rPr>
        <w:t>%</w:t>
      </w:r>
      <w:r w:rsidR="00FC2185" w:rsidRPr="00020413">
        <w:rPr>
          <w:rFonts w:ascii="Times New Roman" w:hAnsi="Times New Roman"/>
          <w:sz w:val="24"/>
          <w:szCs w:val="24"/>
        </w:rPr>
        <w:t xml:space="preserve"> and </w:t>
      </w:r>
      <w:r w:rsidR="000424A7" w:rsidRPr="00020413">
        <w:rPr>
          <w:rFonts w:ascii="Times New Roman" w:hAnsi="Times New Roman"/>
          <w:sz w:val="24"/>
          <w:szCs w:val="24"/>
        </w:rPr>
        <w:t>29</w:t>
      </w:r>
      <w:r w:rsidR="00542146" w:rsidRPr="00020413">
        <w:rPr>
          <w:rFonts w:ascii="Times New Roman" w:hAnsi="Times New Roman"/>
          <w:sz w:val="24"/>
          <w:szCs w:val="24"/>
        </w:rPr>
        <w:t>%</w:t>
      </w:r>
      <w:r w:rsidR="00865240" w:rsidRPr="00020413">
        <w:rPr>
          <w:rFonts w:ascii="Times New Roman" w:hAnsi="Times New Roman"/>
          <w:sz w:val="24"/>
          <w:szCs w:val="24"/>
        </w:rPr>
        <w:t>,</w:t>
      </w:r>
      <w:r w:rsidR="00FC2185" w:rsidRPr="00020413">
        <w:rPr>
          <w:rFonts w:ascii="Times New Roman" w:hAnsi="Times New Roman"/>
          <w:sz w:val="24"/>
          <w:szCs w:val="24"/>
        </w:rPr>
        <w:t xml:space="preserve"> respectively.</w:t>
      </w:r>
      <w:r w:rsidR="00B10727" w:rsidRPr="00020413">
        <w:rPr>
          <w:rFonts w:ascii="Times New Roman" w:hAnsi="Times New Roman"/>
          <w:sz w:val="24"/>
          <w:szCs w:val="24"/>
        </w:rPr>
        <w:t xml:space="preserve"> </w:t>
      </w:r>
      <w:r w:rsidR="001E26B7" w:rsidRPr="00020413">
        <w:rPr>
          <w:rFonts w:ascii="Times New Roman" w:hAnsi="Times New Roman"/>
          <w:sz w:val="24"/>
          <w:szCs w:val="24"/>
        </w:rPr>
        <w:t>C</w:t>
      </w:r>
      <w:r w:rsidR="00B10727" w:rsidRPr="00020413">
        <w:rPr>
          <w:rFonts w:ascii="Times New Roman" w:hAnsi="Times New Roman"/>
          <w:sz w:val="24"/>
          <w:szCs w:val="24"/>
        </w:rPr>
        <w:t>redit bureau exhibits the highest degree of variability with a standard deviation of 18.20.</w:t>
      </w:r>
      <w:bookmarkStart w:id="8" w:name="_Hlk509351058"/>
      <w:r w:rsidR="00E35D32" w:rsidRPr="00020413">
        <w:rPr>
          <w:rFonts w:ascii="Times New Roman" w:hAnsi="Times New Roman"/>
          <w:sz w:val="24"/>
          <w:szCs w:val="24"/>
        </w:rPr>
        <w:t xml:space="preserve"> </w:t>
      </w:r>
      <w:bookmarkEnd w:id="8"/>
      <w:r w:rsidR="004B2352" w:rsidRPr="00020413">
        <w:rPr>
          <w:rFonts w:ascii="Times New Roman" w:hAnsi="Times New Roman"/>
          <w:sz w:val="24"/>
          <w:szCs w:val="24"/>
        </w:rPr>
        <w:t xml:space="preserve">The </w:t>
      </w:r>
      <w:r w:rsidR="008F00DA" w:rsidRPr="00020413">
        <w:rPr>
          <w:rFonts w:ascii="Times New Roman" w:hAnsi="Times New Roman"/>
          <w:sz w:val="24"/>
          <w:szCs w:val="24"/>
        </w:rPr>
        <w:t xml:space="preserve">mean values of the </w:t>
      </w:r>
      <w:r w:rsidR="004B2352" w:rsidRPr="00020413">
        <w:rPr>
          <w:rFonts w:ascii="Times New Roman" w:hAnsi="Times New Roman"/>
          <w:sz w:val="24"/>
          <w:szCs w:val="24"/>
        </w:rPr>
        <w:t xml:space="preserve">governance measures of </w:t>
      </w:r>
      <w:r w:rsidR="005C6E18" w:rsidRPr="00020413">
        <w:rPr>
          <w:rFonts w:ascii="Times New Roman" w:hAnsi="Times New Roman"/>
          <w:sz w:val="24"/>
          <w:szCs w:val="24"/>
        </w:rPr>
        <w:t xml:space="preserve">rule of </w:t>
      </w:r>
      <w:r w:rsidR="004B2352" w:rsidRPr="00020413">
        <w:rPr>
          <w:rFonts w:ascii="Times New Roman" w:hAnsi="Times New Roman"/>
          <w:sz w:val="24"/>
          <w:szCs w:val="24"/>
        </w:rPr>
        <w:t xml:space="preserve">law and control of corruption are both negative, suggesting that governance quality for developing countries </w:t>
      </w:r>
      <w:r w:rsidR="00312945" w:rsidRPr="00020413">
        <w:rPr>
          <w:rFonts w:ascii="Times New Roman" w:hAnsi="Times New Roman"/>
          <w:sz w:val="24"/>
          <w:szCs w:val="24"/>
        </w:rPr>
        <w:t xml:space="preserve">is </w:t>
      </w:r>
      <w:r w:rsidR="004B2352" w:rsidRPr="00020413">
        <w:rPr>
          <w:rFonts w:ascii="Times New Roman" w:hAnsi="Times New Roman"/>
          <w:sz w:val="24"/>
          <w:szCs w:val="24"/>
        </w:rPr>
        <w:t xml:space="preserve">below the world average. The </w:t>
      </w:r>
      <w:r w:rsidR="004B2352" w:rsidRPr="00020413">
        <w:rPr>
          <w:rFonts w:ascii="Times New Roman" w:hAnsi="Times New Roman"/>
          <w:sz w:val="24"/>
          <w:szCs w:val="24"/>
        </w:rPr>
        <w:lastRenderedPageBreak/>
        <w:t xml:space="preserve">only exception is the governance indicator of </w:t>
      </w:r>
      <w:r w:rsidR="005C6E18" w:rsidRPr="00020413">
        <w:rPr>
          <w:rFonts w:ascii="Times New Roman" w:hAnsi="Times New Roman"/>
          <w:sz w:val="24"/>
          <w:szCs w:val="24"/>
        </w:rPr>
        <w:t>regulatory quality</w:t>
      </w:r>
      <w:r w:rsidR="008124A8" w:rsidRPr="00020413">
        <w:rPr>
          <w:rFonts w:ascii="Times New Roman" w:hAnsi="Times New Roman"/>
          <w:sz w:val="24"/>
          <w:szCs w:val="24"/>
        </w:rPr>
        <w:t>,</w:t>
      </w:r>
      <w:r w:rsidR="004B2352" w:rsidRPr="00020413">
        <w:rPr>
          <w:rFonts w:ascii="Times New Roman" w:hAnsi="Times New Roman"/>
          <w:sz w:val="24"/>
          <w:szCs w:val="24"/>
        </w:rPr>
        <w:t xml:space="preserve"> which is marginally above the world average.</w:t>
      </w:r>
    </w:p>
    <w:p w:rsidR="004B2352" w:rsidRPr="00020413" w:rsidRDefault="00225F6E" w:rsidP="00D55D24">
      <w:pPr>
        <w:spacing w:after="120" w:line="360" w:lineRule="auto"/>
        <w:jc w:val="both"/>
        <w:rPr>
          <w:rFonts w:ascii="Times New Roman" w:hAnsi="Times New Roman"/>
          <w:sz w:val="24"/>
          <w:szCs w:val="24"/>
          <w:lang w:val="en-US"/>
        </w:rPr>
      </w:pPr>
      <w:r w:rsidRPr="00020413">
        <w:rPr>
          <w:rFonts w:ascii="Times New Roman" w:hAnsi="Times New Roman"/>
          <w:sz w:val="24"/>
          <w:szCs w:val="24"/>
        </w:rPr>
        <w:t>It is noteworthy that most of our variables (including our measures for loan default and information sharing), exhibit considerable between</w:t>
      </w:r>
      <w:r w:rsidR="00AE18FA" w:rsidRPr="00020413">
        <w:rPr>
          <w:rFonts w:ascii="Times New Roman" w:hAnsi="Times New Roman"/>
          <w:sz w:val="24"/>
          <w:szCs w:val="24"/>
        </w:rPr>
        <w:t>-</w:t>
      </w:r>
      <w:r w:rsidRPr="00020413">
        <w:rPr>
          <w:rFonts w:ascii="Times New Roman" w:hAnsi="Times New Roman"/>
          <w:sz w:val="24"/>
          <w:szCs w:val="24"/>
        </w:rPr>
        <w:t xml:space="preserve"> and moderate within</w:t>
      </w:r>
      <w:r w:rsidR="00AE18FA" w:rsidRPr="00020413">
        <w:rPr>
          <w:rFonts w:ascii="Times New Roman" w:hAnsi="Times New Roman"/>
          <w:sz w:val="24"/>
          <w:szCs w:val="24"/>
        </w:rPr>
        <w:t>-</w:t>
      </w:r>
      <w:r w:rsidRPr="00020413">
        <w:rPr>
          <w:rFonts w:ascii="Times New Roman" w:hAnsi="Times New Roman"/>
          <w:sz w:val="24"/>
          <w:szCs w:val="24"/>
        </w:rPr>
        <w:t>country variations, permitting the use of panel data estimation methods to identify our parameter</w:t>
      </w:r>
      <w:r w:rsidR="000E6926" w:rsidRPr="00020413">
        <w:rPr>
          <w:rFonts w:ascii="Times New Roman" w:hAnsi="Times New Roman"/>
          <w:sz w:val="24"/>
          <w:szCs w:val="24"/>
        </w:rPr>
        <w:t>s</w:t>
      </w:r>
      <w:r w:rsidRPr="00020413">
        <w:rPr>
          <w:rFonts w:ascii="Times New Roman" w:hAnsi="Times New Roman"/>
          <w:sz w:val="24"/>
          <w:szCs w:val="24"/>
        </w:rPr>
        <w:t xml:space="preserve"> of interest (see, </w:t>
      </w:r>
      <w:proofErr w:type="spellStart"/>
      <w:r w:rsidRPr="00020413">
        <w:rPr>
          <w:rFonts w:ascii="Times New Roman" w:hAnsi="Times New Roman"/>
          <w:sz w:val="24"/>
          <w:szCs w:val="24"/>
        </w:rPr>
        <w:t>Baltagi</w:t>
      </w:r>
      <w:proofErr w:type="spellEnd"/>
      <w:r w:rsidRPr="00020413">
        <w:rPr>
          <w:rFonts w:ascii="Times New Roman" w:hAnsi="Times New Roman"/>
          <w:sz w:val="24"/>
          <w:szCs w:val="24"/>
        </w:rPr>
        <w:t xml:space="preserve"> et al, 2009). For instance, our primary information sharing measure,</w:t>
      </w:r>
      <w:r w:rsidR="000D4BF0" w:rsidRPr="00020413">
        <w:rPr>
          <w:rFonts w:ascii="Times New Roman" w:hAnsi="Times New Roman"/>
          <w:sz w:val="24"/>
          <w:szCs w:val="24"/>
        </w:rPr>
        <w:t xml:space="preserve"> </w:t>
      </w:r>
      <w:r w:rsidRPr="00020413">
        <w:rPr>
          <w:rFonts w:ascii="Times New Roman" w:hAnsi="Times New Roman"/>
          <w:sz w:val="24"/>
          <w:szCs w:val="24"/>
        </w:rPr>
        <w:t>t</w:t>
      </w:r>
      <w:r w:rsidR="000D4BF0" w:rsidRPr="00020413">
        <w:rPr>
          <w:rFonts w:ascii="Times New Roman" w:hAnsi="Times New Roman"/>
          <w:sz w:val="24"/>
          <w:szCs w:val="24"/>
        </w:rPr>
        <w:t>he</w:t>
      </w:r>
      <w:r w:rsidR="00EA4585" w:rsidRPr="00020413">
        <w:rPr>
          <w:rFonts w:ascii="Times New Roman" w:hAnsi="Times New Roman"/>
          <w:sz w:val="24"/>
          <w:szCs w:val="24"/>
        </w:rPr>
        <w:t xml:space="preserve"> depth of credit information</w:t>
      </w:r>
      <w:r w:rsidR="000D4BF0" w:rsidRPr="00020413">
        <w:rPr>
          <w:rFonts w:ascii="Times New Roman" w:hAnsi="Times New Roman"/>
          <w:sz w:val="24"/>
          <w:szCs w:val="24"/>
        </w:rPr>
        <w:t xml:space="preserve"> index</w:t>
      </w:r>
      <w:r w:rsidRPr="00020413">
        <w:rPr>
          <w:rFonts w:ascii="Times New Roman" w:hAnsi="Times New Roman"/>
          <w:sz w:val="24"/>
          <w:szCs w:val="24"/>
        </w:rPr>
        <w:t>,</w:t>
      </w:r>
      <w:r w:rsidR="000D4BF0" w:rsidRPr="00020413">
        <w:rPr>
          <w:rFonts w:ascii="Times New Roman" w:hAnsi="Times New Roman"/>
          <w:sz w:val="24"/>
          <w:szCs w:val="24"/>
        </w:rPr>
        <w:t xml:space="preserve"> shows a within-country standard deviation of 1.12, suggesting some improvements in information sharing in some, if not all, developing countries over our sample period. </w:t>
      </w:r>
      <w:r w:rsidRPr="00020413">
        <w:rPr>
          <w:rFonts w:ascii="Times New Roman" w:hAnsi="Times New Roman"/>
          <w:sz w:val="24"/>
          <w:szCs w:val="24"/>
        </w:rPr>
        <w:t xml:space="preserve">In fact, </w:t>
      </w:r>
      <w:r w:rsidR="000D4BF0" w:rsidRPr="00020413">
        <w:rPr>
          <w:rFonts w:ascii="Times New Roman" w:hAnsi="Times New Roman"/>
          <w:sz w:val="24"/>
          <w:szCs w:val="24"/>
          <w:lang w:val="en-US"/>
        </w:rPr>
        <w:t xml:space="preserve">as many as 23 countries in our sample showed </w:t>
      </w:r>
      <w:r w:rsidRPr="00020413">
        <w:rPr>
          <w:rFonts w:ascii="Times New Roman" w:hAnsi="Times New Roman"/>
          <w:sz w:val="24"/>
          <w:szCs w:val="24"/>
          <w:lang w:val="en-US"/>
        </w:rPr>
        <w:t xml:space="preserve">major </w:t>
      </w:r>
      <w:r w:rsidR="000D4BF0" w:rsidRPr="00020413">
        <w:rPr>
          <w:rFonts w:ascii="Times New Roman" w:hAnsi="Times New Roman"/>
          <w:sz w:val="24"/>
          <w:szCs w:val="24"/>
          <w:lang w:val="en-US"/>
        </w:rPr>
        <w:t>improvements</w:t>
      </w:r>
      <w:r w:rsidRPr="00020413">
        <w:rPr>
          <w:rFonts w:ascii="Times New Roman" w:hAnsi="Times New Roman"/>
          <w:sz w:val="24"/>
          <w:szCs w:val="24"/>
          <w:lang w:val="en-US"/>
        </w:rPr>
        <w:t xml:space="preserve"> in credit information sharing over the sample period</w:t>
      </w:r>
      <w:r w:rsidR="000D4BF0" w:rsidRPr="00020413">
        <w:rPr>
          <w:rFonts w:ascii="Times New Roman" w:hAnsi="Times New Roman"/>
          <w:sz w:val="24"/>
          <w:szCs w:val="24"/>
          <w:lang w:val="en-US"/>
        </w:rPr>
        <w:t xml:space="preserve">. We define significant improvement to include cases where we observe at least a 5-unit change in the depth of credit information index from the beginning to the end of the sample period (2004-2012). For example, a country with an initial index of zero (one) but moves to five </w:t>
      </w:r>
      <w:r w:rsidR="00CE6CFA" w:rsidRPr="00020413">
        <w:rPr>
          <w:rFonts w:ascii="Times New Roman" w:hAnsi="Times New Roman"/>
          <w:sz w:val="24"/>
          <w:szCs w:val="24"/>
          <w:lang w:val="en-US"/>
        </w:rPr>
        <w:t xml:space="preserve">or above </w:t>
      </w:r>
      <w:r w:rsidR="000D4BF0" w:rsidRPr="00020413">
        <w:rPr>
          <w:rFonts w:ascii="Times New Roman" w:hAnsi="Times New Roman"/>
          <w:sz w:val="24"/>
          <w:szCs w:val="24"/>
          <w:lang w:val="en-US"/>
        </w:rPr>
        <w:t>(six) during the sample period is classified as having showed a major improvement. Out of the 23 countries that showed major improvements, 12 showed sharp improvements, with the remaining 11 taking a gradual process to</w:t>
      </w:r>
      <w:r w:rsidR="007D1D6D" w:rsidRPr="00020413">
        <w:rPr>
          <w:rFonts w:ascii="Times New Roman" w:hAnsi="Times New Roman"/>
          <w:sz w:val="24"/>
          <w:szCs w:val="24"/>
          <w:lang w:val="en-US"/>
        </w:rPr>
        <w:t>wards</w:t>
      </w:r>
      <w:r w:rsidR="000D4BF0" w:rsidRPr="00020413">
        <w:rPr>
          <w:rFonts w:ascii="Times New Roman" w:hAnsi="Times New Roman"/>
          <w:sz w:val="24"/>
          <w:szCs w:val="24"/>
          <w:lang w:val="en-US"/>
        </w:rPr>
        <w:t xml:space="preserve"> attaining improved information sharing</w:t>
      </w:r>
      <w:r w:rsidR="00BA083C" w:rsidRPr="00020413">
        <w:rPr>
          <w:rFonts w:ascii="Times New Roman" w:hAnsi="Times New Roman"/>
          <w:sz w:val="24"/>
          <w:szCs w:val="24"/>
          <w:lang w:val="en-US"/>
        </w:rPr>
        <w:t>.</w:t>
      </w:r>
      <w:r w:rsidR="00C812CA" w:rsidRPr="00020413">
        <w:rPr>
          <w:rStyle w:val="FootnoteReference"/>
          <w:rFonts w:ascii="Times New Roman" w:hAnsi="Times New Roman"/>
          <w:sz w:val="24"/>
          <w:szCs w:val="24"/>
          <w:lang w:val="en-US"/>
        </w:rPr>
        <w:footnoteReference w:id="7"/>
      </w:r>
      <w:r w:rsidR="000D4BF0" w:rsidRPr="00020413">
        <w:rPr>
          <w:rFonts w:ascii="Times New Roman" w:hAnsi="Times New Roman"/>
          <w:sz w:val="24"/>
          <w:szCs w:val="24"/>
          <w:lang w:val="en-US"/>
        </w:rPr>
        <w:t xml:space="preserve"> We define sharp improvements to include improvements where the increase in the depth of credit information index between any two consecutive years is at least 5. All other cases of improvements are classified as gradual. Figure </w:t>
      </w:r>
      <w:r w:rsidR="00E61986" w:rsidRPr="00020413">
        <w:rPr>
          <w:rFonts w:ascii="Times New Roman" w:hAnsi="Times New Roman"/>
          <w:sz w:val="24"/>
          <w:szCs w:val="24"/>
          <w:lang w:val="en-US"/>
        </w:rPr>
        <w:t>2</w:t>
      </w:r>
      <w:r w:rsidR="000D4BF0" w:rsidRPr="00020413">
        <w:rPr>
          <w:rFonts w:ascii="Times New Roman" w:hAnsi="Times New Roman"/>
          <w:sz w:val="24"/>
          <w:szCs w:val="24"/>
          <w:lang w:val="en-US"/>
        </w:rPr>
        <w:t xml:space="preserve"> shows the average indices over time for the</w:t>
      </w:r>
      <w:r w:rsidR="00BF6801" w:rsidRPr="00020413">
        <w:rPr>
          <w:rFonts w:ascii="Times New Roman" w:hAnsi="Times New Roman"/>
          <w:sz w:val="24"/>
          <w:szCs w:val="24"/>
          <w:lang w:val="en-US"/>
        </w:rPr>
        <w:t xml:space="preserve"> group of</w:t>
      </w:r>
      <w:r w:rsidR="000D4BF0" w:rsidRPr="00020413">
        <w:rPr>
          <w:rFonts w:ascii="Times New Roman" w:hAnsi="Times New Roman"/>
          <w:sz w:val="24"/>
          <w:szCs w:val="24"/>
          <w:lang w:val="en-US"/>
        </w:rPr>
        <w:t xml:space="preserve"> countries with sharp </w:t>
      </w:r>
      <w:r w:rsidR="00BF6801" w:rsidRPr="00020413">
        <w:rPr>
          <w:rFonts w:ascii="Times New Roman" w:hAnsi="Times New Roman"/>
          <w:sz w:val="24"/>
          <w:szCs w:val="24"/>
          <w:lang w:val="en-US"/>
        </w:rPr>
        <w:t xml:space="preserve">and those with </w:t>
      </w:r>
      <w:r w:rsidR="000D4BF0" w:rsidRPr="00020413">
        <w:rPr>
          <w:rFonts w:ascii="Times New Roman" w:hAnsi="Times New Roman"/>
          <w:sz w:val="24"/>
          <w:szCs w:val="24"/>
          <w:lang w:val="en-US"/>
        </w:rPr>
        <w:t xml:space="preserve">gradual improvements.   </w:t>
      </w:r>
    </w:p>
    <w:p w:rsidR="00DD2B45" w:rsidRPr="00020413" w:rsidRDefault="00DD2B45" w:rsidP="00DD2B45">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[Figure </w:t>
      </w:r>
      <w:r w:rsidR="00E61986" w:rsidRPr="00020413">
        <w:rPr>
          <w:rFonts w:ascii="Times New Roman" w:hAnsi="Times New Roman"/>
          <w:b/>
          <w:sz w:val="28"/>
          <w:szCs w:val="24"/>
        </w:rPr>
        <w:t>2</w:t>
      </w:r>
      <w:r w:rsidRPr="00020413">
        <w:rPr>
          <w:rFonts w:ascii="Times New Roman" w:hAnsi="Times New Roman"/>
          <w:b/>
          <w:sz w:val="28"/>
          <w:szCs w:val="24"/>
        </w:rPr>
        <w:t xml:space="preserve"> about here]</w:t>
      </w:r>
    </w:p>
    <w:p w:rsidR="000A3F0A" w:rsidRPr="00020413" w:rsidRDefault="000A3F0A"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t>[Table 2 about here]</w:t>
      </w:r>
    </w:p>
    <w:p w:rsidR="00C927BA" w:rsidRPr="00020413" w:rsidRDefault="00DB2519"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Finally, </w:t>
      </w:r>
      <w:r w:rsidR="009F16F4" w:rsidRPr="00020413">
        <w:rPr>
          <w:rFonts w:ascii="Times New Roman" w:hAnsi="Times New Roman"/>
          <w:sz w:val="24"/>
          <w:szCs w:val="24"/>
        </w:rPr>
        <w:t xml:space="preserve">Table 2 </w:t>
      </w:r>
      <w:r w:rsidR="003658CC" w:rsidRPr="00020413">
        <w:rPr>
          <w:rFonts w:ascii="Times New Roman" w:hAnsi="Times New Roman"/>
          <w:sz w:val="24"/>
          <w:szCs w:val="24"/>
        </w:rPr>
        <w:t>presents</w:t>
      </w:r>
      <w:r w:rsidR="009F16F4" w:rsidRPr="00020413">
        <w:rPr>
          <w:rFonts w:ascii="Times New Roman" w:hAnsi="Times New Roman"/>
          <w:sz w:val="24"/>
          <w:szCs w:val="24"/>
        </w:rPr>
        <w:t xml:space="preserve"> </w:t>
      </w:r>
      <w:r w:rsidR="003658CC" w:rsidRPr="00020413">
        <w:rPr>
          <w:rFonts w:ascii="Times New Roman" w:hAnsi="Times New Roman"/>
          <w:sz w:val="24"/>
          <w:szCs w:val="24"/>
        </w:rPr>
        <w:t xml:space="preserve">the </w:t>
      </w:r>
      <w:r w:rsidR="001E218A" w:rsidRPr="00020413">
        <w:rPr>
          <w:rFonts w:ascii="Times New Roman" w:hAnsi="Times New Roman"/>
          <w:sz w:val="24"/>
          <w:szCs w:val="24"/>
        </w:rPr>
        <w:t>correlation among the var</w:t>
      </w:r>
      <w:r w:rsidR="00CA590D" w:rsidRPr="00020413">
        <w:rPr>
          <w:rFonts w:ascii="Times New Roman" w:hAnsi="Times New Roman"/>
          <w:sz w:val="24"/>
          <w:szCs w:val="24"/>
        </w:rPr>
        <w:t>iables</w:t>
      </w:r>
      <w:r w:rsidR="003658CC" w:rsidRPr="00020413">
        <w:rPr>
          <w:rFonts w:ascii="Times New Roman" w:hAnsi="Times New Roman"/>
          <w:sz w:val="24"/>
          <w:szCs w:val="24"/>
        </w:rPr>
        <w:t>, and it shows</w:t>
      </w:r>
      <w:r w:rsidR="001E218A" w:rsidRPr="00020413">
        <w:rPr>
          <w:rFonts w:ascii="Times New Roman" w:hAnsi="Times New Roman"/>
          <w:sz w:val="24"/>
          <w:szCs w:val="24"/>
        </w:rPr>
        <w:t xml:space="preserve"> that </w:t>
      </w:r>
      <w:r w:rsidR="00DB6FAF" w:rsidRPr="00020413">
        <w:rPr>
          <w:rFonts w:ascii="Times New Roman" w:hAnsi="Times New Roman"/>
          <w:sz w:val="24"/>
          <w:szCs w:val="24"/>
        </w:rPr>
        <w:t xml:space="preserve">the depth of </w:t>
      </w:r>
      <w:r w:rsidR="005E51D1" w:rsidRPr="00020413">
        <w:rPr>
          <w:rFonts w:ascii="Times New Roman" w:hAnsi="Times New Roman"/>
          <w:sz w:val="24"/>
          <w:szCs w:val="24"/>
        </w:rPr>
        <w:t>credit in</w:t>
      </w:r>
      <w:r w:rsidR="00CA590D" w:rsidRPr="00020413">
        <w:rPr>
          <w:rFonts w:ascii="Times New Roman" w:hAnsi="Times New Roman"/>
          <w:sz w:val="24"/>
          <w:szCs w:val="24"/>
        </w:rPr>
        <w:t>formation</w:t>
      </w:r>
      <w:r w:rsidR="000D00FA" w:rsidRPr="00020413">
        <w:rPr>
          <w:rFonts w:ascii="Times New Roman" w:hAnsi="Times New Roman"/>
          <w:sz w:val="24"/>
          <w:szCs w:val="24"/>
        </w:rPr>
        <w:t xml:space="preserve"> </w:t>
      </w:r>
      <w:r w:rsidR="001E218A" w:rsidRPr="00020413">
        <w:rPr>
          <w:rFonts w:ascii="Times New Roman" w:hAnsi="Times New Roman"/>
          <w:sz w:val="24"/>
          <w:szCs w:val="24"/>
        </w:rPr>
        <w:t xml:space="preserve">is </w:t>
      </w:r>
      <w:r w:rsidR="005E51D1" w:rsidRPr="00020413">
        <w:rPr>
          <w:rFonts w:ascii="Times New Roman" w:hAnsi="Times New Roman"/>
          <w:sz w:val="24"/>
          <w:szCs w:val="24"/>
        </w:rPr>
        <w:t>negatively</w:t>
      </w:r>
      <w:r w:rsidR="001E218A" w:rsidRPr="00020413">
        <w:rPr>
          <w:rFonts w:ascii="Times New Roman" w:hAnsi="Times New Roman"/>
          <w:sz w:val="24"/>
          <w:szCs w:val="24"/>
        </w:rPr>
        <w:t xml:space="preserve"> associated with bank </w:t>
      </w:r>
      <w:r w:rsidR="00262D41" w:rsidRPr="00020413">
        <w:rPr>
          <w:rFonts w:ascii="Times New Roman" w:hAnsi="Times New Roman"/>
          <w:sz w:val="24"/>
          <w:szCs w:val="24"/>
        </w:rPr>
        <w:t>loan default rate</w:t>
      </w:r>
      <w:r w:rsidR="001E218A" w:rsidRPr="00020413">
        <w:rPr>
          <w:rFonts w:ascii="Times New Roman" w:hAnsi="Times New Roman"/>
          <w:sz w:val="24"/>
          <w:szCs w:val="24"/>
        </w:rPr>
        <w:t xml:space="preserve">. </w:t>
      </w:r>
      <w:r w:rsidR="000D00FA" w:rsidRPr="00020413">
        <w:rPr>
          <w:rFonts w:ascii="Times New Roman" w:hAnsi="Times New Roman"/>
          <w:sz w:val="24"/>
          <w:szCs w:val="24"/>
        </w:rPr>
        <w:t>Similarly</w:t>
      </w:r>
      <w:r w:rsidR="001E218A" w:rsidRPr="00020413">
        <w:rPr>
          <w:rFonts w:ascii="Times New Roman" w:hAnsi="Times New Roman"/>
          <w:sz w:val="24"/>
          <w:szCs w:val="24"/>
        </w:rPr>
        <w:t>,</w:t>
      </w:r>
      <w:r w:rsidR="00FA43BB" w:rsidRPr="00020413">
        <w:rPr>
          <w:rFonts w:ascii="Times New Roman" w:hAnsi="Times New Roman"/>
          <w:sz w:val="24"/>
          <w:szCs w:val="24"/>
        </w:rPr>
        <w:t xml:space="preserve"> </w:t>
      </w:r>
      <w:r w:rsidR="000D00FA" w:rsidRPr="00020413">
        <w:rPr>
          <w:rFonts w:ascii="Times New Roman" w:hAnsi="Times New Roman"/>
          <w:sz w:val="24"/>
          <w:szCs w:val="24"/>
        </w:rPr>
        <w:t>the credit bureau coverage is negatively related to loan default, whilst credit registry coverage has a seemingly weak positive correlation with loan default</w:t>
      </w:r>
      <w:r w:rsidR="005C6E18" w:rsidRPr="00020413">
        <w:rPr>
          <w:rFonts w:ascii="Times New Roman" w:hAnsi="Times New Roman"/>
          <w:sz w:val="24"/>
          <w:szCs w:val="24"/>
        </w:rPr>
        <w:t>.</w:t>
      </w:r>
      <w:r w:rsidR="00FA43BB" w:rsidRPr="00020413">
        <w:rPr>
          <w:rFonts w:ascii="Times New Roman" w:hAnsi="Times New Roman"/>
          <w:sz w:val="24"/>
          <w:szCs w:val="24"/>
        </w:rPr>
        <w:t xml:space="preserve"> </w:t>
      </w:r>
      <w:r w:rsidR="000D00FA" w:rsidRPr="00020413">
        <w:rPr>
          <w:rFonts w:ascii="Times New Roman" w:hAnsi="Times New Roman"/>
          <w:sz w:val="24"/>
          <w:szCs w:val="24"/>
        </w:rPr>
        <w:t>This suggest that the two measures perhaps capture different attributes of information sharing, as credit registry, unlike private bureau, is largely a regulatory tool</w:t>
      </w:r>
      <w:r w:rsidR="00332DCC" w:rsidRPr="00020413">
        <w:rPr>
          <w:rFonts w:ascii="Times New Roman" w:hAnsi="Times New Roman"/>
          <w:sz w:val="24"/>
          <w:szCs w:val="24"/>
        </w:rPr>
        <w:t xml:space="preserve">. </w:t>
      </w:r>
      <w:r w:rsidR="000B6C7F" w:rsidRPr="00020413">
        <w:rPr>
          <w:rFonts w:ascii="Times New Roman" w:hAnsi="Times New Roman"/>
          <w:sz w:val="24"/>
          <w:szCs w:val="24"/>
        </w:rPr>
        <w:t>All</w:t>
      </w:r>
      <w:r w:rsidR="00332DCC" w:rsidRPr="00020413">
        <w:rPr>
          <w:rFonts w:ascii="Times New Roman" w:hAnsi="Times New Roman"/>
          <w:sz w:val="24"/>
          <w:szCs w:val="24"/>
        </w:rPr>
        <w:t xml:space="preserve"> the governance </w:t>
      </w:r>
      <w:r w:rsidR="006130BB" w:rsidRPr="00020413">
        <w:rPr>
          <w:rFonts w:ascii="Times New Roman" w:hAnsi="Times New Roman"/>
          <w:sz w:val="24"/>
          <w:szCs w:val="24"/>
        </w:rPr>
        <w:t xml:space="preserve">indicators are </w:t>
      </w:r>
      <w:r w:rsidR="000D00FA" w:rsidRPr="00020413">
        <w:rPr>
          <w:rFonts w:ascii="Times New Roman" w:hAnsi="Times New Roman"/>
          <w:sz w:val="24"/>
          <w:szCs w:val="24"/>
        </w:rPr>
        <w:t xml:space="preserve">negatively correlated with </w:t>
      </w:r>
      <w:r w:rsidR="000D00FA" w:rsidRPr="00020413">
        <w:rPr>
          <w:rFonts w:ascii="Times New Roman" w:hAnsi="Times New Roman"/>
          <w:sz w:val="24"/>
          <w:szCs w:val="24"/>
        </w:rPr>
        <w:lastRenderedPageBreak/>
        <w:t>loan default. These indicators</w:t>
      </w:r>
      <w:r w:rsidR="00332DCC" w:rsidRPr="00020413">
        <w:rPr>
          <w:rFonts w:ascii="Times New Roman" w:hAnsi="Times New Roman"/>
          <w:sz w:val="24"/>
          <w:szCs w:val="24"/>
        </w:rPr>
        <w:t xml:space="preserve"> are strongly correlated with </w:t>
      </w:r>
      <w:r w:rsidR="00BF0C6A" w:rsidRPr="00020413">
        <w:rPr>
          <w:rFonts w:ascii="Times New Roman" w:hAnsi="Times New Roman"/>
          <w:sz w:val="24"/>
          <w:szCs w:val="24"/>
        </w:rPr>
        <w:t>one</w:t>
      </w:r>
      <w:r w:rsidR="00332DCC" w:rsidRPr="00020413">
        <w:rPr>
          <w:rFonts w:ascii="Times New Roman" w:hAnsi="Times New Roman"/>
          <w:sz w:val="24"/>
          <w:szCs w:val="24"/>
        </w:rPr>
        <w:t xml:space="preserve"> </w:t>
      </w:r>
      <w:r w:rsidR="00BF0C6A" w:rsidRPr="00020413">
        <w:rPr>
          <w:rFonts w:ascii="Times New Roman" w:hAnsi="Times New Roman"/>
          <w:sz w:val="24"/>
          <w:szCs w:val="24"/>
        </w:rPr>
        <w:t>an</w:t>
      </w:r>
      <w:r w:rsidR="00332DCC" w:rsidRPr="00020413">
        <w:rPr>
          <w:rFonts w:ascii="Times New Roman" w:hAnsi="Times New Roman"/>
          <w:sz w:val="24"/>
          <w:szCs w:val="24"/>
        </w:rPr>
        <w:t>other</w:t>
      </w:r>
      <w:r w:rsidR="006130BB" w:rsidRPr="00020413">
        <w:rPr>
          <w:rFonts w:ascii="Times New Roman" w:hAnsi="Times New Roman"/>
          <w:sz w:val="24"/>
          <w:szCs w:val="24"/>
        </w:rPr>
        <w:t>; how</w:t>
      </w:r>
      <w:r w:rsidR="00332DCC" w:rsidRPr="00020413">
        <w:rPr>
          <w:rFonts w:ascii="Times New Roman" w:hAnsi="Times New Roman"/>
          <w:sz w:val="24"/>
          <w:szCs w:val="24"/>
        </w:rPr>
        <w:t>ever, this poses no concern</w:t>
      </w:r>
      <w:r w:rsidR="00F8312F" w:rsidRPr="00020413">
        <w:rPr>
          <w:rFonts w:ascii="Times New Roman" w:hAnsi="Times New Roman"/>
          <w:sz w:val="24"/>
          <w:szCs w:val="24"/>
        </w:rPr>
        <w:t>s about</w:t>
      </w:r>
      <w:r w:rsidR="00332DCC" w:rsidRPr="00020413">
        <w:rPr>
          <w:rFonts w:ascii="Times New Roman" w:hAnsi="Times New Roman"/>
          <w:sz w:val="24"/>
          <w:szCs w:val="24"/>
        </w:rPr>
        <w:t xml:space="preserve"> multicollinearity as these variables do not enter the regression at the same time. </w:t>
      </w:r>
      <w:r w:rsidR="00521F59" w:rsidRPr="00020413">
        <w:rPr>
          <w:rFonts w:ascii="Times New Roman" w:hAnsi="Times New Roman"/>
          <w:sz w:val="24"/>
          <w:szCs w:val="24"/>
        </w:rPr>
        <w:t xml:space="preserve">Further, there is no issue of multicollinearity with any of the causal variables employed. </w:t>
      </w:r>
      <w:r w:rsidR="00BB074C" w:rsidRPr="00020413">
        <w:rPr>
          <w:rFonts w:ascii="Times New Roman" w:hAnsi="Times New Roman"/>
          <w:sz w:val="24"/>
          <w:szCs w:val="24"/>
        </w:rPr>
        <w:t>Overall,</w:t>
      </w:r>
      <w:r w:rsidR="00907F9D" w:rsidRPr="00020413">
        <w:rPr>
          <w:rFonts w:ascii="Times New Roman" w:hAnsi="Times New Roman"/>
          <w:sz w:val="24"/>
          <w:szCs w:val="24"/>
        </w:rPr>
        <w:t xml:space="preserve"> </w:t>
      </w:r>
      <w:r w:rsidR="00521F59" w:rsidRPr="00020413">
        <w:rPr>
          <w:rFonts w:ascii="Times New Roman" w:hAnsi="Times New Roman"/>
          <w:sz w:val="24"/>
          <w:szCs w:val="24"/>
        </w:rPr>
        <w:t>the descriptive statistics and the correlation matrix suggest that statistical problems such as lack of variations and multicollinearity are u</w:t>
      </w:r>
      <w:r w:rsidR="00D55D24" w:rsidRPr="00020413">
        <w:rPr>
          <w:rFonts w:ascii="Times New Roman" w:hAnsi="Times New Roman"/>
          <w:sz w:val="24"/>
          <w:szCs w:val="24"/>
        </w:rPr>
        <w:t>nlikely to plague our analysis.</w:t>
      </w:r>
    </w:p>
    <w:p w:rsidR="00A651BC" w:rsidRPr="00020413" w:rsidRDefault="001115AB" w:rsidP="004A3C5F">
      <w:pPr>
        <w:spacing w:after="0" w:line="360" w:lineRule="auto"/>
        <w:jc w:val="both"/>
        <w:rPr>
          <w:rFonts w:ascii="Times New Roman" w:hAnsi="Times New Roman"/>
          <w:b/>
          <w:sz w:val="24"/>
          <w:szCs w:val="24"/>
        </w:rPr>
      </w:pPr>
      <w:r w:rsidRPr="00020413">
        <w:rPr>
          <w:rFonts w:ascii="Times New Roman" w:hAnsi="Times New Roman"/>
          <w:b/>
          <w:sz w:val="24"/>
          <w:szCs w:val="24"/>
        </w:rPr>
        <w:t>3</w:t>
      </w:r>
      <w:r w:rsidR="00A651BC" w:rsidRPr="00020413">
        <w:rPr>
          <w:rFonts w:ascii="Times New Roman" w:hAnsi="Times New Roman"/>
          <w:b/>
          <w:sz w:val="24"/>
          <w:szCs w:val="24"/>
        </w:rPr>
        <w:t>.</w:t>
      </w:r>
      <w:r w:rsidR="00C91248" w:rsidRPr="00020413">
        <w:rPr>
          <w:rFonts w:ascii="Times New Roman" w:hAnsi="Times New Roman"/>
          <w:b/>
          <w:sz w:val="24"/>
          <w:szCs w:val="24"/>
        </w:rPr>
        <w:t>4</w:t>
      </w:r>
      <w:r w:rsidR="00A651BC" w:rsidRPr="00020413">
        <w:rPr>
          <w:rFonts w:ascii="Times New Roman" w:hAnsi="Times New Roman"/>
          <w:b/>
          <w:sz w:val="24"/>
          <w:szCs w:val="24"/>
        </w:rPr>
        <w:t xml:space="preserve"> </w:t>
      </w:r>
      <w:r w:rsidR="00235BC5" w:rsidRPr="00020413">
        <w:rPr>
          <w:rFonts w:ascii="Times New Roman" w:hAnsi="Times New Roman"/>
          <w:b/>
          <w:sz w:val="24"/>
          <w:szCs w:val="24"/>
        </w:rPr>
        <w:t>Estimation method</w:t>
      </w:r>
    </w:p>
    <w:p w:rsidR="0034476E" w:rsidRPr="00020413" w:rsidRDefault="00A651BC" w:rsidP="00D55D24">
      <w:pPr>
        <w:autoSpaceDE w:val="0"/>
        <w:autoSpaceDN w:val="0"/>
        <w:adjustRightInd w:val="0"/>
        <w:spacing w:after="120" w:line="360" w:lineRule="auto"/>
        <w:jc w:val="both"/>
        <w:rPr>
          <w:rFonts w:ascii="Times New Roman" w:hAnsi="Times New Roman"/>
          <w:sz w:val="24"/>
          <w:szCs w:val="24"/>
          <w:lang w:eastAsia="en-GB"/>
        </w:rPr>
      </w:pPr>
      <w:r w:rsidRPr="00020413">
        <w:rPr>
          <w:rFonts w:ascii="Times New Roman" w:hAnsi="Times New Roman"/>
          <w:sz w:val="24"/>
          <w:szCs w:val="24"/>
        </w:rPr>
        <w:t xml:space="preserve">We formulate empirical models in this section to test out our main </w:t>
      </w:r>
      <w:r w:rsidR="00547FDC" w:rsidRPr="00020413">
        <w:rPr>
          <w:rFonts w:ascii="Times New Roman" w:hAnsi="Times New Roman"/>
          <w:sz w:val="24"/>
          <w:szCs w:val="24"/>
        </w:rPr>
        <w:t>hypotheses</w:t>
      </w:r>
      <w:r w:rsidR="0036629D" w:rsidRPr="00020413">
        <w:rPr>
          <w:rFonts w:ascii="Times New Roman" w:hAnsi="Times New Roman"/>
          <w:sz w:val="24"/>
          <w:szCs w:val="24"/>
        </w:rPr>
        <w:t>.</w:t>
      </w:r>
      <w:r w:rsidR="00FE2DB9" w:rsidRPr="00020413">
        <w:rPr>
          <w:rFonts w:ascii="Times New Roman" w:hAnsi="Times New Roman"/>
          <w:sz w:val="24"/>
          <w:szCs w:val="24"/>
        </w:rPr>
        <w:t xml:space="preserve"> </w:t>
      </w:r>
      <w:r w:rsidR="009F1151" w:rsidRPr="00020413">
        <w:rPr>
          <w:rFonts w:ascii="Times New Roman" w:hAnsi="Times New Roman"/>
          <w:sz w:val="24"/>
          <w:szCs w:val="24"/>
        </w:rPr>
        <w:t>To</w:t>
      </w:r>
      <w:r w:rsidR="00E94350" w:rsidRPr="00020413">
        <w:rPr>
          <w:rFonts w:ascii="Times New Roman" w:hAnsi="Times New Roman"/>
          <w:sz w:val="24"/>
          <w:szCs w:val="24"/>
        </w:rPr>
        <w:t xml:space="preserve"> do this, </w:t>
      </w:r>
      <w:r w:rsidR="00BC6C9A" w:rsidRPr="00020413">
        <w:rPr>
          <w:rFonts w:ascii="Times New Roman" w:hAnsi="Times New Roman"/>
          <w:sz w:val="24"/>
          <w:szCs w:val="24"/>
        </w:rPr>
        <w:t>and consistent with the extant literature</w:t>
      </w:r>
      <w:r w:rsidR="00F464E0" w:rsidRPr="00020413">
        <w:rPr>
          <w:rFonts w:ascii="Times New Roman" w:hAnsi="Times New Roman"/>
          <w:sz w:val="24"/>
          <w:szCs w:val="24"/>
        </w:rPr>
        <w:t xml:space="preserve">, </w:t>
      </w:r>
      <w:r w:rsidR="006358ED" w:rsidRPr="00020413">
        <w:rPr>
          <w:rFonts w:ascii="Times New Roman" w:hAnsi="Times New Roman"/>
          <w:sz w:val="24"/>
          <w:szCs w:val="24"/>
        </w:rPr>
        <w:t>we</w:t>
      </w:r>
      <w:r w:rsidR="00BC6C9A" w:rsidRPr="00020413">
        <w:rPr>
          <w:rFonts w:ascii="Times New Roman" w:hAnsi="Times New Roman"/>
          <w:sz w:val="24"/>
          <w:szCs w:val="24"/>
        </w:rPr>
        <w:t xml:space="preserve"> </w:t>
      </w:r>
      <w:r w:rsidR="004235FF" w:rsidRPr="00020413">
        <w:rPr>
          <w:rFonts w:ascii="Times New Roman" w:hAnsi="Times New Roman"/>
          <w:sz w:val="24"/>
          <w:szCs w:val="24"/>
          <w:lang w:eastAsia="en-GB"/>
        </w:rPr>
        <w:t xml:space="preserve">adopt a panel data approach </w:t>
      </w:r>
      <w:r w:rsidR="00BC6C9A" w:rsidRPr="00020413">
        <w:rPr>
          <w:rFonts w:ascii="Times New Roman" w:hAnsi="Times New Roman"/>
          <w:sz w:val="24"/>
          <w:szCs w:val="24"/>
          <w:lang w:eastAsia="en-GB"/>
        </w:rPr>
        <w:t>which permits</w:t>
      </w:r>
      <w:r w:rsidR="004235FF" w:rsidRPr="00020413">
        <w:rPr>
          <w:rFonts w:ascii="Times New Roman" w:hAnsi="Times New Roman"/>
          <w:sz w:val="24"/>
          <w:szCs w:val="24"/>
          <w:lang w:eastAsia="en-GB"/>
        </w:rPr>
        <w:t xml:space="preserve"> bank</w:t>
      </w:r>
      <w:r w:rsidR="00F8312F" w:rsidRPr="00020413">
        <w:rPr>
          <w:rFonts w:ascii="Times New Roman" w:hAnsi="Times New Roman"/>
          <w:sz w:val="24"/>
          <w:szCs w:val="24"/>
          <w:lang w:eastAsia="en-GB"/>
        </w:rPr>
        <w:t>-</w:t>
      </w:r>
      <w:r w:rsidR="004235FF" w:rsidRPr="00020413">
        <w:rPr>
          <w:rFonts w:ascii="Times New Roman" w:hAnsi="Times New Roman"/>
          <w:sz w:val="24"/>
          <w:szCs w:val="24"/>
          <w:lang w:eastAsia="en-GB"/>
        </w:rPr>
        <w:t xml:space="preserve"> and country</w:t>
      </w:r>
      <w:r w:rsidR="00F8312F" w:rsidRPr="00020413">
        <w:rPr>
          <w:rFonts w:ascii="Times New Roman" w:hAnsi="Times New Roman"/>
          <w:sz w:val="24"/>
          <w:szCs w:val="24"/>
          <w:lang w:eastAsia="en-GB"/>
        </w:rPr>
        <w:t>-</w:t>
      </w:r>
      <w:r w:rsidR="004235FF" w:rsidRPr="00020413">
        <w:rPr>
          <w:rFonts w:ascii="Times New Roman" w:hAnsi="Times New Roman"/>
          <w:sz w:val="24"/>
          <w:szCs w:val="24"/>
          <w:lang w:eastAsia="en-GB"/>
        </w:rPr>
        <w:t xml:space="preserve">level variables to vary </w:t>
      </w:r>
      <w:r w:rsidR="004A3C5F" w:rsidRPr="00020413">
        <w:rPr>
          <w:rFonts w:ascii="Times New Roman" w:hAnsi="Times New Roman"/>
          <w:sz w:val="24"/>
          <w:szCs w:val="24"/>
          <w:lang w:eastAsia="en-GB"/>
        </w:rPr>
        <w:t xml:space="preserve">across </w:t>
      </w:r>
      <w:r w:rsidR="004235FF" w:rsidRPr="00020413">
        <w:rPr>
          <w:rFonts w:ascii="Times New Roman" w:hAnsi="Times New Roman"/>
          <w:sz w:val="24"/>
          <w:szCs w:val="24"/>
          <w:lang w:eastAsia="en-GB"/>
        </w:rPr>
        <w:t>time</w:t>
      </w:r>
      <w:r w:rsidR="00BC6C9A" w:rsidRPr="00020413">
        <w:rPr>
          <w:rFonts w:ascii="Times New Roman" w:hAnsi="Times New Roman"/>
          <w:sz w:val="24"/>
          <w:szCs w:val="24"/>
          <w:lang w:eastAsia="en-GB"/>
        </w:rPr>
        <w:t xml:space="preserve">. </w:t>
      </w:r>
      <w:r w:rsidR="009F1151" w:rsidRPr="00020413">
        <w:rPr>
          <w:rFonts w:ascii="Times New Roman" w:hAnsi="Times New Roman"/>
          <w:sz w:val="24"/>
          <w:szCs w:val="24"/>
          <w:lang w:eastAsia="en-GB"/>
        </w:rPr>
        <w:t>To</w:t>
      </w:r>
      <w:r w:rsidR="003074D1" w:rsidRPr="00020413">
        <w:rPr>
          <w:rFonts w:ascii="Times New Roman" w:hAnsi="Times New Roman"/>
          <w:sz w:val="24"/>
          <w:szCs w:val="24"/>
          <w:lang w:eastAsia="en-GB"/>
        </w:rPr>
        <w:t xml:space="preserve"> cater for the likelihood that </w:t>
      </w:r>
      <w:r w:rsidR="00E70A88" w:rsidRPr="00020413">
        <w:rPr>
          <w:rFonts w:ascii="Times New Roman" w:hAnsi="Times New Roman"/>
          <w:sz w:val="24"/>
          <w:szCs w:val="24"/>
          <w:lang w:eastAsia="en-GB"/>
        </w:rPr>
        <w:t xml:space="preserve">loan </w:t>
      </w:r>
      <w:r w:rsidR="00262D41" w:rsidRPr="00020413">
        <w:rPr>
          <w:rFonts w:ascii="Times New Roman" w:hAnsi="Times New Roman"/>
          <w:sz w:val="24"/>
          <w:szCs w:val="24"/>
          <w:lang w:eastAsia="en-GB"/>
        </w:rPr>
        <w:t>default rate</w:t>
      </w:r>
      <w:r w:rsidR="003074D1" w:rsidRPr="00020413">
        <w:rPr>
          <w:rFonts w:ascii="Times New Roman" w:hAnsi="Times New Roman"/>
          <w:sz w:val="24"/>
          <w:szCs w:val="24"/>
          <w:lang w:eastAsia="en-GB"/>
        </w:rPr>
        <w:t xml:space="preserve"> may not have been observed under long-run equilibrium for any given year, we adopt a dynamic estimation approach</w:t>
      </w:r>
      <w:r w:rsidR="00597134" w:rsidRPr="00020413">
        <w:rPr>
          <w:rFonts w:ascii="Times New Roman" w:hAnsi="Times New Roman"/>
          <w:sz w:val="24"/>
          <w:szCs w:val="24"/>
          <w:lang w:eastAsia="en-GB"/>
        </w:rPr>
        <w:t xml:space="preserve"> (</w:t>
      </w:r>
      <w:r w:rsidR="00F464E0" w:rsidRPr="00020413">
        <w:rPr>
          <w:rFonts w:ascii="Times New Roman" w:hAnsi="Times New Roman"/>
          <w:sz w:val="24"/>
          <w:szCs w:val="24"/>
          <w:lang w:eastAsia="en-GB"/>
        </w:rPr>
        <w:t>Vazquez et al. 2012</w:t>
      </w:r>
      <w:r w:rsidR="00597134" w:rsidRPr="00020413">
        <w:rPr>
          <w:rFonts w:ascii="Times New Roman" w:hAnsi="Times New Roman"/>
          <w:sz w:val="24"/>
          <w:szCs w:val="24"/>
          <w:lang w:eastAsia="en-GB"/>
        </w:rPr>
        <w:t xml:space="preserve">; </w:t>
      </w:r>
      <w:r w:rsidR="001F2075" w:rsidRPr="00020413">
        <w:rPr>
          <w:rFonts w:ascii="Times New Roman" w:hAnsi="Times New Roman"/>
          <w:sz w:val="24"/>
          <w:szCs w:val="24"/>
          <w:shd w:val="clear" w:color="auto" w:fill="FFFFFF"/>
        </w:rPr>
        <w:t>Jiménez et al. 2013</w:t>
      </w:r>
      <w:r w:rsidR="00597134" w:rsidRPr="00020413">
        <w:rPr>
          <w:rFonts w:ascii="Times New Roman" w:hAnsi="Times New Roman"/>
          <w:sz w:val="24"/>
          <w:szCs w:val="24"/>
          <w:lang w:eastAsia="en-GB"/>
        </w:rPr>
        <w:t>)</w:t>
      </w:r>
      <w:r w:rsidR="00F464E0" w:rsidRPr="00020413">
        <w:rPr>
          <w:rFonts w:ascii="Times New Roman" w:hAnsi="Times New Roman"/>
          <w:sz w:val="24"/>
          <w:szCs w:val="24"/>
          <w:lang w:eastAsia="en-GB"/>
        </w:rPr>
        <w:t xml:space="preserve"> </w:t>
      </w:r>
      <w:r w:rsidR="00775032" w:rsidRPr="00020413">
        <w:rPr>
          <w:rFonts w:ascii="Times New Roman" w:hAnsi="Times New Roman"/>
          <w:sz w:val="24"/>
          <w:szCs w:val="24"/>
          <w:lang w:eastAsia="en-GB"/>
        </w:rPr>
        <w:t xml:space="preserve">in order </w:t>
      </w:r>
      <w:r w:rsidR="003074D1" w:rsidRPr="00020413">
        <w:rPr>
          <w:rFonts w:ascii="Times New Roman" w:hAnsi="Times New Roman"/>
          <w:sz w:val="24"/>
          <w:szCs w:val="24"/>
          <w:lang w:eastAsia="en-GB"/>
        </w:rPr>
        <w:t>to accommodate the possibility of partial adjustment towards equilibrium</w:t>
      </w:r>
      <w:r w:rsidR="00BF1BBB" w:rsidRPr="00020413">
        <w:rPr>
          <w:rFonts w:ascii="Times New Roman" w:hAnsi="Times New Roman"/>
          <w:sz w:val="24"/>
          <w:szCs w:val="24"/>
          <w:lang w:eastAsia="en-GB"/>
        </w:rPr>
        <w:t xml:space="preserve"> (see </w:t>
      </w:r>
      <w:proofErr w:type="spellStart"/>
      <w:r w:rsidR="00BF1BBB" w:rsidRPr="00020413">
        <w:rPr>
          <w:rFonts w:ascii="Times New Roman" w:hAnsi="Times New Roman"/>
          <w:sz w:val="24"/>
          <w:szCs w:val="24"/>
          <w:lang w:eastAsia="en-GB"/>
        </w:rPr>
        <w:t>Baltagi</w:t>
      </w:r>
      <w:proofErr w:type="spellEnd"/>
      <w:r w:rsidR="00BF1BBB" w:rsidRPr="00020413">
        <w:rPr>
          <w:rFonts w:ascii="Times New Roman" w:hAnsi="Times New Roman"/>
          <w:sz w:val="24"/>
          <w:szCs w:val="24"/>
          <w:lang w:eastAsia="en-GB"/>
        </w:rPr>
        <w:t xml:space="preserve"> et al, 2009)</w:t>
      </w:r>
      <w:r w:rsidR="003074D1" w:rsidRPr="00020413">
        <w:rPr>
          <w:rFonts w:ascii="Times New Roman" w:hAnsi="Times New Roman"/>
          <w:sz w:val="24"/>
          <w:szCs w:val="24"/>
          <w:lang w:eastAsia="en-GB"/>
        </w:rPr>
        <w:t>.</w:t>
      </w:r>
      <w:r w:rsidR="003A1CE2" w:rsidRPr="00020413">
        <w:rPr>
          <w:rFonts w:ascii="Times New Roman" w:hAnsi="Times New Roman"/>
          <w:sz w:val="24"/>
          <w:szCs w:val="24"/>
          <w:lang w:eastAsia="en-GB"/>
        </w:rPr>
        <w:t xml:space="preserve"> </w:t>
      </w:r>
      <w:r w:rsidR="004C7054" w:rsidRPr="00020413">
        <w:rPr>
          <w:rFonts w:ascii="Times New Roman" w:hAnsi="Times New Roman"/>
          <w:sz w:val="24"/>
          <w:szCs w:val="24"/>
          <w:lang w:eastAsia="en-GB"/>
        </w:rPr>
        <w:t>Also, we</w:t>
      </w:r>
      <w:r w:rsidR="003A1CE2" w:rsidRPr="00020413">
        <w:rPr>
          <w:rFonts w:ascii="Times New Roman" w:hAnsi="Times New Roman"/>
          <w:sz w:val="24"/>
          <w:szCs w:val="24"/>
          <w:lang w:eastAsia="en-GB"/>
        </w:rPr>
        <w:t xml:space="preserve"> adopt </w:t>
      </w:r>
      <w:r w:rsidR="00061D96" w:rsidRPr="00020413">
        <w:rPr>
          <w:rFonts w:ascii="Times New Roman" w:hAnsi="Times New Roman"/>
          <w:sz w:val="24"/>
          <w:szCs w:val="24"/>
          <w:lang w:eastAsia="en-GB"/>
        </w:rPr>
        <w:t>a logit transformation of NPL in our empirical modelling to map the dependent variable, which has a theoretical range between 0 and 1, to the real number line (</w:t>
      </w:r>
      <w:r w:rsidR="00061D96" w:rsidRPr="00020413">
        <w:rPr>
          <w:rFonts w:ascii="Times New Roman" w:hAnsi="Times New Roman"/>
          <w:sz w:val="24"/>
          <w:szCs w:val="24"/>
          <w:shd w:val="clear" w:color="auto" w:fill="FFFFFF"/>
        </w:rPr>
        <w:t>Jiménez et al., 2013</w:t>
      </w:r>
      <w:r w:rsidR="00061D96" w:rsidRPr="00020413">
        <w:rPr>
          <w:rFonts w:ascii="Times New Roman" w:hAnsi="Times New Roman"/>
          <w:sz w:val="24"/>
          <w:szCs w:val="24"/>
          <w:lang w:eastAsia="en-GB"/>
        </w:rPr>
        <w:t xml:space="preserve">) and also to permit inference based on Gaussian errors (Vazquez, 2012). </w:t>
      </w:r>
      <w:r w:rsidR="003074D1" w:rsidRPr="00020413">
        <w:rPr>
          <w:rFonts w:ascii="Times New Roman" w:hAnsi="Times New Roman"/>
          <w:sz w:val="24"/>
          <w:szCs w:val="24"/>
          <w:lang w:eastAsia="en-GB"/>
        </w:rPr>
        <w:t>Our baseline model is</w:t>
      </w:r>
      <w:r w:rsidR="00506AE5" w:rsidRPr="00020413">
        <w:rPr>
          <w:rFonts w:ascii="Times New Roman" w:hAnsi="Times New Roman"/>
          <w:sz w:val="24"/>
          <w:szCs w:val="24"/>
          <w:lang w:eastAsia="en-GB"/>
        </w:rPr>
        <w:t>,</w:t>
      </w:r>
      <w:r w:rsidR="003074D1" w:rsidRPr="00020413">
        <w:rPr>
          <w:rFonts w:ascii="Times New Roman" w:hAnsi="Times New Roman"/>
          <w:sz w:val="24"/>
          <w:szCs w:val="24"/>
          <w:lang w:eastAsia="en-GB"/>
        </w:rPr>
        <w:t xml:space="preserve"> therefore</w:t>
      </w:r>
      <w:r w:rsidR="00506AE5" w:rsidRPr="00020413">
        <w:rPr>
          <w:rFonts w:ascii="Times New Roman" w:hAnsi="Times New Roman"/>
          <w:sz w:val="24"/>
          <w:szCs w:val="24"/>
          <w:lang w:eastAsia="en-GB"/>
        </w:rPr>
        <w:t>,</w:t>
      </w:r>
      <w:r w:rsidR="003074D1" w:rsidRPr="00020413">
        <w:rPr>
          <w:rFonts w:ascii="Times New Roman" w:hAnsi="Times New Roman"/>
          <w:sz w:val="24"/>
          <w:szCs w:val="24"/>
          <w:lang w:eastAsia="en-GB"/>
        </w:rPr>
        <w:t xml:space="preserve"> presented as</w:t>
      </w:r>
      <w:r w:rsidR="00F8312F" w:rsidRPr="00020413">
        <w:rPr>
          <w:rFonts w:ascii="Times New Roman" w:hAnsi="Times New Roman"/>
          <w:sz w:val="24"/>
          <w:szCs w:val="24"/>
          <w:lang w:eastAsia="en-GB"/>
        </w:rPr>
        <w:t>:</w:t>
      </w:r>
      <w:r w:rsidR="003074D1" w:rsidRPr="00020413">
        <w:rPr>
          <w:rFonts w:ascii="Times New Roman" w:hAnsi="Times New Roman"/>
          <w:sz w:val="24"/>
          <w:szCs w:val="24"/>
          <w:lang w:eastAsia="en-GB"/>
        </w:rPr>
        <w:t xml:space="preserve"> </w:t>
      </w:r>
    </w:p>
    <w:p w:rsidR="008C6F09" w:rsidRPr="00020413" w:rsidRDefault="00193255" w:rsidP="008C6F09">
      <w:pPr>
        <w:spacing w:before="240" w:after="240" w:line="360" w:lineRule="auto"/>
        <w:jc w:val="both"/>
        <w:rPr>
          <w:rFonts w:ascii="Times New Roman" w:hAnsi="Times New Roman"/>
          <w:sz w:val="24"/>
          <w:szCs w:val="24"/>
        </w:rPr>
      </w:pPr>
      <w:r w:rsidRPr="00020413">
        <w:rPr>
          <w:rFonts w:ascii="Times New Roman" w:hAnsi="Times New Roman"/>
          <w:position w:val="-34"/>
          <w:sz w:val="24"/>
          <w:szCs w:val="24"/>
        </w:rPr>
        <w:object w:dxaOrig="8300" w:dyaOrig="800" w14:anchorId="50750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43.5pt" o:ole="">
            <v:imagedata r:id="rId9" o:title=""/>
          </v:shape>
          <o:OLEObject Type="Embed" ProgID="Equation.DSMT4" ShapeID="_x0000_i1025" DrawAspect="Content" ObjectID="_1626325614" r:id="rId10"/>
        </w:object>
      </w:r>
      <w:r w:rsidR="008C6F09" w:rsidRPr="00020413">
        <w:rPr>
          <w:rFonts w:ascii="Times New Roman" w:hAnsi="Times New Roman"/>
          <w:sz w:val="24"/>
          <w:szCs w:val="24"/>
        </w:rPr>
        <w:tab/>
        <w:t xml:space="preserve">(1)            </w:t>
      </w:r>
    </w:p>
    <w:p w:rsidR="00B7306A" w:rsidRPr="00020413" w:rsidRDefault="00D61AFE" w:rsidP="00D55D24">
      <w:pPr>
        <w:autoSpaceDE w:val="0"/>
        <w:autoSpaceDN w:val="0"/>
        <w:adjustRightInd w:val="0"/>
        <w:spacing w:after="120" w:line="360" w:lineRule="auto"/>
        <w:jc w:val="both"/>
        <w:rPr>
          <w:rFonts w:ascii="Times New Roman" w:hAnsi="Times New Roman"/>
          <w:sz w:val="24"/>
          <w:szCs w:val="24"/>
        </w:rPr>
      </w:pPr>
      <w:r w:rsidRPr="00020413">
        <w:rPr>
          <w:rFonts w:ascii="Times New Roman" w:hAnsi="Times New Roman"/>
          <w:sz w:val="24"/>
          <w:szCs w:val="24"/>
          <w:lang w:eastAsia="en-GB"/>
        </w:rPr>
        <w:t>w</w:t>
      </w:r>
      <w:r w:rsidR="000E5CA1" w:rsidRPr="00020413">
        <w:rPr>
          <w:rFonts w:ascii="Times New Roman" w:hAnsi="Times New Roman"/>
          <w:sz w:val="24"/>
          <w:szCs w:val="24"/>
          <w:lang w:eastAsia="en-GB"/>
        </w:rPr>
        <w:t xml:space="preserve">here </w:t>
      </w:r>
      <w:r w:rsidR="000E5CA1" w:rsidRPr="00020413">
        <w:rPr>
          <w:rFonts w:ascii="Times New Roman" w:hAnsi="Times New Roman"/>
          <w:position w:val="-10"/>
          <w:sz w:val="24"/>
          <w:szCs w:val="24"/>
          <w:lang w:eastAsia="en-GB"/>
        </w:rPr>
        <w:object w:dxaOrig="499" w:dyaOrig="300" w14:anchorId="5F96E852">
          <v:shape id="_x0000_i1026" type="#_x0000_t75" style="width:28.5pt;height:13.5pt" o:ole="">
            <v:imagedata r:id="rId11" o:title=""/>
          </v:shape>
          <o:OLEObject Type="Embed" ProgID="Equation.3" ShapeID="_x0000_i1026" DrawAspect="Content" ObjectID="_1626325615" r:id="rId12"/>
        </w:object>
      </w:r>
      <w:r w:rsidR="000E5CA1" w:rsidRPr="00020413">
        <w:rPr>
          <w:rFonts w:ascii="Times New Roman" w:hAnsi="Times New Roman"/>
          <w:sz w:val="24"/>
          <w:szCs w:val="24"/>
          <w:lang w:eastAsia="en-GB"/>
        </w:rPr>
        <w:t xml:space="preserve">represents the bank </w:t>
      </w:r>
      <w:r w:rsidR="000E5CA1" w:rsidRPr="00020413">
        <w:rPr>
          <w:rFonts w:ascii="Times New Roman" w:hAnsi="Times New Roman"/>
          <w:position w:val="-6"/>
          <w:sz w:val="24"/>
          <w:szCs w:val="24"/>
          <w:lang w:eastAsia="en-GB"/>
        </w:rPr>
        <w:object w:dxaOrig="139" w:dyaOrig="260" w14:anchorId="5A07BDB7">
          <v:shape id="_x0000_i1027" type="#_x0000_t75" style="width:7.5pt;height:13.5pt" o:ole="">
            <v:imagedata r:id="rId13" o:title=""/>
          </v:shape>
          <o:OLEObject Type="Embed" ProgID="Equation.3" ShapeID="_x0000_i1027" DrawAspect="Content" ObjectID="_1626325616" r:id="rId14"/>
        </w:object>
      </w:r>
      <w:r w:rsidR="000E5CA1" w:rsidRPr="00020413">
        <w:rPr>
          <w:rFonts w:ascii="Times New Roman" w:hAnsi="Times New Roman"/>
          <w:sz w:val="24"/>
          <w:szCs w:val="24"/>
          <w:lang w:eastAsia="en-GB"/>
        </w:rPr>
        <w:t xml:space="preserve"> in country</w:t>
      </w:r>
      <w:r w:rsidR="000E5CA1" w:rsidRPr="00020413">
        <w:rPr>
          <w:rFonts w:ascii="Times New Roman" w:hAnsi="Times New Roman"/>
          <w:position w:val="-10"/>
          <w:sz w:val="24"/>
          <w:szCs w:val="24"/>
          <w:lang w:eastAsia="en-GB"/>
        </w:rPr>
        <w:object w:dxaOrig="200" w:dyaOrig="300" w14:anchorId="7F996A27">
          <v:shape id="_x0000_i1028" type="#_x0000_t75" style="width:7.5pt;height:13.5pt" o:ole="">
            <v:imagedata r:id="rId15" o:title=""/>
          </v:shape>
          <o:OLEObject Type="Embed" ProgID="Equation.3" ShapeID="_x0000_i1028" DrawAspect="Content" ObjectID="_1626325617" r:id="rId16"/>
        </w:object>
      </w:r>
      <w:r w:rsidR="002B5B15" w:rsidRPr="00020413">
        <w:rPr>
          <w:rFonts w:ascii="Times New Roman" w:hAnsi="Times New Roman"/>
          <w:sz w:val="24"/>
          <w:szCs w:val="24"/>
          <w:lang w:eastAsia="en-GB"/>
        </w:rPr>
        <w:t xml:space="preserve"> </w:t>
      </w:r>
      <w:r w:rsidRPr="00020413">
        <w:rPr>
          <w:rFonts w:ascii="Times New Roman" w:hAnsi="Times New Roman"/>
          <w:sz w:val="24"/>
          <w:szCs w:val="24"/>
          <w:lang w:eastAsia="en-GB"/>
        </w:rPr>
        <w:t>in</w:t>
      </w:r>
      <w:r w:rsidR="002B5B15" w:rsidRPr="00020413">
        <w:rPr>
          <w:rFonts w:ascii="Times New Roman" w:hAnsi="Times New Roman"/>
          <w:sz w:val="24"/>
          <w:szCs w:val="24"/>
          <w:lang w:eastAsia="en-GB"/>
        </w:rPr>
        <w:t xml:space="preserve"> </w:t>
      </w:r>
      <w:r w:rsidR="002B5B15" w:rsidRPr="00020413">
        <w:rPr>
          <w:rFonts w:ascii="Times New Roman" w:hAnsi="Times New Roman"/>
          <w:position w:val="-6"/>
          <w:sz w:val="24"/>
          <w:szCs w:val="24"/>
        </w:rPr>
        <w:object w:dxaOrig="139" w:dyaOrig="240" w14:anchorId="78F7C33D">
          <v:shape id="_x0000_i1029" type="#_x0000_t75" style="width:7.5pt;height:14.25pt" o:ole="">
            <v:imagedata r:id="rId17" o:title=""/>
          </v:shape>
          <o:OLEObject Type="Embed" ProgID="Equation.DSMT4" ShapeID="_x0000_i1029" DrawAspect="Content" ObjectID="_1626325618" r:id="rId18"/>
        </w:object>
      </w:r>
      <w:r w:rsidR="002B5B15" w:rsidRPr="00020413">
        <w:rPr>
          <w:rFonts w:ascii="Times New Roman" w:hAnsi="Times New Roman"/>
          <w:sz w:val="24"/>
          <w:szCs w:val="24"/>
          <w:lang w:eastAsia="en-GB"/>
        </w:rPr>
        <w:t xml:space="preserve"> time period.</w:t>
      </w:r>
      <w:r w:rsidR="00A53CFE" w:rsidRPr="00020413">
        <w:rPr>
          <w:rFonts w:ascii="Times New Roman" w:hAnsi="Times New Roman"/>
          <w:sz w:val="24"/>
          <w:szCs w:val="24"/>
          <w:lang w:eastAsia="en-GB"/>
        </w:rPr>
        <w:t xml:space="preserve"> </w:t>
      </w:r>
      <w:bookmarkStart w:id="9" w:name="MTBlankEqn"/>
      <w:r w:rsidR="00FC3B2D" w:rsidRPr="00020413">
        <w:rPr>
          <w:rFonts w:ascii="Times New Roman" w:hAnsi="Times New Roman"/>
          <w:position w:val="-14"/>
          <w:sz w:val="24"/>
          <w:szCs w:val="24"/>
        </w:rPr>
        <w:object w:dxaOrig="660" w:dyaOrig="380" w14:anchorId="0A2A0259">
          <v:shape id="_x0000_i1030" type="#_x0000_t75" style="width:36.75pt;height:17.25pt" o:ole="">
            <v:imagedata r:id="rId19" o:title=""/>
          </v:shape>
          <o:OLEObject Type="Embed" ProgID="Equation.DSMT4" ShapeID="_x0000_i1030" DrawAspect="Content" ObjectID="_1626325619" r:id="rId20"/>
        </w:object>
      </w:r>
      <w:bookmarkEnd w:id="9"/>
      <w:r w:rsidR="002B7776" w:rsidRPr="00020413">
        <w:rPr>
          <w:rFonts w:ascii="Times New Roman" w:hAnsi="Times New Roman"/>
          <w:sz w:val="24"/>
          <w:szCs w:val="24"/>
        </w:rPr>
        <w:t xml:space="preserve">, </w:t>
      </w:r>
      <w:proofErr w:type="gramStart"/>
      <w:r w:rsidR="000E5CA1" w:rsidRPr="00020413">
        <w:rPr>
          <w:rFonts w:ascii="Times New Roman" w:hAnsi="Times New Roman"/>
          <w:sz w:val="24"/>
          <w:szCs w:val="24"/>
          <w:lang w:eastAsia="en-GB"/>
        </w:rPr>
        <w:t xml:space="preserve">our </w:t>
      </w:r>
      <w:r w:rsidRPr="00020413">
        <w:rPr>
          <w:rFonts w:ascii="Times New Roman" w:hAnsi="Times New Roman"/>
          <w:sz w:val="24"/>
          <w:szCs w:val="24"/>
          <w:lang w:eastAsia="en-GB"/>
        </w:rPr>
        <w:t xml:space="preserve">main </w:t>
      </w:r>
      <w:r w:rsidR="000E5CA1" w:rsidRPr="00020413">
        <w:rPr>
          <w:rFonts w:ascii="Times New Roman" w:hAnsi="Times New Roman"/>
          <w:sz w:val="24"/>
          <w:szCs w:val="24"/>
          <w:lang w:eastAsia="en-GB"/>
        </w:rPr>
        <w:t xml:space="preserve">measure of </w:t>
      </w:r>
      <w:r w:rsidR="00E70A88" w:rsidRPr="00020413">
        <w:rPr>
          <w:rFonts w:ascii="Times New Roman" w:hAnsi="Times New Roman"/>
          <w:sz w:val="24"/>
          <w:szCs w:val="24"/>
          <w:lang w:eastAsia="en-GB"/>
        </w:rPr>
        <w:t xml:space="preserve">loan </w:t>
      </w:r>
      <w:r w:rsidR="00262D41" w:rsidRPr="00020413">
        <w:rPr>
          <w:rFonts w:ascii="Times New Roman" w:hAnsi="Times New Roman"/>
          <w:sz w:val="24"/>
          <w:szCs w:val="24"/>
          <w:lang w:eastAsia="en-GB"/>
        </w:rPr>
        <w:t>default rate</w:t>
      </w:r>
      <w:r w:rsidR="002B7776" w:rsidRPr="00020413">
        <w:rPr>
          <w:rFonts w:ascii="Times New Roman" w:hAnsi="Times New Roman"/>
          <w:sz w:val="24"/>
          <w:szCs w:val="24"/>
          <w:lang w:eastAsia="en-GB"/>
        </w:rPr>
        <w:t>,</w:t>
      </w:r>
      <w:proofErr w:type="gramEnd"/>
      <w:r w:rsidR="002B7776" w:rsidRPr="00020413">
        <w:rPr>
          <w:rFonts w:ascii="Times New Roman" w:hAnsi="Times New Roman"/>
          <w:sz w:val="24"/>
          <w:szCs w:val="24"/>
          <w:lang w:eastAsia="en-GB"/>
        </w:rPr>
        <w:t xml:space="preserve"> is the ratio of non-performing loans to total loans</w:t>
      </w:r>
      <w:r w:rsidR="000E5CA1" w:rsidRPr="00020413">
        <w:rPr>
          <w:rFonts w:ascii="Times New Roman" w:hAnsi="Times New Roman"/>
          <w:sz w:val="24"/>
          <w:szCs w:val="24"/>
          <w:lang w:eastAsia="en-GB"/>
        </w:rPr>
        <w:t xml:space="preserve">; </w:t>
      </w:r>
      <w:r w:rsidR="00A53CFE" w:rsidRPr="00020413">
        <w:rPr>
          <w:rFonts w:ascii="Times New Roman" w:hAnsi="Times New Roman"/>
          <w:position w:val="-14"/>
          <w:sz w:val="24"/>
          <w:szCs w:val="24"/>
        </w:rPr>
        <w:object w:dxaOrig="600" w:dyaOrig="380" w14:anchorId="215BC307">
          <v:shape id="_x0000_i1031" type="#_x0000_t75" style="width:28.5pt;height:22.5pt" o:ole="">
            <v:imagedata r:id="rId21" o:title=""/>
          </v:shape>
          <o:OLEObject Type="Embed" ProgID="Equation.DSMT4" ShapeID="_x0000_i1031" DrawAspect="Content" ObjectID="_1626325620" r:id="rId22"/>
        </w:object>
      </w:r>
      <w:r w:rsidR="000E5CA1" w:rsidRPr="00020413">
        <w:rPr>
          <w:rFonts w:ascii="Times New Roman" w:hAnsi="Times New Roman"/>
          <w:sz w:val="24"/>
          <w:szCs w:val="24"/>
          <w:lang w:eastAsia="en-GB"/>
        </w:rPr>
        <w:t xml:space="preserve"> is the </w:t>
      </w:r>
      <w:r w:rsidRPr="00020413">
        <w:rPr>
          <w:rFonts w:ascii="Times New Roman" w:hAnsi="Times New Roman"/>
          <w:sz w:val="24"/>
          <w:szCs w:val="24"/>
          <w:lang w:eastAsia="en-GB"/>
        </w:rPr>
        <w:t xml:space="preserve">credit </w:t>
      </w:r>
      <w:r w:rsidR="000E5CA1" w:rsidRPr="00020413">
        <w:rPr>
          <w:rFonts w:ascii="Times New Roman" w:hAnsi="Times New Roman"/>
          <w:sz w:val="24"/>
          <w:szCs w:val="24"/>
          <w:lang w:eastAsia="en-GB"/>
        </w:rPr>
        <w:t>information sharing index</w:t>
      </w:r>
      <w:r w:rsidR="007E3E85" w:rsidRPr="00020413">
        <w:rPr>
          <w:rFonts w:ascii="Times New Roman" w:hAnsi="Times New Roman"/>
          <w:sz w:val="24"/>
          <w:szCs w:val="24"/>
          <w:lang w:eastAsia="en-GB"/>
        </w:rPr>
        <w:t>,</w:t>
      </w:r>
      <w:r w:rsidR="000E5CA1" w:rsidRPr="00020413">
        <w:rPr>
          <w:rFonts w:ascii="Times New Roman" w:hAnsi="Times New Roman"/>
          <w:sz w:val="24"/>
          <w:szCs w:val="24"/>
          <w:lang w:eastAsia="en-GB"/>
        </w:rPr>
        <w:t xml:space="preserve"> which is alternately the depth of credit information sharing, credit registry coverage and private credit bureau coverage.</w:t>
      </w:r>
      <w:r w:rsidR="00913FFC" w:rsidRPr="00020413">
        <w:rPr>
          <w:rFonts w:ascii="Times New Roman" w:hAnsi="Times New Roman"/>
          <w:sz w:val="24"/>
          <w:szCs w:val="24"/>
          <w:lang w:eastAsia="en-GB"/>
        </w:rPr>
        <w:t xml:space="preserve"> </w:t>
      </w:r>
      <w:r w:rsidR="00A53CFE" w:rsidRPr="00020413">
        <w:rPr>
          <w:rFonts w:ascii="Times New Roman" w:hAnsi="Times New Roman"/>
          <w:position w:val="-14"/>
          <w:sz w:val="24"/>
          <w:szCs w:val="24"/>
        </w:rPr>
        <w:object w:dxaOrig="499" w:dyaOrig="380" w14:anchorId="4754BB37">
          <v:shape id="_x0000_i1032" type="#_x0000_t75" style="width:22.5pt;height:22.5pt" o:ole="">
            <v:imagedata r:id="rId23" o:title=""/>
          </v:shape>
          <o:OLEObject Type="Embed" ProgID="Equation.DSMT4" ShapeID="_x0000_i1032" DrawAspect="Content" ObjectID="_1626325621" r:id="rId24"/>
        </w:object>
      </w:r>
      <w:r w:rsidR="002116D8" w:rsidRPr="00020413">
        <w:rPr>
          <w:rFonts w:ascii="Times New Roman" w:hAnsi="Times New Roman"/>
          <w:sz w:val="24"/>
          <w:szCs w:val="24"/>
          <w:lang w:eastAsia="en-GB"/>
        </w:rPr>
        <w:t xml:space="preserve"> </w:t>
      </w:r>
      <w:r w:rsidR="00913FFC" w:rsidRPr="00020413">
        <w:rPr>
          <w:rFonts w:ascii="Times New Roman" w:hAnsi="Times New Roman"/>
          <w:sz w:val="24"/>
          <w:szCs w:val="24"/>
          <w:lang w:eastAsia="en-GB"/>
        </w:rPr>
        <w:t>is the banking market concentration ratio</w:t>
      </w:r>
      <w:r w:rsidR="00AC46EC" w:rsidRPr="00020413">
        <w:rPr>
          <w:rFonts w:ascii="Times New Roman" w:hAnsi="Times New Roman"/>
          <w:sz w:val="24"/>
          <w:szCs w:val="24"/>
          <w:lang w:eastAsia="en-GB"/>
        </w:rPr>
        <w:t xml:space="preserve">; </w:t>
      </w:r>
      <w:r w:rsidR="002B5B15" w:rsidRPr="00020413">
        <w:rPr>
          <w:rFonts w:ascii="Times New Roman" w:hAnsi="Times New Roman"/>
          <w:position w:val="-14"/>
          <w:sz w:val="24"/>
          <w:szCs w:val="24"/>
        </w:rPr>
        <w:object w:dxaOrig="499" w:dyaOrig="380" w14:anchorId="3BDD9ABB">
          <v:shape id="_x0000_i1033" type="#_x0000_t75" style="width:22.5pt;height:22.5pt" o:ole="">
            <v:imagedata r:id="rId25" o:title=""/>
          </v:shape>
          <o:OLEObject Type="Embed" ProgID="Equation.DSMT4" ShapeID="_x0000_i1033" DrawAspect="Content" ObjectID="_1626325622" r:id="rId26"/>
        </w:object>
      </w:r>
      <w:r w:rsidR="007677AA" w:rsidRPr="00020413">
        <w:rPr>
          <w:rFonts w:ascii="Times New Roman" w:hAnsi="Times New Roman"/>
          <w:sz w:val="24"/>
          <w:szCs w:val="24"/>
          <w:lang w:eastAsia="en-GB"/>
        </w:rPr>
        <w:t>is bank-specific variables</w:t>
      </w:r>
      <w:r w:rsidR="00AD1751" w:rsidRPr="00020413">
        <w:rPr>
          <w:rFonts w:ascii="Times New Roman" w:hAnsi="Times New Roman"/>
          <w:sz w:val="24"/>
          <w:szCs w:val="24"/>
          <w:lang w:eastAsia="en-GB"/>
        </w:rPr>
        <w:t>;</w:t>
      </w:r>
      <w:r w:rsidR="007677AA" w:rsidRPr="00020413">
        <w:rPr>
          <w:rFonts w:ascii="Times New Roman" w:hAnsi="Times New Roman"/>
          <w:sz w:val="24"/>
          <w:szCs w:val="24"/>
          <w:lang w:eastAsia="en-GB"/>
        </w:rPr>
        <w:t xml:space="preserve"> </w:t>
      </w:r>
      <w:r w:rsidR="002B5B15" w:rsidRPr="00020413">
        <w:rPr>
          <w:rFonts w:ascii="Times New Roman" w:hAnsi="Times New Roman"/>
          <w:position w:val="-14"/>
          <w:sz w:val="24"/>
          <w:szCs w:val="24"/>
        </w:rPr>
        <w:object w:dxaOrig="580" w:dyaOrig="380" w14:anchorId="4EF521D8">
          <v:shape id="_x0000_i1034" type="#_x0000_t75" style="width:28.5pt;height:22.5pt" o:ole="">
            <v:imagedata r:id="rId27" o:title=""/>
          </v:shape>
          <o:OLEObject Type="Embed" ProgID="Equation.DSMT4" ShapeID="_x0000_i1034" DrawAspect="Content" ObjectID="_1626325623" r:id="rId28"/>
        </w:object>
      </w:r>
      <w:r w:rsidR="0073007A" w:rsidRPr="00020413">
        <w:rPr>
          <w:rFonts w:ascii="Times New Roman" w:hAnsi="Times New Roman"/>
          <w:sz w:val="24"/>
          <w:szCs w:val="24"/>
          <w:lang w:eastAsia="en-GB"/>
        </w:rPr>
        <w:t xml:space="preserve">is macroeconomic </w:t>
      </w:r>
      <w:r w:rsidR="00AC46EC" w:rsidRPr="00020413">
        <w:rPr>
          <w:rFonts w:ascii="Times New Roman" w:hAnsi="Times New Roman"/>
          <w:sz w:val="24"/>
          <w:szCs w:val="24"/>
          <w:lang w:eastAsia="en-GB"/>
        </w:rPr>
        <w:t xml:space="preserve">and governance </w:t>
      </w:r>
      <w:r w:rsidR="0073007A" w:rsidRPr="00020413">
        <w:rPr>
          <w:rFonts w:ascii="Times New Roman" w:hAnsi="Times New Roman"/>
          <w:sz w:val="24"/>
          <w:szCs w:val="24"/>
          <w:lang w:eastAsia="en-GB"/>
        </w:rPr>
        <w:t xml:space="preserve">variables </w:t>
      </w:r>
      <w:r w:rsidR="00AC46EC" w:rsidRPr="00020413">
        <w:rPr>
          <w:rFonts w:ascii="Times New Roman" w:hAnsi="Times New Roman"/>
          <w:sz w:val="24"/>
          <w:szCs w:val="24"/>
          <w:lang w:eastAsia="en-GB"/>
        </w:rPr>
        <w:t xml:space="preserve">(that is, </w:t>
      </w:r>
      <w:r w:rsidR="0073007A" w:rsidRPr="00020413">
        <w:rPr>
          <w:rFonts w:ascii="Times New Roman" w:hAnsi="Times New Roman"/>
          <w:sz w:val="24"/>
          <w:szCs w:val="24"/>
          <w:lang w:eastAsia="en-GB"/>
        </w:rPr>
        <w:t>GDP gro</w:t>
      </w:r>
      <w:r w:rsidR="002116D8" w:rsidRPr="00020413">
        <w:rPr>
          <w:rFonts w:ascii="Times New Roman" w:hAnsi="Times New Roman"/>
          <w:sz w:val="24"/>
          <w:szCs w:val="24"/>
          <w:lang w:eastAsia="en-GB"/>
        </w:rPr>
        <w:t xml:space="preserve">wth </w:t>
      </w:r>
      <w:r w:rsidR="00AC46EC" w:rsidRPr="00020413">
        <w:rPr>
          <w:rFonts w:ascii="Times New Roman" w:hAnsi="Times New Roman"/>
          <w:sz w:val="24"/>
          <w:szCs w:val="24"/>
          <w:lang w:eastAsia="en-GB"/>
        </w:rPr>
        <w:t xml:space="preserve">rate </w:t>
      </w:r>
      <w:r w:rsidR="002116D8" w:rsidRPr="00020413">
        <w:rPr>
          <w:rFonts w:ascii="Times New Roman" w:hAnsi="Times New Roman"/>
          <w:sz w:val="24"/>
          <w:szCs w:val="24"/>
          <w:lang w:eastAsia="en-GB"/>
        </w:rPr>
        <w:t>and inflation</w:t>
      </w:r>
      <w:r w:rsidR="00AC46EC" w:rsidRPr="00020413">
        <w:rPr>
          <w:rFonts w:ascii="Times New Roman" w:hAnsi="Times New Roman"/>
          <w:sz w:val="24"/>
          <w:szCs w:val="24"/>
          <w:lang w:eastAsia="en-GB"/>
        </w:rPr>
        <w:t>) and governance indicator</w:t>
      </w:r>
      <w:r w:rsidR="007E3E85" w:rsidRPr="00020413">
        <w:rPr>
          <w:rFonts w:ascii="Times New Roman" w:hAnsi="Times New Roman"/>
          <w:sz w:val="24"/>
          <w:szCs w:val="24"/>
          <w:lang w:eastAsia="en-GB"/>
        </w:rPr>
        <w:t>,</w:t>
      </w:r>
      <w:r w:rsidR="00AC46EC" w:rsidRPr="00020413">
        <w:rPr>
          <w:rFonts w:ascii="Times New Roman" w:hAnsi="Times New Roman"/>
          <w:sz w:val="24"/>
          <w:szCs w:val="24"/>
          <w:lang w:eastAsia="en-GB"/>
        </w:rPr>
        <w:t xml:space="preserve"> which is alternately rule of law, regulatory quality and control of corruption</w:t>
      </w:r>
      <w:r w:rsidR="002116D8" w:rsidRPr="00020413">
        <w:rPr>
          <w:rFonts w:ascii="Times New Roman" w:hAnsi="Times New Roman"/>
          <w:sz w:val="24"/>
          <w:szCs w:val="24"/>
          <w:lang w:eastAsia="en-GB"/>
        </w:rPr>
        <w:t xml:space="preserve">; and </w:t>
      </w:r>
      <w:r w:rsidR="002B5B15" w:rsidRPr="00020413">
        <w:rPr>
          <w:rFonts w:ascii="Times New Roman" w:hAnsi="Times New Roman"/>
          <w:position w:val="-14"/>
          <w:sz w:val="24"/>
          <w:szCs w:val="24"/>
        </w:rPr>
        <w:object w:dxaOrig="320" w:dyaOrig="380" w14:anchorId="7C3106E3">
          <v:shape id="_x0000_i1035" type="#_x0000_t75" style="width:22.5pt;height:13.5pt" o:ole="">
            <v:imagedata r:id="rId29" o:title=""/>
          </v:shape>
          <o:OLEObject Type="Embed" ProgID="Equation.DSMT4" ShapeID="_x0000_i1035" DrawAspect="Content" ObjectID="_1626325624" r:id="rId30"/>
        </w:object>
      </w:r>
      <w:r w:rsidR="002116D8" w:rsidRPr="00020413">
        <w:rPr>
          <w:rFonts w:ascii="Times New Roman" w:hAnsi="Times New Roman"/>
          <w:sz w:val="24"/>
          <w:szCs w:val="24"/>
        </w:rPr>
        <w:t xml:space="preserve">is an error term composed of bank </w:t>
      </w:r>
      <w:r w:rsidR="00500CF4" w:rsidRPr="00020413">
        <w:rPr>
          <w:rFonts w:ascii="Times New Roman" w:hAnsi="Times New Roman"/>
          <w:sz w:val="24"/>
          <w:szCs w:val="24"/>
        </w:rPr>
        <w:t>fixed effect</w:t>
      </w:r>
      <w:r w:rsidR="002116D8" w:rsidRPr="00020413">
        <w:rPr>
          <w:rFonts w:ascii="Times New Roman" w:hAnsi="Times New Roman"/>
          <w:sz w:val="24"/>
          <w:szCs w:val="24"/>
        </w:rPr>
        <w:t xml:space="preserve"> (</w:t>
      </w:r>
      <w:r w:rsidR="002116D8" w:rsidRPr="00020413">
        <w:rPr>
          <w:rFonts w:ascii="Times New Roman" w:hAnsi="Times New Roman"/>
          <w:position w:val="-12"/>
          <w:sz w:val="24"/>
          <w:szCs w:val="24"/>
        </w:rPr>
        <w:object w:dxaOrig="279" w:dyaOrig="360" w14:anchorId="62536942">
          <v:shape id="_x0000_i1036" type="#_x0000_t75" style="width:14.25pt;height:22.5pt" o:ole="">
            <v:imagedata r:id="rId31" o:title=""/>
          </v:shape>
          <o:OLEObject Type="Embed" ProgID="Equation.3" ShapeID="_x0000_i1036" DrawAspect="Content" ObjectID="_1626325625" r:id="rId32"/>
        </w:object>
      </w:r>
      <w:r w:rsidR="002116D8" w:rsidRPr="00020413">
        <w:rPr>
          <w:rFonts w:ascii="Times New Roman" w:hAnsi="Times New Roman"/>
          <w:sz w:val="24"/>
          <w:szCs w:val="24"/>
        </w:rPr>
        <w:t xml:space="preserve">) and an independently and identically distributed component with zero </w:t>
      </w:r>
      <w:r w:rsidR="00AB6EB2" w:rsidRPr="00020413">
        <w:rPr>
          <w:rFonts w:ascii="Times New Roman" w:hAnsi="Times New Roman"/>
          <w:sz w:val="24"/>
          <w:szCs w:val="24"/>
        </w:rPr>
        <w:t xml:space="preserve">mean </w:t>
      </w:r>
      <w:r w:rsidR="002116D8" w:rsidRPr="00020413">
        <w:rPr>
          <w:rFonts w:ascii="Times New Roman" w:hAnsi="Times New Roman"/>
          <w:sz w:val="24"/>
          <w:szCs w:val="24"/>
        </w:rPr>
        <w:t>and constant variance (</w:t>
      </w:r>
      <w:r w:rsidR="0046268E" w:rsidRPr="00020413">
        <w:rPr>
          <w:rFonts w:ascii="Times New Roman" w:hAnsi="Times New Roman"/>
          <w:position w:val="-14"/>
          <w:sz w:val="24"/>
          <w:szCs w:val="24"/>
        </w:rPr>
        <w:object w:dxaOrig="340" w:dyaOrig="380" w14:anchorId="307C8B82">
          <v:shape id="_x0000_i1037" type="#_x0000_t75" style="width:22.5pt;height:13.5pt" o:ole="">
            <v:imagedata r:id="rId33" o:title=""/>
          </v:shape>
          <o:OLEObject Type="Embed" ProgID="Equation.3" ShapeID="_x0000_i1037" DrawAspect="Content" ObjectID="_1626325626" r:id="rId34"/>
        </w:object>
      </w:r>
      <w:r w:rsidR="002116D8" w:rsidRPr="00020413">
        <w:rPr>
          <w:rFonts w:ascii="Times New Roman" w:hAnsi="Times New Roman"/>
          <w:sz w:val="24"/>
          <w:szCs w:val="24"/>
        </w:rPr>
        <w:t>).</w:t>
      </w:r>
    </w:p>
    <w:p w:rsidR="002B7776" w:rsidRPr="00020413" w:rsidRDefault="002B7776" w:rsidP="00D55D24">
      <w:pPr>
        <w:autoSpaceDE w:val="0"/>
        <w:autoSpaceDN w:val="0"/>
        <w:adjustRightInd w:val="0"/>
        <w:spacing w:after="120" w:line="360" w:lineRule="auto"/>
        <w:jc w:val="both"/>
        <w:rPr>
          <w:rFonts w:ascii="Times New Roman" w:hAnsi="Times New Roman"/>
          <w:sz w:val="24"/>
          <w:szCs w:val="24"/>
        </w:rPr>
      </w:pPr>
      <w:r w:rsidRPr="00020413">
        <w:rPr>
          <w:rFonts w:ascii="Times New Roman" w:hAnsi="Times New Roman"/>
          <w:sz w:val="24"/>
          <w:szCs w:val="24"/>
        </w:rPr>
        <w:lastRenderedPageBreak/>
        <w:t xml:space="preserve">We derive the effect of credit information sharing on the untransformed NPL, evaluated at the sample mean </w:t>
      </w:r>
      <w:r w:rsidR="00526FEB" w:rsidRPr="00020413">
        <w:rPr>
          <w:rFonts w:ascii="Times New Roman" w:hAnsi="Times New Roman"/>
          <w:sz w:val="24"/>
          <w:szCs w:val="24"/>
        </w:rPr>
        <w:t xml:space="preserve">of NPL </w:t>
      </w:r>
      <w:r w:rsidRPr="00020413">
        <w:rPr>
          <w:rFonts w:ascii="Times New Roman" w:hAnsi="Times New Roman"/>
          <w:sz w:val="24"/>
          <w:szCs w:val="24"/>
        </w:rPr>
        <w:t>(Vazquez et al., 2012)</w:t>
      </w:r>
      <w:r w:rsidR="002870BB" w:rsidRPr="00020413">
        <w:rPr>
          <w:rFonts w:ascii="Times New Roman" w:hAnsi="Times New Roman"/>
          <w:sz w:val="24"/>
          <w:szCs w:val="24"/>
        </w:rPr>
        <w:t>. Specifically, the short</w:t>
      </w:r>
      <w:r w:rsidR="00542146" w:rsidRPr="00020413">
        <w:rPr>
          <w:rFonts w:ascii="Times New Roman" w:hAnsi="Times New Roman"/>
          <w:sz w:val="24"/>
          <w:szCs w:val="24"/>
        </w:rPr>
        <w:t>-</w:t>
      </w:r>
      <w:r w:rsidR="002870BB" w:rsidRPr="00020413">
        <w:rPr>
          <w:rFonts w:ascii="Times New Roman" w:hAnsi="Times New Roman"/>
          <w:sz w:val="24"/>
          <w:szCs w:val="24"/>
        </w:rPr>
        <w:t>run and the long</w:t>
      </w:r>
      <w:r w:rsidR="00542146" w:rsidRPr="00020413">
        <w:rPr>
          <w:rFonts w:ascii="Times New Roman" w:hAnsi="Times New Roman"/>
          <w:sz w:val="24"/>
          <w:szCs w:val="24"/>
        </w:rPr>
        <w:t>-</w:t>
      </w:r>
      <w:r w:rsidR="002870BB" w:rsidRPr="00020413">
        <w:rPr>
          <w:rFonts w:ascii="Times New Roman" w:hAnsi="Times New Roman"/>
          <w:sz w:val="24"/>
          <w:szCs w:val="24"/>
        </w:rPr>
        <w:t xml:space="preserve">run effects are derived as in </w:t>
      </w:r>
      <w:proofErr w:type="spellStart"/>
      <w:r w:rsidR="002870BB" w:rsidRPr="00020413">
        <w:rPr>
          <w:rFonts w:ascii="Times New Roman" w:hAnsi="Times New Roman"/>
          <w:sz w:val="24"/>
          <w:szCs w:val="24"/>
        </w:rPr>
        <w:t>Eqs</w:t>
      </w:r>
      <w:proofErr w:type="spellEnd"/>
      <w:r w:rsidR="002870BB" w:rsidRPr="00020413">
        <w:rPr>
          <w:rFonts w:ascii="Times New Roman" w:hAnsi="Times New Roman"/>
          <w:sz w:val="24"/>
          <w:szCs w:val="24"/>
        </w:rPr>
        <w:t>. (2) and (3)</w:t>
      </w:r>
      <w:r w:rsidR="00E51204" w:rsidRPr="00020413">
        <w:rPr>
          <w:rFonts w:ascii="Times New Roman" w:hAnsi="Times New Roman"/>
          <w:sz w:val="24"/>
          <w:szCs w:val="24"/>
        </w:rPr>
        <w:t>,</w:t>
      </w:r>
      <w:r w:rsidR="002870BB" w:rsidRPr="00020413">
        <w:rPr>
          <w:rFonts w:ascii="Times New Roman" w:hAnsi="Times New Roman"/>
          <w:sz w:val="24"/>
          <w:szCs w:val="24"/>
        </w:rPr>
        <w:t xml:space="preserve"> respectively</w:t>
      </w:r>
      <w:r w:rsidRPr="00020413">
        <w:rPr>
          <w:rFonts w:ascii="Times New Roman" w:hAnsi="Times New Roman"/>
          <w:sz w:val="24"/>
          <w:szCs w:val="24"/>
        </w:rPr>
        <w:t>:</w:t>
      </w:r>
    </w:p>
    <w:p w:rsidR="008B14F1" w:rsidRPr="00020413" w:rsidRDefault="008B14F1" w:rsidP="008B14F1">
      <w:pPr>
        <w:autoSpaceDE w:val="0"/>
        <w:autoSpaceDN w:val="0"/>
        <w:adjustRightInd w:val="0"/>
        <w:spacing w:after="0" w:line="360" w:lineRule="auto"/>
        <w:jc w:val="both"/>
        <w:rPr>
          <w:rFonts w:ascii="Times New Roman" w:hAnsi="Times New Roman"/>
          <w:sz w:val="24"/>
          <w:szCs w:val="24"/>
        </w:rPr>
      </w:pPr>
      <w:r w:rsidRPr="00020413">
        <w:rPr>
          <w:rFonts w:ascii="Times New Roman" w:hAnsi="Times New Roman"/>
          <w:position w:val="-30"/>
          <w:sz w:val="24"/>
          <w:szCs w:val="24"/>
        </w:rPr>
        <w:object w:dxaOrig="4160" w:dyaOrig="720" w14:anchorId="1DEE3FAE">
          <v:shape id="_x0000_i1038" type="#_x0000_t75" style="width:208.5pt;height:36.75pt" o:ole="">
            <v:imagedata r:id="rId35" o:title=""/>
          </v:shape>
          <o:OLEObject Type="Embed" ProgID="Equation.DSMT4" ShapeID="_x0000_i1038" DrawAspect="Content" ObjectID="_1626325627" r:id="rId36"/>
        </w:object>
      </w:r>
      <w:r w:rsidRPr="00020413">
        <w:rPr>
          <w:rFonts w:ascii="Times New Roman" w:hAnsi="Times New Roman"/>
          <w:sz w:val="24"/>
          <w:szCs w:val="24"/>
        </w:rPr>
        <w:t xml:space="preserve"> </w:t>
      </w:r>
      <w:r w:rsidRPr="00020413">
        <w:rPr>
          <w:rFonts w:ascii="Times New Roman" w:hAnsi="Times New Roman"/>
          <w:sz w:val="24"/>
          <w:szCs w:val="24"/>
        </w:rPr>
        <w:tab/>
      </w:r>
      <w:r w:rsidRPr="00020413">
        <w:rPr>
          <w:rFonts w:ascii="Times New Roman" w:hAnsi="Times New Roman"/>
          <w:sz w:val="24"/>
          <w:szCs w:val="24"/>
        </w:rPr>
        <w:tab/>
      </w:r>
      <w:r w:rsidRPr="00020413">
        <w:rPr>
          <w:rFonts w:ascii="Times New Roman" w:hAnsi="Times New Roman"/>
          <w:sz w:val="24"/>
          <w:szCs w:val="24"/>
        </w:rPr>
        <w:tab/>
      </w:r>
      <w:r w:rsidRPr="00020413">
        <w:rPr>
          <w:rFonts w:ascii="Times New Roman" w:hAnsi="Times New Roman"/>
          <w:sz w:val="24"/>
          <w:szCs w:val="24"/>
        </w:rPr>
        <w:tab/>
      </w:r>
      <w:r w:rsidRPr="00020413">
        <w:rPr>
          <w:rFonts w:ascii="Times New Roman" w:hAnsi="Times New Roman"/>
          <w:sz w:val="24"/>
          <w:szCs w:val="24"/>
        </w:rPr>
        <w:tab/>
      </w:r>
      <w:r w:rsidRPr="00020413">
        <w:rPr>
          <w:rFonts w:ascii="Times New Roman" w:hAnsi="Times New Roman"/>
          <w:sz w:val="24"/>
          <w:szCs w:val="24"/>
        </w:rPr>
        <w:tab/>
      </w:r>
      <w:r w:rsidRPr="00020413">
        <w:rPr>
          <w:rFonts w:ascii="Times New Roman" w:hAnsi="Times New Roman"/>
          <w:sz w:val="24"/>
          <w:szCs w:val="24"/>
        </w:rPr>
        <w:tab/>
        <w:t>(2)</w:t>
      </w:r>
    </w:p>
    <w:p w:rsidR="008B14F1" w:rsidRPr="00020413" w:rsidRDefault="008B14F1" w:rsidP="00F8312F">
      <w:pPr>
        <w:autoSpaceDE w:val="0"/>
        <w:autoSpaceDN w:val="0"/>
        <w:adjustRightInd w:val="0"/>
        <w:spacing w:after="0" w:line="360" w:lineRule="auto"/>
        <w:jc w:val="both"/>
        <w:rPr>
          <w:rFonts w:ascii="Times New Roman" w:hAnsi="Times New Roman"/>
          <w:sz w:val="24"/>
          <w:szCs w:val="24"/>
        </w:rPr>
      </w:pPr>
      <w:r w:rsidRPr="00020413">
        <w:rPr>
          <w:rFonts w:ascii="Times New Roman" w:hAnsi="Times New Roman"/>
          <w:position w:val="-30"/>
          <w:sz w:val="24"/>
          <w:szCs w:val="24"/>
        </w:rPr>
        <w:object w:dxaOrig="4819" w:dyaOrig="720" w14:anchorId="71A33E06">
          <v:shape id="_x0000_i1039" type="#_x0000_t75" style="width:237.75pt;height:36.75pt" o:ole="">
            <v:imagedata r:id="rId37" o:title=""/>
          </v:shape>
          <o:OLEObject Type="Embed" ProgID="Equation.DSMT4" ShapeID="_x0000_i1039" DrawAspect="Content" ObjectID="_1626325628" r:id="rId38"/>
        </w:object>
      </w:r>
      <w:r w:rsidR="002870BB" w:rsidRPr="00020413">
        <w:rPr>
          <w:rFonts w:ascii="Times New Roman" w:hAnsi="Times New Roman"/>
          <w:sz w:val="24"/>
          <w:szCs w:val="24"/>
        </w:rPr>
        <w:t xml:space="preserve"> </w:t>
      </w:r>
      <w:r w:rsidR="002870BB" w:rsidRPr="00020413">
        <w:rPr>
          <w:rFonts w:ascii="Times New Roman" w:hAnsi="Times New Roman"/>
          <w:sz w:val="24"/>
          <w:szCs w:val="24"/>
        </w:rPr>
        <w:tab/>
      </w:r>
      <w:r w:rsidR="002870BB" w:rsidRPr="00020413">
        <w:rPr>
          <w:rFonts w:ascii="Times New Roman" w:hAnsi="Times New Roman"/>
          <w:sz w:val="24"/>
          <w:szCs w:val="24"/>
        </w:rPr>
        <w:tab/>
      </w:r>
      <w:r w:rsidR="002870BB" w:rsidRPr="00020413">
        <w:rPr>
          <w:rFonts w:ascii="Times New Roman" w:hAnsi="Times New Roman"/>
          <w:sz w:val="24"/>
          <w:szCs w:val="24"/>
        </w:rPr>
        <w:tab/>
      </w:r>
      <w:r w:rsidR="002870BB" w:rsidRPr="00020413">
        <w:rPr>
          <w:rFonts w:ascii="Times New Roman" w:hAnsi="Times New Roman"/>
          <w:sz w:val="24"/>
          <w:szCs w:val="24"/>
        </w:rPr>
        <w:tab/>
      </w:r>
      <w:r w:rsidR="002870BB" w:rsidRPr="00020413">
        <w:rPr>
          <w:rFonts w:ascii="Times New Roman" w:hAnsi="Times New Roman"/>
          <w:sz w:val="24"/>
          <w:szCs w:val="24"/>
        </w:rPr>
        <w:tab/>
      </w:r>
      <w:r w:rsidRPr="00020413">
        <w:rPr>
          <w:rFonts w:ascii="Times New Roman" w:hAnsi="Times New Roman"/>
          <w:sz w:val="24"/>
          <w:szCs w:val="24"/>
        </w:rPr>
        <w:tab/>
      </w:r>
      <w:r w:rsidR="002870BB" w:rsidRPr="00020413">
        <w:rPr>
          <w:rFonts w:ascii="Times New Roman" w:hAnsi="Times New Roman"/>
          <w:sz w:val="24"/>
          <w:szCs w:val="24"/>
        </w:rPr>
        <w:t>(3)</w:t>
      </w:r>
    </w:p>
    <w:p w:rsidR="00B7306A" w:rsidRPr="00020413" w:rsidRDefault="00B7306A" w:rsidP="00D55D24">
      <w:pPr>
        <w:autoSpaceDE w:val="0"/>
        <w:autoSpaceDN w:val="0"/>
        <w:adjustRightInd w:val="0"/>
        <w:spacing w:after="120" w:line="360" w:lineRule="auto"/>
        <w:jc w:val="both"/>
        <w:rPr>
          <w:rFonts w:ascii="Times New Roman" w:hAnsi="Times New Roman"/>
          <w:sz w:val="24"/>
          <w:szCs w:val="24"/>
        </w:rPr>
      </w:pPr>
      <w:proofErr w:type="spellStart"/>
      <w:r w:rsidRPr="00020413">
        <w:rPr>
          <w:rFonts w:ascii="Times New Roman" w:hAnsi="Times New Roman"/>
          <w:sz w:val="24"/>
          <w:szCs w:val="24"/>
        </w:rPr>
        <w:t>Eq</w:t>
      </w:r>
      <w:r w:rsidR="005D4F15" w:rsidRPr="00020413">
        <w:rPr>
          <w:rFonts w:ascii="Times New Roman" w:hAnsi="Times New Roman"/>
          <w:sz w:val="24"/>
          <w:szCs w:val="24"/>
        </w:rPr>
        <w:t>s</w:t>
      </w:r>
      <w:proofErr w:type="spellEnd"/>
      <w:r w:rsidRPr="00020413">
        <w:rPr>
          <w:rFonts w:ascii="Times New Roman" w:hAnsi="Times New Roman"/>
          <w:sz w:val="24"/>
          <w:szCs w:val="24"/>
        </w:rPr>
        <w:t xml:space="preserve">. </w:t>
      </w:r>
      <w:r w:rsidR="00C255EB" w:rsidRPr="00020413">
        <w:rPr>
          <w:rFonts w:ascii="Times New Roman" w:hAnsi="Times New Roman"/>
          <w:sz w:val="24"/>
          <w:szCs w:val="24"/>
        </w:rPr>
        <w:t>(</w:t>
      </w:r>
      <w:r w:rsidRPr="00020413">
        <w:rPr>
          <w:rFonts w:ascii="Times New Roman" w:hAnsi="Times New Roman"/>
          <w:sz w:val="24"/>
          <w:szCs w:val="24"/>
        </w:rPr>
        <w:t>1</w:t>
      </w:r>
      <w:r w:rsidR="00C255EB" w:rsidRPr="00020413">
        <w:rPr>
          <w:rFonts w:ascii="Times New Roman" w:hAnsi="Times New Roman"/>
          <w:sz w:val="24"/>
          <w:szCs w:val="24"/>
        </w:rPr>
        <w:t>)</w:t>
      </w:r>
      <w:r w:rsidR="005D4F15" w:rsidRPr="00020413">
        <w:rPr>
          <w:rFonts w:ascii="Times New Roman" w:hAnsi="Times New Roman"/>
          <w:sz w:val="24"/>
          <w:szCs w:val="24"/>
        </w:rPr>
        <w:t xml:space="preserve"> to (3)</w:t>
      </w:r>
      <w:r w:rsidRPr="00020413">
        <w:rPr>
          <w:rFonts w:ascii="Times New Roman" w:hAnsi="Times New Roman"/>
          <w:sz w:val="24"/>
          <w:szCs w:val="24"/>
        </w:rPr>
        <w:t xml:space="preserve"> permit us to test our first </w:t>
      </w:r>
      <w:r w:rsidR="00AD1751" w:rsidRPr="00020413">
        <w:rPr>
          <w:rFonts w:ascii="Times New Roman" w:hAnsi="Times New Roman"/>
          <w:sz w:val="24"/>
          <w:szCs w:val="24"/>
        </w:rPr>
        <w:t>hypothesis</w:t>
      </w:r>
      <w:r w:rsidRPr="00020413">
        <w:rPr>
          <w:rFonts w:ascii="Times New Roman" w:hAnsi="Times New Roman"/>
          <w:sz w:val="24"/>
          <w:szCs w:val="24"/>
        </w:rPr>
        <w:t xml:space="preserve">. In order to test </w:t>
      </w:r>
      <w:r w:rsidR="00525F5C" w:rsidRPr="00020413">
        <w:rPr>
          <w:rFonts w:ascii="Times New Roman" w:hAnsi="Times New Roman"/>
          <w:sz w:val="24"/>
          <w:szCs w:val="24"/>
        </w:rPr>
        <w:t>the next two</w:t>
      </w:r>
      <w:r w:rsidRPr="00020413">
        <w:rPr>
          <w:rFonts w:ascii="Times New Roman" w:hAnsi="Times New Roman"/>
          <w:sz w:val="24"/>
          <w:szCs w:val="24"/>
        </w:rPr>
        <w:t xml:space="preserve"> </w:t>
      </w:r>
      <w:r w:rsidR="00AD1751" w:rsidRPr="00020413">
        <w:rPr>
          <w:rFonts w:ascii="Times New Roman" w:hAnsi="Times New Roman"/>
          <w:sz w:val="24"/>
          <w:szCs w:val="24"/>
        </w:rPr>
        <w:t>hypotheses</w:t>
      </w:r>
      <w:r w:rsidRPr="00020413">
        <w:rPr>
          <w:rFonts w:ascii="Times New Roman" w:hAnsi="Times New Roman"/>
          <w:sz w:val="24"/>
          <w:szCs w:val="24"/>
        </w:rPr>
        <w:t xml:space="preserve">, we modify </w:t>
      </w:r>
      <w:r w:rsidR="00F8312F" w:rsidRPr="00020413">
        <w:rPr>
          <w:rFonts w:ascii="Times New Roman" w:hAnsi="Times New Roman"/>
          <w:sz w:val="24"/>
          <w:szCs w:val="24"/>
        </w:rPr>
        <w:t>Eq</w:t>
      </w:r>
      <w:r w:rsidRPr="00020413">
        <w:rPr>
          <w:rFonts w:ascii="Times New Roman" w:hAnsi="Times New Roman"/>
          <w:sz w:val="24"/>
          <w:szCs w:val="24"/>
        </w:rPr>
        <w:t xml:space="preserve">. </w:t>
      </w:r>
      <w:r w:rsidR="00E84B95" w:rsidRPr="00020413">
        <w:rPr>
          <w:rFonts w:ascii="Times New Roman" w:hAnsi="Times New Roman"/>
          <w:sz w:val="24"/>
          <w:szCs w:val="24"/>
        </w:rPr>
        <w:t>(</w:t>
      </w:r>
      <w:r w:rsidRPr="00020413">
        <w:rPr>
          <w:rFonts w:ascii="Times New Roman" w:hAnsi="Times New Roman"/>
          <w:sz w:val="24"/>
          <w:szCs w:val="24"/>
        </w:rPr>
        <w:t>1</w:t>
      </w:r>
      <w:r w:rsidR="00E84B95" w:rsidRPr="00020413">
        <w:rPr>
          <w:rFonts w:ascii="Times New Roman" w:hAnsi="Times New Roman"/>
          <w:sz w:val="24"/>
          <w:szCs w:val="24"/>
        </w:rPr>
        <w:t>)</w:t>
      </w:r>
      <w:r w:rsidRPr="00020413">
        <w:rPr>
          <w:rFonts w:ascii="Times New Roman" w:hAnsi="Times New Roman"/>
          <w:sz w:val="24"/>
          <w:szCs w:val="24"/>
        </w:rPr>
        <w:t xml:space="preserve"> by including interaction terms of credit information sharing variables with banking market concentration.</w:t>
      </w:r>
      <w:r w:rsidR="00C255EB" w:rsidRPr="00020413">
        <w:rPr>
          <w:rFonts w:ascii="Times New Roman" w:hAnsi="Times New Roman"/>
          <w:sz w:val="24"/>
          <w:szCs w:val="24"/>
        </w:rPr>
        <w:t xml:space="preserve"> We the</w:t>
      </w:r>
      <w:r w:rsidR="00E84B95" w:rsidRPr="00020413">
        <w:rPr>
          <w:rFonts w:ascii="Times New Roman" w:hAnsi="Times New Roman"/>
          <w:sz w:val="24"/>
          <w:szCs w:val="24"/>
        </w:rPr>
        <w:t>n</w:t>
      </w:r>
      <w:r w:rsidR="00C255EB" w:rsidRPr="00020413">
        <w:rPr>
          <w:rFonts w:ascii="Times New Roman" w:hAnsi="Times New Roman"/>
          <w:sz w:val="24"/>
          <w:szCs w:val="24"/>
        </w:rPr>
        <w:t xml:space="preserve"> obtain Eq.</w:t>
      </w:r>
      <w:r w:rsidRPr="00020413">
        <w:rPr>
          <w:rFonts w:ascii="Times New Roman" w:hAnsi="Times New Roman"/>
          <w:sz w:val="24"/>
          <w:szCs w:val="24"/>
        </w:rPr>
        <w:t xml:space="preserve"> </w:t>
      </w:r>
      <w:r w:rsidR="00C255EB" w:rsidRPr="00020413">
        <w:rPr>
          <w:rFonts w:ascii="Times New Roman" w:hAnsi="Times New Roman"/>
          <w:sz w:val="24"/>
          <w:szCs w:val="24"/>
        </w:rPr>
        <w:t>(</w:t>
      </w:r>
      <w:r w:rsidR="005D4F15" w:rsidRPr="00020413">
        <w:rPr>
          <w:rFonts w:ascii="Times New Roman" w:hAnsi="Times New Roman"/>
          <w:sz w:val="24"/>
          <w:szCs w:val="24"/>
        </w:rPr>
        <w:t>4</w:t>
      </w:r>
      <w:r w:rsidR="00C255EB" w:rsidRPr="00020413">
        <w:rPr>
          <w:rFonts w:ascii="Times New Roman" w:hAnsi="Times New Roman"/>
          <w:sz w:val="24"/>
          <w:szCs w:val="24"/>
        </w:rPr>
        <w:t>)</w:t>
      </w:r>
      <w:r w:rsidRPr="00020413">
        <w:rPr>
          <w:rFonts w:ascii="Times New Roman" w:hAnsi="Times New Roman"/>
          <w:sz w:val="24"/>
          <w:szCs w:val="24"/>
        </w:rPr>
        <w:t xml:space="preserve"> as follows:</w:t>
      </w:r>
    </w:p>
    <w:p w:rsidR="00BD1F85" w:rsidRPr="00020413" w:rsidRDefault="00BD1F85" w:rsidP="00C927BA">
      <w:pPr>
        <w:spacing w:before="240" w:after="240" w:line="360" w:lineRule="auto"/>
        <w:jc w:val="both"/>
        <w:rPr>
          <w:rFonts w:ascii="Times New Roman" w:hAnsi="Times New Roman"/>
          <w:sz w:val="24"/>
          <w:szCs w:val="24"/>
        </w:rPr>
      </w:pPr>
      <w:r w:rsidRPr="00020413">
        <w:rPr>
          <w:rFonts w:ascii="Times New Roman" w:hAnsi="Times New Roman"/>
          <w:position w:val="-34"/>
          <w:sz w:val="24"/>
          <w:szCs w:val="24"/>
        </w:rPr>
        <w:object w:dxaOrig="9380" w:dyaOrig="800" w14:anchorId="0C62388A">
          <v:shape id="_x0000_i1040" type="#_x0000_t75" style="width:474.75pt;height:43.5pt" o:ole="">
            <v:imagedata r:id="rId39" o:title=""/>
          </v:shape>
          <o:OLEObject Type="Embed" ProgID="Equation.DSMT4" ShapeID="_x0000_i1040" DrawAspect="Content" ObjectID="_1626325629" r:id="rId40"/>
        </w:object>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5D4F15" w:rsidRPr="00020413">
        <w:rPr>
          <w:rFonts w:ascii="Times New Roman" w:hAnsi="Times New Roman"/>
          <w:sz w:val="24"/>
          <w:szCs w:val="24"/>
        </w:rPr>
        <w:tab/>
      </w:r>
      <w:r w:rsidR="00C255EB" w:rsidRPr="00020413">
        <w:rPr>
          <w:rFonts w:ascii="Times New Roman" w:hAnsi="Times New Roman"/>
          <w:sz w:val="24"/>
          <w:szCs w:val="24"/>
        </w:rPr>
        <w:t>(</w:t>
      </w:r>
      <w:r w:rsidR="005D4F15" w:rsidRPr="00020413">
        <w:rPr>
          <w:rFonts w:ascii="Times New Roman" w:hAnsi="Times New Roman"/>
          <w:sz w:val="24"/>
          <w:szCs w:val="24"/>
        </w:rPr>
        <w:t>4</w:t>
      </w:r>
      <w:r w:rsidR="00AC46EC" w:rsidRPr="00020413">
        <w:rPr>
          <w:rFonts w:ascii="Times New Roman" w:hAnsi="Times New Roman"/>
          <w:sz w:val="24"/>
          <w:szCs w:val="24"/>
        </w:rPr>
        <w:t xml:space="preserve">)           </w:t>
      </w:r>
      <w:r w:rsidR="00526FEB" w:rsidRPr="00020413">
        <w:rPr>
          <w:rFonts w:ascii="Times New Roman" w:hAnsi="Times New Roman"/>
          <w:sz w:val="24"/>
          <w:szCs w:val="24"/>
        </w:rPr>
        <w:t>The equivalent</w:t>
      </w:r>
      <w:r w:rsidR="007E03EE" w:rsidRPr="00020413">
        <w:rPr>
          <w:rFonts w:ascii="Times New Roman" w:hAnsi="Times New Roman"/>
          <w:sz w:val="24"/>
          <w:szCs w:val="24"/>
        </w:rPr>
        <w:t xml:space="preserve"> </w:t>
      </w:r>
      <w:r w:rsidR="00526FEB" w:rsidRPr="00020413">
        <w:rPr>
          <w:rFonts w:ascii="Times New Roman" w:hAnsi="Times New Roman"/>
          <w:sz w:val="24"/>
          <w:szCs w:val="24"/>
        </w:rPr>
        <w:t xml:space="preserve">short-run and long-run </w:t>
      </w:r>
      <w:r w:rsidR="007E03EE" w:rsidRPr="00020413">
        <w:rPr>
          <w:rFonts w:ascii="Times New Roman" w:hAnsi="Times New Roman"/>
          <w:sz w:val="24"/>
          <w:szCs w:val="24"/>
        </w:rPr>
        <w:t>marginal effect</w:t>
      </w:r>
      <w:r w:rsidR="00526FEB" w:rsidRPr="00020413">
        <w:rPr>
          <w:rFonts w:ascii="Times New Roman" w:hAnsi="Times New Roman"/>
          <w:sz w:val="24"/>
          <w:szCs w:val="24"/>
        </w:rPr>
        <w:t>s</w:t>
      </w:r>
      <w:r w:rsidR="007E03EE" w:rsidRPr="00020413">
        <w:rPr>
          <w:rFonts w:ascii="Times New Roman" w:hAnsi="Times New Roman"/>
          <w:sz w:val="24"/>
          <w:szCs w:val="24"/>
        </w:rPr>
        <w:t xml:space="preserve"> of credit information sharing </w:t>
      </w:r>
      <w:r w:rsidR="00526FEB" w:rsidRPr="00020413">
        <w:rPr>
          <w:rFonts w:ascii="Times New Roman" w:hAnsi="Times New Roman"/>
          <w:sz w:val="24"/>
          <w:szCs w:val="24"/>
        </w:rPr>
        <w:t>on the untransformed NPL are, respectively, derived as follows</w:t>
      </w:r>
      <w:r w:rsidR="007E03EE" w:rsidRPr="00020413">
        <w:rPr>
          <w:rFonts w:ascii="Times New Roman" w:hAnsi="Times New Roman"/>
          <w:sz w:val="24"/>
          <w:szCs w:val="24"/>
        </w:rPr>
        <w:t xml:space="preserve">: </w:t>
      </w:r>
      <w:r w:rsidR="00AC46EC" w:rsidRPr="00020413">
        <w:rPr>
          <w:rFonts w:ascii="Times New Roman" w:hAnsi="Times New Roman"/>
          <w:sz w:val="24"/>
          <w:szCs w:val="24"/>
        </w:rPr>
        <w:t xml:space="preserve"> </w:t>
      </w:r>
      <w:r w:rsidR="00091422" w:rsidRPr="00020413">
        <w:rPr>
          <w:rFonts w:ascii="Times New Roman" w:hAnsi="Times New Roman"/>
          <w:sz w:val="24"/>
          <w:szCs w:val="24"/>
        </w:rPr>
        <w:t xml:space="preserve"> </w:t>
      </w:r>
    </w:p>
    <w:p w:rsidR="007050E2" w:rsidRPr="00020413" w:rsidRDefault="00DF2CA0" w:rsidP="007050E2">
      <w:pPr>
        <w:spacing w:before="240" w:after="240" w:line="360" w:lineRule="auto"/>
        <w:jc w:val="both"/>
        <w:rPr>
          <w:rFonts w:ascii="Times New Roman" w:hAnsi="Times New Roman"/>
          <w:sz w:val="24"/>
          <w:szCs w:val="24"/>
          <w:lang w:eastAsia="en-GB"/>
        </w:rPr>
      </w:pPr>
      <w:r w:rsidRPr="00020413">
        <w:rPr>
          <w:rFonts w:ascii="Times New Roman" w:hAnsi="Times New Roman"/>
          <w:position w:val="-30"/>
          <w:sz w:val="24"/>
          <w:szCs w:val="24"/>
        </w:rPr>
        <w:object w:dxaOrig="4620" w:dyaOrig="720" w14:anchorId="538703B8">
          <v:shape id="_x0000_i1041" type="#_x0000_t75" style="width:230.25pt;height:36.75pt" o:ole="">
            <v:imagedata r:id="rId41" o:title=""/>
          </v:shape>
          <o:OLEObject Type="Embed" ProgID="Equation.DSMT4" ShapeID="_x0000_i1041" DrawAspect="Content" ObjectID="_1626325630" r:id="rId42"/>
        </w:object>
      </w:r>
      <w:r w:rsidR="007050E2" w:rsidRPr="00020413">
        <w:rPr>
          <w:rFonts w:ascii="Times New Roman" w:hAnsi="Times New Roman"/>
          <w:sz w:val="24"/>
          <w:szCs w:val="24"/>
        </w:rPr>
        <w:t xml:space="preserve"> </w:t>
      </w:r>
      <w:r w:rsidR="007050E2" w:rsidRPr="00020413">
        <w:rPr>
          <w:rFonts w:ascii="Times New Roman" w:hAnsi="Times New Roman"/>
          <w:sz w:val="24"/>
          <w:szCs w:val="24"/>
        </w:rPr>
        <w:tab/>
      </w:r>
      <w:r w:rsidR="007050E2" w:rsidRPr="00020413">
        <w:rPr>
          <w:rFonts w:ascii="Times New Roman" w:hAnsi="Times New Roman"/>
          <w:sz w:val="24"/>
          <w:szCs w:val="24"/>
        </w:rPr>
        <w:tab/>
      </w:r>
      <w:r w:rsidR="008D2E80" w:rsidRPr="00020413">
        <w:rPr>
          <w:rFonts w:ascii="Times New Roman" w:hAnsi="Times New Roman"/>
          <w:sz w:val="24"/>
          <w:szCs w:val="24"/>
        </w:rPr>
        <w:tab/>
      </w:r>
      <w:r w:rsidR="008D2E80" w:rsidRPr="00020413">
        <w:rPr>
          <w:rFonts w:ascii="Times New Roman" w:hAnsi="Times New Roman"/>
          <w:sz w:val="24"/>
          <w:szCs w:val="24"/>
        </w:rPr>
        <w:tab/>
      </w:r>
      <w:r w:rsidR="008D2E80" w:rsidRPr="00020413">
        <w:rPr>
          <w:rFonts w:ascii="Times New Roman" w:hAnsi="Times New Roman"/>
          <w:sz w:val="24"/>
          <w:szCs w:val="24"/>
        </w:rPr>
        <w:tab/>
      </w:r>
      <w:r w:rsidR="00393819" w:rsidRPr="00020413">
        <w:rPr>
          <w:rFonts w:ascii="Times New Roman" w:hAnsi="Times New Roman"/>
          <w:sz w:val="24"/>
          <w:szCs w:val="24"/>
        </w:rPr>
        <w:tab/>
      </w:r>
      <w:r w:rsidR="007050E2" w:rsidRPr="00020413">
        <w:rPr>
          <w:rFonts w:ascii="Times New Roman" w:hAnsi="Times New Roman"/>
          <w:sz w:val="24"/>
          <w:szCs w:val="24"/>
        </w:rPr>
        <w:t>(5)</w:t>
      </w:r>
    </w:p>
    <w:p w:rsidR="00526FEB" w:rsidRPr="00020413" w:rsidRDefault="00DF2CA0" w:rsidP="00543A83">
      <w:pPr>
        <w:spacing w:before="240" w:after="240" w:line="360" w:lineRule="auto"/>
        <w:jc w:val="both"/>
        <w:rPr>
          <w:rFonts w:ascii="Times New Roman" w:hAnsi="Times New Roman"/>
          <w:sz w:val="24"/>
          <w:szCs w:val="24"/>
          <w:lang w:eastAsia="en-GB"/>
        </w:rPr>
      </w:pPr>
      <w:r w:rsidRPr="00020413">
        <w:rPr>
          <w:rFonts w:ascii="Times New Roman" w:hAnsi="Times New Roman"/>
          <w:position w:val="-30"/>
          <w:sz w:val="24"/>
          <w:szCs w:val="24"/>
        </w:rPr>
        <w:object w:dxaOrig="5280" w:dyaOrig="720" w14:anchorId="4084916C">
          <v:shape id="_x0000_i1042" type="#_x0000_t75" style="width:266.25pt;height:36.75pt" o:ole="">
            <v:imagedata r:id="rId43" o:title=""/>
          </v:shape>
          <o:OLEObject Type="Embed" ProgID="Equation.DSMT4" ShapeID="_x0000_i1042" DrawAspect="Content" ObjectID="_1626325631" r:id="rId44"/>
        </w:object>
      </w:r>
      <w:r w:rsidR="00BD1F85" w:rsidRPr="00020413">
        <w:rPr>
          <w:rFonts w:ascii="Times New Roman" w:hAnsi="Times New Roman"/>
          <w:sz w:val="24"/>
          <w:szCs w:val="24"/>
        </w:rPr>
        <w:t xml:space="preserve"> </w:t>
      </w:r>
      <w:r w:rsidR="00BD1F85" w:rsidRPr="00020413">
        <w:rPr>
          <w:rFonts w:ascii="Times New Roman" w:hAnsi="Times New Roman"/>
          <w:sz w:val="24"/>
          <w:szCs w:val="24"/>
        </w:rPr>
        <w:tab/>
      </w:r>
      <w:r w:rsidR="00543A83" w:rsidRPr="00020413">
        <w:rPr>
          <w:rFonts w:ascii="Times New Roman" w:hAnsi="Times New Roman"/>
          <w:sz w:val="24"/>
          <w:szCs w:val="24"/>
        </w:rPr>
        <w:tab/>
      </w:r>
      <w:r w:rsidR="008D2E80"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543A83" w:rsidRPr="00020413">
        <w:rPr>
          <w:rFonts w:ascii="Times New Roman" w:hAnsi="Times New Roman"/>
          <w:sz w:val="24"/>
          <w:szCs w:val="24"/>
        </w:rPr>
        <w:t>(6</w:t>
      </w:r>
      <w:r w:rsidR="00BD1F85" w:rsidRPr="00020413">
        <w:rPr>
          <w:rFonts w:ascii="Times New Roman" w:hAnsi="Times New Roman"/>
          <w:sz w:val="24"/>
          <w:szCs w:val="24"/>
        </w:rPr>
        <w:t>)</w:t>
      </w:r>
    </w:p>
    <w:p w:rsidR="00091422" w:rsidRPr="00020413" w:rsidRDefault="00C255EB" w:rsidP="00D55D24">
      <w:pPr>
        <w:spacing w:after="120" w:line="360" w:lineRule="auto"/>
        <w:jc w:val="both"/>
        <w:rPr>
          <w:rFonts w:ascii="Times New Roman" w:hAnsi="Times New Roman"/>
          <w:sz w:val="24"/>
          <w:szCs w:val="24"/>
        </w:rPr>
      </w:pPr>
      <w:r w:rsidRPr="00020413">
        <w:rPr>
          <w:rFonts w:ascii="Times New Roman" w:hAnsi="Times New Roman"/>
          <w:sz w:val="24"/>
          <w:szCs w:val="24"/>
        </w:rPr>
        <w:t>Similarly, we derive the marginal effect of banking market concentration</w:t>
      </w:r>
      <w:r w:rsidR="008D2E80" w:rsidRPr="00020413">
        <w:rPr>
          <w:rFonts w:ascii="Times New Roman" w:hAnsi="Times New Roman"/>
          <w:sz w:val="24"/>
          <w:szCs w:val="24"/>
        </w:rPr>
        <w:t xml:space="preserve"> on the untransformed NPL</w:t>
      </w:r>
      <w:r w:rsidRPr="00020413">
        <w:rPr>
          <w:rFonts w:ascii="Times New Roman" w:hAnsi="Times New Roman"/>
          <w:sz w:val="24"/>
          <w:szCs w:val="24"/>
        </w:rPr>
        <w:t xml:space="preserve"> by differentiating </w:t>
      </w:r>
      <w:r w:rsidR="00642344" w:rsidRPr="00020413">
        <w:rPr>
          <w:rFonts w:ascii="Times New Roman" w:hAnsi="Times New Roman"/>
          <w:sz w:val="24"/>
          <w:szCs w:val="24"/>
        </w:rPr>
        <w:t>Eq</w:t>
      </w:r>
      <w:r w:rsidRPr="00020413">
        <w:rPr>
          <w:rFonts w:ascii="Times New Roman" w:hAnsi="Times New Roman"/>
          <w:sz w:val="24"/>
          <w:szCs w:val="24"/>
        </w:rPr>
        <w:t>. (</w:t>
      </w:r>
      <w:r w:rsidR="00613B3E" w:rsidRPr="00020413">
        <w:rPr>
          <w:rFonts w:ascii="Times New Roman" w:hAnsi="Times New Roman"/>
          <w:sz w:val="24"/>
          <w:szCs w:val="24"/>
        </w:rPr>
        <w:t>4</w:t>
      </w:r>
      <w:r w:rsidRPr="00020413">
        <w:rPr>
          <w:rFonts w:ascii="Times New Roman" w:hAnsi="Times New Roman"/>
          <w:sz w:val="24"/>
          <w:szCs w:val="24"/>
        </w:rPr>
        <w:t xml:space="preserve">) </w:t>
      </w:r>
      <w:r w:rsidR="00642344" w:rsidRPr="00020413">
        <w:rPr>
          <w:rFonts w:ascii="Times New Roman" w:hAnsi="Times New Roman"/>
          <w:sz w:val="24"/>
          <w:szCs w:val="24"/>
        </w:rPr>
        <w:t>with respect to the information sharing variable</w:t>
      </w:r>
      <w:r w:rsidR="008D2E80" w:rsidRPr="00020413">
        <w:rPr>
          <w:rFonts w:ascii="Times New Roman" w:hAnsi="Times New Roman"/>
          <w:sz w:val="24"/>
          <w:szCs w:val="24"/>
        </w:rPr>
        <w:t>, and evaluating at the sample mean of NPL</w:t>
      </w:r>
      <w:r w:rsidR="00642344" w:rsidRPr="00020413">
        <w:rPr>
          <w:rFonts w:ascii="Times New Roman" w:hAnsi="Times New Roman"/>
          <w:sz w:val="24"/>
          <w:szCs w:val="24"/>
        </w:rPr>
        <w:t xml:space="preserve"> as follows:</w:t>
      </w:r>
    </w:p>
    <w:p w:rsidR="00393819" w:rsidRPr="00020413" w:rsidRDefault="00DF2CA0" w:rsidP="00393819">
      <w:pPr>
        <w:spacing w:before="240" w:after="240" w:line="360" w:lineRule="auto"/>
        <w:jc w:val="both"/>
        <w:rPr>
          <w:rFonts w:ascii="Times New Roman" w:hAnsi="Times New Roman"/>
          <w:sz w:val="24"/>
          <w:szCs w:val="24"/>
          <w:lang w:eastAsia="en-GB"/>
        </w:rPr>
      </w:pPr>
      <w:r w:rsidRPr="00020413">
        <w:rPr>
          <w:rFonts w:ascii="Times New Roman" w:hAnsi="Times New Roman"/>
          <w:position w:val="-28"/>
          <w:sz w:val="24"/>
          <w:szCs w:val="24"/>
        </w:rPr>
        <w:object w:dxaOrig="4700" w:dyaOrig="680" w14:anchorId="64E5727A">
          <v:shape id="_x0000_i1043" type="#_x0000_t75" style="width:237.75pt;height:36.75pt" o:ole="">
            <v:imagedata r:id="rId45" o:title=""/>
          </v:shape>
          <o:OLEObject Type="Embed" ProgID="Equation.DSMT4" ShapeID="_x0000_i1043" DrawAspect="Content" ObjectID="_1626325632" r:id="rId46"/>
        </w:object>
      </w:r>
      <w:r w:rsidR="00393819" w:rsidRPr="00020413">
        <w:rPr>
          <w:rFonts w:ascii="Times New Roman" w:hAnsi="Times New Roman"/>
          <w:sz w:val="24"/>
          <w:szCs w:val="24"/>
        </w:rPr>
        <w:t xml:space="preserve"> </w:t>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t>(</w:t>
      </w:r>
      <w:r w:rsidR="00613B3E" w:rsidRPr="00020413">
        <w:rPr>
          <w:rFonts w:ascii="Times New Roman" w:hAnsi="Times New Roman"/>
          <w:sz w:val="24"/>
          <w:szCs w:val="24"/>
        </w:rPr>
        <w:t>7</w:t>
      </w:r>
      <w:r w:rsidR="00393819" w:rsidRPr="00020413">
        <w:rPr>
          <w:rFonts w:ascii="Times New Roman" w:hAnsi="Times New Roman"/>
          <w:sz w:val="24"/>
          <w:szCs w:val="24"/>
        </w:rPr>
        <w:t>)</w:t>
      </w:r>
    </w:p>
    <w:p w:rsidR="00393819" w:rsidRPr="00020413" w:rsidRDefault="00DF2CA0" w:rsidP="00393819">
      <w:pPr>
        <w:spacing w:before="240" w:after="240" w:line="360" w:lineRule="auto"/>
        <w:jc w:val="both"/>
        <w:rPr>
          <w:rFonts w:ascii="Times New Roman" w:hAnsi="Times New Roman"/>
          <w:sz w:val="24"/>
          <w:szCs w:val="24"/>
          <w:lang w:eastAsia="en-GB"/>
        </w:rPr>
      </w:pPr>
      <w:r w:rsidRPr="00020413">
        <w:rPr>
          <w:rFonts w:ascii="Times New Roman" w:hAnsi="Times New Roman"/>
          <w:position w:val="-28"/>
          <w:sz w:val="24"/>
          <w:szCs w:val="24"/>
        </w:rPr>
        <w:object w:dxaOrig="5340" w:dyaOrig="680" w14:anchorId="5165AA81">
          <v:shape id="_x0000_i1044" type="#_x0000_t75" style="width:267pt;height:36.75pt" o:ole="">
            <v:imagedata r:id="rId47" o:title=""/>
          </v:shape>
          <o:OLEObject Type="Embed" ProgID="Equation.DSMT4" ShapeID="_x0000_i1044" DrawAspect="Content" ObjectID="_1626325633" r:id="rId48"/>
        </w:object>
      </w:r>
      <w:r w:rsidR="00393819" w:rsidRPr="00020413">
        <w:rPr>
          <w:rFonts w:ascii="Times New Roman" w:hAnsi="Times New Roman"/>
          <w:sz w:val="24"/>
          <w:szCs w:val="24"/>
        </w:rPr>
        <w:t xml:space="preserve"> </w:t>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r>
      <w:r w:rsidR="00393819" w:rsidRPr="00020413">
        <w:rPr>
          <w:rFonts w:ascii="Times New Roman" w:hAnsi="Times New Roman"/>
          <w:sz w:val="24"/>
          <w:szCs w:val="24"/>
        </w:rPr>
        <w:tab/>
        <w:t>(</w:t>
      </w:r>
      <w:r w:rsidR="00613B3E" w:rsidRPr="00020413">
        <w:rPr>
          <w:rFonts w:ascii="Times New Roman" w:hAnsi="Times New Roman"/>
          <w:sz w:val="24"/>
          <w:szCs w:val="24"/>
        </w:rPr>
        <w:t>8</w:t>
      </w:r>
      <w:r w:rsidR="00393819" w:rsidRPr="00020413">
        <w:rPr>
          <w:rFonts w:ascii="Times New Roman" w:hAnsi="Times New Roman"/>
          <w:sz w:val="24"/>
          <w:szCs w:val="24"/>
        </w:rPr>
        <w:t>)</w:t>
      </w:r>
    </w:p>
    <w:p w:rsidR="00240359" w:rsidRPr="00020413" w:rsidRDefault="00563278"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We adopt </w:t>
      </w:r>
      <w:r w:rsidR="00613B3E" w:rsidRPr="00020413">
        <w:rPr>
          <w:rFonts w:ascii="Times New Roman" w:hAnsi="Times New Roman"/>
          <w:sz w:val="24"/>
          <w:szCs w:val="24"/>
        </w:rPr>
        <w:t xml:space="preserve">a </w:t>
      </w:r>
      <w:r w:rsidRPr="00020413">
        <w:rPr>
          <w:rFonts w:ascii="Times New Roman" w:hAnsi="Times New Roman"/>
          <w:sz w:val="24"/>
          <w:szCs w:val="24"/>
        </w:rPr>
        <w:t xml:space="preserve">similar </w:t>
      </w:r>
      <w:r w:rsidR="00613B3E" w:rsidRPr="00020413">
        <w:rPr>
          <w:rFonts w:ascii="Times New Roman" w:hAnsi="Times New Roman"/>
          <w:sz w:val="24"/>
          <w:szCs w:val="24"/>
        </w:rPr>
        <w:t xml:space="preserve">approach </w:t>
      </w:r>
      <w:r w:rsidRPr="00020413">
        <w:rPr>
          <w:rFonts w:ascii="Times New Roman" w:hAnsi="Times New Roman"/>
          <w:sz w:val="24"/>
          <w:szCs w:val="24"/>
        </w:rPr>
        <w:t xml:space="preserve">to </w:t>
      </w:r>
      <w:r w:rsidR="005A4939" w:rsidRPr="00020413">
        <w:rPr>
          <w:rFonts w:ascii="Times New Roman" w:hAnsi="Times New Roman"/>
          <w:sz w:val="24"/>
          <w:szCs w:val="24"/>
        </w:rPr>
        <w:t>provide further extensions</w:t>
      </w:r>
      <w:r w:rsidR="00A11352" w:rsidRPr="00020413">
        <w:rPr>
          <w:rFonts w:ascii="Times New Roman" w:hAnsi="Times New Roman"/>
          <w:sz w:val="24"/>
          <w:szCs w:val="24"/>
        </w:rPr>
        <w:t xml:space="preserve">, for </w:t>
      </w:r>
      <w:r w:rsidR="005A4939" w:rsidRPr="00020413">
        <w:rPr>
          <w:rFonts w:ascii="Times New Roman" w:hAnsi="Times New Roman"/>
          <w:sz w:val="24"/>
          <w:szCs w:val="24"/>
        </w:rPr>
        <w:t xml:space="preserve">example, to </w:t>
      </w:r>
      <w:r w:rsidRPr="00020413">
        <w:rPr>
          <w:rFonts w:ascii="Times New Roman" w:hAnsi="Times New Roman"/>
          <w:sz w:val="24"/>
          <w:szCs w:val="24"/>
        </w:rPr>
        <w:t>assess the moderating roles of governance quality on the marginal effect of credit information sharing</w:t>
      </w:r>
      <w:r w:rsidR="005A4939" w:rsidRPr="00020413">
        <w:rPr>
          <w:rFonts w:ascii="Times New Roman" w:hAnsi="Times New Roman"/>
          <w:sz w:val="24"/>
          <w:szCs w:val="24"/>
        </w:rPr>
        <w:t>.</w:t>
      </w:r>
      <w:r w:rsidRPr="00020413">
        <w:rPr>
          <w:rFonts w:ascii="Times New Roman" w:hAnsi="Times New Roman"/>
          <w:sz w:val="24"/>
          <w:szCs w:val="24"/>
        </w:rPr>
        <w:t xml:space="preserve"> </w:t>
      </w:r>
    </w:p>
    <w:p w:rsidR="007F7E00" w:rsidRPr="00020413" w:rsidRDefault="00240359" w:rsidP="00D55D24">
      <w:pPr>
        <w:spacing w:after="120" w:line="360" w:lineRule="auto"/>
        <w:jc w:val="both"/>
        <w:rPr>
          <w:rFonts w:ascii="Times New Roman" w:hAnsi="Times New Roman"/>
          <w:sz w:val="24"/>
          <w:szCs w:val="24"/>
        </w:rPr>
      </w:pPr>
      <w:r w:rsidRPr="00020413">
        <w:rPr>
          <w:rFonts w:ascii="Times New Roman" w:hAnsi="Times New Roman"/>
          <w:sz w:val="24"/>
          <w:szCs w:val="24"/>
        </w:rPr>
        <w:lastRenderedPageBreak/>
        <w:t xml:space="preserve">The estimation of </w:t>
      </w:r>
      <w:proofErr w:type="spellStart"/>
      <w:r w:rsidRPr="00020413">
        <w:rPr>
          <w:rFonts w:ascii="Times New Roman" w:hAnsi="Times New Roman"/>
          <w:sz w:val="24"/>
          <w:szCs w:val="24"/>
        </w:rPr>
        <w:t>Eqs</w:t>
      </w:r>
      <w:proofErr w:type="spellEnd"/>
      <w:r w:rsidRPr="00020413">
        <w:rPr>
          <w:rFonts w:ascii="Times New Roman" w:hAnsi="Times New Roman"/>
          <w:sz w:val="24"/>
          <w:szCs w:val="24"/>
        </w:rPr>
        <w:t>. (1) and (</w:t>
      </w:r>
      <w:r w:rsidR="00017477" w:rsidRPr="00020413">
        <w:rPr>
          <w:rFonts w:ascii="Times New Roman" w:hAnsi="Times New Roman"/>
          <w:sz w:val="24"/>
          <w:szCs w:val="24"/>
        </w:rPr>
        <w:t>4</w:t>
      </w:r>
      <w:r w:rsidRPr="00020413">
        <w:rPr>
          <w:rFonts w:ascii="Times New Roman" w:hAnsi="Times New Roman"/>
          <w:sz w:val="24"/>
          <w:szCs w:val="24"/>
        </w:rPr>
        <w:t>) poses an endogeneity problem. First, the bank</w:t>
      </w:r>
      <w:r w:rsidR="00F52E6D" w:rsidRPr="00020413">
        <w:rPr>
          <w:rFonts w:ascii="Times New Roman" w:hAnsi="Times New Roman"/>
          <w:sz w:val="24"/>
          <w:szCs w:val="24"/>
        </w:rPr>
        <w:t xml:space="preserve"> </w:t>
      </w:r>
      <w:r w:rsidRPr="00020413">
        <w:rPr>
          <w:rFonts w:ascii="Times New Roman" w:hAnsi="Times New Roman"/>
          <w:sz w:val="24"/>
          <w:szCs w:val="24"/>
        </w:rPr>
        <w:t>fixed</w:t>
      </w:r>
      <w:r w:rsidR="00156FFA" w:rsidRPr="00020413">
        <w:rPr>
          <w:rFonts w:ascii="Times New Roman" w:hAnsi="Times New Roman"/>
          <w:sz w:val="24"/>
          <w:szCs w:val="24"/>
        </w:rPr>
        <w:t xml:space="preserve"> </w:t>
      </w:r>
      <w:r w:rsidRPr="00020413">
        <w:rPr>
          <w:rFonts w:ascii="Times New Roman" w:hAnsi="Times New Roman"/>
          <w:sz w:val="24"/>
          <w:szCs w:val="24"/>
        </w:rPr>
        <w:t>effects may be correlated with other explanatory variables. We address this problem by first</w:t>
      </w:r>
      <w:r w:rsidR="00F52E6D" w:rsidRPr="00020413">
        <w:rPr>
          <w:rFonts w:ascii="Times New Roman" w:hAnsi="Times New Roman"/>
          <w:sz w:val="24"/>
          <w:szCs w:val="24"/>
        </w:rPr>
        <w:t xml:space="preserve"> </w:t>
      </w:r>
      <w:r w:rsidRPr="00020413">
        <w:rPr>
          <w:rFonts w:ascii="Times New Roman" w:hAnsi="Times New Roman"/>
          <w:sz w:val="24"/>
          <w:szCs w:val="24"/>
        </w:rPr>
        <w:t xml:space="preserve">differencing the equations to wipe out the bank fixed effects. Second, the lagged dependent variables are, by construction, correlated with the differenced error terms. This problem can be addressed by using the difference generalised method of moments (GMM) estimator proposed by Arellano and Bond (1991), where the lagged levels of the endogenous variables are used as instruments for the differenced equation in </w:t>
      </w:r>
      <w:proofErr w:type="spellStart"/>
      <w:r w:rsidRPr="00020413">
        <w:rPr>
          <w:rFonts w:ascii="Times New Roman" w:hAnsi="Times New Roman"/>
          <w:sz w:val="24"/>
          <w:szCs w:val="24"/>
        </w:rPr>
        <w:t>Eqs</w:t>
      </w:r>
      <w:proofErr w:type="spellEnd"/>
      <w:r w:rsidRPr="00020413">
        <w:rPr>
          <w:rFonts w:ascii="Times New Roman" w:hAnsi="Times New Roman"/>
          <w:sz w:val="24"/>
          <w:szCs w:val="24"/>
        </w:rPr>
        <w:t>. (1) and (</w:t>
      </w:r>
      <w:r w:rsidR="00D773DD" w:rsidRPr="00020413">
        <w:rPr>
          <w:rFonts w:ascii="Times New Roman" w:hAnsi="Times New Roman"/>
          <w:sz w:val="24"/>
          <w:szCs w:val="24"/>
        </w:rPr>
        <w:t>4</w:t>
      </w:r>
      <w:r w:rsidRPr="00020413">
        <w:rPr>
          <w:rFonts w:ascii="Times New Roman" w:hAnsi="Times New Roman"/>
          <w:sz w:val="24"/>
          <w:szCs w:val="24"/>
        </w:rPr>
        <w:t xml:space="preserve">). </w:t>
      </w:r>
      <w:r w:rsidR="00FC1809" w:rsidRPr="00020413">
        <w:rPr>
          <w:rFonts w:ascii="Times New Roman" w:hAnsi="Times New Roman"/>
          <w:sz w:val="24"/>
          <w:szCs w:val="24"/>
        </w:rPr>
        <w:t>The a</w:t>
      </w:r>
      <w:r w:rsidR="00492150" w:rsidRPr="00020413">
        <w:rPr>
          <w:rFonts w:ascii="Times New Roman" w:hAnsi="Times New Roman"/>
          <w:sz w:val="24"/>
          <w:szCs w:val="24"/>
        </w:rPr>
        <w:t>bsence</w:t>
      </w:r>
      <w:r w:rsidR="0098567D" w:rsidRPr="00020413">
        <w:rPr>
          <w:rFonts w:ascii="Times New Roman" w:hAnsi="Times New Roman"/>
          <w:sz w:val="24"/>
          <w:szCs w:val="24"/>
        </w:rPr>
        <w:t xml:space="preserve"> of se</w:t>
      </w:r>
      <w:r w:rsidR="00EA3BEB" w:rsidRPr="00020413">
        <w:rPr>
          <w:rFonts w:ascii="Times New Roman" w:hAnsi="Times New Roman"/>
          <w:sz w:val="24"/>
          <w:szCs w:val="24"/>
        </w:rPr>
        <w:t>rial correlation in the original error term</w:t>
      </w:r>
      <w:r w:rsidR="003A6CE1" w:rsidRPr="00020413">
        <w:rPr>
          <w:rFonts w:ascii="Times New Roman" w:hAnsi="Times New Roman"/>
          <w:sz w:val="24"/>
          <w:szCs w:val="24"/>
        </w:rPr>
        <w:t>,</w:t>
      </w:r>
      <w:r w:rsidR="0098567D" w:rsidRPr="00020413">
        <w:rPr>
          <w:rFonts w:ascii="Times New Roman" w:hAnsi="Times New Roman"/>
          <w:position w:val="-14"/>
          <w:sz w:val="24"/>
          <w:szCs w:val="24"/>
        </w:rPr>
        <w:object w:dxaOrig="340" w:dyaOrig="380" w14:anchorId="23F86961">
          <v:shape id="_x0000_i1045" type="#_x0000_t75" style="width:22.5pt;height:13.5pt" o:ole="">
            <v:imagedata r:id="rId49" o:title=""/>
          </v:shape>
          <o:OLEObject Type="Embed" ProgID="Equation.3" ShapeID="_x0000_i1045" DrawAspect="Content" ObjectID="_1626325634" r:id="rId50"/>
        </w:object>
      </w:r>
      <w:r w:rsidR="0098567D" w:rsidRPr="00020413">
        <w:rPr>
          <w:rFonts w:ascii="Times New Roman" w:hAnsi="Times New Roman"/>
          <w:sz w:val="24"/>
          <w:szCs w:val="24"/>
        </w:rPr>
        <w:t xml:space="preserve">, and </w:t>
      </w:r>
      <w:r w:rsidR="00FC1809" w:rsidRPr="00020413">
        <w:rPr>
          <w:rFonts w:ascii="Times New Roman" w:hAnsi="Times New Roman"/>
          <w:sz w:val="24"/>
          <w:szCs w:val="24"/>
        </w:rPr>
        <w:t xml:space="preserve">the </w:t>
      </w:r>
      <w:r w:rsidR="0098567D" w:rsidRPr="00020413">
        <w:rPr>
          <w:rFonts w:ascii="Times New Roman" w:hAnsi="Times New Roman"/>
          <w:sz w:val="24"/>
          <w:szCs w:val="24"/>
        </w:rPr>
        <w:t xml:space="preserve">weak exogeneity of the explanatory variables </w:t>
      </w:r>
      <w:r w:rsidR="00AD280C" w:rsidRPr="00020413">
        <w:rPr>
          <w:rFonts w:ascii="Times New Roman" w:hAnsi="Times New Roman"/>
          <w:sz w:val="24"/>
          <w:szCs w:val="24"/>
        </w:rPr>
        <w:t xml:space="preserve">will </w:t>
      </w:r>
      <w:r w:rsidR="0098567D" w:rsidRPr="00020413">
        <w:rPr>
          <w:rFonts w:ascii="Times New Roman" w:hAnsi="Times New Roman"/>
          <w:sz w:val="24"/>
          <w:szCs w:val="24"/>
        </w:rPr>
        <w:t>permit the following moment conditions:</w:t>
      </w:r>
    </w:p>
    <w:p w:rsidR="007F7E00" w:rsidRPr="00020413" w:rsidRDefault="00364A60" w:rsidP="008374FC">
      <w:pPr>
        <w:spacing w:before="240" w:after="240" w:line="360" w:lineRule="auto"/>
        <w:ind w:left="720" w:firstLine="720"/>
        <w:jc w:val="both"/>
        <w:rPr>
          <w:rFonts w:ascii="Times New Roman" w:hAnsi="Times New Roman"/>
          <w:sz w:val="24"/>
          <w:szCs w:val="24"/>
        </w:rPr>
      </w:pPr>
      <w:r w:rsidRPr="00020413">
        <w:rPr>
          <w:rFonts w:ascii="Times New Roman" w:hAnsi="Times New Roman"/>
          <w:position w:val="-14"/>
          <w:sz w:val="24"/>
          <w:szCs w:val="24"/>
        </w:rPr>
        <w:object w:dxaOrig="1680" w:dyaOrig="380" w14:anchorId="7E8C3C46">
          <v:shape id="_x0000_i1046" type="#_x0000_t75" style="width:116.25pt;height:18.75pt" o:ole="">
            <v:imagedata r:id="rId51" o:title=""/>
          </v:shape>
          <o:OLEObject Type="Embed" ProgID="Equation.3" ShapeID="_x0000_i1046" DrawAspect="Content" ObjectID="_1626325635" r:id="rId52"/>
        </w:object>
      </w:r>
      <w:r w:rsidR="007A219F" w:rsidRPr="00020413">
        <w:rPr>
          <w:rFonts w:ascii="Times New Roman" w:hAnsi="Times New Roman"/>
          <w:sz w:val="24"/>
          <w:szCs w:val="24"/>
        </w:rPr>
        <w:t xml:space="preserve"> for</w:t>
      </w:r>
      <w:r w:rsidRPr="00020413">
        <w:rPr>
          <w:rFonts w:ascii="Times New Roman" w:hAnsi="Times New Roman"/>
          <w:sz w:val="24"/>
          <w:szCs w:val="24"/>
        </w:rPr>
        <w:t xml:space="preserve"> </w:t>
      </w:r>
      <w:r w:rsidRPr="00020413">
        <w:rPr>
          <w:rFonts w:ascii="Times New Roman" w:hAnsi="Times New Roman"/>
          <w:position w:val="-10"/>
          <w:sz w:val="24"/>
          <w:szCs w:val="24"/>
        </w:rPr>
        <w:object w:dxaOrig="1660" w:dyaOrig="320" w14:anchorId="6EBAF1F5">
          <v:shape id="_x0000_i1047" type="#_x0000_t75" style="width:79.5pt;height:16.5pt" o:ole="">
            <v:imagedata r:id="rId53" o:title=""/>
          </v:shape>
          <o:OLEObject Type="Embed" ProgID="Equation.DSMT4" ShapeID="_x0000_i1047" DrawAspect="Content" ObjectID="_1626325636" r:id="rId54"/>
        </w:object>
      </w:r>
      <w:r w:rsidR="007A219F" w:rsidRPr="00020413">
        <w:rPr>
          <w:rFonts w:ascii="Times New Roman" w:hAnsi="Times New Roman"/>
          <w:sz w:val="24"/>
          <w:szCs w:val="24"/>
        </w:rPr>
        <w:tab/>
      </w:r>
      <w:r w:rsidR="007A219F" w:rsidRPr="00020413">
        <w:rPr>
          <w:rFonts w:ascii="Times New Roman" w:hAnsi="Times New Roman"/>
          <w:sz w:val="24"/>
          <w:szCs w:val="24"/>
        </w:rPr>
        <w:tab/>
      </w:r>
      <w:r w:rsidR="007A219F" w:rsidRPr="00020413">
        <w:rPr>
          <w:rFonts w:ascii="Times New Roman" w:hAnsi="Times New Roman"/>
          <w:sz w:val="24"/>
          <w:szCs w:val="24"/>
        </w:rPr>
        <w:tab/>
        <w:t>(</w:t>
      </w:r>
      <w:r w:rsidR="00613B3E" w:rsidRPr="00020413">
        <w:rPr>
          <w:rFonts w:ascii="Times New Roman" w:hAnsi="Times New Roman"/>
          <w:sz w:val="24"/>
          <w:szCs w:val="24"/>
        </w:rPr>
        <w:t>9</w:t>
      </w:r>
      <w:r w:rsidR="007A219F" w:rsidRPr="00020413">
        <w:rPr>
          <w:rFonts w:ascii="Times New Roman" w:hAnsi="Times New Roman"/>
          <w:sz w:val="24"/>
          <w:szCs w:val="24"/>
        </w:rPr>
        <w:t>)</w:t>
      </w:r>
    </w:p>
    <w:p w:rsidR="007A219F" w:rsidRPr="00020413" w:rsidRDefault="00B7534A" w:rsidP="00364A60">
      <w:pPr>
        <w:spacing w:before="240" w:after="240" w:line="360" w:lineRule="auto"/>
        <w:ind w:left="720" w:firstLine="720"/>
        <w:jc w:val="both"/>
        <w:rPr>
          <w:rFonts w:ascii="Times New Roman" w:hAnsi="Times New Roman"/>
          <w:sz w:val="24"/>
          <w:szCs w:val="24"/>
        </w:rPr>
      </w:pPr>
      <w:r w:rsidRPr="00B7534A">
        <w:rPr>
          <w:rFonts w:ascii="Times New Roman" w:hAnsi="Times New Roman"/>
          <w:position w:val="-16"/>
          <w:sz w:val="24"/>
          <w:szCs w:val="24"/>
        </w:rPr>
        <w:object w:dxaOrig="1780" w:dyaOrig="440" w14:anchorId="6B51D8F8">
          <v:shape id="_x0000_i1048" type="#_x0000_t75" style="width:131.25pt;height:23.25pt" o:ole="">
            <v:imagedata r:id="rId55" o:title=""/>
          </v:shape>
          <o:OLEObject Type="Embed" ProgID="Equation.DSMT4" ShapeID="_x0000_i1048" DrawAspect="Content" ObjectID="_1626325637" r:id="rId56"/>
        </w:object>
      </w:r>
      <w:r w:rsidR="007A219F" w:rsidRPr="00020413">
        <w:rPr>
          <w:rFonts w:ascii="Times New Roman" w:hAnsi="Times New Roman"/>
          <w:sz w:val="24"/>
          <w:szCs w:val="24"/>
        </w:rPr>
        <w:t xml:space="preserve"> for</w:t>
      </w:r>
      <w:r w:rsidR="00364A60" w:rsidRPr="00020413">
        <w:rPr>
          <w:rFonts w:ascii="Times New Roman" w:hAnsi="Times New Roman"/>
          <w:sz w:val="24"/>
          <w:szCs w:val="24"/>
        </w:rPr>
        <w:t xml:space="preserve"> </w:t>
      </w:r>
      <w:r w:rsidR="00364A60" w:rsidRPr="00020413">
        <w:rPr>
          <w:rFonts w:ascii="Times New Roman" w:hAnsi="Times New Roman"/>
          <w:position w:val="-10"/>
          <w:sz w:val="24"/>
          <w:szCs w:val="24"/>
        </w:rPr>
        <w:object w:dxaOrig="1660" w:dyaOrig="320">
          <v:shape id="_x0000_i1049" type="#_x0000_t75" style="width:79.5pt;height:16.5pt" o:ole="">
            <v:imagedata r:id="rId53" o:title=""/>
          </v:shape>
          <o:OLEObject Type="Embed" ProgID="Equation.DSMT4" ShapeID="_x0000_i1049" DrawAspect="Content" ObjectID="_1626325638" r:id="rId57"/>
        </w:object>
      </w:r>
      <w:r w:rsidR="00364A60" w:rsidRPr="00020413">
        <w:rPr>
          <w:rFonts w:ascii="Times New Roman" w:hAnsi="Times New Roman"/>
          <w:sz w:val="24"/>
          <w:szCs w:val="24"/>
        </w:rPr>
        <w:tab/>
      </w:r>
      <w:r w:rsidR="00364A60" w:rsidRPr="00020413">
        <w:rPr>
          <w:rFonts w:ascii="Times New Roman" w:hAnsi="Times New Roman"/>
          <w:sz w:val="24"/>
          <w:szCs w:val="24"/>
        </w:rPr>
        <w:tab/>
      </w:r>
      <w:r w:rsidR="00CE6FFF" w:rsidRPr="00020413">
        <w:rPr>
          <w:rFonts w:ascii="Times New Roman" w:hAnsi="Times New Roman"/>
          <w:sz w:val="24"/>
          <w:szCs w:val="24"/>
        </w:rPr>
        <w:t xml:space="preserve">           </w:t>
      </w:r>
      <w:r w:rsidR="00613B3E" w:rsidRPr="00020413">
        <w:rPr>
          <w:rFonts w:ascii="Times New Roman" w:hAnsi="Times New Roman"/>
          <w:sz w:val="24"/>
          <w:szCs w:val="24"/>
        </w:rPr>
        <w:tab/>
      </w:r>
      <w:r w:rsidR="007A219F" w:rsidRPr="00020413">
        <w:rPr>
          <w:rFonts w:ascii="Times New Roman" w:hAnsi="Times New Roman"/>
          <w:sz w:val="24"/>
          <w:szCs w:val="24"/>
        </w:rPr>
        <w:t>(</w:t>
      </w:r>
      <w:r w:rsidR="00613B3E" w:rsidRPr="00020413">
        <w:rPr>
          <w:rFonts w:ascii="Times New Roman" w:hAnsi="Times New Roman"/>
          <w:sz w:val="24"/>
          <w:szCs w:val="24"/>
        </w:rPr>
        <w:t>10</w:t>
      </w:r>
      <w:r w:rsidR="007A219F" w:rsidRPr="00020413">
        <w:rPr>
          <w:rFonts w:ascii="Times New Roman" w:hAnsi="Times New Roman"/>
          <w:sz w:val="24"/>
          <w:szCs w:val="24"/>
        </w:rPr>
        <w:t>)</w:t>
      </w:r>
    </w:p>
    <w:p w:rsidR="007F7E00" w:rsidRPr="00020413" w:rsidRDefault="007F7E00" w:rsidP="00D55D24">
      <w:pPr>
        <w:spacing w:after="120" w:line="360" w:lineRule="auto"/>
        <w:jc w:val="both"/>
        <w:rPr>
          <w:rFonts w:ascii="Times New Roman" w:hAnsi="Times New Roman"/>
          <w:sz w:val="24"/>
          <w:szCs w:val="24"/>
        </w:rPr>
      </w:pPr>
      <w:r w:rsidRPr="00020413">
        <w:rPr>
          <w:rFonts w:ascii="Times New Roman" w:hAnsi="Times New Roman"/>
          <w:sz w:val="24"/>
          <w:szCs w:val="24"/>
        </w:rPr>
        <w:t>However, for reasons such as persistence or measurement errors</w:t>
      </w:r>
      <w:r w:rsidR="00F52E6D" w:rsidRPr="00020413">
        <w:rPr>
          <w:rFonts w:ascii="Times New Roman" w:hAnsi="Times New Roman"/>
          <w:sz w:val="24"/>
          <w:szCs w:val="24"/>
        </w:rPr>
        <w:t>,</w:t>
      </w:r>
      <w:r w:rsidRPr="00020413">
        <w:rPr>
          <w:rFonts w:ascii="Times New Roman" w:hAnsi="Times New Roman"/>
          <w:sz w:val="24"/>
          <w:szCs w:val="24"/>
        </w:rPr>
        <w:t xml:space="preserve"> lagged levels of the explanatory variables </w:t>
      </w:r>
      <w:r w:rsidR="00840272" w:rsidRPr="00020413">
        <w:rPr>
          <w:rFonts w:ascii="Times New Roman" w:hAnsi="Times New Roman"/>
          <w:sz w:val="24"/>
          <w:szCs w:val="24"/>
        </w:rPr>
        <w:t>may not be efficient</w:t>
      </w:r>
      <w:r w:rsidRPr="00020413">
        <w:rPr>
          <w:rFonts w:ascii="Times New Roman" w:hAnsi="Times New Roman"/>
          <w:sz w:val="24"/>
          <w:szCs w:val="24"/>
        </w:rPr>
        <w:t xml:space="preserve"> instruments for their first differences (</w:t>
      </w:r>
      <w:r w:rsidR="00C44266" w:rsidRPr="00020413">
        <w:rPr>
          <w:rFonts w:ascii="Times New Roman" w:hAnsi="Times New Roman"/>
          <w:sz w:val="24"/>
          <w:szCs w:val="24"/>
        </w:rPr>
        <w:t xml:space="preserve">Blundell and Bond, 1998; </w:t>
      </w:r>
      <w:r w:rsidRPr="00020413">
        <w:rPr>
          <w:rFonts w:ascii="Times New Roman" w:hAnsi="Times New Roman"/>
          <w:sz w:val="24"/>
          <w:szCs w:val="24"/>
        </w:rPr>
        <w:t>Alonso-</w:t>
      </w:r>
      <w:r w:rsidR="00086A06" w:rsidRPr="00020413">
        <w:rPr>
          <w:rFonts w:ascii="Times New Roman" w:hAnsi="Times New Roman"/>
          <w:sz w:val="24"/>
          <w:szCs w:val="24"/>
        </w:rPr>
        <w:t>Borrego</w:t>
      </w:r>
      <w:r w:rsidR="00C44266" w:rsidRPr="00020413">
        <w:rPr>
          <w:rFonts w:ascii="Times New Roman" w:hAnsi="Times New Roman"/>
          <w:sz w:val="24"/>
          <w:szCs w:val="24"/>
        </w:rPr>
        <w:t xml:space="preserve"> and</w:t>
      </w:r>
      <w:r w:rsidR="00611F87" w:rsidRPr="00020413">
        <w:rPr>
          <w:rFonts w:ascii="Times New Roman" w:hAnsi="Times New Roman"/>
          <w:sz w:val="24"/>
          <w:szCs w:val="24"/>
        </w:rPr>
        <w:t xml:space="preserve"> </w:t>
      </w:r>
      <w:r w:rsidRPr="00020413">
        <w:rPr>
          <w:rFonts w:ascii="Times New Roman" w:hAnsi="Times New Roman"/>
          <w:sz w:val="24"/>
          <w:szCs w:val="24"/>
        </w:rPr>
        <w:t>Arellano</w:t>
      </w:r>
      <w:r w:rsidR="00C44266" w:rsidRPr="00020413">
        <w:rPr>
          <w:rFonts w:ascii="Times New Roman" w:hAnsi="Times New Roman"/>
          <w:sz w:val="24"/>
          <w:szCs w:val="24"/>
        </w:rPr>
        <w:t>,</w:t>
      </w:r>
      <w:r w:rsidRPr="00020413">
        <w:rPr>
          <w:rFonts w:ascii="Times New Roman" w:hAnsi="Times New Roman"/>
          <w:sz w:val="24"/>
          <w:szCs w:val="24"/>
        </w:rPr>
        <w:t xml:space="preserve"> 1999)</w:t>
      </w:r>
      <w:r w:rsidR="00840272" w:rsidRPr="00020413">
        <w:rPr>
          <w:rFonts w:ascii="Times New Roman" w:hAnsi="Times New Roman"/>
          <w:sz w:val="24"/>
          <w:szCs w:val="24"/>
        </w:rPr>
        <w:t xml:space="preserve">. Efficiency can be improved by combining the levels equation with the differenced equation as a system of equations (Arellano </w:t>
      </w:r>
      <w:r w:rsidR="00542146" w:rsidRPr="00020413">
        <w:rPr>
          <w:rFonts w:ascii="Times New Roman" w:hAnsi="Times New Roman"/>
          <w:sz w:val="24"/>
          <w:szCs w:val="24"/>
        </w:rPr>
        <w:t xml:space="preserve">and </w:t>
      </w:r>
      <w:proofErr w:type="spellStart"/>
      <w:r w:rsidR="00840272" w:rsidRPr="00020413">
        <w:rPr>
          <w:rFonts w:ascii="Times New Roman" w:hAnsi="Times New Roman"/>
          <w:sz w:val="24"/>
          <w:szCs w:val="24"/>
        </w:rPr>
        <w:t>Bover</w:t>
      </w:r>
      <w:proofErr w:type="spellEnd"/>
      <w:r w:rsidR="00840272" w:rsidRPr="00020413">
        <w:rPr>
          <w:rFonts w:ascii="Times New Roman" w:hAnsi="Times New Roman"/>
          <w:sz w:val="24"/>
          <w:szCs w:val="24"/>
        </w:rPr>
        <w:t xml:space="preserve">, 1995; </w:t>
      </w:r>
      <w:r w:rsidR="00592888" w:rsidRPr="00020413">
        <w:rPr>
          <w:rFonts w:ascii="Times New Roman" w:hAnsi="Times New Roman"/>
          <w:sz w:val="24"/>
          <w:szCs w:val="24"/>
        </w:rPr>
        <w:t>Blundell</w:t>
      </w:r>
      <w:r w:rsidR="00840272" w:rsidRPr="00020413">
        <w:rPr>
          <w:rFonts w:ascii="Times New Roman" w:hAnsi="Times New Roman"/>
          <w:sz w:val="24"/>
          <w:szCs w:val="24"/>
        </w:rPr>
        <w:t xml:space="preserve"> </w:t>
      </w:r>
      <w:r w:rsidR="00542146" w:rsidRPr="00020413">
        <w:rPr>
          <w:rFonts w:ascii="Times New Roman" w:hAnsi="Times New Roman"/>
          <w:sz w:val="24"/>
          <w:szCs w:val="24"/>
        </w:rPr>
        <w:t xml:space="preserve">and </w:t>
      </w:r>
      <w:r w:rsidR="00840272" w:rsidRPr="00020413">
        <w:rPr>
          <w:rFonts w:ascii="Times New Roman" w:hAnsi="Times New Roman"/>
          <w:sz w:val="24"/>
          <w:szCs w:val="24"/>
        </w:rPr>
        <w:t xml:space="preserve">Bond, 1998). In this case, the lagged first-differenced variables can serve as instruments for the corresponding variables </w:t>
      </w:r>
      <w:r w:rsidR="00E9705C" w:rsidRPr="00020413">
        <w:rPr>
          <w:rFonts w:ascii="Times New Roman" w:hAnsi="Times New Roman"/>
          <w:sz w:val="24"/>
          <w:szCs w:val="24"/>
        </w:rPr>
        <w:t>in</w:t>
      </w:r>
      <w:r w:rsidR="00840272" w:rsidRPr="00020413">
        <w:rPr>
          <w:rFonts w:ascii="Times New Roman" w:hAnsi="Times New Roman"/>
          <w:sz w:val="24"/>
          <w:szCs w:val="24"/>
        </w:rPr>
        <w:t xml:space="preserve"> levels, leading to the following additional moment conditions</w:t>
      </w:r>
      <w:r w:rsidR="00CC13FB" w:rsidRPr="00020413">
        <w:rPr>
          <w:rStyle w:val="FootnoteReference"/>
          <w:rFonts w:ascii="Times New Roman" w:hAnsi="Times New Roman"/>
          <w:sz w:val="24"/>
          <w:szCs w:val="24"/>
        </w:rPr>
        <w:footnoteReference w:id="8"/>
      </w:r>
      <w:r w:rsidR="00840272" w:rsidRPr="00020413">
        <w:rPr>
          <w:rFonts w:ascii="Times New Roman" w:hAnsi="Times New Roman"/>
          <w:sz w:val="24"/>
          <w:szCs w:val="24"/>
        </w:rPr>
        <w:t>:</w:t>
      </w:r>
    </w:p>
    <w:p w:rsidR="002779C9" w:rsidRPr="00020413" w:rsidRDefault="00BC2794" w:rsidP="008374FC">
      <w:pPr>
        <w:spacing w:before="240" w:after="240" w:line="360" w:lineRule="auto"/>
        <w:ind w:left="720" w:firstLine="720"/>
        <w:jc w:val="both"/>
        <w:rPr>
          <w:rFonts w:ascii="Times New Roman" w:hAnsi="Times New Roman"/>
          <w:sz w:val="24"/>
          <w:szCs w:val="24"/>
        </w:rPr>
      </w:pPr>
      <w:r w:rsidRPr="00020413">
        <w:rPr>
          <w:rFonts w:ascii="Times New Roman" w:hAnsi="Times New Roman"/>
          <w:position w:val="-14"/>
          <w:sz w:val="24"/>
          <w:szCs w:val="24"/>
        </w:rPr>
        <w:object w:dxaOrig="1660" w:dyaOrig="380" w14:anchorId="49790EB1">
          <v:shape id="_x0000_i1050" type="#_x0000_t75" style="width:111.75pt;height:18pt" o:ole="">
            <v:imagedata r:id="rId58" o:title=""/>
          </v:shape>
          <o:OLEObject Type="Embed" ProgID="Equation.3" ShapeID="_x0000_i1050" DrawAspect="Content" ObjectID="_1626325639" r:id="rId59"/>
        </w:object>
      </w:r>
      <w:r w:rsidR="002779C9" w:rsidRPr="00020413">
        <w:rPr>
          <w:rFonts w:ascii="Times New Roman" w:hAnsi="Times New Roman"/>
          <w:sz w:val="24"/>
          <w:szCs w:val="24"/>
        </w:rPr>
        <w:t xml:space="preserve"> for</w:t>
      </w:r>
      <w:r w:rsidR="00492150" w:rsidRPr="00020413">
        <w:rPr>
          <w:rFonts w:ascii="Times New Roman" w:hAnsi="Times New Roman"/>
          <w:position w:val="-6"/>
          <w:sz w:val="24"/>
          <w:szCs w:val="24"/>
        </w:rPr>
        <w:object w:dxaOrig="499" w:dyaOrig="279" w14:anchorId="44358833">
          <v:shape id="_x0000_i1051" type="#_x0000_t75" style="width:28.5pt;height:14.25pt" o:ole="">
            <v:imagedata r:id="rId60" o:title=""/>
          </v:shape>
          <o:OLEObject Type="Embed" ProgID="Equation.3" ShapeID="_x0000_i1051" DrawAspect="Content" ObjectID="_1626325640" r:id="rId61"/>
        </w:object>
      </w:r>
      <w:r w:rsidR="002779C9" w:rsidRPr="00020413">
        <w:rPr>
          <w:rFonts w:ascii="Times New Roman" w:hAnsi="Times New Roman"/>
          <w:sz w:val="24"/>
          <w:szCs w:val="24"/>
        </w:rPr>
        <w:tab/>
      </w:r>
      <w:r w:rsidR="002779C9" w:rsidRPr="00020413">
        <w:rPr>
          <w:rFonts w:ascii="Times New Roman" w:hAnsi="Times New Roman"/>
          <w:sz w:val="24"/>
          <w:szCs w:val="24"/>
        </w:rPr>
        <w:tab/>
      </w:r>
      <w:r w:rsidR="002779C9" w:rsidRPr="00020413">
        <w:rPr>
          <w:rFonts w:ascii="Times New Roman" w:hAnsi="Times New Roman"/>
          <w:sz w:val="24"/>
          <w:szCs w:val="24"/>
        </w:rPr>
        <w:tab/>
      </w:r>
      <w:r w:rsidR="002779C9" w:rsidRPr="00020413">
        <w:rPr>
          <w:rFonts w:ascii="Times New Roman" w:hAnsi="Times New Roman"/>
          <w:sz w:val="24"/>
          <w:szCs w:val="24"/>
        </w:rPr>
        <w:tab/>
      </w:r>
      <w:r w:rsidR="00036523" w:rsidRPr="00020413">
        <w:rPr>
          <w:rFonts w:ascii="Times New Roman" w:hAnsi="Times New Roman"/>
          <w:sz w:val="24"/>
          <w:szCs w:val="24"/>
        </w:rPr>
        <w:tab/>
        <w:t>(</w:t>
      </w:r>
      <w:r w:rsidR="00A11352" w:rsidRPr="00020413">
        <w:rPr>
          <w:rFonts w:ascii="Times New Roman" w:hAnsi="Times New Roman"/>
          <w:sz w:val="24"/>
          <w:szCs w:val="24"/>
        </w:rPr>
        <w:t>11</w:t>
      </w:r>
      <w:r w:rsidR="002779C9" w:rsidRPr="00020413">
        <w:rPr>
          <w:rFonts w:ascii="Times New Roman" w:hAnsi="Times New Roman"/>
          <w:sz w:val="24"/>
          <w:szCs w:val="24"/>
        </w:rPr>
        <w:t>)</w:t>
      </w:r>
    </w:p>
    <w:p w:rsidR="00840272" w:rsidRPr="00020413" w:rsidRDefault="00B7534A" w:rsidP="008374FC">
      <w:pPr>
        <w:spacing w:before="240" w:after="240" w:line="360" w:lineRule="auto"/>
        <w:ind w:left="720" w:firstLine="720"/>
        <w:jc w:val="both"/>
        <w:rPr>
          <w:rFonts w:ascii="Times New Roman" w:hAnsi="Times New Roman"/>
          <w:sz w:val="24"/>
          <w:szCs w:val="24"/>
        </w:rPr>
      </w:pPr>
      <w:r w:rsidRPr="00B7534A">
        <w:rPr>
          <w:rFonts w:ascii="Times New Roman" w:hAnsi="Times New Roman"/>
          <w:position w:val="-16"/>
          <w:sz w:val="24"/>
          <w:szCs w:val="24"/>
        </w:rPr>
        <w:object w:dxaOrig="1740" w:dyaOrig="440" w14:anchorId="54B6D595">
          <v:shape id="_x0000_i1052" type="#_x0000_t75" style="width:124.5pt;height:22.5pt" o:ole="">
            <v:imagedata r:id="rId62" o:title=""/>
          </v:shape>
          <o:OLEObject Type="Embed" ProgID="Equation.DSMT4" ShapeID="_x0000_i1052" DrawAspect="Content" ObjectID="_1626325641" r:id="rId63"/>
        </w:object>
      </w:r>
      <w:r w:rsidR="002779C9" w:rsidRPr="00020413">
        <w:rPr>
          <w:rFonts w:ascii="Times New Roman" w:hAnsi="Times New Roman"/>
          <w:sz w:val="24"/>
          <w:szCs w:val="24"/>
        </w:rPr>
        <w:t xml:space="preserve"> for</w:t>
      </w:r>
      <w:r w:rsidR="00492150" w:rsidRPr="00020413">
        <w:rPr>
          <w:rFonts w:ascii="Times New Roman" w:hAnsi="Times New Roman"/>
          <w:position w:val="-6"/>
          <w:sz w:val="24"/>
          <w:szCs w:val="24"/>
        </w:rPr>
        <w:object w:dxaOrig="499" w:dyaOrig="279" w14:anchorId="052C92CB">
          <v:shape id="_x0000_i1053" type="#_x0000_t75" style="width:28.5pt;height:14.25pt" o:ole="">
            <v:imagedata r:id="rId64" o:title=""/>
          </v:shape>
          <o:OLEObject Type="Embed" ProgID="Equation.3" ShapeID="_x0000_i1053" DrawAspect="Content" ObjectID="_1626325642" r:id="rId65"/>
        </w:object>
      </w:r>
      <w:r w:rsidR="002779C9" w:rsidRPr="00020413">
        <w:rPr>
          <w:rFonts w:ascii="Times New Roman" w:hAnsi="Times New Roman"/>
          <w:sz w:val="24"/>
          <w:szCs w:val="24"/>
        </w:rPr>
        <w:tab/>
      </w:r>
      <w:r w:rsidR="002779C9" w:rsidRPr="00020413">
        <w:rPr>
          <w:rFonts w:ascii="Times New Roman" w:hAnsi="Times New Roman"/>
          <w:sz w:val="24"/>
          <w:szCs w:val="24"/>
        </w:rPr>
        <w:tab/>
      </w:r>
      <w:r w:rsidR="00BC2794">
        <w:rPr>
          <w:rFonts w:ascii="Times New Roman" w:hAnsi="Times New Roman"/>
          <w:sz w:val="24"/>
          <w:szCs w:val="24"/>
        </w:rPr>
        <w:tab/>
      </w:r>
      <w:r w:rsidR="00036523" w:rsidRPr="00020413">
        <w:rPr>
          <w:rFonts w:ascii="Times New Roman" w:hAnsi="Times New Roman"/>
          <w:sz w:val="24"/>
          <w:szCs w:val="24"/>
        </w:rPr>
        <w:tab/>
      </w:r>
      <w:r w:rsidR="005D4084" w:rsidRPr="00020413">
        <w:rPr>
          <w:rFonts w:ascii="Times New Roman" w:hAnsi="Times New Roman"/>
          <w:sz w:val="24"/>
          <w:szCs w:val="24"/>
        </w:rPr>
        <w:tab/>
      </w:r>
      <w:r w:rsidR="00036523" w:rsidRPr="00020413">
        <w:rPr>
          <w:rFonts w:ascii="Times New Roman" w:hAnsi="Times New Roman"/>
          <w:sz w:val="24"/>
          <w:szCs w:val="24"/>
        </w:rPr>
        <w:t>(</w:t>
      </w:r>
      <w:r w:rsidR="00A11352" w:rsidRPr="00020413">
        <w:rPr>
          <w:rFonts w:ascii="Times New Roman" w:hAnsi="Times New Roman"/>
          <w:sz w:val="24"/>
          <w:szCs w:val="24"/>
        </w:rPr>
        <w:t>12</w:t>
      </w:r>
      <w:r w:rsidR="002779C9" w:rsidRPr="00020413">
        <w:rPr>
          <w:rFonts w:ascii="Times New Roman" w:hAnsi="Times New Roman"/>
          <w:sz w:val="24"/>
          <w:szCs w:val="24"/>
        </w:rPr>
        <w:t>)</w:t>
      </w:r>
    </w:p>
    <w:p w:rsidR="00017477" w:rsidRPr="00020413" w:rsidRDefault="0036368F" w:rsidP="00D55D24">
      <w:pPr>
        <w:spacing w:after="120" w:line="360" w:lineRule="auto"/>
        <w:jc w:val="both"/>
        <w:rPr>
          <w:rFonts w:ascii="Times New Roman" w:hAnsi="Times New Roman"/>
          <w:sz w:val="24"/>
          <w:szCs w:val="24"/>
        </w:rPr>
      </w:pPr>
      <w:r w:rsidRPr="00020413">
        <w:rPr>
          <w:rFonts w:ascii="Times New Roman" w:hAnsi="Times New Roman"/>
          <w:sz w:val="24"/>
          <w:szCs w:val="24"/>
        </w:rPr>
        <w:t>By construction, first</w:t>
      </w:r>
      <w:r w:rsidR="00F52E6D" w:rsidRPr="00020413">
        <w:rPr>
          <w:rFonts w:ascii="Times New Roman" w:hAnsi="Times New Roman"/>
          <w:sz w:val="24"/>
          <w:szCs w:val="24"/>
        </w:rPr>
        <w:t>-</w:t>
      </w:r>
      <w:r w:rsidRPr="00020413">
        <w:rPr>
          <w:rFonts w:ascii="Times New Roman" w:hAnsi="Times New Roman"/>
          <w:sz w:val="24"/>
          <w:szCs w:val="24"/>
        </w:rPr>
        <w:t>order serial correlation in the first-differenced equation is expected. However, second</w:t>
      </w:r>
      <w:r w:rsidR="00F52E6D" w:rsidRPr="00020413">
        <w:rPr>
          <w:rFonts w:ascii="Times New Roman" w:hAnsi="Times New Roman"/>
          <w:sz w:val="24"/>
          <w:szCs w:val="24"/>
        </w:rPr>
        <w:t>-</w:t>
      </w:r>
      <w:r w:rsidRPr="00020413">
        <w:rPr>
          <w:rFonts w:ascii="Times New Roman" w:hAnsi="Times New Roman"/>
          <w:sz w:val="24"/>
          <w:szCs w:val="24"/>
        </w:rPr>
        <w:t>order serial correlation in the differenced equation</w:t>
      </w:r>
      <w:r w:rsidR="002357C3" w:rsidRPr="00020413">
        <w:rPr>
          <w:rFonts w:ascii="Times New Roman" w:hAnsi="Times New Roman"/>
          <w:sz w:val="24"/>
          <w:szCs w:val="24"/>
        </w:rPr>
        <w:t xml:space="preserve"> would</w:t>
      </w:r>
      <w:r w:rsidRPr="00020413">
        <w:rPr>
          <w:rFonts w:ascii="Times New Roman" w:hAnsi="Times New Roman"/>
          <w:sz w:val="24"/>
          <w:szCs w:val="24"/>
        </w:rPr>
        <w:t xml:space="preserve"> </w:t>
      </w:r>
      <w:r w:rsidR="002357C3" w:rsidRPr="00020413">
        <w:rPr>
          <w:rFonts w:ascii="Times New Roman" w:hAnsi="Times New Roman"/>
          <w:sz w:val="24"/>
          <w:szCs w:val="24"/>
        </w:rPr>
        <w:t>suggest possible</w:t>
      </w:r>
      <w:r w:rsidRPr="00020413">
        <w:rPr>
          <w:rFonts w:ascii="Times New Roman" w:hAnsi="Times New Roman"/>
          <w:sz w:val="24"/>
          <w:szCs w:val="24"/>
        </w:rPr>
        <w:t xml:space="preserve"> first-order serial correlation in the level equation</w:t>
      </w:r>
      <w:r w:rsidR="00841B2C">
        <w:rPr>
          <w:rFonts w:ascii="Times New Roman" w:hAnsi="Times New Roman"/>
          <w:sz w:val="24"/>
          <w:szCs w:val="24"/>
        </w:rPr>
        <w:t>s</w:t>
      </w:r>
      <w:r w:rsidR="00A25050" w:rsidRPr="00020413">
        <w:rPr>
          <w:rFonts w:ascii="Times New Roman" w:hAnsi="Times New Roman"/>
          <w:sz w:val="24"/>
          <w:szCs w:val="24"/>
        </w:rPr>
        <w:t xml:space="preserve"> (</w:t>
      </w:r>
      <w:proofErr w:type="spellStart"/>
      <w:r w:rsidR="00A25050" w:rsidRPr="00020413">
        <w:rPr>
          <w:rFonts w:ascii="Times New Roman" w:hAnsi="Times New Roman"/>
          <w:sz w:val="24"/>
          <w:szCs w:val="24"/>
        </w:rPr>
        <w:t>Roodman</w:t>
      </w:r>
      <w:proofErr w:type="spellEnd"/>
      <w:r w:rsidR="00A25050" w:rsidRPr="00020413">
        <w:rPr>
          <w:rFonts w:ascii="Times New Roman" w:hAnsi="Times New Roman"/>
          <w:sz w:val="24"/>
          <w:szCs w:val="24"/>
        </w:rPr>
        <w:t>, 2009)</w:t>
      </w:r>
      <w:r w:rsidR="002357C3" w:rsidRPr="00020413">
        <w:rPr>
          <w:rFonts w:ascii="Times New Roman" w:hAnsi="Times New Roman"/>
          <w:sz w:val="24"/>
          <w:szCs w:val="24"/>
        </w:rPr>
        <w:t xml:space="preserve"> and undermine the moment condition</w:t>
      </w:r>
      <w:r w:rsidR="00A25050" w:rsidRPr="00020413">
        <w:rPr>
          <w:rFonts w:ascii="Times New Roman" w:hAnsi="Times New Roman"/>
          <w:sz w:val="24"/>
          <w:szCs w:val="24"/>
        </w:rPr>
        <w:t>.</w:t>
      </w:r>
      <w:r w:rsidR="00240359" w:rsidRPr="00020413">
        <w:rPr>
          <w:rFonts w:ascii="Times New Roman" w:hAnsi="Times New Roman"/>
          <w:sz w:val="24"/>
          <w:szCs w:val="24"/>
        </w:rPr>
        <w:t xml:space="preserve"> Hence, we compute </w:t>
      </w:r>
      <w:r w:rsidR="00021152" w:rsidRPr="00020413">
        <w:rPr>
          <w:rFonts w:ascii="Times New Roman" w:hAnsi="Times New Roman"/>
          <w:sz w:val="24"/>
          <w:szCs w:val="24"/>
        </w:rPr>
        <w:t xml:space="preserve">diagnostic tests of </w:t>
      </w:r>
      <w:r w:rsidR="00240359" w:rsidRPr="00020413">
        <w:rPr>
          <w:rFonts w:ascii="Times New Roman" w:hAnsi="Times New Roman"/>
          <w:sz w:val="24"/>
          <w:szCs w:val="24"/>
        </w:rPr>
        <w:t>first</w:t>
      </w:r>
      <w:r w:rsidR="00F52E6D" w:rsidRPr="00020413">
        <w:rPr>
          <w:rFonts w:ascii="Times New Roman" w:hAnsi="Times New Roman"/>
          <w:sz w:val="24"/>
          <w:szCs w:val="24"/>
        </w:rPr>
        <w:t>-</w:t>
      </w:r>
      <w:r w:rsidR="00240359" w:rsidRPr="00020413">
        <w:rPr>
          <w:rFonts w:ascii="Times New Roman" w:hAnsi="Times New Roman"/>
          <w:sz w:val="24"/>
          <w:szCs w:val="24"/>
        </w:rPr>
        <w:t xml:space="preserve">order </w:t>
      </w:r>
      <w:r w:rsidR="00021152" w:rsidRPr="00020413">
        <w:rPr>
          <w:rFonts w:ascii="Times New Roman" w:hAnsi="Times New Roman"/>
          <w:sz w:val="24"/>
          <w:szCs w:val="24"/>
        </w:rPr>
        <w:t>and second</w:t>
      </w:r>
      <w:r w:rsidR="00F52E6D" w:rsidRPr="00020413">
        <w:rPr>
          <w:rFonts w:ascii="Times New Roman" w:hAnsi="Times New Roman"/>
          <w:sz w:val="24"/>
          <w:szCs w:val="24"/>
        </w:rPr>
        <w:t>-</w:t>
      </w:r>
      <w:r w:rsidR="00021152" w:rsidRPr="00020413">
        <w:rPr>
          <w:rFonts w:ascii="Times New Roman" w:hAnsi="Times New Roman"/>
          <w:sz w:val="24"/>
          <w:szCs w:val="24"/>
        </w:rPr>
        <w:t xml:space="preserve">order </w:t>
      </w:r>
      <w:r w:rsidR="00240359" w:rsidRPr="00020413">
        <w:rPr>
          <w:rFonts w:ascii="Times New Roman" w:hAnsi="Times New Roman"/>
          <w:sz w:val="24"/>
          <w:szCs w:val="24"/>
        </w:rPr>
        <w:t xml:space="preserve">serial correlation </w:t>
      </w:r>
      <w:r w:rsidR="00021152" w:rsidRPr="00020413">
        <w:rPr>
          <w:rFonts w:ascii="Times New Roman" w:hAnsi="Times New Roman"/>
          <w:sz w:val="24"/>
          <w:szCs w:val="24"/>
        </w:rPr>
        <w:t>tests.</w:t>
      </w:r>
      <w:r w:rsidR="002444C6" w:rsidRPr="00020413">
        <w:rPr>
          <w:rFonts w:ascii="Times New Roman" w:hAnsi="Times New Roman"/>
          <w:sz w:val="24"/>
          <w:szCs w:val="24"/>
        </w:rPr>
        <w:t xml:space="preserve"> We also test for the validity of the over-identification restrictions using Hansen test of </w:t>
      </w:r>
      <w:r w:rsidR="002444C6" w:rsidRPr="00020413">
        <w:rPr>
          <w:rFonts w:ascii="Times New Roman" w:hAnsi="Times New Roman"/>
          <w:sz w:val="24"/>
          <w:szCs w:val="24"/>
        </w:rPr>
        <w:lastRenderedPageBreak/>
        <w:t>over</w:t>
      </w:r>
      <w:r w:rsidR="00E51204" w:rsidRPr="00020413">
        <w:rPr>
          <w:rFonts w:ascii="Times New Roman" w:hAnsi="Times New Roman"/>
          <w:sz w:val="24"/>
          <w:szCs w:val="24"/>
        </w:rPr>
        <w:t>-</w:t>
      </w:r>
      <w:r w:rsidR="002444C6" w:rsidRPr="00020413">
        <w:rPr>
          <w:rFonts w:ascii="Times New Roman" w:hAnsi="Times New Roman"/>
          <w:sz w:val="24"/>
          <w:szCs w:val="24"/>
        </w:rPr>
        <w:t xml:space="preserve">identifying restrictions. </w:t>
      </w:r>
      <w:r w:rsidR="00CF644C" w:rsidRPr="00020413">
        <w:rPr>
          <w:rFonts w:ascii="Times New Roman" w:hAnsi="Times New Roman"/>
          <w:sz w:val="24"/>
          <w:szCs w:val="24"/>
        </w:rPr>
        <w:t>Finally, we correct the standard errors for finite sample bias using the two-step covariance m</w:t>
      </w:r>
      <w:r w:rsidR="00365F84" w:rsidRPr="00020413">
        <w:rPr>
          <w:rFonts w:ascii="Times New Roman" w:hAnsi="Times New Roman"/>
          <w:sz w:val="24"/>
          <w:szCs w:val="24"/>
        </w:rPr>
        <w:t>atrix proposed by Windmeijer (2005).</w:t>
      </w:r>
    </w:p>
    <w:p w:rsidR="00017477" w:rsidRPr="00020413" w:rsidRDefault="00017477" w:rsidP="004A3C5F">
      <w:pPr>
        <w:spacing w:after="0" w:line="360" w:lineRule="auto"/>
        <w:jc w:val="both"/>
        <w:rPr>
          <w:rFonts w:ascii="Times New Roman" w:hAnsi="Times New Roman"/>
          <w:sz w:val="24"/>
          <w:szCs w:val="24"/>
        </w:rPr>
      </w:pPr>
    </w:p>
    <w:p w:rsidR="00A651BC" w:rsidRPr="00020413" w:rsidRDefault="001115AB" w:rsidP="004A3C5F">
      <w:pPr>
        <w:spacing w:after="0" w:line="360" w:lineRule="auto"/>
        <w:jc w:val="both"/>
        <w:rPr>
          <w:rFonts w:ascii="Times New Roman" w:hAnsi="Times New Roman"/>
          <w:b/>
          <w:sz w:val="24"/>
          <w:szCs w:val="24"/>
        </w:rPr>
      </w:pPr>
      <w:r w:rsidRPr="00020413">
        <w:rPr>
          <w:rFonts w:ascii="Times New Roman" w:hAnsi="Times New Roman"/>
          <w:b/>
          <w:sz w:val="24"/>
          <w:szCs w:val="24"/>
        </w:rPr>
        <w:t>4</w:t>
      </w:r>
      <w:r w:rsidR="00A651BC" w:rsidRPr="00020413">
        <w:rPr>
          <w:rFonts w:ascii="Times New Roman" w:hAnsi="Times New Roman"/>
          <w:b/>
          <w:sz w:val="24"/>
          <w:szCs w:val="24"/>
        </w:rPr>
        <w:t xml:space="preserve">. Results and </w:t>
      </w:r>
      <w:r w:rsidR="00690EA3" w:rsidRPr="00020413">
        <w:rPr>
          <w:rFonts w:ascii="Times New Roman" w:hAnsi="Times New Roman"/>
          <w:b/>
          <w:sz w:val="24"/>
          <w:szCs w:val="24"/>
        </w:rPr>
        <w:t>d</w:t>
      </w:r>
      <w:r w:rsidR="00A651BC" w:rsidRPr="00020413">
        <w:rPr>
          <w:rFonts w:ascii="Times New Roman" w:hAnsi="Times New Roman"/>
          <w:b/>
          <w:sz w:val="24"/>
          <w:szCs w:val="24"/>
        </w:rPr>
        <w:t>iscussion</w:t>
      </w:r>
    </w:p>
    <w:p w:rsidR="00DE0745" w:rsidRPr="00020413" w:rsidRDefault="00DE0745"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This section presents the estimation results of the paper. We first present </w:t>
      </w:r>
      <w:r w:rsidR="00306927" w:rsidRPr="00020413">
        <w:rPr>
          <w:rFonts w:ascii="Times New Roman" w:hAnsi="Times New Roman"/>
          <w:sz w:val="24"/>
          <w:szCs w:val="24"/>
        </w:rPr>
        <w:t xml:space="preserve">the </w:t>
      </w:r>
      <w:r w:rsidRPr="00020413">
        <w:rPr>
          <w:rFonts w:ascii="Times New Roman" w:hAnsi="Times New Roman"/>
          <w:sz w:val="24"/>
          <w:szCs w:val="24"/>
        </w:rPr>
        <w:t>results for our baseline models</w:t>
      </w:r>
      <w:r w:rsidR="00CB2539" w:rsidRPr="00020413">
        <w:rPr>
          <w:rFonts w:ascii="Times New Roman" w:hAnsi="Times New Roman"/>
          <w:sz w:val="24"/>
          <w:szCs w:val="24"/>
        </w:rPr>
        <w:t>,</w:t>
      </w:r>
      <w:r w:rsidRPr="00020413">
        <w:rPr>
          <w:rFonts w:ascii="Times New Roman" w:hAnsi="Times New Roman"/>
          <w:sz w:val="24"/>
          <w:szCs w:val="24"/>
        </w:rPr>
        <w:t xml:space="preserve"> where </w:t>
      </w:r>
      <w:r w:rsidR="000741E0" w:rsidRPr="00020413">
        <w:rPr>
          <w:rFonts w:ascii="Times New Roman" w:hAnsi="Times New Roman"/>
          <w:sz w:val="24"/>
          <w:szCs w:val="24"/>
        </w:rPr>
        <w:t>loan default</w:t>
      </w:r>
      <w:r w:rsidR="00262D41" w:rsidRPr="00020413">
        <w:rPr>
          <w:rFonts w:ascii="Times New Roman" w:hAnsi="Times New Roman"/>
          <w:sz w:val="24"/>
          <w:szCs w:val="24"/>
        </w:rPr>
        <w:t xml:space="preserve"> </w:t>
      </w:r>
      <w:r w:rsidR="001F5873" w:rsidRPr="00020413">
        <w:rPr>
          <w:rFonts w:ascii="Times New Roman" w:hAnsi="Times New Roman"/>
          <w:sz w:val="24"/>
          <w:szCs w:val="24"/>
        </w:rPr>
        <w:t>rate</w:t>
      </w:r>
      <w:r w:rsidRPr="00020413">
        <w:rPr>
          <w:rFonts w:ascii="Times New Roman" w:hAnsi="Times New Roman"/>
          <w:sz w:val="24"/>
          <w:szCs w:val="24"/>
        </w:rPr>
        <w:t xml:space="preserve"> is explained by credit information sharing (</w:t>
      </w:r>
      <w:r w:rsidR="00003E25" w:rsidRPr="00020413">
        <w:rPr>
          <w:rFonts w:ascii="Times New Roman" w:hAnsi="Times New Roman"/>
          <w:sz w:val="24"/>
          <w:szCs w:val="24"/>
        </w:rPr>
        <w:t>Table</w:t>
      </w:r>
      <w:r w:rsidR="00E411C4" w:rsidRPr="00020413">
        <w:rPr>
          <w:rFonts w:ascii="Times New Roman" w:hAnsi="Times New Roman"/>
          <w:sz w:val="24"/>
          <w:szCs w:val="24"/>
        </w:rPr>
        <w:t>s</w:t>
      </w:r>
      <w:r w:rsidR="00003E25" w:rsidRPr="00020413">
        <w:rPr>
          <w:rFonts w:ascii="Times New Roman" w:hAnsi="Times New Roman"/>
          <w:sz w:val="24"/>
          <w:szCs w:val="24"/>
        </w:rPr>
        <w:t xml:space="preserve"> 3</w:t>
      </w:r>
      <w:r w:rsidR="00E411C4" w:rsidRPr="00020413">
        <w:rPr>
          <w:rFonts w:ascii="Times New Roman" w:hAnsi="Times New Roman"/>
          <w:sz w:val="24"/>
          <w:szCs w:val="24"/>
        </w:rPr>
        <w:t xml:space="preserve"> and 4</w:t>
      </w:r>
      <w:r w:rsidR="00003E25" w:rsidRPr="00020413">
        <w:rPr>
          <w:rFonts w:ascii="Times New Roman" w:hAnsi="Times New Roman"/>
          <w:sz w:val="24"/>
          <w:szCs w:val="24"/>
        </w:rPr>
        <w:t>).</w:t>
      </w:r>
      <w:r w:rsidRPr="00020413">
        <w:rPr>
          <w:rFonts w:ascii="Times New Roman" w:hAnsi="Times New Roman"/>
          <w:sz w:val="24"/>
          <w:szCs w:val="24"/>
        </w:rPr>
        <w:t xml:space="preserve"> We then follow this up by conditioning the effect of credit information sharing </w:t>
      </w:r>
      <w:r w:rsidR="00694D06" w:rsidRPr="00020413">
        <w:rPr>
          <w:rFonts w:ascii="Times New Roman" w:hAnsi="Times New Roman"/>
          <w:sz w:val="24"/>
          <w:szCs w:val="24"/>
        </w:rPr>
        <w:t xml:space="preserve">individually </w:t>
      </w:r>
      <w:r w:rsidRPr="00020413">
        <w:rPr>
          <w:rFonts w:ascii="Times New Roman" w:hAnsi="Times New Roman"/>
          <w:sz w:val="24"/>
          <w:szCs w:val="24"/>
        </w:rPr>
        <w:t>o</w:t>
      </w:r>
      <w:r w:rsidR="00694D06" w:rsidRPr="00020413">
        <w:rPr>
          <w:rFonts w:ascii="Times New Roman" w:hAnsi="Times New Roman"/>
          <w:sz w:val="24"/>
          <w:szCs w:val="24"/>
        </w:rPr>
        <w:t>n banking market concentration (</w:t>
      </w:r>
      <w:r w:rsidR="005D1B85" w:rsidRPr="00020413">
        <w:rPr>
          <w:rFonts w:ascii="Times New Roman" w:hAnsi="Times New Roman"/>
          <w:sz w:val="24"/>
          <w:szCs w:val="24"/>
        </w:rPr>
        <w:t xml:space="preserve">in </w:t>
      </w:r>
      <w:r w:rsidR="00694D06" w:rsidRPr="00020413">
        <w:rPr>
          <w:rFonts w:ascii="Times New Roman" w:hAnsi="Times New Roman"/>
          <w:sz w:val="24"/>
          <w:szCs w:val="24"/>
        </w:rPr>
        <w:t>Table</w:t>
      </w:r>
      <w:r w:rsidR="00F10C46" w:rsidRPr="00020413">
        <w:rPr>
          <w:rFonts w:ascii="Times New Roman" w:hAnsi="Times New Roman"/>
          <w:sz w:val="24"/>
          <w:szCs w:val="24"/>
        </w:rPr>
        <w:t>s</w:t>
      </w:r>
      <w:r w:rsidR="00694D06" w:rsidRPr="00020413">
        <w:rPr>
          <w:rFonts w:ascii="Times New Roman" w:hAnsi="Times New Roman"/>
          <w:sz w:val="24"/>
          <w:szCs w:val="24"/>
        </w:rPr>
        <w:t xml:space="preserve"> </w:t>
      </w:r>
      <w:r w:rsidR="005A722C" w:rsidRPr="00020413">
        <w:rPr>
          <w:rFonts w:ascii="Times New Roman" w:hAnsi="Times New Roman"/>
          <w:sz w:val="24"/>
          <w:szCs w:val="24"/>
        </w:rPr>
        <w:t>5</w:t>
      </w:r>
      <w:r w:rsidR="00F10C46" w:rsidRPr="00020413">
        <w:rPr>
          <w:rFonts w:ascii="Times New Roman" w:hAnsi="Times New Roman"/>
          <w:sz w:val="24"/>
          <w:szCs w:val="24"/>
        </w:rPr>
        <w:t xml:space="preserve"> and</w:t>
      </w:r>
      <w:r w:rsidR="005D1B85" w:rsidRPr="00020413">
        <w:rPr>
          <w:rFonts w:ascii="Times New Roman" w:hAnsi="Times New Roman"/>
          <w:sz w:val="24"/>
          <w:szCs w:val="24"/>
        </w:rPr>
        <w:t xml:space="preserve"> 6</w:t>
      </w:r>
      <w:r w:rsidR="00694D06" w:rsidRPr="00020413">
        <w:rPr>
          <w:rFonts w:ascii="Times New Roman" w:hAnsi="Times New Roman"/>
          <w:sz w:val="24"/>
          <w:szCs w:val="24"/>
        </w:rPr>
        <w:t xml:space="preserve">) and </w:t>
      </w:r>
      <w:r w:rsidR="005D1B85" w:rsidRPr="00020413">
        <w:rPr>
          <w:rFonts w:ascii="Times New Roman" w:hAnsi="Times New Roman"/>
          <w:sz w:val="24"/>
          <w:szCs w:val="24"/>
        </w:rPr>
        <w:t xml:space="preserve">national </w:t>
      </w:r>
      <w:r w:rsidRPr="00020413">
        <w:rPr>
          <w:rFonts w:ascii="Times New Roman" w:hAnsi="Times New Roman"/>
          <w:sz w:val="24"/>
          <w:szCs w:val="24"/>
        </w:rPr>
        <w:t>governanc</w:t>
      </w:r>
      <w:r w:rsidR="00694D06" w:rsidRPr="00020413">
        <w:rPr>
          <w:rFonts w:ascii="Times New Roman" w:hAnsi="Times New Roman"/>
          <w:sz w:val="24"/>
          <w:szCs w:val="24"/>
        </w:rPr>
        <w:t xml:space="preserve">e </w:t>
      </w:r>
      <w:r w:rsidR="005D1B85" w:rsidRPr="00020413">
        <w:rPr>
          <w:rFonts w:ascii="Times New Roman" w:hAnsi="Times New Roman"/>
          <w:sz w:val="24"/>
          <w:szCs w:val="24"/>
        </w:rPr>
        <w:t xml:space="preserve">quality </w:t>
      </w:r>
      <w:r w:rsidR="00694D06" w:rsidRPr="00020413">
        <w:rPr>
          <w:rFonts w:ascii="Times New Roman" w:hAnsi="Times New Roman"/>
          <w:sz w:val="24"/>
          <w:szCs w:val="24"/>
        </w:rPr>
        <w:t>(</w:t>
      </w:r>
      <w:r w:rsidR="005D1B85" w:rsidRPr="00020413">
        <w:rPr>
          <w:rFonts w:ascii="Times New Roman" w:hAnsi="Times New Roman"/>
          <w:sz w:val="24"/>
          <w:szCs w:val="24"/>
        </w:rPr>
        <w:t xml:space="preserve">in </w:t>
      </w:r>
      <w:r w:rsidR="00694D06" w:rsidRPr="00020413">
        <w:rPr>
          <w:rFonts w:ascii="Times New Roman" w:hAnsi="Times New Roman"/>
          <w:sz w:val="24"/>
          <w:szCs w:val="24"/>
        </w:rPr>
        <w:t>Table</w:t>
      </w:r>
      <w:r w:rsidRPr="00020413">
        <w:rPr>
          <w:rFonts w:ascii="Times New Roman" w:hAnsi="Times New Roman"/>
          <w:sz w:val="24"/>
          <w:szCs w:val="24"/>
        </w:rPr>
        <w:t xml:space="preserve"> </w:t>
      </w:r>
      <w:r w:rsidR="00F10C46" w:rsidRPr="00020413">
        <w:rPr>
          <w:rFonts w:ascii="Times New Roman" w:hAnsi="Times New Roman"/>
          <w:sz w:val="24"/>
          <w:szCs w:val="24"/>
        </w:rPr>
        <w:t>7</w:t>
      </w:r>
      <w:r w:rsidR="00694D06" w:rsidRPr="00020413">
        <w:rPr>
          <w:rFonts w:ascii="Times New Roman" w:hAnsi="Times New Roman"/>
          <w:sz w:val="24"/>
          <w:szCs w:val="24"/>
        </w:rPr>
        <w:t>).</w:t>
      </w:r>
      <w:r w:rsidRPr="00020413">
        <w:rPr>
          <w:rFonts w:ascii="Times New Roman" w:hAnsi="Times New Roman"/>
          <w:sz w:val="24"/>
          <w:szCs w:val="24"/>
        </w:rPr>
        <w:t xml:space="preserve"> We further subject ou</w:t>
      </w:r>
      <w:r w:rsidR="005D1B85" w:rsidRPr="00020413">
        <w:rPr>
          <w:rFonts w:ascii="Times New Roman" w:hAnsi="Times New Roman"/>
          <w:sz w:val="24"/>
          <w:szCs w:val="24"/>
        </w:rPr>
        <w:t>r</w:t>
      </w:r>
      <w:r w:rsidRPr="00020413">
        <w:rPr>
          <w:rFonts w:ascii="Times New Roman" w:hAnsi="Times New Roman"/>
          <w:sz w:val="24"/>
          <w:szCs w:val="24"/>
        </w:rPr>
        <w:t xml:space="preserve"> results to</w:t>
      </w:r>
      <w:r w:rsidR="00694D06" w:rsidRPr="00020413">
        <w:rPr>
          <w:rFonts w:ascii="Times New Roman" w:hAnsi="Times New Roman"/>
          <w:sz w:val="24"/>
          <w:szCs w:val="24"/>
        </w:rPr>
        <w:t xml:space="preserve"> a </w:t>
      </w:r>
      <w:r w:rsidR="007C2046" w:rsidRPr="00020413">
        <w:rPr>
          <w:rFonts w:ascii="Times New Roman" w:hAnsi="Times New Roman"/>
          <w:sz w:val="24"/>
          <w:szCs w:val="24"/>
        </w:rPr>
        <w:t xml:space="preserve">range </w:t>
      </w:r>
      <w:r w:rsidR="00694D06" w:rsidRPr="00020413">
        <w:rPr>
          <w:rFonts w:ascii="Times New Roman" w:hAnsi="Times New Roman"/>
          <w:sz w:val="24"/>
          <w:szCs w:val="24"/>
        </w:rPr>
        <w:t xml:space="preserve">of robustness tests </w:t>
      </w:r>
      <w:r w:rsidR="005D1B85" w:rsidRPr="00020413">
        <w:rPr>
          <w:rFonts w:ascii="Times New Roman" w:hAnsi="Times New Roman"/>
          <w:sz w:val="24"/>
          <w:szCs w:val="24"/>
        </w:rPr>
        <w:t xml:space="preserve">in </w:t>
      </w:r>
      <w:r w:rsidR="00694D06" w:rsidRPr="00020413">
        <w:rPr>
          <w:rFonts w:ascii="Times New Roman" w:hAnsi="Times New Roman"/>
          <w:sz w:val="24"/>
          <w:szCs w:val="24"/>
        </w:rPr>
        <w:t xml:space="preserve">Tables </w:t>
      </w:r>
      <w:r w:rsidR="00BC2A7C" w:rsidRPr="00020413">
        <w:rPr>
          <w:rFonts w:ascii="Times New Roman" w:hAnsi="Times New Roman"/>
          <w:sz w:val="24"/>
          <w:szCs w:val="24"/>
        </w:rPr>
        <w:t>8</w:t>
      </w:r>
      <w:r w:rsidR="001E5A05" w:rsidRPr="00020413">
        <w:rPr>
          <w:rFonts w:ascii="Times New Roman" w:hAnsi="Times New Roman"/>
          <w:sz w:val="24"/>
          <w:szCs w:val="24"/>
        </w:rPr>
        <w:t xml:space="preserve"> and </w:t>
      </w:r>
      <w:r w:rsidR="00BC2A7C" w:rsidRPr="00020413">
        <w:rPr>
          <w:rFonts w:ascii="Times New Roman" w:hAnsi="Times New Roman"/>
          <w:sz w:val="24"/>
          <w:szCs w:val="24"/>
        </w:rPr>
        <w:t>9</w:t>
      </w:r>
      <w:r w:rsidR="00A53174" w:rsidRPr="00020413">
        <w:rPr>
          <w:rFonts w:ascii="Times New Roman" w:hAnsi="Times New Roman"/>
          <w:sz w:val="24"/>
          <w:szCs w:val="24"/>
        </w:rPr>
        <w:t xml:space="preserve">. </w:t>
      </w:r>
      <w:r w:rsidR="00C5689F" w:rsidRPr="00020413">
        <w:rPr>
          <w:rFonts w:ascii="Times New Roman" w:hAnsi="Times New Roman"/>
          <w:sz w:val="24"/>
          <w:szCs w:val="24"/>
        </w:rPr>
        <w:t>We</w:t>
      </w:r>
      <w:r w:rsidR="00F06B5A" w:rsidRPr="00020413">
        <w:rPr>
          <w:rFonts w:ascii="Times New Roman" w:hAnsi="Times New Roman"/>
          <w:sz w:val="24"/>
          <w:szCs w:val="24"/>
        </w:rPr>
        <w:t xml:space="preserve"> </w:t>
      </w:r>
      <w:r w:rsidR="00111E79" w:rsidRPr="00020413">
        <w:rPr>
          <w:rFonts w:ascii="Times New Roman" w:hAnsi="Times New Roman"/>
          <w:sz w:val="24"/>
          <w:szCs w:val="24"/>
        </w:rPr>
        <w:t xml:space="preserve">restrict the </w:t>
      </w:r>
      <w:r w:rsidR="006E1DC8" w:rsidRPr="00020413">
        <w:rPr>
          <w:rFonts w:ascii="Times New Roman" w:hAnsi="Times New Roman"/>
          <w:sz w:val="24"/>
          <w:szCs w:val="24"/>
        </w:rPr>
        <w:t>maximum lag</w:t>
      </w:r>
      <w:r w:rsidR="00F96AC8" w:rsidRPr="00020413">
        <w:rPr>
          <w:rFonts w:ascii="Times New Roman" w:hAnsi="Times New Roman"/>
          <w:sz w:val="24"/>
          <w:szCs w:val="24"/>
        </w:rPr>
        <w:t>-</w:t>
      </w:r>
      <w:r w:rsidR="006E1DC8" w:rsidRPr="00020413">
        <w:rPr>
          <w:rFonts w:ascii="Times New Roman" w:hAnsi="Times New Roman"/>
          <w:sz w:val="24"/>
          <w:szCs w:val="24"/>
        </w:rPr>
        <w:t xml:space="preserve">dependent variable </w:t>
      </w:r>
      <w:r w:rsidR="00111E79" w:rsidRPr="00020413">
        <w:rPr>
          <w:rFonts w:ascii="Times New Roman" w:hAnsi="Times New Roman"/>
          <w:sz w:val="24"/>
          <w:szCs w:val="24"/>
        </w:rPr>
        <w:t>to</w:t>
      </w:r>
      <w:r w:rsidR="001E5A05" w:rsidRPr="00020413">
        <w:rPr>
          <w:rFonts w:ascii="Times New Roman" w:hAnsi="Times New Roman"/>
          <w:sz w:val="24"/>
          <w:szCs w:val="24"/>
        </w:rPr>
        <w:t xml:space="preserve"> 1 since</w:t>
      </w:r>
      <w:r w:rsidR="006E1DC8" w:rsidRPr="00020413">
        <w:rPr>
          <w:rFonts w:ascii="Times New Roman" w:hAnsi="Times New Roman"/>
          <w:sz w:val="24"/>
          <w:szCs w:val="24"/>
        </w:rPr>
        <w:t xml:space="preserve"> we seek to reduce the number of moment conditions.</w:t>
      </w:r>
      <w:r w:rsidR="00F06B5A" w:rsidRPr="00020413">
        <w:rPr>
          <w:rFonts w:ascii="Times New Roman" w:hAnsi="Times New Roman"/>
          <w:sz w:val="24"/>
          <w:szCs w:val="24"/>
        </w:rPr>
        <w:t xml:space="preserve"> </w:t>
      </w:r>
      <w:r w:rsidR="00142771" w:rsidRPr="00020413">
        <w:rPr>
          <w:rFonts w:ascii="Times New Roman" w:hAnsi="Times New Roman"/>
          <w:sz w:val="24"/>
          <w:szCs w:val="24"/>
        </w:rPr>
        <w:t xml:space="preserve">As can be seen in </w:t>
      </w:r>
      <w:r w:rsidR="00475A9D" w:rsidRPr="00020413">
        <w:rPr>
          <w:rFonts w:ascii="Times New Roman" w:hAnsi="Times New Roman"/>
          <w:sz w:val="24"/>
          <w:szCs w:val="24"/>
        </w:rPr>
        <w:t>T</w:t>
      </w:r>
      <w:r w:rsidR="00142771" w:rsidRPr="00020413">
        <w:rPr>
          <w:rFonts w:ascii="Times New Roman" w:hAnsi="Times New Roman"/>
          <w:sz w:val="24"/>
          <w:szCs w:val="24"/>
        </w:rPr>
        <w:t>ables</w:t>
      </w:r>
      <w:r w:rsidR="001E5A05" w:rsidRPr="00020413">
        <w:rPr>
          <w:rFonts w:ascii="Times New Roman" w:hAnsi="Times New Roman"/>
          <w:sz w:val="24"/>
          <w:szCs w:val="24"/>
        </w:rPr>
        <w:t xml:space="preserve"> 3</w:t>
      </w:r>
      <w:r w:rsidR="00475A9D" w:rsidRPr="00020413">
        <w:rPr>
          <w:rFonts w:ascii="Times New Roman" w:hAnsi="Times New Roman"/>
          <w:sz w:val="24"/>
          <w:szCs w:val="24"/>
        </w:rPr>
        <w:t xml:space="preserve"> to </w:t>
      </w:r>
      <w:r w:rsidR="001E5A05" w:rsidRPr="00020413">
        <w:rPr>
          <w:rFonts w:ascii="Times New Roman" w:hAnsi="Times New Roman"/>
          <w:sz w:val="24"/>
          <w:szCs w:val="24"/>
        </w:rPr>
        <w:t>9</w:t>
      </w:r>
      <w:r w:rsidR="00142771" w:rsidRPr="00020413">
        <w:rPr>
          <w:rFonts w:ascii="Times New Roman" w:hAnsi="Times New Roman"/>
          <w:sz w:val="24"/>
          <w:szCs w:val="24"/>
        </w:rPr>
        <w:t>, t</w:t>
      </w:r>
      <w:r w:rsidR="006E1DC8" w:rsidRPr="00020413">
        <w:rPr>
          <w:rFonts w:ascii="Times New Roman" w:hAnsi="Times New Roman"/>
          <w:sz w:val="24"/>
          <w:szCs w:val="24"/>
        </w:rPr>
        <w:t>he lag</w:t>
      </w:r>
      <w:r w:rsidR="00010450" w:rsidRPr="00020413">
        <w:rPr>
          <w:rFonts w:ascii="Times New Roman" w:hAnsi="Times New Roman"/>
          <w:sz w:val="24"/>
          <w:szCs w:val="24"/>
        </w:rPr>
        <w:t>ged</w:t>
      </w:r>
      <w:r w:rsidR="006E1DC8" w:rsidRPr="00020413">
        <w:rPr>
          <w:rFonts w:ascii="Times New Roman" w:hAnsi="Times New Roman"/>
          <w:sz w:val="24"/>
          <w:szCs w:val="24"/>
        </w:rPr>
        <w:t xml:space="preserve"> dependent variables do enter all regressions with statistically </w:t>
      </w:r>
      <w:r w:rsidR="00111E79" w:rsidRPr="00020413">
        <w:rPr>
          <w:rFonts w:ascii="Times New Roman" w:hAnsi="Times New Roman"/>
          <w:sz w:val="24"/>
          <w:szCs w:val="24"/>
        </w:rPr>
        <w:t>significant</w:t>
      </w:r>
      <w:r w:rsidR="006E1DC8" w:rsidRPr="00020413">
        <w:rPr>
          <w:rFonts w:ascii="Times New Roman" w:hAnsi="Times New Roman"/>
          <w:sz w:val="24"/>
          <w:szCs w:val="24"/>
        </w:rPr>
        <w:t xml:space="preserve"> coefficients, justifying the use of </w:t>
      </w:r>
      <w:r w:rsidR="00F96AC8" w:rsidRPr="00020413">
        <w:rPr>
          <w:rFonts w:ascii="Times New Roman" w:hAnsi="Times New Roman"/>
          <w:sz w:val="24"/>
          <w:szCs w:val="24"/>
        </w:rPr>
        <w:t xml:space="preserve">a </w:t>
      </w:r>
      <w:r w:rsidR="006E1DC8" w:rsidRPr="00020413">
        <w:rPr>
          <w:rFonts w:ascii="Times New Roman" w:hAnsi="Times New Roman"/>
          <w:sz w:val="24"/>
          <w:szCs w:val="24"/>
        </w:rPr>
        <w:t>dynamic model approach in our estimation.</w:t>
      </w:r>
      <w:r w:rsidR="008247B6" w:rsidRPr="00020413">
        <w:rPr>
          <w:rFonts w:ascii="Times New Roman" w:hAnsi="Times New Roman"/>
          <w:sz w:val="24"/>
          <w:szCs w:val="24"/>
        </w:rPr>
        <w:t xml:space="preserve"> The Hansen test </w:t>
      </w:r>
      <w:r w:rsidR="008247B6" w:rsidRPr="00020413">
        <w:rPr>
          <w:rFonts w:ascii="Times New Roman" w:hAnsi="Times New Roman"/>
          <w:i/>
          <w:sz w:val="24"/>
          <w:szCs w:val="24"/>
        </w:rPr>
        <w:t>p</w:t>
      </w:r>
      <w:r w:rsidR="008247B6" w:rsidRPr="00020413">
        <w:rPr>
          <w:rFonts w:ascii="Times New Roman" w:hAnsi="Times New Roman"/>
          <w:sz w:val="24"/>
          <w:szCs w:val="24"/>
        </w:rPr>
        <w:t xml:space="preserve">-values are all above </w:t>
      </w:r>
      <w:r w:rsidR="0063032F" w:rsidRPr="00020413">
        <w:rPr>
          <w:rFonts w:ascii="Times New Roman" w:hAnsi="Times New Roman"/>
          <w:sz w:val="24"/>
          <w:szCs w:val="24"/>
        </w:rPr>
        <w:t>0.</w:t>
      </w:r>
      <w:r w:rsidR="008247B6" w:rsidRPr="00020413">
        <w:rPr>
          <w:rFonts w:ascii="Times New Roman" w:hAnsi="Times New Roman"/>
          <w:sz w:val="24"/>
          <w:szCs w:val="24"/>
        </w:rPr>
        <w:t xml:space="preserve">1, suggesting that the </w:t>
      </w:r>
      <w:r w:rsidR="00E76247" w:rsidRPr="00020413">
        <w:rPr>
          <w:rFonts w:ascii="Times New Roman" w:hAnsi="Times New Roman"/>
          <w:sz w:val="24"/>
          <w:szCs w:val="24"/>
        </w:rPr>
        <w:t>over</w:t>
      </w:r>
      <w:r w:rsidR="00CB2539" w:rsidRPr="00020413">
        <w:rPr>
          <w:rFonts w:ascii="Times New Roman" w:hAnsi="Times New Roman"/>
          <w:sz w:val="24"/>
          <w:szCs w:val="24"/>
        </w:rPr>
        <w:t>-</w:t>
      </w:r>
      <w:r w:rsidR="00E76247" w:rsidRPr="00020413">
        <w:rPr>
          <w:rFonts w:ascii="Times New Roman" w:hAnsi="Times New Roman"/>
          <w:sz w:val="24"/>
          <w:szCs w:val="24"/>
        </w:rPr>
        <w:t>identification</w:t>
      </w:r>
      <w:r w:rsidR="008247B6" w:rsidRPr="00020413">
        <w:rPr>
          <w:rFonts w:ascii="Times New Roman" w:hAnsi="Times New Roman"/>
          <w:sz w:val="24"/>
          <w:szCs w:val="24"/>
        </w:rPr>
        <w:t xml:space="preserve"> restrictions are valid. Finally, we cannot reject the absence of second-order serial </w:t>
      </w:r>
      <w:r w:rsidR="00111E79" w:rsidRPr="00020413">
        <w:rPr>
          <w:rFonts w:ascii="Times New Roman" w:hAnsi="Times New Roman"/>
          <w:sz w:val="24"/>
          <w:szCs w:val="24"/>
        </w:rPr>
        <w:t xml:space="preserve">correlation in our models, </w:t>
      </w:r>
      <w:r w:rsidR="00142771" w:rsidRPr="00020413">
        <w:rPr>
          <w:rFonts w:ascii="Times New Roman" w:hAnsi="Times New Roman"/>
          <w:sz w:val="24"/>
          <w:szCs w:val="24"/>
        </w:rPr>
        <w:t>which is further evidence that</w:t>
      </w:r>
      <w:r w:rsidR="00562713" w:rsidRPr="00020413">
        <w:rPr>
          <w:rFonts w:ascii="Times New Roman" w:hAnsi="Times New Roman"/>
          <w:sz w:val="24"/>
          <w:szCs w:val="24"/>
        </w:rPr>
        <w:t xml:space="preserve"> </w:t>
      </w:r>
      <w:r w:rsidR="00111E79" w:rsidRPr="00020413">
        <w:rPr>
          <w:rFonts w:ascii="Times New Roman" w:hAnsi="Times New Roman"/>
          <w:sz w:val="24"/>
          <w:szCs w:val="24"/>
        </w:rPr>
        <w:t xml:space="preserve">our use of </w:t>
      </w:r>
      <w:r w:rsidR="00F96AC8" w:rsidRPr="00020413">
        <w:rPr>
          <w:rFonts w:ascii="Times New Roman" w:hAnsi="Times New Roman"/>
          <w:sz w:val="24"/>
          <w:szCs w:val="24"/>
        </w:rPr>
        <w:t xml:space="preserve">a </w:t>
      </w:r>
      <w:r w:rsidR="00111E79" w:rsidRPr="00020413">
        <w:rPr>
          <w:rFonts w:ascii="Times New Roman" w:hAnsi="Times New Roman"/>
          <w:sz w:val="24"/>
          <w:szCs w:val="24"/>
        </w:rPr>
        <w:t>dynamic model is appropriate.</w:t>
      </w:r>
    </w:p>
    <w:p w:rsidR="00C927BA" w:rsidRPr="00020413" w:rsidRDefault="00C927BA" w:rsidP="00D55D24">
      <w:pPr>
        <w:spacing w:after="120" w:line="360" w:lineRule="auto"/>
        <w:jc w:val="both"/>
        <w:rPr>
          <w:rFonts w:ascii="Times New Roman" w:hAnsi="Times New Roman"/>
          <w:sz w:val="24"/>
          <w:szCs w:val="24"/>
        </w:rPr>
      </w:pPr>
    </w:p>
    <w:p w:rsidR="00DE0745" w:rsidRPr="00020413" w:rsidRDefault="001115AB" w:rsidP="004A3C5F">
      <w:pPr>
        <w:spacing w:after="0" w:line="360" w:lineRule="auto"/>
        <w:jc w:val="both"/>
        <w:rPr>
          <w:rFonts w:ascii="Times New Roman" w:hAnsi="Times New Roman"/>
          <w:b/>
          <w:sz w:val="24"/>
          <w:szCs w:val="24"/>
        </w:rPr>
      </w:pPr>
      <w:r w:rsidRPr="00020413">
        <w:rPr>
          <w:rFonts w:ascii="Times New Roman" w:hAnsi="Times New Roman"/>
          <w:b/>
          <w:sz w:val="24"/>
          <w:szCs w:val="24"/>
        </w:rPr>
        <w:t>4</w:t>
      </w:r>
      <w:r w:rsidR="00DE0745" w:rsidRPr="00020413">
        <w:rPr>
          <w:rFonts w:ascii="Times New Roman" w:hAnsi="Times New Roman"/>
          <w:b/>
          <w:sz w:val="24"/>
          <w:szCs w:val="24"/>
        </w:rPr>
        <w:t>.1 Credit information sharing</w:t>
      </w:r>
      <w:r w:rsidR="00160491" w:rsidRPr="00020413">
        <w:rPr>
          <w:rFonts w:ascii="Times New Roman" w:hAnsi="Times New Roman"/>
          <w:b/>
          <w:sz w:val="24"/>
          <w:szCs w:val="24"/>
        </w:rPr>
        <w:t xml:space="preserve"> and </w:t>
      </w:r>
      <w:r w:rsidR="00E70A88" w:rsidRPr="00020413">
        <w:rPr>
          <w:rFonts w:ascii="Times New Roman" w:hAnsi="Times New Roman"/>
          <w:b/>
          <w:sz w:val="24"/>
          <w:szCs w:val="24"/>
        </w:rPr>
        <w:t xml:space="preserve">loan </w:t>
      </w:r>
      <w:r w:rsidR="00262D41" w:rsidRPr="00020413">
        <w:rPr>
          <w:rFonts w:ascii="Times New Roman" w:hAnsi="Times New Roman"/>
          <w:b/>
          <w:sz w:val="24"/>
          <w:szCs w:val="24"/>
        </w:rPr>
        <w:t>default rates</w:t>
      </w:r>
    </w:p>
    <w:p w:rsidR="00923296" w:rsidRPr="00020413" w:rsidRDefault="00E51204" w:rsidP="00D55D24">
      <w:pPr>
        <w:spacing w:after="120" w:line="360" w:lineRule="auto"/>
        <w:jc w:val="both"/>
        <w:rPr>
          <w:rFonts w:ascii="Times New Roman" w:hAnsi="Times New Roman"/>
          <w:sz w:val="24"/>
          <w:szCs w:val="24"/>
        </w:rPr>
      </w:pPr>
      <w:r w:rsidRPr="00020413">
        <w:rPr>
          <w:rFonts w:ascii="Times New Roman" w:hAnsi="Times New Roman"/>
          <w:sz w:val="24"/>
          <w:szCs w:val="24"/>
        </w:rPr>
        <w:t>We present our main findings as follows. First, o</w:t>
      </w:r>
      <w:r w:rsidR="00694D06" w:rsidRPr="00020413">
        <w:rPr>
          <w:rFonts w:ascii="Times New Roman" w:hAnsi="Times New Roman"/>
          <w:sz w:val="24"/>
          <w:szCs w:val="24"/>
        </w:rPr>
        <w:t>ur baseline results</w:t>
      </w:r>
      <w:r w:rsidR="007C2046" w:rsidRPr="00020413">
        <w:rPr>
          <w:rFonts w:ascii="Times New Roman" w:hAnsi="Times New Roman"/>
          <w:sz w:val="24"/>
          <w:szCs w:val="24"/>
        </w:rPr>
        <w:t>,</w:t>
      </w:r>
      <w:r w:rsidR="00694D06" w:rsidRPr="00020413">
        <w:rPr>
          <w:rFonts w:ascii="Times New Roman" w:hAnsi="Times New Roman"/>
          <w:sz w:val="24"/>
          <w:szCs w:val="24"/>
        </w:rPr>
        <w:t xml:space="preserve"> presented in Table 3</w:t>
      </w:r>
      <w:r w:rsidR="007C2046" w:rsidRPr="00020413">
        <w:rPr>
          <w:rFonts w:ascii="Times New Roman" w:hAnsi="Times New Roman"/>
          <w:sz w:val="24"/>
          <w:szCs w:val="24"/>
        </w:rPr>
        <w:t>,</w:t>
      </w:r>
      <w:r w:rsidR="00694D06" w:rsidRPr="00020413">
        <w:rPr>
          <w:rFonts w:ascii="Times New Roman" w:hAnsi="Times New Roman"/>
          <w:sz w:val="24"/>
          <w:szCs w:val="24"/>
        </w:rPr>
        <w:t xml:space="preserve"> suggest that credit infor</w:t>
      </w:r>
      <w:r w:rsidR="00510288" w:rsidRPr="00020413">
        <w:rPr>
          <w:rFonts w:ascii="Times New Roman" w:hAnsi="Times New Roman"/>
          <w:sz w:val="24"/>
          <w:szCs w:val="24"/>
        </w:rPr>
        <w:t xml:space="preserve">mation sharing reduces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694D06" w:rsidRPr="00020413">
        <w:rPr>
          <w:rFonts w:ascii="Times New Roman" w:hAnsi="Times New Roman"/>
          <w:sz w:val="24"/>
          <w:szCs w:val="24"/>
        </w:rPr>
        <w:t>.</w:t>
      </w:r>
      <w:r w:rsidR="00510288" w:rsidRPr="00020413">
        <w:rPr>
          <w:rFonts w:ascii="Times New Roman" w:hAnsi="Times New Roman"/>
          <w:sz w:val="24"/>
          <w:szCs w:val="24"/>
        </w:rPr>
        <w:t xml:space="preserve"> In </w:t>
      </w:r>
      <w:r w:rsidR="00F06B5A" w:rsidRPr="00020413">
        <w:rPr>
          <w:rFonts w:ascii="Times New Roman" w:hAnsi="Times New Roman"/>
          <w:sz w:val="24"/>
          <w:szCs w:val="24"/>
        </w:rPr>
        <w:t>Models 1</w:t>
      </w:r>
      <w:r w:rsidR="003067C2" w:rsidRPr="00020413">
        <w:rPr>
          <w:rFonts w:ascii="Times New Roman" w:hAnsi="Times New Roman"/>
          <w:sz w:val="24"/>
          <w:szCs w:val="24"/>
        </w:rPr>
        <w:t xml:space="preserve"> to </w:t>
      </w:r>
      <w:r w:rsidR="00F06B5A" w:rsidRPr="00020413">
        <w:rPr>
          <w:rFonts w:ascii="Times New Roman" w:hAnsi="Times New Roman"/>
          <w:sz w:val="24"/>
          <w:szCs w:val="24"/>
        </w:rPr>
        <w:t xml:space="preserve">3, we use the depth of credit information </w:t>
      </w:r>
      <w:r w:rsidR="002715D7" w:rsidRPr="00020413">
        <w:rPr>
          <w:rFonts w:ascii="Times New Roman" w:hAnsi="Times New Roman"/>
          <w:sz w:val="24"/>
          <w:szCs w:val="24"/>
        </w:rPr>
        <w:t xml:space="preserve">index </w:t>
      </w:r>
      <w:r w:rsidR="00F06B5A" w:rsidRPr="00020413">
        <w:rPr>
          <w:rFonts w:ascii="Times New Roman" w:hAnsi="Times New Roman"/>
          <w:sz w:val="24"/>
          <w:szCs w:val="24"/>
        </w:rPr>
        <w:t>as our</w:t>
      </w:r>
      <w:r w:rsidR="00510288" w:rsidRPr="00020413">
        <w:rPr>
          <w:rFonts w:ascii="Times New Roman" w:hAnsi="Times New Roman"/>
          <w:sz w:val="24"/>
          <w:szCs w:val="24"/>
        </w:rPr>
        <w:t xml:space="preserve"> </w:t>
      </w:r>
      <w:r w:rsidR="00F06B5A" w:rsidRPr="00020413">
        <w:rPr>
          <w:rFonts w:ascii="Times New Roman" w:hAnsi="Times New Roman"/>
          <w:sz w:val="24"/>
          <w:szCs w:val="24"/>
        </w:rPr>
        <w:t xml:space="preserve">main measure of </w:t>
      </w:r>
      <w:r w:rsidR="0023569D" w:rsidRPr="00020413">
        <w:rPr>
          <w:rFonts w:ascii="Times New Roman" w:hAnsi="Times New Roman"/>
          <w:sz w:val="24"/>
          <w:szCs w:val="24"/>
        </w:rPr>
        <w:t xml:space="preserve">credit </w:t>
      </w:r>
      <w:r w:rsidR="00F06B5A" w:rsidRPr="00020413">
        <w:rPr>
          <w:rFonts w:ascii="Times New Roman" w:hAnsi="Times New Roman"/>
          <w:sz w:val="24"/>
          <w:szCs w:val="24"/>
        </w:rPr>
        <w:t xml:space="preserve">information sharing. We then control </w:t>
      </w:r>
      <w:r w:rsidR="004E1BC2" w:rsidRPr="00020413">
        <w:rPr>
          <w:rFonts w:ascii="Times New Roman" w:hAnsi="Times New Roman"/>
          <w:sz w:val="24"/>
          <w:szCs w:val="24"/>
        </w:rPr>
        <w:t>alternately for</w:t>
      </w:r>
      <w:r w:rsidR="00F06B5A" w:rsidRPr="00020413">
        <w:rPr>
          <w:rFonts w:ascii="Times New Roman" w:hAnsi="Times New Roman"/>
          <w:sz w:val="24"/>
          <w:szCs w:val="24"/>
        </w:rPr>
        <w:t xml:space="preserve"> governance indicators of rule of law</w:t>
      </w:r>
      <w:r w:rsidR="00DB2B36" w:rsidRPr="00020413">
        <w:rPr>
          <w:rFonts w:ascii="Times New Roman" w:hAnsi="Times New Roman"/>
          <w:sz w:val="24"/>
          <w:szCs w:val="24"/>
        </w:rPr>
        <w:t xml:space="preserve"> (</w:t>
      </w:r>
      <w:r w:rsidR="00DB2B36" w:rsidRPr="00020413">
        <w:rPr>
          <w:rFonts w:ascii="Times New Roman" w:hAnsi="Times New Roman"/>
          <w:i/>
          <w:sz w:val="24"/>
          <w:szCs w:val="24"/>
        </w:rPr>
        <w:t>Law</w:t>
      </w:r>
      <w:r w:rsidR="00DB2B36" w:rsidRPr="00020413">
        <w:rPr>
          <w:rFonts w:ascii="Times New Roman" w:hAnsi="Times New Roman"/>
          <w:sz w:val="24"/>
          <w:szCs w:val="24"/>
        </w:rPr>
        <w:t>)</w:t>
      </w:r>
      <w:r w:rsidR="00F06B5A" w:rsidRPr="00020413">
        <w:rPr>
          <w:rFonts w:ascii="Times New Roman" w:hAnsi="Times New Roman"/>
          <w:sz w:val="24"/>
          <w:szCs w:val="24"/>
        </w:rPr>
        <w:t xml:space="preserve">, regulatory quality </w:t>
      </w:r>
      <w:r w:rsidR="005963C0" w:rsidRPr="00020413">
        <w:rPr>
          <w:rFonts w:ascii="Times New Roman" w:hAnsi="Times New Roman"/>
          <w:sz w:val="24"/>
          <w:szCs w:val="24"/>
        </w:rPr>
        <w:t>(</w:t>
      </w:r>
      <w:r w:rsidR="005963C0" w:rsidRPr="00020413">
        <w:rPr>
          <w:rFonts w:ascii="Times New Roman" w:hAnsi="Times New Roman"/>
          <w:i/>
          <w:sz w:val="24"/>
          <w:szCs w:val="24"/>
        </w:rPr>
        <w:t>Regulation</w:t>
      </w:r>
      <w:r w:rsidR="005963C0" w:rsidRPr="00020413">
        <w:rPr>
          <w:rFonts w:ascii="Times New Roman" w:hAnsi="Times New Roman"/>
          <w:sz w:val="24"/>
          <w:szCs w:val="24"/>
        </w:rPr>
        <w:t xml:space="preserve">) </w:t>
      </w:r>
      <w:r w:rsidR="00F06B5A" w:rsidRPr="00020413">
        <w:rPr>
          <w:rFonts w:ascii="Times New Roman" w:hAnsi="Times New Roman"/>
          <w:sz w:val="24"/>
          <w:szCs w:val="24"/>
        </w:rPr>
        <w:t>and control of corruption</w:t>
      </w:r>
      <w:r w:rsidR="005963C0" w:rsidRPr="00020413">
        <w:rPr>
          <w:rFonts w:ascii="Times New Roman" w:hAnsi="Times New Roman"/>
          <w:sz w:val="24"/>
          <w:szCs w:val="24"/>
        </w:rPr>
        <w:t xml:space="preserve"> (</w:t>
      </w:r>
      <w:r w:rsidR="005963C0" w:rsidRPr="00020413">
        <w:rPr>
          <w:rFonts w:ascii="Times New Roman" w:hAnsi="Times New Roman"/>
          <w:i/>
          <w:sz w:val="24"/>
          <w:szCs w:val="24"/>
        </w:rPr>
        <w:t>Control</w:t>
      </w:r>
      <w:r w:rsidR="005963C0" w:rsidRPr="00020413">
        <w:rPr>
          <w:rFonts w:ascii="Times New Roman" w:hAnsi="Times New Roman"/>
          <w:sz w:val="24"/>
          <w:szCs w:val="24"/>
        </w:rPr>
        <w:t>)</w:t>
      </w:r>
      <w:r w:rsidR="00F06B5A" w:rsidRPr="00020413">
        <w:rPr>
          <w:rFonts w:ascii="Times New Roman" w:hAnsi="Times New Roman"/>
          <w:sz w:val="24"/>
          <w:szCs w:val="24"/>
        </w:rPr>
        <w:t>.</w:t>
      </w:r>
      <w:r w:rsidR="00083BDF" w:rsidRPr="00020413">
        <w:rPr>
          <w:rFonts w:ascii="Times New Roman" w:hAnsi="Times New Roman"/>
          <w:sz w:val="24"/>
          <w:szCs w:val="24"/>
        </w:rPr>
        <w:t xml:space="preserve"> It is important to highlight that the governance indicators</w:t>
      </w:r>
      <w:r w:rsidR="00F06B5A" w:rsidRPr="00020413">
        <w:rPr>
          <w:rFonts w:ascii="Times New Roman" w:hAnsi="Times New Roman"/>
          <w:sz w:val="24"/>
          <w:szCs w:val="24"/>
        </w:rPr>
        <w:t xml:space="preserve"> </w:t>
      </w:r>
      <w:r w:rsidR="00083BDF" w:rsidRPr="00020413">
        <w:rPr>
          <w:rFonts w:ascii="Times New Roman" w:hAnsi="Times New Roman"/>
          <w:sz w:val="24"/>
          <w:szCs w:val="24"/>
        </w:rPr>
        <w:t>are not jointly included in the model since they are highly correlated.</w:t>
      </w:r>
      <w:r w:rsidR="00654382" w:rsidRPr="00020413">
        <w:rPr>
          <w:rStyle w:val="FootnoteReference"/>
          <w:rFonts w:ascii="Times New Roman" w:hAnsi="Times New Roman"/>
          <w:sz w:val="24"/>
          <w:szCs w:val="24"/>
        </w:rPr>
        <w:footnoteReference w:id="9"/>
      </w:r>
      <w:r w:rsidR="00083BDF" w:rsidRPr="00020413">
        <w:rPr>
          <w:rFonts w:ascii="Times New Roman" w:hAnsi="Times New Roman"/>
          <w:sz w:val="24"/>
          <w:szCs w:val="24"/>
        </w:rPr>
        <w:t xml:space="preserve"> </w:t>
      </w:r>
      <w:r w:rsidR="00F06B5A" w:rsidRPr="00020413">
        <w:rPr>
          <w:rFonts w:ascii="Times New Roman" w:hAnsi="Times New Roman"/>
          <w:sz w:val="24"/>
          <w:szCs w:val="24"/>
        </w:rPr>
        <w:t>The dep</w:t>
      </w:r>
      <w:r w:rsidR="0023569D" w:rsidRPr="00020413">
        <w:rPr>
          <w:rFonts w:ascii="Times New Roman" w:hAnsi="Times New Roman"/>
          <w:sz w:val="24"/>
          <w:szCs w:val="24"/>
        </w:rPr>
        <w:t>th of credit information index</w:t>
      </w:r>
      <w:r w:rsidR="00F06B5A" w:rsidRPr="00020413">
        <w:rPr>
          <w:rFonts w:ascii="Times New Roman" w:hAnsi="Times New Roman"/>
          <w:sz w:val="24"/>
          <w:szCs w:val="24"/>
        </w:rPr>
        <w:t xml:space="preserve"> enters each of the regressions with a negative sign </w:t>
      </w:r>
      <w:r w:rsidR="00684515" w:rsidRPr="00020413">
        <w:rPr>
          <w:rFonts w:ascii="Times New Roman" w:hAnsi="Times New Roman"/>
          <w:sz w:val="24"/>
          <w:szCs w:val="24"/>
        </w:rPr>
        <w:t xml:space="preserve">and </w:t>
      </w:r>
      <w:r w:rsidR="00F06B5A" w:rsidRPr="00020413">
        <w:rPr>
          <w:rFonts w:ascii="Times New Roman" w:hAnsi="Times New Roman"/>
          <w:sz w:val="24"/>
          <w:szCs w:val="24"/>
        </w:rPr>
        <w:t>a statistical significance at the 1% level.</w:t>
      </w:r>
      <w:r w:rsidR="005A722C" w:rsidRPr="00020413">
        <w:rPr>
          <w:rFonts w:ascii="Times New Roman" w:hAnsi="Times New Roman"/>
          <w:sz w:val="24"/>
          <w:szCs w:val="24"/>
        </w:rPr>
        <w:t xml:space="preserve"> </w:t>
      </w:r>
      <w:r w:rsidR="00E31B80" w:rsidRPr="00020413">
        <w:rPr>
          <w:rFonts w:ascii="Times New Roman" w:hAnsi="Times New Roman"/>
          <w:sz w:val="24"/>
          <w:szCs w:val="24"/>
        </w:rPr>
        <w:t xml:space="preserve">In fact, the effect of credit information sharing is economically significant. </w:t>
      </w:r>
    </w:p>
    <w:p w:rsidR="00923296" w:rsidRPr="00020413" w:rsidRDefault="00923296"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lastRenderedPageBreak/>
        <w:t>[Table 3 about here]</w:t>
      </w:r>
    </w:p>
    <w:p w:rsidR="00F20BF7" w:rsidRPr="00020413" w:rsidRDefault="005A722C" w:rsidP="00D55D24">
      <w:pPr>
        <w:spacing w:after="120" w:line="360" w:lineRule="auto"/>
        <w:jc w:val="both"/>
        <w:rPr>
          <w:rFonts w:ascii="Times New Roman" w:hAnsi="Times New Roman"/>
          <w:sz w:val="24"/>
          <w:szCs w:val="24"/>
        </w:rPr>
      </w:pPr>
      <w:r w:rsidRPr="00020413">
        <w:rPr>
          <w:rFonts w:ascii="Times New Roman" w:hAnsi="Times New Roman"/>
          <w:sz w:val="24"/>
          <w:szCs w:val="24"/>
        </w:rPr>
        <w:t>Applying Eq. (2) and (3)</w:t>
      </w:r>
      <w:r w:rsidR="00506AE5" w:rsidRPr="00020413">
        <w:rPr>
          <w:rFonts w:ascii="Times New Roman" w:hAnsi="Times New Roman"/>
          <w:sz w:val="24"/>
          <w:szCs w:val="24"/>
        </w:rPr>
        <w:t>,</w:t>
      </w:r>
      <w:r w:rsidRPr="00020413">
        <w:rPr>
          <w:rFonts w:ascii="Times New Roman" w:hAnsi="Times New Roman"/>
          <w:sz w:val="24"/>
          <w:szCs w:val="24"/>
        </w:rPr>
        <w:t xml:space="preserve"> we present the short</w:t>
      </w:r>
      <w:r w:rsidR="00542146" w:rsidRPr="00020413">
        <w:rPr>
          <w:rFonts w:ascii="Times New Roman" w:hAnsi="Times New Roman"/>
          <w:sz w:val="24"/>
          <w:szCs w:val="24"/>
        </w:rPr>
        <w:t>-</w:t>
      </w:r>
      <w:r w:rsidRPr="00020413">
        <w:rPr>
          <w:rFonts w:ascii="Times New Roman" w:hAnsi="Times New Roman"/>
          <w:sz w:val="24"/>
          <w:szCs w:val="24"/>
        </w:rPr>
        <w:t xml:space="preserve">run and long-run marginal effects of the depth of credit information sharing in Table 4. </w:t>
      </w:r>
      <w:r w:rsidR="005941CA" w:rsidRPr="00020413">
        <w:rPr>
          <w:rFonts w:ascii="Times New Roman" w:hAnsi="Times New Roman"/>
          <w:sz w:val="24"/>
          <w:szCs w:val="24"/>
        </w:rPr>
        <w:t xml:space="preserve">The results suggest that </w:t>
      </w:r>
      <w:r w:rsidR="00F20BF7" w:rsidRPr="00020413">
        <w:rPr>
          <w:rFonts w:ascii="Times New Roman" w:hAnsi="Times New Roman"/>
          <w:sz w:val="24"/>
          <w:szCs w:val="24"/>
        </w:rPr>
        <w:t xml:space="preserve">a </w:t>
      </w:r>
      <w:r w:rsidR="00FF7056" w:rsidRPr="00020413">
        <w:rPr>
          <w:rFonts w:ascii="Times New Roman" w:hAnsi="Times New Roman"/>
          <w:sz w:val="24"/>
          <w:szCs w:val="24"/>
        </w:rPr>
        <w:t xml:space="preserve">one </w:t>
      </w:r>
      <w:r w:rsidR="00F20BF7" w:rsidRPr="00020413">
        <w:rPr>
          <w:rFonts w:ascii="Times New Roman" w:hAnsi="Times New Roman"/>
          <w:sz w:val="24"/>
          <w:szCs w:val="24"/>
        </w:rPr>
        <w:t xml:space="preserve">standard deviation change (2.41) in the depth of credit information sharing </w:t>
      </w:r>
      <w:r w:rsidR="003C3F8E" w:rsidRPr="00020413">
        <w:rPr>
          <w:rFonts w:ascii="Times New Roman" w:hAnsi="Times New Roman"/>
          <w:sz w:val="24"/>
          <w:szCs w:val="24"/>
        </w:rPr>
        <w:t>will</w:t>
      </w:r>
      <w:r w:rsidR="00F20BF7" w:rsidRPr="00020413">
        <w:rPr>
          <w:rFonts w:ascii="Times New Roman" w:hAnsi="Times New Roman"/>
          <w:sz w:val="24"/>
          <w:szCs w:val="24"/>
        </w:rPr>
        <w:t xml:space="preserve"> reduce loan default rate by up to </w:t>
      </w:r>
      <w:r w:rsidR="00C85AD3" w:rsidRPr="00020413">
        <w:rPr>
          <w:rFonts w:ascii="Times New Roman" w:hAnsi="Times New Roman"/>
          <w:sz w:val="24"/>
          <w:szCs w:val="24"/>
        </w:rPr>
        <w:t>0.92</w:t>
      </w:r>
      <w:r w:rsidR="00F20BF7" w:rsidRPr="00020413">
        <w:rPr>
          <w:rFonts w:ascii="Times New Roman" w:hAnsi="Times New Roman"/>
          <w:sz w:val="24"/>
          <w:szCs w:val="24"/>
        </w:rPr>
        <w:t xml:space="preserve"> percentage points in the short run and </w:t>
      </w:r>
      <w:r w:rsidR="00C85AD3" w:rsidRPr="00020413">
        <w:rPr>
          <w:rFonts w:ascii="Times New Roman" w:hAnsi="Times New Roman"/>
          <w:sz w:val="24"/>
          <w:szCs w:val="24"/>
        </w:rPr>
        <w:t>3.35</w:t>
      </w:r>
      <w:r w:rsidR="00F20BF7" w:rsidRPr="00020413">
        <w:rPr>
          <w:rFonts w:ascii="Times New Roman" w:hAnsi="Times New Roman"/>
          <w:sz w:val="24"/>
          <w:szCs w:val="24"/>
        </w:rPr>
        <w:t xml:space="preserve"> percentage </w:t>
      </w:r>
      <w:r w:rsidR="003C3F8E" w:rsidRPr="00020413">
        <w:rPr>
          <w:rFonts w:ascii="Times New Roman" w:hAnsi="Times New Roman"/>
          <w:sz w:val="24"/>
          <w:szCs w:val="24"/>
        </w:rPr>
        <w:t>points</w:t>
      </w:r>
      <w:r w:rsidR="00F20BF7" w:rsidRPr="00020413">
        <w:rPr>
          <w:rFonts w:ascii="Times New Roman" w:hAnsi="Times New Roman"/>
          <w:sz w:val="24"/>
          <w:szCs w:val="24"/>
        </w:rPr>
        <w:t xml:space="preserve"> in the long run.</w:t>
      </w:r>
      <w:r w:rsidR="00CA2DA4" w:rsidRPr="00020413">
        <w:rPr>
          <w:rStyle w:val="FootnoteReference"/>
          <w:rFonts w:ascii="Times New Roman" w:hAnsi="Times New Roman"/>
          <w:sz w:val="24"/>
          <w:szCs w:val="24"/>
        </w:rPr>
        <w:footnoteReference w:id="10"/>
      </w:r>
      <w:r w:rsidR="007861CD" w:rsidRPr="00020413">
        <w:rPr>
          <w:rFonts w:ascii="Times New Roman" w:eastAsia="SimSun" w:hAnsi="Times New Roman"/>
          <w:sz w:val="24"/>
          <w:szCs w:val="24"/>
          <w:lang w:eastAsia="zh-CN"/>
        </w:rPr>
        <w:t xml:space="preserve"> Practically, </w:t>
      </w:r>
      <w:r w:rsidR="007861CD" w:rsidRPr="00020413">
        <w:rPr>
          <w:rFonts w:ascii="Times New Roman" w:hAnsi="Times New Roman"/>
          <w:sz w:val="24"/>
          <w:szCs w:val="24"/>
        </w:rPr>
        <w:t>for an average firm in our sample with a credit information sharing index (</w:t>
      </w:r>
      <w:r w:rsidR="007861CD" w:rsidRPr="00020413">
        <w:rPr>
          <w:rFonts w:ascii="Times New Roman" w:hAnsi="Times New Roman"/>
          <w:i/>
          <w:sz w:val="24"/>
          <w:szCs w:val="24"/>
        </w:rPr>
        <w:t>Depth</w:t>
      </w:r>
      <w:r w:rsidR="007861CD" w:rsidRPr="00020413">
        <w:rPr>
          <w:rFonts w:ascii="Times New Roman" w:hAnsi="Times New Roman"/>
          <w:sz w:val="24"/>
          <w:szCs w:val="24"/>
        </w:rPr>
        <w:t>) of 3.54, a one standard deviation increase would bring credit information sharing index to 5.95 (i.e.</w:t>
      </w:r>
      <w:r w:rsidR="009D5903" w:rsidRPr="00020413">
        <w:rPr>
          <w:rFonts w:ascii="Times New Roman" w:hAnsi="Times New Roman"/>
          <w:sz w:val="24"/>
          <w:szCs w:val="24"/>
        </w:rPr>
        <w:t>,</w:t>
      </w:r>
      <w:r w:rsidR="007861CD" w:rsidRPr="00020413">
        <w:rPr>
          <w:rFonts w:ascii="Times New Roman" w:hAnsi="Times New Roman"/>
          <w:sz w:val="24"/>
          <w:szCs w:val="24"/>
        </w:rPr>
        <w:t xml:space="preserve"> almost the maximum of 6). With a near-maximum credit information sharing index, one can expect a significant reduction in </w:t>
      </w:r>
      <w:r w:rsidR="00052ABD" w:rsidRPr="00020413">
        <w:rPr>
          <w:rFonts w:ascii="Times New Roman" w:hAnsi="Times New Roman"/>
          <w:sz w:val="24"/>
          <w:szCs w:val="24"/>
        </w:rPr>
        <w:t xml:space="preserve">the average </w:t>
      </w:r>
      <w:r w:rsidR="007861CD" w:rsidRPr="00020413">
        <w:rPr>
          <w:rFonts w:ascii="Times New Roman" w:hAnsi="Times New Roman"/>
          <w:sz w:val="24"/>
          <w:szCs w:val="24"/>
        </w:rPr>
        <w:t>banks’ default risk</w:t>
      </w:r>
      <w:r w:rsidR="00052ABD" w:rsidRPr="00020413">
        <w:rPr>
          <w:rFonts w:ascii="Times New Roman" w:hAnsi="Times New Roman"/>
          <w:sz w:val="24"/>
          <w:szCs w:val="24"/>
        </w:rPr>
        <w:t xml:space="preserve"> from 6% to 2.65%</w:t>
      </w:r>
      <w:r w:rsidR="00C660A5" w:rsidRPr="00020413">
        <w:rPr>
          <w:rFonts w:ascii="Times New Roman" w:hAnsi="Times New Roman"/>
          <w:sz w:val="24"/>
          <w:szCs w:val="24"/>
        </w:rPr>
        <w:t xml:space="preserve"> in the long run</w:t>
      </w:r>
      <w:r w:rsidR="007861CD" w:rsidRPr="00020413">
        <w:rPr>
          <w:rFonts w:ascii="Times New Roman" w:hAnsi="Times New Roman"/>
          <w:sz w:val="24"/>
          <w:szCs w:val="24"/>
        </w:rPr>
        <w:t xml:space="preserve">. </w:t>
      </w:r>
      <w:r w:rsidR="00F20BF7" w:rsidRPr="00020413">
        <w:rPr>
          <w:rFonts w:ascii="Times New Roman" w:hAnsi="Times New Roman"/>
          <w:sz w:val="24"/>
          <w:szCs w:val="24"/>
        </w:rPr>
        <w:t xml:space="preserve"> </w:t>
      </w:r>
    </w:p>
    <w:p w:rsidR="00892EE6" w:rsidRPr="00020413" w:rsidRDefault="00E31B80"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 </w:t>
      </w:r>
      <w:r w:rsidR="00892EE6" w:rsidRPr="00020413">
        <w:rPr>
          <w:rFonts w:ascii="Times New Roman" w:hAnsi="Times New Roman"/>
          <w:b/>
          <w:sz w:val="28"/>
          <w:szCs w:val="24"/>
        </w:rPr>
        <w:t xml:space="preserve">[Table </w:t>
      </w:r>
      <w:r w:rsidR="002A0DF7" w:rsidRPr="00020413">
        <w:rPr>
          <w:rFonts w:ascii="Times New Roman" w:hAnsi="Times New Roman"/>
          <w:b/>
          <w:sz w:val="28"/>
          <w:szCs w:val="24"/>
        </w:rPr>
        <w:t>4</w:t>
      </w:r>
      <w:r w:rsidR="00892EE6" w:rsidRPr="00020413">
        <w:rPr>
          <w:rFonts w:ascii="Times New Roman" w:hAnsi="Times New Roman"/>
          <w:b/>
          <w:sz w:val="28"/>
          <w:szCs w:val="24"/>
        </w:rPr>
        <w:t xml:space="preserve"> about here]</w:t>
      </w:r>
    </w:p>
    <w:p w:rsidR="000A3981" w:rsidRPr="00020413" w:rsidRDefault="00E12483" w:rsidP="00D55D24">
      <w:pPr>
        <w:spacing w:after="120" w:line="360" w:lineRule="auto"/>
        <w:jc w:val="both"/>
        <w:rPr>
          <w:rFonts w:ascii="Times New Roman" w:hAnsi="Times New Roman"/>
          <w:sz w:val="24"/>
          <w:szCs w:val="24"/>
        </w:rPr>
      </w:pPr>
      <w:r w:rsidRPr="00020413">
        <w:rPr>
          <w:rFonts w:ascii="Times New Roman" w:hAnsi="Times New Roman"/>
          <w:sz w:val="24"/>
          <w:szCs w:val="24"/>
        </w:rPr>
        <w:t>We confirm our findings of</w:t>
      </w:r>
      <w:r w:rsidR="00A43866" w:rsidRPr="00020413">
        <w:rPr>
          <w:rFonts w:ascii="Times New Roman" w:hAnsi="Times New Roman"/>
          <w:sz w:val="24"/>
          <w:szCs w:val="24"/>
        </w:rPr>
        <w:t xml:space="preserve"> the negative relationship between information sharing and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rates</w:t>
      </w:r>
      <w:r w:rsidR="00A43866" w:rsidRPr="00020413">
        <w:rPr>
          <w:rFonts w:ascii="Times New Roman" w:hAnsi="Times New Roman"/>
          <w:sz w:val="24"/>
          <w:szCs w:val="24"/>
        </w:rPr>
        <w:t xml:space="preserve"> in </w:t>
      </w:r>
      <w:r w:rsidRPr="00020413">
        <w:rPr>
          <w:rFonts w:ascii="Times New Roman" w:hAnsi="Times New Roman"/>
          <w:sz w:val="24"/>
          <w:szCs w:val="24"/>
        </w:rPr>
        <w:t>the next</w:t>
      </w:r>
      <w:r w:rsidR="00A43866" w:rsidRPr="00020413">
        <w:rPr>
          <w:rFonts w:ascii="Times New Roman" w:hAnsi="Times New Roman"/>
          <w:sz w:val="24"/>
          <w:szCs w:val="24"/>
        </w:rPr>
        <w:t xml:space="preserve"> </w:t>
      </w:r>
      <w:r w:rsidR="00F96AC8" w:rsidRPr="00020413">
        <w:rPr>
          <w:rFonts w:ascii="Times New Roman" w:hAnsi="Times New Roman"/>
          <w:sz w:val="24"/>
          <w:szCs w:val="24"/>
        </w:rPr>
        <w:t xml:space="preserve">six </w:t>
      </w:r>
      <w:r w:rsidR="00A43866" w:rsidRPr="00020413">
        <w:rPr>
          <w:rFonts w:ascii="Times New Roman" w:hAnsi="Times New Roman"/>
          <w:sz w:val="24"/>
          <w:szCs w:val="24"/>
        </w:rPr>
        <w:t>models of Table 3 using alternative measures of information sharing</w:t>
      </w:r>
      <w:r w:rsidR="00CD5C91" w:rsidRPr="00020413">
        <w:rPr>
          <w:rFonts w:ascii="Times New Roman" w:hAnsi="Times New Roman"/>
          <w:sz w:val="24"/>
          <w:szCs w:val="24"/>
        </w:rPr>
        <w:t>,</w:t>
      </w:r>
      <w:r w:rsidR="00EF21C2" w:rsidRPr="00020413">
        <w:rPr>
          <w:rFonts w:ascii="Times New Roman" w:hAnsi="Times New Roman"/>
          <w:sz w:val="24"/>
          <w:szCs w:val="24"/>
        </w:rPr>
        <w:t xml:space="preserve"> namely,</w:t>
      </w:r>
      <w:r w:rsidR="00CD5C91" w:rsidRPr="00020413">
        <w:rPr>
          <w:rFonts w:ascii="Times New Roman" w:hAnsi="Times New Roman"/>
          <w:sz w:val="24"/>
          <w:szCs w:val="24"/>
        </w:rPr>
        <w:t xml:space="preserve"> credit registry coverage (Models 4-6) and credit bureau coverage (Models 7-9). The coefficient</w:t>
      </w:r>
      <w:r w:rsidR="00AB6C73" w:rsidRPr="00020413">
        <w:rPr>
          <w:rFonts w:ascii="Times New Roman" w:hAnsi="Times New Roman"/>
          <w:sz w:val="24"/>
          <w:szCs w:val="24"/>
        </w:rPr>
        <w:t>s</w:t>
      </w:r>
      <w:r w:rsidR="00F52671" w:rsidRPr="00020413">
        <w:rPr>
          <w:rFonts w:ascii="Times New Roman" w:hAnsi="Times New Roman"/>
          <w:sz w:val="24"/>
          <w:szCs w:val="24"/>
        </w:rPr>
        <w:t xml:space="preserve"> of </w:t>
      </w:r>
      <w:r w:rsidR="00CD5C91" w:rsidRPr="00020413">
        <w:rPr>
          <w:rFonts w:ascii="Times New Roman" w:hAnsi="Times New Roman"/>
          <w:sz w:val="24"/>
          <w:szCs w:val="24"/>
        </w:rPr>
        <w:t xml:space="preserve">the credit </w:t>
      </w:r>
      <w:r w:rsidR="00AB6C73" w:rsidRPr="00020413">
        <w:rPr>
          <w:rFonts w:ascii="Times New Roman" w:hAnsi="Times New Roman"/>
          <w:sz w:val="24"/>
          <w:szCs w:val="24"/>
        </w:rPr>
        <w:t xml:space="preserve">registry </w:t>
      </w:r>
      <w:r w:rsidR="00F335C8" w:rsidRPr="00020413">
        <w:rPr>
          <w:rFonts w:ascii="Times New Roman" w:hAnsi="Times New Roman"/>
          <w:sz w:val="24"/>
          <w:szCs w:val="24"/>
        </w:rPr>
        <w:t>(</w:t>
      </w:r>
      <w:r w:rsidR="00F335C8" w:rsidRPr="00020413">
        <w:rPr>
          <w:rFonts w:ascii="Times New Roman" w:hAnsi="Times New Roman"/>
          <w:i/>
          <w:sz w:val="24"/>
          <w:szCs w:val="24"/>
        </w:rPr>
        <w:t>Registry</w:t>
      </w:r>
      <w:r w:rsidR="00F335C8" w:rsidRPr="00020413">
        <w:rPr>
          <w:rFonts w:ascii="Times New Roman" w:hAnsi="Times New Roman"/>
          <w:sz w:val="24"/>
          <w:szCs w:val="24"/>
        </w:rPr>
        <w:t xml:space="preserve">) </w:t>
      </w:r>
      <w:r w:rsidR="00AB6C73" w:rsidRPr="00020413">
        <w:rPr>
          <w:rFonts w:ascii="Times New Roman" w:hAnsi="Times New Roman"/>
          <w:sz w:val="24"/>
          <w:szCs w:val="24"/>
        </w:rPr>
        <w:t xml:space="preserve">and private </w:t>
      </w:r>
      <w:r w:rsidR="00CD5C91" w:rsidRPr="00020413">
        <w:rPr>
          <w:rFonts w:ascii="Times New Roman" w:hAnsi="Times New Roman"/>
          <w:sz w:val="24"/>
          <w:szCs w:val="24"/>
        </w:rPr>
        <w:t xml:space="preserve">bureau </w:t>
      </w:r>
      <w:r w:rsidR="00F335C8" w:rsidRPr="00020413">
        <w:rPr>
          <w:rFonts w:ascii="Times New Roman" w:hAnsi="Times New Roman"/>
          <w:sz w:val="24"/>
          <w:szCs w:val="24"/>
        </w:rPr>
        <w:t>(</w:t>
      </w:r>
      <w:r w:rsidR="00F335C8" w:rsidRPr="00020413">
        <w:rPr>
          <w:rFonts w:ascii="Times New Roman" w:hAnsi="Times New Roman"/>
          <w:i/>
          <w:sz w:val="24"/>
          <w:szCs w:val="24"/>
        </w:rPr>
        <w:t>Bureau</w:t>
      </w:r>
      <w:r w:rsidR="00F335C8" w:rsidRPr="00020413">
        <w:rPr>
          <w:rFonts w:ascii="Times New Roman" w:hAnsi="Times New Roman"/>
          <w:sz w:val="24"/>
          <w:szCs w:val="24"/>
        </w:rPr>
        <w:t xml:space="preserve">) </w:t>
      </w:r>
      <w:r w:rsidR="00CD5C91" w:rsidRPr="00020413">
        <w:rPr>
          <w:rFonts w:ascii="Times New Roman" w:hAnsi="Times New Roman"/>
          <w:sz w:val="24"/>
          <w:szCs w:val="24"/>
        </w:rPr>
        <w:t xml:space="preserve">coverage </w:t>
      </w:r>
      <w:r w:rsidR="00AB6C73" w:rsidRPr="00020413">
        <w:rPr>
          <w:rFonts w:ascii="Times New Roman" w:hAnsi="Times New Roman"/>
          <w:sz w:val="24"/>
          <w:szCs w:val="24"/>
        </w:rPr>
        <w:t>are both</w:t>
      </w:r>
      <w:r w:rsidR="00CD5C91" w:rsidRPr="00020413">
        <w:rPr>
          <w:rFonts w:ascii="Times New Roman" w:hAnsi="Times New Roman"/>
          <w:sz w:val="24"/>
          <w:szCs w:val="24"/>
        </w:rPr>
        <w:t xml:space="preserve"> negative and </w:t>
      </w:r>
      <w:r w:rsidR="006A60D1" w:rsidRPr="00020413">
        <w:rPr>
          <w:rFonts w:ascii="Times New Roman" w:hAnsi="Times New Roman"/>
          <w:sz w:val="24"/>
          <w:szCs w:val="24"/>
        </w:rPr>
        <w:t xml:space="preserve">statistically </w:t>
      </w:r>
      <w:r w:rsidR="00CD5C91" w:rsidRPr="00020413">
        <w:rPr>
          <w:rFonts w:ascii="Times New Roman" w:hAnsi="Times New Roman"/>
          <w:sz w:val="24"/>
          <w:szCs w:val="24"/>
        </w:rPr>
        <w:t>significant</w:t>
      </w:r>
      <w:r w:rsidR="0017504C" w:rsidRPr="00020413">
        <w:rPr>
          <w:rFonts w:ascii="Times New Roman" w:hAnsi="Times New Roman"/>
          <w:sz w:val="24"/>
          <w:szCs w:val="24"/>
        </w:rPr>
        <w:t xml:space="preserve">. </w:t>
      </w:r>
      <w:r w:rsidR="00FF6AF5" w:rsidRPr="00020413">
        <w:rPr>
          <w:rFonts w:ascii="Times New Roman" w:hAnsi="Times New Roman"/>
          <w:sz w:val="24"/>
          <w:szCs w:val="24"/>
        </w:rPr>
        <w:t xml:space="preserve">The </w:t>
      </w:r>
      <w:r w:rsidR="000C349D" w:rsidRPr="00020413">
        <w:rPr>
          <w:rFonts w:ascii="Times New Roman" w:hAnsi="Times New Roman"/>
          <w:sz w:val="24"/>
          <w:szCs w:val="24"/>
        </w:rPr>
        <w:t>marginal effect analys</w:t>
      </w:r>
      <w:r w:rsidR="00454ED5" w:rsidRPr="00020413">
        <w:rPr>
          <w:rFonts w:ascii="Times New Roman" w:hAnsi="Times New Roman"/>
          <w:sz w:val="24"/>
          <w:szCs w:val="24"/>
        </w:rPr>
        <w:t>e</w:t>
      </w:r>
      <w:r w:rsidR="000C349D" w:rsidRPr="00020413">
        <w:rPr>
          <w:rFonts w:ascii="Times New Roman" w:hAnsi="Times New Roman"/>
          <w:sz w:val="24"/>
          <w:szCs w:val="24"/>
        </w:rPr>
        <w:t>s presented in</w:t>
      </w:r>
      <w:r w:rsidR="00FF6AF5" w:rsidRPr="00020413">
        <w:rPr>
          <w:rFonts w:ascii="Times New Roman" w:hAnsi="Times New Roman"/>
          <w:sz w:val="24"/>
          <w:szCs w:val="24"/>
        </w:rPr>
        <w:t xml:space="preserve"> </w:t>
      </w:r>
      <w:r w:rsidR="0017504C" w:rsidRPr="00020413">
        <w:rPr>
          <w:rFonts w:ascii="Times New Roman" w:hAnsi="Times New Roman"/>
          <w:sz w:val="24"/>
          <w:szCs w:val="24"/>
        </w:rPr>
        <w:t>Table 4</w:t>
      </w:r>
      <w:r w:rsidR="00FF6AF5" w:rsidRPr="00020413">
        <w:rPr>
          <w:rFonts w:ascii="Times New Roman" w:hAnsi="Times New Roman"/>
          <w:sz w:val="24"/>
          <w:szCs w:val="24"/>
        </w:rPr>
        <w:t xml:space="preserve"> suggest that a one standard deviation (</w:t>
      </w:r>
      <w:r w:rsidR="00501F12" w:rsidRPr="00020413">
        <w:rPr>
          <w:rFonts w:ascii="Times New Roman" w:hAnsi="Times New Roman"/>
          <w:sz w:val="24"/>
          <w:szCs w:val="24"/>
        </w:rPr>
        <w:t>13.</w:t>
      </w:r>
      <w:r w:rsidR="000F4004" w:rsidRPr="00020413">
        <w:rPr>
          <w:rFonts w:ascii="Times New Roman" w:hAnsi="Times New Roman"/>
          <w:sz w:val="24"/>
          <w:szCs w:val="24"/>
        </w:rPr>
        <w:t>01</w:t>
      </w:r>
      <w:r w:rsidR="00FF6AF5" w:rsidRPr="00020413">
        <w:rPr>
          <w:rFonts w:ascii="Times New Roman" w:hAnsi="Times New Roman"/>
          <w:sz w:val="24"/>
          <w:szCs w:val="24"/>
        </w:rPr>
        <w:t>) increase in credit registry coverage is associated</w:t>
      </w:r>
      <w:r w:rsidR="00702783" w:rsidRPr="00020413">
        <w:rPr>
          <w:rFonts w:ascii="Times New Roman" w:hAnsi="Times New Roman"/>
          <w:sz w:val="24"/>
          <w:szCs w:val="24"/>
        </w:rPr>
        <w:t xml:space="preserve"> with</w:t>
      </w:r>
      <w:r w:rsidR="00F96AC8" w:rsidRPr="00020413">
        <w:rPr>
          <w:rFonts w:ascii="Times New Roman" w:hAnsi="Times New Roman"/>
          <w:sz w:val="24"/>
          <w:szCs w:val="24"/>
        </w:rPr>
        <w:t xml:space="preserve"> </w:t>
      </w:r>
      <w:r w:rsidR="00702783" w:rsidRPr="00020413">
        <w:rPr>
          <w:rFonts w:ascii="Times New Roman" w:hAnsi="Times New Roman"/>
          <w:sz w:val="24"/>
          <w:szCs w:val="24"/>
        </w:rPr>
        <w:t>between 0.</w:t>
      </w:r>
      <w:r w:rsidR="000F4004" w:rsidRPr="00020413">
        <w:rPr>
          <w:rFonts w:ascii="Times New Roman" w:hAnsi="Times New Roman"/>
          <w:sz w:val="24"/>
          <w:szCs w:val="24"/>
        </w:rPr>
        <w:t>51</w:t>
      </w:r>
      <w:r w:rsidR="00DC5EC7" w:rsidRPr="00020413">
        <w:rPr>
          <w:rFonts w:ascii="Times New Roman" w:hAnsi="Times New Roman"/>
          <w:sz w:val="24"/>
          <w:szCs w:val="24"/>
        </w:rPr>
        <w:t xml:space="preserve"> </w:t>
      </w:r>
      <w:r w:rsidR="00F96AC8" w:rsidRPr="00020413">
        <w:rPr>
          <w:rFonts w:ascii="Times New Roman" w:hAnsi="Times New Roman"/>
          <w:sz w:val="24"/>
          <w:szCs w:val="24"/>
        </w:rPr>
        <w:t xml:space="preserve">and </w:t>
      </w:r>
      <w:r w:rsidR="00702783" w:rsidRPr="00020413">
        <w:rPr>
          <w:rFonts w:ascii="Times New Roman" w:hAnsi="Times New Roman"/>
          <w:sz w:val="24"/>
          <w:szCs w:val="24"/>
        </w:rPr>
        <w:t>0.</w:t>
      </w:r>
      <w:r w:rsidR="000F4004" w:rsidRPr="00020413">
        <w:rPr>
          <w:rFonts w:ascii="Times New Roman" w:hAnsi="Times New Roman"/>
          <w:sz w:val="24"/>
          <w:szCs w:val="24"/>
        </w:rPr>
        <w:t>53</w:t>
      </w:r>
      <w:r w:rsidR="00DC5EC7" w:rsidRPr="00020413">
        <w:rPr>
          <w:rFonts w:ascii="Times New Roman" w:hAnsi="Times New Roman"/>
          <w:sz w:val="24"/>
          <w:szCs w:val="24"/>
        </w:rPr>
        <w:t xml:space="preserve"> </w:t>
      </w:r>
      <w:r w:rsidR="00702783" w:rsidRPr="00020413">
        <w:rPr>
          <w:rFonts w:ascii="Times New Roman" w:hAnsi="Times New Roman"/>
          <w:sz w:val="24"/>
          <w:szCs w:val="24"/>
        </w:rPr>
        <w:t>percentage point</w:t>
      </w:r>
      <w:r w:rsidR="008D3224" w:rsidRPr="00020413">
        <w:rPr>
          <w:rFonts w:ascii="Times New Roman" w:hAnsi="Times New Roman"/>
          <w:sz w:val="24"/>
          <w:szCs w:val="24"/>
        </w:rPr>
        <w:t>s</w:t>
      </w:r>
      <w:r w:rsidR="00702783" w:rsidRPr="00020413">
        <w:rPr>
          <w:rFonts w:ascii="Times New Roman" w:hAnsi="Times New Roman"/>
          <w:sz w:val="24"/>
          <w:szCs w:val="24"/>
        </w:rPr>
        <w:t xml:space="preserve"> </w:t>
      </w:r>
      <w:r w:rsidR="000C430C" w:rsidRPr="00020413">
        <w:rPr>
          <w:rFonts w:ascii="Times New Roman" w:hAnsi="Times New Roman"/>
          <w:sz w:val="24"/>
          <w:szCs w:val="24"/>
        </w:rPr>
        <w:t>reduction</w:t>
      </w:r>
      <w:r w:rsidR="00702783" w:rsidRPr="00020413">
        <w:rPr>
          <w:rFonts w:ascii="Times New Roman" w:hAnsi="Times New Roman"/>
          <w:sz w:val="24"/>
          <w:szCs w:val="24"/>
        </w:rPr>
        <w:t xml:space="preserve"> in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w:t>
      </w:r>
      <w:r w:rsidR="008716BF" w:rsidRPr="00020413">
        <w:rPr>
          <w:rFonts w:ascii="Times New Roman" w:hAnsi="Times New Roman"/>
          <w:sz w:val="24"/>
          <w:szCs w:val="24"/>
        </w:rPr>
        <w:t xml:space="preserve"> in the short run</w:t>
      </w:r>
      <w:r w:rsidR="000C349D" w:rsidRPr="00020413">
        <w:rPr>
          <w:rFonts w:ascii="Times New Roman" w:hAnsi="Times New Roman"/>
          <w:sz w:val="24"/>
          <w:szCs w:val="24"/>
        </w:rPr>
        <w:t xml:space="preserve"> and </w:t>
      </w:r>
      <w:r w:rsidR="005C3B73" w:rsidRPr="00020413">
        <w:rPr>
          <w:rFonts w:ascii="Times New Roman" w:hAnsi="Times New Roman"/>
          <w:sz w:val="24"/>
          <w:szCs w:val="24"/>
        </w:rPr>
        <w:t xml:space="preserve">between </w:t>
      </w:r>
      <w:r w:rsidR="000C349D" w:rsidRPr="00020413">
        <w:rPr>
          <w:rFonts w:ascii="Times New Roman" w:hAnsi="Times New Roman"/>
          <w:sz w:val="24"/>
          <w:szCs w:val="24"/>
        </w:rPr>
        <w:t xml:space="preserve">1.92 and 1.95 percentage points in the long run. On private </w:t>
      </w:r>
      <w:r w:rsidR="00CF0D3F" w:rsidRPr="00020413">
        <w:rPr>
          <w:rFonts w:ascii="Times New Roman" w:hAnsi="Times New Roman"/>
          <w:sz w:val="24"/>
          <w:szCs w:val="24"/>
        </w:rPr>
        <w:t>bureau</w:t>
      </w:r>
      <w:r w:rsidR="000C349D" w:rsidRPr="00020413">
        <w:rPr>
          <w:rFonts w:ascii="Times New Roman" w:hAnsi="Times New Roman"/>
          <w:sz w:val="24"/>
          <w:szCs w:val="24"/>
        </w:rPr>
        <w:t xml:space="preserve">, the </w:t>
      </w:r>
      <w:r w:rsidR="00CF0D3F" w:rsidRPr="00020413">
        <w:rPr>
          <w:rFonts w:ascii="Times New Roman" w:hAnsi="Times New Roman"/>
          <w:sz w:val="24"/>
          <w:szCs w:val="24"/>
        </w:rPr>
        <w:t xml:space="preserve">results suggest that a one standard deviation </w:t>
      </w:r>
      <w:r w:rsidR="00533EFF" w:rsidRPr="00020413">
        <w:rPr>
          <w:rFonts w:ascii="Times New Roman" w:hAnsi="Times New Roman"/>
          <w:sz w:val="24"/>
          <w:szCs w:val="24"/>
        </w:rPr>
        <w:t xml:space="preserve">(31.42) </w:t>
      </w:r>
      <w:r w:rsidR="00CF0D3F" w:rsidRPr="00020413">
        <w:rPr>
          <w:rFonts w:ascii="Times New Roman" w:hAnsi="Times New Roman"/>
          <w:sz w:val="24"/>
          <w:szCs w:val="24"/>
        </w:rPr>
        <w:t xml:space="preserve">change in the coverage of private bureau is associated with up to </w:t>
      </w:r>
      <w:r w:rsidR="00542146" w:rsidRPr="00020413">
        <w:rPr>
          <w:rFonts w:ascii="Times New Roman" w:hAnsi="Times New Roman"/>
          <w:sz w:val="24"/>
          <w:szCs w:val="24"/>
        </w:rPr>
        <w:t xml:space="preserve">a </w:t>
      </w:r>
      <w:r w:rsidR="00CF0D3F" w:rsidRPr="00020413">
        <w:rPr>
          <w:rFonts w:ascii="Times New Roman" w:hAnsi="Times New Roman"/>
          <w:sz w:val="24"/>
          <w:szCs w:val="24"/>
        </w:rPr>
        <w:t>1.19 and 3.98 percentage point</w:t>
      </w:r>
      <w:r w:rsidR="008D3224" w:rsidRPr="00020413">
        <w:rPr>
          <w:rFonts w:ascii="Times New Roman" w:hAnsi="Times New Roman"/>
          <w:sz w:val="24"/>
          <w:szCs w:val="24"/>
        </w:rPr>
        <w:t>s</w:t>
      </w:r>
      <w:r w:rsidR="00CF0D3F" w:rsidRPr="00020413">
        <w:rPr>
          <w:rFonts w:ascii="Times New Roman" w:hAnsi="Times New Roman"/>
          <w:sz w:val="24"/>
          <w:szCs w:val="24"/>
        </w:rPr>
        <w:t xml:space="preserve"> reduction in loan default in the short and long</w:t>
      </w:r>
      <w:r w:rsidR="00542146" w:rsidRPr="00020413">
        <w:rPr>
          <w:rFonts w:ascii="Times New Roman" w:hAnsi="Times New Roman"/>
          <w:sz w:val="24"/>
          <w:szCs w:val="24"/>
        </w:rPr>
        <w:t xml:space="preserve"> </w:t>
      </w:r>
      <w:r w:rsidR="00CF0D3F" w:rsidRPr="00020413">
        <w:rPr>
          <w:rFonts w:ascii="Times New Roman" w:hAnsi="Times New Roman"/>
          <w:sz w:val="24"/>
          <w:szCs w:val="24"/>
        </w:rPr>
        <w:t>run</w:t>
      </w:r>
      <w:r w:rsidR="00533EFF" w:rsidRPr="00020413">
        <w:rPr>
          <w:rFonts w:ascii="Times New Roman" w:hAnsi="Times New Roman"/>
          <w:sz w:val="24"/>
          <w:szCs w:val="24"/>
        </w:rPr>
        <w:t>,</w:t>
      </w:r>
      <w:r w:rsidR="00CF0D3F" w:rsidRPr="00020413">
        <w:rPr>
          <w:rFonts w:ascii="Times New Roman" w:hAnsi="Times New Roman"/>
          <w:sz w:val="24"/>
          <w:szCs w:val="24"/>
        </w:rPr>
        <w:t xml:space="preserve"> respectively.</w:t>
      </w:r>
    </w:p>
    <w:p w:rsidR="00905762" w:rsidRPr="00020413" w:rsidRDefault="000A55F1" w:rsidP="00D55D24">
      <w:pPr>
        <w:spacing w:after="120" w:line="360" w:lineRule="auto"/>
        <w:jc w:val="both"/>
        <w:rPr>
          <w:rFonts w:ascii="Times New Roman" w:hAnsi="Times New Roman"/>
          <w:sz w:val="24"/>
          <w:szCs w:val="24"/>
        </w:rPr>
      </w:pPr>
      <w:r w:rsidRPr="00020413">
        <w:rPr>
          <w:rFonts w:ascii="Times New Roman" w:hAnsi="Times New Roman"/>
          <w:sz w:val="24"/>
          <w:szCs w:val="24"/>
        </w:rPr>
        <w:t>Overall, th</w:t>
      </w:r>
      <w:r w:rsidR="004D011F" w:rsidRPr="00020413">
        <w:rPr>
          <w:rFonts w:ascii="Times New Roman" w:hAnsi="Times New Roman"/>
          <w:sz w:val="24"/>
          <w:szCs w:val="24"/>
        </w:rPr>
        <w:t>ese</w:t>
      </w:r>
      <w:r w:rsidRPr="00020413">
        <w:rPr>
          <w:rFonts w:ascii="Times New Roman" w:hAnsi="Times New Roman"/>
          <w:sz w:val="24"/>
          <w:szCs w:val="24"/>
        </w:rPr>
        <w:t xml:space="preserve"> findings provide support for Hypothesis 1 and</w:t>
      </w:r>
      <w:r w:rsidR="00905762" w:rsidRPr="00020413">
        <w:rPr>
          <w:rFonts w:ascii="Times New Roman" w:hAnsi="Times New Roman"/>
          <w:sz w:val="24"/>
          <w:szCs w:val="24"/>
        </w:rPr>
        <w:t xml:space="preserve"> thus</w:t>
      </w:r>
      <w:r w:rsidR="00F96AC8" w:rsidRPr="00020413">
        <w:rPr>
          <w:rFonts w:ascii="Times New Roman" w:hAnsi="Times New Roman"/>
          <w:sz w:val="24"/>
          <w:szCs w:val="24"/>
        </w:rPr>
        <w:t xml:space="preserve"> are</w:t>
      </w:r>
      <w:r w:rsidRPr="00020413">
        <w:rPr>
          <w:rFonts w:ascii="Times New Roman" w:hAnsi="Times New Roman"/>
          <w:sz w:val="24"/>
          <w:szCs w:val="24"/>
        </w:rPr>
        <w:t xml:space="preserve"> </w:t>
      </w:r>
      <w:r w:rsidR="00905762" w:rsidRPr="00020413">
        <w:rPr>
          <w:rFonts w:ascii="Times New Roman" w:hAnsi="Times New Roman"/>
          <w:sz w:val="24"/>
          <w:szCs w:val="24"/>
        </w:rPr>
        <w:t>broadly consistent with previous literature</w:t>
      </w:r>
      <w:r w:rsidR="00344C73" w:rsidRPr="00020413">
        <w:rPr>
          <w:rFonts w:ascii="Times New Roman" w:hAnsi="Times New Roman"/>
          <w:sz w:val="24"/>
          <w:szCs w:val="24"/>
        </w:rPr>
        <w:t>,</w:t>
      </w:r>
      <w:r w:rsidR="00905762" w:rsidRPr="00020413">
        <w:rPr>
          <w:rFonts w:ascii="Times New Roman" w:hAnsi="Times New Roman"/>
          <w:sz w:val="24"/>
          <w:szCs w:val="24"/>
        </w:rPr>
        <w:t xml:space="preserve"> which suggest</w:t>
      </w:r>
      <w:r w:rsidR="00F52671" w:rsidRPr="00020413">
        <w:rPr>
          <w:rFonts w:ascii="Times New Roman" w:hAnsi="Times New Roman"/>
          <w:sz w:val="24"/>
          <w:szCs w:val="24"/>
        </w:rPr>
        <w:t>s</w:t>
      </w:r>
      <w:r w:rsidR="00905762" w:rsidRPr="00020413">
        <w:rPr>
          <w:rFonts w:ascii="Times New Roman" w:hAnsi="Times New Roman"/>
          <w:sz w:val="24"/>
          <w:szCs w:val="24"/>
        </w:rPr>
        <w:t xml:space="preserve"> that credit information sharing improves bank lending (</w:t>
      </w:r>
      <w:r w:rsidR="00C44266" w:rsidRPr="00020413">
        <w:rPr>
          <w:rFonts w:ascii="Times New Roman" w:hAnsi="Times New Roman"/>
          <w:sz w:val="24"/>
          <w:szCs w:val="20"/>
          <w:shd w:val="clear" w:color="auto" w:fill="FFFFFF"/>
        </w:rPr>
        <w:t xml:space="preserve">Jappelli, and Pagano, 2002; </w:t>
      </w:r>
      <w:r w:rsidR="00C44266" w:rsidRPr="00020413">
        <w:rPr>
          <w:rFonts w:ascii="Times New Roman" w:hAnsi="Times New Roman"/>
          <w:sz w:val="24"/>
          <w:szCs w:val="24"/>
        </w:rPr>
        <w:t>Brown et al., 2009;</w:t>
      </w:r>
      <w:r w:rsidR="00C44266" w:rsidRPr="00020413">
        <w:rPr>
          <w:rFonts w:ascii="Times New Roman" w:hAnsi="Times New Roman"/>
          <w:sz w:val="24"/>
          <w:szCs w:val="20"/>
          <w:shd w:val="clear" w:color="auto" w:fill="FFFFFF"/>
        </w:rPr>
        <w:t xml:space="preserve"> </w:t>
      </w:r>
      <w:r w:rsidR="00905762" w:rsidRPr="00020413">
        <w:rPr>
          <w:rFonts w:ascii="Times New Roman" w:hAnsi="Times New Roman"/>
          <w:sz w:val="24"/>
          <w:szCs w:val="24"/>
        </w:rPr>
        <w:t>Fosu, 2014</w:t>
      </w:r>
      <w:r w:rsidR="00905762" w:rsidRPr="00020413">
        <w:rPr>
          <w:rFonts w:ascii="Times New Roman" w:hAnsi="Times New Roman"/>
          <w:sz w:val="24"/>
          <w:szCs w:val="20"/>
          <w:shd w:val="clear" w:color="auto" w:fill="FFFFFF"/>
        </w:rPr>
        <w:t>)</w:t>
      </w:r>
      <w:r w:rsidR="00623AEC" w:rsidRPr="00020413">
        <w:rPr>
          <w:rFonts w:ascii="Times New Roman" w:hAnsi="Times New Roman"/>
          <w:sz w:val="24"/>
          <w:szCs w:val="20"/>
          <w:shd w:val="clear" w:color="auto" w:fill="FFFFFF"/>
        </w:rPr>
        <w:t xml:space="preserve"> and credit quality (Jappelli, and Pagano, 2002</w:t>
      </w:r>
      <w:r w:rsidR="00233C9C" w:rsidRPr="00020413">
        <w:rPr>
          <w:rFonts w:ascii="Times New Roman" w:hAnsi="Times New Roman"/>
          <w:sz w:val="24"/>
          <w:szCs w:val="20"/>
          <w:shd w:val="clear" w:color="auto" w:fill="FFFFFF"/>
        </w:rPr>
        <w:t>;</w:t>
      </w:r>
      <w:r w:rsidR="00233C9C" w:rsidRPr="00020413">
        <w:rPr>
          <w:rFonts w:ascii="Times New Roman" w:hAnsi="Times New Roman"/>
          <w:sz w:val="24"/>
          <w:szCs w:val="24"/>
        </w:rPr>
        <w:t xml:space="preserve"> Behr and </w:t>
      </w:r>
      <w:proofErr w:type="spellStart"/>
      <w:r w:rsidR="00233C9C" w:rsidRPr="00020413">
        <w:rPr>
          <w:rFonts w:ascii="Times New Roman" w:hAnsi="Times New Roman"/>
          <w:sz w:val="24"/>
          <w:szCs w:val="24"/>
        </w:rPr>
        <w:t>Sonnekalb</w:t>
      </w:r>
      <w:proofErr w:type="spellEnd"/>
      <w:r w:rsidR="00233C9C" w:rsidRPr="00020413">
        <w:rPr>
          <w:rFonts w:ascii="Times New Roman" w:hAnsi="Times New Roman"/>
          <w:sz w:val="24"/>
          <w:szCs w:val="24"/>
        </w:rPr>
        <w:t>, 2012</w:t>
      </w:r>
      <w:r w:rsidR="00623AEC" w:rsidRPr="00020413">
        <w:rPr>
          <w:rFonts w:ascii="Times New Roman" w:hAnsi="Times New Roman"/>
          <w:sz w:val="24"/>
          <w:szCs w:val="20"/>
          <w:shd w:val="clear" w:color="auto" w:fill="FFFFFF"/>
        </w:rPr>
        <w:t>)</w:t>
      </w:r>
      <w:r w:rsidR="00905762" w:rsidRPr="00020413">
        <w:rPr>
          <w:rFonts w:ascii="Times New Roman" w:hAnsi="Times New Roman"/>
          <w:sz w:val="24"/>
          <w:szCs w:val="24"/>
        </w:rPr>
        <w:t xml:space="preserve">. </w:t>
      </w:r>
      <w:r w:rsidR="00B6541B" w:rsidRPr="00020413">
        <w:rPr>
          <w:rFonts w:ascii="Times New Roman" w:hAnsi="Times New Roman"/>
          <w:sz w:val="24"/>
          <w:szCs w:val="24"/>
        </w:rPr>
        <w:t xml:space="preserve">Our findings also suggest that prior studies such as </w:t>
      </w:r>
      <w:r w:rsidR="003D3AFC" w:rsidRPr="00020413">
        <w:rPr>
          <w:rFonts w:ascii="Times New Roman" w:hAnsi="Times New Roman"/>
          <w:sz w:val="24"/>
          <w:szCs w:val="24"/>
        </w:rPr>
        <w:t xml:space="preserve">De </w:t>
      </w:r>
      <w:proofErr w:type="spellStart"/>
      <w:r w:rsidR="003D3AFC" w:rsidRPr="00020413">
        <w:rPr>
          <w:rFonts w:ascii="Times New Roman" w:hAnsi="Times New Roman"/>
          <w:sz w:val="24"/>
          <w:szCs w:val="24"/>
        </w:rPr>
        <w:t>Janvry</w:t>
      </w:r>
      <w:proofErr w:type="spellEnd"/>
      <w:r w:rsidR="003D3AFC" w:rsidRPr="00020413">
        <w:rPr>
          <w:rFonts w:ascii="Times New Roman" w:hAnsi="Times New Roman"/>
          <w:sz w:val="24"/>
          <w:szCs w:val="24"/>
        </w:rPr>
        <w:t xml:space="preserve"> </w:t>
      </w:r>
      <w:r w:rsidR="00B6541B" w:rsidRPr="00020413">
        <w:rPr>
          <w:rFonts w:ascii="Times New Roman" w:hAnsi="Times New Roman"/>
          <w:sz w:val="24"/>
          <w:szCs w:val="24"/>
        </w:rPr>
        <w:t xml:space="preserve">et al. (2010) that found information sharing to be associated with only marginal improvements in loan repayments may have underestimated the potential benefit of information sharing on loan default rates. It is also plausible that the average gain for </w:t>
      </w:r>
      <w:r w:rsidR="00B6541B" w:rsidRPr="00020413">
        <w:rPr>
          <w:rFonts w:ascii="Times New Roman" w:hAnsi="Times New Roman"/>
          <w:sz w:val="24"/>
          <w:szCs w:val="24"/>
        </w:rPr>
        <w:lastRenderedPageBreak/>
        <w:t>information sharing in developing countries is higher than that which is observed in Guatemala</w:t>
      </w:r>
      <w:r w:rsidR="00C52D8E" w:rsidRPr="00020413">
        <w:rPr>
          <w:rFonts w:ascii="Times New Roman" w:hAnsi="Times New Roman"/>
          <w:sz w:val="24"/>
          <w:szCs w:val="24"/>
        </w:rPr>
        <w:t xml:space="preserve"> (see</w:t>
      </w:r>
      <w:r w:rsidR="008D3224" w:rsidRPr="00020413">
        <w:rPr>
          <w:rFonts w:ascii="Times New Roman" w:hAnsi="Times New Roman"/>
          <w:sz w:val="24"/>
          <w:szCs w:val="24"/>
        </w:rPr>
        <w:t xml:space="preserve">, </w:t>
      </w:r>
      <w:r w:rsidR="003D3AFC" w:rsidRPr="00020413">
        <w:rPr>
          <w:rFonts w:ascii="Times New Roman" w:hAnsi="Times New Roman"/>
          <w:sz w:val="24"/>
          <w:szCs w:val="24"/>
        </w:rPr>
        <w:t xml:space="preserve">De </w:t>
      </w:r>
      <w:proofErr w:type="spellStart"/>
      <w:r w:rsidR="00B6541B" w:rsidRPr="00020413">
        <w:rPr>
          <w:rFonts w:ascii="Times New Roman" w:hAnsi="Times New Roman"/>
          <w:sz w:val="24"/>
          <w:szCs w:val="24"/>
        </w:rPr>
        <w:t>Janvry</w:t>
      </w:r>
      <w:proofErr w:type="spellEnd"/>
      <w:r w:rsidR="00B6541B" w:rsidRPr="00020413">
        <w:rPr>
          <w:rFonts w:ascii="Times New Roman" w:hAnsi="Times New Roman"/>
          <w:sz w:val="24"/>
          <w:szCs w:val="24"/>
        </w:rPr>
        <w:t xml:space="preserve"> et al.</w:t>
      </w:r>
      <w:r w:rsidR="008D3224" w:rsidRPr="00020413">
        <w:rPr>
          <w:rFonts w:ascii="Times New Roman" w:hAnsi="Times New Roman"/>
          <w:sz w:val="24"/>
          <w:szCs w:val="24"/>
        </w:rPr>
        <w:t>,</w:t>
      </w:r>
      <w:r w:rsidR="00B6541B" w:rsidRPr="00020413">
        <w:rPr>
          <w:rFonts w:ascii="Times New Roman" w:hAnsi="Times New Roman"/>
          <w:sz w:val="24"/>
          <w:szCs w:val="24"/>
        </w:rPr>
        <w:t xml:space="preserve"> 2010). Interestingly, </w:t>
      </w:r>
      <w:r w:rsidR="000B43DB" w:rsidRPr="00020413">
        <w:rPr>
          <w:rFonts w:ascii="Times New Roman" w:hAnsi="Times New Roman"/>
          <w:sz w:val="24"/>
          <w:szCs w:val="24"/>
        </w:rPr>
        <w:t>our long</w:t>
      </w:r>
      <w:r w:rsidR="00FC6776" w:rsidRPr="00020413">
        <w:rPr>
          <w:rFonts w:ascii="Times New Roman" w:hAnsi="Times New Roman"/>
          <w:sz w:val="24"/>
          <w:szCs w:val="24"/>
        </w:rPr>
        <w:t>-</w:t>
      </w:r>
      <w:r w:rsidR="000B43DB" w:rsidRPr="00020413">
        <w:rPr>
          <w:rFonts w:ascii="Times New Roman" w:hAnsi="Times New Roman"/>
          <w:sz w:val="24"/>
          <w:szCs w:val="24"/>
        </w:rPr>
        <w:t>run estimates of 3.12 to 3.98 percentage point reductions in default rates resulting from information sharing (based on depth a</w:t>
      </w:r>
      <w:r w:rsidR="004E2508" w:rsidRPr="00020413">
        <w:rPr>
          <w:rFonts w:ascii="Times New Roman" w:hAnsi="Times New Roman"/>
          <w:sz w:val="24"/>
          <w:szCs w:val="24"/>
        </w:rPr>
        <w:t>nd bureau measures) are</w:t>
      </w:r>
      <w:r w:rsidR="000B43DB" w:rsidRPr="00020413">
        <w:rPr>
          <w:rFonts w:ascii="Times New Roman" w:hAnsi="Times New Roman"/>
          <w:sz w:val="24"/>
          <w:szCs w:val="24"/>
        </w:rPr>
        <w:t xml:space="preserve"> </w:t>
      </w:r>
      <w:proofErr w:type="gramStart"/>
      <w:r w:rsidR="000B43DB" w:rsidRPr="00020413">
        <w:rPr>
          <w:rFonts w:ascii="Times New Roman" w:hAnsi="Times New Roman"/>
          <w:sz w:val="24"/>
          <w:szCs w:val="24"/>
        </w:rPr>
        <w:t>similar to</w:t>
      </w:r>
      <w:proofErr w:type="gramEnd"/>
      <w:r w:rsidR="000B43DB" w:rsidRPr="00020413">
        <w:rPr>
          <w:rFonts w:ascii="Times New Roman" w:hAnsi="Times New Roman"/>
          <w:sz w:val="24"/>
          <w:szCs w:val="24"/>
        </w:rPr>
        <w:t xml:space="preserve"> the estimated improvements in loan repayments of 3 percentage points in Albania (see Behr and </w:t>
      </w:r>
      <w:proofErr w:type="spellStart"/>
      <w:r w:rsidR="000B43DB" w:rsidRPr="00020413">
        <w:rPr>
          <w:rFonts w:ascii="Times New Roman" w:hAnsi="Times New Roman"/>
          <w:sz w:val="24"/>
          <w:szCs w:val="24"/>
        </w:rPr>
        <w:t>Sonnekalb</w:t>
      </w:r>
      <w:proofErr w:type="spellEnd"/>
      <w:r w:rsidR="000B43DB" w:rsidRPr="00020413">
        <w:rPr>
          <w:rFonts w:ascii="Times New Roman" w:hAnsi="Times New Roman"/>
          <w:sz w:val="24"/>
          <w:szCs w:val="24"/>
        </w:rPr>
        <w:t xml:space="preserve">, 2012). </w:t>
      </w:r>
      <w:r w:rsidR="006B4EFA" w:rsidRPr="00020413">
        <w:rPr>
          <w:rFonts w:ascii="Times New Roman" w:hAnsi="Times New Roman"/>
          <w:sz w:val="24"/>
          <w:szCs w:val="24"/>
        </w:rPr>
        <w:t xml:space="preserve">Our findings </w:t>
      </w:r>
      <w:r w:rsidR="00F03613" w:rsidRPr="00020413">
        <w:rPr>
          <w:rFonts w:ascii="Times New Roman" w:hAnsi="Times New Roman"/>
          <w:sz w:val="24"/>
          <w:szCs w:val="24"/>
        </w:rPr>
        <w:t xml:space="preserve">also </w:t>
      </w:r>
      <w:r w:rsidR="006B4EFA" w:rsidRPr="00020413">
        <w:rPr>
          <w:rFonts w:ascii="Times New Roman" w:hAnsi="Times New Roman"/>
          <w:sz w:val="24"/>
          <w:szCs w:val="24"/>
        </w:rPr>
        <w:t>support the theoretical view</w:t>
      </w:r>
      <w:r w:rsidR="00344C73" w:rsidRPr="00020413">
        <w:rPr>
          <w:rFonts w:ascii="Times New Roman" w:hAnsi="Times New Roman"/>
          <w:sz w:val="24"/>
          <w:szCs w:val="24"/>
        </w:rPr>
        <w:t xml:space="preserve"> that </w:t>
      </w:r>
      <w:r w:rsidR="006B4EFA" w:rsidRPr="00020413">
        <w:rPr>
          <w:rFonts w:ascii="Times New Roman" w:hAnsi="Times New Roman"/>
          <w:sz w:val="24"/>
          <w:szCs w:val="24"/>
        </w:rPr>
        <w:t>the benefits of reduced adverse selection and moral hazard problems associated with credit information sharing among lenders may result in improvement in banks’ loan quality</w:t>
      </w:r>
      <w:r w:rsidR="00F077FD" w:rsidRPr="00020413">
        <w:rPr>
          <w:rFonts w:ascii="Times New Roman" w:hAnsi="Times New Roman"/>
          <w:sz w:val="24"/>
          <w:szCs w:val="24"/>
        </w:rPr>
        <w:t xml:space="preserve"> (Pagano and Jappelli, 1993; </w:t>
      </w:r>
      <w:r w:rsidR="00F077FD" w:rsidRPr="00020413">
        <w:rPr>
          <w:rFonts w:ascii="Times New Roman" w:hAnsi="Times New Roman"/>
          <w:sz w:val="24"/>
          <w:szCs w:val="20"/>
          <w:shd w:val="clear" w:color="auto" w:fill="FFFFFF"/>
        </w:rPr>
        <w:t>Vercammen, 1995;</w:t>
      </w:r>
      <w:r w:rsidR="00F077FD" w:rsidRPr="00020413">
        <w:rPr>
          <w:rFonts w:ascii="Times New Roman" w:hAnsi="Times New Roman"/>
          <w:sz w:val="24"/>
          <w:szCs w:val="24"/>
        </w:rPr>
        <w:t xml:space="preserve"> Padilla and </w:t>
      </w:r>
      <w:r w:rsidR="00F077FD" w:rsidRPr="00020413">
        <w:rPr>
          <w:rFonts w:ascii="Times New Roman" w:hAnsi="Times New Roman"/>
          <w:sz w:val="24"/>
          <w:szCs w:val="20"/>
          <w:shd w:val="clear" w:color="auto" w:fill="FFFFFF"/>
        </w:rPr>
        <w:t>Pagano, 2000)</w:t>
      </w:r>
      <w:r w:rsidR="006B4EFA" w:rsidRPr="00020413">
        <w:rPr>
          <w:rFonts w:ascii="Times New Roman" w:hAnsi="Times New Roman"/>
          <w:sz w:val="24"/>
          <w:szCs w:val="24"/>
        </w:rPr>
        <w:t xml:space="preserve">. </w:t>
      </w:r>
    </w:p>
    <w:p w:rsidR="00CF2EB5" w:rsidRDefault="004C089C" w:rsidP="00C60C5A">
      <w:pPr>
        <w:spacing w:after="120" w:line="360" w:lineRule="auto"/>
        <w:jc w:val="both"/>
        <w:rPr>
          <w:rFonts w:ascii="Times New Roman" w:hAnsi="Times New Roman"/>
          <w:sz w:val="24"/>
          <w:szCs w:val="24"/>
        </w:rPr>
      </w:pPr>
      <w:r w:rsidRPr="00020413">
        <w:rPr>
          <w:rFonts w:ascii="Times New Roman" w:hAnsi="Times New Roman"/>
          <w:sz w:val="24"/>
          <w:szCs w:val="24"/>
        </w:rPr>
        <w:t>Second</w:t>
      </w:r>
      <w:r w:rsidR="00E51204" w:rsidRPr="00020413">
        <w:rPr>
          <w:rFonts w:ascii="Times New Roman" w:hAnsi="Times New Roman"/>
          <w:sz w:val="24"/>
          <w:szCs w:val="24"/>
        </w:rPr>
        <w:t>, t</w:t>
      </w:r>
      <w:r w:rsidR="00327C8F" w:rsidRPr="00020413">
        <w:rPr>
          <w:rFonts w:ascii="Times New Roman" w:hAnsi="Times New Roman"/>
          <w:sz w:val="24"/>
          <w:szCs w:val="24"/>
        </w:rPr>
        <w:t>he coefficient</w:t>
      </w:r>
      <w:r w:rsidR="003A360D" w:rsidRPr="00020413">
        <w:rPr>
          <w:rFonts w:ascii="Times New Roman" w:hAnsi="Times New Roman"/>
          <w:sz w:val="24"/>
          <w:szCs w:val="24"/>
        </w:rPr>
        <w:t>s</w:t>
      </w:r>
      <w:r w:rsidR="00327C8F" w:rsidRPr="00020413">
        <w:rPr>
          <w:rFonts w:ascii="Times New Roman" w:hAnsi="Times New Roman"/>
          <w:sz w:val="24"/>
          <w:szCs w:val="24"/>
        </w:rPr>
        <w:t xml:space="preserve"> on banking market concentration</w:t>
      </w:r>
      <w:r w:rsidR="00250DEA" w:rsidRPr="00020413">
        <w:rPr>
          <w:rFonts w:ascii="Times New Roman" w:hAnsi="Times New Roman"/>
          <w:sz w:val="24"/>
          <w:szCs w:val="24"/>
        </w:rPr>
        <w:t xml:space="preserve"> in Tabl</w:t>
      </w:r>
      <w:r w:rsidR="000E38D9" w:rsidRPr="00020413">
        <w:rPr>
          <w:rFonts w:ascii="Times New Roman" w:hAnsi="Times New Roman"/>
          <w:sz w:val="24"/>
          <w:szCs w:val="24"/>
        </w:rPr>
        <w:t>e 3</w:t>
      </w:r>
      <w:r w:rsidR="00327C8F" w:rsidRPr="00020413">
        <w:rPr>
          <w:rFonts w:ascii="Times New Roman" w:hAnsi="Times New Roman"/>
          <w:sz w:val="24"/>
          <w:szCs w:val="24"/>
        </w:rPr>
        <w:t xml:space="preserve"> offer an important insight</w:t>
      </w:r>
      <w:r w:rsidR="00FC6776" w:rsidRPr="00020413">
        <w:rPr>
          <w:rFonts w:ascii="Times New Roman" w:hAnsi="Times New Roman"/>
          <w:sz w:val="24"/>
          <w:szCs w:val="24"/>
        </w:rPr>
        <w:t>:</w:t>
      </w:r>
      <w:r w:rsidR="00327C8F" w:rsidRPr="00020413">
        <w:rPr>
          <w:rFonts w:ascii="Times New Roman" w:hAnsi="Times New Roman"/>
          <w:sz w:val="24"/>
          <w:szCs w:val="24"/>
        </w:rPr>
        <w:t xml:space="preserve"> </w:t>
      </w:r>
      <w:r w:rsidR="00B541B8" w:rsidRPr="00020413">
        <w:rPr>
          <w:rFonts w:ascii="Times New Roman" w:hAnsi="Times New Roman"/>
          <w:sz w:val="24"/>
          <w:szCs w:val="24"/>
        </w:rPr>
        <w:t xml:space="preserve">they are </w:t>
      </w:r>
      <w:r w:rsidR="002F34EE" w:rsidRPr="00020413">
        <w:rPr>
          <w:rFonts w:ascii="Times New Roman" w:hAnsi="Times New Roman"/>
          <w:sz w:val="24"/>
          <w:szCs w:val="24"/>
        </w:rPr>
        <w:t>positive</w:t>
      </w:r>
      <w:r w:rsidR="00B541B8" w:rsidRPr="00020413">
        <w:rPr>
          <w:rFonts w:ascii="Times New Roman" w:hAnsi="Times New Roman"/>
          <w:sz w:val="24"/>
          <w:szCs w:val="24"/>
        </w:rPr>
        <w:t xml:space="preserve"> and</w:t>
      </w:r>
      <w:r w:rsidR="003A360D" w:rsidRPr="00020413">
        <w:rPr>
          <w:rFonts w:ascii="Times New Roman" w:hAnsi="Times New Roman"/>
          <w:sz w:val="24"/>
          <w:szCs w:val="24"/>
        </w:rPr>
        <w:t xml:space="preserve"> </w:t>
      </w:r>
      <w:r w:rsidR="00327C8F" w:rsidRPr="00020413">
        <w:rPr>
          <w:rFonts w:ascii="Times New Roman" w:hAnsi="Times New Roman"/>
          <w:sz w:val="24"/>
          <w:szCs w:val="24"/>
        </w:rPr>
        <w:t xml:space="preserve">statistically significant </w:t>
      </w:r>
      <w:r w:rsidR="002F34EE" w:rsidRPr="00020413">
        <w:rPr>
          <w:rFonts w:ascii="Times New Roman" w:hAnsi="Times New Roman"/>
          <w:sz w:val="24"/>
          <w:szCs w:val="24"/>
        </w:rPr>
        <w:t xml:space="preserve">at the 1% level </w:t>
      </w:r>
      <w:r w:rsidR="00327C8F" w:rsidRPr="00020413">
        <w:rPr>
          <w:rFonts w:ascii="Times New Roman" w:hAnsi="Times New Roman"/>
          <w:sz w:val="24"/>
          <w:szCs w:val="24"/>
        </w:rPr>
        <w:t xml:space="preserve">in all models, suggesting that banking market concentration </w:t>
      </w:r>
      <w:r w:rsidR="002F34EE" w:rsidRPr="00020413">
        <w:rPr>
          <w:rFonts w:ascii="Times New Roman" w:hAnsi="Times New Roman"/>
          <w:sz w:val="24"/>
          <w:szCs w:val="24"/>
        </w:rPr>
        <w:t>increases</w:t>
      </w:r>
      <w:r w:rsidR="00327C8F" w:rsidRPr="00020413">
        <w:rPr>
          <w:rFonts w:ascii="Times New Roman" w:hAnsi="Times New Roman"/>
          <w:sz w:val="24"/>
          <w:szCs w:val="24"/>
        </w:rPr>
        <w:t xml:space="preserv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w:t>
      </w:r>
      <w:r w:rsidR="00327C8F" w:rsidRPr="00020413">
        <w:rPr>
          <w:rFonts w:ascii="Times New Roman" w:hAnsi="Times New Roman"/>
          <w:sz w:val="24"/>
          <w:szCs w:val="24"/>
        </w:rPr>
        <w:t xml:space="preserve">. The effect of concentration on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327C8F" w:rsidRPr="00020413">
        <w:rPr>
          <w:rFonts w:ascii="Times New Roman" w:hAnsi="Times New Roman"/>
          <w:sz w:val="24"/>
          <w:szCs w:val="24"/>
        </w:rPr>
        <w:t xml:space="preserve"> is also economically significant. For instance,</w:t>
      </w:r>
      <w:r w:rsidR="004F509B" w:rsidRPr="00020413">
        <w:rPr>
          <w:rFonts w:ascii="Times New Roman" w:hAnsi="Times New Roman"/>
          <w:sz w:val="24"/>
          <w:szCs w:val="24"/>
        </w:rPr>
        <w:t xml:space="preserve"> </w:t>
      </w:r>
      <w:r w:rsidR="00327C8F" w:rsidRPr="00020413">
        <w:rPr>
          <w:rFonts w:ascii="Times New Roman" w:hAnsi="Times New Roman"/>
          <w:sz w:val="24"/>
          <w:szCs w:val="24"/>
        </w:rPr>
        <w:t xml:space="preserve">a one standard deviation increase in concentration </w:t>
      </w:r>
      <w:r w:rsidR="004F509B" w:rsidRPr="00020413">
        <w:rPr>
          <w:rFonts w:ascii="Times New Roman" w:hAnsi="Times New Roman"/>
          <w:sz w:val="24"/>
          <w:szCs w:val="24"/>
        </w:rPr>
        <w:t xml:space="preserve">increases </w:t>
      </w:r>
      <w:r w:rsidR="00262D41" w:rsidRPr="00020413">
        <w:rPr>
          <w:rFonts w:ascii="Times New Roman" w:hAnsi="Times New Roman"/>
          <w:sz w:val="24"/>
          <w:szCs w:val="24"/>
        </w:rPr>
        <w:t xml:space="preserve">loan default </w:t>
      </w:r>
      <w:r w:rsidR="00327C8F" w:rsidRPr="00020413">
        <w:rPr>
          <w:rFonts w:ascii="Times New Roman" w:hAnsi="Times New Roman"/>
          <w:sz w:val="24"/>
          <w:szCs w:val="24"/>
        </w:rPr>
        <w:t xml:space="preserve">by </w:t>
      </w:r>
      <w:r w:rsidR="00B541B8" w:rsidRPr="00020413">
        <w:rPr>
          <w:rFonts w:ascii="Times New Roman" w:hAnsi="Times New Roman"/>
          <w:sz w:val="24"/>
          <w:szCs w:val="24"/>
        </w:rPr>
        <w:t xml:space="preserve">as much as </w:t>
      </w:r>
      <w:r w:rsidR="004F509B" w:rsidRPr="00020413">
        <w:rPr>
          <w:rFonts w:ascii="Times New Roman" w:hAnsi="Times New Roman"/>
          <w:sz w:val="24"/>
          <w:szCs w:val="24"/>
        </w:rPr>
        <w:t>1.24 (based on Model 3) percentage points in the short</w:t>
      </w:r>
      <w:r w:rsidR="00FC6776" w:rsidRPr="00020413">
        <w:rPr>
          <w:rFonts w:ascii="Times New Roman" w:hAnsi="Times New Roman"/>
          <w:sz w:val="24"/>
          <w:szCs w:val="24"/>
        </w:rPr>
        <w:t xml:space="preserve"> </w:t>
      </w:r>
      <w:r w:rsidR="004F509B" w:rsidRPr="00020413">
        <w:rPr>
          <w:rFonts w:ascii="Times New Roman" w:hAnsi="Times New Roman"/>
          <w:sz w:val="24"/>
          <w:szCs w:val="24"/>
        </w:rPr>
        <w:t xml:space="preserve">run. Similarly, based on Model 5, the </w:t>
      </w:r>
      <w:r w:rsidR="005A3757" w:rsidRPr="00020413">
        <w:rPr>
          <w:rFonts w:ascii="Times New Roman" w:hAnsi="Times New Roman"/>
          <w:sz w:val="24"/>
          <w:szCs w:val="24"/>
        </w:rPr>
        <w:t>same increase in concentration can increase loan default by</w:t>
      </w:r>
      <w:r w:rsidR="004F509B" w:rsidRPr="00020413">
        <w:rPr>
          <w:rFonts w:ascii="Times New Roman" w:hAnsi="Times New Roman"/>
          <w:sz w:val="24"/>
          <w:szCs w:val="24"/>
        </w:rPr>
        <w:t xml:space="preserve"> 4.71</w:t>
      </w:r>
      <w:r w:rsidR="005A3757" w:rsidRPr="00020413">
        <w:rPr>
          <w:rFonts w:ascii="Times New Roman" w:hAnsi="Times New Roman"/>
          <w:sz w:val="24"/>
          <w:szCs w:val="24"/>
        </w:rPr>
        <w:t xml:space="preserve"> percentage points in</w:t>
      </w:r>
      <w:r w:rsidR="004F509B" w:rsidRPr="00020413">
        <w:rPr>
          <w:rFonts w:ascii="Times New Roman" w:hAnsi="Times New Roman"/>
          <w:sz w:val="24"/>
          <w:szCs w:val="24"/>
        </w:rPr>
        <w:t xml:space="preserve"> </w:t>
      </w:r>
      <w:r w:rsidR="00FC6776" w:rsidRPr="00020413">
        <w:rPr>
          <w:rFonts w:ascii="Times New Roman" w:hAnsi="Times New Roman"/>
          <w:sz w:val="24"/>
          <w:szCs w:val="24"/>
        </w:rPr>
        <w:t xml:space="preserve">the </w:t>
      </w:r>
      <w:r w:rsidR="004F509B" w:rsidRPr="00020413">
        <w:rPr>
          <w:rFonts w:ascii="Times New Roman" w:hAnsi="Times New Roman"/>
          <w:sz w:val="24"/>
          <w:szCs w:val="24"/>
        </w:rPr>
        <w:t>long</w:t>
      </w:r>
      <w:r w:rsidR="00FC6776" w:rsidRPr="00020413">
        <w:rPr>
          <w:rFonts w:ascii="Times New Roman" w:hAnsi="Times New Roman"/>
          <w:sz w:val="24"/>
          <w:szCs w:val="24"/>
        </w:rPr>
        <w:t xml:space="preserve"> </w:t>
      </w:r>
      <w:r w:rsidR="004F509B" w:rsidRPr="00020413">
        <w:rPr>
          <w:rFonts w:ascii="Times New Roman" w:hAnsi="Times New Roman"/>
          <w:sz w:val="24"/>
          <w:szCs w:val="24"/>
        </w:rPr>
        <w:t>run</w:t>
      </w:r>
      <w:r w:rsidR="00B541B8" w:rsidRPr="00020413">
        <w:rPr>
          <w:rFonts w:ascii="Times New Roman" w:hAnsi="Times New Roman"/>
          <w:sz w:val="24"/>
          <w:szCs w:val="24"/>
        </w:rPr>
        <w:t>.</w:t>
      </w:r>
      <w:r w:rsidR="00BB504D" w:rsidRPr="00020413">
        <w:rPr>
          <w:rStyle w:val="FootnoteReference"/>
          <w:rFonts w:ascii="Times New Roman" w:hAnsi="Times New Roman"/>
          <w:sz w:val="24"/>
          <w:szCs w:val="24"/>
        </w:rPr>
        <w:footnoteReference w:id="11"/>
      </w:r>
      <w:r w:rsidR="00651F5A" w:rsidRPr="00020413">
        <w:rPr>
          <w:rFonts w:ascii="Times New Roman" w:hAnsi="Times New Roman"/>
          <w:sz w:val="24"/>
          <w:szCs w:val="24"/>
        </w:rPr>
        <w:t xml:space="preserve"> Th</w:t>
      </w:r>
      <w:r w:rsidR="00FA1E2B" w:rsidRPr="00020413">
        <w:rPr>
          <w:rFonts w:ascii="Times New Roman" w:hAnsi="Times New Roman"/>
          <w:sz w:val="24"/>
          <w:szCs w:val="24"/>
        </w:rPr>
        <w:t>e</w:t>
      </w:r>
      <w:r w:rsidR="00651F5A" w:rsidRPr="00020413">
        <w:rPr>
          <w:rFonts w:ascii="Times New Roman" w:hAnsi="Times New Roman"/>
          <w:sz w:val="24"/>
          <w:szCs w:val="24"/>
        </w:rPr>
        <w:t>s</w:t>
      </w:r>
      <w:r w:rsidR="00FA1E2B" w:rsidRPr="00020413">
        <w:rPr>
          <w:rFonts w:ascii="Times New Roman" w:hAnsi="Times New Roman"/>
          <w:sz w:val="24"/>
          <w:szCs w:val="24"/>
        </w:rPr>
        <w:t>e</w:t>
      </w:r>
      <w:r w:rsidR="00651F5A" w:rsidRPr="00020413">
        <w:rPr>
          <w:rFonts w:ascii="Times New Roman" w:hAnsi="Times New Roman"/>
          <w:sz w:val="24"/>
          <w:szCs w:val="24"/>
        </w:rPr>
        <w:t xml:space="preserve"> results </w:t>
      </w:r>
      <w:r w:rsidR="004C78CC" w:rsidRPr="00020413">
        <w:rPr>
          <w:rFonts w:ascii="Times New Roman" w:hAnsi="Times New Roman"/>
          <w:sz w:val="24"/>
          <w:szCs w:val="24"/>
        </w:rPr>
        <w:t xml:space="preserve">are </w:t>
      </w:r>
      <w:r w:rsidR="005A3757" w:rsidRPr="00020413">
        <w:rPr>
          <w:rFonts w:ascii="Times New Roman" w:hAnsi="Times New Roman"/>
          <w:sz w:val="24"/>
          <w:szCs w:val="24"/>
        </w:rPr>
        <w:t xml:space="preserve">to some extent in contrast </w:t>
      </w:r>
      <w:r w:rsidR="00B07388" w:rsidRPr="00020413">
        <w:rPr>
          <w:rFonts w:ascii="Times New Roman" w:hAnsi="Times New Roman"/>
          <w:sz w:val="24"/>
          <w:szCs w:val="24"/>
        </w:rPr>
        <w:t>with</w:t>
      </w:r>
      <w:r w:rsidR="00651F5A" w:rsidRPr="00020413">
        <w:rPr>
          <w:rFonts w:ascii="Times New Roman" w:hAnsi="Times New Roman"/>
          <w:sz w:val="24"/>
          <w:szCs w:val="24"/>
        </w:rPr>
        <w:t xml:space="preserve"> the </w:t>
      </w:r>
      <w:r w:rsidR="008A73E4" w:rsidRPr="00020413">
        <w:rPr>
          <w:rFonts w:ascii="Times New Roman" w:hAnsi="Times New Roman"/>
          <w:sz w:val="24"/>
          <w:szCs w:val="24"/>
        </w:rPr>
        <w:t>strand of</w:t>
      </w:r>
      <w:r w:rsidR="00C60C5A" w:rsidRPr="00020413">
        <w:rPr>
          <w:rFonts w:ascii="Times New Roman" w:hAnsi="Times New Roman"/>
          <w:sz w:val="24"/>
          <w:szCs w:val="24"/>
        </w:rPr>
        <w:t xml:space="preserve"> </w:t>
      </w:r>
      <w:r w:rsidR="00651F5A" w:rsidRPr="00020413">
        <w:rPr>
          <w:rFonts w:ascii="Times New Roman" w:hAnsi="Times New Roman"/>
          <w:sz w:val="24"/>
          <w:szCs w:val="24"/>
        </w:rPr>
        <w:t>literature which suggest</w:t>
      </w:r>
      <w:r w:rsidR="004C78CC" w:rsidRPr="00020413">
        <w:rPr>
          <w:rFonts w:ascii="Times New Roman" w:hAnsi="Times New Roman"/>
          <w:sz w:val="24"/>
          <w:szCs w:val="24"/>
        </w:rPr>
        <w:t>s</w:t>
      </w:r>
      <w:r w:rsidR="00651F5A" w:rsidRPr="00020413">
        <w:rPr>
          <w:rFonts w:ascii="Times New Roman" w:hAnsi="Times New Roman"/>
          <w:sz w:val="24"/>
          <w:szCs w:val="24"/>
        </w:rPr>
        <w:t xml:space="preserve"> that banking market concentration fosters relationship building, hence</w:t>
      </w:r>
      <w:r w:rsidR="007B2395" w:rsidRPr="00020413">
        <w:rPr>
          <w:rFonts w:ascii="Times New Roman" w:hAnsi="Times New Roman"/>
          <w:sz w:val="24"/>
          <w:szCs w:val="24"/>
        </w:rPr>
        <w:t>,</w:t>
      </w:r>
      <w:r w:rsidR="0099556D" w:rsidRPr="00020413">
        <w:rPr>
          <w:rFonts w:ascii="Times New Roman" w:hAnsi="Times New Roman"/>
          <w:sz w:val="24"/>
          <w:szCs w:val="24"/>
        </w:rPr>
        <w:t xml:space="preserve"> enabling</w:t>
      </w:r>
      <w:r w:rsidR="00651F5A" w:rsidRPr="00020413">
        <w:rPr>
          <w:rFonts w:ascii="Times New Roman" w:hAnsi="Times New Roman"/>
          <w:sz w:val="24"/>
          <w:szCs w:val="24"/>
        </w:rPr>
        <w:t xml:space="preserve"> the acquisition of soft credit information</w:t>
      </w:r>
      <w:r w:rsidR="006B72CB" w:rsidRPr="00020413">
        <w:rPr>
          <w:rFonts w:ascii="Times New Roman" w:hAnsi="Times New Roman"/>
          <w:sz w:val="24"/>
          <w:szCs w:val="24"/>
        </w:rPr>
        <w:t>.</w:t>
      </w:r>
      <w:r w:rsidR="005A3757" w:rsidRPr="00020413">
        <w:rPr>
          <w:rFonts w:ascii="Times New Roman" w:hAnsi="Times New Roman"/>
          <w:sz w:val="24"/>
          <w:szCs w:val="24"/>
        </w:rPr>
        <w:t xml:space="preserve"> </w:t>
      </w:r>
      <w:r w:rsidR="00813987" w:rsidRPr="00020413">
        <w:rPr>
          <w:rFonts w:ascii="Times New Roman" w:hAnsi="Times New Roman"/>
          <w:sz w:val="24"/>
          <w:szCs w:val="24"/>
        </w:rPr>
        <w:t>For instance</w:t>
      </w:r>
      <w:r w:rsidR="00AA7706" w:rsidRPr="00020413">
        <w:rPr>
          <w:rFonts w:ascii="Times New Roman" w:hAnsi="Times New Roman"/>
          <w:sz w:val="24"/>
          <w:szCs w:val="24"/>
        </w:rPr>
        <w:t xml:space="preserve">, contrary to </w:t>
      </w:r>
      <w:r w:rsidR="00AA7706" w:rsidRPr="00020413">
        <w:rPr>
          <w:rFonts w:ascii="Times New Roman" w:hAnsi="Times New Roman"/>
          <w:sz w:val="24"/>
          <w:szCs w:val="24"/>
          <w:shd w:val="clear" w:color="auto" w:fill="FFFFFF"/>
        </w:rPr>
        <w:t xml:space="preserve">Petersen and </w:t>
      </w:r>
      <w:proofErr w:type="spellStart"/>
      <w:r w:rsidR="00AA7706" w:rsidRPr="00020413">
        <w:rPr>
          <w:rFonts w:ascii="Times New Roman" w:hAnsi="Times New Roman"/>
          <w:sz w:val="24"/>
          <w:szCs w:val="24"/>
          <w:shd w:val="clear" w:color="auto" w:fill="FFFFFF"/>
        </w:rPr>
        <w:t>Rajan</w:t>
      </w:r>
      <w:proofErr w:type="spellEnd"/>
      <w:r w:rsidR="00AA7706" w:rsidRPr="00020413">
        <w:rPr>
          <w:rFonts w:ascii="Times New Roman" w:hAnsi="Times New Roman"/>
          <w:sz w:val="24"/>
          <w:szCs w:val="24"/>
          <w:shd w:val="clear" w:color="auto" w:fill="FFFFFF"/>
        </w:rPr>
        <w:t xml:space="preserve"> (1995) and</w:t>
      </w:r>
      <w:r w:rsidR="00AA7706" w:rsidRPr="00020413">
        <w:rPr>
          <w:rFonts w:ascii="Times New Roman" w:hAnsi="Times New Roman"/>
          <w:sz w:val="24"/>
          <w:szCs w:val="24"/>
        </w:rPr>
        <w:t xml:space="preserve"> </w:t>
      </w:r>
      <w:proofErr w:type="spellStart"/>
      <w:r w:rsidR="00AA7706" w:rsidRPr="00020413">
        <w:rPr>
          <w:rFonts w:ascii="Times New Roman" w:hAnsi="Times New Roman"/>
          <w:sz w:val="24"/>
          <w:szCs w:val="24"/>
        </w:rPr>
        <w:t>Cetorelli</w:t>
      </w:r>
      <w:proofErr w:type="spellEnd"/>
      <w:r w:rsidR="00AA7706" w:rsidRPr="00020413">
        <w:rPr>
          <w:rFonts w:ascii="Times New Roman" w:hAnsi="Times New Roman"/>
          <w:sz w:val="24"/>
          <w:szCs w:val="24"/>
        </w:rPr>
        <w:t xml:space="preserve"> and </w:t>
      </w:r>
      <w:proofErr w:type="spellStart"/>
      <w:r w:rsidR="00AA7706" w:rsidRPr="00020413">
        <w:rPr>
          <w:rFonts w:ascii="Times New Roman" w:hAnsi="Times New Roman"/>
          <w:sz w:val="24"/>
          <w:szCs w:val="24"/>
        </w:rPr>
        <w:t>Peretto</w:t>
      </w:r>
      <w:proofErr w:type="spellEnd"/>
      <w:r w:rsidR="00AA7706" w:rsidRPr="00020413">
        <w:rPr>
          <w:rFonts w:ascii="Times New Roman" w:hAnsi="Times New Roman"/>
          <w:sz w:val="24"/>
          <w:szCs w:val="24"/>
        </w:rPr>
        <w:t xml:space="preserve"> (2000), o</w:t>
      </w:r>
      <w:r w:rsidR="0099556D" w:rsidRPr="00020413">
        <w:rPr>
          <w:rFonts w:ascii="Times New Roman" w:hAnsi="Times New Roman"/>
          <w:sz w:val="24"/>
          <w:szCs w:val="24"/>
        </w:rPr>
        <w:t xml:space="preserve">ur findings seem to suggest that banks in concentrated markets may not have any </w:t>
      </w:r>
      <w:r w:rsidR="00E81F53" w:rsidRPr="00020413">
        <w:rPr>
          <w:rFonts w:ascii="Times New Roman" w:hAnsi="Times New Roman"/>
          <w:sz w:val="24"/>
          <w:szCs w:val="24"/>
        </w:rPr>
        <w:t xml:space="preserve">screening </w:t>
      </w:r>
      <w:r w:rsidR="0099556D" w:rsidRPr="00020413">
        <w:rPr>
          <w:rFonts w:ascii="Times New Roman" w:hAnsi="Times New Roman"/>
          <w:sz w:val="24"/>
          <w:szCs w:val="24"/>
        </w:rPr>
        <w:t xml:space="preserve">informational advantage from their long-term relationships with their borrowers. Therefore, they are unable to reduce the adverse selection problem to consequently improve their loan quality. </w:t>
      </w:r>
      <w:r w:rsidR="00885365" w:rsidRPr="00020413">
        <w:rPr>
          <w:rFonts w:ascii="Times New Roman" w:hAnsi="Times New Roman"/>
          <w:sz w:val="24"/>
          <w:szCs w:val="24"/>
        </w:rPr>
        <w:t xml:space="preserve">In fact, it is plausible that </w:t>
      </w:r>
      <w:r w:rsidR="00782FC1" w:rsidRPr="00020413">
        <w:rPr>
          <w:rFonts w:ascii="Times New Roman" w:hAnsi="Times New Roman"/>
          <w:sz w:val="24"/>
          <w:szCs w:val="24"/>
        </w:rPr>
        <w:t xml:space="preserve">default rates may </w:t>
      </w:r>
      <w:r w:rsidR="007838C6" w:rsidRPr="00020413">
        <w:rPr>
          <w:rFonts w:ascii="Times New Roman" w:hAnsi="Times New Roman"/>
          <w:sz w:val="24"/>
          <w:szCs w:val="24"/>
        </w:rPr>
        <w:t>rise</w:t>
      </w:r>
      <w:r w:rsidR="00782FC1" w:rsidRPr="00020413">
        <w:rPr>
          <w:rFonts w:ascii="Times New Roman" w:hAnsi="Times New Roman"/>
          <w:sz w:val="24"/>
          <w:szCs w:val="24"/>
        </w:rPr>
        <w:t xml:space="preserve"> in concentrated banking ma</w:t>
      </w:r>
      <w:r w:rsidR="007838C6" w:rsidRPr="00020413">
        <w:rPr>
          <w:rFonts w:ascii="Times New Roman" w:hAnsi="Times New Roman"/>
          <w:sz w:val="24"/>
          <w:szCs w:val="24"/>
        </w:rPr>
        <w:t>rkets if</w:t>
      </w:r>
      <w:r w:rsidR="00782FC1" w:rsidRPr="00020413">
        <w:rPr>
          <w:rFonts w:ascii="Times New Roman" w:hAnsi="Times New Roman"/>
          <w:sz w:val="24"/>
          <w:szCs w:val="24"/>
        </w:rPr>
        <w:t xml:space="preserve"> </w:t>
      </w:r>
      <w:r w:rsidR="007838C6" w:rsidRPr="00020413">
        <w:rPr>
          <w:rFonts w:ascii="Times New Roman" w:hAnsi="Times New Roman"/>
          <w:sz w:val="24"/>
          <w:szCs w:val="24"/>
        </w:rPr>
        <w:t xml:space="preserve">the </w:t>
      </w:r>
      <w:r w:rsidR="00782FC1" w:rsidRPr="00020413">
        <w:rPr>
          <w:rFonts w:ascii="Times New Roman" w:hAnsi="Times New Roman"/>
          <w:sz w:val="24"/>
          <w:szCs w:val="24"/>
        </w:rPr>
        <w:t xml:space="preserve">borrowers take advantage of their longstanding relationships with the banks to renege on their repayment commitments. </w:t>
      </w:r>
    </w:p>
    <w:p w:rsidR="00BF4751" w:rsidRPr="00020413" w:rsidRDefault="00885365" w:rsidP="00C60C5A">
      <w:pPr>
        <w:spacing w:after="120" w:line="360" w:lineRule="auto"/>
        <w:jc w:val="both"/>
        <w:rPr>
          <w:rFonts w:ascii="Times New Roman" w:hAnsi="Times New Roman"/>
          <w:sz w:val="24"/>
          <w:szCs w:val="24"/>
          <w:shd w:val="clear" w:color="auto" w:fill="FFFFFF"/>
        </w:rPr>
      </w:pPr>
      <w:r w:rsidRPr="00020413">
        <w:rPr>
          <w:rFonts w:ascii="Times New Roman" w:hAnsi="Times New Roman"/>
          <w:sz w:val="24"/>
          <w:szCs w:val="24"/>
        </w:rPr>
        <w:t>Further, it is plausible for there to be informational advantage for the few top banks in concentrated markets</w:t>
      </w:r>
      <w:r w:rsidR="00C60C5A" w:rsidRPr="00020413">
        <w:rPr>
          <w:rFonts w:ascii="Times New Roman" w:hAnsi="Times New Roman"/>
          <w:sz w:val="24"/>
          <w:szCs w:val="24"/>
        </w:rPr>
        <w:t>,</w:t>
      </w:r>
      <w:r w:rsidRPr="00020413">
        <w:rPr>
          <w:rFonts w:ascii="Times New Roman" w:hAnsi="Times New Roman"/>
          <w:sz w:val="24"/>
          <w:szCs w:val="24"/>
        </w:rPr>
        <w:t xml:space="preserve"> but for the banks to disregard the information and lend inefficiently</w:t>
      </w:r>
      <w:r w:rsidRPr="00020413">
        <w:rPr>
          <w:rFonts w:ascii="Times New Roman" w:hAnsi="Times New Roman"/>
          <w:sz w:val="24"/>
          <w:szCs w:val="24"/>
          <w:shd w:val="clear" w:color="auto" w:fill="FFFFFF"/>
        </w:rPr>
        <w:t xml:space="preserve"> (</w:t>
      </w:r>
      <w:proofErr w:type="spellStart"/>
      <w:r w:rsidRPr="00020413">
        <w:rPr>
          <w:rFonts w:ascii="Times New Roman" w:hAnsi="Times New Roman"/>
          <w:sz w:val="24"/>
          <w:szCs w:val="24"/>
          <w:shd w:val="clear" w:color="auto" w:fill="FFFFFF"/>
        </w:rPr>
        <w:t>Bonaccorsi</w:t>
      </w:r>
      <w:proofErr w:type="spellEnd"/>
      <w:r w:rsidRPr="00020413">
        <w:rPr>
          <w:rFonts w:ascii="Times New Roman" w:hAnsi="Times New Roman"/>
          <w:sz w:val="24"/>
          <w:szCs w:val="24"/>
          <w:shd w:val="clear" w:color="auto" w:fill="FFFFFF"/>
        </w:rPr>
        <w:t xml:space="preserve"> and </w:t>
      </w:r>
      <w:proofErr w:type="spellStart"/>
      <w:r w:rsidRPr="00020413">
        <w:rPr>
          <w:rFonts w:ascii="Times New Roman" w:hAnsi="Times New Roman"/>
          <w:sz w:val="24"/>
          <w:szCs w:val="24"/>
          <w:shd w:val="clear" w:color="auto" w:fill="FFFFFF"/>
        </w:rPr>
        <w:t>Dell’Ariccia</w:t>
      </w:r>
      <w:proofErr w:type="spellEnd"/>
      <w:r w:rsidRPr="00020413">
        <w:rPr>
          <w:rFonts w:ascii="Times New Roman" w:hAnsi="Times New Roman"/>
          <w:sz w:val="24"/>
          <w:szCs w:val="24"/>
          <w:shd w:val="clear" w:color="auto" w:fill="FFFFFF"/>
        </w:rPr>
        <w:t>, 2004)</w:t>
      </w:r>
      <w:r w:rsidRPr="00020413">
        <w:rPr>
          <w:rFonts w:ascii="Times New Roman" w:hAnsi="Times New Roman"/>
          <w:sz w:val="24"/>
          <w:szCs w:val="24"/>
        </w:rPr>
        <w:t xml:space="preserve">, </w:t>
      </w:r>
      <w:r w:rsidR="00C60C5A" w:rsidRPr="00020413">
        <w:rPr>
          <w:rFonts w:ascii="Times New Roman" w:hAnsi="Times New Roman"/>
          <w:sz w:val="24"/>
          <w:szCs w:val="24"/>
        </w:rPr>
        <w:t>which may be</w:t>
      </w:r>
      <w:r w:rsidRPr="00020413">
        <w:rPr>
          <w:rFonts w:ascii="Times New Roman" w:hAnsi="Times New Roman"/>
          <w:sz w:val="24"/>
          <w:szCs w:val="24"/>
        </w:rPr>
        <w:t xml:space="preserve"> due to the absence of competition </w:t>
      </w:r>
      <w:r w:rsidRPr="00020413">
        <w:rPr>
          <w:rFonts w:ascii="Times New Roman" w:hAnsi="Times New Roman"/>
          <w:sz w:val="24"/>
          <w:szCs w:val="24"/>
          <w:shd w:val="clear" w:color="auto" w:fill="FFFFFF"/>
        </w:rPr>
        <w:t xml:space="preserve">(Berger and Hannan, 1998) </w:t>
      </w:r>
      <w:r w:rsidRPr="00020413">
        <w:rPr>
          <w:rFonts w:ascii="Times New Roman" w:hAnsi="Times New Roman"/>
          <w:sz w:val="24"/>
          <w:szCs w:val="24"/>
        </w:rPr>
        <w:t xml:space="preserve">or the presence of governments’ ‘too-big-to-fail’ bailout arrangements </w:t>
      </w:r>
      <w:r w:rsidRPr="00020413">
        <w:rPr>
          <w:rFonts w:ascii="Times New Roman" w:hAnsi="Times New Roman"/>
          <w:sz w:val="24"/>
          <w:szCs w:val="24"/>
          <w:shd w:val="clear" w:color="auto" w:fill="FFFFFF"/>
        </w:rPr>
        <w:t>(</w:t>
      </w:r>
      <w:r w:rsidRPr="00020413">
        <w:rPr>
          <w:rFonts w:ascii="Times New Roman" w:hAnsi="Times New Roman"/>
          <w:sz w:val="24"/>
          <w:szCs w:val="24"/>
          <w:lang w:eastAsia="en-GB"/>
        </w:rPr>
        <w:t>Acharya et al.,</w:t>
      </w:r>
      <w:r w:rsidRPr="00020413">
        <w:rPr>
          <w:rFonts w:ascii="Times New Roman" w:hAnsi="Times New Roman"/>
          <w:sz w:val="24"/>
          <w:szCs w:val="24"/>
          <w:shd w:val="clear" w:color="auto" w:fill="FFFFFF"/>
        </w:rPr>
        <w:t xml:space="preserve"> 2013)</w:t>
      </w:r>
      <w:r w:rsidRPr="00020413">
        <w:rPr>
          <w:rFonts w:ascii="Times New Roman" w:hAnsi="Times New Roman"/>
          <w:sz w:val="24"/>
          <w:szCs w:val="24"/>
        </w:rPr>
        <w:t xml:space="preserve">. </w:t>
      </w:r>
      <w:r w:rsidR="006B6EE0" w:rsidRPr="00020413">
        <w:rPr>
          <w:rFonts w:ascii="Times New Roman" w:hAnsi="Times New Roman"/>
          <w:sz w:val="24"/>
          <w:szCs w:val="24"/>
        </w:rPr>
        <w:t xml:space="preserve">In fact, </w:t>
      </w:r>
      <w:r w:rsidR="00B07388" w:rsidRPr="00020413">
        <w:rPr>
          <w:rFonts w:ascii="Times New Roman" w:hAnsi="Times New Roman"/>
          <w:sz w:val="24"/>
          <w:szCs w:val="24"/>
          <w:shd w:val="clear" w:color="auto" w:fill="FFFFFF"/>
        </w:rPr>
        <w:t xml:space="preserve">consistent with our findings, </w:t>
      </w:r>
      <w:r w:rsidR="006B6EE0" w:rsidRPr="00020413">
        <w:rPr>
          <w:rFonts w:ascii="Times New Roman" w:hAnsi="Times New Roman"/>
          <w:sz w:val="24"/>
          <w:szCs w:val="24"/>
        </w:rPr>
        <w:t xml:space="preserve">Berger et al. (2009) </w:t>
      </w:r>
      <w:r w:rsidR="006B6EE0" w:rsidRPr="00020413">
        <w:rPr>
          <w:rFonts w:ascii="Times New Roman" w:hAnsi="Times New Roman"/>
          <w:sz w:val="24"/>
          <w:szCs w:val="24"/>
          <w:shd w:val="clear" w:color="auto" w:fill="FFFFFF"/>
        </w:rPr>
        <w:t>provide evidence in support of this line of argument</w:t>
      </w:r>
      <w:r w:rsidR="00C60C5A" w:rsidRPr="00020413">
        <w:rPr>
          <w:rFonts w:ascii="Times New Roman" w:hAnsi="Times New Roman"/>
          <w:sz w:val="24"/>
          <w:szCs w:val="24"/>
          <w:shd w:val="clear" w:color="auto" w:fill="FFFFFF"/>
        </w:rPr>
        <w:t xml:space="preserve"> –</w:t>
      </w:r>
      <w:r w:rsidR="00F7142C" w:rsidRPr="00020413">
        <w:rPr>
          <w:rFonts w:ascii="Times New Roman" w:hAnsi="Times New Roman"/>
          <w:sz w:val="24"/>
          <w:szCs w:val="24"/>
          <w:shd w:val="clear" w:color="auto" w:fill="FFFFFF"/>
        </w:rPr>
        <w:t xml:space="preserve"> they show a significant posi</w:t>
      </w:r>
      <w:r w:rsidR="006B6EE0" w:rsidRPr="00020413">
        <w:rPr>
          <w:rFonts w:ascii="Times New Roman" w:hAnsi="Times New Roman"/>
          <w:sz w:val="24"/>
          <w:szCs w:val="24"/>
          <w:shd w:val="clear" w:color="auto" w:fill="FFFFFF"/>
        </w:rPr>
        <w:t>tive impact of banking market concentration on loan default rates.</w:t>
      </w:r>
      <w:r w:rsidR="006B6EE0" w:rsidRPr="00020413">
        <w:rPr>
          <w:rFonts w:ascii="Times New Roman" w:hAnsi="Times New Roman"/>
          <w:sz w:val="24"/>
          <w:szCs w:val="24"/>
        </w:rPr>
        <w:t xml:space="preserve"> Given the conflicting theoretical </w:t>
      </w:r>
      <w:r w:rsidR="006B6EE0" w:rsidRPr="00020413">
        <w:rPr>
          <w:rFonts w:ascii="Times New Roman" w:hAnsi="Times New Roman"/>
          <w:sz w:val="24"/>
          <w:szCs w:val="24"/>
        </w:rPr>
        <w:lastRenderedPageBreak/>
        <w:t xml:space="preserve">predictions regarding the real effect of </w:t>
      </w:r>
      <w:r w:rsidR="00025387" w:rsidRPr="00020413">
        <w:rPr>
          <w:rFonts w:ascii="Times New Roman" w:hAnsi="Times New Roman"/>
          <w:sz w:val="24"/>
          <w:szCs w:val="24"/>
        </w:rPr>
        <w:t>banking</w:t>
      </w:r>
      <w:r w:rsidR="006B6EE0" w:rsidRPr="00020413">
        <w:rPr>
          <w:rFonts w:ascii="Times New Roman" w:hAnsi="Times New Roman"/>
          <w:sz w:val="24"/>
          <w:szCs w:val="24"/>
        </w:rPr>
        <w:t xml:space="preserve"> market concentration, we </w:t>
      </w:r>
      <w:r w:rsidR="00025387" w:rsidRPr="00020413">
        <w:rPr>
          <w:rFonts w:ascii="Times New Roman" w:hAnsi="Times New Roman"/>
          <w:sz w:val="24"/>
          <w:szCs w:val="24"/>
        </w:rPr>
        <w:t>provide</w:t>
      </w:r>
      <w:r w:rsidR="007838C6" w:rsidRPr="00020413">
        <w:rPr>
          <w:rFonts w:ascii="Times New Roman" w:hAnsi="Times New Roman"/>
          <w:sz w:val="24"/>
          <w:szCs w:val="24"/>
          <w:shd w:val="clear" w:color="auto" w:fill="FFFFFF"/>
        </w:rPr>
        <w:t xml:space="preserve"> further analysis in subsection 4.2</w:t>
      </w:r>
      <w:r w:rsidR="003026FC" w:rsidRPr="00020413">
        <w:rPr>
          <w:rFonts w:ascii="Times New Roman" w:hAnsi="Times New Roman"/>
          <w:sz w:val="24"/>
          <w:szCs w:val="24"/>
          <w:shd w:val="clear" w:color="auto" w:fill="FFFFFF"/>
        </w:rPr>
        <w:t>.</w:t>
      </w:r>
      <w:r w:rsidR="007838C6" w:rsidRPr="00020413">
        <w:rPr>
          <w:rFonts w:ascii="Times New Roman" w:hAnsi="Times New Roman"/>
          <w:sz w:val="24"/>
          <w:szCs w:val="24"/>
          <w:shd w:val="clear" w:color="auto" w:fill="FFFFFF"/>
        </w:rPr>
        <w:t xml:space="preserve"> </w:t>
      </w:r>
    </w:p>
    <w:p w:rsidR="002C5DDC" w:rsidRPr="00020413" w:rsidRDefault="00905762" w:rsidP="00D55D24">
      <w:pPr>
        <w:spacing w:after="120" w:line="360" w:lineRule="auto"/>
        <w:jc w:val="both"/>
        <w:rPr>
          <w:rFonts w:ascii="Times New Roman" w:hAnsi="Times New Roman"/>
          <w:sz w:val="24"/>
          <w:szCs w:val="24"/>
        </w:rPr>
      </w:pPr>
      <w:r w:rsidRPr="00020413">
        <w:rPr>
          <w:rFonts w:ascii="Times New Roman" w:hAnsi="Times New Roman"/>
          <w:sz w:val="24"/>
          <w:szCs w:val="24"/>
        </w:rPr>
        <w:t>We draw further insight</w:t>
      </w:r>
      <w:r w:rsidR="00815241" w:rsidRPr="00020413">
        <w:rPr>
          <w:rFonts w:ascii="Times New Roman" w:hAnsi="Times New Roman"/>
          <w:sz w:val="24"/>
          <w:szCs w:val="24"/>
        </w:rPr>
        <w:t>s</w:t>
      </w:r>
      <w:r w:rsidRPr="00020413">
        <w:rPr>
          <w:rFonts w:ascii="Times New Roman" w:hAnsi="Times New Roman"/>
          <w:sz w:val="24"/>
          <w:szCs w:val="24"/>
        </w:rPr>
        <w:t xml:space="preserve"> into what drives bank </w:t>
      </w:r>
      <w:r w:rsidR="00262D41" w:rsidRPr="00020413">
        <w:rPr>
          <w:rFonts w:ascii="Times New Roman" w:hAnsi="Times New Roman"/>
          <w:sz w:val="24"/>
          <w:szCs w:val="24"/>
        </w:rPr>
        <w:t>loan default rate</w:t>
      </w:r>
      <w:r w:rsidRPr="00020413">
        <w:rPr>
          <w:rFonts w:ascii="Times New Roman" w:hAnsi="Times New Roman"/>
          <w:sz w:val="24"/>
          <w:szCs w:val="24"/>
        </w:rPr>
        <w:t xml:space="preserve"> from the</w:t>
      </w:r>
      <w:r w:rsidR="00FA4197" w:rsidRPr="00020413">
        <w:rPr>
          <w:rFonts w:ascii="Times New Roman" w:hAnsi="Times New Roman"/>
          <w:sz w:val="24"/>
          <w:szCs w:val="24"/>
        </w:rPr>
        <w:t xml:space="preserve"> coefficients on</w:t>
      </w:r>
      <w:r w:rsidR="00186BDE" w:rsidRPr="00020413">
        <w:rPr>
          <w:rFonts w:ascii="Times New Roman" w:hAnsi="Times New Roman"/>
          <w:sz w:val="24"/>
          <w:szCs w:val="24"/>
        </w:rPr>
        <w:t xml:space="preserve"> </w:t>
      </w:r>
      <w:r w:rsidR="00830330" w:rsidRPr="00020413">
        <w:rPr>
          <w:rFonts w:ascii="Times New Roman" w:hAnsi="Times New Roman"/>
          <w:sz w:val="24"/>
          <w:szCs w:val="24"/>
        </w:rPr>
        <w:t xml:space="preserve">other </w:t>
      </w:r>
      <w:r w:rsidR="00186BDE" w:rsidRPr="00020413">
        <w:rPr>
          <w:rFonts w:ascii="Times New Roman" w:hAnsi="Times New Roman"/>
          <w:sz w:val="24"/>
          <w:szCs w:val="24"/>
        </w:rPr>
        <w:t>contr</w:t>
      </w:r>
      <w:r w:rsidRPr="00020413">
        <w:rPr>
          <w:rFonts w:ascii="Times New Roman" w:hAnsi="Times New Roman"/>
          <w:sz w:val="24"/>
          <w:szCs w:val="24"/>
        </w:rPr>
        <w:t>ol variable</w:t>
      </w:r>
      <w:r w:rsidR="00EF4C2C" w:rsidRPr="00020413">
        <w:rPr>
          <w:rFonts w:ascii="Times New Roman" w:hAnsi="Times New Roman"/>
          <w:sz w:val="24"/>
          <w:szCs w:val="24"/>
        </w:rPr>
        <w:t>s</w:t>
      </w:r>
      <w:r w:rsidR="002567BD" w:rsidRPr="00020413">
        <w:rPr>
          <w:rFonts w:ascii="Times New Roman" w:hAnsi="Times New Roman"/>
          <w:sz w:val="24"/>
          <w:szCs w:val="24"/>
        </w:rPr>
        <w:t>.</w:t>
      </w:r>
      <w:r w:rsidR="00A07204" w:rsidRPr="00020413">
        <w:rPr>
          <w:rFonts w:ascii="Times New Roman" w:hAnsi="Times New Roman"/>
          <w:sz w:val="24"/>
          <w:szCs w:val="24"/>
        </w:rPr>
        <w:t xml:space="preserve"> </w:t>
      </w:r>
      <w:r w:rsidR="008D76F5" w:rsidRPr="00020413">
        <w:rPr>
          <w:rFonts w:ascii="Times New Roman" w:hAnsi="Times New Roman"/>
          <w:sz w:val="24"/>
          <w:szCs w:val="24"/>
        </w:rPr>
        <w:t>The coefficient</w:t>
      </w:r>
      <w:r w:rsidR="004A0C66" w:rsidRPr="00020413">
        <w:rPr>
          <w:rFonts w:ascii="Times New Roman" w:hAnsi="Times New Roman"/>
          <w:sz w:val="24"/>
          <w:szCs w:val="24"/>
        </w:rPr>
        <w:t>s</w:t>
      </w:r>
      <w:r w:rsidR="00277D53" w:rsidRPr="00020413">
        <w:rPr>
          <w:rFonts w:ascii="Times New Roman" w:hAnsi="Times New Roman"/>
          <w:sz w:val="24"/>
          <w:szCs w:val="24"/>
        </w:rPr>
        <w:t xml:space="preserve"> on </w:t>
      </w:r>
      <w:r w:rsidR="00277D53" w:rsidRPr="00020413">
        <w:rPr>
          <w:rFonts w:ascii="Times New Roman" w:hAnsi="Times New Roman"/>
          <w:i/>
          <w:sz w:val="24"/>
          <w:szCs w:val="24"/>
        </w:rPr>
        <w:t>L</w:t>
      </w:r>
      <w:r w:rsidR="008D76F5" w:rsidRPr="00020413">
        <w:rPr>
          <w:rFonts w:ascii="Times New Roman" w:hAnsi="Times New Roman"/>
          <w:i/>
          <w:sz w:val="24"/>
          <w:szCs w:val="24"/>
        </w:rPr>
        <w:t>ending</w:t>
      </w:r>
      <w:r w:rsidR="004A0C66" w:rsidRPr="00020413">
        <w:rPr>
          <w:rFonts w:ascii="Times New Roman" w:hAnsi="Times New Roman"/>
          <w:sz w:val="24"/>
          <w:szCs w:val="24"/>
        </w:rPr>
        <w:t xml:space="preserve"> is </w:t>
      </w:r>
      <w:r w:rsidR="00F73F3B" w:rsidRPr="00020413">
        <w:rPr>
          <w:rFonts w:ascii="Times New Roman" w:hAnsi="Times New Roman"/>
          <w:sz w:val="24"/>
          <w:szCs w:val="24"/>
        </w:rPr>
        <w:t xml:space="preserve">negative </w:t>
      </w:r>
      <w:r w:rsidR="004A0C66" w:rsidRPr="00020413">
        <w:rPr>
          <w:rFonts w:ascii="Times New Roman" w:hAnsi="Times New Roman"/>
          <w:sz w:val="24"/>
          <w:szCs w:val="24"/>
        </w:rPr>
        <w:t xml:space="preserve">and </w:t>
      </w:r>
      <w:r w:rsidR="008D76F5" w:rsidRPr="00020413">
        <w:rPr>
          <w:rFonts w:ascii="Times New Roman" w:hAnsi="Times New Roman"/>
          <w:sz w:val="24"/>
          <w:szCs w:val="24"/>
        </w:rPr>
        <w:t xml:space="preserve">largely statistically significant. </w:t>
      </w:r>
      <w:r w:rsidR="004A0C66" w:rsidRPr="00020413">
        <w:rPr>
          <w:rFonts w:ascii="Times New Roman" w:hAnsi="Times New Roman"/>
          <w:sz w:val="24"/>
          <w:szCs w:val="24"/>
        </w:rPr>
        <w:t>This finding is consistent with Berger et al. (2009</w:t>
      </w:r>
      <w:r w:rsidR="00513C2A" w:rsidRPr="00020413">
        <w:rPr>
          <w:rFonts w:ascii="Times New Roman" w:hAnsi="Times New Roman"/>
          <w:sz w:val="24"/>
          <w:szCs w:val="24"/>
        </w:rPr>
        <w:t>,</w:t>
      </w:r>
      <w:r w:rsidR="004A0C66" w:rsidRPr="00020413">
        <w:rPr>
          <w:rFonts w:ascii="Times New Roman" w:hAnsi="Times New Roman"/>
          <w:sz w:val="24"/>
          <w:szCs w:val="24"/>
        </w:rPr>
        <w:t xml:space="preserve">) </w:t>
      </w:r>
      <w:r w:rsidR="00513C2A" w:rsidRPr="00020413">
        <w:rPr>
          <w:rFonts w:ascii="Times New Roman" w:hAnsi="Times New Roman"/>
          <w:sz w:val="24"/>
          <w:szCs w:val="24"/>
        </w:rPr>
        <w:t xml:space="preserve">and </w:t>
      </w:r>
      <w:r w:rsidR="00513C2A" w:rsidRPr="00020413">
        <w:rPr>
          <w:rFonts w:ascii="Times New Roman" w:hAnsi="Times New Roman"/>
          <w:sz w:val="24"/>
          <w:szCs w:val="24"/>
          <w:shd w:val="clear" w:color="auto" w:fill="FFFFFF"/>
        </w:rPr>
        <w:t xml:space="preserve">Jiménez et al. (2013) </w:t>
      </w:r>
      <w:r w:rsidR="004A0C66" w:rsidRPr="00020413">
        <w:rPr>
          <w:rFonts w:ascii="Times New Roman" w:hAnsi="Times New Roman"/>
          <w:sz w:val="24"/>
          <w:szCs w:val="24"/>
        </w:rPr>
        <w:t xml:space="preserve">and </w:t>
      </w:r>
      <w:r w:rsidR="00A07204" w:rsidRPr="00020413">
        <w:rPr>
          <w:rFonts w:ascii="Times New Roman" w:hAnsi="Times New Roman"/>
          <w:sz w:val="24"/>
          <w:szCs w:val="24"/>
        </w:rPr>
        <w:t>suggest</w:t>
      </w:r>
      <w:r w:rsidR="00B61560" w:rsidRPr="00020413">
        <w:rPr>
          <w:rFonts w:ascii="Times New Roman" w:hAnsi="Times New Roman"/>
          <w:sz w:val="24"/>
          <w:szCs w:val="24"/>
        </w:rPr>
        <w:t>s</w:t>
      </w:r>
      <w:r w:rsidR="00A07204" w:rsidRPr="00020413">
        <w:rPr>
          <w:rFonts w:ascii="Times New Roman" w:hAnsi="Times New Roman"/>
          <w:sz w:val="24"/>
          <w:szCs w:val="24"/>
        </w:rPr>
        <w:t xml:space="preserve"> </w:t>
      </w:r>
      <w:r w:rsidR="00F73F3B" w:rsidRPr="00020413">
        <w:rPr>
          <w:rFonts w:ascii="Times New Roman" w:hAnsi="Times New Roman"/>
          <w:sz w:val="24"/>
          <w:szCs w:val="24"/>
        </w:rPr>
        <w:t>that b</w:t>
      </w:r>
      <w:r w:rsidR="00E80A37" w:rsidRPr="00020413">
        <w:rPr>
          <w:rFonts w:ascii="Times New Roman" w:hAnsi="Times New Roman"/>
          <w:sz w:val="24"/>
          <w:szCs w:val="24"/>
        </w:rPr>
        <w:t>anks with higher lending specialisation</w:t>
      </w:r>
      <w:r w:rsidR="00A07204" w:rsidRPr="00020413">
        <w:rPr>
          <w:rFonts w:ascii="Times New Roman" w:hAnsi="Times New Roman"/>
          <w:sz w:val="24"/>
          <w:szCs w:val="24"/>
        </w:rPr>
        <w:t xml:space="preserve"> have </w:t>
      </w:r>
      <w:r w:rsidR="00E80A37" w:rsidRPr="00020413">
        <w:rPr>
          <w:rFonts w:ascii="Times New Roman" w:hAnsi="Times New Roman"/>
          <w:sz w:val="24"/>
          <w:szCs w:val="24"/>
        </w:rPr>
        <w:t>lower</w:t>
      </w:r>
      <w:r w:rsidR="00A07204" w:rsidRPr="00020413">
        <w:rPr>
          <w:rFonts w:ascii="Times New Roman" w:hAnsi="Times New Roman"/>
          <w:sz w:val="24"/>
          <w:szCs w:val="24"/>
        </w:rPr>
        <w:t xml:space="preserv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w:t>
      </w:r>
      <w:r w:rsidR="00F73F3B" w:rsidRPr="00020413">
        <w:rPr>
          <w:rFonts w:ascii="Times New Roman" w:hAnsi="Times New Roman"/>
          <w:sz w:val="24"/>
          <w:szCs w:val="24"/>
        </w:rPr>
        <w:t>s</w:t>
      </w:r>
      <w:r w:rsidR="00BE0CCA" w:rsidRPr="00020413">
        <w:rPr>
          <w:rFonts w:ascii="Times New Roman" w:hAnsi="Times New Roman"/>
          <w:sz w:val="24"/>
          <w:szCs w:val="24"/>
        </w:rPr>
        <w:t>.</w:t>
      </w:r>
      <w:r w:rsidR="004A0C66" w:rsidRPr="00020413">
        <w:rPr>
          <w:rFonts w:ascii="Times New Roman" w:hAnsi="Times New Roman"/>
          <w:sz w:val="24"/>
          <w:szCs w:val="24"/>
        </w:rPr>
        <w:t xml:space="preserve"> </w:t>
      </w:r>
      <w:r w:rsidR="00ED502B" w:rsidRPr="00020413">
        <w:rPr>
          <w:rFonts w:ascii="Times New Roman" w:hAnsi="Times New Roman"/>
          <w:sz w:val="24"/>
          <w:szCs w:val="24"/>
        </w:rPr>
        <w:t xml:space="preserve">Contrary to </w:t>
      </w:r>
      <w:r w:rsidR="00ED502B" w:rsidRPr="00020413">
        <w:rPr>
          <w:rFonts w:ascii="Times New Roman" w:hAnsi="Times New Roman"/>
          <w:sz w:val="24"/>
          <w:szCs w:val="24"/>
          <w:shd w:val="clear" w:color="auto" w:fill="FFFFFF"/>
        </w:rPr>
        <w:t>Jiménez et al. (2013)</w:t>
      </w:r>
      <w:r w:rsidR="003000F7" w:rsidRPr="00020413">
        <w:rPr>
          <w:rFonts w:ascii="Times New Roman" w:hAnsi="Times New Roman"/>
          <w:sz w:val="24"/>
          <w:szCs w:val="24"/>
          <w:shd w:val="clear" w:color="auto" w:fill="FFFFFF"/>
        </w:rPr>
        <w:t xml:space="preserve">, </w:t>
      </w:r>
      <w:r w:rsidR="00ED502B" w:rsidRPr="00020413">
        <w:rPr>
          <w:rFonts w:ascii="Times New Roman" w:hAnsi="Times New Roman"/>
          <w:sz w:val="24"/>
          <w:szCs w:val="24"/>
          <w:shd w:val="clear" w:color="auto" w:fill="FFFFFF"/>
        </w:rPr>
        <w:t xml:space="preserve">however, </w:t>
      </w:r>
      <w:r w:rsidR="0017240A" w:rsidRPr="00020413">
        <w:rPr>
          <w:rFonts w:ascii="Times New Roman" w:hAnsi="Times New Roman"/>
          <w:sz w:val="24"/>
          <w:szCs w:val="24"/>
          <w:shd w:val="clear" w:color="auto" w:fill="FFFFFF"/>
        </w:rPr>
        <w:t xml:space="preserve">but consistent with Ghosh (2015), </w:t>
      </w:r>
      <w:r w:rsidR="00A5652C" w:rsidRPr="00020413">
        <w:rPr>
          <w:rFonts w:ascii="Times New Roman" w:hAnsi="Times New Roman"/>
          <w:sz w:val="24"/>
          <w:szCs w:val="24"/>
        </w:rPr>
        <w:t>we find that</w:t>
      </w:r>
      <w:r w:rsidR="00E0435A" w:rsidRPr="00020413">
        <w:rPr>
          <w:rFonts w:ascii="Times New Roman" w:hAnsi="Times New Roman"/>
          <w:sz w:val="24"/>
          <w:szCs w:val="24"/>
        </w:rPr>
        <w:t xml:space="preserve"> banks that are efficient have </w:t>
      </w:r>
      <w:r w:rsidR="008D76F5" w:rsidRPr="00020413">
        <w:rPr>
          <w:rFonts w:ascii="Times New Roman" w:hAnsi="Times New Roman"/>
          <w:sz w:val="24"/>
          <w:szCs w:val="24"/>
        </w:rPr>
        <w:t>lower</w:t>
      </w:r>
      <w:r w:rsidR="00E0435A" w:rsidRPr="00020413">
        <w:rPr>
          <w:rFonts w:ascii="Times New Roman" w:hAnsi="Times New Roman"/>
          <w:sz w:val="24"/>
          <w:szCs w:val="24"/>
        </w:rPr>
        <w:t xml:space="preserv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w:t>
      </w:r>
      <w:r w:rsidR="00D71EAA" w:rsidRPr="00020413">
        <w:rPr>
          <w:rFonts w:ascii="Times New Roman" w:hAnsi="Times New Roman"/>
          <w:sz w:val="24"/>
          <w:szCs w:val="24"/>
        </w:rPr>
        <w:t>s</w:t>
      </w:r>
      <w:r w:rsidR="00A5652C" w:rsidRPr="00020413">
        <w:rPr>
          <w:rFonts w:ascii="Times New Roman" w:hAnsi="Times New Roman"/>
          <w:sz w:val="24"/>
          <w:szCs w:val="24"/>
        </w:rPr>
        <w:t xml:space="preserve">, as shown by the statistically significant negative coefficient on </w:t>
      </w:r>
      <w:r w:rsidR="003A5D81" w:rsidRPr="00020413">
        <w:rPr>
          <w:rFonts w:ascii="Times New Roman" w:hAnsi="Times New Roman"/>
          <w:i/>
          <w:sz w:val="24"/>
          <w:szCs w:val="24"/>
        </w:rPr>
        <w:t>P</w:t>
      </w:r>
      <w:r w:rsidR="00A5652C" w:rsidRPr="00020413">
        <w:rPr>
          <w:rFonts w:ascii="Times New Roman" w:hAnsi="Times New Roman"/>
          <w:i/>
          <w:sz w:val="24"/>
          <w:szCs w:val="24"/>
        </w:rPr>
        <w:t>rofit</w:t>
      </w:r>
      <w:r w:rsidR="00A5652C" w:rsidRPr="00020413">
        <w:rPr>
          <w:rFonts w:ascii="Times New Roman" w:hAnsi="Times New Roman"/>
          <w:sz w:val="24"/>
          <w:szCs w:val="24"/>
        </w:rPr>
        <w:t xml:space="preserve"> across all models</w:t>
      </w:r>
      <w:r w:rsidR="00181403" w:rsidRPr="00020413">
        <w:rPr>
          <w:rFonts w:ascii="Times New Roman" w:hAnsi="Times New Roman"/>
          <w:sz w:val="24"/>
          <w:szCs w:val="24"/>
        </w:rPr>
        <w:t>.</w:t>
      </w:r>
      <w:r w:rsidR="00792A0A" w:rsidRPr="00020413">
        <w:rPr>
          <w:rFonts w:ascii="Times New Roman" w:hAnsi="Times New Roman"/>
          <w:sz w:val="24"/>
          <w:szCs w:val="24"/>
        </w:rPr>
        <w:t xml:space="preserve"> </w:t>
      </w:r>
      <w:r w:rsidR="00D71EAA" w:rsidRPr="00020413">
        <w:rPr>
          <w:rFonts w:ascii="Times New Roman" w:hAnsi="Times New Roman"/>
          <w:i/>
          <w:sz w:val="24"/>
          <w:szCs w:val="24"/>
        </w:rPr>
        <w:t>Size</w:t>
      </w:r>
      <w:r w:rsidR="003A5D81" w:rsidRPr="00020413">
        <w:rPr>
          <w:rFonts w:ascii="Times New Roman" w:hAnsi="Times New Roman"/>
          <w:sz w:val="24"/>
          <w:szCs w:val="24"/>
        </w:rPr>
        <w:t xml:space="preserve"> and </w:t>
      </w:r>
      <w:r w:rsidR="003A5D81" w:rsidRPr="00020413">
        <w:rPr>
          <w:rFonts w:ascii="Times New Roman" w:hAnsi="Times New Roman"/>
          <w:i/>
          <w:sz w:val="24"/>
          <w:szCs w:val="24"/>
        </w:rPr>
        <w:t>C</w:t>
      </w:r>
      <w:r w:rsidR="00D71EAA" w:rsidRPr="00020413">
        <w:rPr>
          <w:rFonts w:ascii="Times New Roman" w:hAnsi="Times New Roman"/>
          <w:i/>
          <w:sz w:val="24"/>
          <w:szCs w:val="24"/>
        </w:rPr>
        <w:t>apital</w:t>
      </w:r>
      <w:r w:rsidR="00D71EAA" w:rsidRPr="00020413">
        <w:rPr>
          <w:rFonts w:ascii="Times New Roman" w:hAnsi="Times New Roman"/>
          <w:sz w:val="24"/>
          <w:szCs w:val="24"/>
        </w:rPr>
        <w:t xml:space="preserve"> are positive</w:t>
      </w:r>
      <w:r w:rsidR="00304554" w:rsidRPr="00020413">
        <w:rPr>
          <w:rFonts w:ascii="Times New Roman" w:hAnsi="Times New Roman"/>
          <w:sz w:val="24"/>
          <w:szCs w:val="24"/>
        </w:rPr>
        <w:t>,</w:t>
      </w:r>
      <w:r w:rsidR="00D71EAA" w:rsidRPr="00020413">
        <w:rPr>
          <w:rFonts w:ascii="Times New Roman" w:hAnsi="Times New Roman"/>
          <w:sz w:val="24"/>
          <w:szCs w:val="24"/>
        </w:rPr>
        <w:t xml:space="preserve"> but often insignificant. </w:t>
      </w:r>
      <w:r w:rsidR="00D90D08" w:rsidRPr="00020413">
        <w:rPr>
          <w:rFonts w:ascii="Times New Roman" w:hAnsi="Times New Roman"/>
          <w:sz w:val="24"/>
          <w:szCs w:val="24"/>
        </w:rPr>
        <w:t>In line</w:t>
      </w:r>
      <w:r w:rsidR="000F3936" w:rsidRPr="00020413">
        <w:rPr>
          <w:rFonts w:ascii="Times New Roman" w:hAnsi="Times New Roman"/>
          <w:sz w:val="24"/>
          <w:szCs w:val="24"/>
        </w:rPr>
        <w:t xml:space="preserve"> with previous studies (</w:t>
      </w:r>
      <w:r w:rsidR="008756DF" w:rsidRPr="00020413">
        <w:rPr>
          <w:rFonts w:ascii="Times New Roman" w:hAnsi="Times New Roman"/>
          <w:sz w:val="24"/>
          <w:szCs w:val="24"/>
        </w:rPr>
        <w:t xml:space="preserve">e.g., </w:t>
      </w:r>
      <w:r w:rsidR="000F3936" w:rsidRPr="00020413">
        <w:rPr>
          <w:rFonts w:ascii="Times New Roman" w:hAnsi="Times New Roman"/>
          <w:sz w:val="24"/>
          <w:szCs w:val="24"/>
        </w:rPr>
        <w:t xml:space="preserve">Berger et al., 2009; </w:t>
      </w:r>
      <w:proofErr w:type="spellStart"/>
      <w:r w:rsidR="000F3936" w:rsidRPr="00020413">
        <w:rPr>
          <w:rFonts w:ascii="Times New Roman" w:hAnsi="Times New Roman"/>
          <w:sz w:val="24"/>
          <w:szCs w:val="24"/>
        </w:rPr>
        <w:t>Buncic</w:t>
      </w:r>
      <w:proofErr w:type="spellEnd"/>
      <w:r w:rsidR="000F3936" w:rsidRPr="00020413">
        <w:rPr>
          <w:rFonts w:ascii="Times New Roman" w:hAnsi="Times New Roman"/>
          <w:sz w:val="24"/>
          <w:szCs w:val="24"/>
        </w:rPr>
        <w:t xml:space="preserve"> and </w:t>
      </w:r>
      <w:proofErr w:type="spellStart"/>
      <w:r w:rsidR="000F3936" w:rsidRPr="00020413">
        <w:rPr>
          <w:rFonts w:ascii="Times New Roman" w:hAnsi="Times New Roman"/>
          <w:sz w:val="24"/>
          <w:szCs w:val="24"/>
        </w:rPr>
        <w:t>Melecky</w:t>
      </w:r>
      <w:proofErr w:type="spellEnd"/>
      <w:r w:rsidR="000F3936" w:rsidRPr="00020413">
        <w:rPr>
          <w:rFonts w:ascii="Times New Roman" w:hAnsi="Times New Roman"/>
          <w:sz w:val="24"/>
          <w:szCs w:val="24"/>
        </w:rPr>
        <w:t xml:space="preserve">, 2013; </w:t>
      </w:r>
      <w:r w:rsidR="000F3936" w:rsidRPr="00020413">
        <w:rPr>
          <w:rFonts w:ascii="Times New Roman" w:hAnsi="Times New Roman"/>
          <w:sz w:val="24"/>
          <w:szCs w:val="24"/>
          <w:shd w:val="clear" w:color="auto" w:fill="FFFFFF"/>
        </w:rPr>
        <w:t>Jiménez et al., 2013</w:t>
      </w:r>
      <w:r w:rsidR="000F3936" w:rsidRPr="00020413">
        <w:rPr>
          <w:rFonts w:ascii="Times New Roman" w:hAnsi="Times New Roman"/>
          <w:sz w:val="24"/>
          <w:szCs w:val="24"/>
        </w:rPr>
        <w:t xml:space="preserve">), </w:t>
      </w:r>
      <w:r w:rsidR="003A5D81" w:rsidRPr="00020413">
        <w:rPr>
          <w:rFonts w:ascii="Times New Roman" w:hAnsi="Times New Roman"/>
          <w:sz w:val="24"/>
          <w:szCs w:val="24"/>
        </w:rPr>
        <w:t xml:space="preserve">the </w:t>
      </w:r>
      <w:r w:rsidR="00792A0A" w:rsidRPr="00020413">
        <w:rPr>
          <w:rFonts w:ascii="Times New Roman" w:hAnsi="Times New Roman"/>
          <w:sz w:val="24"/>
          <w:szCs w:val="24"/>
        </w:rPr>
        <w:t xml:space="preserve">results further suggest that GDP growth </w:t>
      </w:r>
      <w:r w:rsidR="0065464D" w:rsidRPr="00020413">
        <w:rPr>
          <w:rFonts w:ascii="Times New Roman" w:hAnsi="Times New Roman"/>
          <w:sz w:val="24"/>
          <w:szCs w:val="24"/>
        </w:rPr>
        <w:t>reduce</w:t>
      </w:r>
      <w:r w:rsidR="000F3936" w:rsidRPr="00020413">
        <w:rPr>
          <w:rFonts w:ascii="Times New Roman" w:hAnsi="Times New Roman"/>
          <w:sz w:val="24"/>
          <w:szCs w:val="24"/>
        </w:rPr>
        <w:t>s</w:t>
      </w:r>
      <w:r w:rsidR="0065464D" w:rsidRPr="00020413">
        <w:rPr>
          <w:rFonts w:ascii="Times New Roman" w:hAnsi="Times New Roman"/>
          <w:sz w:val="24"/>
          <w:szCs w:val="24"/>
        </w:rPr>
        <w:t xml:space="preserve"> loan defaults.</w:t>
      </w:r>
      <w:r w:rsidR="00083AB9" w:rsidRPr="00020413">
        <w:rPr>
          <w:rFonts w:ascii="Times New Roman" w:hAnsi="Times New Roman"/>
          <w:sz w:val="24"/>
          <w:szCs w:val="24"/>
        </w:rPr>
        <w:t xml:space="preserve"> </w:t>
      </w:r>
      <w:r w:rsidR="00954FEE" w:rsidRPr="00020413">
        <w:rPr>
          <w:rFonts w:ascii="Times New Roman" w:hAnsi="Times New Roman"/>
          <w:sz w:val="24"/>
          <w:szCs w:val="24"/>
        </w:rPr>
        <w:t>Consistent with Ghosh (2015), we</w:t>
      </w:r>
      <w:r w:rsidR="002C5DDC" w:rsidRPr="00020413">
        <w:rPr>
          <w:rFonts w:ascii="Times New Roman" w:hAnsi="Times New Roman"/>
          <w:sz w:val="24"/>
          <w:szCs w:val="24"/>
        </w:rPr>
        <w:t xml:space="preserve"> find some evidence that inflation reduces default rate, albeit</w:t>
      </w:r>
      <w:r w:rsidR="00954FEE" w:rsidRPr="00020413">
        <w:rPr>
          <w:rFonts w:ascii="Times New Roman" w:hAnsi="Times New Roman"/>
          <w:sz w:val="24"/>
          <w:szCs w:val="24"/>
        </w:rPr>
        <w:t xml:space="preserve"> not robustly</w:t>
      </w:r>
      <w:r w:rsidR="004C089C" w:rsidRPr="00020413">
        <w:rPr>
          <w:rFonts w:ascii="Times New Roman" w:hAnsi="Times New Roman"/>
          <w:sz w:val="24"/>
          <w:szCs w:val="24"/>
        </w:rPr>
        <w:t>.</w:t>
      </w:r>
    </w:p>
    <w:p w:rsidR="00C927BA" w:rsidRPr="00020413" w:rsidRDefault="00E51204" w:rsidP="00D55D24">
      <w:pPr>
        <w:spacing w:after="120" w:line="360" w:lineRule="auto"/>
        <w:jc w:val="both"/>
        <w:rPr>
          <w:rFonts w:ascii="Times New Roman" w:hAnsi="Times New Roman"/>
          <w:sz w:val="24"/>
          <w:szCs w:val="24"/>
        </w:rPr>
      </w:pPr>
      <w:r w:rsidRPr="00020413">
        <w:rPr>
          <w:rFonts w:ascii="Times New Roman" w:hAnsi="Times New Roman"/>
          <w:sz w:val="24"/>
          <w:szCs w:val="24"/>
        </w:rPr>
        <w:t>Third, t</w:t>
      </w:r>
      <w:r w:rsidR="008415BA" w:rsidRPr="00020413">
        <w:rPr>
          <w:rFonts w:ascii="Times New Roman" w:hAnsi="Times New Roman"/>
          <w:sz w:val="24"/>
          <w:szCs w:val="24"/>
        </w:rPr>
        <w:t xml:space="preserve">he governance indicators of </w:t>
      </w:r>
      <w:r w:rsidR="004C089C" w:rsidRPr="00020413">
        <w:rPr>
          <w:rFonts w:ascii="Times New Roman" w:hAnsi="Times New Roman"/>
          <w:sz w:val="24"/>
          <w:szCs w:val="24"/>
        </w:rPr>
        <w:t xml:space="preserve">the </w:t>
      </w:r>
      <w:r w:rsidR="008415BA" w:rsidRPr="00020413">
        <w:rPr>
          <w:rFonts w:ascii="Times New Roman" w:hAnsi="Times New Roman"/>
          <w:sz w:val="24"/>
          <w:szCs w:val="24"/>
        </w:rPr>
        <w:t>rule of law</w:t>
      </w:r>
      <w:r w:rsidR="00232809" w:rsidRPr="00020413">
        <w:rPr>
          <w:rFonts w:ascii="Times New Roman" w:hAnsi="Times New Roman"/>
          <w:sz w:val="24"/>
          <w:szCs w:val="24"/>
        </w:rPr>
        <w:t xml:space="preserve"> (</w:t>
      </w:r>
      <w:r w:rsidR="00232809" w:rsidRPr="00020413">
        <w:rPr>
          <w:rFonts w:ascii="Times New Roman" w:hAnsi="Times New Roman"/>
          <w:i/>
          <w:sz w:val="24"/>
          <w:szCs w:val="24"/>
        </w:rPr>
        <w:t>Law</w:t>
      </w:r>
      <w:r w:rsidR="00232809" w:rsidRPr="00020413">
        <w:rPr>
          <w:rFonts w:ascii="Times New Roman" w:hAnsi="Times New Roman"/>
          <w:sz w:val="24"/>
          <w:szCs w:val="24"/>
        </w:rPr>
        <w:t>)</w:t>
      </w:r>
      <w:r w:rsidR="008415BA" w:rsidRPr="00020413">
        <w:rPr>
          <w:rFonts w:ascii="Times New Roman" w:hAnsi="Times New Roman"/>
          <w:sz w:val="24"/>
          <w:szCs w:val="24"/>
        </w:rPr>
        <w:t xml:space="preserve">, regulatory quality </w:t>
      </w:r>
      <w:r w:rsidR="00232809" w:rsidRPr="00020413">
        <w:rPr>
          <w:rFonts w:ascii="Times New Roman" w:hAnsi="Times New Roman"/>
          <w:sz w:val="24"/>
          <w:szCs w:val="24"/>
        </w:rPr>
        <w:t>(</w:t>
      </w:r>
      <w:r w:rsidR="00232809" w:rsidRPr="00020413">
        <w:rPr>
          <w:rFonts w:ascii="Times New Roman" w:hAnsi="Times New Roman"/>
          <w:i/>
          <w:sz w:val="24"/>
          <w:szCs w:val="24"/>
        </w:rPr>
        <w:t>Regulation</w:t>
      </w:r>
      <w:r w:rsidR="00232809" w:rsidRPr="00020413">
        <w:rPr>
          <w:rFonts w:ascii="Times New Roman" w:hAnsi="Times New Roman"/>
          <w:sz w:val="24"/>
          <w:szCs w:val="24"/>
        </w:rPr>
        <w:t xml:space="preserve">) </w:t>
      </w:r>
      <w:r w:rsidR="008415BA" w:rsidRPr="00020413">
        <w:rPr>
          <w:rFonts w:ascii="Times New Roman" w:hAnsi="Times New Roman"/>
          <w:sz w:val="24"/>
          <w:szCs w:val="24"/>
        </w:rPr>
        <w:t xml:space="preserve">and control of corruption </w:t>
      </w:r>
      <w:r w:rsidR="00232809" w:rsidRPr="00020413">
        <w:rPr>
          <w:rFonts w:ascii="Times New Roman" w:hAnsi="Times New Roman"/>
          <w:sz w:val="24"/>
          <w:szCs w:val="24"/>
        </w:rPr>
        <w:t>(</w:t>
      </w:r>
      <w:r w:rsidR="00232809" w:rsidRPr="00020413">
        <w:rPr>
          <w:rFonts w:ascii="Times New Roman" w:hAnsi="Times New Roman"/>
          <w:i/>
          <w:sz w:val="24"/>
          <w:szCs w:val="24"/>
        </w:rPr>
        <w:t>Control</w:t>
      </w:r>
      <w:r w:rsidR="00232809" w:rsidRPr="00020413">
        <w:rPr>
          <w:rFonts w:ascii="Times New Roman" w:hAnsi="Times New Roman"/>
          <w:sz w:val="24"/>
          <w:szCs w:val="24"/>
        </w:rPr>
        <w:t xml:space="preserve">) </w:t>
      </w:r>
      <w:r w:rsidR="008415BA" w:rsidRPr="00020413">
        <w:rPr>
          <w:rFonts w:ascii="Times New Roman" w:hAnsi="Times New Roman"/>
          <w:sz w:val="24"/>
          <w:szCs w:val="24"/>
        </w:rPr>
        <w:t xml:space="preserve">all have </w:t>
      </w:r>
      <w:r w:rsidR="00EF4C2C" w:rsidRPr="00020413">
        <w:rPr>
          <w:rFonts w:ascii="Times New Roman" w:hAnsi="Times New Roman"/>
          <w:sz w:val="24"/>
          <w:szCs w:val="24"/>
        </w:rPr>
        <w:t xml:space="preserve">a </w:t>
      </w:r>
      <w:r w:rsidR="00FA5B8A" w:rsidRPr="00020413">
        <w:rPr>
          <w:rFonts w:ascii="Times New Roman" w:hAnsi="Times New Roman"/>
          <w:sz w:val="24"/>
          <w:szCs w:val="24"/>
        </w:rPr>
        <w:t>negative</w:t>
      </w:r>
      <w:r w:rsidR="008415BA" w:rsidRPr="00020413">
        <w:rPr>
          <w:rFonts w:ascii="Times New Roman" w:hAnsi="Times New Roman"/>
          <w:sz w:val="24"/>
          <w:szCs w:val="24"/>
        </w:rPr>
        <w:t xml:space="preserve"> impact on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8415BA" w:rsidRPr="00020413">
        <w:rPr>
          <w:rFonts w:ascii="Times New Roman" w:hAnsi="Times New Roman"/>
          <w:sz w:val="24"/>
          <w:szCs w:val="24"/>
        </w:rPr>
        <w:t>. However, the coefficient</w:t>
      </w:r>
      <w:r w:rsidR="00B70F80" w:rsidRPr="00020413">
        <w:rPr>
          <w:rFonts w:ascii="Times New Roman" w:hAnsi="Times New Roman"/>
          <w:sz w:val="24"/>
          <w:szCs w:val="24"/>
        </w:rPr>
        <w:t>s</w:t>
      </w:r>
      <w:r w:rsidR="008415BA" w:rsidRPr="00020413">
        <w:rPr>
          <w:rFonts w:ascii="Times New Roman" w:hAnsi="Times New Roman"/>
          <w:sz w:val="24"/>
          <w:szCs w:val="24"/>
        </w:rPr>
        <w:t xml:space="preserve"> on </w:t>
      </w:r>
      <w:r w:rsidR="00FA5B8A" w:rsidRPr="00020413">
        <w:rPr>
          <w:rFonts w:ascii="Times New Roman" w:hAnsi="Times New Roman"/>
          <w:sz w:val="24"/>
          <w:szCs w:val="24"/>
        </w:rPr>
        <w:t>rule of law</w:t>
      </w:r>
      <w:r w:rsidR="00B70F80" w:rsidRPr="00020413">
        <w:rPr>
          <w:rFonts w:ascii="Times New Roman" w:hAnsi="Times New Roman"/>
          <w:sz w:val="24"/>
          <w:szCs w:val="24"/>
        </w:rPr>
        <w:t xml:space="preserve"> are </w:t>
      </w:r>
      <w:r w:rsidR="00276B8B" w:rsidRPr="00020413">
        <w:rPr>
          <w:rFonts w:ascii="Times New Roman" w:hAnsi="Times New Roman"/>
          <w:sz w:val="24"/>
          <w:szCs w:val="24"/>
        </w:rPr>
        <w:t xml:space="preserve">statistically </w:t>
      </w:r>
      <w:r w:rsidR="00B70F80" w:rsidRPr="00020413">
        <w:rPr>
          <w:rFonts w:ascii="Times New Roman" w:hAnsi="Times New Roman"/>
          <w:sz w:val="24"/>
          <w:szCs w:val="24"/>
        </w:rPr>
        <w:t xml:space="preserve">insignificant </w:t>
      </w:r>
      <w:r w:rsidR="00FA5B8A" w:rsidRPr="00020413">
        <w:rPr>
          <w:rFonts w:ascii="Times New Roman" w:hAnsi="Times New Roman"/>
          <w:sz w:val="24"/>
          <w:szCs w:val="24"/>
        </w:rPr>
        <w:t>across all models</w:t>
      </w:r>
      <w:r w:rsidR="00B70F80" w:rsidRPr="00020413">
        <w:rPr>
          <w:rFonts w:ascii="Times New Roman" w:hAnsi="Times New Roman"/>
          <w:sz w:val="24"/>
          <w:szCs w:val="24"/>
        </w:rPr>
        <w:t xml:space="preserve">. </w:t>
      </w:r>
      <w:r w:rsidR="00FA5B8A" w:rsidRPr="00020413">
        <w:rPr>
          <w:rFonts w:ascii="Times New Roman" w:hAnsi="Times New Roman"/>
          <w:sz w:val="24"/>
          <w:szCs w:val="24"/>
        </w:rPr>
        <w:t>The negative impact of governance quality</w:t>
      </w:r>
      <w:r w:rsidR="00B70F80" w:rsidRPr="00020413">
        <w:rPr>
          <w:rFonts w:ascii="Times New Roman" w:hAnsi="Times New Roman"/>
          <w:sz w:val="24"/>
          <w:szCs w:val="24"/>
        </w:rPr>
        <w:t xml:space="preserve"> </w:t>
      </w:r>
      <w:r w:rsidR="000C419F" w:rsidRPr="00020413">
        <w:rPr>
          <w:rFonts w:ascii="Times New Roman" w:hAnsi="Times New Roman"/>
          <w:sz w:val="24"/>
          <w:szCs w:val="24"/>
        </w:rPr>
        <w:t>on loan default suggests that the macro-level governance infrastructure of a country either helps banks to effectively enforce their loan contracts at minimal costs or incentiv</w:t>
      </w:r>
      <w:r w:rsidR="00FC6776" w:rsidRPr="00020413">
        <w:rPr>
          <w:rFonts w:ascii="Times New Roman" w:hAnsi="Times New Roman"/>
          <w:sz w:val="24"/>
          <w:szCs w:val="24"/>
        </w:rPr>
        <w:t>is</w:t>
      </w:r>
      <w:r w:rsidR="000C419F" w:rsidRPr="00020413">
        <w:rPr>
          <w:rFonts w:ascii="Times New Roman" w:hAnsi="Times New Roman"/>
          <w:sz w:val="24"/>
          <w:szCs w:val="24"/>
        </w:rPr>
        <w:t xml:space="preserve">e borrowers to willingly </w:t>
      </w:r>
      <w:r w:rsidR="00B2554A" w:rsidRPr="00020413">
        <w:rPr>
          <w:rFonts w:ascii="Times New Roman" w:hAnsi="Times New Roman"/>
          <w:sz w:val="24"/>
          <w:szCs w:val="24"/>
        </w:rPr>
        <w:t xml:space="preserve">commit to loan repayments. Hence, loan defaults appear to be lower in better-governed regimes. </w:t>
      </w:r>
    </w:p>
    <w:p w:rsidR="00F92403" w:rsidRPr="00020413" w:rsidRDefault="000111F6"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 </w:t>
      </w:r>
    </w:p>
    <w:p w:rsidR="00160491" w:rsidRPr="00020413" w:rsidRDefault="001115AB" w:rsidP="00C9343F">
      <w:pPr>
        <w:spacing w:after="0" w:line="360" w:lineRule="auto"/>
        <w:jc w:val="both"/>
        <w:rPr>
          <w:rFonts w:ascii="Times New Roman" w:hAnsi="Times New Roman"/>
          <w:b/>
          <w:sz w:val="24"/>
          <w:szCs w:val="24"/>
        </w:rPr>
      </w:pPr>
      <w:r w:rsidRPr="00020413">
        <w:rPr>
          <w:rFonts w:ascii="Times New Roman" w:hAnsi="Times New Roman"/>
          <w:b/>
          <w:sz w:val="24"/>
          <w:szCs w:val="24"/>
        </w:rPr>
        <w:t>4</w:t>
      </w:r>
      <w:r w:rsidR="00160491" w:rsidRPr="00020413">
        <w:rPr>
          <w:rFonts w:ascii="Times New Roman" w:hAnsi="Times New Roman"/>
          <w:b/>
          <w:sz w:val="24"/>
          <w:szCs w:val="24"/>
        </w:rPr>
        <w:t xml:space="preserve">.2 </w:t>
      </w:r>
      <w:r w:rsidR="001940BE" w:rsidRPr="00020413">
        <w:rPr>
          <w:rFonts w:ascii="Times New Roman" w:hAnsi="Times New Roman"/>
          <w:b/>
          <w:sz w:val="24"/>
          <w:szCs w:val="24"/>
        </w:rPr>
        <w:t>I</w:t>
      </w:r>
      <w:r w:rsidR="00160491" w:rsidRPr="00020413">
        <w:rPr>
          <w:rFonts w:ascii="Times New Roman" w:hAnsi="Times New Roman"/>
          <w:b/>
          <w:sz w:val="24"/>
          <w:szCs w:val="24"/>
        </w:rPr>
        <w:t xml:space="preserve">nformation sharing, </w:t>
      </w:r>
      <w:r w:rsidR="00A13DD4" w:rsidRPr="00020413">
        <w:rPr>
          <w:rFonts w:ascii="Times New Roman" w:hAnsi="Times New Roman"/>
          <w:b/>
          <w:sz w:val="24"/>
          <w:szCs w:val="24"/>
        </w:rPr>
        <w:t xml:space="preserve">loan </w:t>
      </w:r>
      <w:r w:rsidR="001940BE" w:rsidRPr="00020413">
        <w:rPr>
          <w:rFonts w:ascii="Times New Roman" w:hAnsi="Times New Roman"/>
          <w:b/>
          <w:sz w:val="24"/>
          <w:szCs w:val="24"/>
        </w:rPr>
        <w:t>default</w:t>
      </w:r>
      <w:r w:rsidR="00A13DD4" w:rsidRPr="00020413">
        <w:rPr>
          <w:rFonts w:ascii="Times New Roman" w:hAnsi="Times New Roman"/>
          <w:b/>
          <w:sz w:val="24"/>
          <w:szCs w:val="24"/>
        </w:rPr>
        <w:t xml:space="preserve"> and </w:t>
      </w:r>
      <w:r w:rsidR="003F0069" w:rsidRPr="00020413">
        <w:rPr>
          <w:rFonts w:ascii="Times New Roman" w:hAnsi="Times New Roman"/>
          <w:b/>
          <w:sz w:val="24"/>
          <w:szCs w:val="24"/>
        </w:rPr>
        <w:t xml:space="preserve">banking </w:t>
      </w:r>
      <w:r w:rsidR="00160491" w:rsidRPr="00020413">
        <w:rPr>
          <w:rFonts w:ascii="Times New Roman" w:hAnsi="Times New Roman"/>
          <w:b/>
          <w:sz w:val="24"/>
          <w:szCs w:val="24"/>
        </w:rPr>
        <w:t>concentration</w:t>
      </w:r>
    </w:p>
    <w:p w:rsidR="00C62A13" w:rsidRPr="00020413" w:rsidRDefault="009D27FA"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 results presented in the preceding section conditioned bank </w:t>
      </w:r>
      <w:r w:rsidR="00262D41" w:rsidRPr="00020413">
        <w:rPr>
          <w:rFonts w:ascii="Times New Roman" w:hAnsi="Times New Roman"/>
          <w:sz w:val="24"/>
          <w:szCs w:val="24"/>
        </w:rPr>
        <w:t>loan default</w:t>
      </w:r>
      <w:r w:rsidR="00E7071F" w:rsidRPr="00020413">
        <w:rPr>
          <w:rFonts w:ascii="Times New Roman" w:hAnsi="Times New Roman"/>
          <w:sz w:val="24"/>
          <w:szCs w:val="24"/>
        </w:rPr>
        <w:t xml:space="preserve"> </w:t>
      </w:r>
      <w:r w:rsidRPr="00020413">
        <w:rPr>
          <w:rFonts w:ascii="Times New Roman" w:hAnsi="Times New Roman"/>
          <w:sz w:val="24"/>
          <w:szCs w:val="24"/>
        </w:rPr>
        <w:t xml:space="preserve">on the level of credit information sharing. </w:t>
      </w:r>
      <w:r w:rsidR="00C77AD9" w:rsidRPr="00020413">
        <w:rPr>
          <w:rFonts w:ascii="Times New Roman" w:hAnsi="Times New Roman"/>
          <w:sz w:val="24"/>
          <w:szCs w:val="24"/>
        </w:rPr>
        <w:t xml:space="preserve">However, </w:t>
      </w:r>
      <w:r w:rsidR="00BE43BD" w:rsidRPr="00020413">
        <w:rPr>
          <w:rFonts w:ascii="Times New Roman" w:hAnsi="Times New Roman"/>
          <w:sz w:val="24"/>
          <w:szCs w:val="24"/>
        </w:rPr>
        <w:t>to the extent that banking market con</w:t>
      </w:r>
      <w:r w:rsidR="00FD6C99" w:rsidRPr="00020413">
        <w:rPr>
          <w:rFonts w:ascii="Times New Roman" w:hAnsi="Times New Roman"/>
          <w:sz w:val="24"/>
          <w:szCs w:val="24"/>
        </w:rPr>
        <w:t>cen</w:t>
      </w:r>
      <w:r w:rsidR="00BE43BD" w:rsidRPr="00020413">
        <w:rPr>
          <w:rFonts w:ascii="Times New Roman" w:hAnsi="Times New Roman"/>
          <w:sz w:val="24"/>
          <w:szCs w:val="24"/>
        </w:rPr>
        <w:t>tration reduces the dispersion of credit information (</w:t>
      </w:r>
      <w:r w:rsidR="004C41A8" w:rsidRPr="00020413">
        <w:rPr>
          <w:rFonts w:ascii="Times New Roman" w:hAnsi="Times New Roman"/>
          <w:sz w:val="24"/>
          <w:szCs w:val="24"/>
        </w:rPr>
        <w:t xml:space="preserve">Marquez 2002; </w:t>
      </w:r>
      <w:r w:rsidR="00C76B2A" w:rsidRPr="00020413">
        <w:rPr>
          <w:rFonts w:ascii="Times New Roman" w:hAnsi="Times New Roman"/>
          <w:sz w:val="24"/>
          <w:szCs w:val="24"/>
        </w:rPr>
        <w:t>Fosu</w:t>
      </w:r>
      <w:r w:rsidR="00EF4C2C" w:rsidRPr="00020413">
        <w:rPr>
          <w:rFonts w:ascii="Times New Roman" w:hAnsi="Times New Roman"/>
          <w:sz w:val="24"/>
          <w:szCs w:val="24"/>
        </w:rPr>
        <w:t>,</w:t>
      </w:r>
      <w:r w:rsidR="00C76B2A" w:rsidRPr="00020413">
        <w:rPr>
          <w:rFonts w:ascii="Times New Roman" w:hAnsi="Times New Roman"/>
          <w:sz w:val="24"/>
          <w:szCs w:val="24"/>
        </w:rPr>
        <w:t xml:space="preserve"> 2014</w:t>
      </w:r>
      <w:r w:rsidR="00BE43BD" w:rsidRPr="00020413">
        <w:rPr>
          <w:rFonts w:ascii="Times New Roman" w:hAnsi="Times New Roman"/>
          <w:sz w:val="24"/>
          <w:szCs w:val="24"/>
        </w:rPr>
        <w:t>)</w:t>
      </w:r>
      <w:r w:rsidR="006378CF" w:rsidRPr="00020413">
        <w:rPr>
          <w:rFonts w:ascii="Times New Roman" w:hAnsi="Times New Roman"/>
          <w:sz w:val="24"/>
          <w:szCs w:val="24"/>
        </w:rPr>
        <w:t xml:space="preserve"> and</w:t>
      </w:r>
      <w:r w:rsidR="00BE43BD" w:rsidRPr="00020413">
        <w:rPr>
          <w:rFonts w:ascii="Times New Roman" w:hAnsi="Times New Roman"/>
          <w:sz w:val="24"/>
          <w:szCs w:val="24"/>
        </w:rPr>
        <w:t xml:space="preserve"> increases the degree of credit market screening (</w:t>
      </w:r>
      <w:proofErr w:type="spellStart"/>
      <w:r w:rsidR="00A31ED1" w:rsidRPr="00020413">
        <w:rPr>
          <w:rFonts w:ascii="Times New Roman" w:hAnsi="Times New Roman"/>
          <w:sz w:val="24"/>
          <w:szCs w:val="24"/>
        </w:rPr>
        <w:t>Cetorelli</w:t>
      </w:r>
      <w:proofErr w:type="spellEnd"/>
      <w:r w:rsidR="00A31ED1" w:rsidRPr="00020413">
        <w:rPr>
          <w:rFonts w:ascii="Times New Roman" w:hAnsi="Times New Roman"/>
          <w:sz w:val="24"/>
          <w:szCs w:val="24"/>
        </w:rPr>
        <w:t xml:space="preserve"> </w:t>
      </w:r>
      <w:r w:rsidR="00803E50" w:rsidRPr="00020413">
        <w:rPr>
          <w:rFonts w:ascii="Times New Roman" w:hAnsi="Times New Roman"/>
          <w:sz w:val="24"/>
          <w:szCs w:val="24"/>
        </w:rPr>
        <w:t xml:space="preserve">and </w:t>
      </w:r>
      <w:proofErr w:type="spellStart"/>
      <w:r w:rsidR="00A31ED1" w:rsidRPr="00020413">
        <w:rPr>
          <w:rFonts w:ascii="Times New Roman" w:hAnsi="Times New Roman"/>
          <w:sz w:val="24"/>
          <w:szCs w:val="24"/>
        </w:rPr>
        <w:t>Peretto</w:t>
      </w:r>
      <w:proofErr w:type="spellEnd"/>
      <w:r w:rsidR="00A31ED1" w:rsidRPr="00020413">
        <w:rPr>
          <w:rFonts w:ascii="Times New Roman" w:hAnsi="Times New Roman"/>
          <w:sz w:val="24"/>
          <w:szCs w:val="24"/>
        </w:rPr>
        <w:t>, 2000</w:t>
      </w:r>
      <w:r w:rsidR="00BE43BD" w:rsidRPr="00020413">
        <w:rPr>
          <w:rFonts w:ascii="Times New Roman" w:hAnsi="Times New Roman"/>
          <w:sz w:val="24"/>
          <w:szCs w:val="24"/>
        </w:rPr>
        <w:t xml:space="preserve">) </w:t>
      </w:r>
      <w:r w:rsidR="0000150F" w:rsidRPr="00020413">
        <w:rPr>
          <w:rFonts w:ascii="Times New Roman" w:hAnsi="Times New Roman"/>
          <w:sz w:val="24"/>
          <w:szCs w:val="24"/>
        </w:rPr>
        <w:t>and the acquisition of</w:t>
      </w:r>
      <w:r w:rsidR="00BE43BD" w:rsidRPr="00020413">
        <w:rPr>
          <w:rFonts w:ascii="Times New Roman" w:hAnsi="Times New Roman"/>
          <w:sz w:val="24"/>
          <w:szCs w:val="24"/>
        </w:rPr>
        <w:t xml:space="preserve"> soft credit information </w:t>
      </w:r>
      <w:r w:rsidR="0000150F" w:rsidRPr="00020413">
        <w:rPr>
          <w:rFonts w:ascii="Times New Roman" w:hAnsi="Times New Roman"/>
          <w:sz w:val="24"/>
          <w:szCs w:val="24"/>
        </w:rPr>
        <w:t>through</w:t>
      </w:r>
      <w:r w:rsidR="00BE43BD" w:rsidRPr="00020413">
        <w:rPr>
          <w:rFonts w:ascii="Times New Roman" w:hAnsi="Times New Roman"/>
          <w:sz w:val="24"/>
          <w:szCs w:val="24"/>
        </w:rPr>
        <w:t xml:space="preserve"> relationship banking (</w:t>
      </w:r>
      <w:r w:rsidR="00903C18" w:rsidRPr="00020413">
        <w:rPr>
          <w:rFonts w:ascii="Times New Roman" w:hAnsi="Times New Roman"/>
          <w:sz w:val="24"/>
          <w:szCs w:val="24"/>
          <w:shd w:val="clear" w:color="auto" w:fill="FFFFFF"/>
        </w:rPr>
        <w:t xml:space="preserve">Petersen and </w:t>
      </w:r>
      <w:proofErr w:type="spellStart"/>
      <w:r w:rsidR="00903C18" w:rsidRPr="00020413">
        <w:rPr>
          <w:rFonts w:ascii="Times New Roman" w:hAnsi="Times New Roman"/>
          <w:sz w:val="24"/>
          <w:szCs w:val="24"/>
          <w:shd w:val="clear" w:color="auto" w:fill="FFFFFF"/>
        </w:rPr>
        <w:t>Rajan</w:t>
      </w:r>
      <w:proofErr w:type="spellEnd"/>
      <w:r w:rsidR="00903C18" w:rsidRPr="00020413">
        <w:rPr>
          <w:rFonts w:ascii="Times New Roman" w:hAnsi="Times New Roman"/>
          <w:sz w:val="24"/>
          <w:szCs w:val="24"/>
          <w:shd w:val="clear" w:color="auto" w:fill="FFFFFF"/>
        </w:rPr>
        <w:t>, 1995</w:t>
      </w:r>
      <w:r w:rsidR="00BE43BD" w:rsidRPr="00020413">
        <w:rPr>
          <w:rFonts w:ascii="Times New Roman" w:hAnsi="Times New Roman"/>
          <w:sz w:val="24"/>
          <w:szCs w:val="24"/>
        </w:rPr>
        <w:t xml:space="preserve">), </w:t>
      </w:r>
      <w:r w:rsidR="00D5679F" w:rsidRPr="00020413">
        <w:rPr>
          <w:rFonts w:ascii="Times New Roman" w:hAnsi="Times New Roman"/>
          <w:sz w:val="24"/>
          <w:szCs w:val="24"/>
        </w:rPr>
        <w:t>we</w:t>
      </w:r>
      <w:r w:rsidRPr="00020413">
        <w:rPr>
          <w:rFonts w:ascii="Times New Roman" w:hAnsi="Times New Roman"/>
          <w:sz w:val="24"/>
          <w:szCs w:val="24"/>
        </w:rPr>
        <w:t xml:space="preserve"> now proceed to </w:t>
      </w:r>
      <w:r w:rsidR="00D5679F" w:rsidRPr="00020413">
        <w:rPr>
          <w:rFonts w:ascii="Times New Roman" w:hAnsi="Times New Roman"/>
          <w:sz w:val="24"/>
          <w:szCs w:val="24"/>
        </w:rPr>
        <w:t>condition</w:t>
      </w:r>
      <w:r w:rsidRPr="00020413">
        <w:rPr>
          <w:rFonts w:ascii="Times New Roman" w:hAnsi="Times New Roman"/>
          <w:sz w:val="24"/>
          <w:szCs w:val="24"/>
        </w:rPr>
        <w:t xml:space="preserve"> the relationship between </w:t>
      </w:r>
      <w:r w:rsidR="00011415" w:rsidRPr="00020413">
        <w:rPr>
          <w:rFonts w:ascii="Times New Roman" w:hAnsi="Times New Roman"/>
          <w:sz w:val="24"/>
          <w:szCs w:val="24"/>
        </w:rPr>
        <w:t xml:space="preserve">credit information sharing and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015494" w:rsidRPr="00020413">
        <w:rPr>
          <w:rFonts w:ascii="Times New Roman" w:hAnsi="Times New Roman"/>
          <w:sz w:val="24"/>
          <w:szCs w:val="24"/>
        </w:rPr>
        <w:t xml:space="preserve"> on banking market concentration</w:t>
      </w:r>
      <w:r w:rsidRPr="00020413">
        <w:rPr>
          <w:rFonts w:ascii="Times New Roman" w:hAnsi="Times New Roman"/>
          <w:sz w:val="24"/>
          <w:szCs w:val="24"/>
        </w:rPr>
        <w:t>.</w:t>
      </w:r>
      <w:r w:rsidR="00C62A13" w:rsidRPr="00020413">
        <w:rPr>
          <w:rFonts w:ascii="Times New Roman" w:hAnsi="Times New Roman"/>
          <w:sz w:val="24"/>
          <w:szCs w:val="24"/>
        </w:rPr>
        <w:t xml:space="preserve"> We present the findings in Table </w:t>
      </w:r>
      <w:r w:rsidR="002B0307" w:rsidRPr="00020413">
        <w:rPr>
          <w:rFonts w:ascii="Times New Roman" w:hAnsi="Times New Roman"/>
          <w:sz w:val="24"/>
          <w:szCs w:val="24"/>
        </w:rPr>
        <w:t>5</w:t>
      </w:r>
      <w:r w:rsidR="00C62A13" w:rsidRPr="00020413">
        <w:rPr>
          <w:rFonts w:ascii="Times New Roman" w:hAnsi="Times New Roman"/>
          <w:sz w:val="24"/>
          <w:szCs w:val="24"/>
        </w:rPr>
        <w:t>.</w:t>
      </w:r>
    </w:p>
    <w:p w:rsidR="00F057B0" w:rsidRPr="00020413" w:rsidRDefault="00F057B0"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t>[</w:t>
      </w:r>
      <w:r w:rsidR="00631692" w:rsidRPr="00020413">
        <w:rPr>
          <w:rFonts w:ascii="Times New Roman" w:hAnsi="Times New Roman"/>
          <w:b/>
          <w:sz w:val="28"/>
          <w:szCs w:val="24"/>
        </w:rPr>
        <w:t xml:space="preserve">Table </w:t>
      </w:r>
      <w:r w:rsidR="002B0307" w:rsidRPr="00020413">
        <w:rPr>
          <w:rFonts w:ascii="Times New Roman" w:hAnsi="Times New Roman"/>
          <w:b/>
          <w:sz w:val="28"/>
          <w:szCs w:val="24"/>
        </w:rPr>
        <w:t>5</w:t>
      </w:r>
      <w:r w:rsidRPr="00020413">
        <w:rPr>
          <w:rFonts w:ascii="Times New Roman" w:hAnsi="Times New Roman"/>
          <w:b/>
          <w:sz w:val="28"/>
          <w:szCs w:val="24"/>
        </w:rPr>
        <w:t xml:space="preserve"> about here]</w:t>
      </w:r>
    </w:p>
    <w:p w:rsidR="00B21EAC" w:rsidRPr="00020413" w:rsidRDefault="00FA5AF7" w:rsidP="000D4B3F">
      <w:pPr>
        <w:spacing w:after="120" w:line="360" w:lineRule="auto"/>
        <w:jc w:val="both"/>
        <w:rPr>
          <w:rFonts w:ascii="Times New Roman" w:hAnsi="Times New Roman"/>
          <w:sz w:val="24"/>
          <w:szCs w:val="24"/>
        </w:rPr>
      </w:pPr>
      <w:r w:rsidRPr="00020413">
        <w:rPr>
          <w:rFonts w:ascii="Times New Roman" w:hAnsi="Times New Roman"/>
          <w:sz w:val="24"/>
          <w:szCs w:val="24"/>
        </w:rPr>
        <w:t>In Models 1</w:t>
      </w:r>
      <w:r w:rsidR="008F755E" w:rsidRPr="00020413">
        <w:rPr>
          <w:rFonts w:ascii="Times New Roman" w:hAnsi="Times New Roman"/>
          <w:sz w:val="24"/>
          <w:szCs w:val="24"/>
        </w:rPr>
        <w:t xml:space="preserve"> to </w:t>
      </w:r>
      <w:r w:rsidR="00E31F9A" w:rsidRPr="00020413">
        <w:rPr>
          <w:rFonts w:ascii="Times New Roman" w:hAnsi="Times New Roman"/>
          <w:sz w:val="24"/>
          <w:szCs w:val="24"/>
        </w:rPr>
        <w:t>3</w:t>
      </w:r>
      <w:r w:rsidRPr="00020413">
        <w:rPr>
          <w:rFonts w:ascii="Times New Roman" w:hAnsi="Times New Roman"/>
          <w:sz w:val="24"/>
          <w:szCs w:val="24"/>
        </w:rPr>
        <w:t xml:space="preserve"> of </w:t>
      </w:r>
      <w:r w:rsidR="00631692" w:rsidRPr="00020413">
        <w:rPr>
          <w:rFonts w:ascii="Times New Roman" w:hAnsi="Times New Roman"/>
          <w:sz w:val="24"/>
          <w:szCs w:val="24"/>
        </w:rPr>
        <w:t xml:space="preserve">Table </w:t>
      </w:r>
      <w:r w:rsidR="00BF640C" w:rsidRPr="00020413">
        <w:rPr>
          <w:rFonts w:ascii="Times New Roman" w:hAnsi="Times New Roman"/>
          <w:sz w:val="24"/>
          <w:szCs w:val="24"/>
        </w:rPr>
        <w:t>5</w:t>
      </w:r>
      <w:r w:rsidRPr="00020413">
        <w:rPr>
          <w:rFonts w:ascii="Times New Roman" w:hAnsi="Times New Roman"/>
          <w:sz w:val="24"/>
          <w:szCs w:val="24"/>
        </w:rPr>
        <w:t xml:space="preserve">, we confirm the negative relationship between credit information sharing and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C36B5A" w:rsidRPr="00020413">
        <w:rPr>
          <w:rFonts w:ascii="Times New Roman" w:hAnsi="Times New Roman"/>
          <w:sz w:val="24"/>
          <w:szCs w:val="24"/>
        </w:rPr>
        <w:t>.</w:t>
      </w:r>
      <w:r w:rsidR="00851E90" w:rsidRPr="00020413">
        <w:rPr>
          <w:rFonts w:ascii="Times New Roman" w:hAnsi="Times New Roman"/>
          <w:sz w:val="24"/>
          <w:szCs w:val="24"/>
        </w:rPr>
        <w:t xml:space="preserve"> </w:t>
      </w:r>
      <w:r w:rsidR="00C36B5A" w:rsidRPr="00020413">
        <w:rPr>
          <w:rFonts w:ascii="Times New Roman" w:hAnsi="Times New Roman"/>
          <w:sz w:val="24"/>
          <w:szCs w:val="24"/>
        </w:rPr>
        <w:t>W</w:t>
      </w:r>
      <w:r w:rsidR="00851E90" w:rsidRPr="00020413">
        <w:rPr>
          <w:rFonts w:ascii="Times New Roman" w:hAnsi="Times New Roman"/>
          <w:sz w:val="24"/>
          <w:szCs w:val="24"/>
        </w:rPr>
        <w:t xml:space="preserve">e also </w:t>
      </w:r>
      <w:r w:rsidR="0082228F" w:rsidRPr="00020413">
        <w:rPr>
          <w:rFonts w:ascii="Times New Roman" w:hAnsi="Times New Roman"/>
          <w:sz w:val="24"/>
          <w:szCs w:val="24"/>
        </w:rPr>
        <w:t xml:space="preserve">find evidence for the moderating role of banking market </w:t>
      </w:r>
      <w:r w:rsidR="0082228F" w:rsidRPr="00020413">
        <w:rPr>
          <w:rFonts w:ascii="Times New Roman" w:hAnsi="Times New Roman"/>
          <w:sz w:val="24"/>
          <w:szCs w:val="24"/>
        </w:rPr>
        <w:lastRenderedPageBreak/>
        <w:t>concentration</w:t>
      </w:r>
      <w:r w:rsidR="000D4B3F" w:rsidRPr="00020413">
        <w:rPr>
          <w:rFonts w:ascii="Times New Roman" w:hAnsi="Times New Roman"/>
          <w:sz w:val="24"/>
          <w:szCs w:val="24"/>
        </w:rPr>
        <w:t xml:space="preserve"> on the credit information sharing–loan default rate nexus</w:t>
      </w:r>
      <w:r w:rsidR="0082228F" w:rsidRPr="00020413">
        <w:rPr>
          <w:rFonts w:ascii="Times New Roman" w:hAnsi="Times New Roman"/>
          <w:sz w:val="24"/>
          <w:szCs w:val="24"/>
        </w:rPr>
        <w:t>.</w:t>
      </w:r>
      <w:r w:rsidRPr="00020413">
        <w:rPr>
          <w:rFonts w:ascii="Times New Roman" w:hAnsi="Times New Roman"/>
          <w:sz w:val="24"/>
          <w:szCs w:val="24"/>
        </w:rPr>
        <w:t xml:space="preserve"> The</w:t>
      </w:r>
      <w:r w:rsidR="00946B65" w:rsidRPr="00020413">
        <w:rPr>
          <w:rFonts w:ascii="Times New Roman" w:hAnsi="Times New Roman"/>
          <w:sz w:val="24"/>
          <w:szCs w:val="24"/>
        </w:rPr>
        <w:t xml:space="preserve"> coefficients on the depth of credit information sharing </w:t>
      </w:r>
      <w:r w:rsidRPr="00020413">
        <w:rPr>
          <w:rFonts w:ascii="Times New Roman" w:hAnsi="Times New Roman"/>
          <w:sz w:val="24"/>
          <w:szCs w:val="24"/>
        </w:rPr>
        <w:t>remain</w:t>
      </w:r>
      <w:r w:rsidR="00946B65" w:rsidRPr="00020413">
        <w:rPr>
          <w:rFonts w:ascii="Times New Roman" w:hAnsi="Times New Roman"/>
          <w:sz w:val="24"/>
          <w:szCs w:val="24"/>
        </w:rPr>
        <w:t xml:space="preserve"> negative and</w:t>
      </w:r>
      <w:r w:rsidRPr="00020413">
        <w:rPr>
          <w:rFonts w:ascii="Times New Roman" w:hAnsi="Times New Roman"/>
          <w:sz w:val="24"/>
          <w:szCs w:val="24"/>
        </w:rPr>
        <w:t xml:space="preserve"> statistically significant</w:t>
      </w:r>
      <w:r w:rsidR="00E31F9A" w:rsidRPr="00020413">
        <w:rPr>
          <w:rFonts w:ascii="Times New Roman" w:hAnsi="Times New Roman"/>
          <w:sz w:val="24"/>
          <w:szCs w:val="24"/>
        </w:rPr>
        <w:t>.</w:t>
      </w:r>
      <w:r w:rsidR="007F19A5" w:rsidRPr="00020413">
        <w:rPr>
          <w:rFonts w:ascii="Times New Roman" w:hAnsi="Times New Roman"/>
          <w:sz w:val="24"/>
          <w:szCs w:val="24"/>
        </w:rPr>
        <w:t xml:space="preserve"> </w:t>
      </w:r>
      <w:r w:rsidR="000A55F1" w:rsidRPr="00020413">
        <w:rPr>
          <w:rFonts w:ascii="Times New Roman" w:hAnsi="Times New Roman"/>
          <w:sz w:val="24"/>
          <w:szCs w:val="24"/>
        </w:rPr>
        <w:t>Interestingly</w:t>
      </w:r>
      <w:r w:rsidRPr="00020413">
        <w:rPr>
          <w:rFonts w:ascii="Times New Roman" w:hAnsi="Times New Roman"/>
          <w:sz w:val="24"/>
          <w:szCs w:val="24"/>
        </w:rPr>
        <w:t xml:space="preserve">, </w:t>
      </w:r>
      <w:r w:rsidR="00851E90" w:rsidRPr="00020413">
        <w:rPr>
          <w:rFonts w:ascii="Times New Roman" w:hAnsi="Times New Roman"/>
          <w:sz w:val="24"/>
          <w:szCs w:val="24"/>
        </w:rPr>
        <w:t xml:space="preserve">the coefficients on the interaction terms between credit information sharing and banking market concentration </w:t>
      </w:r>
      <w:r w:rsidR="003C60B6" w:rsidRPr="00020413">
        <w:rPr>
          <w:rFonts w:ascii="Times New Roman" w:hAnsi="Times New Roman"/>
          <w:sz w:val="24"/>
          <w:szCs w:val="24"/>
        </w:rPr>
        <w:t>are</w:t>
      </w:r>
      <w:r w:rsidR="00851E90" w:rsidRPr="00020413">
        <w:rPr>
          <w:rFonts w:ascii="Times New Roman" w:hAnsi="Times New Roman"/>
          <w:sz w:val="24"/>
          <w:szCs w:val="24"/>
        </w:rPr>
        <w:t xml:space="preserve"> </w:t>
      </w:r>
      <w:r w:rsidRPr="00020413">
        <w:rPr>
          <w:rFonts w:ascii="Times New Roman" w:hAnsi="Times New Roman"/>
          <w:sz w:val="24"/>
          <w:szCs w:val="24"/>
        </w:rPr>
        <w:t>positive and statistically significant</w:t>
      </w:r>
      <w:r w:rsidR="0082228F" w:rsidRPr="00020413">
        <w:rPr>
          <w:rFonts w:ascii="Times New Roman" w:hAnsi="Times New Roman"/>
          <w:sz w:val="24"/>
          <w:szCs w:val="24"/>
        </w:rPr>
        <w:t xml:space="preserve">, </w:t>
      </w:r>
      <w:r w:rsidR="00C532C7" w:rsidRPr="00020413">
        <w:rPr>
          <w:rFonts w:ascii="Times New Roman" w:hAnsi="Times New Roman"/>
          <w:sz w:val="24"/>
          <w:szCs w:val="24"/>
        </w:rPr>
        <w:t>suggest</w:t>
      </w:r>
      <w:r w:rsidR="00851E90" w:rsidRPr="00020413">
        <w:rPr>
          <w:rFonts w:ascii="Times New Roman" w:hAnsi="Times New Roman"/>
          <w:sz w:val="24"/>
          <w:szCs w:val="24"/>
        </w:rPr>
        <w:t>ing</w:t>
      </w:r>
      <w:r w:rsidR="00C532C7" w:rsidRPr="00020413">
        <w:rPr>
          <w:rFonts w:ascii="Times New Roman" w:hAnsi="Times New Roman"/>
          <w:sz w:val="24"/>
          <w:szCs w:val="24"/>
        </w:rPr>
        <w:t xml:space="preserve"> that the reduction in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C532C7" w:rsidRPr="00020413">
        <w:rPr>
          <w:rFonts w:ascii="Times New Roman" w:hAnsi="Times New Roman"/>
          <w:sz w:val="24"/>
          <w:szCs w:val="24"/>
        </w:rPr>
        <w:t xml:space="preserve"> arising from credit information sharing is lower in concentrated banking markets. </w:t>
      </w:r>
    </w:p>
    <w:p w:rsidR="00B923BF" w:rsidRPr="00020413" w:rsidRDefault="00B923BF"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We confirm the moderating effect of banking market concentration on the relationship between credit information sharing and loan default rate </w:t>
      </w:r>
      <w:r w:rsidR="00CE0CD0" w:rsidRPr="00020413">
        <w:rPr>
          <w:rFonts w:ascii="Times New Roman" w:hAnsi="Times New Roman"/>
          <w:sz w:val="24"/>
          <w:szCs w:val="24"/>
        </w:rPr>
        <w:t>i</w:t>
      </w:r>
      <w:r w:rsidRPr="00020413">
        <w:rPr>
          <w:rFonts w:ascii="Times New Roman" w:hAnsi="Times New Roman"/>
          <w:sz w:val="24"/>
          <w:szCs w:val="24"/>
        </w:rPr>
        <w:t>n Models 4</w:t>
      </w:r>
      <w:r w:rsidR="004F09BC" w:rsidRPr="00020413">
        <w:rPr>
          <w:rFonts w:ascii="Times New Roman" w:hAnsi="Times New Roman"/>
          <w:sz w:val="24"/>
          <w:szCs w:val="24"/>
        </w:rPr>
        <w:t xml:space="preserve"> to </w:t>
      </w:r>
      <w:r w:rsidRPr="00020413">
        <w:rPr>
          <w:rFonts w:ascii="Times New Roman" w:hAnsi="Times New Roman"/>
          <w:sz w:val="24"/>
          <w:szCs w:val="24"/>
        </w:rPr>
        <w:t xml:space="preserve">9 of Table </w:t>
      </w:r>
      <w:r w:rsidR="004A4D55" w:rsidRPr="00020413">
        <w:rPr>
          <w:rFonts w:ascii="Times New Roman" w:hAnsi="Times New Roman"/>
          <w:sz w:val="24"/>
          <w:szCs w:val="24"/>
        </w:rPr>
        <w:t>5</w:t>
      </w:r>
      <w:r w:rsidRPr="00020413">
        <w:rPr>
          <w:rFonts w:ascii="Times New Roman" w:hAnsi="Times New Roman"/>
          <w:sz w:val="24"/>
          <w:szCs w:val="24"/>
        </w:rPr>
        <w:t>. In Models 4</w:t>
      </w:r>
      <w:r w:rsidR="004F09BC" w:rsidRPr="00020413">
        <w:rPr>
          <w:rFonts w:ascii="Times New Roman" w:hAnsi="Times New Roman"/>
          <w:sz w:val="24"/>
          <w:szCs w:val="24"/>
        </w:rPr>
        <w:t xml:space="preserve"> to </w:t>
      </w:r>
      <w:r w:rsidRPr="00020413">
        <w:rPr>
          <w:rFonts w:ascii="Times New Roman" w:hAnsi="Times New Roman"/>
          <w:sz w:val="24"/>
          <w:szCs w:val="24"/>
        </w:rPr>
        <w:t xml:space="preserve">6, the coefficients on the credit registry </w:t>
      </w:r>
      <w:r w:rsidR="00C525BD" w:rsidRPr="00020413">
        <w:rPr>
          <w:rFonts w:ascii="Times New Roman" w:hAnsi="Times New Roman"/>
          <w:sz w:val="24"/>
          <w:szCs w:val="24"/>
        </w:rPr>
        <w:t>(</w:t>
      </w:r>
      <w:r w:rsidR="00C525BD" w:rsidRPr="00020413">
        <w:rPr>
          <w:rFonts w:ascii="Times New Roman" w:hAnsi="Times New Roman"/>
          <w:i/>
          <w:sz w:val="24"/>
          <w:szCs w:val="24"/>
        </w:rPr>
        <w:t>Registry</w:t>
      </w:r>
      <w:r w:rsidR="00C525BD" w:rsidRPr="00020413">
        <w:rPr>
          <w:rFonts w:ascii="Times New Roman" w:hAnsi="Times New Roman"/>
          <w:sz w:val="24"/>
          <w:szCs w:val="24"/>
        </w:rPr>
        <w:t xml:space="preserve">) </w:t>
      </w:r>
      <w:r w:rsidRPr="00020413">
        <w:rPr>
          <w:rFonts w:ascii="Times New Roman" w:hAnsi="Times New Roman"/>
          <w:sz w:val="24"/>
          <w:szCs w:val="24"/>
        </w:rPr>
        <w:t xml:space="preserve">coverage remain negative and statistically significant at the 1% level, whilst the coefficients on the interaction term between this variable and banking market concentration </w:t>
      </w:r>
      <w:r w:rsidR="003B4258" w:rsidRPr="00020413">
        <w:rPr>
          <w:rFonts w:ascii="Times New Roman" w:hAnsi="Times New Roman"/>
          <w:sz w:val="24"/>
          <w:szCs w:val="24"/>
        </w:rPr>
        <w:t>(</w:t>
      </w:r>
      <w:r w:rsidR="003B4258" w:rsidRPr="00020413">
        <w:rPr>
          <w:rFonts w:ascii="Times New Roman" w:hAnsi="Times New Roman"/>
          <w:i/>
          <w:sz w:val="24"/>
          <w:szCs w:val="24"/>
        </w:rPr>
        <w:t>Concentration</w:t>
      </w:r>
      <w:r w:rsidR="003B4258" w:rsidRPr="00020413">
        <w:rPr>
          <w:rFonts w:ascii="Times New Roman" w:hAnsi="Times New Roman"/>
          <w:sz w:val="24"/>
          <w:szCs w:val="24"/>
        </w:rPr>
        <w:t xml:space="preserve"> X </w:t>
      </w:r>
      <w:r w:rsidR="003B4258" w:rsidRPr="00020413">
        <w:rPr>
          <w:rFonts w:ascii="Times New Roman" w:hAnsi="Times New Roman"/>
          <w:i/>
          <w:sz w:val="24"/>
          <w:szCs w:val="24"/>
        </w:rPr>
        <w:t>Registry</w:t>
      </w:r>
      <w:r w:rsidR="003B4258" w:rsidRPr="00020413">
        <w:rPr>
          <w:rFonts w:ascii="Times New Roman" w:hAnsi="Times New Roman"/>
          <w:sz w:val="24"/>
          <w:szCs w:val="24"/>
        </w:rPr>
        <w:t xml:space="preserve">) </w:t>
      </w:r>
      <w:r w:rsidRPr="00020413">
        <w:rPr>
          <w:rFonts w:ascii="Times New Roman" w:hAnsi="Times New Roman"/>
          <w:sz w:val="24"/>
          <w:szCs w:val="24"/>
        </w:rPr>
        <w:t xml:space="preserve">are positive and statistically significant at the 1% level. The same is true for </w:t>
      </w:r>
      <w:r w:rsidR="007D5C1E" w:rsidRPr="00020413">
        <w:rPr>
          <w:rFonts w:ascii="Times New Roman" w:hAnsi="Times New Roman"/>
          <w:sz w:val="24"/>
          <w:szCs w:val="24"/>
        </w:rPr>
        <w:t xml:space="preserve">the coefficients on private bureau </w:t>
      </w:r>
      <w:r w:rsidR="003B4258" w:rsidRPr="00020413">
        <w:rPr>
          <w:rFonts w:ascii="Times New Roman" w:hAnsi="Times New Roman"/>
          <w:sz w:val="24"/>
          <w:szCs w:val="24"/>
        </w:rPr>
        <w:t>(</w:t>
      </w:r>
      <w:r w:rsidR="003B4258" w:rsidRPr="00020413">
        <w:rPr>
          <w:rFonts w:ascii="Times New Roman" w:hAnsi="Times New Roman"/>
          <w:i/>
          <w:sz w:val="24"/>
          <w:szCs w:val="24"/>
        </w:rPr>
        <w:t>Bureau</w:t>
      </w:r>
      <w:r w:rsidR="003B4258" w:rsidRPr="00020413">
        <w:rPr>
          <w:rFonts w:ascii="Times New Roman" w:hAnsi="Times New Roman"/>
          <w:sz w:val="24"/>
          <w:szCs w:val="24"/>
        </w:rPr>
        <w:t xml:space="preserve">) </w:t>
      </w:r>
      <w:r w:rsidR="007D5C1E" w:rsidRPr="00020413">
        <w:rPr>
          <w:rFonts w:ascii="Times New Roman" w:hAnsi="Times New Roman"/>
          <w:sz w:val="24"/>
          <w:szCs w:val="24"/>
        </w:rPr>
        <w:t xml:space="preserve">and the interaction between this variable and concentration </w:t>
      </w:r>
      <w:r w:rsidR="003B4258" w:rsidRPr="00020413">
        <w:rPr>
          <w:rFonts w:ascii="Times New Roman" w:hAnsi="Times New Roman"/>
          <w:sz w:val="24"/>
          <w:szCs w:val="24"/>
        </w:rPr>
        <w:t>(</w:t>
      </w:r>
      <w:r w:rsidR="003B4258" w:rsidRPr="00020413">
        <w:rPr>
          <w:rFonts w:ascii="Times New Roman" w:hAnsi="Times New Roman"/>
          <w:i/>
          <w:sz w:val="24"/>
          <w:szCs w:val="24"/>
        </w:rPr>
        <w:t>Concentration</w:t>
      </w:r>
      <w:r w:rsidR="003B4258" w:rsidRPr="00020413">
        <w:rPr>
          <w:rFonts w:ascii="Times New Roman" w:hAnsi="Times New Roman"/>
          <w:sz w:val="24"/>
          <w:szCs w:val="24"/>
        </w:rPr>
        <w:t xml:space="preserve"> X </w:t>
      </w:r>
      <w:r w:rsidR="003B4258" w:rsidRPr="00020413">
        <w:rPr>
          <w:rFonts w:ascii="Times New Roman" w:hAnsi="Times New Roman"/>
          <w:i/>
          <w:sz w:val="24"/>
          <w:szCs w:val="24"/>
        </w:rPr>
        <w:t>Bureau</w:t>
      </w:r>
      <w:r w:rsidR="003B4258" w:rsidRPr="00020413">
        <w:rPr>
          <w:rFonts w:ascii="Times New Roman" w:hAnsi="Times New Roman"/>
          <w:sz w:val="24"/>
          <w:szCs w:val="24"/>
        </w:rPr>
        <w:t xml:space="preserve">) </w:t>
      </w:r>
      <w:r w:rsidR="007D5C1E" w:rsidRPr="00020413">
        <w:rPr>
          <w:rFonts w:ascii="Times New Roman" w:hAnsi="Times New Roman"/>
          <w:sz w:val="24"/>
          <w:szCs w:val="24"/>
        </w:rPr>
        <w:t>in Models 7</w:t>
      </w:r>
      <w:r w:rsidR="004F09BC" w:rsidRPr="00020413">
        <w:rPr>
          <w:rFonts w:ascii="Times New Roman" w:hAnsi="Times New Roman"/>
          <w:sz w:val="24"/>
          <w:szCs w:val="24"/>
        </w:rPr>
        <w:t xml:space="preserve"> to </w:t>
      </w:r>
      <w:r w:rsidR="007D5C1E" w:rsidRPr="00020413">
        <w:rPr>
          <w:rFonts w:ascii="Times New Roman" w:hAnsi="Times New Roman"/>
          <w:sz w:val="24"/>
          <w:szCs w:val="24"/>
        </w:rPr>
        <w:t>9.</w:t>
      </w:r>
      <w:r w:rsidRPr="00020413">
        <w:rPr>
          <w:rFonts w:ascii="Times New Roman" w:hAnsi="Times New Roman"/>
          <w:sz w:val="24"/>
          <w:szCs w:val="24"/>
        </w:rPr>
        <w:t xml:space="preserve"> The</w:t>
      </w:r>
      <w:r w:rsidR="00DB1E66" w:rsidRPr="00020413">
        <w:rPr>
          <w:rFonts w:ascii="Times New Roman" w:hAnsi="Times New Roman"/>
          <w:sz w:val="24"/>
          <w:szCs w:val="24"/>
        </w:rPr>
        <w:t>se</w:t>
      </w:r>
      <w:r w:rsidRPr="00020413">
        <w:rPr>
          <w:rFonts w:ascii="Times New Roman" w:hAnsi="Times New Roman"/>
          <w:sz w:val="24"/>
          <w:szCs w:val="24"/>
        </w:rPr>
        <w:t xml:space="preserve"> finding</w:t>
      </w:r>
      <w:r w:rsidR="00DB1E66" w:rsidRPr="00020413">
        <w:rPr>
          <w:rFonts w:ascii="Times New Roman" w:hAnsi="Times New Roman"/>
          <w:sz w:val="24"/>
          <w:szCs w:val="24"/>
        </w:rPr>
        <w:t>s suggest</w:t>
      </w:r>
      <w:r w:rsidRPr="00020413">
        <w:rPr>
          <w:rFonts w:ascii="Times New Roman" w:hAnsi="Times New Roman"/>
          <w:sz w:val="24"/>
          <w:szCs w:val="24"/>
        </w:rPr>
        <w:t xml:space="preserve"> that, although an increase in credit registry</w:t>
      </w:r>
      <w:r w:rsidR="007D5C1E" w:rsidRPr="00020413">
        <w:rPr>
          <w:rFonts w:ascii="Times New Roman" w:hAnsi="Times New Roman"/>
          <w:sz w:val="24"/>
          <w:szCs w:val="24"/>
        </w:rPr>
        <w:t xml:space="preserve"> and private bureau</w:t>
      </w:r>
      <w:r w:rsidRPr="00020413">
        <w:rPr>
          <w:rFonts w:ascii="Times New Roman" w:hAnsi="Times New Roman"/>
          <w:sz w:val="24"/>
          <w:szCs w:val="24"/>
        </w:rPr>
        <w:t xml:space="preserve"> coverage is associated with a reduction in loan default rate, the reduction in loan default rate decreases with banking market concentration.</w:t>
      </w:r>
      <w:r w:rsidR="004A4D55" w:rsidRPr="00020413">
        <w:rPr>
          <w:rFonts w:ascii="Times New Roman" w:hAnsi="Times New Roman"/>
          <w:sz w:val="24"/>
          <w:szCs w:val="24"/>
        </w:rPr>
        <w:t xml:space="preserve"> </w:t>
      </w:r>
    </w:p>
    <w:p w:rsidR="00B21EAC" w:rsidRPr="00020413" w:rsidRDefault="00B21EAC" w:rsidP="00D55D24">
      <w:pPr>
        <w:spacing w:after="120" w:line="360" w:lineRule="auto"/>
        <w:jc w:val="center"/>
        <w:rPr>
          <w:rFonts w:ascii="Times New Roman" w:hAnsi="Times New Roman"/>
          <w:sz w:val="24"/>
          <w:szCs w:val="24"/>
        </w:rPr>
      </w:pPr>
      <w:r w:rsidRPr="00020413">
        <w:rPr>
          <w:rFonts w:ascii="Times New Roman" w:hAnsi="Times New Roman"/>
          <w:b/>
          <w:sz w:val="28"/>
          <w:szCs w:val="24"/>
        </w:rPr>
        <w:t xml:space="preserve">[Table </w:t>
      </w:r>
      <w:r w:rsidR="00B923BF" w:rsidRPr="00020413">
        <w:rPr>
          <w:rFonts w:ascii="Times New Roman" w:hAnsi="Times New Roman"/>
          <w:b/>
          <w:sz w:val="28"/>
          <w:szCs w:val="24"/>
        </w:rPr>
        <w:t>6</w:t>
      </w:r>
      <w:r w:rsidRPr="00020413">
        <w:rPr>
          <w:rFonts w:ascii="Times New Roman" w:hAnsi="Times New Roman"/>
          <w:b/>
          <w:sz w:val="28"/>
          <w:szCs w:val="24"/>
        </w:rPr>
        <w:t xml:space="preserve"> about here]</w:t>
      </w:r>
    </w:p>
    <w:p w:rsidR="00C25232" w:rsidRPr="00020413" w:rsidRDefault="00F70A86"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To </w:t>
      </w:r>
      <w:r w:rsidR="00C36B5A" w:rsidRPr="00020413">
        <w:rPr>
          <w:rFonts w:ascii="Times New Roman" w:hAnsi="Times New Roman"/>
          <w:sz w:val="24"/>
          <w:szCs w:val="24"/>
        </w:rPr>
        <w:t>show t</w:t>
      </w:r>
      <w:r w:rsidRPr="00020413">
        <w:rPr>
          <w:rFonts w:ascii="Times New Roman" w:hAnsi="Times New Roman"/>
          <w:sz w:val="24"/>
          <w:szCs w:val="24"/>
        </w:rPr>
        <w:t>he moderating role of banking market concentration, w</w:t>
      </w:r>
      <w:r w:rsidR="000A55F1" w:rsidRPr="00020413">
        <w:rPr>
          <w:rFonts w:ascii="Times New Roman" w:hAnsi="Times New Roman"/>
          <w:sz w:val="24"/>
          <w:szCs w:val="24"/>
        </w:rPr>
        <w:t>e evaluate the statistical and economic significan</w:t>
      </w:r>
      <w:r w:rsidR="00EF4C2C" w:rsidRPr="00020413">
        <w:rPr>
          <w:rFonts w:ascii="Times New Roman" w:hAnsi="Times New Roman"/>
          <w:sz w:val="24"/>
          <w:szCs w:val="24"/>
        </w:rPr>
        <w:t>ce</w:t>
      </w:r>
      <w:r w:rsidR="000A55F1" w:rsidRPr="00020413">
        <w:rPr>
          <w:rFonts w:ascii="Times New Roman" w:hAnsi="Times New Roman"/>
          <w:sz w:val="24"/>
          <w:szCs w:val="24"/>
        </w:rPr>
        <w:t xml:space="preserve"> of </w:t>
      </w:r>
      <w:r w:rsidR="00976830" w:rsidRPr="00020413">
        <w:rPr>
          <w:rFonts w:ascii="Times New Roman" w:hAnsi="Times New Roman"/>
          <w:sz w:val="24"/>
          <w:szCs w:val="24"/>
        </w:rPr>
        <w:t>the above</w:t>
      </w:r>
      <w:r w:rsidR="000A55F1" w:rsidRPr="00020413">
        <w:rPr>
          <w:rFonts w:ascii="Times New Roman" w:hAnsi="Times New Roman"/>
          <w:sz w:val="24"/>
          <w:szCs w:val="24"/>
        </w:rPr>
        <w:t xml:space="preserve"> finding</w:t>
      </w:r>
      <w:r w:rsidR="00976830" w:rsidRPr="00020413">
        <w:rPr>
          <w:rFonts w:ascii="Times New Roman" w:hAnsi="Times New Roman"/>
          <w:sz w:val="24"/>
          <w:szCs w:val="24"/>
        </w:rPr>
        <w:t>s</w:t>
      </w:r>
      <w:r w:rsidR="000A55F1" w:rsidRPr="00020413">
        <w:rPr>
          <w:rFonts w:ascii="Times New Roman" w:hAnsi="Times New Roman"/>
          <w:sz w:val="24"/>
          <w:szCs w:val="24"/>
        </w:rPr>
        <w:t xml:space="preserve"> by presenting the marginal effect of </w:t>
      </w:r>
      <w:r w:rsidR="00161E52" w:rsidRPr="00020413">
        <w:rPr>
          <w:rFonts w:ascii="Times New Roman" w:hAnsi="Times New Roman"/>
          <w:sz w:val="24"/>
          <w:szCs w:val="24"/>
        </w:rPr>
        <w:t xml:space="preserve">the depth of </w:t>
      </w:r>
      <w:r w:rsidR="000A55F1" w:rsidRPr="00020413">
        <w:rPr>
          <w:rFonts w:ascii="Times New Roman" w:hAnsi="Times New Roman"/>
          <w:sz w:val="24"/>
          <w:szCs w:val="24"/>
        </w:rPr>
        <w:t>information sharing evaluated</w:t>
      </w:r>
      <w:r w:rsidR="00631692" w:rsidRPr="00020413">
        <w:rPr>
          <w:rFonts w:ascii="Times New Roman" w:hAnsi="Times New Roman"/>
          <w:sz w:val="24"/>
          <w:szCs w:val="24"/>
        </w:rPr>
        <w:t xml:space="preserve"> </w:t>
      </w:r>
      <w:r w:rsidR="00D6238F" w:rsidRPr="00020413">
        <w:rPr>
          <w:rFonts w:ascii="Times New Roman" w:hAnsi="Times New Roman"/>
          <w:sz w:val="24"/>
          <w:szCs w:val="24"/>
        </w:rPr>
        <w:t xml:space="preserve">at </w:t>
      </w:r>
      <w:r w:rsidR="00631692" w:rsidRPr="00020413">
        <w:rPr>
          <w:rFonts w:ascii="Times New Roman" w:hAnsi="Times New Roman"/>
          <w:sz w:val="24"/>
          <w:szCs w:val="24"/>
        </w:rPr>
        <w:t>the sample mean of default and</w:t>
      </w:r>
      <w:r w:rsidR="000A55F1" w:rsidRPr="00020413">
        <w:rPr>
          <w:rFonts w:ascii="Times New Roman" w:hAnsi="Times New Roman"/>
          <w:sz w:val="24"/>
          <w:szCs w:val="24"/>
        </w:rPr>
        <w:t xml:space="preserve"> at the relevant levels of banking market concentration</w:t>
      </w:r>
      <w:r w:rsidR="00C36B5A" w:rsidRPr="00020413">
        <w:rPr>
          <w:rFonts w:ascii="Times New Roman" w:hAnsi="Times New Roman"/>
          <w:sz w:val="24"/>
          <w:szCs w:val="24"/>
        </w:rPr>
        <w:t xml:space="preserve"> (see Table 6)</w:t>
      </w:r>
      <w:r w:rsidR="000A55F1" w:rsidRPr="00020413">
        <w:rPr>
          <w:rFonts w:ascii="Times New Roman" w:hAnsi="Times New Roman"/>
          <w:sz w:val="24"/>
          <w:szCs w:val="24"/>
        </w:rPr>
        <w:t xml:space="preserve">. </w:t>
      </w:r>
      <w:r w:rsidR="00631692" w:rsidRPr="00020413">
        <w:rPr>
          <w:rFonts w:ascii="Times New Roman" w:hAnsi="Times New Roman"/>
          <w:sz w:val="24"/>
          <w:szCs w:val="24"/>
        </w:rPr>
        <w:t>The results suggest that the effect of credit information sharing on loan default is also economically significant.</w:t>
      </w:r>
      <w:r w:rsidR="00C36B5A" w:rsidRPr="00020413">
        <w:rPr>
          <w:rFonts w:ascii="Times New Roman" w:hAnsi="Times New Roman"/>
          <w:sz w:val="24"/>
          <w:szCs w:val="24"/>
        </w:rPr>
        <w:t xml:space="preserve"> </w:t>
      </w:r>
      <w:r w:rsidR="00C532C7" w:rsidRPr="00020413">
        <w:rPr>
          <w:rFonts w:ascii="Times New Roman" w:hAnsi="Times New Roman"/>
          <w:sz w:val="24"/>
          <w:szCs w:val="24"/>
        </w:rPr>
        <w:t>For instance,</w:t>
      </w:r>
      <w:r w:rsidR="00392D0A" w:rsidRPr="00020413">
        <w:rPr>
          <w:rFonts w:ascii="Times New Roman" w:hAnsi="Times New Roman"/>
          <w:sz w:val="24"/>
          <w:szCs w:val="24"/>
        </w:rPr>
        <w:t xml:space="preserve"> based on Model</w:t>
      </w:r>
      <w:r w:rsidR="00631692" w:rsidRPr="00020413">
        <w:rPr>
          <w:rFonts w:ascii="Times New Roman" w:hAnsi="Times New Roman"/>
          <w:sz w:val="24"/>
          <w:szCs w:val="24"/>
        </w:rPr>
        <w:t>s</w:t>
      </w:r>
      <w:r w:rsidR="00392D0A" w:rsidRPr="00020413">
        <w:rPr>
          <w:rFonts w:ascii="Times New Roman" w:hAnsi="Times New Roman"/>
          <w:sz w:val="24"/>
          <w:szCs w:val="24"/>
        </w:rPr>
        <w:t xml:space="preserve"> 1</w:t>
      </w:r>
      <w:r w:rsidR="006477E6" w:rsidRPr="00020413">
        <w:rPr>
          <w:rFonts w:ascii="Times New Roman" w:hAnsi="Times New Roman"/>
          <w:sz w:val="24"/>
          <w:szCs w:val="24"/>
        </w:rPr>
        <w:t xml:space="preserve"> to </w:t>
      </w:r>
      <w:r w:rsidR="00631692" w:rsidRPr="00020413">
        <w:rPr>
          <w:rFonts w:ascii="Times New Roman" w:hAnsi="Times New Roman"/>
          <w:sz w:val="24"/>
          <w:szCs w:val="24"/>
        </w:rPr>
        <w:t>3</w:t>
      </w:r>
      <w:r w:rsidR="00392D0A" w:rsidRPr="00020413">
        <w:rPr>
          <w:rFonts w:ascii="Times New Roman" w:hAnsi="Times New Roman"/>
          <w:sz w:val="24"/>
          <w:szCs w:val="24"/>
        </w:rPr>
        <w:t xml:space="preserve"> of Table </w:t>
      </w:r>
      <w:r w:rsidR="00631692" w:rsidRPr="00020413">
        <w:rPr>
          <w:rFonts w:ascii="Times New Roman" w:hAnsi="Times New Roman"/>
          <w:sz w:val="24"/>
          <w:szCs w:val="24"/>
        </w:rPr>
        <w:t>5</w:t>
      </w:r>
      <w:r w:rsidR="00392D0A" w:rsidRPr="00020413">
        <w:rPr>
          <w:rFonts w:ascii="Times New Roman" w:hAnsi="Times New Roman"/>
          <w:sz w:val="24"/>
          <w:szCs w:val="24"/>
        </w:rPr>
        <w:t>,</w:t>
      </w:r>
      <w:r w:rsidR="00C532C7" w:rsidRPr="00020413">
        <w:rPr>
          <w:rFonts w:ascii="Times New Roman" w:hAnsi="Times New Roman"/>
          <w:sz w:val="24"/>
          <w:szCs w:val="24"/>
        </w:rPr>
        <w:t xml:space="preserve"> </w:t>
      </w:r>
      <w:r w:rsidR="000A55F1" w:rsidRPr="00020413">
        <w:rPr>
          <w:rFonts w:ascii="Times New Roman" w:hAnsi="Times New Roman"/>
          <w:sz w:val="24"/>
          <w:szCs w:val="24"/>
        </w:rPr>
        <w:t xml:space="preserve">the marginal effect analysis in </w:t>
      </w:r>
      <w:r w:rsidR="00631692" w:rsidRPr="00020413">
        <w:rPr>
          <w:rFonts w:ascii="Times New Roman" w:hAnsi="Times New Roman"/>
          <w:sz w:val="24"/>
          <w:szCs w:val="24"/>
        </w:rPr>
        <w:t>Table 6</w:t>
      </w:r>
      <w:r w:rsidR="000A55F1" w:rsidRPr="00020413">
        <w:rPr>
          <w:rFonts w:ascii="Times New Roman" w:hAnsi="Times New Roman"/>
          <w:sz w:val="24"/>
          <w:szCs w:val="24"/>
        </w:rPr>
        <w:t xml:space="preserve"> shows that</w:t>
      </w:r>
      <w:r w:rsidR="00EF4C2C" w:rsidRPr="00020413">
        <w:rPr>
          <w:rFonts w:ascii="Times New Roman" w:hAnsi="Times New Roman"/>
          <w:sz w:val="24"/>
          <w:szCs w:val="24"/>
        </w:rPr>
        <w:t>,</w:t>
      </w:r>
      <w:r w:rsidR="000A55F1" w:rsidRPr="00020413">
        <w:rPr>
          <w:rFonts w:ascii="Times New Roman" w:hAnsi="Times New Roman"/>
          <w:sz w:val="24"/>
          <w:szCs w:val="24"/>
        </w:rPr>
        <w:t xml:space="preserve"> </w:t>
      </w:r>
      <w:r w:rsidR="00C532C7" w:rsidRPr="00020413">
        <w:rPr>
          <w:rFonts w:ascii="Times New Roman" w:hAnsi="Times New Roman"/>
          <w:sz w:val="24"/>
          <w:szCs w:val="24"/>
        </w:rPr>
        <w:t>at the 25</w:t>
      </w:r>
      <w:r w:rsidR="00C532C7" w:rsidRPr="00020413">
        <w:rPr>
          <w:rFonts w:ascii="Times New Roman" w:hAnsi="Times New Roman"/>
          <w:sz w:val="24"/>
          <w:szCs w:val="24"/>
          <w:vertAlign w:val="superscript"/>
        </w:rPr>
        <w:t>th</w:t>
      </w:r>
      <w:r w:rsidR="00C532C7" w:rsidRPr="00020413">
        <w:rPr>
          <w:rFonts w:ascii="Times New Roman" w:hAnsi="Times New Roman"/>
          <w:sz w:val="24"/>
          <w:szCs w:val="24"/>
        </w:rPr>
        <w:t xml:space="preserve"> percentile of concentration</w:t>
      </w:r>
      <w:r w:rsidR="00EF4C2C" w:rsidRPr="00020413">
        <w:rPr>
          <w:rFonts w:ascii="Times New Roman" w:hAnsi="Times New Roman"/>
          <w:sz w:val="24"/>
          <w:szCs w:val="24"/>
        </w:rPr>
        <w:t>,</w:t>
      </w:r>
      <w:r w:rsidR="00C532C7" w:rsidRPr="00020413">
        <w:rPr>
          <w:rFonts w:ascii="Times New Roman" w:hAnsi="Times New Roman"/>
          <w:sz w:val="24"/>
          <w:szCs w:val="24"/>
        </w:rPr>
        <w:t xml:space="preserve"> </w:t>
      </w:r>
      <w:r w:rsidR="00631692" w:rsidRPr="00020413">
        <w:rPr>
          <w:rFonts w:ascii="Times New Roman" w:hAnsi="Times New Roman"/>
          <w:sz w:val="24"/>
          <w:szCs w:val="24"/>
        </w:rPr>
        <w:t>a on</w:t>
      </w:r>
      <w:r w:rsidR="00D6238F" w:rsidRPr="00020413">
        <w:rPr>
          <w:rFonts w:ascii="Times New Roman" w:hAnsi="Times New Roman"/>
          <w:sz w:val="24"/>
          <w:szCs w:val="24"/>
        </w:rPr>
        <w:t>e</w:t>
      </w:r>
      <w:r w:rsidR="00631692" w:rsidRPr="00020413">
        <w:rPr>
          <w:rFonts w:ascii="Times New Roman" w:hAnsi="Times New Roman"/>
          <w:sz w:val="24"/>
          <w:szCs w:val="24"/>
        </w:rPr>
        <w:t xml:space="preserve"> standard deviation increase in the depth of credit information sharing could reduce loan default by </w:t>
      </w:r>
      <w:r w:rsidR="009A2B37" w:rsidRPr="00020413">
        <w:rPr>
          <w:rFonts w:ascii="Times New Roman" w:hAnsi="Times New Roman"/>
          <w:sz w:val="24"/>
          <w:szCs w:val="24"/>
        </w:rPr>
        <w:t>about 2.</w:t>
      </w:r>
      <w:r w:rsidR="00926389" w:rsidRPr="00020413">
        <w:rPr>
          <w:rFonts w:ascii="Times New Roman" w:hAnsi="Times New Roman"/>
          <w:sz w:val="24"/>
          <w:szCs w:val="24"/>
        </w:rPr>
        <w:t>23-2.2</w:t>
      </w:r>
      <w:r w:rsidR="00D6238F" w:rsidRPr="00020413">
        <w:rPr>
          <w:rFonts w:ascii="Times New Roman" w:hAnsi="Times New Roman"/>
          <w:sz w:val="24"/>
          <w:szCs w:val="24"/>
        </w:rPr>
        <w:t>7</w:t>
      </w:r>
      <w:r w:rsidR="009A2B37" w:rsidRPr="00020413">
        <w:rPr>
          <w:rFonts w:ascii="Times New Roman" w:hAnsi="Times New Roman"/>
          <w:sz w:val="24"/>
          <w:szCs w:val="24"/>
        </w:rPr>
        <w:t xml:space="preserve"> percentage points</w:t>
      </w:r>
      <w:r w:rsidR="003F479D" w:rsidRPr="00020413">
        <w:rPr>
          <w:rFonts w:ascii="Times New Roman" w:hAnsi="Times New Roman"/>
          <w:sz w:val="24"/>
          <w:szCs w:val="24"/>
        </w:rPr>
        <w:t xml:space="preserve"> in the short run (Panel 1)</w:t>
      </w:r>
      <w:r w:rsidR="009A2B37" w:rsidRPr="00020413">
        <w:rPr>
          <w:rFonts w:ascii="Times New Roman" w:hAnsi="Times New Roman"/>
          <w:sz w:val="24"/>
          <w:szCs w:val="24"/>
        </w:rPr>
        <w:t xml:space="preserve">. </w:t>
      </w:r>
      <w:r w:rsidR="00C532C7" w:rsidRPr="00020413">
        <w:rPr>
          <w:rFonts w:ascii="Times New Roman" w:hAnsi="Times New Roman"/>
          <w:sz w:val="24"/>
          <w:szCs w:val="24"/>
        </w:rPr>
        <w:t xml:space="preserve">This effect reduces to </w:t>
      </w:r>
      <w:r w:rsidR="00926389" w:rsidRPr="00020413">
        <w:rPr>
          <w:rFonts w:ascii="Times New Roman" w:hAnsi="Times New Roman"/>
          <w:sz w:val="24"/>
          <w:szCs w:val="24"/>
        </w:rPr>
        <w:t>1.95-1.99</w:t>
      </w:r>
      <w:r w:rsidR="009A2B37" w:rsidRPr="00020413">
        <w:rPr>
          <w:rFonts w:ascii="Times New Roman" w:hAnsi="Times New Roman"/>
          <w:sz w:val="24"/>
          <w:szCs w:val="24"/>
        </w:rPr>
        <w:t xml:space="preserve"> percentage points </w:t>
      </w:r>
      <w:r w:rsidR="00240F2F" w:rsidRPr="00020413">
        <w:rPr>
          <w:rFonts w:ascii="Times New Roman" w:hAnsi="Times New Roman"/>
          <w:sz w:val="24"/>
          <w:szCs w:val="24"/>
        </w:rPr>
        <w:t>a</w:t>
      </w:r>
      <w:r w:rsidR="00C532C7" w:rsidRPr="00020413">
        <w:rPr>
          <w:rFonts w:ascii="Times New Roman" w:hAnsi="Times New Roman"/>
          <w:sz w:val="24"/>
          <w:szCs w:val="24"/>
        </w:rPr>
        <w:t>t the 75</w:t>
      </w:r>
      <w:r w:rsidR="00804843" w:rsidRPr="00020413">
        <w:rPr>
          <w:rFonts w:ascii="Times New Roman" w:hAnsi="Times New Roman"/>
          <w:sz w:val="24"/>
          <w:szCs w:val="24"/>
          <w:vertAlign w:val="superscript"/>
        </w:rPr>
        <w:t>th</w:t>
      </w:r>
      <w:r w:rsidR="00C532C7" w:rsidRPr="00020413">
        <w:rPr>
          <w:rFonts w:ascii="Times New Roman" w:hAnsi="Times New Roman"/>
          <w:sz w:val="24"/>
          <w:szCs w:val="24"/>
        </w:rPr>
        <w:t xml:space="preserve"> percentile of </w:t>
      </w:r>
      <w:r w:rsidR="00737370" w:rsidRPr="00020413">
        <w:rPr>
          <w:rFonts w:ascii="Times New Roman" w:hAnsi="Times New Roman"/>
          <w:sz w:val="24"/>
          <w:szCs w:val="24"/>
        </w:rPr>
        <w:t>banking market concentration</w:t>
      </w:r>
      <w:r w:rsidR="000A55F1" w:rsidRPr="00020413">
        <w:rPr>
          <w:rFonts w:ascii="Times New Roman" w:hAnsi="Times New Roman"/>
          <w:sz w:val="24"/>
          <w:szCs w:val="24"/>
        </w:rPr>
        <w:t xml:space="preserve">. </w:t>
      </w:r>
      <w:r w:rsidR="00926389" w:rsidRPr="00020413">
        <w:rPr>
          <w:rFonts w:ascii="Times New Roman" w:hAnsi="Times New Roman"/>
          <w:sz w:val="24"/>
          <w:szCs w:val="24"/>
        </w:rPr>
        <w:t>Thus, the change in the reduction in loan default for a country moving from the 25</w:t>
      </w:r>
      <w:r w:rsidR="00926389" w:rsidRPr="00020413">
        <w:rPr>
          <w:rFonts w:ascii="Times New Roman" w:hAnsi="Times New Roman"/>
          <w:sz w:val="24"/>
          <w:szCs w:val="24"/>
          <w:vertAlign w:val="superscript"/>
        </w:rPr>
        <w:t>th</w:t>
      </w:r>
      <w:r w:rsidR="00926389" w:rsidRPr="00020413">
        <w:rPr>
          <w:rFonts w:ascii="Times New Roman" w:hAnsi="Times New Roman"/>
          <w:sz w:val="24"/>
          <w:szCs w:val="24"/>
        </w:rPr>
        <w:t xml:space="preserve"> </w:t>
      </w:r>
      <w:r w:rsidR="003F479D" w:rsidRPr="00020413">
        <w:rPr>
          <w:rFonts w:ascii="Times New Roman" w:hAnsi="Times New Roman"/>
          <w:sz w:val="24"/>
          <w:szCs w:val="24"/>
        </w:rPr>
        <w:t>percentile to</w:t>
      </w:r>
      <w:r w:rsidR="00926389" w:rsidRPr="00020413">
        <w:rPr>
          <w:rFonts w:ascii="Times New Roman" w:hAnsi="Times New Roman"/>
          <w:sz w:val="24"/>
          <w:szCs w:val="24"/>
        </w:rPr>
        <w:t xml:space="preserve"> the 75</w:t>
      </w:r>
      <w:r w:rsidR="00926389" w:rsidRPr="00020413">
        <w:rPr>
          <w:rFonts w:ascii="Times New Roman" w:hAnsi="Times New Roman"/>
          <w:sz w:val="24"/>
          <w:szCs w:val="24"/>
          <w:vertAlign w:val="superscript"/>
        </w:rPr>
        <w:t>th</w:t>
      </w:r>
      <w:r w:rsidR="00926389" w:rsidRPr="00020413">
        <w:rPr>
          <w:rFonts w:ascii="Times New Roman" w:hAnsi="Times New Roman"/>
          <w:sz w:val="24"/>
          <w:szCs w:val="24"/>
        </w:rPr>
        <w:t xml:space="preserve"> percentile of banking market concentration is approximately 0.3 percentage points</w:t>
      </w:r>
      <w:r w:rsidR="006378CF" w:rsidRPr="00020413">
        <w:rPr>
          <w:rFonts w:ascii="Times New Roman" w:hAnsi="Times New Roman"/>
          <w:sz w:val="24"/>
          <w:szCs w:val="24"/>
        </w:rPr>
        <w:t>,</w:t>
      </w:r>
      <w:r w:rsidR="00926389" w:rsidRPr="00020413">
        <w:rPr>
          <w:rFonts w:ascii="Times New Roman" w:hAnsi="Times New Roman"/>
          <w:sz w:val="24"/>
          <w:szCs w:val="24"/>
        </w:rPr>
        <w:t xml:space="preserve"> which is statistically significant at the 1% level.</w:t>
      </w:r>
      <w:r w:rsidR="003F479D" w:rsidRPr="00020413">
        <w:rPr>
          <w:rFonts w:ascii="Times New Roman" w:hAnsi="Times New Roman"/>
          <w:sz w:val="24"/>
          <w:szCs w:val="24"/>
        </w:rPr>
        <w:t xml:space="preserve"> In the long run (Panel 2), the same shift in banking market </w:t>
      </w:r>
      <w:r w:rsidR="00CD7A3D" w:rsidRPr="00020413">
        <w:rPr>
          <w:rFonts w:ascii="Times New Roman" w:hAnsi="Times New Roman"/>
          <w:sz w:val="24"/>
          <w:szCs w:val="24"/>
        </w:rPr>
        <w:t>concentration</w:t>
      </w:r>
      <w:r w:rsidR="003F479D" w:rsidRPr="00020413">
        <w:rPr>
          <w:rFonts w:ascii="Times New Roman" w:hAnsi="Times New Roman"/>
          <w:sz w:val="24"/>
          <w:szCs w:val="24"/>
        </w:rPr>
        <w:t xml:space="preserve"> (from the 25</w:t>
      </w:r>
      <w:r w:rsidR="003F479D" w:rsidRPr="00020413">
        <w:rPr>
          <w:rFonts w:ascii="Times New Roman" w:hAnsi="Times New Roman"/>
          <w:sz w:val="24"/>
          <w:szCs w:val="24"/>
          <w:vertAlign w:val="superscript"/>
        </w:rPr>
        <w:t>th</w:t>
      </w:r>
      <w:r w:rsidR="003F479D" w:rsidRPr="00020413">
        <w:rPr>
          <w:rFonts w:ascii="Times New Roman" w:hAnsi="Times New Roman"/>
          <w:sz w:val="24"/>
          <w:szCs w:val="24"/>
        </w:rPr>
        <w:t xml:space="preserve"> to the 75</w:t>
      </w:r>
      <w:r w:rsidR="003F479D" w:rsidRPr="00020413">
        <w:rPr>
          <w:rFonts w:ascii="Times New Roman" w:hAnsi="Times New Roman"/>
          <w:sz w:val="24"/>
          <w:szCs w:val="24"/>
          <w:vertAlign w:val="superscript"/>
        </w:rPr>
        <w:t>th</w:t>
      </w:r>
      <w:r w:rsidR="003F479D" w:rsidRPr="00020413">
        <w:rPr>
          <w:rFonts w:ascii="Times New Roman" w:hAnsi="Times New Roman"/>
          <w:sz w:val="24"/>
          <w:szCs w:val="24"/>
        </w:rPr>
        <w:t xml:space="preserve"> percentiles) could reduce the effect of credit information sharing by approximately 1 percentage point.</w:t>
      </w:r>
      <w:r w:rsidR="00BB099E" w:rsidRPr="00020413">
        <w:rPr>
          <w:rFonts w:ascii="Times New Roman" w:hAnsi="Times New Roman"/>
          <w:sz w:val="24"/>
          <w:szCs w:val="24"/>
        </w:rPr>
        <w:t xml:space="preserve"> </w:t>
      </w:r>
      <w:r w:rsidR="006F0BAC" w:rsidRPr="00020413">
        <w:rPr>
          <w:rFonts w:ascii="Times New Roman" w:hAnsi="Times New Roman"/>
          <w:sz w:val="24"/>
          <w:szCs w:val="24"/>
        </w:rPr>
        <w:t xml:space="preserve">Similar results are obtained </w:t>
      </w:r>
      <w:r w:rsidR="000A24C0" w:rsidRPr="00020413">
        <w:rPr>
          <w:rFonts w:ascii="Times New Roman" w:hAnsi="Times New Roman"/>
          <w:sz w:val="24"/>
          <w:szCs w:val="24"/>
        </w:rPr>
        <w:t xml:space="preserve">from the marginal effect analysis </w:t>
      </w:r>
      <w:r w:rsidR="004349A4" w:rsidRPr="00020413">
        <w:rPr>
          <w:rFonts w:ascii="Times New Roman" w:hAnsi="Times New Roman"/>
          <w:sz w:val="24"/>
          <w:szCs w:val="24"/>
        </w:rPr>
        <w:t>based on credit registry</w:t>
      </w:r>
      <w:r w:rsidR="00806B75" w:rsidRPr="00020413">
        <w:rPr>
          <w:rFonts w:ascii="Times New Roman" w:hAnsi="Times New Roman"/>
          <w:sz w:val="24"/>
          <w:szCs w:val="24"/>
        </w:rPr>
        <w:t xml:space="preserve"> (Models 4-6)</w:t>
      </w:r>
      <w:r w:rsidR="004349A4" w:rsidRPr="00020413">
        <w:rPr>
          <w:rFonts w:ascii="Times New Roman" w:hAnsi="Times New Roman"/>
          <w:sz w:val="24"/>
          <w:szCs w:val="24"/>
        </w:rPr>
        <w:t xml:space="preserve"> and private </w:t>
      </w:r>
      <w:r w:rsidR="00806B75" w:rsidRPr="00020413">
        <w:rPr>
          <w:rFonts w:ascii="Times New Roman" w:hAnsi="Times New Roman"/>
          <w:sz w:val="24"/>
          <w:szCs w:val="24"/>
        </w:rPr>
        <w:t>bureau</w:t>
      </w:r>
      <w:r w:rsidR="004349A4" w:rsidRPr="00020413">
        <w:rPr>
          <w:rFonts w:ascii="Times New Roman" w:hAnsi="Times New Roman"/>
          <w:sz w:val="24"/>
          <w:szCs w:val="24"/>
        </w:rPr>
        <w:t xml:space="preserve"> </w:t>
      </w:r>
      <w:r w:rsidR="00806B75" w:rsidRPr="00020413">
        <w:rPr>
          <w:rFonts w:ascii="Times New Roman" w:hAnsi="Times New Roman"/>
          <w:sz w:val="24"/>
          <w:szCs w:val="24"/>
        </w:rPr>
        <w:t xml:space="preserve">(Models 1-9) </w:t>
      </w:r>
      <w:r w:rsidR="004349A4" w:rsidRPr="00020413">
        <w:rPr>
          <w:rFonts w:ascii="Times New Roman" w:hAnsi="Times New Roman"/>
          <w:sz w:val="24"/>
          <w:szCs w:val="24"/>
        </w:rPr>
        <w:t>coverage</w:t>
      </w:r>
      <w:r w:rsidR="00BB099E" w:rsidRPr="00020413">
        <w:rPr>
          <w:rFonts w:ascii="Times New Roman" w:hAnsi="Times New Roman"/>
          <w:sz w:val="24"/>
          <w:szCs w:val="24"/>
        </w:rPr>
        <w:t xml:space="preserve">, although the moderating role of concentration is </w:t>
      </w:r>
      <w:r w:rsidR="00BB099E" w:rsidRPr="00020413">
        <w:rPr>
          <w:rFonts w:ascii="Times New Roman" w:hAnsi="Times New Roman"/>
          <w:sz w:val="24"/>
          <w:szCs w:val="24"/>
        </w:rPr>
        <w:lastRenderedPageBreak/>
        <w:t>relatively small for a one standard deviation change.</w:t>
      </w:r>
      <w:r w:rsidR="006E7512" w:rsidRPr="00020413">
        <w:rPr>
          <w:rFonts w:ascii="Times New Roman" w:hAnsi="Times New Roman"/>
          <w:sz w:val="24"/>
          <w:szCs w:val="24"/>
        </w:rPr>
        <w:t xml:space="preserve"> </w:t>
      </w:r>
      <w:r w:rsidR="00C25232" w:rsidRPr="00020413">
        <w:rPr>
          <w:rFonts w:ascii="Times New Roman" w:hAnsi="Times New Roman"/>
          <w:sz w:val="24"/>
          <w:szCs w:val="24"/>
        </w:rPr>
        <w:t>Overall, the f</w:t>
      </w:r>
      <w:r w:rsidR="006E7512" w:rsidRPr="00020413">
        <w:rPr>
          <w:rFonts w:ascii="Times New Roman" w:hAnsi="Times New Roman"/>
          <w:sz w:val="24"/>
          <w:szCs w:val="24"/>
        </w:rPr>
        <w:t>oregoing</w:t>
      </w:r>
      <w:r w:rsidR="00C25232" w:rsidRPr="00020413">
        <w:rPr>
          <w:rFonts w:ascii="Times New Roman" w:hAnsi="Times New Roman"/>
          <w:sz w:val="24"/>
          <w:szCs w:val="24"/>
        </w:rPr>
        <w:t xml:space="preserve"> suggest</w:t>
      </w:r>
      <w:r w:rsidR="006E7512" w:rsidRPr="00020413">
        <w:rPr>
          <w:rFonts w:ascii="Times New Roman" w:hAnsi="Times New Roman"/>
          <w:sz w:val="24"/>
          <w:szCs w:val="24"/>
        </w:rPr>
        <w:t>s</w:t>
      </w:r>
      <w:r w:rsidR="00C25232" w:rsidRPr="00020413">
        <w:rPr>
          <w:rFonts w:ascii="Times New Roman" w:hAnsi="Times New Roman"/>
          <w:sz w:val="24"/>
          <w:szCs w:val="24"/>
        </w:rPr>
        <w:t xml:space="preserve"> that banking market concentration moderates the effect of credit information sharing on loan default, providing support for our second research hypothesis (</w:t>
      </w:r>
      <w:r w:rsidR="00C25232" w:rsidRPr="00020413">
        <w:rPr>
          <w:rFonts w:ascii="Times New Roman" w:hAnsi="Times New Roman"/>
          <w:i/>
          <w:iCs/>
          <w:sz w:val="24"/>
          <w:szCs w:val="24"/>
        </w:rPr>
        <w:t>H2</w:t>
      </w:r>
      <w:r w:rsidR="00C25232" w:rsidRPr="00020413">
        <w:rPr>
          <w:rFonts w:ascii="Times New Roman" w:hAnsi="Times New Roman"/>
          <w:sz w:val="24"/>
          <w:szCs w:val="24"/>
        </w:rPr>
        <w:t>).</w:t>
      </w:r>
    </w:p>
    <w:p w:rsidR="00E0188A" w:rsidRPr="00020413" w:rsidRDefault="00DE0D91" w:rsidP="00D55D24">
      <w:pPr>
        <w:spacing w:after="120" w:line="360" w:lineRule="auto"/>
        <w:jc w:val="both"/>
        <w:rPr>
          <w:rFonts w:ascii="Times New Roman" w:hAnsi="Times New Roman"/>
          <w:sz w:val="24"/>
          <w:szCs w:val="24"/>
        </w:rPr>
      </w:pPr>
      <w:r w:rsidRPr="00020413">
        <w:rPr>
          <w:rFonts w:ascii="Times New Roman" w:hAnsi="Times New Roman"/>
          <w:sz w:val="24"/>
          <w:szCs w:val="24"/>
        </w:rPr>
        <w:t>As in Table 3</w:t>
      </w:r>
      <w:r w:rsidR="00802DEF" w:rsidRPr="00020413">
        <w:rPr>
          <w:rFonts w:ascii="Times New Roman" w:hAnsi="Times New Roman"/>
          <w:sz w:val="24"/>
          <w:szCs w:val="24"/>
        </w:rPr>
        <w:t>,</w:t>
      </w:r>
      <w:r w:rsidR="006E7512" w:rsidRPr="00020413">
        <w:rPr>
          <w:rFonts w:ascii="Times New Roman" w:hAnsi="Times New Roman"/>
          <w:sz w:val="24"/>
          <w:szCs w:val="24"/>
        </w:rPr>
        <w:t xml:space="preserve"> t</w:t>
      </w:r>
      <w:r w:rsidR="0045779C" w:rsidRPr="00020413">
        <w:rPr>
          <w:rFonts w:ascii="Times New Roman" w:hAnsi="Times New Roman"/>
          <w:sz w:val="24"/>
          <w:szCs w:val="24"/>
        </w:rPr>
        <w:t>he coefficient</w:t>
      </w:r>
      <w:r w:rsidR="000E37CC" w:rsidRPr="00020413">
        <w:rPr>
          <w:rFonts w:ascii="Times New Roman" w:hAnsi="Times New Roman"/>
          <w:sz w:val="24"/>
          <w:szCs w:val="24"/>
        </w:rPr>
        <w:t>s</w:t>
      </w:r>
      <w:r w:rsidR="00802DEF" w:rsidRPr="00020413">
        <w:rPr>
          <w:rFonts w:ascii="Times New Roman" w:hAnsi="Times New Roman"/>
          <w:sz w:val="24"/>
          <w:szCs w:val="24"/>
        </w:rPr>
        <w:t xml:space="preserve"> on </w:t>
      </w:r>
      <w:r w:rsidR="00802DEF" w:rsidRPr="00020413">
        <w:rPr>
          <w:rFonts w:ascii="Times New Roman" w:hAnsi="Times New Roman"/>
          <w:i/>
          <w:sz w:val="24"/>
          <w:szCs w:val="24"/>
        </w:rPr>
        <w:t>C</w:t>
      </w:r>
      <w:r w:rsidR="0045779C" w:rsidRPr="00020413">
        <w:rPr>
          <w:rFonts w:ascii="Times New Roman" w:hAnsi="Times New Roman"/>
          <w:i/>
          <w:sz w:val="24"/>
          <w:szCs w:val="24"/>
        </w:rPr>
        <w:t>oncentration</w:t>
      </w:r>
      <w:r w:rsidR="0045779C" w:rsidRPr="00020413">
        <w:rPr>
          <w:rFonts w:ascii="Times New Roman" w:hAnsi="Times New Roman"/>
          <w:sz w:val="24"/>
          <w:szCs w:val="24"/>
        </w:rPr>
        <w:t xml:space="preserve"> in Table </w:t>
      </w:r>
      <w:r w:rsidR="00C25232" w:rsidRPr="00020413">
        <w:rPr>
          <w:rFonts w:ascii="Times New Roman" w:hAnsi="Times New Roman"/>
          <w:sz w:val="24"/>
          <w:szCs w:val="24"/>
        </w:rPr>
        <w:t>5</w:t>
      </w:r>
      <w:r w:rsidR="0045779C" w:rsidRPr="00020413">
        <w:rPr>
          <w:rFonts w:ascii="Times New Roman" w:hAnsi="Times New Roman"/>
          <w:sz w:val="24"/>
          <w:szCs w:val="24"/>
        </w:rPr>
        <w:t xml:space="preserve"> remain </w:t>
      </w:r>
      <w:r w:rsidR="00F4137A" w:rsidRPr="00020413">
        <w:rPr>
          <w:rFonts w:ascii="Times New Roman" w:hAnsi="Times New Roman"/>
          <w:sz w:val="24"/>
          <w:szCs w:val="24"/>
        </w:rPr>
        <w:t>positive</w:t>
      </w:r>
      <w:r w:rsidR="0045779C" w:rsidRPr="00020413">
        <w:rPr>
          <w:rFonts w:ascii="Times New Roman" w:hAnsi="Times New Roman"/>
          <w:sz w:val="24"/>
          <w:szCs w:val="24"/>
        </w:rPr>
        <w:t xml:space="preserve"> </w:t>
      </w:r>
      <w:r w:rsidR="003C53DD" w:rsidRPr="00020413">
        <w:rPr>
          <w:rFonts w:ascii="Times New Roman" w:hAnsi="Times New Roman"/>
          <w:sz w:val="24"/>
          <w:szCs w:val="24"/>
        </w:rPr>
        <w:t xml:space="preserve">and largely significant </w:t>
      </w:r>
      <w:r w:rsidR="000E78A6" w:rsidRPr="00020413">
        <w:rPr>
          <w:rFonts w:ascii="Times New Roman" w:hAnsi="Times New Roman"/>
          <w:sz w:val="24"/>
          <w:szCs w:val="24"/>
        </w:rPr>
        <w:t>indicating</w:t>
      </w:r>
      <w:r w:rsidR="0045779C" w:rsidRPr="00020413">
        <w:rPr>
          <w:rFonts w:ascii="Times New Roman" w:hAnsi="Times New Roman"/>
          <w:sz w:val="24"/>
          <w:szCs w:val="24"/>
        </w:rPr>
        <w:t xml:space="preserve"> that banking market concentration</w:t>
      </w:r>
      <w:r w:rsidR="00E0188A" w:rsidRPr="00020413">
        <w:rPr>
          <w:rFonts w:ascii="Times New Roman" w:hAnsi="Times New Roman"/>
          <w:sz w:val="24"/>
          <w:szCs w:val="24"/>
        </w:rPr>
        <w:t>, on average,</w:t>
      </w:r>
      <w:r w:rsidR="0045779C" w:rsidRPr="00020413">
        <w:rPr>
          <w:rFonts w:ascii="Times New Roman" w:hAnsi="Times New Roman"/>
          <w:sz w:val="24"/>
          <w:szCs w:val="24"/>
        </w:rPr>
        <w:t xml:space="preserve"> </w:t>
      </w:r>
      <w:r w:rsidR="00E0188A" w:rsidRPr="00020413">
        <w:rPr>
          <w:rFonts w:ascii="Times New Roman" w:hAnsi="Times New Roman"/>
          <w:sz w:val="24"/>
          <w:szCs w:val="24"/>
        </w:rPr>
        <w:t>increase</w:t>
      </w:r>
      <w:r w:rsidR="0045779C" w:rsidRPr="00020413">
        <w:rPr>
          <w:rFonts w:ascii="Times New Roman" w:hAnsi="Times New Roman"/>
          <w:sz w:val="24"/>
          <w:szCs w:val="24"/>
        </w:rPr>
        <w:t xml:space="preserve">s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45779C" w:rsidRPr="00020413">
        <w:rPr>
          <w:rFonts w:ascii="Times New Roman" w:hAnsi="Times New Roman"/>
          <w:sz w:val="24"/>
          <w:szCs w:val="24"/>
        </w:rPr>
        <w:t xml:space="preserve">. </w:t>
      </w:r>
      <w:r w:rsidR="00B87432" w:rsidRPr="00020413">
        <w:rPr>
          <w:rFonts w:ascii="Times New Roman" w:hAnsi="Times New Roman"/>
          <w:sz w:val="24"/>
          <w:szCs w:val="24"/>
        </w:rPr>
        <w:t>Moreover,</w:t>
      </w:r>
      <w:r w:rsidR="0045779C" w:rsidRPr="00020413">
        <w:rPr>
          <w:rFonts w:ascii="Times New Roman" w:hAnsi="Times New Roman"/>
          <w:sz w:val="24"/>
          <w:szCs w:val="24"/>
        </w:rPr>
        <w:t xml:space="preserve"> the interaction term</w:t>
      </w:r>
      <w:r w:rsidR="00EF4C2C" w:rsidRPr="00020413">
        <w:rPr>
          <w:rFonts w:ascii="Times New Roman" w:hAnsi="Times New Roman"/>
          <w:sz w:val="24"/>
          <w:szCs w:val="24"/>
        </w:rPr>
        <w:t>s</w:t>
      </w:r>
      <w:r w:rsidR="00D354A9" w:rsidRPr="00020413">
        <w:rPr>
          <w:rFonts w:ascii="Times New Roman" w:hAnsi="Times New Roman"/>
          <w:sz w:val="24"/>
          <w:szCs w:val="24"/>
        </w:rPr>
        <w:t xml:space="preserve"> between </w:t>
      </w:r>
      <w:r w:rsidR="00D354A9" w:rsidRPr="00020413">
        <w:rPr>
          <w:rFonts w:ascii="Times New Roman" w:hAnsi="Times New Roman"/>
          <w:i/>
          <w:sz w:val="24"/>
          <w:szCs w:val="24"/>
        </w:rPr>
        <w:t>C</w:t>
      </w:r>
      <w:r w:rsidR="0045779C" w:rsidRPr="00020413">
        <w:rPr>
          <w:rFonts w:ascii="Times New Roman" w:hAnsi="Times New Roman"/>
          <w:i/>
          <w:sz w:val="24"/>
          <w:szCs w:val="24"/>
        </w:rPr>
        <w:t>oncentration</w:t>
      </w:r>
      <w:r w:rsidR="0045779C" w:rsidRPr="00020413">
        <w:rPr>
          <w:rFonts w:ascii="Times New Roman" w:hAnsi="Times New Roman"/>
          <w:sz w:val="24"/>
          <w:szCs w:val="24"/>
        </w:rPr>
        <w:t xml:space="preserve"> and the credit information sharing</w:t>
      </w:r>
      <w:r w:rsidR="00861A74" w:rsidRPr="00020413">
        <w:rPr>
          <w:rFonts w:ascii="Times New Roman" w:hAnsi="Times New Roman"/>
          <w:sz w:val="24"/>
          <w:szCs w:val="24"/>
        </w:rPr>
        <w:t xml:space="preserve"> variables are positive</w:t>
      </w:r>
      <w:r w:rsidR="003329E7" w:rsidRPr="00020413">
        <w:rPr>
          <w:rFonts w:ascii="Times New Roman" w:hAnsi="Times New Roman"/>
          <w:sz w:val="24"/>
          <w:szCs w:val="24"/>
        </w:rPr>
        <w:t xml:space="preserve"> and significant</w:t>
      </w:r>
      <w:r w:rsidR="00123068" w:rsidRPr="00020413">
        <w:rPr>
          <w:rFonts w:ascii="Times New Roman" w:hAnsi="Times New Roman"/>
          <w:sz w:val="24"/>
          <w:szCs w:val="24"/>
        </w:rPr>
        <w:t xml:space="preserve">, </w:t>
      </w:r>
      <w:r w:rsidR="003329E7" w:rsidRPr="00020413">
        <w:rPr>
          <w:rFonts w:ascii="Times New Roman" w:hAnsi="Times New Roman"/>
          <w:sz w:val="24"/>
          <w:szCs w:val="24"/>
        </w:rPr>
        <w:t xml:space="preserve">suggesting that </w:t>
      </w:r>
      <w:r w:rsidR="00CB31D4" w:rsidRPr="00020413">
        <w:rPr>
          <w:rFonts w:ascii="Times New Roman" w:hAnsi="Times New Roman"/>
          <w:sz w:val="24"/>
          <w:szCs w:val="24"/>
        </w:rPr>
        <w:t xml:space="preserve">banking market concentration </w:t>
      </w:r>
      <w:r w:rsidR="0085364A" w:rsidRPr="00020413">
        <w:rPr>
          <w:rFonts w:ascii="Times New Roman" w:hAnsi="Times New Roman"/>
          <w:sz w:val="24"/>
          <w:szCs w:val="24"/>
        </w:rPr>
        <w:t>increases</w:t>
      </w:r>
      <w:r w:rsidR="00CB31D4" w:rsidRPr="00020413">
        <w:rPr>
          <w:rFonts w:ascii="Times New Roman" w:hAnsi="Times New Roman"/>
          <w:sz w:val="24"/>
          <w:szCs w:val="24"/>
        </w:rPr>
        <w:t xml:space="preserv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w:t>
      </w:r>
      <w:r w:rsidR="00CB31D4" w:rsidRPr="00020413">
        <w:rPr>
          <w:rFonts w:ascii="Times New Roman" w:hAnsi="Times New Roman"/>
          <w:sz w:val="24"/>
          <w:szCs w:val="24"/>
        </w:rPr>
        <w:t xml:space="preserve">, </w:t>
      </w:r>
      <w:r w:rsidR="0085364A" w:rsidRPr="00020413">
        <w:rPr>
          <w:rFonts w:ascii="Times New Roman" w:hAnsi="Times New Roman"/>
          <w:sz w:val="24"/>
          <w:szCs w:val="24"/>
        </w:rPr>
        <w:t>especially in an environment where</w:t>
      </w:r>
      <w:r w:rsidR="00CB31D4" w:rsidRPr="00020413">
        <w:rPr>
          <w:rFonts w:ascii="Times New Roman" w:hAnsi="Times New Roman"/>
          <w:sz w:val="24"/>
          <w:szCs w:val="24"/>
        </w:rPr>
        <w:t xml:space="preserve"> credit information </w:t>
      </w:r>
      <w:r w:rsidR="0085364A" w:rsidRPr="00020413">
        <w:rPr>
          <w:rFonts w:ascii="Times New Roman" w:hAnsi="Times New Roman"/>
          <w:sz w:val="24"/>
          <w:szCs w:val="24"/>
        </w:rPr>
        <w:t>is shared</w:t>
      </w:r>
      <w:r w:rsidR="00CB31D4" w:rsidRPr="00020413">
        <w:rPr>
          <w:rFonts w:ascii="Times New Roman" w:hAnsi="Times New Roman"/>
          <w:sz w:val="24"/>
          <w:szCs w:val="24"/>
        </w:rPr>
        <w:t>.</w:t>
      </w:r>
      <w:r w:rsidR="0085364A" w:rsidRPr="00020413">
        <w:rPr>
          <w:rFonts w:ascii="Times New Roman" w:hAnsi="Times New Roman"/>
          <w:sz w:val="24"/>
          <w:szCs w:val="24"/>
        </w:rPr>
        <w:t xml:space="preserve"> </w:t>
      </w:r>
      <w:r w:rsidR="00275526" w:rsidRPr="00020413">
        <w:rPr>
          <w:rFonts w:ascii="Times New Roman" w:hAnsi="Times New Roman"/>
          <w:sz w:val="24"/>
          <w:szCs w:val="24"/>
        </w:rPr>
        <w:t>Thus</w:t>
      </w:r>
      <w:r w:rsidR="00E0188A" w:rsidRPr="00020413">
        <w:rPr>
          <w:rFonts w:ascii="Times New Roman" w:hAnsi="Times New Roman"/>
          <w:sz w:val="24"/>
          <w:szCs w:val="24"/>
        </w:rPr>
        <w:t xml:space="preserve">, it seems banks in concentrated markets tend to benefit less from credit information sharing. This may be explained by the view that information sharing reduces the informational rent and the resulting competitive advantage a bank derives from its private investment in collecting information about </w:t>
      </w:r>
      <w:r w:rsidR="006378CF" w:rsidRPr="00020413">
        <w:rPr>
          <w:rFonts w:ascii="Times New Roman" w:hAnsi="Times New Roman"/>
          <w:sz w:val="24"/>
          <w:szCs w:val="24"/>
        </w:rPr>
        <w:t xml:space="preserve">its </w:t>
      </w:r>
      <w:r w:rsidR="00E0188A" w:rsidRPr="00020413">
        <w:rPr>
          <w:rFonts w:ascii="Times New Roman" w:hAnsi="Times New Roman"/>
          <w:sz w:val="24"/>
          <w:szCs w:val="24"/>
        </w:rPr>
        <w:t>borrowers (</w:t>
      </w:r>
      <w:proofErr w:type="spellStart"/>
      <w:r w:rsidR="00E0188A" w:rsidRPr="00020413">
        <w:rPr>
          <w:rFonts w:ascii="Times New Roman" w:hAnsi="Times New Roman"/>
          <w:sz w:val="24"/>
          <w:szCs w:val="24"/>
        </w:rPr>
        <w:t>Cetorelli</w:t>
      </w:r>
      <w:proofErr w:type="spellEnd"/>
      <w:r w:rsidR="00E0188A" w:rsidRPr="00020413">
        <w:rPr>
          <w:rFonts w:ascii="Times New Roman" w:hAnsi="Times New Roman"/>
          <w:sz w:val="24"/>
          <w:szCs w:val="24"/>
        </w:rPr>
        <w:t xml:space="preserve"> and </w:t>
      </w:r>
      <w:proofErr w:type="spellStart"/>
      <w:r w:rsidR="00E0188A" w:rsidRPr="00020413">
        <w:rPr>
          <w:rFonts w:ascii="Times New Roman" w:hAnsi="Times New Roman"/>
          <w:sz w:val="24"/>
          <w:szCs w:val="24"/>
        </w:rPr>
        <w:t>Peretto</w:t>
      </w:r>
      <w:proofErr w:type="spellEnd"/>
      <w:r w:rsidR="00E0188A" w:rsidRPr="00020413">
        <w:rPr>
          <w:rFonts w:ascii="Times New Roman" w:hAnsi="Times New Roman"/>
          <w:sz w:val="24"/>
          <w:szCs w:val="24"/>
        </w:rPr>
        <w:t xml:space="preserve">, 2000). Information sharing, therefore, seems to end up weakening the private incentive for banks in concentrated markets to invest in screening technologies to accumulate credible borrower information. This then leads to the generation and sharing of </w:t>
      </w:r>
      <w:proofErr w:type="gramStart"/>
      <w:r w:rsidR="00E0188A" w:rsidRPr="00020413">
        <w:rPr>
          <w:rFonts w:ascii="Times New Roman" w:hAnsi="Times New Roman"/>
          <w:sz w:val="24"/>
          <w:szCs w:val="24"/>
        </w:rPr>
        <w:t>low</w:t>
      </w:r>
      <w:r w:rsidR="001C58A5" w:rsidRPr="00020413">
        <w:rPr>
          <w:rFonts w:ascii="Times New Roman" w:hAnsi="Times New Roman"/>
          <w:sz w:val="24"/>
          <w:szCs w:val="24"/>
        </w:rPr>
        <w:t xml:space="preserve"> </w:t>
      </w:r>
      <w:r w:rsidR="00E0188A" w:rsidRPr="00020413">
        <w:rPr>
          <w:rFonts w:ascii="Times New Roman" w:hAnsi="Times New Roman"/>
          <w:sz w:val="24"/>
          <w:szCs w:val="24"/>
        </w:rPr>
        <w:t>quality</w:t>
      </w:r>
      <w:proofErr w:type="gramEnd"/>
      <w:r w:rsidR="00E0188A" w:rsidRPr="00020413">
        <w:rPr>
          <w:rFonts w:ascii="Times New Roman" w:hAnsi="Times New Roman"/>
          <w:sz w:val="24"/>
          <w:szCs w:val="24"/>
        </w:rPr>
        <w:t xml:space="preserve"> information among lenders, which in turn results in poor lending decisions and higher default rates. Another plausible interpretation is that lending in concentrated markets may be driven more by personal and close ties between lenders and borrowers developed over time than by the economic dictates of the available credit information. Banks, therefore, choose to lend to a long</w:t>
      </w:r>
      <w:r w:rsidR="00156FFA" w:rsidRPr="00020413">
        <w:rPr>
          <w:rFonts w:ascii="Times New Roman" w:hAnsi="Times New Roman"/>
          <w:sz w:val="24"/>
          <w:szCs w:val="24"/>
        </w:rPr>
        <w:t>-</w:t>
      </w:r>
      <w:r w:rsidR="00E0188A" w:rsidRPr="00020413">
        <w:rPr>
          <w:rFonts w:ascii="Times New Roman" w:hAnsi="Times New Roman"/>
          <w:sz w:val="24"/>
          <w:szCs w:val="24"/>
        </w:rPr>
        <w:t xml:space="preserve">standing client even when available information requires credit to be denied.   </w:t>
      </w:r>
    </w:p>
    <w:p w:rsidR="00F27213" w:rsidRPr="00020413" w:rsidRDefault="00F27213" w:rsidP="00D55D24">
      <w:pPr>
        <w:spacing w:after="120" w:line="360" w:lineRule="auto"/>
        <w:jc w:val="both"/>
        <w:rPr>
          <w:rFonts w:ascii="Times New Roman" w:hAnsi="Times New Roman"/>
          <w:sz w:val="24"/>
          <w:szCs w:val="24"/>
        </w:rPr>
      </w:pPr>
    </w:p>
    <w:p w:rsidR="00395619" w:rsidRPr="00020413" w:rsidRDefault="001115AB" w:rsidP="00C9343F">
      <w:pPr>
        <w:spacing w:after="0" w:line="360" w:lineRule="auto"/>
        <w:jc w:val="both"/>
        <w:rPr>
          <w:rFonts w:ascii="Times New Roman" w:hAnsi="Times New Roman"/>
          <w:b/>
          <w:sz w:val="24"/>
          <w:szCs w:val="24"/>
        </w:rPr>
      </w:pPr>
      <w:r w:rsidRPr="00020413">
        <w:rPr>
          <w:rFonts w:ascii="Times New Roman" w:hAnsi="Times New Roman"/>
          <w:b/>
          <w:sz w:val="24"/>
          <w:szCs w:val="24"/>
        </w:rPr>
        <w:t>4</w:t>
      </w:r>
      <w:r w:rsidR="00395619" w:rsidRPr="00020413">
        <w:rPr>
          <w:rFonts w:ascii="Times New Roman" w:hAnsi="Times New Roman"/>
          <w:b/>
          <w:sz w:val="24"/>
          <w:szCs w:val="24"/>
        </w:rPr>
        <w:t xml:space="preserve">.3 </w:t>
      </w:r>
      <w:r w:rsidR="003F4F3B" w:rsidRPr="00020413">
        <w:rPr>
          <w:rFonts w:ascii="Times New Roman" w:hAnsi="Times New Roman"/>
          <w:b/>
          <w:sz w:val="24"/>
          <w:szCs w:val="24"/>
        </w:rPr>
        <w:t>I</w:t>
      </w:r>
      <w:r w:rsidR="00395619" w:rsidRPr="00020413">
        <w:rPr>
          <w:rFonts w:ascii="Times New Roman" w:hAnsi="Times New Roman"/>
          <w:b/>
          <w:sz w:val="24"/>
          <w:szCs w:val="24"/>
        </w:rPr>
        <w:t xml:space="preserve">nformation sharing, </w:t>
      </w:r>
      <w:r w:rsidR="003F4F3B" w:rsidRPr="00020413">
        <w:rPr>
          <w:rFonts w:ascii="Times New Roman" w:hAnsi="Times New Roman"/>
          <w:b/>
          <w:sz w:val="24"/>
          <w:szCs w:val="24"/>
        </w:rPr>
        <w:t xml:space="preserve">loan default and </w:t>
      </w:r>
      <w:r w:rsidR="00395619" w:rsidRPr="00020413">
        <w:rPr>
          <w:rFonts w:ascii="Times New Roman" w:hAnsi="Times New Roman"/>
          <w:b/>
          <w:sz w:val="24"/>
          <w:szCs w:val="24"/>
        </w:rPr>
        <w:t xml:space="preserve">governance </w:t>
      </w:r>
      <w:r w:rsidR="003F4F3B" w:rsidRPr="00020413">
        <w:rPr>
          <w:rFonts w:ascii="Times New Roman" w:hAnsi="Times New Roman"/>
          <w:b/>
          <w:sz w:val="24"/>
          <w:szCs w:val="24"/>
        </w:rPr>
        <w:t>quality</w:t>
      </w:r>
    </w:p>
    <w:p w:rsidR="00C927BA" w:rsidRPr="00020413" w:rsidRDefault="00D5679F" w:rsidP="000E78A6">
      <w:pPr>
        <w:spacing w:after="120" w:line="360" w:lineRule="auto"/>
        <w:jc w:val="both"/>
        <w:rPr>
          <w:rFonts w:ascii="Times New Roman" w:hAnsi="Times New Roman"/>
          <w:sz w:val="24"/>
          <w:szCs w:val="24"/>
        </w:rPr>
      </w:pPr>
      <w:r w:rsidRPr="00020413">
        <w:rPr>
          <w:rFonts w:ascii="Times New Roman" w:hAnsi="Times New Roman"/>
          <w:sz w:val="24"/>
          <w:szCs w:val="24"/>
        </w:rPr>
        <w:t xml:space="preserve">In this section, we </w:t>
      </w:r>
      <w:r w:rsidR="002F21A6" w:rsidRPr="00020413">
        <w:rPr>
          <w:rFonts w:ascii="Times New Roman" w:hAnsi="Times New Roman"/>
          <w:sz w:val="24"/>
          <w:szCs w:val="24"/>
        </w:rPr>
        <w:t>focus on</w:t>
      </w:r>
      <w:r w:rsidRPr="00020413">
        <w:rPr>
          <w:rFonts w:ascii="Times New Roman" w:hAnsi="Times New Roman"/>
          <w:sz w:val="24"/>
          <w:szCs w:val="24"/>
        </w:rPr>
        <w:t xml:space="preserve"> the moderati</w:t>
      </w:r>
      <w:r w:rsidR="00EF4C2C" w:rsidRPr="00020413">
        <w:rPr>
          <w:rFonts w:ascii="Times New Roman" w:hAnsi="Times New Roman"/>
          <w:sz w:val="24"/>
          <w:szCs w:val="24"/>
        </w:rPr>
        <w:t>ng</w:t>
      </w:r>
      <w:r w:rsidRPr="00020413">
        <w:rPr>
          <w:rFonts w:ascii="Times New Roman" w:hAnsi="Times New Roman"/>
          <w:sz w:val="24"/>
          <w:szCs w:val="24"/>
        </w:rPr>
        <w:t xml:space="preserve"> role of </w:t>
      </w:r>
      <w:r w:rsidR="00F47DC9" w:rsidRPr="00020413">
        <w:rPr>
          <w:rFonts w:ascii="Times New Roman" w:hAnsi="Times New Roman"/>
          <w:sz w:val="24"/>
          <w:szCs w:val="24"/>
        </w:rPr>
        <w:t xml:space="preserve">governance </w:t>
      </w:r>
      <w:r w:rsidRPr="00020413">
        <w:rPr>
          <w:rFonts w:ascii="Times New Roman" w:hAnsi="Times New Roman"/>
          <w:sz w:val="24"/>
          <w:szCs w:val="24"/>
        </w:rPr>
        <w:t xml:space="preserve">quality </w:t>
      </w:r>
      <w:r w:rsidR="0024383A" w:rsidRPr="00020413">
        <w:rPr>
          <w:rFonts w:ascii="Times New Roman" w:hAnsi="Times New Roman"/>
          <w:sz w:val="24"/>
          <w:szCs w:val="24"/>
        </w:rPr>
        <w:t>–</w:t>
      </w:r>
      <w:r w:rsidR="00F01E8F" w:rsidRPr="00020413">
        <w:rPr>
          <w:rFonts w:ascii="Times New Roman" w:hAnsi="Times New Roman"/>
          <w:sz w:val="24"/>
          <w:szCs w:val="24"/>
        </w:rPr>
        <w:t xml:space="preserve"> </w:t>
      </w:r>
      <w:r w:rsidR="00F47DC9" w:rsidRPr="00020413">
        <w:rPr>
          <w:rFonts w:ascii="Times New Roman" w:hAnsi="Times New Roman"/>
          <w:sz w:val="24"/>
          <w:szCs w:val="24"/>
        </w:rPr>
        <w:t>rule of law</w:t>
      </w:r>
      <w:r w:rsidR="005E04B5" w:rsidRPr="00020413">
        <w:rPr>
          <w:rFonts w:ascii="Times New Roman" w:hAnsi="Times New Roman"/>
          <w:sz w:val="24"/>
          <w:szCs w:val="24"/>
        </w:rPr>
        <w:t xml:space="preserve"> (</w:t>
      </w:r>
      <w:r w:rsidR="005E04B5" w:rsidRPr="00020413">
        <w:rPr>
          <w:rFonts w:ascii="Times New Roman" w:hAnsi="Times New Roman"/>
          <w:i/>
          <w:sz w:val="24"/>
          <w:szCs w:val="24"/>
        </w:rPr>
        <w:t>Law</w:t>
      </w:r>
      <w:r w:rsidR="005E04B5" w:rsidRPr="00020413">
        <w:rPr>
          <w:rFonts w:ascii="Times New Roman" w:hAnsi="Times New Roman"/>
          <w:sz w:val="24"/>
          <w:szCs w:val="24"/>
        </w:rPr>
        <w:t>)</w:t>
      </w:r>
      <w:r w:rsidR="00F47DC9" w:rsidRPr="00020413">
        <w:rPr>
          <w:rFonts w:ascii="Times New Roman" w:hAnsi="Times New Roman"/>
          <w:sz w:val="24"/>
          <w:szCs w:val="24"/>
        </w:rPr>
        <w:t xml:space="preserve">, regulatory quality </w:t>
      </w:r>
      <w:r w:rsidR="005E04B5" w:rsidRPr="00020413">
        <w:rPr>
          <w:rFonts w:ascii="Times New Roman" w:hAnsi="Times New Roman"/>
          <w:sz w:val="24"/>
          <w:szCs w:val="24"/>
        </w:rPr>
        <w:t>(</w:t>
      </w:r>
      <w:r w:rsidR="005E04B5" w:rsidRPr="00020413">
        <w:rPr>
          <w:rFonts w:ascii="Times New Roman" w:hAnsi="Times New Roman"/>
          <w:i/>
          <w:sz w:val="24"/>
          <w:szCs w:val="24"/>
        </w:rPr>
        <w:t>Regulation</w:t>
      </w:r>
      <w:r w:rsidR="005E04B5" w:rsidRPr="00020413">
        <w:rPr>
          <w:rFonts w:ascii="Times New Roman" w:hAnsi="Times New Roman"/>
          <w:sz w:val="24"/>
          <w:szCs w:val="24"/>
        </w:rPr>
        <w:t xml:space="preserve">) </w:t>
      </w:r>
      <w:r w:rsidR="00F47DC9" w:rsidRPr="00020413">
        <w:rPr>
          <w:rFonts w:ascii="Times New Roman" w:hAnsi="Times New Roman"/>
          <w:sz w:val="24"/>
          <w:szCs w:val="24"/>
        </w:rPr>
        <w:t>and control of corruption</w:t>
      </w:r>
      <w:r w:rsidR="005E04B5" w:rsidRPr="00020413">
        <w:rPr>
          <w:rFonts w:ascii="Times New Roman" w:hAnsi="Times New Roman"/>
          <w:sz w:val="24"/>
          <w:szCs w:val="24"/>
        </w:rPr>
        <w:t xml:space="preserve"> (</w:t>
      </w:r>
      <w:r w:rsidR="005E04B5" w:rsidRPr="00020413">
        <w:rPr>
          <w:rFonts w:ascii="Times New Roman" w:hAnsi="Times New Roman"/>
          <w:i/>
          <w:sz w:val="24"/>
          <w:szCs w:val="24"/>
        </w:rPr>
        <w:t>Control</w:t>
      </w:r>
      <w:r w:rsidR="005E04B5" w:rsidRPr="00020413">
        <w:rPr>
          <w:rFonts w:ascii="Times New Roman" w:hAnsi="Times New Roman"/>
          <w:sz w:val="24"/>
          <w:szCs w:val="24"/>
        </w:rPr>
        <w:t>)</w:t>
      </w:r>
      <w:r w:rsidR="00F47DC9" w:rsidRPr="00020413">
        <w:rPr>
          <w:rFonts w:ascii="Times New Roman" w:hAnsi="Times New Roman"/>
          <w:sz w:val="24"/>
          <w:szCs w:val="24"/>
        </w:rPr>
        <w:t xml:space="preserve"> </w:t>
      </w:r>
      <w:r w:rsidR="0024383A" w:rsidRPr="00020413">
        <w:rPr>
          <w:rFonts w:ascii="Times New Roman" w:hAnsi="Times New Roman"/>
          <w:sz w:val="24"/>
          <w:szCs w:val="24"/>
        </w:rPr>
        <w:t>–</w:t>
      </w:r>
      <w:r w:rsidR="00F01E8F" w:rsidRPr="00020413">
        <w:rPr>
          <w:rFonts w:ascii="Times New Roman" w:hAnsi="Times New Roman"/>
          <w:sz w:val="24"/>
          <w:szCs w:val="24"/>
        </w:rPr>
        <w:t xml:space="preserve"> </w:t>
      </w:r>
      <w:r w:rsidRPr="00020413">
        <w:rPr>
          <w:rFonts w:ascii="Times New Roman" w:hAnsi="Times New Roman"/>
          <w:sz w:val="24"/>
          <w:szCs w:val="24"/>
        </w:rPr>
        <w:t xml:space="preserve">underpinning the extent of creditor protection in banking markets. </w:t>
      </w:r>
      <w:r w:rsidR="003A51C2" w:rsidRPr="00020413">
        <w:rPr>
          <w:rFonts w:ascii="Times New Roman" w:hAnsi="Times New Roman"/>
          <w:sz w:val="24"/>
          <w:szCs w:val="24"/>
        </w:rPr>
        <w:t xml:space="preserve">The results in Table </w:t>
      </w:r>
      <w:r w:rsidR="009B0B82" w:rsidRPr="00020413">
        <w:rPr>
          <w:rFonts w:ascii="Times New Roman" w:hAnsi="Times New Roman"/>
          <w:sz w:val="24"/>
          <w:szCs w:val="24"/>
        </w:rPr>
        <w:t xml:space="preserve">7 show that the coefficients on the credit information sharing variables remain </w:t>
      </w:r>
      <w:r w:rsidR="00630910">
        <w:rPr>
          <w:rFonts w:ascii="Times New Roman" w:hAnsi="Times New Roman"/>
          <w:sz w:val="24"/>
          <w:szCs w:val="24"/>
        </w:rPr>
        <w:t>negative</w:t>
      </w:r>
      <w:r w:rsidR="009B0B82" w:rsidRPr="00020413">
        <w:rPr>
          <w:rFonts w:ascii="Times New Roman" w:hAnsi="Times New Roman"/>
          <w:sz w:val="24"/>
          <w:szCs w:val="24"/>
        </w:rPr>
        <w:t xml:space="preserve"> and statistically significant.</w:t>
      </w:r>
      <w:r w:rsidR="003A51C2" w:rsidRPr="00020413">
        <w:rPr>
          <w:rFonts w:ascii="Times New Roman" w:hAnsi="Times New Roman"/>
          <w:sz w:val="24"/>
          <w:szCs w:val="24"/>
        </w:rPr>
        <w:t xml:space="preserve"> </w:t>
      </w:r>
      <w:r w:rsidR="009B0B82" w:rsidRPr="00020413">
        <w:rPr>
          <w:rFonts w:ascii="Times New Roman" w:hAnsi="Times New Roman"/>
          <w:sz w:val="24"/>
          <w:szCs w:val="24"/>
        </w:rPr>
        <w:t>However, t</w:t>
      </w:r>
      <w:r w:rsidR="005D604C" w:rsidRPr="00020413">
        <w:rPr>
          <w:rFonts w:ascii="Times New Roman" w:hAnsi="Times New Roman"/>
          <w:sz w:val="24"/>
          <w:szCs w:val="24"/>
        </w:rPr>
        <w:t>he moderating role of</w:t>
      </w:r>
      <w:r w:rsidR="009B0B82" w:rsidRPr="00020413">
        <w:rPr>
          <w:rFonts w:ascii="Times New Roman" w:hAnsi="Times New Roman"/>
          <w:sz w:val="24"/>
          <w:szCs w:val="24"/>
        </w:rPr>
        <w:t xml:space="preserve"> the governance indicators</w:t>
      </w:r>
      <w:r w:rsidR="000E78A6" w:rsidRPr="00020413">
        <w:rPr>
          <w:rFonts w:ascii="Times New Roman" w:hAnsi="Times New Roman"/>
          <w:sz w:val="24"/>
          <w:szCs w:val="24"/>
        </w:rPr>
        <w:t xml:space="preserve"> on the credit information sharing–loan default rate link</w:t>
      </w:r>
      <w:r w:rsidR="009B0B82" w:rsidRPr="00020413">
        <w:rPr>
          <w:rFonts w:ascii="Times New Roman" w:hAnsi="Times New Roman"/>
          <w:sz w:val="24"/>
          <w:szCs w:val="24"/>
        </w:rPr>
        <w:t xml:space="preserve"> is mixed. For instance, </w:t>
      </w:r>
      <w:r w:rsidR="00AE3388" w:rsidRPr="00020413">
        <w:rPr>
          <w:rFonts w:ascii="Times New Roman" w:hAnsi="Times New Roman"/>
          <w:sz w:val="24"/>
          <w:szCs w:val="24"/>
        </w:rPr>
        <w:t>when we consider the rule of law, its moderating impact is statistically insignificant in two out of our three proxies for information sharing (i.e.</w:t>
      </w:r>
      <w:r w:rsidR="006378CF" w:rsidRPr="00020413">
        <w:rPr>
          <w:rFonts w:ascii="Times New Roman" w:hAnsi="Times New Roman"/>
          <w:sz w:val="24"/>
          <w:szCs w:val="24"/>
        </w:rPr>
        <w:t>,</w:t>
      </w:r>
      <w:r w:rsidR="00C32BFB" w:rsidRPr="00020413">
        <w:rPr>
          <w:rFonts w:ascii="Times New Roman" w:hAnsi="Times New Roman"/>
          <w:sz w:val="24"/>
          <w:szCs w:val="24"/>
        </w:rPr>
        <w:t xml:space="preserve"> </w:t>
      </w:r>
      <w:r w:rsidR="00C32BFB" w:rsidRPr="00020413">
        <w:rPr>
          <w:rFonts w:ascii="Times New Roman" w:hAnsi="Times New Roman"/>
          <w:i/>
          <w:sz w:val="24"/>
          <w:szCs w:val="24"/>
        </w:rPr>
        <w:t>Depth</w:t>
      </w:r>
      <w:r w:rsidR="00C32BFB" w:rsidRPr="00020413">
        <w:rPr>
          <w:rFonts w:ascii="Times New Roman" w:hAnsi="Times New Roman"/>
          <w:sz w:val="24"/>
          <w:szCs w:val="24"/>
        </w:rPr>
        <w:t xml:space="preserve"> and </w:t>
      </w:r>
      <w:r w:rsidR="00C32BFB" w:rsidRPr="00020413">
        <w:rPr>
          <w:rFonts w:ascii="Times New Roman" w:hAnsi="Times New Roman"/>
          <w:i/>
          <w:sz w:val="24"/>
          <w:szCs w:val="24"/>
        </w:rPr>
        <w:t>B</w:t>
      </w:r>
      <w:r w:rsidR="00AE3388" w:rsidRPr="00020413">
        <w:rPr>
          <w:rFonts w:ascii="Times New Roman" w:hAnsi="Times New Roman"/>
          <w:i/>
          <w:sz w:val="24"/>
          <w:szCs w:val="24"/>
        </w:rPr>
        <w:t>ureau</w:t>
      </w:r>
      <w:r w:rsidR="00AE3388" w:rsidRPr="00020413">
        <w:rPr>
          <w:rFonts w:ascii="Times New Roman" w:hAnsi="Times New Roman"/>
          <w:sz w:val="24"/>
          <w:szCs w:val="24"/>
        </w:rPr>
        <w:t>)</w:t>
      </w:r>
      <w:r w:rsidR="002E5038" w:rsidRPr="00020413">
        <w:rPr>
          <w:rFonts w:ascii="Times New Roman" w:hAnsi="Times New Roman"/>
          <w:sz w:val="24"/>
          <w:szCs w:val="24"/>
        </w:rPr>
        <w:t xml:space="preserve">. It is only when information sharing is measured by the number of people and firms covered by a public credit registry </w:t>
      </w:r>
      <w:r w:rsidR="00C32BFB" w:rsidRPr="00020413">
        <w:rPr>
          <w:rFonts w:ascii="Times New Roman" w:hAnsi="Times New Roman"/>
          <w:sz w:val="24"/>
          <w:szCs w:val="24"/>
        </w:rPr>
        <w:t>(i.e.</w:t>
      </w:r>
      <w:r w:rsidR="00AF5AE8" w:rsidRPr="00020413">
        <w:rPr>
          <w:rFonts w:ascii="Times New Roman" w:hAnsi="Times New Roman"/>
          <w:sz w:val="24"/>
          <w:szCs w:val="24"/>
        </w:rPr>
        <w:t>,</w:t>
      </w:r>
      <w:r w:rsidR="00C32BFB" w:rsidRPr="00020413">
        <w:rPr>
          <w:rFonts w:ascii="Times New Roman" w:hAnsi="Times New Roman"/>
          <w:sz w:val="24"/>
          <w:szCs w:val="24"/>
        </w:rPr>
        <w:t xml:space="preserve"> </w:t>
      </w:r>
      <w:r w:rsidR="00C32BFB" w:rsidRPr="00020413">
        <w:rPr>
          <w:rFonts w:ascii="Times New Roman" w:hAnsi="Times New Roman"/>
          <w:i/>
          <w:sz w:val="24"/>
          <w:szCs w:val="24"/>
        </w:rPr>
        <w:t>Registry</w:t>
      </w:r>
      <w:r w:rsidR="00C32BFB" w:rsidRPr="00020413">
        <w:rPr>
          <w:rFonts w:ascii="Times New Roman" w:hAnsi="Times New Roman"/>
          <w:sz w:val="24"/>
          <w:szCs w:val="24"/>
        </w:rPr>
        <w:t xml:space="preserve">) </w:t>
      </w:r>
      <w:r w:rsidR="002E5038" w:rsidRPr="00020413">
        <w:rPr>
          <w:rFonts w:ascii="Times New Roman" w:hAnsi="Times New Roman"/>
          <w:sz w:val="24"/>
          <w:szCs w:val="24"/>
        </w:rPr>
        <w:t xml:space="preserve">that we observe a positive and statistically significant </w:t>
      </w:r>
      <w:r w:rsidR="00ED659F" w:rsidRPr="00020413">
        <w:rPr>
          <w:rFonts w:ascii="Times New Roman" w:hAnsi="Times New Roman"/>
          <w:sz w:val="24"/>
          <w:szCs w:val="24"/>
        </w:rPr>
        <w:t xml:space="preserve">interaction </w:t>
      </w:r>
      <w:r w:rsidR="002E5038" w:rsidRPr="00020413">
        <w:rPr>
          <w:rFonts w:ascii="Times New Roman" w:hAnsi="Times New Roman"/>
          <w:sz w:val="24"/>
          <w:szCs w:val="24"/>
        </w:rPr>
        <w:t xml:space="preserve">effect. </w:t>
      </w:r>
      <w:r w:rsidR="00CE46F8" w:rsidRPr="00020413">
        <w:rPr>
          <w:rFonts w:ascii="Times New Roman" w:hAnsi="Times New Roman"/>
          <w:sz w:val="24"/>
          <w:szCs w:val="24"/>
        </w:rPr>
        <w:t>A</w:t>
      </w:r>
      <w:r w:rsidR="00D200F8" w:rsidRPr="00020413">
        <w:rPr>
          <w:rFonts w:ascii="Times New Roman" w:hAnsi="Times New Roman"/>
          <w:sz w:val="24"/>
          <w:szCs w:val="24"/>
        </w:rPr>
        <w:t xml:space="preserve">gain, inconclusive results are observed for the </w:t>
      </w:r>
      <w:r w:rsidR="00D200F8" w:rsidRPr="00020413">
        <w:rPr>
          <w:rFonts w:ascii="Times New Roman" w:hAnsi="Times New Roman"/>
          <w:sz w:val="24"/>
          <w:szCs w:val="24"/>
        </w:rPr>
        <w:lastRenderedPageBreak/>
        <w:t>regulatory quality indicator with th</w:t>
      </w:r>
      <w:r w:rsidR="00C32BFB" w:rsidRPr="00020413">
        <w:rPr>
          <w:rFonts w:ascii="Times New Roman" w:hAnsi="Times New Roman"/>
          <w:sz w:val="24"/>
          <w:szCs w:val="24"/>
        </w:rPr>
        <w:t xml:space="preserve">e information sharing measure, </w:t>
      </w:r>
      <w:r w:rsidR="00C32BFB" w:rsidRPr="00020413">
        <w:rPr>
          <w:rFonts w:ascii="Times New Roman" w:hAnsi="Times New Roman"/>
          <w:i/>
          <w:iCs/>
          <w:sz w:val="24"/>
          <w:szCs w:val="24"/>
        </w:rPr>
        <w:t>D</w:t>
      </w:r>
      <w:r w:rsidR="00D200F8" w:rsidRPr="00020413">
        <w:rPr>
          <w:rFonts w:ascii="Times New Roman" w:hAnsi="Times New Roman"/>
          <w:i/>
          <w:iCs/>
          <w:sz w:val="24"/>
          <w:szCs w:val="24"/>
        </w:rPr>
        <w:t>ept</w:t>
      </w:r>
      <w:r w:rsidR="00C32BFB" w:rsidRPr="00020413">
        <w:rPr>
          <w:rFonts w:ascii="Times New Roman" w:hAnsi="Times New Roman"/>
          <w:i/>
          <w:iCs/>
          <w:sz w:val="24"/>
          <w:szCs w:val="24"/>
        </w:rPr>
        <w:t>h</w:t>
      </w:r>
      <w:r w:rsidR="00C32BFB" w:rsidRPr="00020413">
        <w:rPr>
          <w:rFonts w:ascii="Times New Roman" w:hAnsi="Times New Roman"/>
          <w:sz w:val="24"/>
          <w:szCs w:val="24"/>
        </w:rPr>
        <w:t xml:space="preserve"> (</w:t>
      </w:r>
      <w:r w:rsidR="00C32BFB" w:rsidRPr="00020413">
        <w:rPr>
          <w:rFonts w:ascii="Times New Roman" w:hAnsi="Times New Roman"/>
          <w:i/>
          <w:sz w:val="24"/>
          <w:szCs w:val="24"/>
        </w:rPr>
        <w:t>R</w:t>
      </w:r>
      <w:r w:rsidR="00D200F8" w:rsidRPr="00020413">
        <w:rPr>
          <w:rFonts w:ascii="Times New Roman" w:hAnsi="Times New Roman"/>
          <w:i/>
          <w:sz w:val="24"/>
          <w:szCs w:val="24"/>
        </w:rPr>
        <w:t>egistry</w:t>
      </w:r>
      <w:r w:rsidR="00D200F8" w:rsidRPr="00020413">
        <w:rPr>
          <w:rFonts w:ascii="Times New Roman" w:hAnsi="Times New Roman"/>
          <w:sz w:val="24"/>
          <w:szCs w:val="24"/>
        </w:rPr>
        <w:t xml:space="preserve">), showing a statistically negative (positive) </w:t>
      </w:r>
      <w:r w:rsidR="00ED659F" w:rsidRPr="00020413">
        <w:rPr>
          <w:rFonts w:ascii="Times New Roman" w:hAnsi="Times New Roman"/>
          <w:sz w:val="24"/>
          <w:szCs w:val="24"/>
        </w:rPr>
        <w:t xml:space="preserve">interaction </w:t>
      </w:r>
      <w:r w:rsidR="00D200F8" w:rsidRPr="00020413">
        <w:rPr>
          <w:rFonts w:ascii="Times New Roman" w:hAnsi="Times New Roman"/>
          <w:sz w:val="24"/>
          <w:szCs w:val="24"/>
        </w:rPr>
        <w:t xml:space="preserve">effect, while the </w:t>
      </w:r>
      <w:r w:rsidR="007D489C" w:rsidRPr="00020413">
        <w:rPr>
          <w:rFonts w:ascii="Times New Roman" w:hAnsi="Times New Roman"/>
          <w:i/>
          <w:iCs/>
          <w:sz w:val="24"/>
          <w:szCs w:val="24"/>
        </w:rPr>
        <w:t>Bureau</w:t>
      </w:r>
      <w:r w:rsidR="007D489C" w:rsidRPr="00020413">
        <w:rPr>
          <w:rFonts w:ascii="Times New Roman" w:hAnsi="Times New Roman"/>
          <w:sz w:val="24"/>
          <w:szCs w:val="24"/>
        </w:rPr>
        <w:t xml:space="preserve"> measure had an insignificant </w:t>
      </w:r>
      <w:r w:rsidR="00ED659F" w:rsidRPr="00020413">
        <w:rPr>
          <w:rFonts w:ascii="Times New Roman" w:hAnsi="Times New Roman"/>
          <w:sz w:val="24"/>
          <w:szCs w:val="24"/>
        </w:rPr>
        <w:t xml:space="preserve">interaction </w:t>
      </w:r>
      <w:r w:rsidR="007D489C" w:rsidRPr="00020413">
        <w:rPr>
          <w:rFonts w:ascii="Times New Roman" w:hAnsi="Times New Roman"/>
          <w:sz w:val="24"/>
          <w:szCs w:val="24"/>
        </w:rPr>
        <w:t>effect</w:t>
      </w:r>
      <w:r w:rsidR="00D200F8" w:rsidRPr="00020413">
        <w:rPr>
          <w:rFonts w:ascii="Times New Roman" w:hAnsi="Times New Roman"/>
          <w:sz w:val="24"/>
          <w:szCs w:val="24"/>
        </w:rPr>
        <w:t>.</w:t>
      </w:r>
      <w:r w:rsidR="00ED659F" w:rsidRPr="00020413">
        <w:rPr>
          <w:rFonts w:ascii="Times New Roman" w:hAnsi="Times New Roman"/>
          <w:sz w:val="24"/>
          <w:szCs w:val="24"/>
        </w:rPr>
        <w:t xml:space="preserve"> Finally, the control of corruption indicator </w:t>
      </w:r>
      <w:r w:rsidR="00AE4847" w:rsidRPr="00020413">
        <w:rPr>
          <w:rFonts w:ascii="Times New Roman" w:hAnsi="Times New Roman"/>
          <w:sz w:val="24"/>
          <w:szCs w:val="24"/>
        </w:rPr>
        <w:t>(</w:t>
      </w:r>
      <w:r w:rsidR="00AE4847" w:rsidRPr="00020413">
        <w:rPr>
          <w:rFonts w:ascii="Times New Roman" w:hAnsi="Times New Roman"/>
          <w:i/>
          <w:sz w:val="24"/>
          <w:szCs w:val="24"/>
        </w:rPr>
        <w:t>Control</w:t>
      </w:r>
      <w:r w:rsidR="00AE4847" w:rsidRPr="00020413">
        <w:rPr>
          <w:rFonts w:ascii="Times New Roman" w:hAnsi="Times New Roman"/>
          <w:sz w:val="24"/>
          <w:szCs w:val="24"/>
        </w:rPr>
        <w:t xml:space="preserve">) </w:t>
      </w:r>
      <w:r w:rsidR="00ED659F" w:rsidRPr="00020413">
        <w:rPr>
          <w:rFonts w:ascii="Times New Roman" w:hAnsi="Times New Roman"/>
          <w:sz w:val="24"/>
          <w:szCs w:val="24"/>
        </w:rPr>
        <w:t>consistently shows an insignificant interaction effect across all models.</w:t>
      </w:r>
      <w:r w:rsidR="00D200F8" w:rsidRPr="00020413">
        <w:rPr>
          <w:rFonts w:ascii="Times New Roman" w:hAnsi="Times New Roman"/>
          <w:sz w:val="24"/>
          <w:szCs w:val="24"/>
        </w:rPr>
        <w:t xml:space="preserve"> </w:t>
      </w:r>
      <w:r w:rsidR="00ED659F" w:rsidRPr="00020413">
        <w:rPr>
          <w:rFonts w:ascii="Times New Roman" w:hAnsi="Times New Roman"/>
          <w:sz w:val="24"/>
          <w:szCs w:val="24"/>
        </w:rPr>
        <w:t xml:space="preserve">Overall, our results </w:t>
      </w:r>
      <w:r w:rsidR="006378CF" w:rsidRPr="00020413">
        <w:rPr>
          <w:rFonts w:ascii="Times New Roman" w:hAnsi="Times New Roman"/>
          <w:sz w:val="24"/>
          <w:szCs w:val="24"/>
        </w:rPr>
        <w:t xml:space="preserve">for </w:t>
      </w:r>
      <w:r w:rsidR="00FD35DF" w:rsidRPr="00020413">
        <w:rPr>
          <w:rFonts w:ascii="Times New Roman" w:hAnsi="Times New Roman"/>
          <w:sz w:val="24"/>
          <w:szCs w:val="24"/>
        </w:rPr>
        <w:t>the moderating role of governance quality</w:t>
      </w:r>
      <w:r w:rsidR="00011F73" w:rsidRPr="00020413">
        <w:rPr>
          <w:rStyle w:val="FootnoteReference"/>
          <w:rFonts w:ascii="Times New Roman" w:hAnsi="Times New Roman"/>
          <w:sz w:val="24"/>
          <w:szCs w:val="24"/>
        </w:rPr>
        <w:footnoteReference w:id="12"/>
      </w:r>
      <w:r w:rsidR="00FD35DF" w:rsidRPr="00020413">
        <w:rPr>
          <w:rFonts w:ascii="Times New Roman" w:hAnsi="Times New Roman"/>
          <w:sz w:val="24"/>
          <w:szCs w:val="24"/>
        </w:rPr>
        <w:t xml:space="preserve"> are in</w:t>
      </w:r>
      <w:r w:rsidR="005805AB" w:rsidRPr="00020413">
        <w:rPr>
          <w:rFonts w:ascii="Times New Roman" w:hAnsi="Times New Roman"/>
          <w:sz w:val="24"/>
          <w:szCs w:val="24"/>
        </w:rPr>
        <w:t>con</w:t>
      </w:r>
      <w:r w:rsidR="00FD35DF" w:rsidRPr="00020413">
        <w:rPr>
          <w:rFonts w:ascii="Times New Roman" w:hAnsi="Times New Roman"/>
          <w:sz w:val="24"/>
          <w:szCs w:val="24"/>
        </w:rPr>
        <w:t>clusive</w:t>
      </w:r>
      <w:r w:rsidR="005805AB" w:rsidRPr="00020413">
        <w:rPr>
          <w:rFonts w:ascii="Times New Roman" w:hAnsi="Times New Roman"/>
          <w:sz w:val="24"/>
          <w:szCs w:val="24"/>
        </w:rPr>
        <w:t>,</w:t>
      </w:r>
      <w:r w:rsidR="00FD35DF" w:rsidRPr="00020413">
        <w:rPr>
          <w:rFonts w:ascii="Times New Roman" w:hAnsi="Times New Roman"/>
          <w:sz w:val="24"/>
          <w:szCs w:val="24"/>
        </w:rPr>
        <w:t xml:space="preserve"> but </w:t>
      </w:r>
      <w:r w:rsidR="00883A29" w:rsidRPr="00020413">
        <w:rPr>
          <w:rFonts w:ascii="Times New Roman" w:hAnsi="Times New Roman"/>
          <w:sz w:val="24"/>
          <w:szCs w:val="24"/>
        </w:rPr>
        <w:t xml:space="preserve">they </w:t>
      </w:r>
      <w:r w:rsidR="00FD35DF" w:rsidRPr="00020413">
        <w:rPr>
          <w:rFonts w:ascii="Times New Roman" w:hAnsi="Times New Roman"/>
          <w:sz w:val="24"/>
          <w:szCs w:val="24"/>
        </w:rPr>
        <w:t>seem to large</w:t>
      </w:r>
      <w:r w:rsidR="000B1FD4" w:rsidRPr="00020413">
        <w:rPr>
          <w:rFonts w:ascii="Times New Roman" w:hAnsi="Times New Roman"/>
          <w:sz w:val="24"/>
          <w:szCs w:val="24"/>
        </w:rPr>
        <w:t>ly</w:t>
      </w:r>
      <w:r w:rsidR="00FD35DF" w:rsidRPr="00020413">
        <w:rPr>
          <w:rFonts w:ascii="Times New Roman" w:hAnsi="Times New Roman"/>
          <w:sz w:val="24"/>
          <w:szCs w:val="24"/>
        </w:rPr>
        <w:t xml:space="preserve"> tilt towards the conclusion </w:t>
      </w:r>
      <w:r w:rsidR="000B1FD4" w:rsidRPr="00020413">
        <w:rPr>
          <w:rFonts w:ascii="Times New Roman" w:hAnsi="Times New Roman"/>
          <w:sz w:val="24"/>
          <w:szCs w:val="24"/>
        </w:rPr>
        <w:t xml:space="preserve">that </w:t>
      </w:r>
      <w:r w:rsidR="00FD35DF" w:rsidRPr="00020413">
        <w:rPr>
          <w:rFonts w:ascii="Times New Roman" w:hAnsi="Times New Roman"/>
          <w:sz w:val="24"/>
          <w:szCs w:val="24"/>
        </w:rPr>
        <w:t xml:space="preserve">the role of credit information sharing in reducing loan default rates is not systematically higher or lower in better-governed countries, relative to poorly-governed countries. Therefore, </w:t>
      </w:r>
      <w:r w:rsidR="000C5EA9" w:rsidRPr="00020413">
        <w:rPr>
          <w:rFonts w:ascii="Times New Roman" w:hAnsi="Times New Roman"/>
          <w:sz w:val="24"/>
          <w:szCs w:val="24"/>
        </w:rPr>
        <w:t>Hypothesis 3 (</w:t>
      </w:r>
      <w:r w:rsidR="00FD35DF" w:rsidRPr="00020413">
        <w:rPr>
          <w:rFonts w:ascii="Times New Roman" w:hAnsi="Times New Roman"/>
          <w:i/>
          <w:iCs/>
          <w:sz w:val="24"/>
          <w:szCs w:val="24"/>
        </w:rPr>
        <w:t>H3</w:t>
      </w:r>
      <w:r w:rsidR="000C5EA9" w:rsidRPr="00020413">
        <w:rPr>
          <w:rFonts w:ascii="Times New Roman" w:hAnsi="Times New Roman"/>
          <w:sz w:val="24"/>
          <w:szCs w:val="24"/>
        </w:rPr>
        <w:t xml:space="preserve">) </w:t>
      </w:r>
      <w:r w:rsidR="00FD35DF" w:rsidRPr="00020413">
        <w:rPr>
          <w:rFonts w:ascii="Times New Roman" w:hAnsi="Times New Roman"/>
          <w:sz w:val="24"/>
          <w:szCs w:val="24"/>
        </w:rPr>
        <w:t>does</w:t>
      </w:r>
      <w:r w:rsidR="005805AB" w:rsidRPr="00020413">
        <w:rPr>
          <w:rFonts w:ascii="Times New Roman" w:hAnsi="Times New Roman"/>
          <w:sz w:val="24"/>
          <w:szCs w:val="24"/>
        </w:rPr>
        <w:t xml:space="preserve"> not</w:t>
      </w:r>
      <w:r w:rsidR="00FD35DF" w:rsidRPr="00020413">
        <w:rPr>
          <w:rFonts w:ascii="Times New Roman" w:hAnsi="Times New Roman"/>
          <w:sz w:val="24"/>
          <w:szCs w:val="24"/>
        </w:rPr>
        <w:t xml:space="preserve"> seem to be supported by our results, or</w:t>
      </w:r>
      <w:r w:rsidR="006378CF" w:rsidRPr="00020413">
        <w:rPr>
          <w:rFonts w:ascii="Times New Roman" w:hAnsi="Times New Roman"/>
          <w:sz w:val="24"/>
          <w:szCs w:val="24"/>
        </w:rPr>
        <w:t>,</w:t>
      </w:r>
      <w:r w:rsidR="00FD35DF" w:rsidRPr="00020413">
        <w:rPr>
          <w:rFonts w:ascii="Times New Roman" w:hAnsi="Times New Roman"/>
          <w:sz w:val="24"/>
          <w:szCs w:val="24"/>
        </w:rPr>
        <w:t xml:space="preserve"> at least</w:t>
      </w:r>
      <w:r w:rsidR="00876B56" w:rsidRPr="00020413">
        <w:rPr>
          <w:rFonts w:ascii="Times New Roman" w:hAnsi="Times New Roman"/>
          <w:sz w:val="24"/>
          <w:szCs w:val="24"/>
        </w:rPr>
        <w:t xml:space="preserve">, </w:t>
      </w:r>
      <w:r w:rsidR="00876B56" w:rsidRPr="00020413">
        <w:rPr>
          <w:rFonts w:ascii="Times New Roman" w:hAnsi="Times New Roman"/>
          <w:i/>
          <w:iCs/>
          <w:sz w:val="24"/>
          <w:szCs w:val="24"/>
        </w:rPr>
        <w:t>H3</w:t>
      </w:r>
      <w:r w:rsidR="00876B56" w:rsidRPr="00020413">
        <w:rPr>
          <w:rFonts w:ascii="Times New Roman" w:hAnsi="Times New Roman"/>
          <w:sz w:val="24"/>
          <w:szCs w:val="24"/>
        </w:rPr>
        <w:t xml:space="preserve"> is</w:t>
      </w:r>
      <w:r w:rsidR="00FD35DF" w:rsidRPr="00020413">
        <w:rPr>
          <w:rFonts w:ascii="Times New Roman" w:hAnsi="Times New Roman"/>
          <w:sz w:val="24"/>
          <w:szCs w:val="24"/>
        </w:rPr>
        <w:t xml:space="preserve"> only weakly supported in the rule of law and regulatory quality dimensions.</w:t>
      </w:r>
    </w:p>
    <w:p w:rsidR="002F21A6" w:rsidRPr="00020413" w:rsidRDefault="00D55D24" w:rsidP="002F21A6">
      <w:pPr>
        <w:spacing w:after="120" w:line="360" w:lineRule="auto"/>
        <w:jc w:val="center"/>
        <w:rPr>
          <w:rFonts w:ascii="Times New Roman" w:hAnsi="Times New Roman"/>
          <w:b/>
          <w:sz w:val="28"/>
          <w:szCs w:val="24"/>
        </w:rPr>
      </w:pPr>
      <w:r w:rsidRPr="00020413">
        <w:rPr>
          <w:rFonts w:ascii="Times New Roman" w:hAnsi="Times New Roman"/>
          <w:sz w:val="24"/>
          <w:szCs w:val="24"/>
        </w:rPr>
        <w:t xml:space="preserve"> </w:t>
      </w:r>
      <w:r w:rsidR="002F21A6" w:rsidRPr="00020413">
        <w:rPr>
          <w:rFonts w:ascii="Times New Roman" w:hAnsi="Times New Roman"/>
          <w:b/>
          <w:sz w:val="28"/>
          <w:szCs w:val="24"/>
        </w:rPr>
        <w:t>[Table 7 about here]</w:t>
      </w:r>
    </w:p>
    <w:p w:rsidR="000F4C4F" w:rsidRPr="00020413" w:rsidRDefault="000F4C4F" w:rsidP="00412C9B">
      <w:pPr>
        <w:spacing w:after="120" w:line="360" w:lineRule="auto"/>
        <w:jc w:val="center"/>
        <w:rPr>
          <w:rFonts w:ascii="Times New Roman" w:hAnsi="Times New Roman"/>
          <w:sz w:val="24"/>
          <w:szCs w:val="24"/>
        </w:rPr>
      </w:pPr>
    </w:p>
    <w:p w:rsidR="00691511" w:rsidRPr="00020413" w:rsidRDefault="001115AB" w:rsidP="00C9343F">
      <w:pPr>
        <w:spacing w:after="0" w:line="360" w:lineRule="auto"/>
        <w:jc w:val="both"/>
        <w:rPr>
          <w:rFonts w:ascii="Times New Roman" w:hAnsi="Times New Roman"/>
          <w:b/>
          <w:sz w:val="24"/>
          <w:szCs w:val="24"/>
        </w:rPr>
      </w:pPr>
      <w:r w:rsidRPr="00020413">
        <w:rPr>
          <w:rFonts w:ascii="Times New Roman" w:hAnsi="Times New Roman"/>
          <w:b/>
          <w:sz w:val="24"/>
          <w:szCs w:val="24"/>
        </w:rPr>
        <w:t>4</w:t>
      </w:r>
      <w:r w:rsidR="00691511" w:rsidRPr="00020413">
        <w:rPr>
          <w:rFonts w:ascii="Times New Roman" w:hAnsi="Times New Roman"/>
          <w:b/>
          <w:sz w:val="24"/>
          <w:szCs w:val="24"/>
        </w:rPr>
        <w:t xml:space="preserve">.4 </w:t>
      </w:r>
      <w:r w:rsidR="00EB49E6" w:rsidRPr="00020413">
        <w:rPr>
          <w:rFonts w:ascii="Times New Roman" w:hAnsi="Times New Roman"/>
          <w:b/>
          <w:sz w:val="24"/>
          <w:szCs w:val="24"/>
        </w:rPr>
        <w:t>I</w:t>
      </w:r>
      <w:r w:rsidR="00691511" w:rsidRPr="00020413">
        <w:rPr>
          <w:rFonts w:ascii="Times New Roman" w:hAnsi="Times New Roman"/>
          <w:b/>
          <w:sz w:val="24"/>
          <w:szCs w:val="24"/>
        </w:rPr>
        <w:t xml:space="preserve">nformation sharing, </w:t>
      </w:r>
      <w:r w:rsidR="00EB49E6" w:rsidRPr="00020413">
        <w:rPr>
          <w:rFonts w:ascii="Times New Roman" w:hAnsi="Times New Roman"/>
          <w:b/>
          <w:sz w:val="24"/>
          <w:szCs w:val="24"/>
        </w:rPr>
        <w:t xml:space="preserve">loan default, </w:t>
      </w:r>
      <w:r w:rsidR="000B1FD4" w:rsidRPr="00020413">
        <w:rPr>
          <w:rFonts w:ascii="Times New Roman" w:hAnsi="Times New Roman"/>
          <w:b/>
          <w:sz w:val="24"/>
          <w:szCs w:val="24"/>
        </w:rPr>
        <w:t xml:space="preserve">banking market </w:t>
      </w:r>
      <w:r w:rsidR="00691511" w:rsidRPr="00020413">
        <w:rPr>
          <w:rFonts w:ascii="Times New Roman" w:hAnsi="Times New Roman"/>
          <w:b/>
          <w:sz w:val="24"/>
          <w:szCs w:val="24"/>
        </w:rPr>
        <w:t xml:space="preserve">concentration </w:t>
      </w:r>
      <w:r w:rsidR="00EB49E6" w:rsidRPr="00020413">
        <w:rPr>
          <w:rFonts w:ascii="Times New Roman" w:hAnsi="Times New Roman"/>
          <w:b/>
          <w:sz w:val="24"/>
          <w:szCs w:val="24"/>
        </w:rPr>
        <w:t xml:space="preserve">and </w:t>
      </w:r>
      <w:r w:rsidR="00691511" w:rsidRPr="00020413">
        <w:rPr>
          <w:rFonts w:ascii="Times New Roman" w:hAnsi="Times New Roman"/>
          <w:b/>
          <w:sz w:val="24"/>
          <w:szCs w:val="24"/>
        </w:rPr>
        <w:t>governance</w:t>
      </w:r>
      <w:r w:rsidR="00EB49E6" w:rsidRPr="00020413">
        <w:rPr>
          <w:rFonts w:ascii="Times New Roman" w:hAnsi="Times New Roman"/>
          <w:b/>
          <w:sz w:val="24"/>
          <w:szCs w:val="24"/>
        </w:rPr>
        <w:t xml:space="preserve"> quality</w:t>
      </w:r>
    </w:p>
    <w:p w:rsidR="00A45035" w:rsidRPr="00020413" w:rsidRDefault="00691511"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In this section, we control jointly for the interaction effects of </w:t>
      </w:r>
      <w:r w:rsidR="002335EA" w:rsidRPr="00020413">
        <w:rPr>
          <w:rFonts w:ascii="Times New Roman" w:hAnsi="Times New Roman"/>
          <w:sz w:val="24"/>
          <w:szCs w:val="24"/>
        </w:rPr>
        <w:t xml:space="preserve">banking </w:t>
      </w:r>
      <w:r w:rsidR="000B1FD4" w:rsidRPr="00020413">
        <w:rPr>
          <w:rFonts w:ascii="Times New Roman" w:hAnsi="Times New Roman"/>
          <w:sz w:val="24"/>
          <w:szCs w:val="24"/>
        </w:rPr>
        <w:t>market</w:t>
      </w:r>
      <w:r w:rsidR="002335EA" w:rsidRPr="00020413">
        <w:rPr>
          <w:rFonts w:ascii="Times New Roman" w:hAnsi="Times New Roman"/>
          <w:sz w:val="24"/>
          <w:szCs w:val="24"/>
        </w:rPr>
        <w:t xml:space="preserve"> </w:t>
      </w:r>
      <w:r w:rsidRPr="00020413">
        <w:rPr>
          <w:rFonts w:ascii="Times New Roman" w:hAnsi="Times New Roman"/>
          <w:sz w:val="24"/>
          <w:szCs w:val="24"/>
        </w:rPr>
        <w:t xml:space="preserve">concentration and </w:t>
      </w:r>
      <w:r w:rsidR="002335EA" w:rsidRPr="00020413">
        <w:rPr>
          <w:rFonts w:ascii="Times New Roman" w:hAnsi="Times New Roman"/>
          <w:sz w:val="24"/>
          <w:szCs w:val="24"/>
        </w:rPr>
        <w:t xml:space="preserve">national </w:t>
      </w:r>
      <w:r w:rsidRPr="00020413">
        <w:rPr>
          <w:rFonts w:ascii="Times New Roman" w:hAnsi="Times New Roman"/>
          <w:sz w:val="24"/>
          <w:szCs w:val="24"/>
        </w:rPr>
        <w:t xml:space="preserve">governance quality on the relationship between credit information sharing and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Pr="00020413">
        <w:rPr>
          <w:rFonts w:ascii="Times New Roman" w:hAnsi="Times New Roman"/>
          <w:sz w:val="24"/>
          <w:szCs w:val="24"/>
        </w:rPr>
        <w:t xml:space="preserve">. </w:t>
      </w:r>
      <w:r w:rsidR="00BB0135" w:rsidRPr="00020413">
        <w:rPr>
          <w:rFonts w:ascii="Times New Roman" w:hAnsi="Times New Roman"/>
          <w:sz w:val="24"/>
          <w:szCs w:val="24"/>
        </w:rPr>
        <w:t xml:space="preserve">The results in Table </w:t>
      </w:r>
      <w:r w:rsidR="00D96A09" w:rsidRPr="00020413">
        <w:rPr>
          <w:rFonts w:ascii="Times New Roman" w:hAnsi="Times New Roman"/>
          <w:sz w:val="24"/>
          <w:szCs w:val="24"/>
        </w:rPr>
        <w:t>8</w:t>
      </w:r>
      <w:r w:rsidR="00BB0135" w:rsidRPr="00020413">
        <w:rPr>
          <w:rFonts w:ascii="Times New Roman" w:hAnsi="Times New Roman"/>
          <w:sz w:val="24"/>
          <w:szCs w:val="24"/>
        </w:rPr>
        <w:t xml:space="preserve"> show that the coefficients on the credit information sharing variables remain negative across all model</w:t>
      </w:r>
      <w:r w:rsidR="00D55D24" w:rsidRPr="00020413">
        <w:rPr>
          <w:rFonts w:ascii="Times New Roman" w:hAnsi="Times New Roman"/>
          <w:sz w:val="24"/>
          <w:szCs w:val="24"/>
        </w:rPr>
        <w:t>s</w:t>
      </w:r>
      <w:r w:rsidR="00BB0135" w:rsidRPr="00020413">
        <w:rPr>
          <w:rFonts w:ascii="Times New Roman" w:hAnsi="Times New Roman"/>
          <w:sz w:val="24"/>
          <w:szCs w:val="24"/>
        </w:rPr>
        <w:t>.</w:t>
      </w:r>
      <w:r w:rsidR="007902CD" w:rsidRPr="00020413">
        <w:rPr>
          <w:rFonts w:ascii="Times New Roman" w:hAnsi="Times New Roman"/>
          <w:sz w:val="24"/>
          <w:szCs w:val="24"/>
        </w:rPr>
        <w:t xml:space="preserve"> Also, t</w:t>
      </w:r>
      <w:r w:rsidR="00BB0135" w:rsidRPr="00020413">
        <w:rPr>
          <w:rFonts w:ascii="Times New Roman" w:hAnsi="Times New Roman"/>
          <w:sz w:val="24"/>
          <w:szCs w:val="24"/>
        </w:rPr>
        <w:t xml:space="preserve">he coefficients remain statistically significant at the 1% level across </w:t>
      </w:r>
      <w:r w:rsidR="007902CD" w:rsidRPr="00020413">
        <w:rPr>
          <w:rFonts w:ascii="Times New Roman" w:hAnsi="Times New Roman"/>
          <w:sz w:val="24"/>
          <w:szCs w:val="24"/>
        </w:rPr>
        <w:t>all models</w:t>
      </w:r>
      <w:r w:rsidR="00BB0135" w:rsidRPr="00020413">
        <w:rPr>
          <w:rFonts w:ascii="Times New Roman" w:hAnsi="Times New Roman"/>
          <w:sz w:val="24"/>
          <w:szCs w:val="24"/>
        </w:rPr>
        <w:t xml:space="preserve">. These results confirm </w:t>
      </w:r>
      <w:r w:rsidR="002F21A6" w:rsidRPr="00020413">
        <w:rPr>
          <w:rFonts w:ascii="Times New Roman" w:hAnsi="Times New Roman"/>
          <w:sz w:val="24"/>
          <w:szCs w:val="24"/>
        </w:rPr>
        <w:t xml:space="preserve">our prior </w:t>
      </w:r>
      <w:r w:rsidR="00BB0135" w:rsidRPr="00020413">
        <w:rPr>
          <w:rFonts w:ascii="Times New Roman" w:hAnsi="Times New Roman"/>
          <w:sz w:val="24"/>
          <w:szCs w:val="24"/>
        </w:rPr>
        <w:t>findings</w:t>
      </w:r>
      <w:r w:rsidR="00EF0ABE" w:rsidRPr="00020413">
        <w:rPr>
          <w:rFonts w:ascii="Times New Roman" w:hAnsi="Times New Roman"/>
          <w:sz w:val="24"/>
          <w:szCs w:val="24"/>
        </w:rPr>
        <w:t>,</w:t>
      </w:r>
      <w:r w:rsidR="00BB0135" w:rsidRPr="00020413">
        <w:rPr>
          <w:rFonts w:ascii="Times New Roman" w:hAnsi="Times New Roman"/>
          <w:sz w:val="24"/>
          <w:szCs w:val="24"/>
        </w:rPr>
        <w:t xml:space="preserve"> suggesting that </w:t>
      </w:r>
      <w:r w:rsidR="00D96A09" w:rsidRPr="00020413">
        <w:rPr>
          <w:rFonts w:ascii="Times New Roman" w:hAnsi="Times New Roman"/>
          <w:sz w:val="24"/>
          <w:szCs w:val="24"/>
        </w:rPr>
        <w:t xml:space="preserve">the depth of </w:t>
      </w:r>
      <w:r w:rsidR="00BB0135" w:rsidRPr="00020413">
        <w:rPr>
          <w:rFonts w:ascii="Times New Roman" w:hAnsi="Times New Roman"/>
          <w:sz w:val="24"/>
          <w:szCs w:val="24"/>
        </w:rPr>
        <w:t xml:space="preserve">credit information </w:t>
      </w:r>
      <w:r w:rsidR="007902CD" w:rsidRPr="00020413">
        <w:rPr>
          <w:rFonts w:ascii="Times New Roman" w:hAnsi="Times New Roman"/>
          <w:sz w:val="24"/>
          <w:szCs w:val="24"/>
        </w:rPr>
        <w:t>sharing</w:t>
      </w:r>
      <w:r w:rsidR="00DC6CC4" w:rsidRPr="00020413">
        <w:rPr>
          <w:rFonts w:ascii="Times New Roman" w:hAnsi="Times New Roman"/>
          <w:sz w:val="24"/>
          <w:szCs w:val="24"/>
        </w:rPr>
        <w:t xml:space="preserve">, </w:t>
      </w:r>
      <w:r w:rsidR="00D96A09" w:rsidRPr="00020413">
        <w:rPr>
          <w:rFonts w:ascii="Times New Roman" w:hAnsi="Times New Roman"/>
          <w:sz w:val="24"/>
          <w:szCs w:val="24"/>
        </w:rPr>
        <w:t>credit registry</w:t>
      </w:r>
      <w:r w:rsidR="00AE4619" w:rsidRPr="00020413">
        <w:rPr>
          <w:rFonts w:ascii="Times New Roman" w:hAnsi="Times New Roman"/>
          <w:sz w:val="24"/>
          <w:szCs w:val="24"/>
        </w:rPr>
        <w:t xml:space="preserve"> coverage</w:t>
      </w:r>
      <w:r w:rsidR="005805AB" w:rsidRPr="00020413">
        <w:rPr>
          <w:rFonts w:ascii="Times New Roman" w:hAnsi="Times New Roman"/>
          <w:sz w:val="24"/>
          <w:szCs w:val="24"/>
        </w:rPr>
        <w:t>,</w:t>
      </w:r>
      <w:r w:rsidR="00822514" w:rsidRPr="00020413">
        <w:rPr>
          <w:rFonts w:ascii="Times New Roman" w:hAnsi="Times New Roman"/>
          <w:sz w:val="24"/>
          <w:szCs w:val="24"/>
        </w:rPr>
        <w:t xml:space="preserve"> as well as private bureau</w:t>
      </w:r>
      <w:r w:rsidR="00D96A09" w:rsidRPr="00020413">
        <w:rPr>
          <w:rFonts w:ascii="Times New Roman" w:hAnsi="Times New Roman"/>
          <w:sz w:val="24"/>
          <w:szCs w:val="24"/>
        </w:rPr>
        <w:t xml:space="preserve"> coverage</w:t>
      </w:r>
      <w:r w:rsidR="00D55D24" w:rsidRPr="00020413">
        <w:rPr>
          <w:rFonts w:ascii="Times New Roman" w:hAnsi="Times New Roman"/>
          <w:sz w:val="24"/>
          <w:szCs w:val="24"/>
        </w:rPr>
        <w:t>,</w:t>
      </w:r>
      <w:r w:rsidR="00DC6CC4" w:rsidRPr="00020413">
        <w:rPr>
          <w:rFonts w:ascii="Times New Roman" w:hAnsi="Times New Roman"/>
          <w:sz w:val="24"/>
          <w:szCs w:val="24"/>
        </w:rPr>
        <w:t xml:space="preserve"> all</w:t>
      </w:r>
      <w:r w:rsidR="00D96A09" w:rsidRPr="00020413">
        <w:rPr>
          <w:rFonts w:ascii="Times New Roman" w:hAnsi="Times New Roman"/>
          <w:sz w:val="24"/>
          <w:szCs w:val="24"/>
        </w:rPr>
        <w:t xml:space="preserve"> </w:t>
      </w:r>
      <w:r w:rsidR="00BB0135" w:rsidRPr="00020413">
        <w:rPr>
          <w:rFonts w:ascii="Times New Roman" w:hAnsi="Times New Roman"/>
          <w:sz w:val="24"/>
          <w:szCs w:val="24"/>
        </w:rPr>
        <w:t xml:space="preserve">reduce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E2483E" w:rsidRPr="00020413">
        <w:rPr>
          <w:rFonts w:ascii="Times New Roman" w:hAnsi="Times New Roman"/>
          <w:sz w:val="24"/>
          <w:szCs w:val="24"/>
        </w:rPr>
        <w:t xml:space="preserve">, </w:t>
      </w:r>
      <w:r w:rsidR="00F84362" w:rsidRPr="00020413">
        <w:rPr>
          <w:rFonts w:ascii="Times New Roman" w:hAnsi="Times New Roman"/>
          <w:sz w:val="24"/>
          <w:szCs w:val="24"/>
        </w:rPr>
        <w:t xml:space="preserve">and </w:t>
      </w:r>
      <w:r w:rsidR="00E2483E" w:rsidRPr="00020413">
        <w:rPr>
          <w:rFonts w:ascii="Times New Roman" w:hAnsi="Times New Roman"/>
          <w:sz w:val="24"/>
          <w:szCs w:val="24"/>
        </w:rPr>
        <w:t>thus providing support for Hypothesis 1.</w:t>
      </w:r>
      <w:r w:rsidR="00DC6CC4" w:rsidRPr="00020413">
        <w:rPr>
          <w:rFonts w:ascii="Times New Roman" w:hAnsi="Times New Roman"/>
          <w:sz w:val="24"/>
          <w:szCs w:val="24"/>
        </w:rPr>
        <w:t xml:space="preserve"> </w:t>
      </w:r>
      <w:r w:rsidR="005C1F50" w:rsidRPr="00020413">
        <w:rPr>
          <w:rFonts w:ascii="Times New Roman" w:hAnsi="Times New Roman"/>
          <w:sz w:val="24"/>
          <w:szCs w:val="24"/>
        </w:rPr>
        <w:t>Further, the</w:t>
      </w:r>
      <w:r w:rsidR="00BB0135" w:rsidRPr="00020413">
        <w:rPr>
          <w:rFonts w:ascii="Times New Roman" w:hAnsi="Times New Roman"/>
          <w:sz w:val="24"/>
          <w:szCs w:val="24"/>
        </w:rPr>
        <w:t xml:space="preserve"> coefficient on the interaction term</w:t>
      </w:r>
      <w:r w:rsidR="005C1F50" w:rsidRPr="00020413">
        <w:rPr>
          <w:rFonts w:ascii="Times New Roman" w:hAnsi="Times New Roman"/>
          <w:sz w:val="24"/>
          <w:szCs w:val="24"/>
        </w:rPr>
        <w:t>s</w:t>
      </w:r>
      <w:r w:rsidR="00A82912" w:rsidRPr="00020413">
        <w:rPr>
          <w:rFonts w:ascii="Times New Roman" w:hAnsi="Times New Roman"/>
          <w:sz w:val="24"/>
          <w:szCs w:val="24"/>
        </w:rPr>
        <w:t xml:space="preserve"> between </w:t>
      </w:r>
      <w:r w:rsidR="00A82912" w:rsidRPr="00020413">
        <w:rPr>
          <w:rFonts w:ascii="Times New Roman" w:hAnsi="Times New Roman"/>
          <w:i/>
          <w:sz w:val="24"/>
          <w:szCs w:val="24"/>
        </w:rPr>
        <w:t>C</w:t>
      </w:r>
      <w:r w:rsidR="00BB0135" w:rsidRPr="00020413">
        <w:rPr>
          <w:rFonts w:ascii="Times New Roman" w:hAnsi="Times New Roman"/>
          <w:i/>
          <w:sz w:val="24"/>
          <w:szCs w:val="24"/>
        </w:rPr>
        <w:t>oncentration</w:t>
      </w:r>
      <w:r w:rsidR="00BB0135" w:rsidRPr="00020413">
        <w:rPr>
          <w:rFonts w:ascii="Times New Roman" w:hAnsi="Times New Roman"/>
          <w:sz w:val="24"/>
          <w:szCs w:val="24"/>
        </w:rPr>
        <w:t xml:space="preserve"> </w:t>
      </w:r>
      <w:r w:rsidR="00C152B1" w:rsidRPr="00020413">
        <w:rPr>
          <w:rFonts w:ascii="Times New Roman" w:hAnsi="Times New Roman"/>
          <w:sz w:val="24"/>
          <w:szCs w:val="24"/>
        </w:rPr>
        <w:t xml:space="preserve">and </w:t>
      </w:r>
      <w:r w:rsidR="005C1F50" w:rsidRPr="00020413">
        <w:rPr>
          <w:rFonts w:ascii="Times New Roman" w:hAnsi="Times New Roman"/>
          <w:sz w:val="24"/>
          <w:szCs w:val="24"/>
        </w:rPr>
        <w:t xml:space="preserve">the information sharing variables </w:t>
      </w:r>
      <w:r w:rsidR="00BB0135" w:rsidRPr="00020413">
        <w:rPr>
          <w:rFonts w:ascii="Times New Roman" w:hAnsi="Times New Roman"/>
          <w:sz w:val="24"/>
          <w:szCs w:val="24"/>
        </w:rPr>
        <w:t>remains positive and statistically significant</w:t>
      </w:r>
      <w:r w:rsidR="005C1F50" w:rsidRPr="00020413">
        <w:rPr>
          <w:rFonts w:ascii="Times New Roman" w:hAnsi="Times New Roman"/>
          <w:sz w:val="24"/>
          <w:szCs w:val="24"/>
        </w:rPr>
        <w:t xml:space="preserve"> at the 1% level</w:t>
      </w:r>
      <w:r w:rsidR="00BB0135" w:rsidRPr="00020413">
        <w:rPr>
          <w:rFonts w:ascii="Times New Roman" w:hAnsi="Times New Roman"/>
          <w:sz w:val="24"/>
          <w:szCs w:val="24"/>
        </w:rPr>
        <w:t xml:space="preserve">. </w:t>
      </w:r>
      <w:r w:rsidR="00A45035" w:rsidRPr="00020413">
        <w:rPr>
          <w:rFonts w:ascii="Times New Roman" w:hAnsi="Times New Roman"/>
          <w:sz w:val="24"/>
          <w:szCs w:val="24"/>
        </w:rPr>
        <w:t xml:space="preserve">This strengthens </w:t>
      </w:r>
      <w:r w:rsidR="00F84362" w:rsidRPr="00020413">
        <w:rPr>
          <w:rFonts w:ascii="Times New Roman" w:hAnsi="Times New Roman"/>
          <w:sz w:val="24"/>
          <w:szCs w:val="24"/>
        </w:rPr>
        <w:t>our previous findings that provided</w:t>
      </w:r>
      <w:r w:rsidR="00A45035" w:rsidRPr="00020413">
        <w:rPr>
          <w:rFonts w:ascii="Times New Roman" w:hAnsi="Times New Roman"/>
          <w:sz w:val="24"/>
          <w:szCs w:val="24"/>
        </w:rPr>
        <w:t xml:space="preserve"> support for Hypothesis 2, suggesting that the effect of credit information sharing on loan default decreases with banking market concentration.</w:t>
      </w:r>
      <w:r w:rsidR="007D2818" w:rsidRPr="00020413">
        <w:rPr>
          <w:rFonts w:ascii="Times New Roman" w:hAnsi="Times New Roman"/>
          <w:sz w:val="24"/>
          <w:szCs w:val="24"/>
        </w:rPr>
        <w:t xml:space="preserve"> We also </w:t>
      </w:r>
      <w:r w:rsidR="00F84362" w:rsidRPr="00020413">
        <w:rPr>
          <w:rFonts w:ascii="Times New Roman" w:hAnsi="Times New Roman"/>
          <w:sz w:val="24"/>
          <w:szCs w:val="24"/>
        </w:rPr>
        <w:t>provide support for</w:t>
      </w:r>
      <w:r w:rsidR="007D2818" w:rsidRPr="00020413">
        <w:rPr>
          <w:rFonts w:ascii="Times New Roman" w:hAnsi="Times New Roman"/>
          <w:sz w:val="24"/>
          <w:szCs w:val="24"/>
        </w:rPr>
        <w:t xml:space="preserve"> the mixed role of </w:t>
      </w:r>
      <w:r w:rsidR="00B1162E" w:rsidRPr="00020413">
        <w:rPr>
          <w:rFonts w:ascii="Times New Roman" w:hAnsi="Times New Roman"/>
          <w:sz w:val="24"/>
          <w:szCs w:val="24"/>
        </w:rPr>
        <w:t>governance indicators</w:t>
      </w:r>
      <w:r w:rsidR="006F02ED" w:rsidRPr="00020413">
        <w:rPr>
          <w:rFonts w:ascii="Times New Roman" w:hAnsi="Times New Roman"/>
          <w:sz w:val="24"/>
          <w:szCs w:val="24"/>
        </w:rPr>
        <w:t xml:space="preserve"> in the relationship between information sharing and loan default</w:t>
      </w:r>
      <w:r w:rsidR="00B1162E" w:rsidRPr="00020413">
        <w:rPr>
          <w:rFonts w:ascii="Times New Roman" w:hAnsi="Times New Roman"/>
          <w:sz w:val="24"/>
          <w:szCs w:val="24"/>
        </w:rPr>
        <w:t xml:space="preserve">, although the evidence </w:t>
      </w:r>
      <w:r w:rsidR="006F02ED" w:rsidRPr="00020413">
        <w:rPr>
          <w:rFonts w:ascii="Times New Roman" w:hAnsi="Times New Roman"/>
          <w:sz w:val="24"/>
          <w:szCs w:val="24"/>
        </w:rPr>
        <w:t xml:space="preserve">seems to point more to </w:t>
      </w:r>
      <w:r w:rsidR="00C152B1" w:rsidRPr="00020413">
        <w:rPr>
          <w:rFonts w:ascii="Times New Roman" w:hAnsi="Times New Roman"/>
          <w:sz w:val="24"/>
          <w:szCs w:val="24"/>
        </w:rPr>
        <w:t xml:space="preserve">a lack of </w:t>
      </w:r>
      <w:r w:rsidR="00B1162E" w:rsidRPr="00020413">
        <w:rPr>
          <w:rFonts w:ascii="Times New Roman" w:hAnsi="Times New Roman"/>
          <w:sz w:val="24"/>
          <w:szCs w:val="24"/>
        </w:rPr>
        <w:t>statistically significant moderating rol</w:t>
      </w:r>
      <w:r w:rsidR="00E84BC1" w:rsidRPr="00020413">
        <w:rPr>
          <w:rFonts w:ascii="Times New Roman" w:hAnsi="Times New Roman"/>
          <w:sz w:val="24"/>
          <w:szCs w:val="24"/>
        </w:rPr>
        <w:t>e of governance.</w:t>
      </w:r>
    </w:p>
    <w:p w:rsidR="002F21A6" w:rsidRPr="00020413" w:rsidRDefault="002F21A6" w:rsidP="002F21A6">
      <w:pPr>
        <w:spacing w:after="120" w:line="360" w:lineRule="auto"/>
        <w:jc w:val="center"/>
        <w:rPr>
          <w:rFonts w:ascii="Times New Roman" w:hAnsi="Times New Roman"/>
          <w:b/>
          <w:sz w:val="28"/>
          <w:szCs w:val="24"/>
        </w:rPr>
      </w:pPr>
      <w:r w:rsidRPr="00020413">
        <w:rPr>
          <w:rFonts w:ascii="Times New Roman" w:hAnsi="Times New Roman"/>
          <w:b/>
          <w:sz w:val="28"/>
          <w:szCs w:val="24"/>
        </w:rPr>
        <w:t>[Table 8 about here]</w:t>
      </w:r>
    </w:p>
    <w:p w:rsidR="00E811AD" w:rsidRPr="00020413" w:rsidRDefault="001115AB" w:rsidP="00E811AD">
      <w:pPr>
        <w:spacing w:before="240" w:after="240" w:line="360" w:lineRule="auto"/>
        <w:jc w:val="both"/>
        <w:rPr>
          <w:rFonts w:ascii="Times New Roman" w:hAnsi="Times New Roman"/>
          <w:b/>
          <w:sz w:val="24"/>
          <w:szCs w:val="24"/>
        </w:rPr>
      </w:pPr>
      <w:r w:rsidRPr="00020413">
        <w:rPr>
          <w:rFonts w:ascii="Times New Roman" w:hAnsi="Times New Roman"/>
          <w:b/>
          <w:sz w:val="24"/>
          <w:szCs w:val="24"/>
        </w:rPr>
        <w:lastRenderedPageBreak/>
        <w:t>4</w:t>
      </w:r>
      <w:r w:rsidR="00E811AD" w:rsidRPr="00020413">
        <w:rPr>
          <w:rFonts w:ascii="Times New Roman" w:hAnsi="Times New Roman"/>
          <w:b/>
          <w:sz w:val="24"/>
          <w:szCs w:val="24"/>
        </w:rPr>
        <w:t xml:space="preserve">.5 Credit information sharing and </w:t>
      </w:r>
      <w:r w:rsidR="00E70A88" w:rsidRPr="00020413">
        <w:rPr>
          <w:rFonts w:ascii="Times New Roman" w:hAnsi="Times New Roman"/>
          <w:b/>
          <w:sz w:val="24"/>
          <w:szCs w:val="24"/>
        </w:rPr>
        <w:t xml:space="preserve">loan </w:t>
      </w:r>
      <w:r w:rsidR="00262D41" w:rsidRPr="00020413">
        <w:rPr>
          <w:rFonts w:ascii="Times New Roman" w:hAnsi="Times New Roman"/>
          <w:b/>
          <w:sz w:val="24"/>
          <w:szCs w:val="24"/>
        </w:rPr>
        <w:t>default rate</w:t>
      </w:r>
      <w:r w:rsidR="00E811AD" w:rsidRPr="00020413">
        <w:rPr>
          <w:rFonts w:ascii="Times New Roman" w:hAnsi="Times New Roman"/>
          <w:b/>
          <w:sz w:val="24"/>
          <w:szCs w:val="24"/>
        </w:rPr>
        <w:t xml:space="preserve"> </w:t>
      </w:r>
      <w:r w:rsidR="008C4E5F" w:rsidRPr="00020413">
        <w:rPr>
          <w:rFonts w:ascii="Times New Roman" w:hAnsi="Times New Roman"/>
          <w:b/>
          <w:sz w:val="24"/>
          <w:szCs w:val="24"/>
        </w:rPr>
        <w:t>–</w:t>
      </w:r>
      <w:r w:rsidR="00E811AD" w:rsidRPr="00020413">
        <w:rPr>
          <w:rFonts w:ascii="Times New Roman" w:hAnsi="Times New Roman"/>
          <w:b/>
          <w:sz w:val="24"/>
          <w:szCs w:val="24"/>
        </w:rPr>
        <w:t xml:space="preserve"> </w:t>
      </w:r>
      <w:r w:rsidR="005226D5" w:rsidRPr="00020413">
        <w:rPr>
          <w:rFonts w:ascii="Times New Roman" w:hAnsi="Times New Roman"/>
          <w:b/>
          <w:sz w:val="24"/>
          <w:szCs w:val="24"/>
        </w:rPr>
        <w:t>The e</w:t>
      </w:r>
      <w:r w:rsidR="00E811AD" w:rsidRPr="00020413">
        <w:rPr>
          <w:rFonts w:ascii="Times New Roman" w:hAnsi="Times New Roman"/>
          <w:b/>
          <w:sz w:val="24"/>
          <w:szCs w:val="24"/>
        </w:rPr>
        <w:t>ndogeneity</w:t>
      </w:r>
      <w:r w:rsidR="005226D5" w:rsidRPr="00020413">
        <w:rPr>
          <w:rFonts w:ascii="Times New Roman" w:hAnsi="Times New Roman"/>
          <w:b/>
          <w:sz w:val="24"/>
          <w:szCs w:val="24"/>
        </w:rPr>
        <w:t xml:space="preserve"> issue</w:t>
      </w:r>
    </w:p>
    <w:p w:rsidR="008A3D6C" w:rsidRPr="00020413" w:rsidRDefault="008C4E5F" w:rsidP="007E07EC">
      <w:pPr>
        <w:spacing w:after="120" w:line="360" w:lineRule="auto"/>
        <w:jc w:val="both"/>
        <w:rPr>
          <w:rFonts w:ascii="Times New Roman" w:hAnsi="Times New Roman"/>
          <w:sz w:val="24"/>
          <w:szCs w:val="24"/>
        </w:rPr>
      </w:pPr>
      <w:r w:rsidRPr="00020413">
        <w:rPr>
          <w:rFonts w:ascii="Times New Roman" w:hAnsi="Times New Roman"/>
          <w:sz w:val="24"/>
          <w:szCs w:val="24"/>
        </w:rPr>
        <w:t xml:space="preserve">In this section, we address </w:t>
      </w:r>
      <w:r w:rsidR="007D552D" w:rsidRPr="00020413">
        <w:rPr>
          <w:rFonts w:ascii="Times New Roman" w:hAnsi="Times New Roman"/>
          <w:sz w:val="24"/>
          <w:szCs w:val="24"/>
        </w:rPr>
        <w:t>the potential</w:t>
      </w:r>
      <w:r w:rsidRPr="00020413">
        <w:rPr>
          <w:rFonts w:ascii="Times New Roman" w:hAnsi="Times New Roman"/>
          <w:sz w:val="24"/>
          <w:szCs w:val="24"/>
        </w:rPr>
        <w:t xml:space="preserve"> of endogeneity problems</w:t>
      </w:r>
      <w:r w:rsidR="00B157D6" w:rsidRPr="00020413">
        <w:rPr>
          <w:rFonts w:ascii="Times New Roman" w:hAnsi="Times New Roman"/>
          <w:sz w:val="24"/>
          <w:szCs w:val="24"/>
        </w:rPr>
        <w:t xml:space="preserve"> </w:t>
      </w:r>
      <w:r w:rsidR="007E07EC" w:rsidRPr="00020413">
        <w:rPr>
          <w:rFonts w:ascii="Times New Roman" w:hAnsi="Times New Roman"/>
          <w:sz w:val="24"/>
          <w:szCs w:val="24"/>
        </w:rPr>
        <w:t>that may</w:t>
      </w:r>
      <w:r w:rsidR="00300B11" w:rsidRPr="00020413">
        <w:rPr>
          <w:rFonts w:ascii="Times New Roman" w:hAnsi="Times New Roman"/>
          <w:sz w:val="24"/>
          <w:szCs w:val="24"/>
        </w:rPr>
        <w:t xml:space="preserve"> </w:t>
      </w:r>
      <w:r w:rsidRPr="00020413">
        <w:rPr>
          <w:rFonts w:ascii="Times New Roman" w:hAnsi="Times New Roman"/>
          <w:sz w:val="24"/>
          <w:szCs w:val="24"/>
        </w:rPr>
        <w:t>plagu</w:t>
      </w:r>
      <w:r w:rsidR="007E07EC" w:rsidRPr="00020413">
        <w:rPr>
          <w:rFonts w:ascii="Times New Roman" w:hAnsi="Times New Roman"/>
          <w:sz w:val="24"/>
          <w:szCs w:val="24"/>
        </w:rPr>
        <w:t>e</w:t>
      </w:r>
      <w:r w:rsidRPr="00020413">
        <w:rPr>
          <w:rFonts w:ascii="Times New Roman" w:hAnsi="Times New Roman"/>
          <w:sz w:val="24"/>
          <w:szCs w:val="24"/>
        </w:rPr>
        <w:t xml:space="preserve"> our findings. Such problems may arise from possible </w:t>
      </w:r>
      <w:r w:rsidR="00F32AC2" w:rsidRPr="00020413">
        <w:rPr>
          <w:rFonts w:ascii="Times New Roman" w:hAnsi="Times New Roman"/>
          <w:sz w:val="24"/>
          <w:szCs w:val="24"/>
        </w:rPr>
        <w:t>simultaneous determination of</w:t>
      </w:r>
      <w:r w:rsidRPr="00020413">
        <w:rPr>
          <w:rFonts w:ascii="Times New Roman" w:hAnsi="Times New Roman"/>
          <w:sz w:val="24"/>
          <w:szCs w:val="24"/>
        </w:rPr>
        <w:t xml:space="preserve"> credit information sharing and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Pr="00020413">
        <w:rPr>
          <w:rFonts w:ascii="Times New Roman" w:hAnsi="Times New Roman"/>
          <w:sz w:val="24"/>
          <w:szCs w:val="24"/>
        </w:rPr>
        <w:t xml:space="preserve">. For instance, it is likely that </w:t>
      </w:r>
      <w:r w:rsidR="00792C32" w:rsidRPr="00020413">
        <w:rPr>
          <w:rFonts w:ascii="Times New Roman" w:hAnsi="Times New Roman"/>
          <w:sz w:val="24"/>
          <w:szCs w:val="24"/>
        </w:rPr>
        <w:t>a move towards</w:t>
      </w:r>
      <w:r w:rsidRPr="00020413">
        <w:rPr>
          <w:rFonts w:ascii="Times New Roman" w:hAnsi="Times New Roman"/>
          <w:sz w:val="24"/>
          <w:szCs w:val="24"/>
        </w:rPr>
        <w:t xml:space="preserve"> </w:t>
      </w:r>
      <w:r w:rsidR="00792C32" w:rsidRPr="00020413">
        <w:rPr>
          <w:rFonts w:ascii="Times New Roman" w:hAnsi="Times New Roman"/>
          <w:sz w:val="24"/>
          <w:szCs w:val="24"/>
        </w:rPr>
        <w:t>facilitating</w:t>
      </w:r>
      <w:r w:rsidRPr="00020413">
        <w:rPr>
          <w:rFonts w:ascii="Times New Roman" w:hAnsi="Times New Roman"/>
          <w:sz w:val="24"/>
          <w:szCs w:val="24"/>
        </w:rPr>
        <w:t xml:space="preserve"> lending decisions may le</w:t>
      </w:r>
      <w:r w:rsidR="00792C32" w:rsidRPr="00020413">
        <w:rPr>
          <w:rFonts w:ascii="Times New Roman" w:hAnsi="Times New Roman"/>
          <w:sz w:val="24"/>
          <w:szCs w:val="24"/>
        </w:rPr>
        <w:t>ad to a decision to</w:t>
      </w:r>
      <w:r w:rsidRPr="00020413">
        <w:rPr>
          <w:rFonts w:ascii="Times New Roman" w:hAnsi="Times New Roman"/>
          <w:sz w:val="24"/>
          <w:szCs w:val="24"/>
        </w:rPr>
        <w:t xml:space="preserve"> </w:t>
      </w:r>
      <w:r w:rsidR="00792C32" w:rsidRPr="00020413">
        <w:rPr>
          <w:rFonts w:ascii="Times New Roman" w:hAnsi="Times New Roman"/>
          <w:sz w:val="24"/>
          <w:szCs w:val="24"/>
        </w:rPr>
        <w:t>establish</w:t>
      </w:r>
      <w:r w:rsidRPr="00020413">
        <w:rPr>
          <w:rFonts w:ascii="Times New Roman" w:hAnsi="Times New Roman"/>
          <w:sz w:val="24"/>
          <w:szCs w:val="24"/>
        </w:rPr>
        <w:t xml:space="preserve"> credit information</w:t>
      </w:r>
      <w:r w:rsidR="00962B14" w:rsidRPr="00020413">
        <w:rPr>
          <w:rFonts w:ascii="Times New Roman" w:hAnsi="Times New Roman"/>
          <w:sz w:val="24"/>
          <w:szCs w:val="24"/>
        </w:rPr>
        <w:t xml:space="preserve"> </w:t>
      </w:r>
      <w:r w:rsidRPr="00020413">
        <w:rPr>
          <w:rFonts w:ascii="Times New Roman" w:hAnsi="Times New Roman"/>
          <w:sz w:val="24"/>
          <w:szCs w:val="24"/>
        </w:rPr>
        <w:t xml:space="preserve">sharing </w:t>
      </w:r>
      <w:r w:rsidR="003D1F1C" w:rsidRPr="00020413">
        <w:rPr>
          <w:rFonts w:ascii="Times New Roman" w:hAnsi="Times New Roman"/>
          <w:sz w:val="24"/>
          <w:szCs w:val="24"/>
        </w:rPr>
        <w:t>schemes</w:t>
      </w:r>
      <w:r w:rsidRPr="00020413">
        <w:rPr>
          <w:rFonts w:ascii="Times New Roman" w:hAnsi="Times New Roman"/>
          <w:sz w:val="24"/>
          <w:szCs w:val="24"/>
        </w:rPr>
        <w:t>.</w:t>
      </w:r>
      <w:r w:rsidR="003D1F1C" w:rsidRPr="00020413">
        <w:rPr>
          <w:rFonts w:ascii="Times New Roman" w:hAnsi="Times New Roman"/>
          <w:sz w:val="24"/>
          <w:szCs w:val="24"/>
        </w:rPr>
        <w:t xml:space="preserve"> </w:t>
      </w:r>
      <w:r w:rsidR="00D62733" w:rsidRPr="00020413">
        <w:rPr>
          <w:rFonts w:ascii="Times New Roman" w:hAnsi="Times New Roman"/>
          <w:sz w:val="24"/>
          <w:szCs w:val="24"/>
        </w:rPr>
        <w:t>Also,</w:t>
      </w:r>
      <w:r w:rsidR="00A24E3F" w:rsidRPr="00020413">
        <w:rPr>
          <w:rFonts w:ascii="Times New Roman" w:hAnsi="Times New Roman"/>
          <w:sz w:val="24"/>
          <w:szCs w:val="24"/>
        </w:rPr>
        <w:t xml:space="preserve"> it is</w:t>
      </w:r>
      <w:r w:rsidR="00EC7C7A" w:rsidRPr="00020413">
        <w:rPr>
          <w:rFonts w:ascii="Times New Roman" w:hAnsi="Times New Roman"/>
          <w:sz w:val="24"/>
          <w:szCs w:val="24"/>
        </w:rPr>
        <w:t xml:space="preserve"> possible that relevant omitted variables could jointly determine both lending </w:t>
      </w:r>
      <w:r w:rsidR="00B57C6C" w:rsidRPr="00020413">
        <w:rPr>
          <w:rFonts w:ascii="Times New Roman" w:hAnsi="Times New Roman"/>
          <w:sz w:val="24"/>
          <w:szCs w:val="24"/>
        </w:rPr>
        <w:t xml:space="preserve">and default </w:t>
      </w:r>
      <w:r w:rsidR="00EC7C7A" w:rsidRPr="00020413">
        <w:rPr>
          <w:rFonts w:ascii="Times New Roman" w:hAnsi="Times New Roman"/>
          <w:sz w:val="24"/>
          <w:szCs w:val="24"/>
        </w:rPr>
        <w:t>rates</w:t>
      </w:r>
      <w:r w:rsidR="007E07EC" w:rsidRPr="00020413">
        <w:rPr>
          <w:rFonts w:ascii="Times New Roman" w:hAnsi="Times New Roman"/>
          <w:sz w:val="24"/>
          <w:szCs w:val="24"/>
        </w:rPr>
        <w:t>,</w:t>
      </w:r>
      <w:r w:rsidR="00EC7C7A" w:rsidRPr="00020413">
        <w:rPr>
          <w:rFonts w:ascii="Times New Roman" w:hAnsi="Times New Roman"/>
          <w:sz w:val="24"/>
          <w:szCs w:val="24"/>
        </w:rPr>
        <w:t xml:space="preserve"> </w:t>
      </w:r>
      <w:r w:rsidR="00B57C6C" w:rsidRPr="00020413">
        <w:rPr>
          <w:rFonts w:ascii="Times New Roman" w:hAnsi="Times New Roman"/>
          <w:sz w:val="24"/>
          <w:szCs w:val="24"/>
        </w:rPr>
        <w:t>as well as</w:t>
      </w:r>
      <w:r w:rsidR="00EC7C7A" w:rsidRPr="00020413">
        <w:rPr>
          <w:rFonts w:ascii="Times New Roman" w:hAnsi="Times New Roman"/>
          <w:sz w:val="24"/>
          <w:szCs w:val="24"/>
        </w:rPr>
        <w:t xml:space="preserve"> the degree of information sharing. Th</w:t>
      </w:r>
      <w:r w:rsidR="00B57C6C" w:rsidRPr="00020413">
        <w:rPr>
          <w:rFonts w:ascii="Times New Roman" w:hAnsi="Times New Roman"/>
          <w:sz w:val="24"/>
          <w:szCs w:val="24"/>
        </w:rPr>
        <w:t>e</w:t>
      </w:r>
      <w:r w:rsidR="00EC7C7A" w:rsidRPr="00020413">
        <w:rPr>
          <w:rFonts w:ascii="Times New Roman" w:hAnsi="Times New Roman"/>
          <w:sz w:val="24"/>
          <w:szCs w:val="24"/>
        </w:rPr>
        <w:t>s</w:t>
      </w:r>
      <w:r w:rsidR="00B57C6C" w:rsidRPr="00020413">
        <w:rPr>
          <w:rFonts w:ascii="Times New Roman" w:hAnsi="Times New Roman"/>
          <w:sz w:val="24"/>
          <w:szCs w:val="24"/>
        </w:rPr>
        <w:t>e</w:t>
      </w:r>
      <w:r w:rsidR="003D1F1C" w:rsidRPr="00020413">
        <w:rPr>
          <w:rFonts w:ascii="Times New Roman" w:hAnsi="Times New Roman"/>
          <w:sz w:val="24"/>
          <w:szCs w:val="24"/>
        </w:rPr>
        <w:t xml:space="preserve"> may</w:t>
      </w:r>
      <w:r w:rsidR="00B57C6C" w:rsidRPr="00020413">
        <w:rPr>
          <w:rFonts w:ascii="Times New Roman" w:hAnsi="Times New Roman"/>
          <w:sz w:val="24"/>
          <w:szCs w:val="24"/>
        </w:rPr>
        <w:t>, however,</w:t>
      </w:r>
      <w:r w:rsidR="003D1F1C" w:rsidRPr="00020413">
        <w:rPr>
          <w:rFonts w:ascii="Times New Roman" w:hAnsi="Times New Roman"/>
          <w:sz w:val="24"/>
          <w:szCs w:val="24"/>
        </w:rPr>
        <w:t xml:space="preserve"> </w:t>
      </w:r>
      <w:r w:rsidR="00792C32" w:rsidRPr="00020413">
        <w:rPr>
          <w:rFonts w:ascii="Times New Roman" w:hAnsi="Times New Roman"/>
          <w:sz w:val="24"/>
          <w:szCs w:val="24"/>
        </w:rPr>
        <w:t>not</w:t>
      </w:r>
      <w:r w:rsidR="003D1F1C" w:rsidRPr="00020413">
        <w:rPr>
          <w:rFonts w:ascii="Times New Roman" w:hAnsi="Times New Roman"/>
          <w:sz w:val="24"/>
          <w:szCs w:val="24"/>
        </w:rPr>
        <w:t xml:space="preserve"> be a problem in our set</w:t>
      </w:r>
      <w:r w:rsidR="00B57C6C" w:rsidRPr="00020413">
        <w:rPr>
          <w:rFonts w:ascii="Times New Roman" w:hAnsi="Times New Roman"/>
          <w:sz w:val="24"/>
          <w:szCs w:val="24"/>
        </w:rPr>
        <w:t>-</w:t>
      </w:r>
      <w:r w:rsidR="003D1F1C" w:rsidRPr="00020413">
        <w:rPr>
          <w:rFonts w:ascii="Times New Roman" w:hAnsi="Times New Roman"/>
          <w:sz w:val="24"/>
          <w:szCs w:val="24"/>
        </w:rPr>
        <w:t>up</w:t>
      </w:r>
      <w:r w:rsidR="002367C9" w:rsidRPr="00020413">
        <w:rPr>
          <w:rFonts w:ascii="Times New Roman" w:hAnsi="Times New Roman"/>
          <w:sz w:val="24"/>
          <w:szCs w:val="24"/>
        </w:rPr>
        <w:t xml:space="preserve"> for two main reasons.</w:t>
      </w:r>
      <w:r w:rsidR="003D1F1C" w:rsidRPr="00020413">
        <w:rPr>
          <w:rFonts w:ascii="Times New Roman" w:hAnsi="Times New Roman"/>
          <w:sz w:val="24"/>
          <w:szCs w:val="24"/>
        </w:rPr>
        <w:t xml:space="preserve"> </w:t>
      </w:r>
      <w:r w:rsidR="002367C9" w:rsidRPr="00020413">
        <w:rPr>
          <w:rFonts w:ascii="Times New Roman" w:hAnsi="Times New Roman"/>
          <w:sz w:val="24"/>
          <w:szCs w:val="24"/>
        </w:rPr>
        <w:t xml:space="preserve">First, </w:t>
      </w:r>
      <w:r w:rsidR="003D1F1C" w:rsidRPr="00020413">
        <w:rPr>
          <w:rFonts w:ascii="Times New Roman" w:hAnsi="Times New Roman"/>
          <w:sz w:val="24"/>
          <w:szCs w:val="24"/>
        </w:rPr>
        <w:t xml:space="preserve">we instigate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3D1F1C" w:rsidRPr="00020413">
        <w:rPr>
          <w:rFonts w:ascii="Times New Roman" w:hAnsi="Times New Roman"/>
          <w:sz w:val="24"/>
          <w:szCs w:val="24"/>
        </w:rPr>
        <w:t xml:space="preserve"> at the bank</w:t>
      </w:r>
      <w:r w:rsidR="00C37518" w:rsidRPr="00020413">
        <w:rPr>
          <w:rFonts w:ascii="Times New Roman" w:hAnsi="Times New Roman"/>
          <w:sz w:val="24"/>
          <w:szCs w:val="24"/>
        </w:rPr>
        <w:t xml:space="preserve"> </w:t>
      </w:r>
      <w:r w:rsidR="003D1F1C" w:rsidRPr="00020413">
        <w:rPr>
          <w:rFonts w:ascii="Times New Roman" w:hAnsi="Times New Roman"/>
          <w:sz w:val="24"/>
          <w:szCs w:val="24"/>
        </w:rPr>
        <w:t>level in relation to credit information sharing mechanism at the country</w:t>
      </w:r>
      <w:r w:rsidR="00C37518" w:rsidRPr="00020413">
        <w:rPr>
          <w:rFonts w:ascii="Times New Roman" w:hAnsi="Times New Roman"/>
          <w:sz w:val="24"/>
          <w:szCs w:val="24"/>
        </w:rPr>
        <w:t xml:space="preserve"> </w:t>
      </w:r>
      <w:r w:rsidR="003D1F1C" w:rsidRPr="00020413">
        <w:rPr>
          <w:rFonts w:ascii="Times New Roman" w:hAnsi="Times New Roman"/>
          <w:sz w:val="24"/>
          <w:szCs w:val="24"/>
        </w:rPr>
        <w:t>level</w:t>
      </w:r>
      <w:r w:rsidR="002367C9" w:rsidRPr="00020413">
        <w:rPr>
          <w:rFonts w:ascii="Times New Roman" w:hAnsi="Times New Roman"/>
          <w:sz w:val="24"/>
          <w:szCs w:val="24"/>
        </w:rPr>
        <w:t>; individual bank</w:t>
      </w:r>
      <w:r w:rsidR="00B57C6C" w:rsidRPr="00020413">
        <w:rPr>
          <w:rFonts w:ascii="Times New Roman" w:hAnsi="Times New Roman"/>
          <w:sz w:val="24"/>
          <w:szCs w:val="24"/>
        </w:rPr>
        <w:t>-</w:t>
      </w:r>
      <w:r w:rsidR="002367C9" w:rsidRPr="00020413">
        <w:rPr>
          <w:rFonts w:ascii="Times New Roman" w:hAnsi="Times New Roman"/>
          <w:sz w:val="24"/>
          <w:szCs w:val="24"/>
        </w:rPr>
        <w:t xml:space="preserve">level lending decisions </w:t>
      </w:r>
      <w:r w:rsidR="00625107" w:rsidRPr="00020413">
        <w:rPr>
          <w:rFonts w:ascii="Times New Roman" w:hAnsi="Times New Roman"/>
          <w:sz w:val="24"/>
          <w:szCs w:val="24"/>
        </w:rPr>
        <w:t>are</w:t>
      </w:r>
      <w:r w:rsidR="002367C9" w:rsidRPr="00020413">
        <w:rPr>
          <w:rFonts w:ascii="Times New Roman" w:hAnsi="Times New Roman"/>
          <w:sz w:val="24"/>
          <w:szCs w:val="24"/>
        </w:rPr>
        <w:t xml:space="preserve"> less likely to </w:t>
      </w:r>
      <w:r w:rsidR="00B57C6C" w:rsidRPr="00020413">
        <w:rPr>
          <w:rFonts w:ascii="Times New Roman" w:hAnsi="Times New Roman"/>
          <w:sz w:val="24"/>
          <w:szCs w:val="24"/>
        </w:rPr>
        <w:t xml:space="preserve">be </w:t>
      </w:r>
      <w:r w:rsidR="00C33320" w:rsidRPr="00020413">
        <w:rPr>
          <w:rFonts w:ascii="Times New Roman" w:hAnsi="Times New Roman"/>
          <w:sz w:val="24"/>
          <w:szCs w:val="24"/>
        </w:rPr>
        <w:t xml:space="preserve">directly </w:t>
      </w:r>
      <w:r w:rsidR="002367C9" w:rsidRPr="00020413">
        <w:rPr>
          <w:rFonts w:ascii="Times New Roman" w:hAnsi="Times New Roman"/>
          <w:sz w:val="24"/>
          <w:szCs w:val="24"/>
        </w:rPr>
        <w:t>influence</w:t>
      </w:r>
      <w:r w:rsidR="00B57C6C" w:rsidRPr="00020413">
        <w:rPr>
          <w:rFonts w:ascii="Times New Roman" w:hAnsi="Times New Roman"/>
          <w:sz w:val="24"/>
          <w:szCs w:val="24"/>
        </w:rPr>
        <w:t>d</w:t>
      </w:r>
      <w:r w:rsidR="002367C9" w:rsidRPr="00020413">
        <w:rPr>
          <w:rFonts w:ascii="Times New Roman" w:hAnsi="Times New Roman"/>
          <w:sz w:val="24"/>
          <w:szCs w:val="24"/>
        </w:rPr>
        <w:t xml:space="preserve"> </w:t>
      </w:r>
      <w:r w:rsidR="00962B14" w:rsidRPr="00020413">
        <w:rPr>
          <w:rFonts w:ascii="Times New Roman" w:hAnsi="Times New Roman"/>
          <w:sz w:val="24"/>
          <w:szCs w:val="24"/>
        </w:rPr>
        <w:t xml:space="preserve">by </w:t>
      </w:r>
      <w:r w:rsidR="002367C9" w:rsidRPr="00020413">
        <w:rPr>
          <w:rFonts w:ascii="Times New Roman" w:hAnsi="Times New Roman"/>
          <w:sz w:val="24"/>
          <w:szCs w:val="24"/>
        </w:rPr>
        <w:t>country</w:t>
      </w:r>
      <w:r w:rsidR="00B57C6C" w:rsidRPr="00020413">
        <w:rPr>
          <w:rFonts w:ascii="Times New Roman" w:hAnsi="Times New Roman"/>
          <w:sz w:val="24"/>
          <w:szCs w:val="24"/>
        </w:rPr>
        <w:t>-</w:t>
      </w:r>
      <w:r w:rsidR="002367C9" w:rsidRPr="00020413">
        <w:rPr>
          <w:rFonts w:ascii="Times New Roman" w:hAnsi="Times New Roman"/>
          <w:sz w:val="24"/>
          <w:szCs w:val="24"/>
        </w:rPr>
        <w:t>level information sharing mechanism</w:t>
      </w:r>
      <w:r w:rsidR="003D1F1C" w:rsidRPr="00020413">
        <w:rPr>
          <w:rFonts w:ascii="Times New Roman" w:hAnsi="Times New Roman"/>
          <w:sz w:val="24"/>
          <w:szCs w:val="24"/>
        </w:rPr>
        <w:t>.</w:t>
      </w:r>
      <w:r w:rsidR="00F32AC2" w:rsidRPr="00020413">
        <w:rPr>
          <w:rFonts w:ascii="Times New Roman" w:hAnsi="Times New Roman"/>
          <w:sz w:val="24"/>
          <w:szCs w:val="24"/>
        </w:rPr>
        <w:t xml:space="preserve"> </w:t>
      </w:r>
      <w:r w:rsidR="002367C9" w:rsidRPr="00020413">
        <w:rPr>
          <w:rFonts w:ascii="Times New Roman" w:hAnsi="Times New Roman"/>
          <w:sz w:val="24"/>
          <w:szCs w:val="24"/>
        </w:rPr>
        <w:t>Further</w:t>
      </w:r>
      <w:r w:rsidR="007F486C" w:rsidRPr="00020413">
        <w:rPr>
          <w:rFonts w:ascii="Times New Roman" w:hAnsi="Times New Roman"/>
          <w:sz w:val="24"/>
          <w:szCs w:val="24"/>
        </w:rPr>
        <w:t>, o</w:t>
      </w:r>
      <w:r w:rsidR="00F32AC2" w:rsidRPr="00020413">
        <w:rPr>
          <w:rFonts w:ascii="Times New Roman" w:hAnsi="Times New Roman"/>
          <w:sz w:val="24"/>
          <w:szCs w:val="24"/>
        </w:rPr>
        <w:t>ur econometric set</w:t>
      </w:r>
      <w:r w:rsidR="00B57C6C" w:rsidRPr="00020413">
        <w:rPr>
          <w:rFonts w:ascii="Times New Roman" w:hAnsi="Times New Roman"/>
          <w:sz w:val="24"/>
          <w:szCs w:val="24"/>
        </w:rPr>
        <w:t>-</w:t>
      </w:r>
      <w:r w:rsidR="00F32AC2" w:rsidRPr="00020413">
        <w:rPr>
          <w:rFonts w:ascii="Times New Roman" w:hAnsi="Times New Roman"/>
          <w:sz w:val="24"/>
          <w:szCs w:val="24"/>
        </w:rPr>
        <w:t>up</w:t>
      </w:r>
      <w:r w:rsidR="007E07EC" w:rsidRPr="00020413">
        <w:rPr>
          <w:rFonts w:ascii="Times New Roman" w:hAnsi="Times New Roman"/>
          <w:sz w:val="24"/>
          <w:szCs w:val="24"/>
        </w:rPr>
        <w:t xml:space="preserve"> –</w:t>
      </w:r>
      <w:r w:rsidR="00F32AC2" w:rsidRPr="00020413">
        <w:rPr>
          <w:rFonts w:ascii="Times New Roman" w:hAnsi="Times New Roman"/>
          <w:sz w:val="24"/>
          <w:szCs w:val="24"/>
        </w:rPr>
        <w:t xml:space="preserve"> </w:t>
      </w:r>
      <w:r w:rsidR="00B57C6C" w:rsidRPr="00020413">
        <w:rPr>
          <w:rFonts w:ascii="Times New Roman" w:hAnsi="Times New Roman"/>
          <w:sz w:val="24"/>
          <w:szCs w:val="24"/>
        </w:rPr>
        <w:t xml:space="preserve">the </w:t>
      </w:r>
      <w:r w:rsidR="00F32AC2" w:rsidRPr="00020413">
        <w:rPr>
          <w:rFonts w:ascii="Times New Roman" w:hAnsi="Times New Roman"/>
          <w:sz w:val="24"/>
          <w:szCs w:val="24"/>
        </w:rPr>
        <w:t>dynamic systems GMM technique</w:t>
      </w:r>
      <w:r w:rsidR="007E07EC" w:rsidRPr="00020413">
        <w:rPr>
          <w:rFonts w:ascii="Times New Roman" w:hAnsi="Times New Roman"/>
          <w:sz w:val="24"/>
          <w:szCs w:val="24"/>
        </w:rPr>
        <w:t xml:space="preserve"> –</w:t>
      </w:r>
      <w:r w:rsidR="004A60D6" w:rsidRPr="00020413">
        <w:rPr>
          <w:rFonts w:ascii="Times New Roman" w:hAnsi="Times New Roman"/>
          <w:sz w:val="24"/>
          <w:szCs w:val="24"/>
        </w:rPr>
        <w:t xml:space="preserve"> </w:t>
      </w:r>
      <w:r w:rsidR="00F32AC2" w:rsidRPr="00020413">
        <w:rPr>
          <w:rFonts w:ascii="Times New Roman" w:hAnsi="Times New Roman"/>
          <w:sz w:val="24"/>
          <w:szCs w:val="24"/>
        </w:rPr>
        <w:t>simultaneously estimates the model in first-difference</w:t>
      </w:r>
      <w:r w:rsidR="00E20DA1" w:rsidRPr="00020413">
        <w:rPr>
          <w:rFonts w:ascii="Times New Roman" w:hAnsi="Times New Roman"/>
          <w:sz w:val="24"/>
          <w:szCs w:val="24"/>
        </w:rPr>
        <w:t>s</w:t>
      </w:r>
      <w:r w:rsidR="00F32AC2" w:rsidRPr="00020413">
        <w:rPr>
          <w:rFonts w:ascii="Times New Roman" w:hAnsi="Times New Roman"/>
          <w:sz w:val="24"/>
          <w:szCs w:val="24"/>
        </w:rPr>
        <w:t xml:space="preserve"> and </w:t>
      </w:r>
      <w:r w:rsidR="004A60D6" w:rsidRPr="00020413">
        <w:rPr>
          <w:rFonts w:ascii="Times New Roman" w:hAnsi="Times New Roman"/>
          <w:sz w:val="24"/>
          <w:szCs w:val="24"/>
        </w:rPr>
        <w:t xml:space="preserve">in </w:t>
      </w:r>
      <w:r w:rsidR="00F32AC2" w:rsidRPr="00020413">
        <w:rPr>
          <w:rFonts w:ascii="Times New Roman" w:hAnsi="Times New Roman"/>
          <w:sz w:val="24"/>
          <w:szCs w:val="24"/>
        </w:rPr>
        <w:t xml:space="preserve">levels </w:t>
      </w:r>
      <w:proofErr w:type="gramStart"/>
      <w:r w:rsidR="007E07EC" w:rsidRPr="00020413">
        <w:rPr>
          <w:rFonts w:ascii="Times New Roman" w:hAnsi="Times New Roman"/>
          <w:sz w:val="24"/>
          <w:szCs w:val="24"/>
        </w:rPr>
        <w:t xml:space="preserve">in order </w:t>
      </w:r>
      <w:r w:rsidR="004A60D6" w:rsidRPr="00020413">
        <w:rPr>
          <w:rFonts w:ascii="Times New Roman" w:hAnsi="Times New Roman"/>
          <w:sz w:val="24"/>
          <w:szCs w:val="24"/>
        </w:rPr>
        <w:t>to</w:t>
      </w:r>
      <w:proofErr w:type="gramEnd"/>
      <w:r w:rsidR="004A60D6" w:rsidRPr="00020413">
        <w:rPr>
          <w:rFonts w:ascii="Times New Roman" w:hAnsi="Times New Roman"/>
          <w:sz w:val="24"/>
          <w:szCs w:val="24"/>
        </w:rPr>
        <w:t xml:space="preserve"> </w:t>
      </w:r>
      <w:r w:rsidR="007F486C" w:rsidRPr="00020413">
        <w:rPr>
          <w:rFonts w:ascii="Times New Roman" w:hAnsi="Times New Roman"/>
          <w:sz w:val="24"/>
          <w:szCs w:val="24"/>
        </w:rPr>
        <w:t xml:space="preserve">eliminate the potential bias from omitted unobserved </w:t>
      </w:r>
      <w:r w:rsidR="00D14A47" w:rsidRPr="00020413">
        <w:rPr>
          <w:rFonts w:ascii="Times New Roman" w:hAnsi="Times New Roman"/>
          <w:sz w:val="24"/>
          <w:szCs w:val="24"/>
        </w:rPr>
        <w:t>bank</w:t>
      </w:r>
      <w:r w:rsidR="007F486C" w:rsidRPr="00020413">
        <w:rPr>
          <w:rFonts w:ascii="Times New Roman" w:hAnsi="Times New Roman"/>
          <w:sz w:val="24"/>
          <w:szCs w:val="24"/>
        </w:rPr>
        <w:t>-</w:t>
      </w:r>
      <w:r w:rsidR="002B7209" w:rsidRPr="00020413">
        <w:rPr>
          <w:rFonts w:ascii="Times New Roman" w:hAnsi="Times New Roman"/>
          <w:sz w:val="24"/>
          <w:szCs w:val="24"/>
        </w:rPr>
        <w:t xml:space="preserve"> and country-</w:t>
      </w:r>
      <w:r w:rsidR="007F486C" w:rsidRPr="00020413">
        <w:rPr>
          <w:rFonts w:ascii="Times New Roman" w:hAnsi="Times New Roman"/>
          <w:sz w:val="24"/>
          <w:szCs w:val="24"/>
        </w:rPr>
        <w:t>specific</w:t>
      </w:r>
      <w:r w:rsidR="00E20DA1" w:rsidRPr="00020413">
        <w:rPr>
          <w:rFonts w:ascii="Times New Roman" w:hAnsi="Times New Roman"/>
          <w:sz w:val="24"/>
          <w:szCs w:val="24"/>
        </w:rPr>
        <w:t xml:space="preserve"> </w:t>
      </w:r>
      <w:r w:rsidR="007F486C" w:rsidRPr="00020413">
        <w:rPr>
          <w:rFonts w:ascii="Times New Roman" w:hAnsi="Times New Roman"/>
          <w:sz w:val="24"/>
          <w:szCs w:val="24"/>
        </w:rPr>
        <w:t>factors</w:t>
      </w:r>
      <w:r w:rsidR="00AF1109" w:rsidRPr="00020413">
        <w:rPr>
          <w:rFonts w:ascii="Times New Roman" w:hAnsi="Times New Roman"/>
          <w:sz w:val="24"/>
          <w:szCs w:val="24"/>
        </w:rPr>
        <w:t xml:space="preserve"> </w:t>
      </w:r>
      <w:r w:rsidR="00042E17" w:rsidRPr="00020413">
        <w:rPr>
          <w:rFonts w:ascii="Times New Roman" w:hAnsi="Times New Roman"/>
          <w:sz w:val="24"/>
          <w:szCs w:val="24"/>
        </w:rPr>
        <w:t xml:space="preserve">that are invariant across time </w:t>
      </w:r>
      <w:r w:rsidR="00AF1109" w:rsidRPr="00020413">
        <w:rPr>
          <w:rFonts w:ascii="Times New Roman" w:hAnsi="Times New Roman"/>
          <w:sz w:val="24"/>
          <w:szCs w:val="24"/>
        </w:rPr>
        <w:t>(</w:t>
      </w:r>
      <w:r w:rsidR="00484C37" w:rsidRPr="00020413">
        <w:rPr>
          <w:rFonts w:ascii="Times New Roman" w:hAnsi="Times New Roman"/>
          <w:sz w:val="24"/>
          <w:szCs w:val="24"/>
        </w:rPr>
        <w:t>Bond</w:t>
      </w:r>
      <w:r w:rsidR="0088469F" w:rsidRPr="00020413">
        <w:rPr>
          <w:rFonts w:ascii="Times New Roman" w:hAnsi="Times New Roman"/>
          <w:sz w:val="24"/>
          <w:szCs w:val="24"/>
        </w:rPr>
        <w:t xml:space="preserve"> et al., 2001)</w:t>
      </w:r>
      <w:r w:rsidR="007F486C" w:rsidRPr="00020413">
        <w:rPr>
          <w:rFonts w:ascii="Times New Roman" w:hAnsi="Times New Roman"/>
          <w:sz w:val="24"/>
          <w:szCs w:val="24"/>
        </w:rPr>
        <w:t xml:space="preserve">. </w:t>
      </w:r>
      <w:r w:rsidR="003D1F1C" w:rsidRPr="00020413">
        <w:rPr>
          <w:rFonts w:ascii="Times New Roman" w:hAnsi="Times New Roman"/>
          <w:sz w:val="24"/>
          <w:szCs w:val="24"/>
        </w:rPr>
        <w:t xml:space="preserve">This notwithstanding, </w:t>
      </w:r>
      <w:r w:rsidR="000F4C4F" w:rsidRPr="00020413">
        <w:rPr>
          <w:rFonts w:ascii="Times New Roman" w:hAnsi="Times New Roman"/>
          <w:sz w:val="24"/>
          <w:szCs w:val="24"/>
        </w:rPr>
        <w:t xml:space="preserve">we </w:t>
      </w:r>
      <w:r w:rsidR="00167932" w:rsidRPr="00020413">
        <w:rPr>
          <w:rFonts w:ascii="Times New Roman" w:hAnsi="Times New Roman"/>
          <w:sz w:val="24"/>
          <w:szCs w:val="24"/>
        </w:rPr>
        <w:t xml:space="preserve">explicitly attempt to </w:t>
      </w:r>
      <w:r w:rsidR="000F4C4F" w:rsidRPr="00020413">
        <w:rPr>
          <w:rFonts w:ascii="Times New Roman" w:hAnsi="Times New Roman"/>
          <w:sz w:val="24"/>
          <w:szCs w:val="24"/>
        </w:rPr>
        <w:t>address this concern by extending our analysis</w:t>
      </w:r>
      <w:r w:rsidR="00B76482" w:rsidRPr="00020413">
        <w:rPr>
          <w:rFonts w:ascii="Times New Roman" w:hAnsi="Times New Roman"/>
          <w:sz w:val="24"/>
          <w:szCs w:val="24"/>
        </w:rPr>
        <w:t xml:space="preserve"> to control for</w:t>
      </w:r>
      <w:r w:rsidR="002B75EC" w:rsidRPr="00020413">
        <w:rPr>
          <w:rFonts w:ascii="Times New Roman" w:hAnsi="Times New Roman"/>
          <w:sz w:val="24"/>
          <w:szCs w:val="24"/>
        </w:rPr>
        <w:t xml:space="preserve"> factors that may influence the decision to set up credit information schemes.</w:t>
      </w:r>
      <w:r w:rsidR="000F4C4F" w:rsidRPr="00020413">
        <w:rPr>
          <w:rFonts w:ascii="Times New Roman" w:hAnsi="Times New Roman"/>
          <w:sz w:val="24"/>
          <w:szCs w:val="24"/>
        </w:rPr>
        <w:t xml:space="preserve"> </w:t>
      </w:r>
      <w:r w:rsidR="00242537" w:rsidRPr="00020413">
        <w:rPr>
          <w:rFonts w:ascii="Times New Roman" w:hAnsi="Times New Roman"/>
          <w:sz w:val="24"/>
          <w:szCs w:val="24"/>
        </w:rPr>
        <w:t xml:space="preserve">We present the results in Table </w:t>
      </w:r>
      <w:r w:rsidR="00167932" w:rsidRPr="00020413">
        <w:rPr>
          <w:rFonts w:ascii="Times New Roman" w:hAnsi="Times New Roman"/>
          <w:sz w:val="24"/>
          <w:szCs w:val="24"/>
        </w:rPr>
        <w:t>9</w:t>
      </w:r>
      <w:r w:rsidR="00242537" w:rsidRPr="00020413">
        <w:rPr>
          <w:rFonts w:ascii="Times New Roman" w:hAnsi="Times New Roman"/>
          <w:sz w:val="24"/>
          <w:szCs w:val="24"/>
        </w:rPr>
        <w:t>.</w:t>
      </w:r>
    </w:p>
    <w:p w:rsidR="000619F1" w:rsidRPr="00020413" w:rsidRDefault="00C41E27" w:rsidP="00D55D24">
      <w:pPr>
        <w:spacing w:after="120" w:line="360" w:lineRule="auto"/>
        <w:jc w:val="both"/>
        <w:rPr>
          <w:rFonts w:ascii="Times New Roman" w:hAnsi="Times New Roman"/>
          <w:sz w:val="24"/>
          <w:szCs w:val="24"/>
        </w:rPr>
      </w:pPr>
      <w:r w:rsidRPr="00020413">
        <w:rPr>
          <w:rFonts w:ascii="Times New Roman" w:hAnsi="Times New Roman"/>
          <w:sz w:val="24"/>
          <w:szCs w:val="24"/>
        </w:rPr>
        <w:t>Consistent</w:t>
      </w:r>
      <w:r w:rsidR="006E746A" w:rsidRPr="00020413">
        <w:rPr>
          <w:rFonts w:ascii="Times New Roman" w:hAnsi="Times New Roman"/>
          <w:sz w:val="24"/>
          <w:szCs w:val="24"/>
        </w:rPr>
        <w:t xml:space="preserve"> </w:t>
      </w:r>
      <w:r w:rsidR="00167932" w:rsidRPr="00020413">
        <w:rPr>
          <w:rFonts w:ascii="Times New Roman" w:hAnsi="Times New Roman"/>
          <w:sz w:val="24"/>
          <w:szCs w:val="24"/>
        </w:rPr>
        <w:t xml:space="preserve">with </w:t>
      </w:r>
      <w:proofErr w:type="spellStart"/>
      <w:r w:rsidR="006E746A" w:rsidRPr="00020413">
        <w:rPr>
          <w:rFonts w:ascii="Times New Roman" w:hAnsi="Times New Roman"/>
          <w:sz w:val="24"/>
          <w:szCs w:val="20"/>
          <w:shd w:val="clear" w:color="auto" w:fill="FFFFFF"/>
        </w:rPr>
        <w:t>Büyükkarabacak</w:t>
      </w:r>
      <w:proofErr w:type="spellEnd"/>
      <w:r w:rsidR="006E746A" w:rsidRPr="00020413">
        <w:rPr>
          <w:rFonts w:ascii="Times New Roman" w:hAnsi="Times New Roman"/>
          <w:sz w:val="24"/>
          <w:szCs w:val="20"/>
          <w:shd w:val="clear" w:color="auto" w:fill="FFFFFF"/>
        </w:rPr>
        <w:t xml:space="preserve"> (2012) and Houston et </w:t>
      </w:r>
      <w:r w:rsidR="006E746A" w:rsidRPr="00020413">
        <w:rPr>
          <w:rFonts w:ascii="Times New Roman" w:hAnsi="Times New Roman"/>
          <w:sz w:val="24"/>
          <w:szCs w:val="24"/>
        </w:rPr>
        <w:t>al. (2010)</w:t>
      </w:r>
      <w:r w:rsidR="00C37518" w:rsidRPr="00020413">
        <w:rPr>
          <w:rFonts w:ascii="Times New Roman" w:hAnsi="Times New Roman"/>
          <w:sz w:val="24"/>
          <w:szCs w:val="24"/>
        </w:rPr>
        <w:t>,</w:t>
      </w:r>
      <w:r w:rsidR="006E746A" w:rsidRPr="00020413">
        <w:rPr>
          <w:rFonts w:ascii="Times New Roman" w:hAnsi="Times New Roman"/>
          <w:sz w:val="24"/>
          <w:szCs w:val="24"/>
        </w:rPr>
        <w:t xml:space="preserve"> </w:t>
      </w:r>
      <w:r w:rsidR="00167932" w:rsidRPr="00020413">
        <w:rPr>
          <w:rFonts w:ascii="Times New Roman" w:hAnsi="Times New Roman"/>
          <w:sz w:val="24"/>
          <w:szCs w:val="24"/>
        </w:rPr>
        <w:t>who</w:t>
      </w:r>
      <w:r w:rsidR="006E746A" w:rsidRPr="00020413">
        <w:rPr>
          <w:rFonts w:ascii="Times New Roman" w:hAnsi="Times New Roman"/>
          <w:sz w:val="24"/>
          <w:szCs w:val="24"/>
        </w:rPr>
        <w:t xml:space="preserve"> </w:t>
      </w:r>
      <w:r w:rsidRPr="00020413">
        <w:rPr>
          <w:rFonts w:ascii="Times New Roman" w:hAnsi="Times New Roman"/>
          <w:sz w:val="24"/>
          <w:szCs w:val="24"/>
        </w:rPr>
        <w:t>identify</w:t>
      </w:r>
      <w:r w:rsidR="006E746A" w:rsidRPr="00020413">
        <w:rPr>
          <w:rFonts w:ascii="Times New Roman" w:hAnsi="Times New Roman"/>
          <w:sz w:val="24"/>
          <w:szCs w:val="24"/>
        </w:rPr>
        <w:t xml:space="preserve"> </w:t>
      </w:r>
      <w:r w:rsidR="003D1F1C" w:rsidRPr="00020413">
        <w:rPr>
          <w:rFonts w:ascii="Times New Roman" w:hAnsi="Times New Roman"/>
          <w:sz w:val="24"/>
          <w:szCs w:val="24"/>
        </w:rPr>
        <w:t>urbanisation,</w:t>
      </w:r>
      <w:r w:rsidRPr="00020413">
        <w:rPr>
          <w:rFonts w:ascii="Times New Roman" w:hAnsi="Times New Roman"/>
          <w:sz w:val="24"/>
          <w:szCs w:val="24"/>
        </w:rPr>
        <w:t xml:space="preserve"> ethnic </w:t>
      </w:r>
      <w:proofErr w:type="spellStart"/>
      <w:r w:rsidRPr="00020413">
        <w:rPr>
          <w:rFonts w:ascii="Times New Roman" w:hAnsi="Times New Roman"/>
          <w:sz w:val="24"/>
          <w:szCs w:val="24"/>
        </w:rPr>
        <w:t>fractionisation</w:t>
      </w:r>
      <w:proofErr w:type="spellEnd"/>
      <w:r w:rsidRPr="00020413">
        <w:rPr>
          <w:rFonts w:ascii="Times New Roman" w:hAnsi="Times New Roman"/>
          <w:sz w:val="24"/>
          <w:szCs w:val="24"/>
        </w:rPr>
        <w:t xml:space="preserve"> and </w:t>
      </w:r>
      <w:r w:rsidR="003D1F1C" w:rsidRPr="00020413">
        <w:rPr>
          <w:rFonts w:ascii="Times New Roman" w:hAnsi="Times New Roman"/>
          <w:sz w:val="24"/>
          <w:szCs w:val="24"/>
        </w:rPr>
        <w:t>geographical latitude</w:t>
      </w:r>
      <w:r w:rsidRPr="00020413">
        <w:rPr>
          <w:rFonts w:ascii="Times New Roman" w:hAnsi="Times New Roman"/>
          <w:sz w:val="24"/>
          <w:szCs w:val="24"/>
        </w:rPr>
        <w:t xml:space="preserve"> </w:t>
      </w:r>
      <w:r w:rsidR="00167932" w:rsidRPr="00020413">
        <w:rPr>
          <w:rFonts w:ascii="Times New Roman" w:hAnsi="Times New Roman"/>
          <w:sz w:val="24"/>
          <w:szCs w:val="24"/>
        </w:rPr>
        <w:t xml:space="preserve">as potential determinants of information </w:t>
      </w:r>
      <w:r w:rsidR="00713023" w:rsidRPr="00020413">
        <w:rPr>
          <w:rFonts w:ascii="Times New Roman" w:hAnsi="Times New Roman"/>
          <w:sz w:val="24"/>
          <w:szCs w:val="24"/>
        </w:rPr>
        <w:t>flow</w:t>
      </w:r>
      <w:r w:rsidR="00167932" w:rsidRPr="00020413">
        <w:rPr>
          <w:rFonts w:ascii="Times New Roman" w:hAnsi="Times New Roman"/>
          <w:sz w:val="24"/>
          <w:szCs w:val="24"/>
        </w:rPr>
        <w:t>, we</w:t>
      </w:r>
      <w:r w:rsidRPr="00020413">
        <w:rPr>
          <w:rFonts w:ascii="Times New Roman" w:hAnsi="Times New Roman"/>
          <w:sz w:val="24"/>
          <w:szCs w:val="24"/>
        </w:rPr>
        <w:t xml:space="preserve"> control for the</w:t>
      </w:r>
      <w:r w:rsidR="00167932" w:rsidRPr="00020413">
        <w:rPr>
          <w:rFonts w:ascii="Times New Roman" w:hAnsi="Times New Roman"/>
          <w:sz w:val="24"/>
          <w:szCs w:val="24"/>
        </w:rPr>
        <w:t>se additional factors</w:t>
      </w:r>
      <w:r w:rsidRPr="00020413">
        <w:rPr>
          <w:rFonts w:ascii="Times New Roman" w:hAnsi="Times New Roman"/>
          <w:sz w:val="24"/>
          <w:szCs w:val="24"/>
        </w:rPr>
        <w:t xml:space="preserve"> in our GMM set</w:t>
      </w:r>
      <w:r w:rsidR="00167932" w:rsidRPr="00020413">
        <w:rPr>
          <w:rFonts w:ascii="Times New Roman" w:hAnsi="Times New Roman"/>
          <w:sz w:val="24"/>
          <w:szCs w:val="24"/>
        </w:rPr>
        <w:t>-</w:t>
      </w:r>
      <w:r w:rsidRPr="00020413">
        <w:rPr>
          <w:rFonts w:ascii="Times New Roman" w:hAnsi="Times New Roman"/>
          <w:sz w:val="24"/>
          <w:szCs w:val="24"/>
        </w:rPr>
        <w:t>up</w:t>
      </w:r>
      <w:r w:rsidR="003D1F1C" w:rsidRPr="00020413">
        <w:rPr>
          <w:rFonts w:ascii="Times New Roman" w:hAnsi="Times New Roman"/>
          <w:sz w:val="24"/>
          <w:szCs w:val="24"/>
        </w:rPr>
        <w:t>.</w:t>
      </w:r>
      <w:r w:rsidR="006E746A" w:rsidRPr="00020413">
        <w:rPr>
          <w:rFonts w:ascii="Times New Roman" w:hAnsi="Times New Roman"/>
          <w:sz w:val="24"/>
          <w:szCs w:val="24"/>
        </w:rPr>
        <w:t xml:space="preserve"> As argued in </w:t>
      </w:r>
      <w:proofErr w:type="spellStart"/>
      <w:r w:rsidR="006E746A" w:rsidRPr="00020413">
        <w:rPr>
          <w:rFonts w:ascii="Times New Roman" w:hAnsi="Times New Roman"/>
          <w:sz w:val="24"/>
          <w:szCs w:val="20"/>
          <w:shd w:val="clear" w:color="auto" w:fill="FFFFFF"/>
        </w:rPr>
        <w:t>Büyükkarabacak</w:t>
      </w:r>
      <w:proofErr w:type="spellEnd"/>
      <w:r w:rsidR="006E746A" w:rsidRPr="00020413">
        <w:rPr>
          <w:rFonts w:ascii="Times New Roman" w:hAnsi="Times New Roman"/>
          <w:sz w:val="24"/>
          <w:szCs w:val="20"/>
          <w:shd w:val="clear" w:color="auto" w:fill="FFFFFF"/>
        </w:rPr>
        <w:t xml:space="preserve"> (2012), </w:t>
      </w:r>
      <w:r w:rsidRPr="00020413">
        <w:rPr>
          <w:rFonts w:ascii="Times New Roman" w:hAnsi="Times New Roman"/>
          <w:sz w:val="24"/>
          <w:szCs w:val="20"/>
          <w:shd w:val="clear" w:color="auto" w:fill="FFFFFF"/>
        </w:rPr>
        <w:t>a high rate</w:t>
      </w:r>
      <w:r w:rsidRPr="00020413">
        <w:rPr>
          <w:rFonts w:ascii="Times New Roman" w:hAnsi="Times New Roman"/>
          <w:sz w:val="24"/>
          <w:szCs w:val="24"/>
        </w:rPr>
        <w:t xml:space="preserve"> </w:t>
      </w:r>
      <w:r w:rsidR="00167932" w:rsidRPr="00020413">
        <w:rPr>
          <w:rFonts w:ascii="Times New Roman" w:hAnsi="Times New Roman"/>
          <w:sz w:val="24"/>
          <w:szCs w:val="24"/>
        </w:rPr>
        <w:t xml:space="preserve">of </w:t>
      </w:r>
      <w:r w:rsidRPr="00020413">
        <w:rPr>
          <w:rFonts w:ascii="Times New Roman" w:hAnsi="Times New Roman"/>
          <w:sz w:val="24"/>
          <w:szCs w:val="24"/>
        </w:rPr>
        <w:t>urbanisation</w:t>
      </w:r>
      <w:r w:rsidR="006E746A" w:rsidRPr="00020413">
        <w:rPr>
          <w:rFonts w:ascii="Times New Roman" w:hAnsi="Times New Roman"/>
          <w:sz w:val="24"/>
          <w:szCs w:val="24"/>
        </w:rPr>
        <w:t xml:space="preserve"> </w:t>
      </w:r>
      <w:r w:rsidRPr="00020413">
        <w:rPr>
          <w:rFonts w:ascii="Times New Roman" w:hAnsi="Times New Roman"/>
          <w:sz w:val="24"/>
          <w:szCs w:val="24"/>
        </w:rPr>
        <w:t>impedes</w:t>
      </w:r>
      <w:r w:rsidR="006E746A" w:rsidRPr="00020413">
        <w:rPr>
          <w:rFonts w:ascii="Times New Roman" w:hAnsi="Times New Roman"/>
          <w:sz w:val="24"/>
          <w:szCs w:val="24"/>
        </w:rPr>
        <w:t xml:space="preserve"> the dissemination of information in a country</w:t>
      </w:r>
      <w:r w:rsidR="000C4417" w:rsidRPr="00020413">
        <w:rPr>
          <w:rFonts w:ascii="Times New Roman" w:eastAsia="SimSun" w:hAnsi="Times New Roman"/>
          <w:sz w:val="24"/>
          <w:szCs w:val="24"/>
          <w:lang w:eastAsia="zh-CN"/>
        </w:rPr>
        <w:t xml:space="preserve"> </w:t>
      </w:r>
      <w:r w:rsidR="000C4417" w:rsidRPr="00020413">
        <w:rPr>
          <w:rFonts w:ascii="Times New Roman" w:hAnsi="Times New Roman"/>
          <w:sz w:val="24"/>
          <w:szCs w:val="24"/>
        </w:rPr>
        <w:t xml:space="preserve">and could, </w:t>
      </w:r>
      <w:r w:rsidR="00B157D6" w:rsidRPr="00020413">
        <w:rPr>
          <w:rFonts w:ascii="Times New Roman" w:hAnsi="Times New Roman"/>
          <w:sz w:val="24"/>
          <w:szCs w:val="24"/>
        </w:rPr>
        <w:t>lead to</w:t>
      </w:r>
      <w:r w:rsidR="000C4417" w:rsidRPr="00020413">
        <w:rPr>
          <w:rFonts w:ascii="Times New Roman" w:hAnsi="Times New Roman"/>
          <w:sz w:val="24"/>
          <w:szCs w:val="24"/>
        </w:rPr>
        <w:t xml:space="preserve"> increase</w:t>
      </w:r>
      <w:r w:rsidR="00B157D6" w:rsidRPr="00020413">
        <w:rPr>
          <w:rFonts w:ascii="Times New Roman" w:hAnsi="Times New Roman"/>
          <w:sz w:val="24"/>
          <w:szCs w:val="24"/>
        </w:rPr>
        <w:t>d</w:t>
      </w:r>
      <w:r w:rsidR="000C4417" w:rsidRPr="00020413">
        <w:rPr>
          <w:rFonts w:ascii="Times New Roman" w:hAnsi="Times New Roman"/>
          <w:sz w:val="24"/>
          <w:szCs w:val="24"/>
        </w:rPr>
        <w:t xml:space="preserve"> default rates</w:t>
      </w:r>
      <w:r w:rsidR="006E746A" w:rsidRPr="00020413">
        <w:rPr>
          <w:rFonts w:ascii="Times New Roman" w:hAnsi="Times New Roman"/>
          <w:sz w:val="24"/>
          <w:szCs w:val="24"/>
        </w:rPr>
        <w:t>.</w:t>
      </w:r>
      <w:r w:rsidRPr="00020413">
        <w:rPr>
          <w:rFonts w:ascii="Times New Roman" w:hAnsi="Times New Roman"/>
          <w:sz w:val="24"/>
          <w:szCs w:val="24"/>
        </w:rPr>
        <w:t xml:space="preserve"> However, urbanisation can </w:t>
      </w:r>
      <w:r w:rsidR="001C2C90" w:rsidRPr="00020413">
        <w:rPr>
          <w:rFonts w:ascii="Times New Roman" w:hAnsi="Times New Roman"/>
          <w:sz w:val="24"/>
          <w:szCs w:val="24"/>
        </w:rPr>
        <w:t xml:space="preserve">also </w:t>
      </w:r>
      <w:r w:rsidRPr="00020413">
        <w:rPr>
          <w:rFonts w:ascii="Times New Roman" w:hAnsi="Times New Roman"/>
          <w:sz w:val="24"/>
          <w:szCs w:val="24"/>
        </w:rPr>
        <w:t>increase lending concentration and improve the acquisition of soft information</w:t>
      </w:r>
      <w:r w:rsidR="001C2C90" w:rsidRPr="00020413">
        <w:rPr>
          <w:rFonts w:ascii="Times New Roman" w:hAnsi="Times New Roman"/>
          <w:sz w:val="24"/>
          <w:szCs w:val="24"/>
        </w:rPr>
        <w:t xml:space="preserve">, </w:t>
      </w:r>
      <w:r w:rsidR="007E07EC" w:rsidRPr="00020413">
        <w:rPr>
          <w:rFonts w:ascii="Times New Roman" w:hAnsi="Times New Roman"/>
          <w:sz w:val="24"/>
          <w:szCs w:val="24"/>
        </w:rPr>
        <w:t xml:space="preserve">and </w:t>
      </w:r>
      <w:r w:rsidR="001C2C90" w:rsidRPr="00020413">
        <w:rPr>
          <w:rFonts w:ascii="Times New Roman" w:hAnsi="Times New Roman"/>
          <w:sz w:val="24"/>
          <w:szCs w:val="24"/>
        </w:rPr>
        <w:t>thereby, improving loan quality.</w:t>
      </w:r>
      <w:r w:rsidRPr="00020413">
        <w:rPr>
          <w:rFonts w:ascii="Times New Roman" w:hAnsi="Times New Roman"/>
          <w:sz w:val="24"/>
          <w:szCs w:val="24"/>
        </w:rPr>
        <w:t xml:space="preserve"> Consistent with the latter argument, we observe that urbanisation is associated with lower loan default</w:t>
      </w:r>
      <w:r w:rsidR="00167932" w:rsidRPr="00020413">
        <w:rPr>
          <w:rFonts w:ascii="Times New Roman" w:hAnsi="Times New Roman"/>
          <w:sz w:val="24"/>
          <w:szCs w:val="24"/>
        </w:rPr>
        <w:t>s</w:t>
      </w:r>
      <w:r w:rsidRPr="00020413">
        <w:rPr>
          <w:rFonts w:ascii="Times New Roman" w:hAnsi="Times New Roman"/>
          <w:sz w:val="24"/>
          <w:szCs w:val="24"/>
        </w:rPr>
        <w:t>.</w:t>
      </w:r>
      <w:r w:rsidR="000619F1" w:rsidRPr="00020413">
        <w:rPr>
          <w:rFonts w:ascii="Times New Roman" w:hAnsi="Times New Roman"/>
          <w:sz w:val="24"/>
          <w:szCs w:val="24"/>
        </w:rPr>
        <w:t xml:space="preserve"> </w:t>
      </w:r>
      <w:r w:rsidR="00300B11" w:rsidRPr="00020413">
        <w:rPr>
          <w:rFonts w:ascii="Times New Roman" w:hAnsi="Times New Roman"/>
          <w:sz w:val="24"/>
          <w:szCs w:val="24"/>
        </w:rPr>
        <w:t>Moreover</w:t>
      </w:r>
      <w:r w:rsidR="006E746A" w:rsidRPr="00020413">
        <w:rPr>
          <w:rFonts w:ascii="Times New Roman" w:hAnsi="Times New Roman"/>
          <w:sz w:val="24"/>
          <w:szCs w:val="24"/>
        </w:rPr>
        <w:t xml:space="preserve">, </w:t>
      </w:r>
      <w:r w:rsidR="008A0E1D" w:rsidRPr="00020413">
        <w:rPr>
          <w:rFonts w:ascii="Times New Roman" w:hAnsi="Times New Roman"/>
          <w:sz w:val="24"/>
          <w:szCs w:val="24"/>
        </w:rPr>
        <w:t xml:space="preserve">it is argued that geography </w:t>
      </w:r>
      <w:r w:rsidR="008A3D6C" w:rsidRPr="00020413">
        <w:rPr>
          <w:rFonts w:ascii="Times New Roman" w:hAnsi="Times New Roman"/>
          <w:sz w:val="24"/>
          <w:szCs w:val="24"/>
        </w:rPr>
        <w:t>defines</w:t>
      </w:r>
      <w:r w:rsidR="008A0E1D" w:rsidRPr="00020413">
        <w:rPr>
          <w:rFonts w:ascii="Times New Roman" w:hAnsi="Times New Roman"/>
          <w:sz w:val="24"/>
          <w:szCs w:val="24"/>
        </w:rPr>
        <w:t xml:space="preserve"> overall institutional development, and consequently financial development (</w:t>
      </w:r>
      <w:r w:rsidR="00A54631" w:rsidRPr="00020413">
        <w:rPr>
          <w:rFonts w:ascii="Times New Roman" w:hAnsi="Times New Roman"/>
          <w:sz w:val="24"/>
          <w:szCs w:val="24"/>
        </w:rPr>
        <w:t>Acemoglu</w:t>
      </w:r>
      <w:r w:rsidR="00803E50" w:rsidRPr="00020413">
        <w:rPr>
          <w:rFonts w:ascii="Times New Roman" w:hAnsi="Times New Roman"/>
          <w:sz w:val="24"/>
          <w:szCs w:val="24"/>
        </w:rPr>
        <w:t xml:space="preserve"> et al.</w:t>
      </w:r>
      <w:r w:rsidR="00A54631" w:rsidRPr="00020413">
        <w:rPr>
          <w:rFonts w:ascii="Times New Roman" w:hAnsi="Times New Roman"/>
          <w:sz w:val="24"/>
          <w:szCs w:val="24"/>
        </w:rPr>
        <w:t>, 200</w:t>
      </w:r>
      <w:r w:rsidR="008072C0" w:rsidRPr="00020413">
        <w:rPr>
          <w:rFonts w:ascii="Times New Roman" w:hAnsi="Times New Roman"/>
          <w:sz w:val="24"/>
          <w:szCs w:val="24"/>
        </w:rPr>
        <w:t>5</w:t>
      </w:r>
      <w:r w:rsidR="004C41A8" w:rsidRPr="00020413">
        <w:rPr>
          <w:rFonts w:ascii="Times New Roman" w:hAnsi="Times New Roman"/>
          <w:sz w:val="24"/>
          <w:szCs w:val="24"/>
        </w:rPr>
        <w:t>;</w:t>
      </w:r>
      <w:r w:rsidR="00A54631" w:rsidRPr="00020413">
        <w:rPr>
          <w:rFonts w:ascii="Times New Roman" w:hAnsi="Times New Roman"/>
          <w:sz w:val="24"/>
          <w:szCs w:val="24"/>
        </w:rPr>
        <w:t xml:space="preserve"> Beck, </w:t>
      </w:r>
      <w:r w:rsidR="001C459E" w:rsidRPr="00020413">
        <w:rPr>
          <w:rFonts w:ascii="Times New Roman" w:hAnsi="Times New Roman"/>
          <w:sz w:val="24"/>
          <w:szCs w:val="24"/>
        </w:rPr>
        <w:t>et al.</w:t>
      </w:r>
      <w:r w:rsidR="00844C75" w:rsidRPr="00020413">
        <w:rPr>
          <w:rFonts w:ascii="Times New Roman" w:hAnsi="Times New Roman"/>
          <w:sz w:val="24"/>
          <w:szCs w:val="24"/>
        </w:rPr>
        <w:t>, 200</w:t>
      </w:r>
      <w:r w:rsidR="00A17352" w:rsidRPr="00020413">
        <w:rPr>
          <w:rFonts w:ascii="Times New Roman" w:hAnsi="Times New Roman"/>
          <w:sz w:val="24"/>
          <w:szCs w:val="24"/>
        </w:rPr>
        <w:t>9</w:t>
      </w:r>
      <w:r w:rsidR="004C41A8" w:rsidRPr="00020413">
        <w:rPr>
          <w:rFonts w:ascii="Times New Roman" w:hAnsi="Times New Roman"/>
          <w:sz w:val="24"/>
          <w:szCs w:val="24"/>
        </w:rPr>
        <w:t>)</w:t>
      </w:r>
      <w:r w:rsidR="003C01EC" w:rsidRPr="00020413">
        <w:rPr>
          <w:rFonts w:ascii="Times New Roman" w:hAnsi="Times New Roman"/>
          <w:sz w:val="24"/>
          <w:szCs w:val="24"/>
        </w:rPr>
        <w:t>.</w:t>
      </w:r>
      <w:r w:rsidR="000619F1" w:rsidRPr="00020413">
        <w:rPr>
          <w:rFonts w:ascii="Times New Roman" w:hAnsi="Times New Roman"/>
          <w:sz w:val="24"/>
          <w:szCs w:val="24"/>
        </w:rPr>
        <w:t xml:space="preserve"> </w:t>
      </w:r>
      <w:r w:rsidR="007D7FBD" w:rsidRPr="00020413">
        <w:rPr>
          <w:rFonts w:ascii="Times New Roman" w:hAnsi="Times New Roman"/>
          <w:sz w:val="24"/>
          <w:szCs w:val="24"/>
        </w:rPr>
        <w:t>It could</w:t>
      </w:r>
      <w:r w:rsidR="002B3390" w:rsidRPr="00020413">
        <w:rPr>
          <w:rFonts w:ascii="Times New Roman" w:hAnsi="Times New Roman"/>
          <w:sz w:val="24"/>
          <w:szCs w:val="24"/>
        </w:rPr>
        <w:t>,</w:t>
      </w:r>
      <w:r w:rsidR="007D7FBD" w:rsidRPr="00020413">
        <w:rPr>
          <w:rFonts w:ascii="Times New Roman" w:hAnsi="Times New Roman"/>
          <w:sz w:val="24"/>
          <w:szCs w:val="24"/>
        </w:rPr>
        <w:t xml:space="preserve"> thus</w:t>
      </w:r>
      <w:r w:rsidR="002B3390" w:rsidRPr="00020413">
        <w:rPr>
          <w:rFonts w:ascii="Times New Roman" w:hAnsi="Times New Roman"/>
          <w:sz w:val="24"/>
          <w:szCs w:val="24"/>
        </w:rPr>
        <w:t>,</w:t>
      </w:r>
      <w:r w:rsidR="007D7FBD" w:rsidRPr="00020413">
        <w:rPr>
          <w:rFonts w:ascii="Times New Roman" w:hAnsi="Times New Roman"/>
          <w:sz w:val="24"/>
          <w:szCs w:val="24"/>
        </w:rPr>
        <w:t xml:space="preserve"> impact the financial system and default rates. </w:t>
      </w:r>
      <w:r w:rsidR="000619F1" w:rsidRPr="00020413">
        <w:rPr>
          <w:rFonts w:ascii="Times New Roman" w:hAnsi="Times New Roman"/>
          <w:sz w:val="24"/>
          <w:szCs w:val="24"/>
        </w:rPr>
        <w:t xml:space="preserve">Consistently, we find that geographic latitude is associated with lower loan default. </w:t>
      </w:r>
      <w:r w:rsidR="00E76345" w:rsidRPr="00020413">
        <w:rPr>
          <w:rFonts w:ascii="Times New Roman" w:hAnsi="Times New Roman"/>
          <w:sz w:val="24"/>
          <w:szCs w:val="24"/>
        </w:rPr>
        <w:t xml:space="preserve">Further, </w:t>
      </w:r>
      <w:r w:rsidR="00380C70" w:rsidRPr="00020413">
        <w:rPr>
          <w:rFonts w:ascii="Times New Roman" w:hAnsi="Times New Roman"/>
          <w:sz w:val="24"/>
          <w:szCs w:val="24"/>
        </w:rPr>
        <w:t>e</w:t>
      </w:r>
      <w:r w:rsidR="00EB50BD" w:rsidRPr="00020413">
        <w:rPr>
          <w:rFonts w:ascii="Times New Roman" w:hAnsi="Times New Roman"/>
          <w:sz w:val="24"/>
          <w:szCs w:val="24"/>
        </w:rPr>
        <w:t>thnic</w:t>
      </w:r>
      <w:r w:rsidR="000619F1" w:rsidRPr="00020413">
        <w:rPr>
          <w:rFonts w:ascii="Times New Roman" w:hAnsi="Times New Roman"/>
          <w:sz w:val="24"/>
          <w:szCs w:val="24"/>
        </w:rPr>
        <w:t xml:space="preserve"> </w:t>
      </w:r>
      <w:proofErr w:type="spellStart"/>
      <w:r w:rsidR="00EB50BD" w:rsidRPr="00020413">
        <w:rPr>
          <w:rFonts w:ascii="Times New Roman" w:hAnsi="Times New Roman"/>
          <w:sz w:val="24"/>
          <w:szCs w:val="24"/>
        </w:rPr>
        <w:t>fractionisation</w:t>
      </w:r>
      <w:proofErr w:type="spellEnd"/>
      <w:r w:rsidR="00EB50BD" w:rsidRPr="00020413">
        <w:rPr>
          <w:rFonts w:ascii="Times New Roman" w:hAnsi="Times New Roman"/>
          <w:sz w:val="24"/>
          <w:szCs w:val="24"/>
        </w:rPr>
        <w:t xml:space="preserve"> </w:t>
      </w:r>
      <w:r w:rsidR="00380C70" w:rsidRPr="00020413">
        <w:rPr>
          <w:rFonts w:ascii="Times New Roman" w:hAnsi="Times New Roman"/>
          <w:sz w:val="24"/>
          <w:szCs w:val="24"/>
        </w:rPr>
        <w:t>could be associated with high degree of agency problems (</w:t>
      </w:r>
      <w:proofErr w:type="spellStart"/>
      <w:r w:rsidR="00380C70" w:rsidRPr="00020413">
        <w:rPr>
          <w:rFonts w:ascii="Times New Roman" w:hAnsi="Times New Roman"/>
          <w:sz w:val="24"/>
          <w:szCs w:val="24"/>
          <w:shd w:val="clear" w:color="auto" w:fill="FFFFFF"/>
        </w:rPr>
        <w:t>Djankov</w:t>
      </w:r>
      <w:proofErr w:type="spellEnd"/>
      <w:r w:rsidR="00380C70" w:rsidRPr="00020413">
        <w:rPr>
          <w:rFonts w:ascii="Times New Roman" w:hAnsi="Times New Roman"/>
          <w:sz w:val="24"/>
          <w:szCs w:val="24"/>
          <w:shd w:val="clear" w:color="auto" w:fill="FFFFFF"/>
        </w:rPr>
        <w:t>, et al., 2007), which could worsen credit risk. Consistent with this argument</w:t>
      </w:r>
      <w:r w:rsidR="00C37518" w:rsidRPr="00020413">
        <w:rPr>
          <w:rFonts w:ascii="Times New Roman" w:hAnsi="Times New Roman"/>
          <w:sz w:val="24"/>
          <w:szCs w:val="24"/>
          <w:shd w:val="clear" w:color="auto" w:fill="FFFFFF"/>
        </w:rPr>
        <w:t>,</w:t>
      </w:r>
      <w:r w:rsidR="00380C70" w:rsidRPr="00020413">
        <w:rPr>
          <w:rFonts w:ascii="Times New Roman" w:hAnsi="Times New Roman"/>
          <w:sz w:val="24"/>
          <w:szCs w:val="24"/>
          <w:shd w:val="clear" w:color="auto" w:fill="FFFFFF"/>
        </w:rPr>
        <w:t xml:space="preserve"> we find that ethnic </w:t>
      </w:r>
      <w:proofErr w:type="spellStart"/>
      <w:r w:rsidR="00380C70" w:rsidRPr="00020413">
        <w:rPr>
          <w:rFonts w:ascii="Times New Roman" w:hAnsi="Times New Roman"/>
          <w:sz w:val="24"/>
          <w:szCs w:val="24"/>
          <w:shd w:val="clear" w:color="auto" w:fill="FFFFFF"/>
        </w:rPr>
        <w:t>fractionisation</w:t>
      </w:r>
      <w:proofErr w:type="spellEnd"/>
      <w:r w:rsidR="00380C70" w:rsidRPr="00020413">
        <w:rPr>
          <w:rFonts w:ascii="Times New Roman" w:hAnsi="Times New Roman"/>
          <w:sz w:val="24"/>
          <w:szCs w:val="24"/>
          <w:shd w:val="clear" w:color="auto" w:fill="FFFFFF"/>
        </w:rPr>
        <w:t xml:space="preserve"> increases loan default.</w:t>
      </w:r>
    </w:p>
    <w:p w:rsidR="00892EE6" w:rsidRPr="00020413" w:rsidRDefault="00242537" w:rsidP="00D55D24">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 </w:t>
      </w:r>
      <w:r w:rsidR="00892EE6" w:rsidRPr="00020413">
        <w:rPr>
          <w:rFonts w:ascii="Times New Roman" w:hAnsi="Times New Roman"/>
          <w:b/>
          <w:sz w:val="28"/>
          <w:szCs w:val="24"/>
        </w:rPr>
        <w:t xml:space="preserve">[Table </w:t>
      </w:r>
      <w:r w:rsidR="00167932" w:rsidRPr="00020413">
        <w:rPr>
          <w:rFonts w:ascii="Times New Roman" w:hAnsi="Times New Roman"/>
          <w:b/>
          <w:sz w:val="28"/>
          <w:szCs w:val="24"/>
        </w:rPr>
        <w:t>9</w:t>
      </w:r>
      <w:r w:rsidR="00892EE6" w:rsidRPr="00020413">
        <w:rPr>
          <w:rFonts w:ascii="Times New Roman" w:hAnsi="Times New Roman"/>
          <w:b/>
          <w:sz w:val="28"/>
          <w:szCs w:val="24"/>
        </w:rPr>
        <w:t xml:space="preserve"> about here]</w:t>
      </w:r>
    </w:p>
    <w:p w:rsidR="00D55D24" w:rsidRPr="00020413" w:rsidRDefault="00F34BE3" w:rsidP="00D55D24">
      <w:pPr>
        <w:spacing w:after="120" w:line="360" w:lineRule="auto"/>
        <w:jc w:val="both"/>
        <w:rPr>
          <w:rFonts w:ascii="Times New Roman" w:hAnsi="Times New Roman"/>
          <w:sz w:val="24"/>
          <w:szCs w:val="24"/>
        </w:rPr>
      </w:pPr>
      <w:r w:rsidRPr="00020413">
        <w:rPr>
          <w:rFonts w:ascii="Times New Roman" w:hAnsi="Times New Roman"/>
          <w:sz w:val="24"/>
          <w:szCs w:val="24"/>
        </w:rPr>
        <w:lastRenderedPageBreak/>
        <w:t xml:space="preserve">The results in Table </w:t>
      </w:r>
      <w:r w:rsidR="00167932" w:rsidRPr="00020413">
        <w:rPr>
          <w:rFonts w:ascii="Times New Roman" w:hAnsi="Times New Roman"/>
          <w:sz w:val="24"/>
          <w:szCs w:val="24"/>
        </w:rPr>
        <w:t>9</w:t>
      </w:r>
      <w:r w:rsidRPr="00020413">
        <w:rPr>
          <w:rFonts w:ascii="Times New Roman" w:hAnsi="Times New Roman"/>
          <w:sz w:val="24"/>
          <w:szCs w:val="24"/>
        </w:rPr>
        <w:t xml:space="preserve"> confirm the negative effect of credit information sharing on bank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Pr="00020413">
        <w:rPr>
          <w:rFonts w:ascii="Times New Roman" w:hAnsi="Times New Roman"/>
          <w:sz w:val="24"/>
          <w:szCs w:val="24"/>
        </w:rPr>
        <w:t>. The coefficient</w:t>
      </w:r>
      <w:r w:rsidR="00242537" w:rsidRPr="00020413">
        <w:rPr>
          <w:rFonts w:ascii="Times New Roman" w:hAnsi="Times New Roman"/>
          <w:sz w:val="24"/>
          <w:szCs w:val="24"/>
        </w:rPr>
        <w:t>s</w:t>
      </w:r>
      <w:r w:rsidRPr="00020413">
        <w:rPr>
          <w:rFonts w:ascii="Times New Roman" w:hAnsi="Times New Roman"/>
          <w:sz w:val="24"/>
          <w:szCs w:val="24"/>
        </w:rPr>
        <w:t xml:space="preserve"> on the depth of credit information</w:t>
      </w:r>
      <w:r w:rsidR="00242537" w:rsidRPr="00020413">
        <w:rPr>
          <w:rFonts w:ascii="Times New Roman" w:hAnsi="Times New Roman"/>
          <w:sz w:val="24"/>
          <w:szCs w:val="24"/>
        </w:rPr>
        <w:t xml:space="preserve"> as well as credit registry and private bureau coverage</w:t>
      </w:r>
      <w:r w:rsidRPr="00020413">
        <w:rPr>
          <w:rFonts w:ascii="Times New Roman" w:hAnsi="Times New Roman"/>
          <w:sz w:val="24"/>
          <w:szCs w:val="24"/>
        </w:rPr>
        <w:t xml:space="preserve"> enter all the models with a negative sign and </w:t>
      </w:r>
      <w:r w:rsidR="00242537" w:rsidRPr="00020413">
        <w:rPr>
          <w:rFonts w:ascii="Times New Roman" w:hAnsi="Times New Roman"/>
          <w:sz w:val="24"/>
          <w:szCs w:val="24"/>
        </w:rPr>
        <w:t>are</w:t>
      </w:r>
      <w:r w:rsidR="00FE1827" w:rsidRPr="00020413">
        <w:rPr>
          <w:rFonts w:ascii="Times New Roman" w:hAnsi="Times New Roman"/>
          <w:sz w:val="24"/>
          <w:szCs w:val="24"/>
        </w:rPr>
        <w:t xml:space="preserve"> </w:t>
      </w:r>
      <w:r w:rsidRPr="00020413">
        <w:rPr>
          <w:rFonts w:ascii="Times New Roman" w:hAnsi="Times New Roman"/>
          <w:sz w:val="24"/>
          <w:szCs w:val="24"/>
        </w:rPr>
        <w:t>statistically significant.</w:t>
      </w:r>
      <w:r w:rsidR="006659E8" w:rsidRPr="00020413">
        <w:rPr>
          <w:rFonts w:ascii="Times New Roman" w:hAnsi="Times New Roman"/>
          <w:sz w:val="24"/>
          <w:szCs w:val="24"/>
        </w:rPr>
        <w:t xml:space="preserve"> </w:t>
      </w:r>
      <w:r w:rsidR="00300B11" w:rsidRPr="00020413">
        <w:rPr>
          <w:rFonts w:ascii="Times New Roman" w:hAnsi="Times New Roman"/>
          <w:sz w:val="24"/>
          <w:szCs w:val="24"/>
        </w:rPr>
        <w:t>Additionally</w:t>
      </w:r>
      <w:r w:rsidR="006659E8" w:rsidRPr="00020413">
        <w:rPr>
          <w:rFonts w:ascii="Times New Roman" w:hAnsi="Times New Roman"/>
          <w:sz w:val="24"/>
          <w:szCs w:val="24"/>
        </w:rPr>
        <w:t>, the interaction term between credit information sharing</w:t>
      </w:r>
      <w:r w:rsidR="00242537" w:rsidRPr="00020413">
        <w:rPr>
          <w:rFonts w:ascii="Times New Roman" w:hAnsi="Times New Roman"/>
          <w:sz w:val="24"/>
          <w:szCs w:val="24"/>
        </w:rPr>
        <w:t xml:space="preserve"> </w:t>
      </w:r>
      <w:r w:rsidR="00D142F8" w:rsidRPr="00020413">
        <w:rPr>
          <w:rFonts w:ascii="Times New Roman" w:hAnsi="Times New Roman"/>
          <w:sz w:val="24"/>
          <w:szCs w:val="24"/>
        </w:rPr>
        <w:t>variables</w:t>
      </w:r>
      <w:r w:rsidR="006659E8" w:rsidRPr="00020413">
        <w:rPr>
          <w:rFonts w:ascii="Times New Roman" w:hAnsi="Times New Roman"/>
          <w:sz w:val="24"/>
          <w:szCs w:val="24"/>
        </w:rPr>
        <w:t xml:space="preserve"> and </w:t>
      </w:r>
      <w:r w:rsidR="00BC4072" w:rsidRPr="00020413">
        <w:rPr>
          <w:rFonts w:ascii="Times New Roman" w:hAnsi="Times New Roman"/>
          <w:sz w:val="24"/>
          <w:szCs w:val="24"/>
        </w:rPr>
        <w:t>banking market</w:t>
      </w:r>
      <w:r w:rsidR="002822A2" w:rsidRPr="00020413">
        <w:rPr>
          <w:rFonts w:ascii="Times New Roman" w:hAnsi="Times New Roman"/>
          <w:sz w:val="24"/>
          <w:szCs w:val="24"/>
        </w:rPr>
        <w:t xml:space="preserve"> </w:t>
      </w:r>
      <w:r w:rsidR="006659E8" w:rsidRPr="00020413">
        <w:rPr>
          <w:rFonts w:ascii="Times New Roman" w:hAnsi="Times New Roman"/>
          <w:sz w:val="24"/>
          <w:szCs w:val="24"/>
        </w:rPr>
        <w:t>concentration</w:t>
      </w:r>
      <w:r w:rsidR="00242537" w:rsidRPr="00020413">
        <w:rPr>
          <w:rFonts w:ascii="Times New Roman" w:hAnsi="Times New Roman"/>
          <w:sz w:val="24"/>
          <w:szCs w:val="24"/>
        </w:rPr>
        <w:t xml:space="preserve"> </w:t>
      </w:r>
      <w:r w:rsidR="006659E8" w:rsidRPr="00020413">
        <w:rPr>
          <w:rFonts w:ascii="Times New Roman" w:hAnsi="Times New Roman"/>
          <w:sz w:val="24"/>
          <w:szCs w:val="24"/>
        </w:rPr>
        <w:t>remain</w:t>
      </w:r>
      <w:r w:rsidR="002822A2" w:rsidRPr="00020413">
        <w:rPr>
          <w:rFonts w:ascii="Times New Roman" w:hAnsi="Times New Roman"/>
          <w:sz w:val="24"/>
          <w:szCs w:val="24"/>
        </w:rPr>
        <w:t>s</w:t>
      </w:r>
      <w:r w:rsidR="006659E8" w:rsidRPr="00020413">
        <w:rPr>
          <w:rFonts w:ascii="Times New Roman" w:hAnsi="Times New Roman"/>
          <w:sz w:val="24"/>
          <w:szCs w:val="24"/>
        </w:rPr>
        <w:t xml:space="preserve"> positive and significant</w:t>
      </w:r>
      <w:r w:rsidR="00242537" w:rsidRPr="00020413">
        <w:rPr>
          <w:rFonts w:ascii="Times New Roman" w:hAnsi="Times New Roman"/>
          <w:sz w:val="24"/>
          <w:szCs w:val="24"/>
        </w:rPr>
        <w:t xml:space="preserve"> at the 1% level</w:t>
      </w:r>
      <w:r w:rsidR="006659E8" w:rsidRPr="00020413">
        <w:rPr>
          <w:rFonts w:ascii="Times New Roman" w:hAnsi="Times New Roman"/>
          <w:sz w:val="24"/>
          <w:szCs w:val="24"/>
        </w:rPr>
        <w:t xml:space="preserve">. </w:t>
      </w:r>
      <w:r w:rsidR="00D142F8" w:rsidRPr="00020413">
        <w:rPr>
          <w:rFonts w:ascii="Times New Roman" w:hAnsi="Times New Roman"/>
          <w:sz w:val="24"/>
          <w:szCs w:val="24"/>
        </w:rPr>
        <w:t>The coefficient</w:t>
      </w:r>
      <w:r w:rsidR="00962B14" w:rsidRPr="00020413">
        <w:rPr>
          <w:rFonts w:ascii="Times New Roman" w:hAnsi="Times New Roman"/>
          <w:sz w:val="24"/>
          <w:szCs w:val="24"/>
        </w:rPr>
        <w:t>s</w:t>
      </w:r>
      <w:r w:rsidR="00D142F8" w:rsidRPr="00020413">
        <w:rPr>
          <w:rFonts w:ascii="Times New Roman" w:hAnsi="Times New Roman"/>
          <w:sz w:val="24"/>
          <w:szCs w:val="24"/>
        </w:rPr>
        <w:t xml:space="preserve"> on the interactions between the governance indicators and information sharing remain qualitatively </w:t>
      </w:r>
      <w:proofErr w:type="gramStart"/>
      <w:r w:rsidR="00D142F8" w:rsidRPr="00020413">
        <w:rPr>
          <w:rFonts w:ascii="Times New Roman" w:hAnsi="Times New Roman"/>
          <w:sz w:val="24"/>
          <w:szCs w:val="24"/>
        </w:rPr>
        <w:t>similar to</w:t>
      </w:r>
      <w:proofErr w:type="gramEnd"/>
      <w:r w:rsidR="00D142F8" w:rsidRPr="00020413">
        <w:rPr>
          <w:rFonts w:ascii="Times New Roman" w:hAnsi="Times New Roman"/>
          <w:sz w:val="24"/>
          <w:szCs w:val="24"/>
        </w:rPr>
        <w:t xml:space="preserve"> those reported earlier.</w:t>
      </w:r>
      <w:r w:rsidR="004F6E35" w:rsidRPr="00020413">
        <w:rPr>
          <w:rFonts w:ascii="Times New Roman" w:hAnsi="Times New Roman"/>
          <w:sz w:val="24"/>
          <w:szCs w:val="24"/>
        </w:rPr>
        <w:t xml:space="preserve"> </w:t>
      </w:r>
      <w:r w:rsidR="006659E8" w:rsidRPr="00020413">
        <w:rPr>
          <w:rFonts w:ascii="Times New Roman" w:hAnsi="Times New Roman"/>
          <w:sz w:val="24"/>
          <w:szCs w:val="24"/>
        </w:rPr>
        <w:t xml:space="preserve">Overall, these findings corroborate </w:t>
      </w:r>
      <w:r w:rsidR="004F6E35" w:rsidRPr="00020413">
        <w:rPr>
          <w:rFonts w:ascii="Times New Roman" w:hAnsi="Times New Roman"/>
          <w:sz w:val="24"/>
          <w:szCs w:val="24"/>
        </w:rPr>
        <w:t>our</w:t>
      </w:r>
      <w:r w:rsidR="006659E8" w:rsidRPr="00020413">
        <w:rPr>
          <w:rFonts w:ascii="Times New Roman" w:hAnsi="Times New Roman"/>
          <w:sz w:val="24"/>
          <w:szCs w:val="24"/>
        </w:rPr>
        <w:t xml:space="preserve"> earlier findings suggesting that </w:t>
      </w:r>
      <w:r w:rsidR="000C0E76" w:rsidRPr="00020413">
        <w:rPr>
          <w:rFonts w:ascii="Times New Roman" w:hAnsi="Times New Roman"/>
          <w:sz w:val="24"/>
          <w:szCs w:val="24"/>
        </w:rPr>
        <w:t xml:space="preserve">credit information sharing reduces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 xml:space="preserve">default </w:t>
      </w:r>
      <w:r w:rsidR="000C0E76" w:rsidRPr="00020413">
        <w:rPr>
          <w:rFonts w:ascii="Times New Roman" w:hAnsi="Times New Roman"/>
          <w:sz w:val="24"/>
          <w:szCs w:val="24"/>
        </w:rPr>
        <w:t>but less so in more concentrated banking market</w:t>
      </w:r>
      <w:r w:rsidR="002822A2" w:rsidRPr="00020413">
        <w:rPr>
          <w:rFonts w:ascii="Times New Roman" w:hAnsi="Times New Roman"/>
          <w:sz w:val="24"/>
          <w:szCs w:val="24"/>
        </w:rPr>
        <w:t>s</w:t>
      </w:r>
      <w:r w:rsidR="00D142F8" w:rsidRPr="00020413">
        <w:rPr>
          <w:rFonts w:ascii="Times New Roman" w:hAnsi="Times New Roman"/>
          <w:sz w:val="24"/>
          <w:szCs w:val="24"/>
        </w:rPr>
        <w:t>.</w:t>
      </w:r>
    </w:p>
    <w:p w:rsidR="00013443" w:rsidRPr="00020413" w:rsidRDefault="00013443" w:rsidP="00D55D24">
      <w:pPr>
        <w:spacing w:after="120" w:line="360" w:lineRule="auto"/>
        <w:jc w:val="both"/>
        <w:rPr>
          <w:rFonts w:ascii="Times New Roman" w:hAnsi="Times New Roman"/>
          <w:b/>
          <w:sz w:val="24"/>
          <w:szCs w:val="24"/>
        </w:rPr>
      </w:pPr>
    </w:p>
    <w:p w:rsidR="008D6DE0" w:rsidRPr="00020413" w:rsidRDefault="008D6DE0" w:rsidP="00D55D24">
      <w:pPr>
        <w:spacing w:after="120" w:line="360" w:lineRule="auto"/>
        <w:jc w:val="both"/>
        <w:rPr>
          <w:rFonts w:ascii="Times New Roman" w:hAnsi="Times New Roman"/>
          <w:b/>
          <w:sz w:val="24"/>
          <w:szCs w:val="24"/>
        </w:rPr>
      </w:pPr>
      <w:r w:rsidRPr="00020413">
        <w:rPr>
          <w:rFonts w:ascii="Times New Roman" w:hAnsi="Times New Roman"/>
          <w:b/>
          <w:sz w:val="24"/>
          <w:szCs w:val="24"/>
        </w:rPr>
        <w:t>4.6 Further robustness tests</w:t>
      </w:r>
    </w:p>
    <w:p w:rsidR="00506D97" w:rsidRPr="00020413" w:rsidRDefault="001E1A49" w:rsidP="009174BB">
      <w:pPr>
        <w:spacing w:after="120" w:line="360" w:lineRule="auto"/>
        <w:jc w:val="both"/>
        <w:rPr>
          <w:rFonts w:ascii="Times New Roman" w:hAnsi="Times New Roman"/>
          <w:sz w:val="24"/>
          <w:szCs w:val="24"/>
        </w:rPr>
      </w:pPr>
      <w:r w:rsidRPr="00020413">
        <w:rPr>
          <w:rFonts w:ascii="Times New Roman" w:hAnsi="Times New Roman"/>
          <w:sz w:val="24"/>
          <w:szCs w:val="24"/>
        </w:rPr>
        <w:t>Thus far, our measure of loan default rate has been non-performing loans</w:t>
      </w:r>
      <w:r w:rsidR="00846BF3" w:rsidRPr="00020413">
        <w:rPr>
          <w:rFonts w:ascii="Times New Roman" w:hAnsi="Times New Roman"/>
          <w:sz w:val="24"/>
          <w:szCs w:val="24"/>
        </w:rPr>
        <w:t xml:space="preserve"> rates</w:t>
      </w:r>
      <w:r w:rsidRPr="00020413">
        <w:rPr>
          <w:rFonts w:ascii="Times New Roman" w:hAnsi="Times New Roman"/>
          <w:sz w:val="24"/>
          <w:szCs w:val="24"/>
        </w:rPr>
        <w:t>. We now consider</w:t>
      </w:r>
      <w:r w:rsidR="008D6DE0" w:rsidRPr="00020413">
        <w:rPr>
          <w:rFonts w:ascii="Times New Roman" w:hAnsi="Times New Roman"/>
          <w:sz w:val="24"/>
          <w:szCs w:val="24"/>
        </w:rPr>
        <w:t xml:space="preserve"> the robustness of our findings to an alternative dependent var</w:t>
      </w:r>
      <w:bookmarkStart w:id="10" w:name="_Hlk535088400"/>
      <w:r w:rsidR="00846BF3" w:rsidRPr="00020413">
        <w:rPr>
          <w:rFonts w:ascii="Times New Roman" w:hAnsi="Times New Roman"/>
          <w:sz w:val="24"/>
          <w:szCs w:val="24"/>
        </w:rPr>
        <w:t>iable</w:t>
      </w:r>
      <w:r w:rsidR="004F6E35" w:rsidRPr="00020413">
        <w:rPr>
          <w:rFonts w:ascii="Times New Roman" w:hAnsi="Times New Roman"/>
          <w:sz w:val="24"/>
          <w:szCs w:val="24"/>
        </w:rPr>
        <w:t xml:space="preserve"> - </w:t>
      </w:r>
      <w:r w:rsidR="00896A9C" w:rsidRPr="00020413">
        <w:rPr>
          <w:rFonts w:ascii="Times New Roman" w:hAnsi="Times New Roman"/>
          <w:sz w:val="24"/>
          <w:szCs w:val="24"/>
        </w:rPr>
        <w:t>ne</w:t>
      </w:r>
      <w:r w:rsidR="00883A29" w:rsidRPr="00020413">
        <w:rPr>
          <w:rFonts w:ascii="Times New Roman" w:hAnsi="Times New Roman"/>
          <w:sz w:val="24"/>
          <w:szCs w:val="24"/>
        </w:rPr>
        <w:t>t charge-</w:t>
      </w:r>
      <w:r w:rsidR="00896A9C" w:rsidRPr="00020413">
        <w:rPr>
          <w:rFonts w:ascii="Times New Roman" w:hAnsi="Times New Roman"/>
          <w:sz w:val="24"/>
          <w:szCs w:val="24"/>
        </w:rPr>
        <w:t>off</w:t>
      </w:r>
      <w:r w:rsidR="00193D7B" w:rsidRPr="00020413">
        <w:rPr>
          <w:rFonts w:ascii="Times New Roman" w:hAnsi="Times New Roman"/>
          <w:sz w:val="24"/>
          <w:szCs w:val="24"/>
        </w:rPr>
        <w:t>s</w:t>
      </w:r>
      <w:bookmarkEnd w:id="10"/>
      <w:r w:rsidR="004C1149" w:rsidRPr="00020413">
        <w:rPr>
          <w:rFonts w:ascii="Times New Roman" w:hAnsi="Times New Roman"/>
          <w:sz w:val="24"/>
          <w:szCs w:val="24"/>
        </w:rPr>
        <w:t xml:space="preserve"> </w:t>
      </w:r>
      <w:r w:rsidR="00846BF3" w:rsidRPr="00020413">
        <w:rPr>
          <w:rFonts w:ascii="Times New Roman" w:hAnsi="Times New Roman"/>
          <w:sz w:val="24"/>
          <w:szCs w:val="24"/>
        </w:rPr>
        <w:t>rates (</w:t>
      </w:r>
      <w:r w:rsidR="00AA1E22" w:rsidRPr="00020413">
        <w:rPr>
          <w:rFonts w:ascii="Times New Roman" w:hAnsi="Times New Roman"/>
          <w:sz w:val="24"/>
          <w:szCs w:val="24"/>
        </w:rPr>
        <w:t xml:space="preserve">defined as </w:t>
      </w:r>
      <w:r w:rsidR="00883A29" w:rsidRPr="00020413">
        <w:rPr>
          <w:rFonts w:ascii="Times New Roman" w:hAnsi="Times New Roman"/>
          <w:sz w:val="24"/>
          <w:szCs w:val="24"/>
        </w:rPr>
        <w:t>net charge-offs</w:t>
      </w:r>
      <w:r w:rsidR="00A20AC9" w:rsidRPr="00020413">
        <w:rPr>
          <w:rFonts w:ascii="Times New Roman" w:hAnsi="Times New Roman"/>
          <w:sz w:val="24"/>
          <w:szCs w:val="24"/>
        </w:rPr>
        <w:t xml:space="preserve"> </w:t>
      </w:r>
      <w:r w:rsidR="00883A29" w:rsidRPr="00020413">
        <w:rPr>
          <w:rFonts w:ascii="Times New Roman" w:hAnsi="Times New Roman"/>
          <w:sz w:val="24"/>
          <w:szCs w:val="24"/>
        </w:rPr>
        <w:t>/</w:t>
      </w:r>
      <w:r w:rsidR="00A20AC9" w:rsidRPr="00020413">
        <w:rPr>
          <w:rFonts w:ascii="Times New Roman" w:hAnsi="Times New Roman"/>
          <w:sz w:val="24"/>
          <w:szCs w:val="24"/>
        </w:rPr>
        <w:t xml:space="preserve"> </w:t>
      </w:r>
      <w:r w:rsidR="00883A29" w:rsidRPr="00020413">
        <w:rPr>
          <w:rFonts w:ascii="Times New Roman" w:hAnsi="Times New Roman"/>
          <w:sz w:val="24"/>
          <w:szCs w:val="24"/>
        </w:rPr>
        <w:t>average gross loans</w:t>
      </w:r>
      <w:r w:rsidR="00896A9C" w:rsidRPr="00020413">
        <w:rPr>
          <w:rFonts w:ascii="Times New Roman" w:hAnsi="Times New Roman"/>
          <w:sz w:val="24"/>
          <w:szCs w:val="24"/>
        </w:rPr>
        <w:t>)</w:t>
      </w:r>
      <w:r w:rsidR="007E07EC" w:rsidRPr="00020413">
        <w:rPr>
          <w:rFonts w:ascii="Times New Roman" w:hAnsi="Times New Roman"/>
          <w:sz w:val="24"/>
          <w:szCs w:val="24"/>
        </w:rPr>
        <w:t>,</w:t>
      </w:r>
      <w:r w:rsidR="00896A9C" w:rsidRPr="00020413">
        <w:rPr>
          <w:rFonts w:ascii="Times New Roman" w:hAnsi="Times New Roman"/>
          <w:sz w:val="24"/>
          <w:szCs w:val="24"/>
        </w:rPr>
        <w:t xml:space="preserve"> which reflects the actual loan write-offs. As seen from Table 10, the results that credit information shari</w:t>
      </w:r>
      <w:r w:rsidR="00BB459F" w:rsidRPr="00020413">
        <w:rPr>
          <w:rFonts w:ascii="Times New Roman" w:hAnsi="Times New Roman"/>
          <w:sz w:val="24"/>
          <w:szCs w:val="24"/>
        </w:rPr>
        <w:t>ng improves loan quality remain</w:t>
      </w:r>
      <w:r w:rsidR="00896A9C" w:rsidRPr="00020413">
        <w:rPr>
          <w:rFonts w:ascii="Times New Roman" w:hAnsi="Times New Roman"/>
          <w:sz w:val="24"/>
          <w:szCs w:val="24"/>
        </w:rPr>
        <w:t xml:space="preserve"> unchanged.</w:t>
      </w:r>
      <w:r w:rsidR="00C96307" w:rsidRPr="00020413">
        <w:rPr>
          <w:rFonts w:ascii="Times New Roman" w:hAnsi="Times New Roman"/>
          <w:sz w:val="24"/>
          <w:szCs w:val="24"/>
        </w:rPr>
        <w:t xml:space="preserve"> The moderating effect of banking market concentration is also robust to</w:t>
      </w:r>
      <w:r w:rsidR="00DA47B6">
        <w:rPr>
          <w:rFonts w:ascii="Times New Roman" w:hAnsi="Times New Roman"/>
          <w:sz w:val="24"/>
          <w:szCs w:val="24"/>
        </w:rPr>
        <w:t xml:space="preserve"> using</w:t>
      </w:r>
      <w:r w:rsidR="00C96307" w:rsidRPr="00020413">
        <w:rPr>
          <w:rFonts w:ascii="Times New Roman" w:hAnsi="Times New Roman"/>
          <w:sz w:val="24"/>
          <w:szCs w:val="24"/>
        </w:rPr>
        <w:t xml:space="preserve"> the net charge-offs measure of loan default rates.</w:t>
      </w:r>
      <w:r w:rsidR="00A26C11" w:rsidRPr="00020413">
        <w:rPr>
          <w:rFonts w:ascii="Times New Roman" w:hAnsi="Times New Roman"/>
          <w:sz w:val="24"/>
          <w:szCs w:val="24"/>
        </w:rPr>
        <w:t xml:space="preserve"> In </w:t>
      </w:r>
      <w:proofErr w:type="spellStart"/>
      <w:r w:rsidR="00A26C11" w:rsidRPr="00020413">
        <w:rPr>
          <w:rFonts w:ascii="Times New Roman" w:hAnsi="Times New Roman"/>
          <w:sz w:val="24"/>
          <w:szCs w:val="24"/>
        </w:rPr>
        <w:t>untabulated</w:t>
      </w:r>
      <w:proofErr w:type="spellEnd"/>
      <w:r w:rsidR="00A26C11" w:rsidRPr="00020413">
        <w:rPr>
          <w:rFonts w:ascii="Times New Roman" w:hAnsi="Times New Roman"/>
          <w:sz w:val="24"/>
          <w:szCs w:val="24"/>
        </w:rPr>
        <w:t xml:space="preserve"> results, we also use country-level loan default rates (instead of firm-level measures) </w:t>
      </w:r>
      <w:r w:rsidR="00A06B12" w:rsidRPr="00020413">
        <w:rPr>
          <w:rFonts w:ascii="Times New Roman" w:hAnsi="Times New Roman"/>
          <w:sz w:val="24"/>
          <w:szCs w:val="24"/>
        </w:rPr>
        <w:t xml:space="preserve">as our dependent variable </w:t>
      </w:r>
      <w:r w:rsidR="00A26C11" w:rsidRPr="00020413">
        <w:rPr>
          <w:rFonts w:ascii="Times New Roman" w:hAnsi="Times New Roman"/>
          <w:sz w:val="24"/>
          <w:szCs w:val="24"/>
        </w:rPr>
        <w:t>and find qualitatively similar results</w:t>
      </w:r>
      <w:r w:rsidR="00A06B12" w:rsidRPr="00020413">
        <w:rPr>
          <w:rFonts w:ascii="Times New Roman" w:hAnsi="Times New Roman"/>
          <w:sz w:val="24"/>
          <w:szCs w:val="24"/>
        </w:rPr>
        <w:t>.</w:t>
      </w:r>
      <w:r w:rsidR="00896A9C" w:rsidRPr="00020413">
        <w:rPr>
          <w:rFonts w:ascii="Times New Roman" w:hAnsi="Times New Roman"/>
          <w:sz w:val="24"/>
          <w:szCs w:val="24"/>
        </w:rPr>
        <w:t xml:space="preserve"> </w:t>
      </w:r>
    </w:p>
    <w:p w:rsidR="00506D97" w:rsidRPr="00020413" w:rsidRDefault="00506D97" w:rsidP="00506D97">
      <w:pPr>
        <w:spacing w:after="120" w:line="360" w:lineRule="auto"/>
        <w:jc w:val="center"/>
        <w:rPr>
          <w:rFonts w:ascii="Times New Roman" w:hAnsi="Times New Roman"/>
          <w:b/>
          <w:sz w:val="28"/>
          <w:szCs w:val="24"/>
        </w:rPr>
      </w:pPr>
      <w:r w:rsidRPr="00020413">
        <w:rPr>
          <w:rFonts w:ascii="Times New Roman" w:hAnsi="Times New Roman"/>
          <w:b/>
          <w:sz w:val="28"/>
          <w:szCs w:val="24"/>
        </w:rPr>
        <w:t>[Table 10 about here]</w:t>
      </w:r>
    </w:p>
    <w:p w:rsidR="00506D97" w:rsidRPr="00020413" w:rsidRDefault="00506D97" w:rsidP="00D55D24">
      <w:pPr>
        <w:spacing w:after="120" w:line="360" w:lineRule="auto"/>
        <w:jc w:val="both"/>
        <w:rPr>
          <w:rFonts w:ascii="Times New Roman" w:hAnsi="Times New Roman"/>
          <w:sz w:val="24"/>
          <w:szCs w:val="24"/>
        </w:rPr>
      </w:pPr>
    </w:p>
    <w:p w:rsidR="00395619" w:rsidRPr="00020413" w:rsidRDefault="00F77A04"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Second, we replace our broad country-level </w:t>
      </w:r>
      <w:r w:rsidR="004F6E35" w:rsidRPr="00020413">
        <w:rPr>
          <w:rFonts w:ascii="Times New Roman" w:hAnsi="Times New Roman"/>
          <w:sz w:val="24"/>
          <w:szCs w:val="24"/>
        </w:rPr>
        <w:t>r</w:t>
      </w:r>
      <w:r w:rsidRPr="00020413">
        <w:rPr>
          <w:rFonts w:ascii="Times New Roman" w:hAnsi="Times New Roman"/>
          <w:sz w:val="24"/>
          <w:szCs w:val="24"/>
        </w:rPr>
        <w:t xml:space="preserve">egulation variable with </w:t>
      </w:r>
      <w:r w:rsidR="00BB459F" w:rsidRPr="00020413">
        <w:rPr>
          <w:rFonts w:ascii="Times New Roman" w:hAnsi="Times New Roman"/>
          <w:sz w:val="24"/>
          <w:szCs w:val="24"/>
        </w:rPr>
        <w:t xml:space="preserve">a narrowly-defined set of variables (i.e., </w:t>
      </w:r>
      <w:r w:rsidR="00BB459F" w:rsidRPr="00020413">
        <w:rPr>
          <w:rFonts w:ascii="Times New Roman" w:hAnsi="Times New Roman"/>
          <w:i/>
          <w:sz w:val="24"/>
          <w:szCs w:val="24"/>
          <w:lang w:val="en-US"/>
        </w:rPr>
        <w:t>Activity Restriction</w:t>
      </w:r>
      <w:r w:rsidR="00BB459F" w:rsidRPr="00020413">
        <w:rPr>
          <w:rFonts w:ascii="Times New Roman" w:hAnsi="Times New Roman"/>
          <w:sz w:val="24"/>
          <w:szCs w:val="24"/>
          <w:lang w:val="en-US"/>
        </w:rPr>
        <w:t xml:space="preserve">, </w:t>
      </w:r>
      <w:r w:rsidR="00BB459F" w:rsidRPr="00020413">
        <w:rPr>
          <w:rFonts w:ascii="Times New Roman" w:hAnsi="Times New Roman"/>
          <w:i/>
          <w:sz w:val="24"/>
          <w:szCs w:val="24"/>
          <w:lang w:val="en-US"/>
        </w:rPr>
        <w:t>Capital Stringency</w:t>
      </w:r>
      <w:r w:rsidR="00BB459F" w:rsidRPr="00020413">
        <w:rPr>
          <w:rFonts w:ascii="Times New Roman" w:hAnsi="Times New Roman"/>
          <w:sz w:val="24"/>
          <w:szCs w:val="24"/>
          <w:lang w:val="en-US"/>
        </w:rPr>
        <w:t xml:space="preserve">, and </w:t>
      </w:r>
      <w:r w:rsidR="00BB459F" w:rsidRPr="00020413">
        <w:rPr>
          <w:rFonts w:ascii="Times New Roman" w:hAnsi="Times New Roman"/>
          <w:i/>
          <w:sz w:val="24"/>
          <w:szCs w:val="24"/>
          <w:lang w:val="en-US"/>
        </w:rPr>
        <w:t>Supervisory Power</w:t>
      </w:r>
      <w:r w:rsidR="00BB459F" w:rsidRPr="00020413">
        <w:rPr>
          <w:rFonts w:ascii="Times New Roman" w:hAnsi="Times New Roman"/>
          <w:sz w:val="24"/>
          <w:szCs w:val="24"/>
        </w:rPr>
        <w:t>) reflecting different b</w:t>
      </w:r>
      <w:r w:rsidRPr="00020413">
        <w:rPr>
          <w:rFonts w:ascii="Times New Roman" w:hAnsi="Times New Roman"/>
          <w:sz w:val="24"/>
          <w:szCs w:val="24"/>
        </w:rPr>
        <w:t>anking</w:t>
      </w:r>
      <w:r w:rsidR="00BB459F" w:rsidRPr="00020413">
        <w:rPr>
          <w:rFonts w:ascii="Times New Roman" w:hAnsi="Times New Roman"/>
          <w:sz w:val="24"/>
          <w:szCs w:val="24"/>
        </w:rPr>
        <w:t xml:space="preserve"> regulatory regimes</w:t>
      </w:r>
      <w:r w:rsidR="00C9538F" w:rsidRPr="00020413">
        <w:rPr>
          <w:rFonts w:ascii="Times New Roman" w:hAnsi="Times New Roman"/>
          <w:sz w:val="24"/>
          <w:szCs w:val="24"/>
        </w:rPr>
        <w:t xml:space="preserve"> (Barth et al., 2013)</w:t>
      </w:r>
      <w:r w:rsidR="00B77717" w:rsidRPr="00020413">
        <w:rPr>
          <w:rFonts w:ascii="Times New Roman" w:hAnsi="Times New Roman"/>
          <w:sz w:val="24"/>
          <w:szCs w:val="24"/>
        </w:rPr>
        <w:t xml:space="preserve">. </w:t>
      </w:r>
      <w:r w:rsidR="000E0682" w:rsidRPr="00020413">
        <w:rPr>
          <w:rFonts w:ascii="Times New Roman" w:hAnsi="Times New Roman"/>
          <w:sz w:val="24"/>
          <w:szCs w:val="24"/>
        </w:rPr>
        <w:t>The results</w:t>
      </w:r>
      <w:r w:rsidR="00E13B82" w:rsidRPr="00020413">
        <w:rPr>
          <w:rFonts w:ascii="Times New Roman" w:hAnsi="Times New Roman"/>
          <w:sz w:val="24"/>
          <w:szCs w:val="24"/>
        </w:rPr>
        <w:t xml:space="preserve"> reported in Table 11 support our main conclusions</w:t>
      </w:r>
      <w:r w:rsidR="00CD3ACE" w:rsidRPr="00020413">
        <w:rPr>
          <w:rFonts w:ascii="Times New Roman" w:hAnsi="Times New Roman"/>
          <w:sz w:val="24"/>
          <w:szCs w:val="24"/>
        </w:rPr>
        <w:t xml:space="preserve"> on the effect of credit information sharing on loan default rates and the interaction role of </w:t>
      </w:r>
      <w:r w:rsidR="00E60FA5" w:rsidRPr="00020413">
        <w:rPr>
          <w:rFonts w:ascii="Times New Roman" w:hAnsi="Times New Roman"/>
          <w:sz w:val="24"/>
          <w:szCs w:val="24"/>
        </w:rPr>
        <w:t>c</w:t>
      </w:r>
      <w:r w:rsidR="00CD3ACE" w:rsidRPr="00020413">
        <w:rPr>
          <w:rFonts w:ascii="Times New Roman" w:hAnsi="Times New Roman"/>
          <w:sz w:val="24"/>
          <w:szCs w:val="24"/>
        </w:rPr>
        <w:t xml:space="preserve">oncentration. With respect to the banking regulatory variables, </w:t>
      </w:r>
      <w:r w:rsidR="004F6E35" w:rsidRPr="00020413">
        <w:rPr>
          <w:rFonts w:ascii="Times New Roman" w:hAnsi="Times New Roman"/>
          <w:sz w:val="24"/>
          <w:szCs w:val="24"/>
        </w:rPr>
        <w:t xml:space="preserve">both </w:t>
      </w:r>
      <w:r w:rsidR="000E0682" w:rsidRPr="00020413">
        <w:rPr>
          <w:rFonts w:ascii="Times New Roman" w:hAnsi="Times New Roman"/>
          <w:sz w:val="24"/>
          <w:szCs w:val="24"/>
          <w:lang w:val="en-US"/>
        </w:rPr>
        <w:t>c</w:t>
      </w:r>
      <w:r w:rsidR="002878F8" w:rsidRPr="00020413">
        <w:rPr>
          <w:rFonts w:ascii="Times New Roman" w:hAnsi="Times New Roman"/>
          <w:sz w:val="24"/>
          <w:szCs w:val="24"/>
          <w:lang w:val="en-US"/>
        </w:rPr>
        <w:t xml:space="preserve">apital </w:t>
      </w:r>
      <w:r w:rsidR="004F6E35" w:rsidRPr="00020413">
        <w:rPr>
          <w:rFonts w:ascii="Times New Roman" w:hAnsi="Times New Roman"/>
          <w:sz w:val="24"/>
          <w:szCs w:val="24"/>
          <w:lang w:val="en-US"/>
        </w:rPr>
        <w:t>s</w:t>
      </w:r>
      <w:r w:rsidR="002878F8" w:rsidRPr="00020413">
        <w:rPr>
          <w:rFonts w:ascii="Times New Roman" w:hAnsi="Times New Roman"/>
          <w:sz w:val="24"/>
          <w:szCs w:val="24"/>
          <w:lang w:val="en-US"/>
        </w:rPr>
        <w:t>tringency</w:t>
      </w:r>
      <w:r w:rsidR="00CD3ACE" w:rsidRPr="00020413">
        <w:rPr>
          <w:rFonts w:ascii="Times New Roman" w:hAnsi="Times New Roman"/>
          <w:sz w:val="24"/>
          <w:szCs w:val="24"/>
          <w:lang w:val="en-US"/>
        </w:rPr>
        <w:t xml:space="preserve"> and </w:t>
      </w:r>
      <w:r w:rsidR="004F6E35" w:rsidRPr="00020413">
        <w:rPr>
          <w:rFonts w:ascii="Times New Roman" w:hAnsi="Times New Roman"/>
          <w:sz w:val="24"/>
          <w:szCs w:val="24"/>
          <w:lang w:val="en-US"/>
        </w:rPr>
        <w:t>s</w:t>
      </w:r>
      <w:r w:rsidR="00CD3ACE" w:rsidRPr="00020413">
        <w:rPr>
          <w:rFonts w:ascii="Times New Roman" w:hAnsi="Times New Roman"/>
          <w:sz w:val="24"/>
          <w:szCs w:val="24"/>
          <w:lang w:val="en-US"/>
        </w:rPr>
        <w:t xml:space="preserve">upervisory </w:t>
      </w:r>
      <w:r w:rsidR="004F6E35" w:rsidRPr="00020413">
        <w:rPr>
          <w:rFonts w:ascii="Times New Roman" w:hAnsi="Times New Roman"/>
          <w:sz w:val="24"/>
          <w:szCs w:val="24"/>
          <w:lang w:val="en-US"/>
        </w:rPr>
        <w:t>p</w:t>
      </w:r>
      <w:r w:rsidR="00CD3ACE" w:rsidRPr="00020413">
        <w:rPr>
          <w:rFonts w:ascii="Times New Roman" w:hAnsi="Times New Roman"/>
          <w:sz w:val="24"/>
          <w:szCs w:val="24"/>
          <w:lang w:val="en-US"/>
        </w:rPr>
        <w:t xml:space="preserve">ower </w:t>
      </w:r>
      <w:r w:rsidR="00D37DD9" w:rsidRPr="00020413">
        <w:rPr>
          <w:rFonts w:ascii="Times New Roman" w:hAnsi="Times New Roman"/>
          <w:sz w:val="24"/>
          <w:szCs w:val="24"/>
          <w:lang w:val="en-US"/>
        </w:rPr>
        <w:t xml:space="preserve">impact </w:t>
      </w:r>
      <w:r w:rsidR="001D793D" w:rsidRPr="00020413">
        <w:rPr>
          <w:rFonts w:ascii="Times New Roman" w:hAnsi="Times New Roman"/>
          <w:sz w:val="24"/>
          <w:szCs w:val="24"/>
          <w:lang w:val="en-US"/>
        </w:rPr>
        <w:t>default rates</w:t>
      </w:r>
      <w:r w:rsidR="00CD3ACE" w:rsidRPr="00020413">
        <w:rPr>
          <w:rFonts w:ascii="Times New Roman" w:hAnsi="Times New Roman"/>
          <w:sz w:val="24"/>
          <w:szCs w:val="24"/>
          <w:lang w:val="en-US"/>
        </w:rPr>
        <w:t xml:space="preserve"> negative</w:t>
      </w:r>
      <w:r w:rsidR="00135876" w:rsidRPr="00020413">
        <w:rPr>
          <w:rFonts w:ascii="Times New Roman" w:hAnsi="Times New Roman"/>
          <w:sz w:val="24"/>
          <w:szCs w:val="24"/>
          <w:lang w:val="en-US"/>
        </w:rPr>
        <w:t>ly</w:t>
      </w:r>
      <w:r w:rsidR="007E07EC" w:rsidRPr="00020413">
        <w:rPr>
          <w:rFonts w:ascii="Times New Roman" w:hAnsi="Times New Roman"/>
          <w:sz w:val="24"/>
          <w:szCs w:val="24"/>
          <w:lang w:val="en-US"/>
        </w:rPr>
        <w:t>,</w:t>
      </w:r>
      <w:r w:rsidR="00CD3ACE" w:rsidRPr="00020413">
        <w:rPr>
          <w:rFonts w:ascii="Times New Roman" w:hAnsi="Times New Roman"/>
          <w:sz w:val="24"/>
          <w:szCs w:val="24"/>
          <w:lang w:val="en-US"/>
        </w:rPr>
        <w:t xml:space="preserve"> while </w:t>
      </w:r>
      <w:r w:rsidR="000E0682" w:rsidRPr="00020413">
        <w:rPr>
          <w:rFonts w:ascii="Times New Roman" w:hAnsi="Times New Roman"/>
          <w:sz w:val="24"/>
          <w:szCs w:val="24"/>
          <w:lang w:val="en-US"/>
        </w:rPr>
        <w:t>a</w:t>
      </w:r>
      <w:r w:rsidR="00CD3ACE" w:rsidRPr="00020413">
        <w:rPr>
          <w:rFonts w:ascii="Times New Roman" w:hAnsi="Times New Roman"/>
          <w:sz w:val="24"/>
          <w:szCs w:val="24"/>
          <w:lang w:val="en-US"/>
        </w:rPr>
        <w:t xml:space="preserve">ctivity </w:t>
      </w:r>
      <w:r w:rsidR="000E0682" w:rsidRPr="00020413">
        <w:rPr>
          <w:rFonts w:ascii="Times New Roman" w:hAnsi="Times New Roman"/>
          <w:sz w:val="24"/>
          <w:szCs w:val="24"/>
          <w:lang w:val="en-US"/>
        </w:rPr>
        <w:t>r</w:t>
      </w:r>
      <w:r w:rsidR="00CD3ACE" w:rsidRPr="00020413">
        <w:rPr>
          <w:rFonts w:ascii="Times New Roman" w:hAnsi="Times New Roman"/>
          <w:sz w:val="24"/>
          <w:szCs w:val="24"/>
          <w:lang w:val="en-US"/>
        </w:rPr>
        <w:t>estriction has a positive</w:t>
      </w:r>
      <w:r w:rsidR="007E07EC" w:rsidRPr="00020413">
        <w:rPr>
          <w:rFonts w:ascii="Times New Roman" w:hAnsi="Times New Roman"/>
          <w:sz w:val="24"/>
          <w:szCs w:val="24"/>
          <w:lang w:val="en-US"/>
        </w:rPr>
        <w:t>,</w:t>
      </w:r>
      <w:r w:rsidR="00CD3ACE" w:rsidRPr="00020413">
        <w:rPr>
          <w:rFonts w:ascii="Times New Roman" w:hAnsi="Times New Roman"/>
          <w:sz w:val="24"/>
          <w:szCs w:val="24"/>
          <w:lang w:val="en-US"/>
        </w:rPr>
        <w:t xml:space="preserve"> but insignificant effect on loan default rates.</w:t>
      </w:r>
    </w:p>
    <w:p w:rsidR="00AD4B6D" w:rsidRPr="00020413" w:rsidRDefault="00506D97" w:rsidP="00AD4B6D">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 </w:t>
      </w:r>
      <w:r w:rsidR="00AD4B6D" w:rsidRPr="00020413">
        <w:rPr>
          <w:rFonts w:ascii="Times New Roman" w:hAnsi="Times New Roman"/>
          <w:b/>
          <w:sz w:val="28"/>
          <w:szCs w:val="24"/>
        </w:rPr>
        <w:t>[Table 11 about here]</w:t>
      </w:r>
    </w:p>
    <w:p w:rsidR="00F27213" w:rsidRPr="00020413" w:rsidRDefault="00F27213" w:rsidP="00D55D24">
      <w:pPr>
        <w:spacing w:after="120" w:line="360" w:lineRule="auto"/>
        <w:jc w:val="both"/>
        <w:rPr>
          <w:rFonts w:ascii="Times New Roman" w:hAnsi="Times New Roman"/>
          <w:sz w:val="24"/>
          <w:szCs w:val="24"/>
        </w:rPr>
      </w:pPr>
    </w:p>
    <w:p w:rsidR="00A651BC" w:rsidRPr="00020413" w:rsidRDefault="001115AB" w:rsidP="00444D9D">
      <w:pPr>
        <w:spacing w:line="360" w:lineRule="auto"/>
        <w:jc w:val="both"/>
        <w:rPr>
          <w:rFonts w:ascii="Times New Roman" w:hAnsi="Times New Roman"/>
          <w:b/>
          <w:sz w:val="24"/>
          <w:szCs w:val="24"/>
        </w:rPr>
      </w:pPr>
      <w:r w:rsidRPr="00020413">
        <w:rPr>
          <w:rFonts w:ascii="Times New Roman" w:hAnsi="Times New Roman"/>
          <w:b/>
          <w:sz w:val="24"/>
          <w:szCs w:val="24"/>
        </w:rPr>
        <w:lastRenderedPageBreak/>
        <w:t>5</w:t>
      </w:r>
      <w:r w:rsidR="00A651BC" w:rsidRPr="00020413">
        <w:rPr>
          <w:rFonts w:ascii="Times New Roman" w:hAnsi="Times New Roman"/>
          <w:b/>
          <w:sz w:val="24"/>
          <w:szCs w:val="24"/>
        </w:rPr>
        <w:t>. Conclusion</w:t>
      </w:r>
    </w:p>
    <w:p w:rsidR="00AB075A" w:rsidRPr="00020413" w:rsidRDefault="0026642D"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The findings of prior studies suggest that credit information sharing can have </w:t>
      </w:r>
      <w:proofErr w:type="gramStart"/>
      <w:r w:rsidRPr="00020413">
        <w:rPr>
          <w:rFonts w:ascii="Times New Roman" w:hAnsi="Times New Roman"/>
          <w:sz w:val="24"/>
          <w:szCs w:val="24"/>
        </w:rPr>
        <w:t>a number of</w:t>
      </w:r>
      <w:proofErr w:type="gramEnd"/>
      <w:r w:rsidRPr="00020413">
        <w:rPr>
          <w:rFonts w:ascii="Times New Roman" w:hAnsi="Times New Roman"/>
          <w:sz w:val="24"/>
          <w:szCs w:val="24"/>
        </w:rPr>
        <w:t xml:space="preserve"> positive </w:t>
      </w:r>
      <w:r w:rsidR="001A3A28" w:rsidRPr="00020413">
        <w:rPr>
          <w:rFonts w:ascii="Times New Roman" w:hAnsi="Times New Roman"/>
          <w:sz w:val="24"/>
          <w:szCs w:val="24"/>
        </w:rPr>
        <w:t>effects, including</w:t>
      </w:r>
      <w:r w:rsidRPr="00020413">
        <w:rPr>
          <w:rFonts w:ascii="Times New Roman" w:hAnsi="Times New Roman"/>
          <w:sz w:val="24"/>
          <w:szCs w:val="24"/>
        </w:rPr>
        <w:t xml:space="preserve"> reducing </w:t>
      </w:r>
      <w:r w:rsidR="000E3B10" w:rsidRPr="00020413">
        <w:rPr>
          <w:rFonts w:ascii="Times New Roman" w:hAnsi="Times New Roman"/>
          <w:sz w:val="24"/>
          <w:szCs w:val="24"/>
        </w:rPr>
        <w:t xml:space="preserve">loan </w:t>
      </w:r>
      <w:r w:rsidRPr="00020413">
        <w:rPr>
          <w:rFonts w:ascii="Times New Roman" w:hAnsi="Times New Roman"/>
          <w:sz w:val="24"/>
          <w:szCs w:val="24"/>
        </w:rPr>
        <w:t>default rates</w:t>
      </w:r>
      <w:r w:rsidR="001A3A28" w:rsidRPr="00020413">
        <w:rPr>
          <w:rFonts w:ascii="Times New Roman" w:hAnsi="Times New Roman"/>
          <w:sz w:val="24"/>
          <w:szCs w:val="24"/>
        </w:rPr>
        <w:t>,</w:t>
      </w:r>
      <w:r w:rsidRPr="00020413">
        <w:rPr>
          <w:rFonts w:ascii="Times New Roman" w:hAnsi="Times New Roman"/>
          <w:sz w:val="24"/>
          <w:szCs w:val="24"/>
        </w:rPr>
        <w:t xml:space="preserve"> </w:t>
      </w:r>
      <w:r w:rsidR="001A3A28" w:rsidRPr="00020413">
        <w:rPr>
          <w:rFonts w:ascii="Times New Roman" w:hAnsi="Times New Roman"/>
          <w:sz w:val="24"/>
          <w:szCs w:val="24"/>
        </w:rPr>
        <w:t xml:space="preserve">enhancing access to private credit and improving </w:t>
      </w:r>
      <w:r w:rsidRPr="00020413">
        <w:rPr>
          <w:rFonts w:ascii="Times New Roman" w:hAnsi="Times New Roman"/>
          <w:sz w:val="24"/>
          <w:szCs w:val="24"/>
        </w:rPr>
        <w:t xml:space="preserve">credit </w:t>
      </w:r>
      <w:r w:rsidR="00DA47B6">
        <w:rPr>
          <w:rFonts w:ascii="Times New Roman" w:hAnsi="Times New Roman"/>
          <w:sz w:val="24"/>
          <w:szCs w:val="24"/>
        </w:rPr>
        <w:t xml:space="preserve">market </w:t>
      </w:r>
      <w:r w:rsidRPr="00020413">
        <w:rPr>
          <w:rFonts w:ascii="Times New Roman" w:hAnsi="Times New Roman"/>
          <w:sz w:val="24"/>
          <w:szCs w:val="24"/>
        </w:rPr>
        <w:t>performance (</w:t>
      </w:r>
      <w:r w:rsidR="00EF7146" w:rsidRPr="00020413">
        <w:rPr>
          <w:rFonts w:ascii="Times New Roman" w:hAnsi="Times New Roman"/>
          <w:sz w:val="24"/>
          <w:szCs w:val="20"/>
          <w:shd w:val="clear" w:color="auto" w:fill="FFFFFF"/>
        </w:rPr>
        <w:t xml:space="preserve">Jappelli, </w:t>
      </w:r>
      <w:r w:rsidR="00803E50" w:rsidRPr="00020413">
        <w:rPr>
          <w:rFonts w:ascii="Times New Roman" w:hAnsi="Times New Roman"/>
          <w:sz w:val="24"/>
          <w:szCs w:val="20"/>
          <w:shd w:val="clear" w:color="auto" w:fill="FFFFFF"/>
        </w:rPr>
        <w:t xml:space="preserve">and </w:t>
      </w:r>
      <w:r w:rsidR="00EF7146" w:rsidRPr="00020413">
        <w:rPr>
          <w:rFonts w:ascii="Times New Roman" w:hAnsi="Times New Roman"/>
          <w:sz w:val="24"/>
          <w:szCs w:val="20"/>
          <w:shd w:val="clear" w:color="auto" w:fill="FFFFFF"/>
        </w:rPr>
        <w:t>Pagano, 2002</w:t>
      </w:r>
      <w:r w:rsidR="004C41A8" w:rsidRPr="00020413">
        <w:rPr>
          <w:rFonts w:ascii="Times New Roman" w:hAnsi="Times New Roman"/>
          <w:sz w:val="24"/>
          <w:szCs w:val="20"/>
          <w:shd w:val="clear" w:color="auto" w:fill="FFFFFF"/>
        </w:rPr>
        <w:t>;</w:t>
      </w:r>
      <w:r w:rsidR="004C41A8" w:rsidRPr="00020413">
        <w:rPr>
          <w:rFonts w:ascii="Times New Roman" w:hAnsi="Times New Roman"/>
          <w:sz w:val="24"/>
          <w:szCs w:val="24"/>
        </w:rPr>
        <w:t xml:space="preserve"> Brown et al. 2009; Fosu, 2014</w:t>
      </w:r>
      <w:r w:rsidRPr="00020413">
        <w:rPr>
          <w:rFonts w:ascii="Times New Roman" w:hAnsi="Times New Roman"/>
          <w:sz w:val="24"/>
          <w:szCs w:val="24"/>
        </w:rPr>
        <w:t xml:space="preserve">). However, the extent to which </w:t>
      </w:r>
      <w:r w:rsidR="001A3A28" w:rsidRPr="00020413">
        <w:rPr>
          <w:rFonts w:ascii="Times New Roman" w:hAnsi="Times New Roman"/>
          <w:sz w:val="24"/>
          <w:szCs w:val="24"/>
        </w:rPr>
        <w:t xml:space="preserve">credit information sharing influences </w:t>
      </w:r>
      <w:r w:rsidR="00E70A88" w:rsidRPr="00020413">
        <w:rPr>
          <w:rFonts w:ascii="Times New Roman" w:hAnsi="Times New Roman"/>
          <w:sz w:val="24"/>
          <w:szCs w:val="24"/>
        </w:rPr>
        <w:t xml:space="preserve">loan </w:t>
      </w:r>
      <w:r w:rsidR="00262D41" w:rsidRPr="00020413">
        <w:rPr>
          <w:rFonts w:ascii="Times New Roman" w:hAnsi="Times New Roman"/>
          <w:sz w:val="24"/>
          <w:szCs w:val="24"/>
        </w:rPr>
        <w:t>default rate</w:t>
      </w:r>
      <w:r w:rsidR="001A3A28" w:rsidRPr="00020413">
        <w:rPr>
          <w:rFonts w:ascii="Times New Roman" w:hAnsi="Times New Roman"/>
          <w:sz w:val="24"/>
          <w:szCs w:val="24"/>
        </w:rPr>
        <w:t xml:space="preserve"> has rarely been examined</w:t>
      </w:r>
      <w:r w:rsidR="008122FF" w:rsidRPr="00020413">
        <w:rPr>
          <w:rFonts w:ascii="Times New Roman" w:hAnsi="Times New Roman"/>
          <w:sz w:val="24"/>
          <w:szCs w:val="24"/>
        </w:rPr>
        <w:t>, particularly in developing countries</w:t>
      </w:r>
      <w:r w:rsidR="001A3A28" w:rsidRPr="00020413">
        <w:rPr>
          <w:rFonts w:ascii="Times New Roman" w:hAnsi="Times New Roman"/>
          <w:sz w:val="24"/>
          <w:szCs w:val="24"/>
        </w:rPr>
        <w:t xml:space="preserve">. </w:t>
      </w:r>
      <w:r w:rsidR="00562012" w:rsidRPr="00020413">
        <w:rPr>
          <w:rFonts w:ascii="Times New Roman" w:hAnsi="Times New Roman"/>
          <w:sz w:val="24"/>
          <w:szCs w:val="24"/>
        </w:rPr>
        <w:t xml:space="preserve">Consequently, in this paper, we </w:t>
      </w:r>
      <w:r w:rsidR="00885D56" w:rsidRPr="00020413">
        <w:rPr>
          <w:rFonts w:ascii="Times New Roman" w:hAnsi="Times New Roman"/>
          <w:sz w:val="24"/>
          <w:szCs w:val="24"/>
        </w:rPr>
        <w:t>offer</w:t>
      </w:r>
      <w:r w:rsidR="00562012" w:rsidRPr="00020413">
        <w:rPr>
          <w:rFonts w:ascii="Times New Roman" w:hAnsi="Times New Roman"/>
          <w:sz w:val="24"/>
          <w:szCs w:val="24"/>
        </w:rPr>
        <w:t xml:space="preserve"> </w:t>
      </w:r>
      <w:r w:rsidR="007C2046" w:rsidRPr="00020413">
        <w:rPr>
          <w:rFonts w:ascii="Times New Roman" w:hAnsi="Times New Roman"/>
          <w:sz w:val="24"/>
          <w:szCs w:val="24"/>
        </w:rPr>
        <w:t>fresh perspectives</w:t>
      </w:r>
      <w:r w:rsidR="003F1186" w:rsidRPr="00020413">
        <w:rPr>
          <w:rFonts w:ascii="Times New Roman" w:hAnsi="Times New Roman"/>
          <w:sz w:val="24"/>
          <w:szCs w:val="24"/>
        </w:rPr>
        <w:t xml:space="preserve"> </w:t>
      </w:r>
      <w:r w:rsidR="00217DAE" w:rsidRPr="00020413">
        <w:rPr>
          <w:rFonts w:ascii="Times New Roman" w:hAnsi="Times New Roman"/>
          <w:sz w:val="24"/>
          <w:szCs w:val="24"/>
        </w:rPr>
        <w:t xml:space="preserve">to the growing literature on </w:t>
      </w:r>
      <w:r w:rsidR="00260E43" w:rsidRPr="00020413">
        <w:rPr>
          <w:rFonts w:ascii="Times New Roman" w:hAnsi="Times New Roman"/>
          <w:sz w:val="24"/>
          <w:szCs w:val="24"/>
        </w:rPr>
        <w:t>credit information sharing</w:t>
      </w:r>
      <w:r w:rsidR="00217DAE" w:rsidRPr="00020413">
        <w:rPr>
          <w:rFonts w:ascii="Times New Roman" w:hAnsi="Times New Roman"/>
          <w:sz w:val="24"/>
          <w:szCs w:val="24"/>
        </w:rPr>
        <w:t xml:space="preserve"> by empirically examining the relationship between </w:t>
      </w:r>
      <w:r w:rsidR="00260E43" w:rsidRPr="00020413">
        <w:rPr>
          <w:rFonts w:ascii="Times New Roman" w:hAnsi="Times New Roman"/>
          <w:sz w:val="24"/>
          <w:szCs w:val="24"/>
        </w:rPr>
        <w:t xml:space="preserve">credit information sharing and </w:t>
      </w:r>
      <w:r w:rsidR="00262D41" w:rsidRPr="00020413">
        <w:rPr>
          <w:rFonts w:ascii="Times New Roman" w:hAnsi="Times New Roman"/>
          <w:sz w:val="24"/>
          <w:szCs w:val="24"/>
        </w:rPr>
        <w:t>loan default</w:t>
      </w:r>
      <w:r w:rsidR="00BB7F9E" w:rsidRPr="00020413">
        <w:rPr>
          <w:rFonts w:ascii="Times New Roman" w:hAnsi="Times New Roman"/>
          <w:sz w:val="24"/>
          <w:szCs w:val="24"/>
        </w:rPr>
        <w:t xml:space="preserve"> </w:t>
      </w:r>
      <w:r w:rsidR="00562012" w:rsidRPr="00020413">
        <w:rPr>
          <w:rFonts w:ascii="Times New Roman" w:hAnsi="Times New Roman"/>
          <w:sz w:val="24"/>
          <w:szCs w:val="24"/>
        </w:rPr>
        <w:t>in developing countries</w:t>
      </w:r>
      <w:r w:rsidR="006D4938" w:rsidRPr="00020413">
        <w:rPr>
          <w:rFonts w:ascii="Times New Roman" w:hAnsi="Times New Roman"/>
          <w:sz w:val="24"/>
          <w:szCs w:val="24"/>
        </w:rPr>
        <w:t>,</w:t>
      </w:r>
      <w:r w:rsidR="008122FF" w:rsidRPr="00020413">
        <w:rPr>
          <w:rFonts w:ascii="Times New Roman" w:hAnsi="Times New Roman"/>
          <w:sz w:val="24"/>
          <w:szCs w:val="24"/>
        </w:rPr>
        <w:t xml:space="preserve"> where information asymmetry problems are acute</w:t>
      </w:r>
      <w:r w:rsidR="00562012" w:rsidRPr="00020413">
        <w:rPr>
          <w:rFonts w:ascii="Times New Roman" w:hAnsi="Times New Roman"/>
          <w:sz w:val="24"/>
          <w:szCs w:val="24"/>
        </w:rPr>
        <w:t xml:space="preserve">. </w:t>
      </w:r>
      <w:proofErr w:type="gramStart"/>
      <w:r w:rsidR="00562012" w:rsidRPr="00020413">
        <w:rPr>
          <w:rFonts w:ascii="Times New Roman" w:hAnsi="Times New Roman"/>
          <w:sz w:val="24"/>
          <w:szCs w:val="24"/>
        </w:rPr>
        <w:t xml:space="preserve">In </w:t>
      </w:r>
      <w:r w:rsidR="00791A90" w:rsidRPr="00020413">
        <w:rPr>
          <w:rFonts w:ascii="Times New Roman" w:hAnsi="Times New Roman"/>
          <w:sz w:val="24"/>
          <w:szCs w:val="24"/>
        </w:rPr>
        <w:t>particular and</w:t>
      </w:r>
      <w:proofErr w:type="gramEnd"/>
      <w:r w:rsidR="00562012" w:rsidRPr="00020413">
        <w:rPr>
          <w:rFonts w:ascii="Times New Roman" w:hAnsi="Times New Roman"/>
          <w:sz w:val="24"/>
          <w:szCs w:val="24"/>
        </w:rPr>
        <w:t xml:space="preserve"> m</w:t>
      </w:r>
      <w:r w:rsidR="00217DAE" w:rsidRPr="00020413">
        <w:rPr>
          <w:rFonts w:ascii="Times New Roman" w:hAnsi="Times New Roman"/>
          <w:sz w:val="24"/>
          <w:szCs w:val="24"/>
        </w:rPr>
        <w:t xml:space="preserve">otivated by the </w:t>
      </w:r>
      <w:r w:rsidR="00B84AB7" w:rsidRPr="00020413">
        <w:rPr>
          <w:rFonts w:ascii="Times New Roman" w:hAnsi="Times New Roman"/>
          <w:sz w:val="24"/>
          <w:szCs w:val="24"/>
        </w:rPr>
        <w:t xml:space="preserve">growing attention </w:t>
      </w:r>
      <w:r w:rsidR="006D4938" w:rsidRPr="00020413">
        <w:rPr>
          <w:rFonts w:ascii="Times New Roman" w:hAnsi="Times New Roman"/>
          <w:sz w:val="24"/>
          <w:szCs w:val="24"/>
        </w:rPr>
        <w:t>being paid</w:t>
      </w:r>
      <w:r w:rsidR="004F6E35" w:rsidRPr="00020413">
        <w:rPr>
          <w:rFonts w:ascii="Times New Roman" w:hAnsi="Times New Roman"/>
          <w:sz w:val="24"/>
          <w:szCs w:val="24"/>
        </w:rPr>
        <w:t xml:space="preserve"> </w:t>
      </w:r>
      <w:r w:rsidR="00B84AB7" w:rsidRPr="00020413">
        <w:rPr>
          <w:rFonts w:ascii="Times New Roman" w:hAnsi="Times New Roman"/>
          <w:sz w:val="24"/>
          <w:szCs w:val="24"/>
        </w:rPr>
        <w:t>to</w:t>
      </w:r>
      <w:r w:rsidR="00217DAE" w:rsidRPr="00020413">
        <w:rPr>
          <w:rFonts w:ascii="Times New Roman" w:hAnsi="Times New Roman"/>
          <w:sz w:val="24"/>
          <w:szCs w:val="24"/>
        </w:rPr>
        <w:t xml:space="preserve"> banking </w:t>
      </w:r>
      <w:r w:rsidR="007E439A" w:rsidRPr="00020413">
        <w:rPr>
          <w:rFonts w:ascii="Times New Roman" w:hAnsi="Times New Roman"/>
          <w:sz w:val="24"/>
          <w:szCs w:val="24"/>
        </w:rPr>
        <w:t xml:space="preserve">market </w:t>
      </w:r>
      <w:r w:rsidR="00217DAE" w:rsidRPr="00020413">
        <w:rPr>
          <w:rFonts w:ascii="Times New Roman" w:hAnsi="Times New Roman"/>
          <w:sz w:val="24"/>
          <w:szCs w:val="24"/>
        </w:rPr>
        <w:t>co</w:t>
      </w:r>
      <w:r w:rsidR="00EE5E73" w:rsidRPr="00020413">
        <w:rPr>
          <w:rFonts w:ascii="Times New Roman" w:hAnsi="Times New Roman"/>
          <w:sz w:val="24"/>
          <w:szCs w:val="24"/>
        </w:rPr>
        <w:t>ncentration</w:t>
      </w:r>
      <w:r w:rsidR="00217DAE" w:rsidRPr="00020413">
        <w:rPr>
          <w:rFonts w:ascii="Times New Roman" w:hAnsi="Times New Roman"/>
          <w:sz w:val="24"/>
          <w:szCs w:val="24"/>
        </w:rPr>
        <w:t xml:space="preserve"> </w:t>
      </w:r>
      <w:r w:rsidR="00FE1827" w:rsidRPr="00020413">
        <w:rPr>
          <w:rFonts w:ascii="Times New Roman" w:hAnsi="Times New Roman"/>
          <w:sz w:val="24"/>
          <w:szCs w:val="24"/>
        </w:rPr>
        <w:t xml:space="preserve">and </w:t>
      </w:r>
      <w:r w:rsidR="00B84AB7" w:rsidRPr="00020413">
        <w:rPr>
          <w:rFonts w:ascii="Times New Roman" w:hAnsi="Times New Roman"/>
          <w:sz w:val="24"/>
          <w:szCs w:val="24"/>
        </w:rPr>
        <w:t>credit information mechanisms in developing countries</w:t>
      </w:r>
      <w:r w:rsidR="00217DAE" w:rsidRPr="00020413">
        <w:rPr>
          <w:rFonts w:ascii="Times New Roman" w:hAnsi="Times New Roman"/>
          <w:sz w:val="24"/>
          <w:szCs w:val="24"/>
        </w:rPr>
        <w:t xml:space="preserve">, </w:t>
      </w:r>
      <w:r w:rsidR="00B84AB7" w:rsidRPr="00020413">
        <w:rPr>
          <w:rFonts w:ascii="Times New Roman" w:hAnsi="Times New Roman"/>
          <w:sz w:val="24"/>
          <w:szCs w:val="24"/>
        </w:rPr>
        <w:t xml:space="preserve">we provide </w:t>
      </w:r>
      <w:r w:rsidR="00FE1827" w:rsidRPr="00020413">
        <w:rPr>
          <w:rFonts w:ascii="Times New Roman" w:hAnsi="Times New Roman"/>
          <w:sz w:val="24"/>
          <w:szCs w:val="24"/>
        </w:rPr>
        <w:t>first-hand</w:t>
      </w:r>
      <w:r w:rsidR="00B84AB7" w:rsidRPr="00020413">
        <w:rPr>
          <w:rFonts w:ascii="Times New Roman" w:hAnsi="Times New Roman"/>
          <w:sz w:val="24"/>
          <w:szCs w:val="24"/>
        </w:rPr>
        <w:t xml:space="preserve"> evidence using a sample</w:t>
      </w:r>
      <w:r w:rsidR="00970A22" w:rsidRPr="00020413">
        <w:rPr>
          <w:rFonts w:ascii="Times New Roman" w:hAnsi="Times New Roman"/>
          <w:sz w:val="24"/>
          <w:szCs w:val="24"/>
        </w:rPr>
        <w:t xml:space="preserve"> </w:t>
      </w:r>
      <w:r w:rsidR="006D4938" w:rsidRPr="00020413">
        <w:rPr>
          <w:rFonts w:ascii="Times New Roman" w:hAnsi="Times New Roman"/>
          <w:sz w:val="24"/>
          <w:szCs w:val="24"/>
        </w:rPr>
        <w:t xml:space="preserve">of </w:t>
      </w:r>
      <w:r w:rsidR="00BB7F9E" w:rsidRPr="00020413">
        <w:rPr>
          <w:rFonts w:ascii="Times New Roman" w:hAnsi="Times New Roman"/>
          <w:sz w:val="24"/>
          <w:szCs w:val="24"/>
        </w:rPr>
        <w:t>879</w:t>
      </w:r>
      <w:r w:rsidR="00B84AB7" w:rsidRPr="00020413">
        <w:rPr>
          <w:rFonts w:ascii="Times New Roman" w:hAnsi="Times New Roman"/>
          <w:sz w:val="24"/>
          <w:szCs w:val="24"/>
        </w:rPr>
        <w:t xml:space="preserve"> banks from</w:t>
      </w:r>
      <w:r w:rsidR="00217DAE" w:rsidRPr="00020413">
        <w:rPr>
          <w:rFonts w:ascii="Times New Roman" w:hAnsi="Times New Roman"/>
          <w:sz w:val="24"/>
          <w:szCs w:val="24"/>
        </w:rPr>
        <w:t xml:space="preserve"> </w:t>
      </w:r>
      <w:r w:rsidR="00BB7F9E" w:rsidRPr="00020413">
        <w:rPr>
          <w:rFonts w:ascii="Times New Roman" w:hAnsi="Times New Roman"/>
          <w:sz w:val="24"/>
          <w:szCs w:val="24"/>
        </w:rPr>
        <w:t>8</w:t>
      </w:r>
      <w:r w:rsidR="00DB77D0" w:rsidRPr="00020413">
        <w:rPr>
          <w:rFonts w:ascii="Times New Roman" w:hAnsi="Times New Roman"/>
          <w:sz w:val="24"/>
          <w:szCs w:val="24"/>
        </w:rPr>
        <w:t>7</w:t>
      </w:r>
      <w:r w:rsidR="008625C6" w:rsidRPr="00020413">
        <w:rPr>
          <w:rFonts w:ascii="Times New Roman" w:hAnsi="Times New Roman"/>
          <w:sz w:val="24"/>
          <w:szCs w:val="24"/>
        </w:rPr>
        <w:t xml:space="preserve"> countries </w:t>
      </w:r>
      <w:r w:rsidR="00A7790F" w:rsidRPr="00020413">
        <w:rPr>
          <w:rFonts w:ascii="Times New Roman" w:hAnsi="Times New Roman"/>
          <w:sz w:val="24"/>
          <w:szCs w:val="24"/>
        </w:rPr>
        <w:t xml:space="preserve">from every continent </w:t>
      </w:r>
      <w:r w:rsidR="00970A22" w:rsidRPr="00020413">
        <w:rPr>
          <w:rFonts w:ascii="Times New Roman" w:hAnsi="Times New Roman"/>
          <w:sz w:val="24"/>
          <w:szCs w:val="24"/>
        </w:rPr>
        <w:t>over a</w:t>
      </w:r>
      <w:r w:rsidR="006D4938" w:rsidRPr="00020413">
        <w:rPr>
          <w:rFonts w:ascii="Times New Roman" w:hAnsi="Times New Roman"/>
          <w:sz w:val="24"/>
          <w:szCs w:val="24"/>
        </w:rPr>
        <w:t xml:space="preserve"> </w:t>
      </w:r>
      <w:r w:rsidR="00C37518" w:rsidRPr="00020413">
        <w:rPr>
          <w:rFonts w:ascii="Times New Roman" w:hAnsi="Times New Roman"/>
          <w:sz w:val="24"/>
          <w:szCs w:val="24"/>
        </w:rPr>
        <w:t>nine</w:t>
      </w:r>
      <w:r w:rsidR="00970A22" w:rsidRPr="00020413">
        <w:rPr>
          <w:rFonts w:ascii="Times New Roman" w:hAnsi="Times New Roman"/>
          <w:sz w:val="24"/>
          <w:szCs w:val="24"/>
        </w:rPr>
        <w:t>-year period</w:t>
      </w:r>
      <w:r w:rsidR="00A7790F" w:rsidRPr="00020413">
        <w:rPr>
          <w:rFonts w:ascii="Times New Roman" w:hAnsi="Times New Roman"/>
          <w:sz w:val="24"/>
          <w:szCs w:val="24"/>
        </w:rPr>
        <w:t xml:space="preserve"> (i.e., over 6,300 observations)</w:t>
      </w:r>
      <w:r w:rsidR="00217DAE" w:rsidRPr="00020413">
        <w:rPr>
          <w:rFonts w:ascii="Times New Roman" w:hAnsi="Times New Roman"/>
          <w:sz w:val="24"/>
          <w:szCs w:val="24"/>
        </w:rPr>
        <w:t xml:space="preserve">. Notably, evidence presented </w:t>
      </w:r>
      <w:r w:rsidR="00A7790F" w:rsidRPr="00020413">
        <w:rPr>
          <w:rFonts w:ascii="Times New Roman" w:hAnsi="Times New Roman"/>
          <w:sz w:val="24"/>
          <w:szCs w:val="24"/>
        </w:rPr>
        <w:t>in this paper</w:t>
      </w:r>
      <w:r w:rsidR="00217DAE" w:rsidRPr="00020413">
        <w:rPr>
          <w:rFonts w:ascii="Times New Roman" w:hAnsi="Times New Roman"/>
          <w:sz w:val="24"/>
          <w:szCs w:val="24"/>
        </w:rPr>
        <w:t xml:space="preserve"> indicate</w:t>
      </w:r>
      <w:r w:rsidR="00FA1E2B" w:rsidRPr="00020413">
        <w:rPr>
          <w:rFonts w:ascii="Times New Roman" w:hAnsi="Times New Roman"/>
          <w:sz w:val="24"/>
          <w:szCs w:val="24"/>
        </w:rPr>
        <w:t>s</w:t>
      </w:r>
      <w:r w:rsidR="00217DAE" w:rsidRPr="00020413">
        <w:rPr>
          <w:rFonts w:ascii="Times New Roman" w:hAnsi="Times New Roman"/>
          <w:sz w:val="24"/>
          <w:szCs w:val="24"/>
        </w:rPr>
        <w:t xml:space="preserve"> that </w:t>
      </w:r>
      <w:r w:rsidR="00260E43" w:rsidRPr="00020413">
        <w:rPr>
          <w:rFonts w:ascii="Times New Roman" w:hAnsi="Times New Roman"/>
          <w:sz w:val="24"/>
          <w:szCs w:val="24"/>
        </w:rPr>
        <w:t xml:space="preserve">credit information sharing leads to a reduction </w:t>
      </w:r>
      <w:r w:rsidR="00EE5E73" w:rsidRPr="00020413">
        <w:rPr>
          <w:rFonts w:ascii="Times New Roman" w:hAnsi="Times New Roman"/>
          <w:sz w:val="24"/>
          <w:szCs w:val="24"/>
        </w:rPr>
        <w:t>in</w:t>
      </w:r>
      <w:r w:rsidR="00260E43" w:rsidRPr="00020413">
        <w:rPr>
          <w:rFonts w:ascii="Times New Roman" w:hAnsi="Times New Roman"/>
          <w:sz w:val="24"/>
          <w:szCs w:val="24"/>
        </w:rPr>
        <w:t xml:space="preserve"> </w:t>
      </w:r>
      <w:r w:rsidR="00EE5E73" w:rsidRPr="00020413">
        <w:rPr>
          <w:rFonts w:ascii="Times New Roman" w:hAnsi="Times New Roman"/>
          <w:sz w:val="24"/>
          <w:szCs w:val="24"/>
        </w:rPr>
        <w:t xml:space="preserve">banks’ </w:t>
      </w:r>
      <w:r w:rsidR="00262D41" w:rsidRPr="00020413">
        <w:rPr>
          <w:rFonts w:ascii="Times New Roman" w:hAnsi="Times New Roman"/>
          <w:sz w:val="24"/>
          <w:szCs w:val="24"/>
        </w:rPr>
        <w:t>loan default</w:t>
      </w:r>
      <w:r w:rsidR="007E07EC" w:rsidRPr="00020413">
        <w:rPr>
          <w:rFonts w:ascii="Times New Roman" w:hAnsi="Times New Roman"/>
          <w:sz w:val="24"/>
          <w:szCs w:val="24"/>
        </w:rPr>
        <w:t xml:space="preserve"> rate</w:t>
      </w:r>
      <w:r w:rsidR="00217DAE" w:rsidRPr="00020413">
        <w:rPr>
          <w:rFonts w:ascii="Times New Roman" w:hAnsi="Times New Roman"/>
          <w:sz w:val="24"/>
          <w:szCs w:val="24"/>
        </w:rPr>
        <w:t xml:space="preserve">. </w:t>
      </w:r>
      <w:r w:rsidR="00E96153" w:rsidRPr="00020413">
        <w:rPr>
          <w:rFonts w:ascii="Times New Roman" w:hAnsi="Times New Roman"/>
          <w:sz w:val="24"/>
          <w:szCs w:val="24"/>
        </w:rPr>
        <w:t xml:space="preserve">However, the extent to which </w:t>
      </w:r>
      <w:r w:rsidR="00AB075A" w:rsidRPr="00020413">
        <w:rPr>
          <w:rFonts w:ascii="Times New Roman" w:hAnsi="Times New Roman"/>
          <w:sz w:val="24"/>
          <w:szCs w:val="24"/>
        </w:rPr>
        <w:t xml:space="preserve">credit </w:t>
      </w:r>
      <w:r w:rsidR="00EE5E73" w:rsidRPr="00020413">
        <w:rPr>
          <w:rFonts w:ascii="Times New Roman" w:hAnsi="Times New Roman"/>
          <w:sz w:val="24"/>
          <w:szCs w:val="24"/>
        </w:rPr>
        <w:t>default</w:t>
      </w:r>
      <w:r w:rsidR="00AB075A" w:rsidRPr="00020413">
        <w:rPr>
          <w:rFonts w:ascii="Times New Roman" w:hAnsi="Times New Roman"/>
          <w:sz w:val="24"/>
          <w:szCs w:val="24"/>
        </w:rPr>
        <w:t xml:space="preserve"> reduces in respons</w:t>
      </w:r>
      <w:r w:rsidR="00E96BD5" w:rsidRPr="00020413">
        <w:rPr>
          <w:rFonts w:ascii="Times New Roman" w:hAnsi="Times New Roman"/>
          <w:sz w:val="24"/>
          <w:szCs w:val="24"/>
        </w:rPr>
        <w:t>e</w:t>
      </w:r>
      <w:r w:rsidR="00AB075A" w:rsidRPr="00020413">
        <w:rPr>
          <w:rFonts w:ascii="Times New Roman" w:hAnsi="Times New Roman"/>
          <w:sz w:val="24"/>
          <w:szCs w:val="24"/>
        </w:rPr>
        <w:t xml:space="preserve"> to credit information sharing </w:t>
      </w:r>
      <w:r w:rsidR="00E96153" w:rsidRPr="00020413">
        <w:rPr>
          <w:rFonts w:ascii="Times New Roman" w:hAnsi="Times New Roman"/>
          <w:sz w:val="24"/>
          <w:szCs w:val="24"/>
        </w:rPr>
        <w:t xml:space="preserve">is moderated by </w:t>
      </w:r>
      <w:r w:rsidR="00AB075A" w:rsidRPr="00020413">
        <w:rPr>
          <w:rFonts w:ascii="Times New Roman" w:hAnsi="Times New Roman"/>
          <w:sz w:val="24"/>
          <w:szCs w:val="24"/>
        </w:rPr>
        <w:t xml:space="preserve">banking market concentration and, to </w:t>
      </w:r>
      <w:r w:rsidR="00BB7F9E" w:rsidRPr="00020413">
        <w:rPr>
          <w:rFonts w:ascii="Times New Roman" w:hAnsi="Times New Roman"/>
          <w:sz w:val="24"/>
          <w:szCs w:val="24"/>
        </w:rPr>
        <w:t xml:space="preserve">some </w:t>
      </w:r>
      <w:r w:rsidR="00AB075A" w:rsidRPr="00020413">
        <w:rPr>
          <w:rFonts w:ascii="Times New Roman" w:hAnsi="Times New Roman"/>
          <w:sz w:val="24"/>
          <w:szCs w:val="24"/>
        </w:rPr>
        <w:t xml:space="preserve">extent, </w:t>
      </w:r>
      <w:r w:rsidR="00A7790F" w:rsidRPr="00020413">
        <w:rPr>
          <w:rFonts w:ascii="Times New Roman" w:hAnsi="Times New Roman"/>
          <w:sz w:val="24"/>
          <w:szCs w:val="24"/>
        </w:rPr>
        <w:t xml:space="preserve">national </w:t>
      </w:r>
      <w:r w:rsidR="00AB075A" w:rsidRPr="00020413">
        <w:rPr>
          <w:rFonts w:ascii="Times New Roman" w:hAnsi="Times New Roman"/>
          <w:sz w:val="24"/>
          <w:szCs w:val="24"/>
        </w:rPr>
        <w:t>governance quality</w:t>
      </w:r>
      <w:r w:rsidR="00356BE7" w:rsidRPr="00020413">
        <w:rPr>
          <w:rFonts w:ascii="Times New Roman" w:hAnsi="Times New Roman"/>
          <w:sz w:val="24"/>
          <w:szCs w:val="24"/>
        </w:rPr>
        <w:t>.</w:t>
      </w:r>
      <w:r w:rsidR="00611F87" w:rsidRPr="00020413">
        <w:rPr>
          <w:rFonts w:ascii="Times New Roman" w:hAnsi="Times New Roman"/>
          <w:sz w:val="24"/>
          <w:szCs w:val="24"/>
        </w:rPr>
        <w:t xml:space="preserve"> </w:t>
      </w:r>
      <w:r w:rsidR="007510D3" w:rsidRPr="00020413">
        <w:rPr>
          <w:rFonts w:ascii="Times New Roman" w:hAnsi="Times New Roman"/>
          <w:sz w:val="24"/>
          <w:szCs w:val="24"/>
        </w:rPr>
        <w:t>These finding</w:t>
      </w:r>
      <w:r w:rsidR="00AB075A" w:rsidRPr="00020413">
        <w:rPr>
          <w:rFonts w:ascii="Times New Roman" w:hAnsi="Times New Roman"/>
          <w:sz w:val="24"/>
          <w:szCs w:val="24"/>
        </w:rPr>
        <w:t>s</w:t>
      </w:r>
      <w:r w:rsidR="007510D3" w:rsidRPr="00020413">
        <w:rPr>
          <w:rFonts w:ascii="Times New Roman" w:hAnsi="Times New Roman"/>
          <w:sz w:val="24"/>
          <w:szCs w:val="24"/>
        </w:rPr>
        <w:t xml:space="preserve"> are </w:t>
      </w:r>
      <w:r w:rsidR="004F6E35" w:rsidRPr="00020413">
        <w:rPr>
          <w:rFonts w:ascii="Times New Roman" w:hAnsi="Times New Roman"/>
          <w:sz w:val="24"/>
          <w:szCs w:val="24"/>
        </w:rPr>
        <w:t xml:space="preserve">new and </w:t>
      </w:r>
      <w:r w:rsidR="00217DAE" w:rsidRPr="00020413">
        <w:rPr>
          <w:rFonts w:ascii="Times New Roman" w:hAnsi="Times New Roman"/>
          <w:sz w:val="24"/>
          <w:szCs w:val="24"/>
        </w:rPr>
        <w:t xml:space="preserve">robust to alternative econometric </w:t>
      </w:r>
      <w:r w:rsidR="00BB7F9E" w:rsidRPr="00020413">
        <w:rPr>
          <w:rFonts w:ascii="Times New Roman" w:hAnsi="Times New Roman"/>
          <w:sz w:val="24"/>
          <w:szCs w:val="24"/>
        </w:rPr>
        <w:t>specifications</w:t>
      </w:r>
      <w:r w:rsidR="00AB075A" w:rsidRPr="00020413">
        <w:rPr>
          <w:rFonts w:ascii="Times New Roman" w:hAnsi="Times New Roman"/>
          <w:sz w:val="24"/>
          <w:szCs w:val="24"/>
        </w:rPr>
        <w:t>.</w:t>
      </w:r>
    </w:p>
    <w:p w:rsidR="004F6E35" w:rsidRPr="00020413" w:rsidRDefault="004F6E35"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Our </w:t>
      </w:r>
      <w:r w:rsidR="00BC7DD5" w:rsidRPr="00020413">
        <w:rPr>
          <w:rFonts w:ascii="Times New Roman" w:hAnsi="Times New Roman"/>
          <w:sz w:val="24"/>
          <w:szCs w:val="24"/>
        </w:rPr>
        <w:t>study, therefore,</w:t>
      </w:r>
      <w:r w:rsidRPr="00020413">
        <w:rPr>
          <w:rFonts w:ascii="Times New Roman" w:hAnsi="Times New Roman"/>
          <w:sz w:val="24"/>
          <w:szCs w:val="24"/>
        </w:rPr>
        <w:t xml:space="preserve"> contributes to the literature by incorporating bank heterogeneity across markets, as well as providing a more generalizable findings than prior studies. We further offer a more focused analysis by not merely considering the presence or absence of information sharing schemes, but rather examining how the nature and quality of the information sharing schemes may impact actual loan default rates, not the probability of default, as used in some prior research (e.g., Behr and </w:t>
      </w:r>
      <w:proofErr w:type="spellStart"/>
      <w:r w:rsidRPr="00020413">
        <w:rPr>
          <w:rFonts w:ascii="Times New Roman" w:hAnsi="Times New Roman"/>
          <w:sz w:val="24"/>
          <w:szCs w:val="24"/>
        </w:rPr>
        <w:t>Sonnekalb</w:t>
      </w:r>
      <w:proofErr w:type="spellEnd"/>
      <w:r w:rsidRPr="00020413">
        <w:rPr>
          <w:rFonts w:ascii="Times New Roman" w:hAnsi="Times New Roman"/>
          <w:sz w:val="24"/>
          <w:szCs w:val="24"/>
        </w:rPr>
        <w:t xml:space="preserve">, 2012).  Moreover, we make an additional contribution to the literature by distinctively investigating the potential moderating roles that industry (banking market) concentration and national governance quality (rule of law, regulatory quality and control of corruption) may play in the information sharing-loan default nexus. By this, we recognise that the extent of competitive forces and special long-term lender-borrower relationships in concentrated banking markets may limit or enhance the value of information sharing in such markets. Similarly, </w:t>
      </w:r>
      <w:r w:rsidR="0020751D" w:rsidRPr="00020413">
        <w:rPr>
          <w:rFonts w:ascii="Times New Roman" w:hAnsi="Times New Roman"/>
          <w:sz w:val="24"/>
          <w:szCs w:val="24"/>
        </w:rPr>
        <w:t>country-level governance issues</w:t>
      </w:r>
      <w:r w:rsidRPr="00020413">
        <w:rPr>
          <w:rFonts w:ascii="Times New Roman" w:hAnsi="Times New Roman"/>
          <w:sz w:val="24"/>
          <w:szCs w:val="24"/>
        </w:rPr>
        <w:t xml:space="preserve"> such as the rule of law, the quality of regulations enacted and the levels of corruption prevailing in an environment may also shape the extent to which information sharing impacts loan default rates. Besides contributing to the information sharing literature, these analyses allow us to add to the literature </w:t>
      </w:r>
      <w:r w:rsidRPr="00020413">
        <w:rPr>
          <w:rFonts w:ascii="Times New Roman" w:hAnsi="Times New Roman"/>
          <w:sz w:val="24"/>
          <w:szCs w:val="24"/>
        </w:rPr>
        <w:lastRenderedPageBreak/>
        <w:t xml:space="preserve">on the effect of market concentration and national governance quality on corporate outcomes (e.g., Marquez, 2002; </w:t>
      </w:r>
      <w:proofErr w:type="spellStart"/>
      <w:r w:rsidRPr="00020413">
        <w:rPr>
          <w:rFonts w:ascii="Times New Roman" w:hAnsi="Times New Roman"/>
          <w:sz w:val="24"/>
          <w:szCs w:val="24"/>
        </w:rPr>
        <w:t>Hauswald</w:t>
      </w:r>
      <w:proofErr w:type="spellEnd"/>
      <w:r w:rsidRPr="00020413">
        <w:rPr>
          <w:rFonts w:ascii="Times New Roman" w:hAnsi="Times New Roman"/>
          <w:sz w:val="24"/>
          <w:szCs w:val="24"/>
        </w:rPr>
        <w:t xml:space="preserve"> and Marquez, 2006; Lian, </w:t>
      </w:r>
      <w:r w:rsidR="009E34E4" w:rsidRPr="00020413">
        <w:rPr>
          <w:rFonts w:ascii="Times New Roman" w:hAnsi="Times New Roman"/>
          <w:sz w:val="24"/>
          <w:szCs w:val="24"/>
        </w:rPr>
        <w:t>2018</w:t>
      </w:r>
      <w:r w:rsidR="0020751D" w:rsidRPr="00020413">
        <w:rPr>
          <w:rFonts w:ascii="Times New Roman" w:hAnsi="Times New Roman"/>
          <w:sz w:val="24"/>
          <w:szCs w:val="24"/>
        </w:rPr>
        <w:t xml:space="preserve">).   </w:t>
      </w:r>
    </w:p>
    <w:p w:rsidR="00E9387D" w:rsidRPr="00020413" w:rsidRDefault="002B725E" w:rsidP="00D55D24">
      <w:pPr>
        <w:spacing w:after="120" w:line="360" w:lineRule="auto"/>
        <w:jc w:val="both"/>
        <w:rPr>
          <w:rFonts w:ascii="Times New Roman" w:hAnsi="Times New Roman"/>
          <w:sz w:val="24"/>
          <w:szCs w:val="24"/>
        </w:rPr>
      </w:pPr>
      <w:r w:rsidRPr="00020413">
        <w:rPr>
          <w:rFonts w:ascii="Times New Roman" w:hAnsi="Times New Roman"/>
          <w:sz w:val="24"/>
          <w:szCs w:val="24"/>
        </w:rPr>
        <w:t xml:space="preserve">A major implication of </w:t>
      </w:r>
      <w:r w:rsidR="0071542C" w:rsidRPr="00020413">
        <w:rPr>
          <w:rFonts w:ascii="Times New Roman" w:hAnsi="Times New Roman"/>
          <w:sz w:val="24"/>
          <w:szCs w:val="24"/>
        </w:rPr>
        <w:t xml:space="preserve">the findings of </w:t>
      </w:r>
      <w:r w:rsidRPr="00020413">
        <w:rPr>
          <w:rFonts w:ascii="Times New Roman" w:hAnsi="Times New Roman"/>
          <w:sz w:val="24"/>
          <w:szCs w:val="24"/>
        </w:rPr>
        <w:t>our study is th</w:t>
      </w:r>
      <w:r w:rsidR="00136B63" w:rsidRPr="00020413">
        <w:rPr>
          <w:rFonts w:ascii="Times New Roman" w:hAnsi="Times New Roman"/>
          <w:sz w:val="24"/>
          <w:szCs w:val="24"/>
        </w:rPr>
        <w:t xml:space="preserve">at greater information sharing </w:t>
      </w:r>
      <w:r w:rsidRPr="00020413">
        <w:rPr>
          <w:rFonts w:ascii="Times New Roman" w:hAnsi="Times New Roman"/>
          <w:sz w:val="24"/>
          <w:szCs w:val="24"/>
        </w:rPr>
        <w:t>leads to a</w:t>
      </w:r>
      <w:r w:rsidR="00136B63" w:rsidRPr="00020413">
        <w:rPr>
          <w:rFonts w:ascii="Times New Roman" w:hAnsi="Times New Roman"/>
          <w:sz w:val="24"/>
          <w:szCs w:val="24"/>
        </w:rPr>
        <w:t xml:space="preserve"> lower </w:t>
      </w:r>
      <w:r w:rsidR="00262D41" w:rsidRPr="00020413">
        <w:rPr>
          <w:rFonts w:ascii="Times New Roman" w:hAnsi="Times New Roman"/>
          <w:sz w:val="24"/>
          <w:szCs w:val="24"/>
        </w:rPr>
        <w:t>loan default rate</w:t>
      </w:r>
      <w:r w:rsidR="00136B63" w:rsidRPr="00020413">
        <w:rPr>
          <w:rFonts w:ascii="Times New Roman" w:hAnsi="Times New Roman"/>
          <w:sz w:val="24"/>
          <w:szCs w:val="24"/>
        </w:rPr>
        <w:t xml:space="preserve"> for borrowers</w:t>
      </w:r>
      <w:r w:rsidR="00C35996" w:rsidRPr="00020413">
        <w:rPr>
          <w:rFonts w:ascii="Times New Roman" w:hAnsi="Times New Roman"/>
          <w:sz w:val="24"/>
          <w:szCs w:val="24"/>
        </w:rPr>
        <w:t xml:space="preserve"> </w:t>
      </w:r>
      <w:r w:rsidR="00AB075A" w:rsidRPr="00020413">
        <w:rPr>
          <w:rFonts w:ascii="Times New Roman" w:hAnsi="Times New Roman"/>
          <w:sz w:val="24"/>
          <w:szCs w:val="24"/>
        </w:rPr>
        <w:t>in</w:t>
      </w:r>
      <w:r w:rsidR="00C35996" w:rsidRPr="00020413">
        <w:rPr>
          <w:rFonts w:ascii="Times New Roman" w:hAnsi="Times New Roman"/>
          <w:sz w:val="24"/>
          <w:szCs w:val="24"/>
        </w:rPr>
        <w:t xml:space="preserve"> developing countries</w:t>
      </w:r>
      <w:r w:rsidR="00A7790F" w:rsidRPr="00020413">
        <w:rPr>
          <w:rFonts w:ascii="Times New Roman" w:hAnsi="Times New Roman"/>
          <w:sz w:val="24"/>
          <w:szCs w:val="24"/>
        </w:rPr>
        <w:t>,</w:t>
      </w:r>
      <w:r w:rsidR="00C35996" w:rsidRPr="00020413">
        <w:rPr>
          <w:rFonts w:ascii="Times New Roman" w:hAnsi="Times New Roman"/>
          <w:sz w:val="24"/>
          <w:szCs w:val="24"/>
        </w:rPr>
        <w:t xml:space="preserve"> </w:t>
      </w:r>
      <w:r w:rsidR="007411C6" w:rsidRPr="00020413">
        <w:rPr>
          <w:rFonts w:ascii="Times New Roman" w:hAnsi="Times New Roman"/>
          <w:sz w:val="24"/>
          <w:szCs w:val="24"/>
        </w:rPr>
        <w:t xml:space="preserve">where </w:t>
      </w:r>
      <w:r w:rsidR="0071542C" w:rsidRPr="00020413">
        <w:rPr>
          <w:rFonts w:ascii="Times New Roman" w:hAnsi="Times New Roman"/>
          <w:sz w:val="24"/>
          <w:szCs w:val="24"/>
        </w:rPr>
        <w:t>institutional voids make adverse selections and moral hazards severe problems for banks.</w:t>
      </w:r>
      <w:r w:rsidR="00646C25" w:rsidRPr="00020413">
        <w:rPr>
          <w:rFonts w:ascii="Times New Roman" w:hAnsi="Times New Roman"/>
          <w:sz w:val="24"/>
          <w:szCs w:val="24"/>
        </w:rPr>
        <w:t xml:space="preserve"> </w:t>
      </w:r>
      <w:r w:rsidR="00A47C66" w:rsidRPr="00020413">
        <w:rPr>
          <w:rFonts w:ascii="Times New Roman" w:hAnsi="Times New Roman"/>
          <w:sz w:val="24"/>
          <w:szCs w:val="24"/>
        </w:rPr>
        <w:t xml:space="preserve">Therefore, the promotion of credit information sharing schemes across developing economies seems to be a step in the right direction since it has the potential to improve the balance sheets of banks, boost lending and even make the financial system more stable. However, in order to reap greater benefits from information sharing, countries with highly concentrated banking markets may need to take steps to increase competition, and perhaps reduce the risk of inefficient lending. </w:t>
      </w:r>
      <w:r w:rsidR="004F6E35" w:rsidRPr="00020413">
        <w:rPr>
          <w:rFonts w:ascii="Times New Roman" w:hAnsi="Times New Roman"/>
          <w:sz w:val="24"/>
          <w:szCs w:val="24"/>
        </w:rPr>
        <w:t xml:space="preserve"> </w:t>
      </w:r>
    </w:p>
    <w:p w:rsidR="00DB77D0" w:rsidRPr="00020413" w:rsidRDefault="00FB3ACF" w:rsidP="007D6976">
      <w:pPr>
        <w:spacing w:after="120" w:line="360" w:lineRule="auto"/>
        <w:jc w:val="both"/>
        <w:rPr>
          <w:rFonts w:ascii="Times New Roman" w:hAnsi="Times New Roman"/>
          <w:sz w:val="24"/>
          <w:szCs w:val="24"/>
        </w:rPr>
      </w:pPr>
      <w:r>
        <w:rPr>
          <w:rFonts w:ascii="Times New Roman" w:hAnsi="Times New Roman"/>
          <w:sz w:val="24"/>
          <w:szCs w:val="24"/>
        </w:rPr>
        <w:t>A</w:t>
      </w:r>
      <w:r w:rsidR="00B571BF" w:rsidRPr="00020413">
        <w:rPr>
          <w:rFonts w:ascii="Times New Roman" w:hAnsi="Times New Roman"/>
          <w:sz w:val="24"/>
          <w:szCs w:val="24"/>
        </w:rPr>
        <w:t xml:space="preserve">lthough </w:t>
      </w:r>
      <w:r w:rsidR="00AB075A" w:rsidRPr="00020413">
        <w:rPr>
          <w:rFonts w:ascii="Times New Roman" w:hAnsi="Times New Roman"/>
          <w:sz w:val="24"/>
          <w:szCs w:val="24"/>
        </w:rPr>
        <w:t xml:space="preserve">our study </w:t>
      </w:r>
      <w:r w:rsidR="005208AF" w:rsidRPr="00020413">
        <w:rPr>
          <w:rFonts w:ascii="Times New Roman" w:hAnsi="Times New Roman"/>
          <w:sz w:val="24"/>
          <w:szCs w:val="24"/>
        </w:rPr>
        <w:t xml:space="preserve">employs a large dataset comprising </w:t>
      </w:r>
      <w:r w:rsidR="00C9343F" w:rsidRPr="00020413">
        <w:rPr>
          <w:rFonts w:ascii="Times New Roman" w:hAnsi="Times New Roman"/>
          <w:sz w:val="24"/>
          <w:szCs w:val="24"/>
        </w:rPr>
        <w:t>bank</w:t>
      </w:r>
      <w:r w:rsidR="005208AF" w:rsidRPr="00020413">
        <w:rPr>
          <w:rFonts w:ascii="Times New Roman" w:hAnsi="Times New Roman"/>
          <w:sz w:val="24"/>
          <w:szCs w:val="24"/>
        </w:rPr>
        <w:t xml:space="preserve">-level data from </w:t>
      </w:r>
      <w:proofErr w:type="spellStart"/>
      <w:r w:rsidR="005208AF" w:rsidRPr="00020413">
        <w:rPr>
          <w:rFonts w:ascii="Times New Roman" w:hAnsi="Times New Roman"/>
          <w:sz w:val="24"/>
          <w:szCs w:val="24"/>
        </w:rPr>
        <w:t>BankScope</w:t>
      </w:r>
      <w:proofErr w:type="spellEnd"/>
      <w:r w:rsidR="005208AF" w:rsidRPr="00020413">
        <w:rPr>
          <w:rFonts w:ascii="Times New Roman" w:hAnsi="Times New Roman"/>
          <w:sz w:val="24"/>
          <w:szCs w:val="24"/>
        </w:rPr>
        <w:t xml:space="preserve"> and country-level data from the World Bank</w:t>
      </w:r>
      <w:r w:rsidR="00A7790F" w:rsidRPr="00020413">
        <w:rPr>
          <w:rFonts w:ascii="Times New Roman" w:hAnsi="Times New Roman"/>
          <w:sz w:val="24"/>
          <w:szCs w:val="24"/>
        </w:rPr>
        <w:t xml:space="preserve"> with highly robust results</w:t>
      </w:r>
      <w:r w:rsidR="005208AF" w:rsidRPr="00020413">
        <w:rPr>
          <w:rFonts w:ascii="Times New Roman" w:hAnsi="Times New Roman"/>
          <w:sz w:val="24"/>
          <w:szCs w:val="24"/>
        </w:rPr>
        <w:t>, our findings may</w:t>
      </w:r>
      <w:r>
        <w:rPr>
          <w:rFonts w:ascii="Times New Roman" w:hAnsi="Times New Roman"/>
          <w:sz w:val="24"/>
          <w:szCs w:val="24"/>
        </w:rPr>
        <w:t>, however,</w:t>
      </w:r>
      <w:r w:rsidR="005208AF" w:rsidRPr="00020413">
        <w:rPr>
          <w:rFonts w:ascii="Times New Roman" w:hAnsi="Times New Roman"/>
          <w:sz w:val="24"/>
          <w:szCs w:val="24"/>
        </w:rPr>
        <w:t xml:space="preserve"> be limited by the errors and omissions of these data sources. For instance, </w:t>
      </w:r>
      <w:r w:rsidR="0044749D" w:rsidRPr="00020413">
        <w:rPr>
          <w:rFonts w:ascii="Times New Roman" w:hAnsi="Times New Roman"/>
          <w:sz w:val="24"/>
          <w:szCs w:val="24"/>
        </w:rPr>
        <w:t xml:space="preserve">Bhattacharya (2003) points out that </w:t>
      </w:r>
      <w:r w:rsidR="00C37518" w:rsidRPr="00020413">
        <w:rPr>
          <w:rFonts w:ascii="Times New Roman" w:hAnsi="Times New Roman"/>
          <w:sz w:val="24"/>
          <w:szCs w:val="24"/>
        </w:rPr>
        <w:t xml:space="preserve">the </w:t>
      </w:r>
      <w:proofErr w:type="spellStart"/>
      <w:r w:rsidR="0044749D" w:rsidRPr="00020413">
        <w:rPr>
          <w:rFonts w:ascii="Times New Roman" w:hAnsi="Times New Roman"/>
          <w:sz w:val="24"/>
          <w:szCs w:val="24"/>
        </w:rPr>
        <w:t>BankScope</w:t>
      </w:r>
      <w:proofErr w:type="spellEnd"/>
      <w:r w:rsidR="0044749D" w:rsidRPr="00020413">
        <w:rPr>
          <w:rFonts w:ascii="Times New Roman" w:hAnsi="Times New Roman"/>
          <w:sz w:val="24"/>
          <w:szCs w:val="24"/>
        </w:rPr>
        <w:t xml:space="preserve"> database suffers from selectivity bias</w:t>
      </w:r>
      <w:r w:rsidR="007A55A9" w:rsidRPr="00020413">
        <w:rPr>
          <w:rFonts w:ascii="Times New Roman" w:hAnsi="Times New Roman"/>
          <w:sz w:val="24"/>
          <w:szCs w:val="24"/>
        </w:rPr>
        <w:t>, and</w:t>
      </w:r>
      <w:r w:rsidR="0044749D" w:rsidRPr="00020413">
        <w:rPr>
          <w:rFonts w:ascii="Times New Roman" w:hAnsi="Times New Roman"/>
          <w:sz w:val="24"/>
          <w:szCs w:val="24"/>
        </w:rPr>
        <w:t xml:space="preserve"> particularly in its coverage of firms in developing countries in that it almost completely omits rural and foreign banks. Given the focus of our analysis on developing countries, it is likely that our results apply more to domestic and commercial banks in urban centres, and generalisation to other banks should be </w:t>
      </w:r>
      <w:r w:rsidR="00C37518" w:rsidRPr="00020413">
        <w:rPr>
          <w:rFonts w:ascii="Times New Roman" w:hAnsi="Times New Roman"/>
          <w:sz w:val="24"/>
          <w:szCs w:val="24"/>
        </w:rPr>
        <w:t xml:space="preserve">carried out </w:t>
      </w:r>
      <w:r w:rsidR="0044749D" w:rsidRPr="00020413">
        <w:rPr>
          <w:rFonts w:ascii="Times New Roman" w:hAnsi="Times New Roman"/>
          <w:sz w:val="24"/>
          <w:szCs w:val="24"/>
        </w:rPr>
        <w:t>with caution. Future studies can</w:t>
      </w:r>
      <w:r w:rsidR="00A7790F" w:rsidRPr="00020413">
        <w:rPr>
          <w:rFonts w:ascii="Times New Roman" w:hAnsi="Times New Roman"/>
          <w:sz w:val="24"/>
          <w:szCs w:val="24"/>
        </w:rPr>
        <w:t>,</w:t>
      </w:r>
      <w:r w:rsidR="0044749D" w:rsidRPr="00020413">
        <w:rPr>
          <w:rFonts w:ascii="Times New Roman" w:hAnsi="Times New Roman"/>
          <w:sz w:val="24"/>
          <w:szCs w:val="24"/>
        </w:rPr>
        <w:t xml:space="preserve"> however</w:t>
      </w:r>
      <w:r w:rsidR="00A7790F" w:rsidRPr="00020413">
        <w:rPr>
          <w:rFonts w:ascii="Times New Roman" w:hAnsi="Times New Roman"/>
          <w:sz w:val="24"/>
          <w:szCs w:val="24"/>
        </w:rPr>
        <w:t>,</w:t>
      </w:r>
      <w:r w:rsidR="0044749D" w:rsidRPr="00020413">
        <w:rPr>
          <w:rFonts w:ascii="Times New Roman" w:hAnsi="Times New Roman"/>
          <w:sz w:val="24"/>
          <w:szCs w:val="24"/>
        </w:rPr>
        <w:t xml:space="preserve"> extend our analysis specifically to rural and foreign banks to see how information sharing influences the l</w:t>
      </w:r>
      <w:r w:rsidR="00D55D24" w:rsidRPr="00020413">
        <w:rPr>
          <w:rFonts w:ascii="Times New Roman" w:hAnsi="Times New Roman"/>
          <w:sz w:val="24"/>
          <w:szCs w:val="24"/>
        </w:rPr>
        <w:t xml:space="preserve">ending outcomes of such banks. </w:t>
      </w:r>
      <w:r w:rsidR="005845C8" w:rsidRPr="00020413">
        <w:rPr>
          <w:rFonts w:asciiTheme="majorBidi" w:hAnsiTheme="majorBidi" w:cstheme="majorBidi"/>
          <w:sz w:val="24"/>
          <w:szCs w:val="24"/>
        </w:rPr>
        <w:t>Similarly,</w:t>
      </w:r>
      <w:r w:rsidR="00101B0A" w:rsidRPr="00020413">
        <w:rPr>
          <w:rFonts w:asciiTheme="majorBidi" w:hAnsiTheme="majorBidi" w:cstheme="majorBidi"/>
          <w:sz w:val="24"/>
          <w:szCs w:val="24"/>
        </w:rPr>
        <w:t xml:space="preserve"> </w:t>
      </w:r>
      <w:r w:rsidR="004F6E35" w:rsidRPr="00020413">
        <w:rPr>
          <w:rFonts w:asciiTheme="majorBidi" w:hAnsiTheme="majorBidi" w:cstheme="majorBidi"/>
          <w:sz w:val="24"/>
          <w:szCs w:val="24"/>
        </w:rPr>
        <w:t>as with</w:t>
      </w:r>
      <w:r w:rsidR="00101B0A" w:rsidRPr="00020413">
        <w:rPr>
          <w:rFonts w:asciiTheme="majorBidi" w:hAnsiTheme="majorBidi" w:cstheme="majorBidi"/>
          <w:sz w:val="24"/>
          <w:szCs w:val="24"/>
        </w:rPr>
        <w:t xml:space="preserve"> archival studies of this nature, our measures for </w:t>
      </w:r>
      <w:r w:rsidR="007D6976" w:rsidRPr="00020413">
        <w:rPr>
          <w:rFonts w:asciiTheme="majorBidi" w:hAnsiTheme="majorBidi" w:cstheme="majorBidi"/>
          <w:sz w:val="24"/>
          <w:szCs w:val="24"/>
        </w:rPr>
        <w:t>credit information sharing, loan default rate</w:t>
      </w:r>
      <w:r w:rsidR="004106A4" w:rsidRPr="00020413">
        <w:rPr>
          <w:rFonts w:asciiTheme="majorBidi" w:hAnsiTheme="majorBidi" w:cstheme="majorBidi"/>
          <w:sz w:val="24"/>
          <w:szCs w:val="24"/>
        </w:rPr>
        <w:t>s, banking market concentration</w:t>
      </w:r>
      <w:r w:rsidR="007D6976" w:rsidRPr="00020413">
        <w:rPr>
          <w:rFonts w:asciiTheme="majorBidi" w:hAnsiTheme="majorBidi" w:cstheme="majorBidi"/>
          <w:sz w:val="24"/>
          <w:szCs w:val="24"/>
        </w:rPr>
        <w:t xml:space="preserve"> and governance quality</w:t>
      </w:r>
      <w:r w:rsidR="00101B0A" w:rsidRPr="00020413">
        <w:rPr>
          <w:rFonts w:asciiTheme="majorBidi" w:hAnsiTheme="majorBidi" w:cstheme="majorBidi"/>
          <w:sz w:val="24"/>
          <w:szCs w:val="24"/>
        </w:rPr>
        <w:t xml:space="preserve">, amongst others, may or may not reflect practice. Future research </w:t>
      </w:r>
      <w:r w:rsidR="004F6E35" w:rsidRPr="00020413">
        <w:rPr>
          <w:rFonts w:asciiTheme="majorBidi" w:hAnsiTheme="majorBidi" w:cstheme="majorBidi"/>
          <w:sz w:val="24"/>
          <w:szCs w:val="24"/>
        </w:rPr>
        <w:t>can offer additional and nuanced</w:t>
      </w:r>
      <w:r w:rsidR="00101B0A" w:rsidRPr="00020413">
        <w:rPr>
          <w:rFonts w:asciiTheme="majorBidi" w:hAnsiTheme="majorBidi" w:cstheme="majorBidi"/>
          <w:sz w:val="24"/>
          <w:szCs w:val="24"/>
        </w:rPr>
        <w:t xml:space="preserve"> insights by conducting</w:t>
      </w:r>
      <w:r w:rsidR="00101B0A" w:rsidRPr="00020413">
        <w:rPr>
          <w:rFonts w:ascii="Times New Roman" w:hAnsi="Times New Roman"/>
          <w:sz w:val="24"/>
          <w:szCs w:val="24"/>
        </w:rPr>
        <w:t xml:space="preserve"> in-depth interviews and surveys with bankers and regulatory bodies regarding these issues.  </w:t>
      </w:r>
    </w:p>
    <w:p w:rsidR="00D55D24" w:rsidRPr="00020413" w:rsidRDefault="00D55D24" w:rsidP="00D55D24">
      <w:pPr>
        <w:spacing w:after="120" w:line="360" w:lineRule="auto"/>
        <w:jc w:val="both"/>
        <w:rPr>
          <w:rFonts w:ascii="Times New Roman" w:hAnsi="Times New Roman"/>
          <w:sz w:val="24"/>
          <w:szCs w:val="24"/>
        </w:rPr>
      </w:pPr>
    </w:p>
    <w:p w:rsidR="00FB57FB" w:rsidRDefault="00FB57FB" w:rsidP="00D55D24">
      <w:pPr>
        <w:spacing w:after="120" w:line="360" w:lineRule="auto"/>
        <w:jc w:val="both"/>
        <w:rPr>
          <w:rFonts w:ascii="Times New Roman" w:hAnsi="Times New Roman"/>
          <w:sz w:val="24"/>
          <w:szCs w:val="24"/>
        </w:rPr>
      </w:pPr>
    </w:p>
    <w:p w:rsidR="00327198" w:rsidRPr="00020413" w:rsidRDefault="00327198" w:rsidP="00D55D24">
      <w:pPr>
        <w:spacing w:after="120" w:line="360" w:lineRule="auto"/>
        <w:jc w:val="both"/>
        <w:rPr>
          <w:rFonts w:ascii="Times New Roman" w:hAnsi="Times New Roman"/>
          <w:sz w:val="24"/>
          <w:szCs w:val="24"/>
        </w:rPr>
      </w:pPr>
    </w:p>
    <w:p w:rsidR="00453908" w:rsidRPr="00020413" w:rsidRDefault="00453908" w:rsidP="00D55D24">
      <w:pPr>
        <w:spacing w:after="120" w:line="360" w:lineRule="auto"/>
        <w:jc w:val="both"/>
        <w:rPr>
          <w:rFonts w:ascii="Times New Roman" w:hAnsi="Times New Roman"/>
          <w:b/>
          <w:sz w:val="24"/>
          <w:szCs w:val="24"/>
        </w:rPr>
      </w:pPr>
      <w:r w:rsidRPr="00020413">
        <w:rPr>
          <w:rFonts w:ascii="Times New Roman" w:hAnsi="Times New Roman"/>
          <w:b/>
          <w:sz w:val="24"/>
          <w:szCs w:val="24"/>
        </w:rPr>
        <w:t>Appendix</w:t>
      </w:r>
      <w:r w:rsidR="003957EA" w:rsidRPr="00020413">
        <w:rPr>
          <w:rFonts w:ascii="Times New Roman" w:hAnsi="Times New Roman"/>
          <w:b/>
          <w:sz w:val="24"/>
          <w:szCs w:val="24"/>
        </w:rPr>
        <w:t xml:space="preserve"> 1</w:t>
      </w:r>
    </w:p>
    <w:p w:rsidR="003957EA" w:rsidRPr="00020413" w:rsidRDefault="003957EA" w:rsidP="003957EA">
      <w:pPr>
        <w:spacing w:after="120" w:line="360" w:lineRule="auto"/>
        <w:jc w:val="center"/>
        <w:rPr>
          <w:rFonts w:ascii="Times New Roman" w:hAnsi="Times New Roman"/>
          <w:b/>
          <w:sz w:val="28"/>
          <w:szCs w:val="24"/>
        </w:rPr>
      </w:pPr>
      <w:r w:rsidRPr="00020413">
        <w:rPr>
          <w:rFonts w:ascii="Times New Roman" w:hAnsi="Times New Roman"/>
          <w:b/>
          <w:sz w:val="28"/>
          <w:szCs w:val="24"/>
        </w:rPr>
        <w:t>[</w:t>
      </w:r>
      <w:r w:rsidR="004C748C" w:rsidRPr="00020413">
        <w:rPr>
          <w:rFonts w:ascii="Times New Roman" w:hAnsi="Times New Roman"/>
          <w:b/>
          <w:sz w:val="28"/>
          <w:szCs w:val="24"/>
        </w:rPr>
        <w:t>Fig</w:t>
      </w:r>
      <w:r w:rsidR="00A82F80" w:rsidRPr="00020413">
        <w:rPr>
          <w:rFonts w:ascii="Times New Roman" w:hAnsi="Times New Roman"/>
          <w:b/>
          <w:sz w:val="28"/>
          <w:szCs w:val="24"/>
        </w:rPr>
        <w:t>ure</w:t>
      </w:r>
      <w:r w:rsidR="004C748C" w:rsidRPr="00020413">
        <w:rPr>
          <w:rFonts w:ascii="Times New Roman" w:hAnsi="Times New Roman"/>
          <w:b/>
          <w:sz w:val="28"/>
          <w:szCs w:val="24"/>
        </w:rPr>
        <w:t xml:space="preserve"> </w:t>
      </w:r>
      <w:r w:rsidRPr="00020413">
        <w:rPr>
          <w:rFonts w:ascii="Times New Roman" w:hAnsi="Times New Roman"/>
          <w:b/>
          <w:sz w:val="28"/>
          <w:szCs w:val="24"/>
        </w:rPr>
        <w:t>1 about here]</w:t>
      </w:r>
    </w:p>
    <w:p w:rsidR="003957EA" w:rsidRPr="00020413" w:rsidRDefault="003957EA" w:rsidP="00D55D24">
      <w:pPr>
        <w:spacing w:after="120" w:line="360" w:lineRule="auto"/>
        <w:jc w:val="both"/>
        <w:rPr>
          <w:rFonts w:ascii="Times New Roman" w:hAnsi="Times New Roman"/>
          <w:b/>
          <w:sz w:val="24"/>
          <w:szCs w:val="24"/>
        </w:rPr>
      </w:pPr>
    </w:p>
    <w:p w:rsidR="004C748C" w:rsidRPr="00020413" w:rsidRDefault="004C748C" w:rsidP="004C748C">
      <w:pPr>
        <w:spacing w:after="120" w:line="360" w:lineRule="auto"/>
        <w:jc w:val="both"/>
        <w:rPr>
          <w:rFonts w:ascii="Times New Roman" w:hAnsi="Times New Roman"/>
          <w:b/>
          <w:sz w:val="24"/>
          <w:szCs w:val="24"/>
        </w:rPr>
      </w:pPr>
      <w:r w:rsidRPr="00020413">
        <w:rPr>
          <w:rFonts w:ascii="Times New Roman" w:hAnsi="Times New Roman"/>
          <w:b/>
          <w:sz w:val="24"/>
          <w:szCs w:val="24"/>
        </w:rPr>
        <w:lastRenderedPageBreak/>
        <w:t>Appendix 2</w:t>
      </w:r>
    </w:p>
    <w:p w:rsidR="004C748C" w:rsidRPr="00020413" w:rsidRDefault="004C748C" w:rsidP="004C748C">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[Table </w:t>
      </w:r>
      <w:r w:rsidR="00C071FB" w:rsidRPr="00020413">
        <w:rPr>
          <w:rFonts w:ascii="Times New Roman" w:hAnsi="Times New Roman"/>
          <w:b/>
          <w:sz w:val="28"/>
          <w:szCs w:val="24"/>
        </w:rPr>
        <w:t>1</w:t>
      </w:r>
      <w:r w:rsidR="00403678" w:rsidRPr="00020413">
        <w:rPr>
          <w:rFonts w:ascii="Times New Roman" w:hAnsi="Times New Roman"/>
          <w:b/>
          <w:sz w:val="28"/>
          <w:szCs w:val="24"/>
        </w:rPr>
        <w:t>2</w:t>
      </w:r>
      <w:r w:rsidRPr="00020413">
        <w:rPr>
          <w:rFonts w:ascii="Times New Roman" w:hAnsi="Times New Roman"/>
          <w:b/>
          <w:sz w:val="28"/>
          <w:szCs w:val="24"/>
        </w:rPr>
        <w:t xml:space="preserve"> about here]</w:t>
      </w:r>
    </w:p>
    <w:p w:rsidR="004C748C" w:rsidRPr="00020413" w:rsidRDefault="004C748C" w:rsidP="00D55D24">
      <w:pPr>
        <w:spacing w:after="120" w:line="360" w:lineRule="auto"/>
        <w:jc w:val="both"/>
        <w:rPr>
          <w:rFonts w:ascii="Times New Roman" w:hAnsi="Times New Roman"/>
          <w:b/>
          <w:sz w:val="24"/>
          <w:szCs w:val="24"/>
        </w:rPr>
      </w:pPr>
    </w:p>
    <w:p w:rsidR="003957EA" w:rsidRPr="00020413" w:rsidRDefault="003957EA" w:rsidP="00D55D24">
      <w:pPr>
        <w:spacing w:after="120" w:line="360" w:lineRule="auto"/>
        <w:jc w:val="both"/>
        <w:rPr>
          <w:rFonts w:ascii="Times New Roman" w:hAnsi="Times New Roman"/>
          <w:b/>
          <w:sz w:val="24"/>
          <w:szCs w:val="24"/>
        </w:rPr>
      </w:pPr>
      <w:r w:rsidRPr="00020413">
        <w:rPr>
          <w:rFonts w:ascii="Times New Roman" w:hAnsi="Times New Roman"/>
          <w:b/>
          <w:sz w:val="24"/>
          <w:szCs w:val="24"/>
        </w:rPr>
        <w:t xml:space="preserve">Appendix </w:t>
      </w:r>
      <w:r w:rsidR="004C748C" w:rsidRPr="00020413">
        <w:rPr>
          <w:rFonts w:ascii="Times New Roman" w:hAnsi="Times New Roman"/>
          <w:b/>
          <w:sz w:val="24"/>
          <w:szCs w:val="24"/>
        </w:rPr>
        <w:t>3</w:t>
      </w:r>
    </w:p>
    <w:p w:rsidR="003957EA" w:rsidRPr="00020413" w:rsidRDefault="003957EA" w:rsidP="003957EA">
      <w:pPr>
        <w:spacing w:after="120" w:line="360" w:lineRule="auto"/>
        <w:jc w:val="center"/>
        <w:rPr>
          <w:rFonts w:ascii="Times New Roman" w:hAnsi="Times New Roman"/>
          <w:b/>
          <w:sz w:val="28"/>
          <w:szCs w:val="24"/>
        </w:rPr>
      </w:pPr>
      <w:r w:rsidRPr="00020413">
        <w:rPr>
          <w:rFonts w:ascii="Times New Roman" w:hAnsi="Times New Roman"/>
          <w:b/>
          <w:sz w:val="28"/>
          <w:szCs w:val="24"/>
        </w:rPr>
        <w:t xml:space="preserve">[Table </w:t>
      </w:r>
      <w:r w:rsidR="00C071FB" w:rsidRPr="00020413">
        <w:rPr>
          <w:rFonts w:ascii="Times New Roman" w:hAnsi="Times New Roman"/>
          <w:b/>
          <w:sz w:val="28"/>
          <w:szCs w:val="24"/>
        </w:rPr>
        <w:t>1</w:t>
      </w:r>
      <w:r w:rsidR="00403678" w:rsidRPr="00020413">
        <w:rPr>
          <w:rFonts w:ascii="Times New Roman" w:hAnsi="Times New Roman"/>
          <w:b/>
          <w:sz w:val="28"/>
          <w:szCs w:val="24"/>
        </w:rPr>
        <w:t>3</w:t>
      </w:r>
      <w:r w:rsidRPr="00020413">
        <w:rPr>
          <w:rFonts w:ascii="Times New Roman" w:hAnsi="Times New Roman"/>
          <w:b/>
          <w:sz w:val="28"/>
          <w:szCs w:val="24"/>
        </w:rPr>
        <w:t xml:space="preserve"> about here]</w:t>
      </w:r>
    </w:p>
    <w:p w:rsidR="00EE645C" w:rsidRPr="00020413" w:rsidRDefault="00EE645C" w:rsidP="00D55D24">
      <w:pPr>
        <w:spacing w:after="120" w:line="360" w:lineRule="auto"/>
        <w:jc w:val="both"/>
        <w:rPr>
          <w:rFonts w:ascii="Times New Roman" w:hAnsi="Times New Roman"/>
          <w:b/>
          <w:sz w:val="24"/>
          <w:szCs w:val="24"/>
        </w:rPr>
      </w:pPr>
    </w:p>
    <w:p w:rsidR="00D83F5F" w:rsidRPr="00683CB8" w:rsidRDefault="00D83F5F" w:rsidP="00683CB8">
      <w:pPr>
        <w:spacing w:line="360" w:lineRule="auto"/>
        <w:rPr>
          <w:rFonts w:ascii="Times New Roman" w:eastAsiaTheme="minorHAnsi" w:hAnsi="Times New Roman"/>
          <w:b/>
          <w:sz w:val="24"/>
          <w:szCs w:val="24"/>
        </w:rPr>
      </w:pPr>
      <w:r w:rsidRPr="00C80B34">
        <w:rPr>
          <w:rFonts w:ascii="Times New Roman" w:eastAsiaTheme="minorHAnsi" w:hAnsi="Times New Roman"/>
          <w:b/>
          <w:sz w:val="24"/>
          <w:szCs w:val="24"/>
        </w:rPr>
        <w:t>Acknowledgment</w:t>
      </w:r>
      <w:r w:rsidR="00683CB8">
        <w:rPr>
          <w:rFonts w:ascii="Times New Roman" w:eastAsiaTheme="minorHAnsi" w:hAnsi="Times New Roman"/>
          <w:b/>
          <w:sz w:val="24"/>
          <w:szCs w:val="24"/>
        </w:rPr>
        <w:t xml:space="preserve"> </w:t>
      </w:r>
      <w:r w:rsidRPr="007D1C98">
        <w:rPr>
          <w:rFonts w:ascii="Times New Roman" w:eastAsiaTheme="minorHAnsi" w:hAnsi="Times New Roman"/>
          <w:sz w:val="24"/>
          <w:szCs w:val="24"/>
        </w:rPr>
        <w:t xml:space="preserve">We thank </w:t>
      </w:r>
      <w:r w:rsidRPr="00DA2419">
        <w:rPr>
          <w:rFonts w:ascii="Times New Roman" w:eastAsiaTheme="minorHAnsi" w:hAnsi="Times New Roman"/>
          <w:sz w:val="24"/>
          <w:szCs w:val="24"/>
        </w:rPr>
        <w:t xml:space="preserve">Cheng-Few Lee </w:t>
      </w:r>
      <w:r w:rsidRPr="007D1C98">
        <w:rPr>
          <w:rFonts w:ascii="Times New Roman" w:eastAsiaTheme="minorHAnsi" w:hAnsi="Times New Roman"/>
          <w:sz w:val="24"/>
          <w:szCs w:val="24"/>
        </w:rPr>
        <w:t>(</w:t>
      </w:r>
      <w:r w:rsidRPr="009C16D2">
        <w:rPr>
          <w:rFonts w:ascii="Times New Roman" w:eastAsiaTheme="minorHAnsi" w:hAnsi="Times New Roman"/>
          <w:sz w:val="24"/>
          <w:szCs w:val="24"/>
        </w:rPr>
        <w:t>the Editor</w:t>
      </w:r>
      <w:r w:rsidRPr="007D1C98">
        <w:rPr>
          <w:rFonts w:ascii="Times New Roman" w:eastAsiaTheme="minorHAnsi" w:hAnsi="Times New Roman"/>
          <w:sz w:val="24"/>
          <w:szCs w:val="24"/>
        </w:rPr>
        <w:t xml:space="preserve">) and two anonymous referees for their invaluable comments. </w:t>
      </w:r>
      <w:r w:rsidRPr="007D1C98">
        <w:rPr>
          <w:rFonts w:ascii="Times New Roman" w:hAnsi="Times New Roman"/>
          <w:sz w:val="24"/>
          <w:szCs w:val="24"/>
        </w:rPr>
        <w:t>Samuel Fosu acknowledges, without implication, funding by the UK Economic and Social Research Council (ESRC) and the UK Department for International Development (DFID) under a research grant, ESRC Reference: ES/N013344/2, on ‘Delivering inclusive financial development and growth’.</w:t>
      </w:r>
    </w:p>
    <w:p w:rsidR="00651C5E" w:rsidRPr="00020413" w:rsidRDefault="00651C5E" w:rsidP="00D55D24">
      <w:pPr>
        <w:spacing w:after="120" w:line="360" w:lineRule="auto"/>
        <w:jc w:val="both"/>
        <w:rPr>
          <w:rFonts w:ascii="Times New Roman" w:hAnsi="Times New Roman"/>
          <w:sz w:val="24"/>
          <w:szCs w:val="24"/>
        </w:rPr>
      </w:pPr>
    </w:p>
    <w:p w:rsidR="00651C5E" w:rsidRPr="00020413" w:rsidRDefault="00651C5E" w:rsidP="00651C5E">
      <w:pPr>
        <w:widowControl w:val="0"/>
        <w:autoSpaceDE w:val="0"/>
        <w:autoSpaceDN w:val="0"/>
        <w:adjustRightInd w:val="0"/>
        <w:spacing w:after="0" w:line="240" w:lineRule="auto"/>
        <w:jc w:val="both"/>
        <w:rPr>
          <w:rFonts w:ascii="Times New Roman" w:hAnsi="Times New Roman"/>
          <w:b/>
          <w:sz w:val="24"/>
          <w:szCs w:val="24"/>
        </w:rPr>
      </w:pPr>
      <w:r w:rsidRPr="00020413">
        <w:rPr>
          <w:rFonts w:ascii="Times New Roman" w:hAnsi="Times New Roman"/>
          <w:b/>
          <w:sz w:val="24"/>
          <w:szCs w:val="24"/>
        </w:rPr>
        <w:t>References</w:t>
      </w:r>
    </w:p>
    <w:p w:rsidR="00651C5E" w:rsidRPr="00020413" w:rsidRDefault="00651C5E" w:rsidP="00651C5E">
      <w:pPr>
        <w:widowControl w:val="0"/>
        <w:autoSpaceDE w:val="0"/>
        <w:autoSpaceDN w:val="0"/>
        <w:adjustRightInd w:val="0"/>
        <w:spacing w:after="0" w:line="240" w:lineRule="auto"/>
        <w:jc w:val="both"/>
        <w:rPr>
          <w:rFonts w:ascii="Times New Roman" w:hAnsi="Times New Roman"/>
          <w:sz w:val="24"/>
          <w:szCs w:val="24"/>
        </w:rPr>
      </w:pPr>
      <w:r w:rsidRPr="00020413">
        <w:rPr>
          <w:rFonts w:ascii="Times New Roman" w:hAnsi="Times New Roman"/>
          <w:sz w:val="24"/>
          <w:szCs w:val="24"/>
        </w:rPr>
        <w:t>Acemoglu D, Johnson S (2005) Unbundling institutions. J Polit Econ 113:949–995</w:t>
      </w:r>
    </w:p>
    <w:p w:rsidR="00651C5E" w:rsidRPr="00020413" w:rsidRDefault="00651C5E" w:rsidP="00651C5E">
      <w:pPr>
        <w:autoSpaceDE w:val="0"/>
        <w:autoSpaceDN w:val="0"/>
        <w:adjustRightInd w:val="0"/>
        <w:spacing w:after="0" w:line="240" w:lineRule="auto"/>
        <w:jc w:val="both"/>
        <w:rPr>
          <w:rFonts w:ascii="Times New Roman" w:hAnsi="Times New Roman"/>
          <w:sz w:val="24"/>
          <w:szCs w:val="24"/>
          <w:lang w:eastAsia="en-GB"/>
        </w:rPr>
      </w:pPr>
      <w:r w:rsidRPr="00020413">
        <w:rPr>
          <w:rFonts w:ascii="Times New Roman" w:hAnsi="Times New Roman"/>
          <w:sz w:val="24"/>
          <w:szCs w:val="24"/>
          <w:lang w:eastAsia="en-GB"/>
        </w:rPr>
        <w:t xml:space="preserve">Acharya VV, </w:t>
      </w:r>
      <w:proofErr w:type="spellStart"/>
      <w:r w:rsidRPr="00020413">
        <w:rPr>
          <w:rFonts w:ascii="Times New Roman" w:hAnsi="Times New Roman"/>
          <w:sz w:val="24"/>
          <w:szCs w:val="24"/>
          <w:lang w:eastAsia="en-GB"/>
        </w:rPr>
        <w:t>Anginer</w:t>
      </w:r>
      <w:proofErr w:type="spellEnd"/>
      <w:r w:rsidRPr="00020413">
        <w:rPr>
          <w:rFonts w:ascii="Times New Roman" w:hAnsi="Times New Roman"/>
          <w:sz w:val="24"/>
          <w:szCs w:val="24"/>
          <w:lang w:eastAsia="en-GB"/>
        </w:rPr>
        <w:t xml:space="preserve"> D, Warburton AJ (2013) The end of market discipline? Investor     </w:t>
      </w:r>
    </w:p>
    <w:p w:rsidR="00651C5E" w:rsidRPr="00020413" w:rsidRDefault="00651C5E" w:rsidP="00651C5E">
      <w:pPr>
        <w:widowControl w:val="0"/>
        <w:autoSpaceDE w:val="0"/>
        <w:autoSpaceDN w:val="0"/>
        <w:adjustRightInd w:val="0"/>
        <w:spacing w:after="0" w:line="240" w:lineRule="auto"/>
        <w:ind w:left="720"/>
        <w:jc w:val="both"/>
        <w:rPr>
          <w:rFonts w:ascii="Times New Roman" w:hAnsi="Times New Roman"/>
          <w:sz w:val="24"/>
          <w:szCs w:val="24"/>
        </w:rPr>
      </w:pPr>
      <w:r w:rsidRPr="00020413">
        <w:rPr>
          <w:rFonts w:ascii="Times New Roman" w:hAnsi="Times New Roman"/>
          <w:sz w:val="24"/>
          <w:szCs w:val="24"/>
          <w:lang w:eastAsia="en-GB"/>
        </w:rPr>
        <w:t>expectations of implicit state guarantees, working Paper, New York University Stern School of Business</w:t>
      </w:r>
    </w:p>
    <w:p w:rsidR="00651C5E" w:rsidRPr="00020413" w:rsidRDefault="00651C5E" w:rsidP="00651C5E">
      <w:pPr>
        <w:widowControl w:val="0"/>
        <w:autoSpaceDE w:val="0"/>
        <w:autoSpaceDN w:val="0"/>
        <w:adjustRightInd w:val="0"/>
        <w:spacing w:after="0" w:line="240" w:lineRule="auto"/>
        <w:ind w:left="720" w:hanging="720"/>
        <w:jc w:val="both"/>
        <w:rPr>
          <w:rFonts w:ascii="Times New Roman" w:hAnsi="Times New Roman"/>
          <w:sz w:val="24"/>
          <w:szCs w:val="24"/>
        </w:rPr>
      </w:pPr>
      <w:r w:rsidRPr="00020413">
        <w:rPr>
          <w:rFonts w:ascii="Times New Roman" w:hAnsi="Times New Roman"/>
          <w:sz w:val="24"/>
          <w:szCs w:val="24"/>
          <w:lang w:val="en-US"/>
        </w:rPr>
        <w:t>Agyei-Boapeah H, Machokoto M (2018)</w:t>
      </w:r>
      <w:r w:rsidRPr="00020413">
        <w:rPr>
          <w:rFonts w:ascii="Times New Roman" w:hAnsi="Times New Roman"/>
          <w:b/>
          <w:sz w:val="24"/>
          <w:szCs w:val="24"/>
          <w:lang w:val="en-US"/>
        </w:rPr>
        <w:t xml:space="preserve"> </w:t>
      </w:r>
      <w:r w:rsidRPr="00020413">
        <w:rPr>
          <w:rFonts w:ascii="Times New Roman" w:hAnsi="Times New Roman"/>
          <w:sz w:val="24"/>
          <w:szCs w:val="24"/>
          <w:lang w:val="en-US"/>
        </w:rPr>
        <w:t xml:space="preserve">Allocation of internally generated corporate cash flow in Africa. J Account </w:t>
      </w:r>
      <w:proofErr w:type="spellStart"/>
      <w:r w:rsidRPr="00020413">
        <w:rPr>
          <w:rFonts w:ascii="Times New Roman" w:hAnsi="Times New Roman"/>
          <w:sz w:val="24"/>
          <w:szCs w:val="24"/>
          <w:lang w:val="en-US"/>
        </w:rPr>
        <w:t>Emerg</w:t>
      </w:r>
      <w:proofErr w:type="spellEnd"/>
      <w:r w:rsidRPr="00020413">
        <w:rPr>
          <w:rFonts w:ascii="Times New Roman" w:hAnsi="Times New Roman"/>
          <w:sz w:val="24"/>
          <w:szCs w:val="24"/>
          <w:lang w:val="en-US"/>
        </w:rPr>
        <w:t xml:space="preserve"> Econ 8(4):495-513.</w:t>
      </w:r>
    </w:p>
    <w:p w:rsidR="00651C5E" w:rsidRPr="00020413" w:rsidRDefault="00651C5E" w:rsidP="00651C5E">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Alonso-Borrego C, Arellano M (1999) Symmetrically normalized instrumental-variable </w:t>
      </w:r>
    </w:p>
    <w:p w:rsidR="00651C5E" w:rsidRPr="00020413" w:rsidRDefault="00651C5E" w:rsidP="00651C5E">
      <w:pPr>
        <w:widowControl w:val="0"/>
        <w:autoSpaceDE w:val="0"/>
        <w:autoSpaceDN w:val="0"/>
        <w:adjustRightInd w:val="0"/>
        <w:spacing w:after="0" w:line="240" w:lineRule="auto"/>
        <w:ind w:left="720"/>
        <w:jc w:val="both"/>
        <w:rPr>
          <w:rFonts w:ascii="Times New Roman" w:hAnsi="Times New Roman"/>
          <w:sz w:val="24"/>
          <w:szCs w:val="24"/>
        </w:rPr>
      </w:pPr>
      <w:r w:rsidRPr="00020413">
        <w:rPr>
          <w:rFonts w:ascii="Times New Roman" w:hAnsi="Times New Roman"/>
          <w:sz w:val="24"/>
          <w:szCs w:val="24"/>
          <w:shd w:val="clear" w:color="auto" w:fill="FFFFFF"/>
        </w:rPr>
        <w:t>estimation using panel data.</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Bus Econ Stat 17</w:t>
      </w:r>
      <w:r w:rsidRPr="00020413">
        <w:rPr>
          <w:rFonts w:ascii="Times New Roman" w:hAnsi="Times New Roman"/>
          <w:sz w:val="24"/>
          <w:szCs w:val="24"/>
          <w:shd w:val="clear" w:color="auto" w:fill="FFFFFF"/>
        </w:rPr>
        <w:t>:36-49</w:t>
      </w:r>
    </w:p>
    <w:p w:rsidR="00651C5E" w:rsidRPr="00020413" w:rsidRDefault="00651C5E" w:rsidP="00651C5E">
      <w:pPr>
        <w:autoSpaceDE w:val="0"/>
        <w:autoSpaceDN w:val="0"/>
        <w:adjustRightInd w:val="0"/>
        <w:spacing w:after="0" w:line="240" w:lineRule="auto"/>
        <w:jc w:val="both"/>
        <w:rPr>
          <w:rFonts w:ascii="Times New Roman" w:hAnsi="Times New Roman"/>
          <w:sz w:val="24"/>
          <w:szCs w:val="24"/>
        </w:rPr>
      </w:pPr>
      <w:proofErr w:type="spellStart"/>
      <w:r w:rsidRPr="00020413">
        <w:rPr>
          <w:rFonts w:ascii="Times New Roman" w:hAnsi="Times New Roman"/>
          <w:sz w:val="24"/>
          <w:szCs w:val="24"/>
        </w:rPr>
        <w:t>Altunbas</w:t>
      </w:r>
      <w:proofErr w:type="spellEnd"/>
      <w:r w:rsidRPr="00020413">
        <w:rPr>
          <w:rFonts w:ascii="Times New Roman" w:hAnsi="Times New Roman"/>
          <w:sz w:val="24"/>
          <w:szCs w:val="24"/>
        </w:rPr>
        <w:t xml:space="preserve"> Y, </w:t>
      </w:r>
      <w:proofErr w:type="spellStart"/>
      <w:r w:rsidRPr="00020413">
        <w:rPr>
          <w:rFonts w:ascii="Times New Roman" w:hAnsi="Times New Roman"/>
          <w:sz w:val="24"/>
          <w:szCs w:val="24"/>
        </w:rPr>
        <w:t>Gambacorta</w:t>
      </w:r>
      <w:proofErr w:type="spellEnd"/>
      <w:r w:rsidRPr="00020413">
        <w:rPr>
          <w:rFonts w:ascii="Times New Roman" w:hAnsi="Times New Roman"/>
          <w:sz w:val="24"/>
          <w:szCs w:val="24"/>
        </w:rPr>
        <w:t xml:space="preserve"> L, Marques-Ibanez D (2009) Securitisation and the bank</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lending channel. Eur Econ Rev 53:996–1009</w:t>
      </w:r>
    </w:p>
    <w:p w:rsidR="00651C5E" w:rsidRPr="00020413" w:rsidRDefault="00651C5E" w:rsidP="00651C5E">
      <w:pPr>
        <w:spacing w:after="0" w:line="240" w:lineRule="auto"/>
        <w:ind w:left="720" w:hanging="720"/>
        <w:jc w:val="both"/>
        <w:rPr>
          <w:rFonts w:ascii="Times New Roman" w:hAnsi="Times New Roman"/>
          <w:sz w:val="24"/>
          <w:szCs w:val="24"/>
        </w:rPr>
      </w:pPr>
      <w:proofErr w:type="spellStart"/>
      <w:r w:rsidRPr="00020413">
        <w:rPr>
          <w:rFonts w:ascii="Times New Roman" w:hAnsi="Times New Roman"/>
          <w:sz w:val="24"/>
          <w:szCs w:val="24"/>
        </w:rPr>
        <w:t>Amaeshi</w:t>
      </w:r>
      <w:proofErr w:type="spellEnd"/>
      <w:r w:rsidRPr="00020413">
        <w:rPr>
          <w:rFonts w:ascii="Times New Roman" w:hAnsi="Times New Roman"/>
          <w:sz w:val="24"/>
          <w:szCs w:val="24"/>
        </w:rPr>
        <w:t xml:space="preserve"> K, Adegbite E, </w:t>
      </w:r>
      <w:proofErr w:type="spellStart"/>
      <w:r w:rsidRPr="00020413">
        <w:rPr>
          <w:rFonts w:ascii="Times New Roman" w:hAnsi="Times New Roman"/>
          <w:sz w:val="24"/>
          <w:szCs w:val="24"/>
        </w:rPr>
        <w:t>Rajwani</w:t>
      </w:r>
      <w:proofErr w:type="spellEnd"/>
      <w:r w:rsidRPr="00020413">
        <w:rPr>
          <w:rFonts w:ascii="Times New Roman" w:hAnsi="Times New Roman"/>
          <w:sz w:val="24"/>
          <w:szCs w:val="24"/>
        </w:rPr>
        <w:t xml:space="preserve">, T (2016), Corporate social responsibility in challenging and non-enabling institutional contexts do institutional voids </w:t>
      </w:r>
      <w:proofErr w:type="gramStart"/>
      <w:r w:rsidRPr="00020413">
        <w:rPr>
          <w:rFonts w:ascii="Times New Roman" w:hAnsi="Times New Roman"/>
          <w:sz w:val="24"/>
          <w:szCs w:val="24"/>
        </w:rPr>
        <w:t>matter?,</w:t>
      </w:r>
      <w:proofErr w:type="gramEnd"/>
      <w:r w:rsidRPr="00020413">
        <w:rPr>
          <w:rFonts w:ascii="Times New Roman" w:hAnsi="Times New Roman"/>
          <w:sz w:val="24"/>
          <w:szCs w:val="24"/>
        </w:rPr>
        <w:t xml:space="preserve"> J Bus Ethics 134(1): 135-153.</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Andrianova</w:t>
      </w:r>
      <w:proofErr w:type="spellEnd"/>
      <w:r w:rsidRPr="00020413">
        <w:rPr>
          <w:rFonts w:ascii="Times New Roman" w:hAnsi="Times New Roman"/>
          <w:sz w:val="24"/>
          <w:szCs w:val="24"/>
          <w:shd w:val="clear" w:color="auto" w:fill="FFFFFF"/>
        </w:rPr>
        <w:t xml:space="preserve"> S, </w:t>
      </w:r>
      <w:proofErr w:type="spellStart"/>
      <w:r w:rsidRPr="00020413">
        <w:rPr>
          <w:rFonts w:ascii="Times New Roman" w:hAnsi="Times New Roman"/>
          <w:sz w:val="24"/>
          <w:szCs w:val="24"/>
          <w:shd w:val="clear" w:color="auto" w:fill="FFFFFF"/>
        </w:rPr>
        <w:t>Baltagi</w:t>
      </w:r>
      <w:proofErr w:type="spellEnd"/>
      <w:r w:rsidRPr="00020413">
        <w:rPr>
          <w:rFonts w:ascii="Times New Roman" w:hAnsi="Times New Roman"/>
          <w:sz w:val="24"/>
          <w:szCs w:val="24"/>
          <w:shd w:val="clear" w:color="auto" w:fill="FFFFFF"/>
        </w:rPr>
        <w:t xml:space="preserve"> B, </w:t>
      </w:r>
      <w:proofErr w:type="spellStart"/>
      <w:r w:rsidRPr="00020413">
        <w:rPr>
          <w:rFonts w:ascii="Times New Roman" w:hAnsi="Times New Roman"/>
          <w:sz w:val="24"/>
          <w:szCs w:val="24"/>
          <w:shd w:val="clear" w:color="auto" w:fill="FFFFFF"/>
        </w:rPr>
        <w:t>Demetriades</w:t>
      </w:r>
      <w:proofErr w:type="spellEnd"/>
      <w:r w:rsidRPr="00020413">
        <w:rPr>
          <w:rFonts w:ascii="Times New Roman" w:hAnsi="Times New Roman"/>
          <w:sz w:val="24"/>
          <w:szCs w:val="24"/>
          <w:shd w:val="clear" w:color="auto" w:fill="FFFFFF"/>
        </w:rPr>
        <w:t xml:space="preserve"> P, Fielding D (2015) Why do African banks lend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shd w:val="clear" w:color="auto" w:fill="FFFFFF"/>
        </w:rPr>
        <w:t>so little?</w:t>
      </w:r>
      <w:r w:rsidRPr="00020413">
        <w:rPr>
          <w:rStyle w:val="apple-converted-space"/>
          <w:rFonts w:ascii="Times New Roman" w:hAnsi="Times New Roman"/>
          <w:sz w:val="24"/>
          <w:szCs w:val="24"/>
          <w:shd w:val="clear" w:color="auto" w:fill="FFFFFF"/>
        </w:rPr>
        <w:t> </w:t>
      </w:r>
      <w:proofErr w:type="spellStart"/>
      <w:r w:rsidRPr="00020413">
        <w:rPr>
          <w:rFonts w:ascii="Times New Roman" w:hAnsi="Times New Roman"/>
          <w:iCs/>
          <w:sz w:val="24"/>
          <w:szCs w:val="24"/>
          <w:shd w:val="clear" w:color="auto" w:fill="FFFFFF"/>
        </w:rPr>
        <w:t>Oxf</w:t>
      </w:r>
      <w:proofErr w:type="spellEnd"/>
      <w:r w:rsidRPr="00020413">
        <w:rPr>
          <w:rFonts w:ascii="Times New Roman" w:hAnsi="Times New Roman"/>
          <w:iCs/>
          <w:sz w:val="24"/>
          <w:szCs w:val="24"/>
          <w:shd w:val="clear" w:color="auto" w:fill="FFFFFF"/>
        </w:rPr>
        <w:t xml:space="preserve"> Bull Econ Stat 77:</w:t>
      </w:r>
      <w:r w:rsidRPr="00020413">
        <w:rPr>
          <w:rFonts w:ascii="Times New Roman" w:hAnsi="Times New Roman"/>
          <w:sz w:val="24"/>
          <w:szCs w:val="24"/>
          <w:shd w:val="clear" w:color="auto" w:fill="FFFFFF"/>
        </w:rPr>
        <w:t>339-359</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Arellano M, Bond S (1991) Some tests of specification for panel data: Monte Carlo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shd w:val="clear" w:color="auto" w:fill="FFFFFF"/>
        </w:rPr>
        <w:t>evidence and an application to employment equations.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Rev Econ Stud 58:</w:t>
      </w:r>
      <w:r w:rsidRPr="00020413">
        <w:rPr>
          <w:rFonts w:ascii="Times New Roman" w:hAnsi="Times New Roman"/>
          <w:sz w:val="24"/>
          <w:szCs w:val="24"/>
          <w:shd w:val="clear" w:color="auto" w:fill="FFFFFF"/>
        </w:rPr>
        <w:t>277-297</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Arellano M,  </w:t>
      </w:r>
      <w:proofErr w:type="spellStart"/>
      <w:r w:rsidRPr="00020413">
        <w:rPr>
          <w:rFonts w:ascii="Times New Roman" w:hAnsi="Times New Roman"/>
          <w:sz w:val="24"/>
          <w:szCs w:val="24"/>
          <w:shd w:val="clear" w:color="auto" w:fill="FFFFFF"/>
        </w:rPr>
        <w:t>Bover</w:t>
      </w:r>
      <w:proofErr w:type="spellEnd"/>
      <w:r w:rsidRPr="00020413">
        <w:rPr>
          <w:rFonts w:ascii="Times New Roman" w:hAnsi="Times New Roman"/>
          <w:sz w:val="24"/>
          <w:szCs w:val="24"/>
          <w:shd w:val="clear" w:color="auto" w:fill="FFFFFF"/>
        </w:rPr>
        <w:t xml:space="preserve"> O (1995) Another look at the instrumental variable estimation of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error-components models.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Econometrics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68</w:t>
      </w:r>
      <w:r w:rsidRPr="00020413">
        <w:rPr>
          <w:rFonts w:ascii="Times New Roman" w:hAnsi="Times New Roman"/>
          <w:sz w:val="24"/>
          <w:szCs w:val="24"/>
          <w:shd w:val="clear" w:color="auto" w:fill="FFFFFF"/>
        </w:rPr>
        <w:t>:29-51</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Baltagi</w:t>
      </w:r>
      <w:proofErr w:type="spellEnd"/>
      <w:r w:rsidRPr="00020413">
        <w:rPr>
          <w:rFonts w:ascii="Times New Roman" w:hAnsi="Times New Roman"/>
          <w:sz w:val="24"/>
          <w:szCs w:val="24"/>
          <w:shd w:val="clear" w:color="auto" w:fill="FFFFFF"/>
        </w:rPr>
        <w:t xml:space="preserve"> BH, </w:t>
      </w:r>
      <w:proofErr w:type="spellStart"/>
      <w:r w:rsidRPr="00020413">
        <w:rPr>
          <w:rFonts w:ascii="Times New Roman" w:hAnsi="Times New Roman"/>
          <w:sz w:val="24"/>
          <w:szCs w:val="24"/>
          <w:shd w:val="clear" w:color="auto" w:fill="FFFFFF"/>
        </w:rPr>
        <w:t>Demetriades</w:t>
      </w:r>
      <w:proofErr w:type="spellEnd"/>
      <w:r w:rsidRPr="00020413">
        <w:rPr>
          <w:rFonts w:ascii="Times New Roman" w:hAnsi="Times New Roman"/>
          <w:sz w:val="24"/>
          <w:szCs w:val="24"/>
          <w:shd w:val="clear" w:color="auto" w:fill="FFFFFF"/>
        </w:rPr>
        <w:t xml:space="preserve"> PO, Law SH (2009) Financial development and openness: Evidence from panel data. </w:t>
      </w:r>
      <w:r w:rsidRPr="00020413">
        <w:rPr>
          <w:rFonts w:ascii="Times New Roman" w:hAnsi="Times New Roman"/>
          <w:iCs/>
          <w:sz w:val="24"/>
          <w:szCs w:val="24"/>
          <w:shd w:val="clear" w:color="auto" w:fill="FFFFFF"/>
        </w:rPr>
        <w:t>J Dev Econ 89</w:t>
      </w:r>
      <w:r w:rsidRPr="00020413">
        <w:rPr>
          <w:rFonts w:ascii="Times New Roman" w:hAnsi="Times New Roman"/>
          <w:sz w:val="24"/>
          <w:szCs w:val="24"/>
          <w:shd w:val="clear" w:color="auto" w:fill="FFFFFF"/>
        </w:rPr>
        <w:t>(2):285-296.</w:t>
      </w:r>
    </w:p>
    <w:p w:rsidR="00651C5E" w:rsidRPr="00020413" w:rsidRDefault="00651C5E" w:rsidP="00651C5E">
      <w:pPr>
        <w:spacing w:after="0" w:line="240" w:lineRule="auto"/>
        <w:ind w:left="720" w:hanging="720"/>
        <w:jc w:val="both"/>
        <w:rPr>
          <w:rFonts w:ascii="Times New Roman" w:hAnsi="Times New Roman"/>
          <w:bCs/>
          <w:sz w:val="24"/>
          <w:szCs w:val="24"/>
        </w:rPr>
      </w:pPr>
      <w:r w:rsidRPr="00020413">
        <w:rPr>
          <w:rFonts w:ascii="Times New Roman" w:hAnsi="Times New Roman"/>
          <w:sz w:val="24"/>
          <w:szCs w:val="24"/>
        </w:rPr>
        <w:t xml:space="preserve">Barley SR, </w:t>
      </w:r>
      <w:proofErr w:type="spellStart"/>
      <w:r w:rsidRPr="00020413">
        <w:rPr>
          <w:rFonts w:ascii="Times New Roman" w:hAnsi="Times New Roman"/>
          <w:sz w:val="24"/>
          <w:szCs w:val="24"/>
        </w:rPr>
        <w:t>Tolbet</w:t>
      </w:r>
      <w:proofErr w:type="spellEnd"/>
      <w:r w:rsidRPr="00020413">
        <w:rPr>
          <w:rFonts w:ascii="Times New Roman" w:hAnsi="Times New Roman"/>
          <w:sz w:val="24"/>
          <w:szCs w:val="24"/>
        </w:rPr>
        <w:t xml:space="preserve"> PS (1997) </w:t>
      </w:r>
      <w:r w:rsidRPr="00020413">
        <w:rPr>
          <w:rFonts w:ascii="Times New Roman" w:hAnsi="Times New Roman"/>
          <w:bCs/>
          <w:sz w:val="24"/>
          <w:szCs w:val="24"/>
        </w:rPr>
        <w:t>Institutionalization and Structuration: Studying the Links between Action and Institution. Organ Stud 18(1):93-117</w:t>
      </w:r>
    </w:p>
    <w:p w:rsidR="00651C5E" w:rsidRPr="00020413" w:rsidRDefault="00050B23" w:rsidP="00651C5E">
      <w:pPr>
        <w:spacing w:after="0" w:line="240" w:lineRule="auto"/>
        <w:ind w:left="720" w:hanging="720"/>
        <w:jc w:val="both"/>
        <w:rPr>
          <w:rFonts w:ascii="Times New Roman" w:hAnsi="Times New Roman"/>
          <w:bCs/>
          <w:sz w:val="24"/>
          <w:szCs w:val="24"/>
        </w:rPr>
      </w:pPr>
      <w:r w:rsidRPr="00020413">
        <w:rPr>
          <w:rFonts w:ascii="Times New Roman" w:hAnsi="Times New Roman"/>
          <w:bCs/>
          <w:sz w:val="24"/>
          <w:szCs w:val="24"/>
        </w:rPr>
        <w:t>Barth, JR, Lin, C, Lin, P, Song, F M</w:t>
      </w:r>
      <w:r w:rsidR="00651C5E" w:rsidRPr="00020413">
        <w:rPr>
          <w:rFonts w:ascii="Times New Roman" w:hAnsi="Times New Roman"/>
          <w:bCs/>
          <w:sz w:val="24"/>
          <w:szCs w:val="24"/>
        </w:rPr>
        <w:t xml:space="preserve"> (2009): Corruption in bank lending to firms: Cross-country micro evidence on the beneficial role of competition and information sharing. J </w:t>
      </w:r>
      <w:proofErr w:type="spellStart"/>
      <w:r w:rsidR="00651C5E" w:rsidRPr="00020413">
        <w:rPr>
          <w:rFonts w:ascii="Times New Roman" w:hAnsi="Times New Roman"/>
          <w:bCs/>
          <w:sz w:val="24"/>
          <w:szCs w:val="24"/>
        </w:rPr>
        <w:t>Financ</w:t>
      </w:r>
      <w:proofErr w:type="spellEnd"/>
      <w:r w:rsidR="00651C5E" w:rsidRPr="00020413">
        <w:rPr>
          <w:rFonts w:ascii="Times New Roman" w:hAnsi="Times New Roman"/>
          <w:bCs/>
          <w:sz w:val="24"/>
          <w:szCs w:val="24"/>
        </w:rPr>
        <w:t xml:space="preserve"> Econ  91(3):361-388</w:t>
      </w:r>
    </w:p>
    <w:p w:rsidR="00651C5E" w:rsidRPr="00020413" w:rsidRDefault="00050B23" w:rsidP="00651C5E">
      <w:pPr>
        <w:spacing w:after="0" w:line="240" w:lineRule="auto"/>
        <w:ind w:left="720" w:hanging="720"/>
        <w:jc w:val="both"/>
        <w:rPr>
          <w:rFonts w:ascii="Times New Roman" w:hAnsi="Times New Roman"/>
          <w:bCs/>
          <w:sz w:val="24"/>
          <w:szCs w:val="24"/>
        </w:rPr>
      </w:pPr>
      <w:r w:rsidRPr="00020413">
        <w:rPr>
          <w:rFonts w:ascii="Times New Roman" w:hAnsi="Times New Roman"/>
          <w:bCs/>
          <w:sz w:val="24"/>
          <w:szCs w:val="24"/>
        </w:rPr>
        <w:lastRenderedPageBreak/>
        <w:t>Barth, JR, Caprio Jr, G, Levine, R</w:t>
      </w:r>
      <w:r w:rsidR="00651C5E" w:rsidRPr="00020413">
        <w:rPr>
          <w:rFonts w:ascii="Times New Roman" w:hAnsi="Times New Roman"/>
          <w:bCs/>
          <w:sz w:val="24"/>
          <w:szCs w:val="24"/>
        </w:rPr>
        <w:t xml:space="preserve"> (2013) Bank Regulation and Supervision in 180 Countries from 1999 to 2011. J </w:t>
      </w:r>
      <w:proofErr w:type="spellStart"/>
      <w:r w:rsidR="00651C5E" w:rsidRPr="00020413">
        <w:rPr>
          <w:rFonts w:ascii="Times New Roman" w:hAnsi="Times New Roman"/>
          <w:bCs/>
          <w:sz w:val="24"/>
          <w:szCs w:val="24"/>
        </w:rPr>
        <w:t>Financ</w:t>
      </w:r>
      <w:proofErr w:type="spellEnd"/>
      <w:r w:rsidR="00651C5E" w:rsidRPr="00020413">
        <w:rPr>
          <w:rFonts w:ascii="Times New Roman" w:hAnsi="Times New Roman"/>
          <w:bCs/>
          <w:sz w:val="24"/>
          <w:szCs w:val="24"/>
        </w:rPr>
        <w:t xml:space="preserve"> Econ Policy 5(2): 111-219.</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Beck T, </w:t>
      </w:r>
      <w:proofErr w:type="spellStart"/>
      <w:r w:rsidRPr="00020413">
        <w:rPr>
          <w:rFonts w:ascii="Times New Roman" w:hAnsi="Times New Roman"/>
          <w:sz w:val="24"/>
          <w:szCs w:val="24"/>
        </w:rPr>
        <w:t>Demirgüç-Kunt</w:t>
      </w:r>
      <w:proofErr w:type="spellEnd"/>
      <w:r w:rsidRPr="00020413">
        <w:rPr>
          <w:rFonts w:ascii="Times New Roman" w:hAnsi="Times New Roman"/>
          <w:sz w:val="24"/>
          <w:szCs w:val="24"/>
        </w:rPr>
        <w:t xml:space="preserve"> A, Levine R (2006) Bank concentration, competition, and crises: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First results. </w:t>
      </w:r>
      <w:r w:rsidRPr="00020413">
        <w:rPr>
          <w:rFonts w:ascii="Times New Roman" w:hAnsi="Times New Roman"/>
          <w:iCs/>
          <w:sz w:val="24"/>
          <w:szCs w:val="24"/>
        </w:rPr>
        <w:t>J Bank Finance 30:</w:t>
      </w:r>
      <w:r w:rsidRPr="00020413">
        <w:rPr>
          <w:rFonts w:ascii="Times New Roman" w:hAnsi="Times New Roman"/>
          <w:sz w:val="24"/>
          <w:szCs w:val="24"/>
        </w:rPr>
        <w:t>1581-1603</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Beck T, </w:t>
      </w:r>
      <w:proofErr w:type="spellStart"/>
      <w:r w:rsidRPr="00020413">
        <w:rPr>
          <w:rFonts w:ascii="Times New Roman" w:hAnsi="Times New Roman"/>
          <w:sz w:val="24"/>
          <w:szCs w:val="24"/>
        </w:rPr>
        <w:t>Demirgüç-Kunt</w:t>
      </w:r>
      <w:proofErr w:type="spellEnd"/>
      <w:r w:rsidRPr="00020413">
        <w:rPr>
          <w:rFonts w:ascii="Times New Roman" w:hAnsi="Times New Roman"/>
          <w:sz w:val="24"/>
          <w:szCs w:val="24"/>
        </w:rPr>
        <w:t xml:space="preserve"> A, Levine R (2009) Financial institutions and markets across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countries and over time - Data and analysis. Policy research working paper series 4943. Washington, DC: World Bank</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Beck T, De </w:t>
      </w:r>
      <w:proofErr w:type="spellStart"/>
      <w:r w:rsidRPr="00020413">
        <w:rPr>
          <w:rFonts w:ascii="Times New Roman" w:hAnsi="Times New Roman"/>
          <w:sz w:val="24"/>
          <w:szCs w:val="24"/>
        </w:rPr>
        <w:t>Jonghe</w:t>
      </w:r>
      <w:proofErr w:type="spellEnd"/>
      <w:r w:rsidRPr="00020413">
        <w:rPr>
          <w:rFonts w:ascii="Times New Roman" w:hAnsi="Times New Roman"/>
          <w:sz w:val="24"/>
          <w:szCs w:val="24"/>
        </w:rPr>
        <w:t xml:space="preserve"> O, Schepens G (2013) Bank competition and stability: cross-country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heterogeneity. </w:t>
      </w:r>
      <w:r w:rsidRPr="00020413">
        <w:rPr>
          <w:rFonts w:ascii="Times New Roman" w:hAnsi="Times New Roman"/>
          <w:iCs/>
          <w:sz w:val="24"/>
          <w:szCs w:val="24"/>
        </w:rPr>
        <w:t xml:space="preserve">J </w:t>
      </w:r>
      <w:proofErr w:type="spellStart"/>
      <w:r w:rsidRPr="00020413">
        <w:rPr>
          <w:rFonts w:ascii="Times New Roman" w:hAnsi="Times New Roman"/>
          <w:iCs/>
          <w:sz w:val="24"/>
          <w:szCs w:val="24"/>
        </w:rPr>
        <w:t>Financ</w:t>
      </w:r>
      <w:proofErr w:type="spellEnd"/>
      <w:r w:rsidRPr="00020413">
        <w:rPr>
          <w:rFonts w:ascii="Times New Roman" w:hAnsi="Times New Roman"/>
          <w:iCs/>
          <w:sz w:val="24"/>
          <w:szCs w:val="24"/>
        </w:rPr>
        <w:t xml:space="preserve"> Intermediation</w:t>
      </w:r>
      <w:r w:rsidRPr="00020413">
        <w:rPr>
          <w:rFonts w:ascii="Times New Roman" w:hAnsi="Times New Roman"/>
          <w:sz w:val="24"/>
          <w:szCs w:val="24"/>
        </w:rPr>
        <w:t xml:space="preserve"> </w:t>
      </w:r>
      <w:r w:rsidRPr="00020413">
        <w:rPr>
          <w:rFonts w:ascii="Times New Roman" w:hAnsi="Times New Roman"/>
          <w:iCs/>
          <w:sz w:val="24"/>
          <w:szCs w:val="24"/>
        </w:rPr>
        <w:t>22</w:t>
      </w:r>
      <w:r w:rsidRPr="00020413">
        <w:rPr>
          <w:rFonts w:ascii="Times New Roman" w:hAnsi="Times New Roman"/>
          <w:sz w:val="24"/>
          <w:szCs w:val="24"/>
        </w:rPr>
        <w:t>:218-244</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Behr P, </w:t>
      </w:r>
      <w:proofErr w:type="spellStart"/>
      <w:r w:rsidRPr="00020413">
        <w:rPr>
          <w:rFonts w:ascii="Times New Roman" w:hAnsi="Times New Roman"/>
          <w:sz w:val="24"/>
          <w:szCs w:val="24"/>
          <w:shd w:val="clear" w:color="auto" w:fill="FFFFFF"/>
        </w:rPr>
        <w:t>Sonnekalb</w:t>
      </w:r>
      <w:proofErr w:type="spellEnd"/>
      <w:r w:rsidRPr="00020413">
        <w:rPr>
          <w:rFonts w:ascii="Times New Roman" w:hAnsi="Times New Roman"/>
          <w:sz w:val="24"/>
          <w:szCs w:val="24"/>
          <w:shd w:val="clear" w:color="auto" w:fill="FFFFFF"/>
        </w:rPr>
        <w:t xml:space="preserve"> S (2012) The effect of information sharing between lenders on access to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shd w:val="clear" w:color="auto" w:fill="FFFFFF"/>
        </w:rPr>
        <w:t>credit, cost of credit, and loan performance - Evidence from a credit registry introduction.</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Bank Finance 36:</w:t>
      </w:r>
      <w:r w:rsidRPr="00020413">
        <w:rPr>
          <w:rFonts w:ascii="Times New Roman" w:hAnsi="Times New Roman"/>
          <w:sz w:val="24"/>
          <w:szCs w:val="24"/>
          <w:shd w:val="clear" w:color="auto" w:fill="FFFFFF"/>
        </w:rPr>
        <w:t>3017-3032.</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Bennardo A, Pagano M, Piccolo S (2015) Multiple bank lending, creditor rights, and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information sharing. </w:t>
      </w:r>
      <w:r w:rsidRPr="00020413">
        <w:rPr>
          <w:rFonts w:ascii="Times New Roman" w:hAnsi="Times New Roman"/>
          <w:iCs/>
          <w:sz w:val="24"/>
          <w:szCs w:val="24"/>
        </w:rPr>
        <w:t>Rev Finance 19</w:t>
      </w:r>
      <w:r w:rsidRPr="00020413">
        <w:rPr>
          <w:rFonts w:ascii="Times New Roman" w:hAnsi="Times New Roman"/>
          <w:sz w:val="24"/>
          <w:szCs w:val="24"/>
        </w:rPr>
        <w:t>:519-570</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Berger AN, Hannan TH (1998) The efficiency cost of market power in the banking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industry: A test of the “quiet life” and related hypotheses. </w:t>
      </w:r>
      <w:r w:rsidRPr="00020413">
        <w:rPr>
          <w:rFonts w:ascii="Times New Roman" w:hAnsi="Times New Roman"/>
          <w:iCs/>
          <w:sz w:val="24"/>
          <w:szCs w:val="24"/>
        </w:rPr>
        <w:t>Rev Econ Stat 80(3)</w:t>
      </w:r>
      <w:r w:rsidRPr="00020413">
        <w:rPr>
          <w:rFonts w:ascii="Times New Roman" w:hAnsi="Times New Roman"/>
          <w:sz w:val="24"/>
          <w:szCs w:val="24"/>
        </w:rPr>
        <w:t>:454-465</w:t>
      </w:r>
    </w:p>
    <w:p w:rsidR="00651C5E" w:rsidRPr="00020413" w:rsidRDefault="00651C5E" w:rsidP="00651C5E">
      <w:pPr>
        <w:spacing w:after="0" w:line="240" w:lineRule="auto"/>
        <w:ind w:left="720" w:hanging="720"/>
        <w:jc w:val="both"/>
        <w:rPr>
          <w:rFonts w:ascii="Times New Roman" w:hAnsi="Times New Roman"/>
          <w:b/>
          <w:sz w:val="24"/>
          <w:szCs w:val="24"/>
        </w:rPr>
      </w:pPr>
      <w:r w:rsidRPr="00020413">
        <w:rPr>
          <w:rFonts w:ascii="Times New Roman" w:hAnsi="Times New Roman"/>
          <w:sz w:val="24"/>
          <w:szCs w:val="24"/>
          <w:shd w:val="clear" w:color="auto" w:fill="FFFFFF"/>
        </w:rPr>
        <w:t xml:space="preserve">Berger AN, </w:t>
      </w:r>
      <w:proofErr w:type="spellStart"/>
      <w:r w:rsidRPr="00020413">
        <w:rPr>
          <w:rFonts w:ascii="Times New Roman" w:hAnsi="Times New Roman"/>
          <w:sz w:val="24"/>
          <w:szCs w:val="24"/>
          <w:shd w:val="clear" w:color="auto" w:fill="FFFFFF"/>
        </w:rPr>
        <w:t>Klapper</w:t>
      </w:r>
      <w:proofErr w:type="spellEnd"/>
      <w:r w:rsidRPr="00020413">
        <w:rPr>
          <w:rFonts w:ascii="Times New Roman" w:hAnsi="Times New Roman"/>
          <w:sz w:val="24"/>
          <w:szCs w:val="24"/>
          <w:shd w:val="clear" w:color="auto" w:fill="FFFFFF"/>
        </w:rPr>
        <w:t xml:space="preserve"> LF, Turk-</w:t>
      </w:r>
      <w:proofErr w:type="spellStart"/>
      <w:r w:rsidRPr="00020413">
        <w:rPr>
          <w:rFonts w:ascii="Times New Roman" w:hAnsi="Times New Roman"/>
          <w:sz w:val="24"/>
          <w:szCs w:val="24"/>
          <w:shd w:val="clear" w:color="auto" w:fill="FFFFFF"/>
        </w:rPr>
        <w:t>Ariss</w:t>
      </w:r>
      <w:proofErr w:type="spellEnd"/>
      <w:r w:rsidRPr="00020413">
        <w:rPr>
          <w:rFonts w:ascii="Times New Roman" w:hAnsi="Times New Roman"/>
          <w:sz w:val="24"/>
          <w:szCs w:val="24"/>
          <w:shd w:val="clear" w:color="auto" w:fill="FFFFFF"/>
        </w:rPr>
        <w:t xml:space="preserve"> R (2009) Bank competition and financial stability.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w:t>
      </w:r>
      <w:proofErr w:type="spellStart"/>
      <w:r w:rsidRPr="00020413">
        <w:rPr>
          <w:rFonts w:ascii="Times New Roman" w:hAnsi="Times New Roman"/>
          <w:iCs/>
          <w:sz w:val="24"/>
          <w:szCs w:val="24"/>
          <w:shd w:val="clear" w:color="auto" w:fill="FFFFFF"/>
        </w:rPr>
        <w:t>Serv</w:t>
      </w:r>
      <w:proofErr w:type="spellEnd"/>
      <w:r w:rsidRPr="00020413">
        <w:rPr>
          <w:rFonts w:ascii="Times New Roman" w:hAnsi="Times New Roman"/>
          <w:iCs/>
          <w:sz w:val="24"/>
          <w:szCs w:val="24"/>
          <w:shd w:val="clear" w:color="auto" w:fill="FFFFFF"/>
        </w:rPr>
        <w:t xml:space="preserve"> Res</w:t>
      </w:r>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35</w:t>
      </w:r>
      <w:r w:rsidRPr="00020413">
        <w:rPr>
          <w:rFonts w:ascii="Times New Roman" w:hAnsi="Times New Roman"/>
          <w:sz w:val="24"/>
          <w:szCs w:val="24"/>
          <w:shd w:val="clear" w:color="auto" w:fill="FFFFFF"/>
        </w:rPr>
        <w:t>(2): 99-118</w:t>
      </w:r>
    </w:p>
    <w:p w:rsidR="00651C5E" w:rsidRPr="00020413" w:rsidRDefault="00651C5E" w:rsidP="00651C5E">
      <w:pPr>
        <w:spacing w:after="0" w:line="240" w:lineRule="auto"/>
        <w:ind w:left="720" w:hanging="720"/>
        <w:jc w:val="both"/>
        <w:rPr>
          <w:rFonts w:ascii="Times New Roman" w:hAnsi="Times New Roman"/>
          <w:sz w:val="24"/>
          <w:szCs w:val="24"/>
          <w:lang w:eastAsia="en-GB"/>
        </w:rPr>
      </w:pPr>
      <w:r w:rsidRPr="00020413">
        <w:rPr>
          <w:rFonts w:ascii="Times New Roman" w:hAnsi="Times New Roman"/>
          <w:sz w:val="24"/>
          <w:szCs w:val="24"/>
          <w:lang w:eastAsia="en-GB"/>
        </w:rPr>
        <w:t xml:space="preserve">Bhattacharya K (2003) How good is the </w:t>
      </w:r>
      <w:proofErr w:type="spellStart"/>
      <w:r w:rsidRPr="00020413">
        <w:rPr>
          <w:rFonts w:ascii="Times New Roman" w:hAnsi="Times New Roman"/>
          <w:sz w:val="24"/>
          <w:szCs w:val="24"/>
          <w:lang w:eastAsia="en-GB"/>
        </w:rPr>
        <w:t>BankScope</w:t>
      </w:r>
      <w:proofErr w:type="spellEnd"/>
      <w:r w:rsidRPr="00020413">
        <w:rPr>
          <w:rFonts w:ascii="Times New Roman" w:hAnsi="Times New Roman"/>
          <w:sz w:val="24"/>
          <w:szCs w:val="24"/>
          <w:lang w:eastAsia="en-GB"/>
        </w:rPr>
        <w:t xml:space="preserve"> database? A cross-validation exercise with correlation factors and market concentration measures. Bank for International Settlements (BIS) Working Papers No. 133,</w:t>
      </w:r>
      <w:r w:rsidRPr="00020413">
        <w:rPr>
          <w:rFonts w:ascii="Times New Roman" w:hAnsi="Times New Roman"/>
          <w:sz w:val="24"/>
          <w:szCs w:val="24"/>
        </w:rPr>
        <w:t xml:space="preserve"> </w:t>
      </w:r>
      <w:r w:rsidRPr="00020413">
        <w:rPr>
          <w:rFonts w:ascii="Times New Roman" w:hAnsi="Times New Roman"/>
          <w:sz w:val="24"/>
          <w:szCs w:val="24"/>
          <w:lang w:eastAsia="en-GB"/>
        </w:rPr>
        <w:t xml:space="preserve">ISSN 1682-7678 (online) </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Blundell R,  Bond S (1998) Initial conditions and moment restrictions in dynamic panel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data models.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Econometrics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87</w:t>
      </w:r>
      <w:r w:rsidRPr="00020413">
        <w:rPr>
          <w:rFonts w:ascii="Times New Roman" w:hAnsi="Times New Roman"/>
          <w:sz w:val="24"/>
          <w:szCs w:val="24"/>
          <w:shd w:val="clear" w:color="auto" w:fill="FFFFFF"/>
        </w:rPr>
        <w:t>:115-143</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Bond SR, </w:t>
      </w:r>
      <w:proofErr w:type="spellStart"/>
      <w:r w:rsidRPr="00020413">
        <w:rPr>
          <w:rFonts w:ascii="Times New Roman" w:hAnsi="Times New Roman"/>
          <w:sz w:val="24"/>
          <w:szCs w:val="24"/>
        </w:rPr>
        <w:t>Hoeffler</w:t>
      </w:r>
      <w:proofErr w:type="spellEnd"/>
      <w:r w:rsidRPr="00020413">
        <w:rPr>
          <w:rFonts w:ascii="Times New Roman" w:hAnsi="Times New Roman"/>
          <w:sz w:val="24"/>
          <w:szCs w:val="24"/>
        </w:rPr>
        <w:t xml:space="preserve"> A, Temple JR (2001) GMM estimation of empirical growth models.</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shd w:val="clear" w:color="auto" w:fill="FFFFFF"/>
        </w:rPr>
        <w:t xml:space="preserve">Bos JWB, de Haas R, </w:t>
      </w:r>
      <w:proofErr w:type="spellStart"/>
      <w:r w:rsidRPr="00020413">
        <w:rPr>
          <w:rFonts w:ascii="Times New Roman" w:hAnsi="Times New Roman"/>
          <w:sz w:val="24"/>
          <w:szCs w:val="24"/>
          <w:shd w:val="clear" w:color="auto" w:fill="FFFFFF"/>
        </w:rPr>
        <w:t>Millone</w:t>
      </w:r>
      <w:proofErr w:type="spellEnd"/>
      <w:r w:rsidRPr="00020413">
        <w:rPr>
          <w:rFonts w:ascii="Times New Roman" w:hAnsi="Times New Roman"/>
          <w:sz w:val="24"/>
          <w:szCs w:val="24"/>
          <w:shd w:val="clear" w:color="auto" w:fill="FFFFFF"/>
        </w:rPr>
        <w:t xml:space="preserve"> M (2016) Show Me Yours and I'll Show You Mine: Sharing Borrower Information in a Competitive Credit Market (February 25, 2016). BAFFI CAREFIN Centre Research Paper No. 2015-8. Available at SSRN: </w:t>
      </w:r>
      <w:hyperlink r:id="rId66" w:tgtFrame="_blank" w:history="1">
        <w:r w:rsidRPr="00020413">
          <w:rPr>
            <w:rStyle w:val="Hyperlink"/>
            <w:rFonts w:ascii="Times New Roman" w:hAnsi="Times New Roman"/>
            <w:sz w:val="24"/>
            <w:szCs w:val="24"/>
            <w:shd w:val="clear" w:color="auto" w:fill="FFFFFF"/>
          </w:rPr>
          <w:t>https://ssrn.com/abstract=2609271</w:t>
        </w:r>
      </w:hyperlink>
      <w:r w:rsidRPr="00020413">
        <w:rPr>
          <w:rFonts w:ascii="Times New Roman" w:hAnsi="Times New Roman"/>
          <w:sz w:val="24"/>
          <w:szCs w:val="24"/>
          <w:shd w:val="clear" w:color="auto" w:fill="FFFFFF"/>
        </w:rPr>
        <w:t> or </w:t>
      </w:r>
      <w:hyperlink r:id="rId67" w:tgtFrame="_blank" w:history="1">
        <w:r w:rsidRPr="00020413">
          <w:rPr>
            <w:rStyle w:val="Hyperlink"/>
            <w:rFonts w:ascii="Times New Roman" w:hAnsi="Times New Roman"/>
            <w:sz w:val="24"/>
            <w:szCs w:val="24"/>
            <w:shd w:val="clear" w:color="auto" w:fill="FFFFFF"/>
          </w:rPr>
          <w:t>http://dx.doi.org/10.2139/ssrn.2609271</w:t>
        </w:r>
      </w:hyperlink>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Brown M, Jappelli T, Pagano M (2009) Information sharing and credit: Firm-level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evidence from transition countries.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Intermediation</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18:</w:t>
      </w:r>
      <w:r w:rsidRPr="00020413">
        <w:rPr>
          <w:rFonts w:ascii="Times New Roman" w:hAnsi="Times New Roman"/>
          <w:sz w:val="24"/>
          <w:szCs w:val="24"/>
          <w:shd w:val="clear" w:color="auto" w:fill="FFFFFF"/>
        </w:rPr>
        <w:t>151-172</w:t>
      </w:r>
    </w:p>
    <w:p w:rsidR="00651C5E" w:rsidRPr="00020413" w:rsidRDefault="00651C5E" w:rsidP="00651C5E">
      <w:pPr>
        <w:spacing w:after="0" w:line="240" w:lineRule="auto"/>
        <w:jc w:val="both"/>
        <w:rPr>
          <w:rFonts w:ascii="Times New Roman" w:hAnsi="Times New Roman"/>
          <w:sz w:val="24"/>
          <w:szCs w:val="24"/>
        </w:rPr>
      </w:pPr>
      <w:proofErr w:type="spellStart"/>
      <w:r w:rsidRPr="00020413">
        <w:rPr>
          <w:rFonts w:ascii="Times New Roman" w:hAnsi="Times New Roman"/>
          <w:sz w:val="24"/>
          <w:szCs w:val="24"/>
        </w:rPr>
        <w:t>Buncic</w:t>
      </w:r>
      <w:proofErr w:type="spellEnd"/>
      <w:r w:rsidRPr="00020413">
        <w:rPr>
          <w:rFonts w:ascii="Times New Roman" w:hAnsi="Times New Roman"/>
          <w:sz w:val="24"/>
          <w:szCs w:val="24"/>
        </w:rPr>
        <w:t xml:space="preserve">, D., &amp; </w:t>
      </w:r>
      <w:proofErr w:type="spellStart"/>
      <w:r w:rsidRPr="00020413">
        <w:rPr>
          <w:rFonts w:ascii="Times New Roman" w:hAnsi="Times New Roman"/>
          <w:sz w:val="24"/>
          <w:szCs w:val="24"/>
        </w:rPr>
        <w:t>Melecky</w:t>
      </w:r>
      <w:proofErr w:type="spellEnd"/>
      <w:r w:rsidRPr="00020413">
        <w:rPr>
          <w:rFonts w:ascii="Times New Roman" w:hAnsi="Times New Roman"/>
          <w:sz w:val="24"/>
          <w:szCs w:val="24"/>
        </w:rPr>
        <w:t xml:space="preserve">, M. (2013) Macroprudential stress testing of credit risk: A practical      </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shd w:val="clear" w:color="auto" w:fill="FFFFFF"/>
        </w:rPr>
        <w:tab/>
      </w:r>
      <w:r w:rsidRPr="00020413">
        <w:rPr>
          <w:rFonts w:ascii="Times New Roman" w:hAnsi="Times New Roman"/>
          <w:sz w:val="24"/>
          <w:szCs w:val="24"/>
        </w:rPr>
        <w:t xml:space="preserve">approach for policy makers. J </w:t>
      </w:r>
      <w:proofErr w:type="spellStart"/>
      <w:r w:rsidRPr="00020413">
        <w:rPr>
          <w:rFonts w:ascii="Times New Roman" w:hAnsi="Times New Roman"/>
          <w:sz w:val="24"/>
          <w:szCs w:val="24"/>
        </w:rPr>
        <w:t>Financ</w:t>
      </w:r>
      <w:proofErr w:type="spellEnd"/>
      <w:r w:rsidRPr="00020413">
        <w:rPr>
          <w:rFonts w:ascii="Times New Roman" w:hAnsi="Times New Roman"/>
          <w:sz w:val="24"/>
          <w:szCs w:val="24"/>
        </w:rPr>
        <w:t xml:space="preserve"> Stab </w:t>
      </w:r>
      <w:r w:rsidRPr="00020413">
        <w:rPr>
          <w:rFonts w:ascii="Times New Roman" w:hAnsi="Times New Roman"/>
          <w:i/>
          <w:iCs/>
          <w:sz w:val="24"/>
          <w:szCs w:val="24"/>
        </w:rPr>
        <w:t>9</w:t>
      </w:r>
      <w:r w:rsidRPr="00020413">
        <w:rPr>
          <w:rFonts w:ascii="Times New Roman" w:hAnsi="Times New Roman"/>
          <w:sz w:val="24"/>
          <w:szCs w:val="24"/>
        </w:rPr>
        <w:t>(3): 347-370.</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Büyükkarabacak</w:t>
      </w:r>
      <w:proofErr w:type="spellEnd"/>
      <w:r w:rsidRPr="00020413">
        <w:rPr>
          <w:rFonts w:ascii="Times New Roman" w:hAnsi="Times New Roman"/>
          <w:sz w:val="24"/>
          <w:szCs w:val="24"/>
          <w:shd w:val="clear" w:color="auto" w:fill="FFFFFF"/>
        </w:rPr>
        <w:t xml:space="preserve"> B, </w:t>
      </w:r>
      <w:proofErr w:type="spellStart"/>
      <w:r w:rsidRPr="00020413">
        <w:rPr>
          <w:rFonts w:ascii="Times New Roman" w:hAnsi="Times New Roman"/>
          <w:sz w:val="24"/>
          <w:szCs w:val="24"/>
          <w:shd w:val="clear" w:color="auto" w:fill="FFFFFF"/>
        </w:rPr>
        <w:t>Valev</w:t>
      </w:r>
      <w:proofErr w:type="spellEnd"/>
      <w:r w:rsidRPr="00020413">
        <w:rPr>
          <w:rFonts w:ascii="Times New Roman" w:hAnsi="Times New Roman"/>
          <w:sz w:val="24"/>
          <w:szCs w:val="24"/>
          <w:shd w:val="clear" w:color="auto" w:fill="FFFFFF"/>
        </w:rPr>
        <w:t xml:space="preserve"> N (2012) Credit information sharing and banking crises: An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empirical investigation.</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Macroeconomics 34:788</w:t>
      </w:r>
      <w:r w:rsidRPr="00020413">
        <w:rPr>
          <w:rFonts w:ascii="Times New Roman" w:hAnsi="Times New Roman"/>
          <w:sz w:val="24"/>
          <w:szCs w:val="24"/>
          <w:shd w:val="clear" w:color="auto" w:fill="FFFFFF"/>
        </w:rPr>
        <w:t>-800</w:t>
      </w:r>
    </w:p>
    <w:p w:rsidR="00651C5E" w:rsidRPr="00020413" w:rsidRDefault="00651C5E" w:rsidP="00651C5E">
      <w:pPr>
        <w:autoSpaceDE w:val="0"/>
        <w:autoSpaceDN w:val="0"/>
        <w:adjustRightInd w:val="0"/>
        <w:spacing w:after="0" w:line="240" w:lineRule="auto"/>
        <w:jc w:val="both"/>
        <w:rPr>
          <w:rFonts w:ascii="Times New Roman" w:hAnsi="Times New Roman"/>
          <w:sz w:val="24"/>
          <w:szCs w:val="24"/>
          <w:lang w:eastAsia="en-GB"/>
        </w:rPr>
      </w:pPr>
      <w:proofErr w:type="spellStart"/>
      <w:r w:rsidRPr="00020413">
        <w:rPr>
          <w:rFonts w:ascii="Times New Roman" w:hAnsi="Times New Roman"/>
          <w:sz w:val="24"/>
          <w:szCs w:val="24"/>
          <w:lang w:eastAsia="en-GB"/>
        </w:rPr>
        <w:t>Cetorelli</w:t>
      </w:r>
      <w:proofErr w:type="spellEnd"/>
      <w:r w:rsidRPr="00020413">
        <w:rPr>
          <w:rFonts w:ascii="Times New Roman" w:hAnsi="Times New Roman"/>
          <w:sz w:val="24"/>
          <w:szCs w:val="24"/>
          <w:lang w:eastAsia="en-GB"/>
        </w:rPr>
        <w:t xml:space="preserve"> N, </w:t>
      </w:r>
      <w:proofErr w:type="spellStart"/>
      <w:r w:rsidRPr="00020413">
        <w:rPr>
          <w:rFonts w:ascii="Times New Roman" w:hAnsi="Times New Roman"/>
          <w:sz w:val="24"/>
          <w:szCs w:val="24"/>
          <w:lang w:eastAsia="en-GB"/>
        </w:rPr>
        <w:t>Peretto</w:t>
      </w:r>
      <w:proofErr w:type="spellEnd"/>
      <w:r w:rsidRPr="00020413">
        <w:rPr>
          <w:rFonts w:ascii="Times New Roman" w:hAnsi="Times New Roman"/>
          <w:sz w:val="24"/>
          <w:szCs w:val="24"/>
          <w:lang w:eastAsia="en-GB"/>
        </w:rPr>
        <w:t xml:space="preserve"> PF (2000) Oligopoly banking and capital accumulation. Working</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lang w:eastAsia="en-GB"/>
        </w:rPr>
        <w:t>paper series WP-00-12. Federal Reserve Bank of Chicago</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Chang C, Jain A, Lawrence ER., Prakash, AJ (2016) The tax exemption to subchapter S banks: Who gets the benefits?</w:t>
      </w:r>
      <w:r w:rsidRPr="00020413">
        <w:rPr>
          <w:rStyle w:val="apple-converted-space"/>
          <w:rFonts w:ascii="Times New Roman" w:hAnsi="Times New Roman"/>
          <w:sz w:val="24"/>
          <w:szCs w:val="24"/>
          <w:shd w:val="clear" w:color="auto" w:fill="FFFFFF"/>
        </w:rPr>
        <w:t> </w:t>
      </w:r>
      <w:proofErr w:type="spellStart"/>
      <w:r w:rsidRPr="00020413">
        <w:rPr>
          <w:rStyle w:val="apple-converted-space"/>
          <w:rFonts w:ascii="Times New Roman" w:hAnsi="Times New Roman"/>
          <w:sz w:val="24"/>
          <w:szCs w:val="24"/>
          <w:shd w:val="clear" w:color="auto" w:fill="FFFFFF"/>
        </w:rPr>
        <w:t>Financ</w:t>
      </w:r>
      <w:proofErr w:type="spellEnd"/>
      <w:r w:rsidRPr="00020413">
        <w:rPr>
          <w:rStyle w:val="apple-converted-space"/>
          <w:rFonts w:ascii="Times New Roman" w:hAnsi="Times New Roman"/>
          <w:sz w:val="24"/>
          <w:szCs w:val="24"/>
          <w:shd w:val="clear" w:color="auto" w:fill="FFFFFF"/>
        </w:rPr>
        <w:t xml:space="preserve"> Rev 51</w:t>
      </w:r>
      <w:r w:rsidRPr="00020413">
        <w:rPr>
          <w:rFonts w:ascii="Times New Roman" w:hAnsi="Times New Roman"/>
          <w:sz w:val="24"/>
          <w:szCs w:val="24"/>
          <w:shd w:val="clear" w:color="auto" w:fill="FFFFFF"/>
        </w:rPr>
        <w:t>:329-362</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rPr>
        <w:t xml:space="preserve">Chen K-Y, Shen C-H, Kao L, Yeh C-Y (2018) Bank liquidity risk and performance. Rev Pac Basin </w:t>
      </w:r>
      <w:proofErr w:type="spellStart"/>
      <w:r w:rsidRPr="00020413">
        <w:rPr>
          <w:rFonts w:ascii="Times New Roman" w:hAnsi="Times New Roman"/>
          <w:sz w:val="24"/>
          <w:szCs w:val="24"/>
        </w:rPr>
        <w:t>Financ</w:t>
      </w:r>
      <w:proofErr w:type="spellEnd"/>
      <w:r w:rsidRPr="00020413">
        <w:rPr>
          <w:rFonts w:ascii="Times New Roman" w:hAnsi="Times New Roman"/>
          <w:sz w:val="24"/>
          <w:szCs w:val="24"/>
        </w:rPr>
        <w:t xml:space="preserve"> Mark Policies 21:1850007-40</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rPr>
        <w:t xml:space="preserve">Chu L, Mathieu R, Robb S, Zhang P (2007). Bank capitalization and lending </w:t>
      </w:r>
      <w:proofErr w:type="spellStart"/>
      <w:r w:rsidRPr="00020413">
        <w:rPr>
          <w:rFonts w:ascii="Times New Roman" w:hAnsi="Times New Roman"/>
          <w:sz w:val="24"/>
          <w:szCs w:val="24"/>
        </w:rPr>
        <w:t>behavior</w:t>
      </w:r>
      <w:proofErr w:type="spellEnd"/>
      <w:r w:rsidRPr="00020413">
        <w:rPr>
          <w:rFonts w:ascii="Times New Roman" w:hAnsi="Times New Roman"/>
          <w:sz w:val="24"/>
          <w:szCs w:val="24"/>
        </w:rPr>
        <w:t xml:space="preserve"> after the introduction of the Basle Accord. Rev Quant Finance Account 28(2):147-162.</w:t>
      </w:r>
    </w:p>
    <w:p w:rsidR="00651C5E" w:rsidRPr="00020413" w:rsidRDefault="00651C5E" w:rsidP="00651C5E">
      <w:pPr>
        <w:spacing w:after="0" w:line="240" w:lineRule="auto"/>
        <w:jc w:val="both"/>
        <w:rPr>
          <w:rFonts w:ascii="Times New Roman" w:hAnsi="Times New Roman"/>
          <w:iCs/>
          <w:sz w:val="24"/>
          <w:szCs w:val="24"/>
        </w:rPr>
      </w:pPr>
      <w:r w:rsidRPr="00020413">
        <w:rPr>
          <w:rFonts w:ascii="Times New Roman" w:hAnsi="Times New Roman"/>
          <w:sz w:val="24"/>
          <w:szCs w:val="24"/>
        </w:rPr>
        <w:t xml:space="preserve">Cole R, Cumming D, Li D (2016) Do banks or VCs spur small firm </w:t>
      </w:r>
      <w:proofErr w:type="gramStart"/>
      <w:r w:rsidRPr="00020413">
        <w:rPr>
          <w:rFonts w:ascii="Times New Roman" w:hAnsi="Times New Roman"/>
          <w:sz w:val="24"/>
          <w:szCs w:val="24"/>
        </w:rPr>
        <w:t>growth?.</w:t>
      </w:r>
      <w:proofErr w:type="gramEnd"/>
      <w:r w:rsidRPr="00020413">
        <w:rPr>
          <w:rFonts w:ascii="Times New Roman" w:hAnsi="Times New Roman"/>
          <w:sz w:val="24"/>
          <w:szCs w:val="24"/>
        </w:rPr>
        <w:t xml:space="preserve"> </w:t>
      </w:r>
      <w:r w:rsidRPr="00020413">
        <w:rPr>
          <w:rFonts w:ascii="Times New Roman" w:hAnsi="Times New Roman"/>
          <w:iCs/>
          <w:sz w:val="24"/>
          <w:szCs w:val="24"/>
        </w:rPr>
        <w:t xml:space="preserve">J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iCs/>
          <w:sz w:val="24"/>
          <w:szCs w:val="24"/>
        </w:rPr>
        <w:t xml:space="preserve">Int </w:t>
      </w:r>
      <w:proofErr w:type="spellStart"/>
      <w:r w:rsidRPr="00020413">
        <w:rPr>
          <w:rFonts w:ascii="Times New Roman" w:hAnsi="Times New Roman"/>
          <w:iCs/>
          <w:sz w:val="24"/>
          <w:szCs w:val="24"/>
        </w:rPr>
        <w:t>Financ</w:t>
      </w:r>
      <w:proofErr w:type="spellEnd"/>
      <w:r w:rsidRPr="00020413">
        <w:rPr>
          <w:rFonts w:ascii="Times New Roman" w:hAnsi="Times New Roman"/>
          <w:iCs/>
          <w:sz w:val="24"/>
          <w:szCs w:val="24"/>
        </w:rPr>
        <w:t xml:space="preserve"> Mark Inst Money 41</w:t>
      </w:r>
      <w:r w:rsidRPr="00020413">
        <w:rPr>
          <w:rFonts w:ascii="Times New Roman" w:hAnsi="Times New Roman"/>
          <w:sz w:val="24"/>
          <w:szCs w:val="24"/>
        </w:rPr>
        <w:t>:60-72</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Daniels K, Ramirez GG (2008) Information, credit risk, lender specialization and loan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pricing: Evidence from the DIP financing market.</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w:t>
      </w:r>
      <w:proofErr w:type="spellStart"/>
      <w:r w:rsidRPr="00020413">
        <w:rPr>
          <w:rFonts w:ascii="Times New Roman" w:hAnsi="Times New Roman"/>
          <w:iCs/>
          <w:sz w:val="24"/>
          <w:szCs w:val="24"/>
          <w:shd w:val="clear" w:color="auto" w:fill="FFFFFF"/>
        </w:rPr>
        <w:t>Serv</w:t>
      </w:r>
      <w:proofErr w:type="spellEnd"/>
      <w:r w:rsidRPr="00020413">
        <w:rPr>
          <w:rFonts w:ascii="Times New Roman" w:hAnsi="Times New Roman"/>
          <w:iCs/>
          <w:sz w:val="24"/>
          <w:szCs w:val="24"/>
          <w:shd w:val="clear" w:color="auto" w:fill="FFFFFF"/>
        </w:rPr>
        <w:t xml:space="preserve"> Res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34</w:t>
      </w:r>
      <w:r w:rsidRPr="00020413">
        <w:rPr>
          <w:rFonts w:ascii="Times New Roman" w:hAnsi="Times New Roman"/>
          <w:sz w:val="24"/>
          <w:szCs w:val="24"/>
          <w:shd w:val="clear" w:color="auto" w:fill="FFFFFF"/>
        </w:rPr>
        <w:t>:35-59</w:t>
      </w:r>
    </w:p>
    <w:p w:rsidR="00651C5E" w:rsidRPr="00020413" w:rsidRDefault="00651C5E" w:rsidP="00651C5E">
      <w:pPr>
        <w:spacing w:after="0" w:line="240" w:lineRule="auto"/>
        <w:jc w:val="both"/>
        <w:rPr>
          <w:rFonts w:ascii="Times New Roman" w:hAnsi="Times New Roman"/>
          <w:sz w:val="24"/>
          <w:szCs w:val="24"/>
        </w:rPr>
      </w:pPr>
      <w:proofErr w:type="spellStart"/>
      <w:r w:rsidRPr="00020413">
        <w:rPr>
          <w:rFonts w:ascii="Times New Roman" w:hAnsi="Times New Roman"/>
          <w:sz w:val="24"/>
          <w:szCs w:val="24"/>
        </w:rPr>
        <w:t>Demsetz</w:t>
      </w:r>
      <w:proofErr w:type="spellEnd"/>
      <w:r w:rsidRPr="00020413">
        <w:rPr>
          <w:rFonts w:ascii="Times New Roman" w:hAnsi="Times New Roman"/>
          <w:sz w:val="24"/>
          <w:szCs w:val="24"/>
        </w:rPr>
        <w:t xml:space="preserve"> H (1973) Industry Structure, Market Rivalry, and Public Policy. J Law Econ 16:1-9</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De </w:t>
      </w:r>
      <w:proofErr w:type="spellStart"/>
      <w:r w:rsidRPr="00020413">
        <w:rPr>
          <w:rFonts w:ascii="Times New Roman" w:hAnsi="Times New Roman"/>
          <w:sz w:val="24"/>
          <w:szCs w:val="24"/>
        </w:rPr>
        <w:t>Haan</w:t>
      </w:r>
      <w:proofErr w:type="spellEnd"/>
      <w:r w:rsidRPr="00020413">
        <w:rPr>
          <w:rFonts w:ascii="Times New Roman" w:hAnsi="Times New Roman"/>
          <w:sz w:val="24"/>
          <w:szCs w:val="24"/>
        </w:rPr>
        <w:t xml:space="preserve"> J, </w:t>
      </w:r>
      <w:proofErr w:type="spellStart"/>
      <w:r w:rsidRPr="00020413">
        <w:rPr>
          <w:rFonts w:ascii="Times New Roman" w:hAnsi="Times New Roman"/>
          <w:sz w:val="24"/>
          <w:szCs w:val="24"/>
        </w:rPr>
        <w:t>Poghosyan</w:t>
      </w:r>
      <w:proofErr w:type="spellEnd"/>
      <w:r w:rsidRPr="00020413">
        <w:rPr>
          <w:rFonts w:ascii="Times New Roman" w:hAnsi="Times New Roman"/>
          <w:sz w:val="24"/>
          <w:szCs w:val="24"/>
        </w:rPr>
        <w:t xml:space="preserve"> T (2012) Bank size, market concentration, and bank earnings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volatility in the US. </w:t>
      </w:r>
      <w:r w:rsidRPr="00020413">
        <w:rPr>
          <w:rFonts w:ascii="Times New Roman" w:hAnsi="Times New Roman"/>
          <w:iCs/>
          <w:sz w:val="24"/>
          <w:szCs w:val="24"/>
        </w:rPr>
        <w:t xml:space="preserve">J Int </w:t>
      </w:r>
      <w:proofErr w:type="spellStart"/>
      <w:r w:rsidRPr="00020413">
        <w:rPr>
          <w:rFonts w:ascii="Times New Roman" w:hAnsi="Times New Roman"/>
          <w:iCs/>
          <w:sz w:val="24"/>
          <w:szCs w:val="24"/>
        </w:rPr>
        <w:t>Financ</w:t>
      </w:r>
      <w:proofErr w:type="spellEnd"/>
      <w:r w:rsidRPr="00020413">
        <w:rPr>
          <w:rFonts w:ascii="Times New Roman" w:hAnsi="Times New Roman"/>
          <w:iCs/>
          <w:sz w:val="24"/>
          <w:szCs w:val="24"/>
        </w:rPr>
        <w:t xml:space="preserve"> Mark Inst Money 22</w:t>
      </w:r>
      <w:r w:rsidRPr="00020413">
        <w:rPr>
          <w:rFonts w:ascii="Times New Roman" w:hAnsi="Times New Roman"/>
          <w:sz w:val="24"/>
          <w:szCs w:val="24"/>
        </w:rPr>
        <w:t>:35-54</w:t>
      </w:r>
    </w:p>
    <w:p w:rsidR="00651C5E" w:rsidRPr="00020413" w:rsidRDefault="00651C5E" w:rsidP="00651C5E">
      <w:pPr>
        <w:spacing w:after="0" w:line="240" w:lineRule="auto"/>
        <w:ind w:left="720" w:hanging="720"/>
        <w:jc w:val="both"/>
        <w:rPr>
          <w:rFonts w:ascii="Times New Roman" w:hAnsi="Times New Roman"/>
          <w:sz w:val="24"/>
          <w:szCs w:val="24"/>
          <w:lang w:eastAsia="en-GB"/>
        </w:rPr>
      </w:pPr>
      <w:r w:rsidRPr="00020413">
        <w:rPr>
          <w:rFonts w:ascii="Times New Roman" w:hAnsi="Times New Roman"/>
          <w:sz w:val="24"/>
          <w:szCs w:val="24"/>
          <w:shd w:val="clear" w:color="auto" w:fill="FFFFFF"/>
        </w:rPr>
        <w:lastRenderedPageBreak/>
        <w:t xml:space="preserve">De </w:t>
      </w:r>
      <w:proofErr w:type="spellStart"/>
      <w:r w:rsidRPr="00020413">
        <w:rPr>
          <w:rFonts w:ascii="Times New Roman" w:hAnsi="Times New Roman"/>
          <w:sz w:val="24"/>
          <w:szCs w:val="24"/>
          <w:shd w:val="clear" w:color="auto" w:fill="FFFFFF"/>
        </w:rPr>
        <w:t>Janvry</w:t>
      </w:r>
      <w:proofErr w:type="spellEnd"/>
      <w:r w:rsidRPr="00020413">
        <w:rPr>
          <w:rFonts w:ascii="Times New Roman" w:hAnsi="Times New Roman"/>
          <w:sz w:val="24"/>
          <w:szCs w:val="24"/>
          <w:shd w:val="clear" w:color="auto" w:fill="FFFFFF"/>
        </w:rPr>
        <w:t xml:space="preserve"> A, McIntosh C, </w:t>
      </w:r>
      <w:proofErr w:type="spellStart"/>
      <w:r w:rsidRPr="00020413">
        <w:rPr>
          <w:rFonts w:ascii="Times New Roman" w:hAnsi="Times New Roman"/>
          <w:sz w:val="24"/>
          <w:szCs w:val="24"/>
          <w:shd w:val="clear" w:color="auto" w:fill="FFFFFF"/>
        </w:rPr>
        <w:t>Sadoulet</w:t>
      </w:r>
      <w:proofErr w:type="spellEnd"/>
      <w:r w:rsidRPr="00020413">
        <w:rPr>
          <w:rFonts w:ascii="Times New Roman" w:hAnsi="Times New Roman"/>
          <w:sz w:val="24"/>
          <w:szCs w:val="24"/>
          <w:shd w:val="clear" w:color="auto" w:fill="FFFFFF"/>
        </w:rPr>
        <w:t xml:space="preserve"> E (2010) The supply-and demand-side impacts of credit market information. </w:t>
      </w:r>
      <w:r w:rsidRPr="00020413">
        <w:rPr>
          <w:rFonts w:ascii="Times New Roman" w:hAnsi="Times New Roman"/>
          <w:iCs/>
          <w:sz w:val="24"/>
          <w:szCs w:val="24"/>
          <w:shd w:val="clear" w:color="auto" w:fill="FFFFFF"/>
        </w:rPr>
        <w:t>J Dev Econ 93</w:t>
      </w:r>
      <w:r w:rsidRPr="00020413">
        <w:rPr>
          <w:rFonts w:ascii="Times New Roman" w:hAnsi="Times New Roman"/>
          <w:sz w:val="24"/>
          <w:szCs w:val="24"/>
          <w:shd w:val="clear" w:color="auto" w:fill="FFFFFF"/>
        </w:rPr>
        <w:t>(2):173-188.</w:t>
      </w:r>
    </w:p>
    <w:p w:rsidR="00651C5E" w:rsidRPr="00020413" w:rsidRDefault="00651C5E" w:rsidP="00651C5E">
      <w:pPr>
        <w:spacing w:after="0" w:line="240" w:lineRule="auto"/>
        <w:jc w:val="both"/>
        <w:rPr>
          <w:rFonts w:ascii="Times New Roman" w:hAnsi="Times New Roman"/>
          <w:iCs/>
          <w:sz w:val="24"/>
          <w:szCs w:val="24"/>
          <w:shd w:val="clear" w:color="auto" w:fill="FFFFFF"/>
        </w:rPr>
      </w:pPr>
      <w:r w:rsidRPr="00020413">
        <w:rPr>
          <w:rFonts w:ascii="Times New Roman" w:hAnsi="Times New Roman"/>
          <w:sz w:val="24"/>
          <w:szCs w:val="24"/>
          <w:shd w:val="clear" w:color="auto" w:fill="FFFFFF"/>
        </w:rPr>
        <w:t>Diamond DW (1984) Financial intermediation and delegated monitoring.</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Rev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Econ Stud 51</w:t>
      </w:r>
      <w:r w:rsidRPr="00020413">
        <w:rPr>
          <w:rFonts w:ascii="Times New Roman" w:hAnsi="Times New Roman"/>
          <w:sz w:val="24"/>
          <w:szCs w:val="24"/>
          <w:shd w:val="clear" w:color="auto" w:fill="FFFFFF"/>
        </w:rPr>
        <w:t>:393-414</w:t>
      </w:r>
    </w:p>
    <w:p w:rsidR="00651C5E" w:rsidRPr="00020413" w:rsidRDefault="00651C5E" w:rsidP="00651C5E">
      <w:pPr>
        <w:spacing w:after="0" w:line="240" w:lineRule="auto"/>
        <w:jc w:val="both"/>
        <w:rPr>
          <w:rFonts w:ascii="Times New Roman" w:hAnsi="Times New Roman"/>
          <w:iCs/>
          <w:sz w:val="24"/>
          <w:szCs w:val="24"/>
          <w:shd w:val="clear" w:color="auto" w:fill="FFFFFF"/>
        </w:rPr>
      </w:pPr>
      <w:r w:rsidRPr="00020413">
        <w:rPr>
          <w:rFonts w:ascii="Times New Roman" w:hAnsi="Times New Roman"/>
          <w:sz w:val="24"/>
          <w:szCs w:val="24"/>
          <w:shd w:val="clear" w:color="auto" w:fill="FFFFFF"/>
        </w:rPr>
        <w:t xml:space="preserve">Diamond DW, </w:t>
      </w:r>
      <w:proofErr w:type="spellStart"/>
      <w:r w:rsidRPr="00020413">
        <w:rPr>
          <w:rFonts w:ascii="Times New Roman" w:hAnsi="Times New Roman"/>
          <w:sz w:val="24"/>
          <w:szCs w:val="24"/>
          <w:shd w:val="clear" w:color="auto" w:fill="FFFFFF"/>
        </w:rPr>
        <w:t>Dybvig</w:t>
      </w:r>
      <w:proofErr w:type="spellEnd"/>
      <w:r w:rsidRPr="00020413">
        <w:rPr>
          <w:rFonts w:ascii="Times New Roman" w:hAnsi="Times New Roman"/>
          <w:sz w:val="24"/>
          <w:szCs w:val="24"/>
          <w:shd w:val="clear" w:color="auto" w:fill="FFFFFF"/>
        </w:rPr>
        <w:t xml:space="preserve"> PH (1983) Bank runs, deposit insurance, and liquidity.</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The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 xml:space="preserve">J Polit Econ </w:t>
      </w:r>
      <w:r w:rsidRPr="00020413">
        <w:rPr>
          <w:rFonts w:ascii="Times New Roman" w:hAnsi="Times New Roman"/>
          <w:sz w:val="24"/>
          <w:szCs w:val="24"/>
          <w:shd w:val="clear" w:color="auto" w:fill="FFFFFF"/>
        </w:rPr>
        <w:t>401- 419.</w:t>
      </w:r>
    </w:p>
    <w:p w:rsidR="00651C5E" w:rsidRPr="00020413" w:rsidRDefault="00651C5E" w:rsidP="00651C5E">
      <w:pPr>
        <w:spacing w:after="0" w:line="240" w:lineRule="auto"/>
        <w:jc w:val="both"/>
        <w:rPr>
          <w:rFonts w:ascii="Times New Roman" w:hAnsi="Times New Roman"/>
          <w:sz w:val="24"/>
          <w:szCs w:val="24"/>
        </w:rPr>
      </w:pPr>
      <w:proofErr w:type="spellStart"/>
      <w:r w:rsidRPr="00020413">
        <w:rPr>
          <w:rFonts w:ascii="Times New Roman" w:hAnsi="Times New Roman"/>
          <w:sz w:val="24"/>
          <w:szCs w:val="24"/>
        </w:rPr>
        <w:t>Dierkes</w:t>
      </w:r>
      <w:proofErr w:type="spellEnd"/>
      <w:r w:rsidRPr="00020413">
        <w:rPr>
          <w:rFonts w:ascii="Times New Roman" w:hAnsi="Times New Roman"/>
          <w:sz w:val="24"/>
          <w:szCs w:val="24"/>
        </w:rPr>
        <w:t xml:space="preserve">, M, </w:t>
      </w:r>
      <w:proofErr w:type="spellStart"/>
      <w:r w:rsidRPr="00020413">
        <w:rPr>
          <w:rFonts w:ascii="Times New Roman" w:hAnsi="Times New Roman"/>
          <w:sz w:val="24"/>
          <w:szCs w:val="24"/>
        </w:rPr>
        <w:t>Erner</w:t>
      </w:r>
      <w:proofErr w:type="spellEnd"/>
      <w:r w:rsidRPr="00020413">
        <w:rPr>
          <w:rFonts w:ascii="Times New Roman" w:hAnsi="Times New Roman"/>
          <w:sz w:val="24"/>
          <w:szCs w:val="24"/>
        </w:rPr>
        <w:t xml:space="preserve">, C, Langer, T, Norden, L, 2013. Business credit information sharing and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default risk of private firms. </w:t>
      </w:r>
      <w:r w:rsidRPr="00020413">
        <w:rPr>
          <w:rFonts w:ascii="Times New Roman" w:hAnsi="Times New Roman"/>
          <w:iCs/>
          <w:sz w:val="24"/>
          <w:szCs w:val="24"/>
        </w:rPr>
        <w:t>J Bank Finance 37</w:t>
      </w:r>
      <w:r w:rsidRPr="00020413">
        <w:rPr>
          <w:rFonts w:ascii="Times New Roman" w:hAnsi="Times New Roman"/>
          <w:sz w:val="24"/>
          <w:szCs w:val="24"/>
        </w:rPr>
        <w:t>:2867-2878.</w:t>
      </w:r>
    </w:p>
    <w:p w:rsidR="00651C5E" w:rsidRPr="00020413" w:rsidRDefault="00651C5E" w:rsidP="00651C5E">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Dietrich, A. (2016). What Drives the Gross Margins of Mortgage Loans? Evidence from </w:t>
      </w:r>
    </w:p>
    <w:p w:rsidR="00651C5E" w:rsidRPr="00020413" w:rsidRDefault="00651C5E" w:rsidP="00651C5E">
      <w:pPr>
        <w:widowControl w:val="0"/>
        <w:autoSpaceDE w:val="0"/>
        <w:autoSpaceDN w:val="0"/>
        <w:adjustRightInd w:val="0"/>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Switzerland.</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w:t>
      </w:r>
      <w:proofErr w:type="spellStart"/>
      <w:r w:rsidRPr="00020413">
        <w:rPr>
          <w:rFonts w:ascii="Times New Roman" w:hAnsi="Times New Roman"/>
          <w:iCs/>
          <w:sz w:val="24"/>
          <w:szCs w:val="24"/>
          <w:shd w:val="clear" w:color="auto" w:fill="FFFFFF"/>
        </w:rPr>
        <w:t>Serv</w:t>
      </w:r>
      <w:proofErr w:type="spellEnd"/>
      <w:r w:rsidRPr="00020413">
        <w:rPr>
          <w:rFonts w:ascii="Times New Roman" w:hAnsi="Times New Roman"/>
          <w:iCs/>
          <w:sz w:val="24"/>
          <w:szCs w:val="24"/>
          <w:shd w:val="clear" w:color="auto" w:fill="FFFFFF"/>
        </w:rPr>
        <w:t xml:space="preserve"> Res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50</w:t>
      </w:r>
      <w:r w:rsidRPr="00020413">
        <w:rPr>
          <w:rFonts w:ascii="Times New Roman" w:hAnsi="Times New Roman"/>
          <w:sz w:val="24"/>
          <w:szCs w:val="24"/>
          <w:shd w:val="clear" w:color="auto" w:fill="FFFFFF"/>
        </w:rPr>
        <w:t>:341-362.</w:t>
      </w:r>
    </w:p>
    <w:p w:rsidR="00651C5E" w:rsidRPr="00020413" w:rsidRDefault="00651C5E" w:rsidP="00651C5E">
      <w:pPr>
        <w:spacing w:after="0" w:line="240" w:lineRule="auto"/>
        <w:jc w:val="both"/>
        <w:rPr>
          <w:rFonts w:ascii="Times New Roman" w:hAnsi="Times New Roman"/>
          <w:iCs/>
          <w:sz w:val="24"/>
          <w:szCs w:val="24"/>
          <w:shd w:val="clear" w:color="auto" w:fill="FFFFFF"/>
        </w:rPr>
      </w:pPr>
      <w:proofErr w:type="spellStart"/>
      <w:r w:rsidRPr="00020413">
        <w:rPr>
          <w:rFonts w:ascii="Times New Roman" w:hAnsi="Times New Roman"/>
          <w:sz w:val="24"/>
          <w:szCs w:val="24"/>
          <w:shd w:val="clear" w:color="auto" w:fill="FFFFFF"/>
        </w:rPr>
        <w:t>Demirg</w:t>
      </w:r>
      <w:r w:rsidRPr="00020413">
        <w:rPr>
          <w:rFonts w:ascii="Times New Roman" w:hAnsi="Times New Roman"/>
          <w:sz w:val="24"/>
          <w:szCs w:val="24"/>
        </w:rPr>
        <w:t>üç</w:t>
      </w:r>
      <w:r w:rsidRPr="00020413">
        <w:rPr>
          <w:rFonts w:ascii="Times New Roman" w:hAnsi="Times New Roman"/>
          <w:sz w:val="24"/>
          <w:szCs w:val="24"/>
          <w:shd w:val="clear" w:color="auto" w:fill="FFFFFF"/>
        </w:rPr>
        <w:t>-Kunt</w:t>
      </w:r>
      <w:proofErr w:type="spellEnd"/>
      <w:r w:rsidRPr="00020413">
        <w:rPr>
          <w:rFonts w:ascii="Times New Roman" w:hAnsi="Times New Roman"/>
          <w:sz w:val="24"/>
          <w:szCs w:val="24"/>
          <w:shd w:val="clear" w:color="auto" w:fill="FFFFFF"/>
        </w:rPr>
        <w:t xml:space="preserve"> A, </w:t>
      </w:r>
      <w:proofErr w:type="spellStart"/>
      <w:r w:rsidRPr="00020413">
        <w:rPr>
          <w:rFonts w:ascii="Times New Roman" w:hAnsi="Times New Roman"/>
          <w:sz w:val="24"/>
          <w:szCs w:val="24"/>
          <w:shd w:val="clear" w:color="auto" w:fill="FFFFFF"/>
        </w:rPr>
        <w:t>Laeven</w:t>
      </w:r>
      <w:proofErr w:type="spellEnd"/>
      <w:r w:rsidRPr="00020413">
        <w:rPr>
          <w:rFonts w:ascii="Times New Roman" w:hAnsi="Times New Roman"/>
          <w:sz w:val="24"/>
          <w:szCs w:val="24"/>
          <w:shd w:val="clear" w:color="auto" w:fill="FFFFFF"/>
        </w:rPr>
        <w:t xml:space="preserve"> L, Levine R (2003)</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Regulations, market structure, institutions,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and the cost of financial intermediation</w:t>
      </w:r>
      <w:r w:rsidRPr="00020413">
        <w:rPr>
          <w:rFonts w:ascii="Times New Roman" w:hAnsi="Times New Roman"/>
          <w:sz w:val="24"/>
          <w:szCs w:val="24"/>
          <w:shd w:val="clear" w:color="auto" w:fill="FFFFFF"/>
        </w:rPr>
        <w:t>. J Money Credit and Bank 36:593-622</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Djankov</w:t>
      </w:r>
      <w:proofErr w:type="spellEnd"/>
      <w:r w:rsidRPr="00020413">
        <w:rPr>
          <w:rFonts w:ascii="Times New Roman" w:hAnsi="Times New Roman"/>
          <w:sz w:val="24"/>
          <w:szCs w:val="24"/>
          <w:shd w:val="clear" w:color="auto" w:fill="FFFFFF"/>
        </w:rPr>
        <w:t xml:space="preserve"> S, </w:t>
      </w:r>
      <w:proofErr w:type="spellStart"/>
      <w:r w:rsidRPr="00020413">
        <w:rPr>
          <w:rFonts w:ascii="Times New Roman" w:hAnsi="Times New Roman"/>
          <w:sz w:val="24"/>
          <w:szCs w:val="24"/>
          <w:shd w:val="clear" w:color="auto" w:fill="FFFFFF"/>
        </w:rPr>
        <w:t>McLiesh</w:t>
      </w:r>
      <w:proofErr w:type="spellEnd"/>
      <w:r w:rsidRPr="00020413">
        <w:rPr>
          <w:rFonts w:ascii="Times New Roman" w:hAnsi="Times New Roman"/>
          <w:sz w:val="24"/>
          <w:szCs w:val="24"/>
          <w:shd w:val="clear" w:color="auto" w:fill="FFFFFF"/>
        </w:rPr>
        <w:t xml:space="preserve"> C, Shleifer A</w:t>
      </w:r>
      <w:r w:rsidRPr="00020413" w:rsidDel="00B33AD1">
        <w:rPr>
          <w:rFonts w:ascii="Times New Roman" w:hAnsi="Times New Roman"/>
          <w:sz w:val="24"/>
          <w:szCs w:val="24"/>
          <w:shd w:val="clear" w:color="auto" w:fill="FFFFFF"/>
        </w:rPr>
        <w:t xml:space="preserve"> </w:t>
      </w:r>
      <w:r w:rsidRPr="00020413">
        <w:rPr>
          <w:rFonts w:ascii="Times New Roman" w:hAnsi="Times New Roman"/>
          <w:sz w:val="24"/>
          <w:szCs w:val="24"/>
          <w:shd w:val="clear" w:color="auto" w:fill="FFFFFF"/>
        </w:rPr>
        <w:t>(2007) Private credit in 129 countries.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Econ  84:</w:t>
      </w:r>
      <w:r w:rsidRPr="00020413">
        <w:rPr>
          <w:rFonts w:ascii="Times New Roman" w:hAnsi="Times New Roman"/>
          <w:sz w:val="24"/>
          <w:szCs w:val="24"/>
          <w:shd w:val="clear" w:color="auto" w:fill="FFFFFF"/>
        </w:rPr>
        <w:t>299-329</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Doblas</w:t>
      </w:r>
      <w:proofErr w:type="spellEnd"/>
      <w:r w:rsidRPr="00020413">
        <w:rPr>
          <w:rFonts w:ascii="Times New Roman" w:hAnsi="Times New Roman"/>
          <w:sz w:val="24"/>
          <w:szCs w:val="24"/>
          <w:shd w:val="clear" w:color="auto" w:fill="FFFFFF"/>
        </w:rPr>
        <w:t xml:space="preserve">-Madrid A, </w:t>
      </w:r>
      <w:proofErr w:type="spellStart"/>
      <w:r w:rsidRPr="00020413">
        <w:rPr>
          <w:rFonts w:ascii="Times New Roman" w:hAnsi="Times New Roman"/>
          <w:sz w:val="24"/>
          <w:szCs w:val="24"/>
          <w:shd w:val="clear" w:color="auto" w:fill="FFFFFF"/>
        </w:rPr>
        <w:t>Minetti</w:t>
      </w:r>
      <w:proofErr w:type="spellEnd"/>
      <w:r w:rsidRPr="00020413">
        <w:rPr>
          <w:rFonts w:ascii="Times New Roman" w:hAnsi="Times New Roman"/>
          <w:sz w:val="24"/>
          <w:szCs w:val="24"/>
          <w:shd w:val="clear" w:color="auto" w:fill="FFFFFF"/>
        </w:rPr>
        <w:t xml:space="preserve"> R (2013) Sharing information in the credit market: Contract-</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level evidence from US firms.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Econ 109</w:t>
      </w:r>
      <w:r w:rsidRPr="00020413">
        <w:rPr>
          <w:rFonts w:ascii="Times New Roman" w:hAnsi="Times New Roman"/>
          <w:sz w:val="24"/>
          <w:szCs w:val="24"/>
          <w:shd w:val="clear" w:color="auto" w:fill="FFFFFF"/>
        </w:rPr>
        <w:t>:198-223</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Dodd O, Gilbert A (2016) The impact of cross-listing on the home market’s information environment and stock price efficiency.</w:t>
      </w:r>
      <w:r w:rsidRPr="00020413">
        <w:rPr>
          <w:rStyle w:val="apple-converted-space"/>
          <w:rFonts w:ascii="Times New Roman" w:hAnsi="Times New Roman"/>
          <w:sz w:val="24"/>
          <w:szCs w:val="24"/>
          <w:shd w:val="clear" w:color="auto" w:fill="FFFFFF"/>
        </w:rPr>
        <w:t> </w:t>
      </w:r>
      <w:proofErr w:type="spellStart"/>
      <w:r w:rsidRPr="00020413">
        <w:rPr>
          <w:rStyle w:val="apple-converted-space"/>
          <w:rFonts w:ascii="Times New Roman" w:hAnsi="Times New Roman"/>
          <w:sz w:val="24"/>
          <w:szCs w:val="24"/>
          <w:shd w:val="clear" w:color="auto" w:fill="FFFFFF"/>
        </w:rPr>
        <w:t>Financ</w:t>
      </w:r>
      <w:proofErr w:type="spellEnd"/>
      <w:r w:rsidRPr="00020413">
        <w:rPr>
          <w:rStyle w:val="apple-converted-space"/>
          <w:rFonts w:ascii="Times New Roman" w:hAnsi="Times New Roman"/>
          <w:sz w:val="24"/>
          <w:szCs w:val="24"/>
          <w:shd w:val="clear" w:color="auto" w:fill="FFFFFF"/>
        </w:rPr>
        <w:t xml:space="preserve"> Rev 51</w:t>
      </w:r>
      <w:r w:rsidRPr="00020413">
        <w:rPr>
          <w:rFonts w:ascii="Times New Roman" w:hAnsi="Times New Roman"/>
          <w:sz w:val="24"/>
          <w:szCs w:val="24"/>
          <w:shd w:val="clear" w:color="auto" w:fill="FFFFFF"/>
        </w:rPr>
        <w:t>:299-328</w:t>
      </w:r>
    </w:p>
    <w:p w:rsidR="00651C5E" w:rsidRPr="00020413" w:rsidRDefault="00651C5E" w:rsidP="00651C5E">
      <w:pPr>
        <w:spacing w:after="0" w:line="240" w:lineRule="auto"/>
        <w:jc w:val="both"/>
        <w:rPr>
          <w:rFonts w:ascii="Times New Roman" w:hAnsi="Times New Roman"/>
          <w:iCs/>
          <w:sz w:val="24"/>
          <w:szCs w:val="24"/>
          <w:shd w:val="clear" w:color="auto" w:fill="FFFFFF"/>
        </w:rPr>
      </w:pPr>
      <w:r w:rsidRPr="00020413">
        <w:rPr>
          <w:rFonts w:ascii="Times New Roman" w:hAnsi="Times New Roman"/>
          <w:sz w:val="24"/>
          <w:szCs w:val="24"/>
          <w:shd w:val="clear" w:color="auto" w:fill="FFFFFF"/>
        </w:rPr>
        <w:t xml:space="preserve">Fosu S (2013) Banking competition in Africa: </w:t>
      </w:r>
      <w:proofErr w:type="spellStart"/>
      <w:r w:rsidRPr="00020413">
        <w:rPr>
          <w:rFonts w:ascii="Times New Roman" w:hAnsi="Times New Roman"/>
          <w:sz w:val="24"/>
          <w:szCs w:val="24"/>
          <w:shd w:val="clear" w:color="auto" w:fill="FFFFFF"/>
        </w:rPr>
        <w:t>Subregional</w:t>
      </w:r>
      <w:proofErr w:type="spellEnd"/>
      <w:r w:rsidRPr="00020413">
        <w:rPr>
          <w:rFonts w:ascii="Times New Roman" w:hAnsi="Times New Roman"/>
          <w:sz w:val="24"/>
          <w:szCs w:val="24"/>
          <w:shd w:val="clear" w:color="auto" w:fill="FFFFFF"/>
        </w:rPr>
        <w:t xml:space="preserve"> comparative studies.</w:t>
      </w:r>
      <w:r w:rsidRPr="00020413">
        <w:rPr>
          <w:rStyle w:val="apple-converted-space"/>
          <w:rFonts w:ascii="Times New Roman" w:hAnsi="Times New Roman"/>
          <w:sz w:val="24"/>
          <w:szCs w:val="24"/>
          <w:shd w:val="clear" w:color="auto" w:fill="FFFFFF"/>
        </w:rPr>
        <w:t> </w:t>
      </w:r>
      <w:proofErr w:type="spellStart"/>
      <w:r w:rsidRPr="00020413">
        <w:rPr>
          <w:rFonts w:ascii="Times New Roman" w:hAnsi="Times New Roman"/>
          <w:iCs/>
          <w:sz w:val="24"/>
          <w:szCs w:val="24"/>
          <w:shd w:val="clear" w:color="auto" w:fill="FFFFFF"/>
        </w:rPr>
        <w:t>Emerg</w:t>
      </w:r>
      <w:proofErr w:type="spellEnd"/>
      <w:r w:rsidRPr="00020413">
        <w:rPr>
          <w:rFonts w:ascii="Times New Roman" w:hAnsi="Times New Roman"/>
          <w:iCs/>
          <w:sz w:val="24"/>
          <w:szCs w:val="24"/>
          <w:shd w:val="clear" w:color="auto" w:fill="FFFFFF"/>
        </w:rPr>
        <w:t xml:space="preserve">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Mark Rev</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15:</w:t>
      </w:r>
      <w:r w:rsidRPr="00020413">
        <w:rPr>
          <w:rFonts w:ascii="Times New Roman" w:hAnsi="Times New Roman"/>
          <w:sz w:val="24"/>
          <w:szCs w:val="24"/>
          <w:shd w:val="clear" w:color="auto" w:fill="FFFFFF"/>
        </w:rPr>
        <w:t>233-254</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Fosu S (2014) Credit information, consolidation and credit market performance: Bank-level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evidence from developing countries. </w:t>
      </w:r>
      <w:r w:rsidRPr="00020413">
        <w:rPr>
          <w:rFonts w:ascii="Times New Roman" w:hAnsi="Times New Roman"/>
          <w:iCs/>
          <w:sz w:val="24"/>
          <w:szCs w:val="24"/>
        </w:rPr>
        <w:t xml:space="preserve">Int Rev </w:t>
      </w:r>
      <w:proofErr w:type="spellStart"/>
      <w:r w:rsidRPr="00020413">
        <w:rPr>
          <w:rFonts w:ascii="Times New Roman" w:hAnsi="Times New Roman"/>
          <w:iCs/>
          <w:sz w:val="24"/>
          <w:szCs w:val="24"/>
        </w:rPr>
        <w:t>Financ</w:t>
      </w:r>
      <w:proofErr w:type="spellEnd"/>
      <w:r w:rsidRPr="00020413">
        <w:rPr>
          <w:rFonts w:ascii="Times New Roman" w:hAnsi="Times New Roman"/>
          <w:iCs/>
          <w:sz w:val="24"/>
          <w:szCs w:val="24"/>
        </w:rPr>
        <w:t xml:space="preserve"> Anal</w:t>
      </w:r>
      <w:r w:rsidRPr="00020413">
        <w:rPr>
          <w:rFonts w:ascii="Times New Roman" w:hAnsi="Times New Roman"/>
          <w:sz w:val="24"/>
          <w:szCs w:val="24"/>
        </w:rPr>
        <w:t xml:space="preserve"> </w:t>
      </w:r>
      <w:r w:rsidRPr="00020413">
        <w:rPr>
          <w:rFonts w:ascii="Times New Roman" w:hAnsi="Times New Roman"/>
          <w:iCs/>
          <w:sz w:val="24"/>
          <w:szCs w:val="24"/>
        </w:rPr>
        <w:t>32:</w:t>
      </w:r>
      <w:r w:rsidRPr="00020413">
        <w:rPr>
          <w:rFonts w:ascii="Times New Roman" w:hAnsi="Times New Roman"/>
          <w:sz w:val="24"/>
          <w:szCs w:val="24"/>
        </w:rPr>
        <w:t>23-36.</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rPr>
        <w:t xml:space="preserve">Fosu S, Danso A, Agyei-Boapeah H, Ntim CG, Murinde V (2018) How does banking market power affect bank opacity? Evidence from analysts’ forecast. </w:t>
      </w:r>
      <w:r w:rsidRPr="00020413">
        <w:rPr>
          <w:rFonts w:ascii="Times New Roman" w:hAnsi="Times New Roman"/>
          <w:iCs/>
          <w:sz w:val="24"/>
          <w:szCs w:val="24"/>
        </w:rPr>
        <w:t xml:space="preserve">Int Rev </w:t>
      </w:r>
      <w:proofErr w:type="spellStart"/>
      <w:r w:rsidRPr="00020413">
        <w:rPr>
          <w:rFonts w:ascii="Times New Roman" w:hAnsi="Times New Roman"/>
          <w:iCs/>
          <w:sz w:val="24"/>
          <w:szCs w:val="24"/>
        </w:rPr>
        <w:t>Financ</w:t>
      </w:r>
      <w:proofErr w:type="spellEnd"/>
      <w:r w:rsidRPr="00020413">
        <w:rPr>
          <w:rFonts w:ascii="Times New Roman" w:hAnsi="Times New Roman"/>
          <w:iCs/>
          <w:sz w:val="24"/>
          <w:szCs w:val="24"/>
        </w:rPr>
        <w:t xml:space="preserve"> Anal</w:t>
      </w:r>
      <w:r w:rsidRPr="00020413">
        <w:rPr>
          <w:rFonts w:ascii="Times New Roman" w:hAnsi="Times New Roman"/>
          <w:sz w:val="24"/>
          <w:szCs w:val="24"/>
        </w:rPr>
        <w:t xml:space="preserve"> </w:t>
      </w:r>
      <w:r w:rsidRPr="00020413">
        <w:rPr>
          <w:rFonts w:ascii="Times New Roman" w:hAnsi="Times New Roman"/>
          <w:iCs/>
          <w:sz w:val="24"/>
          <w:szCs w:val="24"/>
        </w:rPr>
        <w:t>60:</w:t>
      </w:r>
      <w:r w:rsidRPr="00020413">
        <w:rPr>
          <w:rFonts w:ascii="Times New Roman" w:hAnsi="Times New Roman"/>
          <w:sz w:val="24"/>
          <w:szCs w:val="24"/>
        </w:rPr>
        <w:t>38-52.</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Gietzen</w:t>
      </w:r>
      <w:proofErr w:type="spellEnd"/>
      <w:r w:rsidRPr="00020413">
        <w:rPr>
          <w:rFonts w:ascii="Times New Roman" w:hAnsi="Times New Roman"/>
          <w:sz w:val="24"/>
          <w:szCs w:val="24"/>
          <w:shd w:val="clear" w:color="auto" w:fill="FFFFFF"/>
        </w:rPr>
        <w:t xml:space="preserve"> T (2017) Credit Information Sharing and Hold-up (March 1, 2017). University of </w:t>
      </w:r>
      <w:proofErr w:type="spellStart"/>
      <w:r w:rsidRPr="00020413">
        <w:rPr>
          <w:rFonts w:ascii="Times New Roman" w:hAnsi="Times New Roman"/>
          <w:sz w:val="24"/>
          <w:szCs w:val="24"/>
          <w:shd w:val="clear" w:color="auto" w:fill="FFFFFF"/>
        </w:rPr>
        <w:t>St.Gallen</w:t>
      </w:r>
      <w:proofErr w:type="spellEnd"/>
      <w:r w:rsidRPr="00020413">
        <w:rPr>
          <w:rFonts w:ascii="Times New Roman" w:hAnsi="Times New Roman"/>
          <w:sz w:val="24"/>
          <w:szCs w:val="24"/>
          <w:shd w:val="clear" w:color="auto" w:fill="FFFFFF"/>
        </w:rPr>
        <w:t>, School of Finance Research Paper No. 2016/12. Available at SSRN: </w:t>
      </w:r>
      <w:hyperlink r:id="rId68" w:tgtFrame="_blank" w:history="1">
        <w:r w:rsidRPr="00020413">
          <w:rPr>
            <w:rStyle w:val="Hyperlink"/>
            <w:rFonts w:ascii="Times New Roman" w:hAnsi="Times New Roman"/>
            <w:sz w:val="24"/>
            <w:szCs w:val="24"/>
            <w:shd w:val="clear" w:color="auto" w:fill="FFFFFF"/>
          </w:rPr>
          <w:t>https://ssrn.com/abstract=2798531</w:t>
        </w:r>
      </w:hyperlink>
      <w:r w:rsidRPr="00020413">
        <w:rPr>
          <w:rFonts w:ascii="Times New Roman" w:hAnsi="Times New Roman"/>
          <w:sz w:val="24"/>
          <w:szCs w:val="24"/>
          <w:shd w:val="clear" w:color="auto" w:fill="FFFFFF"/>
        </w:rPr>
        <w:t> or </w:t>
      </w:r>
      <w:hyperlink r:id="rId69" w:tgtFrame="_blank" w:history="1">
        <w:r w:rsidRPr="00020413">
          <w:rPr>
            <w:rStyle w:val="Hyperlink"/>
            <w:rFonts w:ascii="Times New Roman" w:hAnsi="Times New Roman"/>
            <w:sz w:val="24"/>
            <w:szCs w:val="24"/>
            <w:shd w:val="clear" w:color="auto" w:fill="FFFFFF"/>
          </w:rPr>
          <w:t>http://dx.doi.org/10.2139/ssrn.2798531</w:t>
        </w:r>
      </w:hyperlink>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rPr>
        <w:t>Goenner</w:t>
      </w:r>
      <w:proofErr w:type="spellEnd"/>
      <w:r w:rsidRPr="00020413">
        <w:rPr>
          <w:rFonts w:ascii="Times New Roman" w:hAnsi="Times New Roman"/>
          <w:sz w:val="24"/>
          <w:szCs w:val="24"/>
        </w:rPr>
        <w:t xml:space="preserve"> CF (2018). The market for private student loans: an analysis of credit union exposure, risk, and returns. </w:t>
      </w:r>
      <w:r w:rsidRPr="00020413">
        <w:rPr>
          <w:rFonts w:ascii="Times New Roman" w:hAnsi="Times New Roman"/>
          <w:iCs/>
          <w:sz w:val="24"/>
          <w:szCs w:val="24"/>
        </w:rPr>
        <w:t>Rev Quant Finance Account</w:t>
      </w:r>
      <w:r w:rsidRPr="00020413">
        <w:rPr>
          <w:rFonts w:ascii="Times New Roman" w:hAnsi="Times New Roman"/>
          <w:sz w:val="24"/>
          <w:szCs w:val="24"/>
        </w:rPr>
        <w:t xml:space="preserve"> </w:t>
      </w:r>
      <w:r w:rsidRPr="00020413">
        <w:rPr>
          <w:rFonts w:ascii="Times New Roman" w:hAnsi="Times New Roman"/>
          <w:iCs/>
          <w:sz w:val="24"/>
          <w:szCs w:val="24"/>
        </w:rPr>
        <w:t>50</w:t>
      </w:r>
      <w:r w:rsidRPr="00020413">
        <w:rPr>
          <w:rFonts w:ascii="Times New Roman" w:hAnsi="Times New Roman"/>
          <w:sz w:val="24"/>
          <w:szCs w:val="24"/>
        </w:rPr>
        <w:t>(4):1227-1251.</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Ghosh, A. (2015) Banking-industry specific and regional economic determinants of non- </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 xml:space="preserve">performing loans: Evidence from US states. J </w:t>
      </w:r>
      <w:proofErr w:type="spellStart"/>
      <w:r w:rsidRPr="00020413">
        <w:rPr>
          <w:rFonts w:ascii="Times New Roman" w:hAnsi="Times New Roman"/>
          <w:sz w:val="24"/>
          <w:szCs w:val="24"/>
        </w:rPr>
        <w:t>Financ</w:t>
      </w:r>
      <w:proofErr w:type="spellEnd"/>
      <w:r w:rsidRPr="00020413">
        <w:rPr>
          <w:rFonts w:ascii="Times New Roman" w:hAnsi="Times New Roman"/>
          <w:sz w:val="24"/>
          <w:szCs w:val="24"/>
        </w:rPr>
        <w:t xml:space="preserve"> Stab 20:93-104.</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Grajzl</w:t>
      </w:r>
      <w:proofErr w:type="spellEnd"/>
      <w:r w:rsidRPr="00020413">
        <w:rPr>
          <w:rFonts w:ascii="Times New Roman" w:hAnsi="Times New Roman"/>
          <w:sz w:val="24"/>
          <w:szCs w:val="24"/>
          <w:shd w:val="clear" w:color="auto" w:fill="FFFFFF"/>
        </w:rPr>
        <w:t xml:space="preserve"> P, </w:t>
      </w:r>
      <w:proofErr w:type="spellStart"/>
      <w:r w:rsidRPr="00020413">
        <w:rPr>
          <w:rFonts w:ascii="Times New Roman" w:hAnsi="Times New Roman"/>
          <w:sz w:val="24"/>
          <w:szCs w:val="24"/>
          <w:shd w:val="clear" w:color="auto" w:fill="FFFFFF"/>
        </w:rPr>
        <w:t>Laptieva</w:t>
      </w:r>
      <w:proofErr w:type="spellEnd"/>
      <w:r w:rsidRPr="00020413">
        <w:rPr>
          <w:rFonts w:ascii="Times New Roman" w:hAnsi="Times New Roman"/>
          <w:sz w:val="24"/>
          <w:szCs w:val="24"/>
          <w:shd w:val="clear" w:color="auto" w:fill="FFFFFF"/>
        </w:rPr>
        <w:t xml:space="preserve"> N (2016) Information sharing and the volume of private credit in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transition: Evidence from Ukrainian bank-level panel data. </w:t>
      </w:r>
      <w:r w:rsidRPr="00020413">
        <w:rPr>
          <w:rFonts w:ascii="Times New Roman" w:hAnsi="Times New Roman"/>
          <w:iCs/>
          <w:sz w:val="24"/>
          <w:szCs w:val="24"/>
          <w:shd w:val="clear" w:color="auto" w:fill="FFFFFF"/>
        </w:rPr>
        <w:t>J Comp Econ</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44</w:t>
      </w:r>
      <w:r w:rsidRPr="00020413">
        <w:rPr>
          <w:rFonts w:ascii="Times New Roman" w:hAnsi="Times New Roman"/>
          <w:sz w:val="24"/>
          <w:szCs w:val="24"/>
          <w:shd w:val="clear" w:color="auto" w:fill="FFFFFF"/>
        </w:rPr>
        <w:t>:434-449</w:t>
      </w:r>
    </w:p>
    <w:p w:rsidR="00651C5E" w:rsidRPr="00020413" w:rsidRDefault="00651C5E" w:rsidP="00651C5E">
      <w:pPr>
        <w:spacing w:after="0" w:line="240" w:lineRule="auto"/>
        <w:ind w:left="720" w:hanging="720"/>
        <w:jc w:val="both"/>
        <w:rPr>
          <w:rFonts w:ascii="Times New Roman" w:hAnsi="Times New Roman"/>
          <w:sz w:val="24"/>
          <w:szCs w:val="24"/>
          <w:lang w:eastAsia="en-GB"/>
        </w:rPr>
      </w:pPr>
      <w:proofErr w:type="spellStart"/>
      <w:r w:rsidRPr="00020413">
        <w:rPr>
          <w:rFonts w:ascii="Times New Roman" w:hAnsi="Times New Roman"/>
          <w:sz w:val="24"/>
          <w:szCs w:val="24"/>
          <w:lang w:eastAsia="en-GB"/>
        </w:rPr>
        <w:t>Gwatidzo</w:t>
      </w:r>
      <w:proofErr w:type="spellEnd"/>
      <w:r w:rsidRPr="00020413">
        <w:rPr>
          <w:rFonts w:ascii="Times New Roman" w:hAnsi="Times New Roman"/>
          <w:sz w:val="24"/>
          <w:szCs w:val="24"/>
          <w:lang w:eastAsia="en-GB"/>
        </w:rPr>
        <w:t xml:space="preserve"> T, </w:t>
      </w:r>
      <w:proofErr w:type="spellStart"/>
      <w:r w:rsidRPr="00020413">
        <w:rPr>
          <w:rFonts w:ascii="Times New Roman" w:hAnsi="Times New Roman"/>
          <w:sz w:val="24"/>
          <w:szCs w:val="24"/>
          <w:lang w:eastAsia="en-GB"/>
        </w:rPr>
        <w:t>Ojah</w:t>
      </w:r>
      <w:proofErr w:type="spellEnd"/>
      <w:r w:rsidRPr="00020413">
        <w:rPr>
          <w:rFonts w:ascii="Times New Roman" w:hAnsi="Times New Roman"/>
          <w:sz w:val="24"/>
          <w:szCs w:val="24"/>
          <w:lang w:eastAsia="en-GB"/>
        </w:rPr>
        <w:t xml:space="preserve"> K (2014) Firms’ debt choice in Africa: Are institutional infrastructure and non-traditional determinants important? Int Rev </w:t>
      </w:r>
      <w:proofErr w:type="spellStart"/>
      <w:r w:rsidRPr="00020413">
        <w:rPr>
          <w:rFonts w:ascii="Times New Roman" w:hAnsi="Times New Roman"/>
          <w:sz w:val="24"/>
          <w:szCs w:val="24"/>
          <w:lang w:eastAsia="en-GB"/>
        </w:rPr>
        <w:t>Financ</w:t>
      </w:r>
      <w:proofErr w:type="spellEnd"/>
      <w:r w:rsidRPr="00020413">
        <w:rPr>
          <w:rFonts w:ascii="Times New Roman" w:hAnsi="Times New Roman"/>
          <w:sz w:val="24"/>
          <w:szCs w:val="24"/>
          <w:lang w:eastAsia="en-GB"/>
        </w:rPr>
        <w:t xml:space="preserve"> Anal 31:152–166</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rPr>
        <w:t>Hanousek</w:t>
      </w:r>
      <w:proofErr w:type="spellEnd"/>
      <w:r w:rsidRPr="00020413">
        <w:rPr>
          <w:rFonts w:ascii="Times New Roman" w:hAnsi="Times New Roman"/>
          <w:sz w:val="24"/>
          <w:szCs w:val="24"/>
        </w:rPr>
        <w:t xml:space="preserve"> J, </w:t>
      </w:r>
      <w:proofErr w:type="spellStart"/>
      <w:r w:rsidRPr="00020413">
        <w:rPr>
          <w:rFonts w:ascii="Times New Roman" w:hAnsi="Times New Roman"/>
          <w:sz w:val="24"/>
          <w:szCs w:val="24"/>
        </w:rPr>
        <w:t>Kochanova</w:t>
      </w:r>
      <w:proofErr w:type="spellEnd"/>
      <w:r w:rsidRPr="00020413">
        <w:rPr>
          <w:rFonts w:ascii="Times New Roman" w:hAnsi="Times New Roman"/>
          <w:sz w:val="24"/>
          <w:szCs w:val="24"/>
        </w:rPr>
        <w:t xml:space="preserve"> A (2016) Bribery environments and firm performance: Evidence from CEE countries. Eur J Polit Econ 43:14-28</w:t>
      </w:r>
    </w:p>
    <w:p w:rsidR="00651C5E" w:rsidRPr="00020413" w:rsidRDefault="00651C5E" w:rsidP="00651C5E">
      <w:pPr>
        <w:spacing w:after="0" w:line="240" w:lineRule="auto"/>
        <w:ind w:left="720" w:hanging="720"/>
        <w:jc w:val="both"/>
        <w:rPr>
          <w:rFonts w:ascii="Times New Roman" w:hAnsi="Times New Roman"/>
          <w:sz w:val="24"/>
          <w:szCs w:val="24"/>
          <w:lang w:eastAsia="en-GB"/>
        </w:rPr>
      </w:pPr>
      <w:r w:rsidRPr="00020413">
        <w:rPr>
          <w:rFonts w:ascii="Times New Roman" w:hAnsi="Times New Roman"/>
          <w:sz w:val="24"/>
          <w:szCs w:val="24"/>
          <w:lang w:eastAsia="en-GB"/>
        </w:rPr>
        <w:t xml:space="preserve">Hearn, B, Strange, R, &amp; </w:t>
      </w:r>
      <w:proofErr w:type="spellStart"/>
      <w:r w:rsidRPr="00020413">
        <w:rPr>
          <w:rFonts w:ascii="Times New Roman" w:hAnsi="Times New Roman"/>
          <w:sz w:val="24"/>
          <w:szCs w:val="24"/>
          <w:lang w:eastAsia="en-GB"/>
        </w:rPr>
        <w:t>Piesse</w:t>
      </w:r>
      <w:proofErr w:type="spellEnd"/>
      <w:r w:rsidRPr="00020413">
        <w:rPr>
          <w:rFonts w:ascii="Times New Roman" w:hAnsi="Times New Roman"/>
          <w:sz w:val="24"/>
          <w:szCs w:val="24"/>
          <w:lang w:eastAsia="en-GB"/>
        </w:rPr>
        <w:t>, J. (2017). Social elites on the board and executive pay in developing countries: Evidence from Africa. J World Bus 52:230-243.</w:t>
      </w:r>
    </w:p>
    <w:p w:rsidR="00651C5E" w:rsidRPr="00020413" w:rsidRDefault="00651C5E" w:rsidP="00651C5E">
      <w:pPr>
        <w:spacing w:after="0" w:line="240" w:lineRule="auto"/>
        <w:ind w:left="720" w:hanging="720"/>
        <w:jc w:val="both"/>
        <w:rPr>
          <w:rFonts w:ascii="Times New Roman" w:hAnsi="Times New Roman"/>
          <w:sz w:val="24"/>
          <w:szCs w:val="24"/>
          <w:lang w:eastAsia="en-GB"/>
        </w:rPr>
      </w:pPr>
      <w:proofErr w:type="spellStart"/>
      <w:r w:rsidRPr="00020413">
        <w:rPr>
          <w:rFonts w:ascii="Times New Roman" w:hAnsi="Times New Roman"/>
          <w:sz w:val="24"/>
          <w:szCs w:val="24"/>
          <w:lang w:eastAsia="en-GB"/>
        </w:rPr>
        <w:t>Hauswald</w:t>
      </w:r>
      <w:proofErr w:type="spellEnd"/>
      <w:r w:rsidRPr="00020413">
        <w:rPr>
          <w:rFonts w:ascii="Times New Roman" w:hAnsi="Times New Roman"/>
          <w:sz w:val="24"/>
          <w:szCs w:val="24"/>
          <w:lang w:eastAsia="en-GB"/>
        </w:rPr>
        <w:t xml:space="preserve"> R, Marquez R (2006) Competition and strategic information acquisition in credit markets. Rev </w:t>
      </w:r>
      <w:proofErr w:type="spellStart"/>
      <w:r w:rsidRPr="00020413">
        <w:rPr>
          <w:rFonts w:ascii="Times New Roman" w:hAnsi="Times New Roman"/>
          <w:sz w:val="24"/>
          <w:szCs w:val="24"/>
          <w:lang w:eastAsia="en-GB"/>
        </w:rPr>
        <w:t>Financ</w:t>
      </w:r>
      <w:proofErr w:type="spellEnd"/>
      <w:r w:rsidRPr="00020413">
        <w:rPr>
          <w:rFonts w:ascii="Times New Roman" w:hAnsi="Times New Roman"/>
          <w:sz w:val="24"/>
          <w:szCs w:val="24"/>
          <w:lang w:eastAsia="en-GB"/>
        </w:rPr>
        <w:t xml:space="preserve"> Stud 19:967-1000</w:t>
      </w:r>
    </w:p>
    <w:p w:rsidR="00651C5E" w:rsidRPr="00020413" w:rsidRDefault="00651C5E" w:rsidP="00651C5E">
      <w:pPr>
        <w:spacing w:after="0" w:line="240" w:lineRule="auto"/>
        <w:jc w:val="both"/>
        <w:rPr>
          <w:rFonts w:ascii="Times New Roman" w:hAnsi="Times New Roman"/>
          <w:sz w:val="24"/>
          <w:szCs w:val="24"/>
          <w:lang w:eastAsia="en-GB"/>
        </w:rPr>
      </w:pPr>
      <w:proofErr w:type="spellStart"/>
      <w:r w:rsidRPr="00020413">
        <w:rPr>
          <w:rFonts w:ascii="Times New Roman" w:hAnsi="Times New Roman"/>
          <w:sz w:val="24"/>
          <w:szCs w:val="24"/>
          <w:lang w:eastAsia="en-GB"/>
        </w:rPr>
        <w:t>Honohan</w:t>
      </w:r>
      <w:proofErr w:type="spellEnd"/>
      <w:r w:rsidRPr="00020413">
        <w:rPr>
          <w:rFonts w:ascii="Times New Roman" w:hAnsi="Times New Roman"/>
          <w:sz w:val="24"/>
          <w:szCs w:val="24"/>
          <w:lang w:eastAsia="en-GB"/>
        </w:rPr>
        <w:t xml:space="preserve"> P, Beck T (2007) Making finance work for Africa. Washington, DC: World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lang w:eastAsia="en-GB"/>
        </w:rPr>
        <w:t>Bank</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Houston JF, Lin C, Lin P, Ma Y (2010) Creditor rights, information sharing, and bank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risk taking.</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Econ  96:</w:t>
      </w:r>
      <w:r w:rsidRPr="00020413">
        <w:rPr>
          <w:rFonts w:ascii="Times New Roman" w:hAnsi="Times New Roman"/>
          <w:sz w:val="24"/>
          <w:szCs w:val="24"/>
          <w:shd w:val="clear" w:color="auto" w:fill="FFFFFF"/>
        </w:rPr>
        <w:t>485-512</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rPr>
        <w:t xml:space="preserve">Hu Y, Mao C (2017). Accounting quality, bank monitoring, and performance pricing loans. Rev Quant </w:t>
      </w:r>
      <w:proofErr w:type="spellStart"/>
      <w:r w:rsidRPr="00020413">
        <w:rPr>
          <w:rFonts w:ascii="Times New Roman" w:hAnsi="Times New Roman"/>
          <w:sz w:val="24"/>
          <w:szCs w:val="24"/>
        </w:rPr>
        <w:t>Financ</w:t>
      </w:r>
      <w:proofErr w:type="spellEnd"/>
      <w:r w:rsidRPr="00020413">
        <w:rPr>
          <w:rFonts w:ascii="Times New Roman" w:hAnsi="Times New Roman"/>
          <w:sz w:val="24"/>
          <w:szCs w:val="24"/>
        </w:rPr>
        <w:t xml:space="preserve"> Account 49(3):569-597.</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Jappelli T, Pagano M</w:t>
      </w:r>
      <w:r w:rsidRPr="00020413" w:rsidDel="00BA6CB4">
        <w:rPr>
          <w:rFonts w:ascii="Times New Roman" w:hAnsi="Times New Roman"/>
          <w:sz w:val="24"/>
          <w:szCs w:val="24"/>
          <w:shd w:val="clear" w:color="auto" w:fill="FFFFFF"/>
        </w:rPr>
        <w:t xml:space="preserve"> </w:t>
      </w:r>
      <w:r w:rsidRPr="00020413">
        <w:rPr>
          <w:rFonts w:ascii="Times New Roman" w:hAnsi="Times New Roman"/>
          <w:sz w:val="24"/>
          <w:szCs w:val="24"/>
          <w:shd w:val="clear" w:color="auto" w:fill="FFFFFF"/>
        </w:rPr>
        <w:t xml:space="preserve">(2002) Information sharing, lending and defaults: Cross-country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lastRenderedPageBreak/>
        <w:t>evidence.</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Bank Finance 26:</w:t>
      </w:r>
      <w:r w:rsidRPr="00020413">
        <w:rPr>
          <w:rFonts w:ascii="Times New Roman" w:hAnsi="Times New Roman"/>
          <w:sz w:val="24"/>
          <w:szCs w:val="24"/>
          <w:shd w:val="clear" w:color="auto" w:fill="FFFFFF"/>
        </w:rPr>
        <w:t>2017-2045</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Jiménez G, Lopez JA, </w:t>
      </w:r>
      <w:proofErr w:type="spellStart"/>
      <w:r w:rsidRPr="00020413">
        <w:rPr>
          <w:rFonts w:ascii="Times New Roman" w:hAnsi="Times New Roman"/>
          <w:sz w:val="24"/>
          <w:szCs w:val="24"/>
          <w:shd w:val="clear" w:color="auto" w:fill="FFFFFF"/>
        </w:rPr>
        <w:t>Saurina</w:t>
      </w:r>
      <w:proofErr w:type="spellEnd"/>
      <w:r w:rsidRPr="00020413">
        <w:rPr>
          <w:rFonts w:ascii="Times New Roman" w:hAnsi="Times New Roman"/>
          <w:sz w:val="24"/>
          <w:szCs w:val="24"/>
          <w:shd w:val="clear" w:color="auto" w:fill="FFFFFF"/>
        </w:rPr>
        <w:t xml:space="preserve"> J (2013) How does competition affect bank risk-</w:t>
      </w:r>
      <w:proofErr w:type="gramStart"/>
      <w:r w:rsidRPr="00020413">
        <w:rPr>
          <w:rFonts w:ascii="Times New Roman" w:hAnsi="Times New Roman"/>
          <w:sz w:val="24"/>
          <w:szCs w:val="24"/>
          <w:shd w:val="clear" w:color="auto" w:fill="FFFFFF"/>
        </w:rPr>
        <w:t>taking?.</w:t>
      </w:r>
      <w:proofErr w:type="gramEnd"/>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Stab </w:t>
      </w:r>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9</w:t>
      </w:r>
      <w:r w:rsidRPr="00020413">
        <w:rPr>
          <w:rFonts w:ascii="Times New Roman" w:hAnsi="Times New Roman"/>
          <w:sz w:val="24"/>
          <w:szCs w:val="24"/>
          <w:shd w:val="clear" w:color="auto" w:fill="FFFFFF"/>
        </w:rPr>
        <w:t>(2):185-195</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Kallberg</w:t>
      </w:r>
      <w:proofErr w:type="spellEnd"/>
      <w:r w:rsidRPr="00020413">
        <w:rPr>
          <w:rFonts w:ascii="Times New Roman" w:hAnsi="Times New Roman"/>
          <w:sz w:val="24"/>
          <w:szCs w:val="24"/>
          <w:shd w:val="clear" w:color="auto" w:fill="FFFFFF"/>
        </w:rPr>
        <w:t xml:space="preserve"> JG, </w:t>
      </w:r>
      <w:proofErr w:type="spellStart"/>
      <w:r w:rsidRPr="00020413">
        <w:rPr>
          <w:rFonts w:ascii="Times New Roman" w:hAnsi="Times New Roman"/>
          <w:sz w:val="24"/>
          <w:szCs w:val="24"/>
          <w:shd w:val="clear" w:color="auto" w:fill="FFFFFF"/>
        </w:rPr>
        <w:t>Udell</w:t>
      </w:r>
      <w:proofErr w:type="spellEnd"/>
      <w:r w:rsidRPr="00020413">
        <w:rPr>
          <w:rFonts w:ascii="Times New Roman" w:hAnsi="Times New Roman"/>
          <w:sz w:val="24"/>
          <w:szCs w:val="24"/>
          <w:shd w:val="clear" w:color="auto" w:fill="FFFFFF"/>
        </w:rPr>
        <w:t xml:space="preserve"> GF (2003) The value of private sector business credit information sharing: The US case. </w:t>
      </w:r>
      <w:r w:rsidRPr="00020413">
        <w:rPr>
          <w:rFonts w:ascii="Times New Roman" w:hAnsi="Times New Roman"/>
          <w:iCs/>
          <w:sz w:val="24"/>
          <w:szCs w:val="24"/>
          <w:shd w:val="clear" w:color="auto" w:fill="FFFFFF"/>
        </w:rPr>
        <w:t xml:space="preserve">J Bank Finance </w:t>
      </w:r>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27</w:t>
      </w:r>
      <w:r w:rsidRPr="00020413">
        <w:rPr>
          <w:rFonts w:ascii="Times New Roman" w:hAnsi="Times New Roman"/>
          <w:sz w:val="24"/>
          <w:szCs w:val="24"/>
          <w:shd w:val="clear" w:color="auto" w:fill="FFFFFF"/>
        </w:rPr>
        <w:t>(3):449-469</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shd w:val="clear" w:color="auto" w:fill="FFFFFF"/>
        </w:rPr>
        <w:t xml:space="preserve">Kalyvas AN, </w:t>
      </w:r>
      <w:proofErr w:type="spellStart"/>
      <w:r w:rsidRPr="00020413">
        <w:rPr>
          <w:rFonts w:ascii="Times New Roman" w:hAnsi="Times New Roman"/>
          <w:sz w:val="24"/>
          <w:szCs w:val="24"/>
          <w:shd w:val="clear" w:color="auto" w:fill="FFFFFF"/>
        </w:rPr>
        <w:t>Mamatzakis</w:t>
      </w:r>
      <w:proofErr w:type="spellEnd"/>
      <w:r w:rsidRPr="00020413">
        <w:rPr>
          <w:rFonts w:ascii="Times New Roman" w:hAnsi="Times New Roman"/>
          <w:sz w:val="24"/>
          <w:szCs w:val="24"/>
          <w:shd w:val="clear" w:color="auto" w:fill="FFFFFF"/>
        </w:rPr>
        <w:t xml:space="preserve"> E (2017) Do creditor rights and information sharing affect the performance of foreign banks? </w:t>
      </w:r>
      <w:r w:rsidRPr="00020413">
        <w:rPr>
          <w:rFonts w:ascii="Times New Roman" w:hAnsi="Times New Roman"/>
          <w:iCs/>
          <w:sz w:val="24"/>
          <w:szCs w:val="24"/>
          <w:shd w:val="clear" w:color="auto" w:fill="FFFFFF"/>
        </w:rPr>
        <w:t xml:space="preserve">J Int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Mark Inst Money</w:t>
      </w:r>
      <w:r w:rsidRPr="00020413">
        <w:rPr>
          <w:rFonts w:ascii="Times New Roman" w:hAnsi="Times New Roman"/>
          <w:sz w:val="24"/>
          <w:szCs w:val="24"/>
          <w:shd w:val="clear" w:color="auto" w:fill="FFFFFF"/>
        </w:rPr>
        <w:t xml:space="preserve"> 50:13-35</w:t>
      </w:r>
    </w:p>
    <w:p w:rsidR="00651C5E" w:rsidRPr="00020413" w:rsidRDefault="00651C5E" w:rsidP="00651C5E">
      <w:pPr>
        <w:autoSpaceDE w:val="0"/>
        <w:autoSpaceDN w:val="0"/>
        <w:adjustRightInd w:val="0"/>
        <w:spacing w:after="0" w:line="240" w:lineRule="auto"/>
        <w:jc w:val="both"/>
        <w:rPr>
          <w:rFonts w:ascii="Times New Roman" w:hAnsi="Times New Roman"/>
          <w:sz w:val="24"/>
          <w:szCs w:val="24"/>
        </w:rPr>
      </w:pPr>
      <w:r w:rsidRPr="00020413">
        <w:rPr>
          <w:rFonts w:ascii="Times New Roman" w:hAnsi="Times New Roman"/>
          <w:sz w:val="24"/>
          <w:szCs w:val="24"/>
        </w:rPr>
        <w:t xml:space="preserve">Kaufmann D, </w:t>
      </w:r>
      <w:proofErr w:type="spellStart"/>
      <w:r w:rsidRPr="00020413">
        <w:rPr>
          <w:rFonts w:ascii="Times New Roman" w:hAnsi="Times New Roman"/>
          <w:sz w:val="24"/>
          <w:szCs w:val="24"/>
        </w:rPr>
        <w:t>Kraay</w:t>
      </w:r>
      <w:proofErr w:type="spellEnd"/>
      <w:r w:rsidRPr="00020413">
        <w:rPr>
          <w:rFonts w:ascii="Times New Roman" w:hAnsi="Times New Roman"/>
          <w:sz w:val="24"/>
          <w:szCs w:val="24"/>
        </w:rPr>
        <w:t xml:space="preserve"> A, </w:t>
      </w:r>
      <w:proofErr w:type="spellStart"/>
      <w:r w:rsidRPr="00020413">
        <w:rPr>
          <w:rFonts w:ascii="Times New Roman" w:hAnsi="Times New Roman"/>
          <w:sz w:val="24"/>
          <w:szCs w:val="24"/>
        </w:rPr>
        <w:t>Mastruzzi</w:t>
      </w:r>
      <w:proofErr w:type="spellEnd"/>
      <w:r w:rsidRPr="00020413">
        <w:rPr>
          <w:rFonts w:ascii="Times New Roman" w:hAnsi="Times New Roman"/>
          <w:sz w:val="24"/>
          <w:szCs w:val="24"/>
        </w:rPr>
        <w:t xml:space="preserve"> M (2011) The worldwide governance indicators:</w:t>
      </w:r>
    </w:p>
    <w:p w:rsidR="00651C5E" w:rsidRPr="00020413" w:rsidRDefault="00651C5E" w:rsidP="00651C5E">
      <w:pPr>
        <w:spacing w:after="0" w:line="240" w:lineRule="auto"/>
        <w:ind w:left="720"/>
        <w:jc w:val="both"/>
        <w:rPr>
          <w:rFonts w:ascii="Times New Roman" w:hAnsi="Times New Roman"/>
          <w:sz w:val="24"/>
          <w:szCs w:val="24"/>
        </w:rPr>
      </w:pPr>
      <w:r w:rsidRPr="00020413">
        <w:rPr>
          <w:rFonts w:ascii="Times New Roman" w:hAnsi="Times New Roman"/>
          <w:sz w:val="24"/>
          <w:szCs w:val="24"/>
        </w:rPr>
        <w:t>Methodology and analytical issues. Hague J Rule Law 3:220–246</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Klein DB (1992) Promise keeping in the great society: A model of credit information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rPr>
        <w:t xml:space="preserve">sharing. </w:t>
      </w:r>
      <w:r w:rsidRPr="00020413">
        <w:rPr>
          <w:rFonts w:ascii="Times New Roman" w:hAnsi="Times New Roman"/>
          <w:iCs/>
          <w:sz w:val="24"/>
          <w:szCs w:val="24"/>
        </w:rPr>
        <w:t>Econ Politics</w:t>
      </w:r>
      <w:r w:rsidRPr="00020413">
        <w:rPr>
          <w:rFonts w:ascii="Times New Roman" w:hAnsi="Times New Roman"/>
          <w:sz w:val="24"/>
          <w:szCs w:val="24"/>
        </w:rPr>
        <w:t xml:space="preserve"> </w:t>
      </w:r>
      <w:r w:rsidRPr="00020413">
        <w:rPr>
          <w:rFonts w:ascii="Times New Roman" w:hAnsi="Times New Roman"/>
          <w:iCs/>
          <w:sz w:val="24"/>
          <w:szCs w:val="24"/>
        </w:rPr>
        <w:t>4:</w:t>
      </w:r>
      <w:r w:rsidRPr="00020413">
        <w:rPr>
          <w:rFonts w:ascii="Times New Roman" w:hAnsi="Times New Roman"/>
          <w:sz w:val="24"/>
          <w:szCs w:val="24"/>
        </w:rPr>
        <w:t>117-136</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La Porta R, Lopez‐de‐Silanes F, Shleifer A, </w:t>
      </w:r>
      <w:proofErr w:type="spellStart"/>
      <w:r w:rsidRPr="00020413">
        <w:rPr>
          <w:rFonts w:ascii="Times New Roman" w:hAnsi="Times New Roman"/>
          <w:sz w:val="24"/>
          <w:szCs w:val="24"/>
          <w:shd w:val="clear" w:color="auto" w:fill="FFFFFF"/>
        </w:rPr>
        <w:t>Vishny</w:t>
      </w:r>
      <w:proofErr w:type="spellEnd"/>
      <w:r w:rsidRPr="00020413">
        <w:rPr>
          <w:rFonts w:ascii="Times New Roman" w:hAnsi="Times New Roman"/>
          <w:sz w:val="24"/>
          <w:szCs w:val="24"/>
          <w:shd w:val="clear" w:color="auto" w:fill="FFFFFF"/>
        </w:rPr>
        <w:t xml:space="preserve"> RW (1997) Legal determinants of external finance. </w:t>
      </w:r>
      <w:r w:rsidRPr="00020413">
        <w:rPr>
          <w:rFonts w:ascii="Times New Roman" w:hAnsi="Times New Roman"/>
          <w:iCs/>
          <w:sz w:val="24"/>
          <w:szCs w:val="24"/>
          <w:shd w:val="clear" w:color="auto" w:fill="FFFFFF"/>
        </w:rPr>
        <w:t>J finance</w:t>
      </w:r>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52</w:t>
      </w:r>
      <w:r w:rsidRPr="00020413">
        <w:rPr>
          <w:rFonts w:ascii="Times New Roman" w:hAnsi="Times New Roman"/>
          <w:sz w:val="24"/>
          <w:szCs w:val="24"/>
          <w:shd w:val="clear" w:color="auto" w:fill="FFFFFF"/>
        </w:rPr>
        <w:t>(3):1131-1150</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Lepetit</w:t>
      </w:r>
      <w:proofErr w:type="spellEnd"/>
      <w:r w:rsidRPr="00020413">
        <w:rPr>
          <w:rFonts w:ascii="Times New Roman" w:hAnsi="Times New Roman"/>
          <w:sz w:val="24"/>
          <w:szCs w:val="24"/>
          <w:shd w:val="clear" w:color="auto" w:fill="FFFFFF"/>
        </w:rPr>
        <w:t xml:space="preserve"> L, </w:t>
      </w:r>
      <w:proofErr w:type="spellStart"/>
      <w:r w:rsidRPr="00020413">
        <w:rPr>
          <w:rFonts w:ascii="Times New Roman" w:hAnsi="Times New Roman"/>
          <w:sz w:val="24"/>
          <w:szCs w:val="24"/>
          <w:shd w:val="clear" w:color="auto" w:fill="FFFFFF"/>
        </w:rPr>
        <w:t>Nys</w:t>
      </w:r>
      <w:proofErr w:type="spellEnd"/>
      <w:r w:rsidRPr="00020413">
        <w:rPr>
          <w:rFonts w:ascii="Times New Roman" w:hAnsi="Times New Roman"/>
          <w:sz w:val="24"/>
          <w:szCs w:val="24"/>
          <w:shd w:val="clear" w:color="auto" w:fill="FFFFFF"/>
        </w:rPr>
        <w:t xml:space="preserve"> E, Rous P, </w:t>
      </w:r>
      <w:proofErr w:type="spellStart"/>
      <w:r w:rsidRPr="00020413">
        <w:rPr>
          <w:rFonts w:ascii="Times New Roman" w:hAnsi="Times New Roman"/>
          <w:sz w:val="24"/>
          <w:szCs w:val="24"/>
          <w:shd w:val="clear" w:color="auto" w:fill="FFFFFF"/>
        </w:rPr>
        <w:t>Tarazi</w:t>
      </w:r>
      <w:proofErr w:type="spellEnd"/>
      <w:r w:rsidRPr="00020413">
        <w:rPr>
          <w:rFonts w:ascii="Times New Roman" w:hAnsi="Times New Roman"/>
          <w:sz w:val="24"/>
          <w:szCs w:val="24"/>
          <w:shd w:val="clear" w:color="auto" w:fill="FFFFFF"/>
        </w:rPr>
        <w:t xml:space="preserve"> A (2008) The expansion of services in European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banking: Implications for loan pricing and interest margins.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Bank Finance 32</w:t>
      </w:r>
      <w:r w:rsidRPr="00020413">
        <w:rPr>
          <w:rFonts w:ascii="Times New Roman" w:hAnsi="Times New Roman"/>
          <w:sz w:val="24"/>
          <w:szCs w:val="24"/>
          <w:shd w:val="clear" w:color="auto" w:fill="FFFFFF"/>
        </w:rPr>
        <w:t>:2325-2335</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Li D, </w:t>
      </w:r>
      <w:proofErr w:type="spellStart"/>
      <w:r w:rsidRPr="00020413">
        <w:rPr>
          <w:rFonts w:ascii="Times New Roman" w:hAnsi="Times New Roman"/>
          <w:sz w:val="24"/>
          <w:szCs w:val="24"/>
          <w:shd w:val="clear" w:color="auto" w:fill="FFFFFF"/>
        </w:rPr>
        <w:t>Moshirian</w:t>
      </w:r>
      <w:proofErr w:type="spellEnd"/>
      <w:r w:rsidRPr="00020413">
        <w:rPr>
          <w:rFonts w:ascii="Times New Roman" w:hAnsi="Times New Roman"/>
          <w:sz w:val="24"/>
          <w:szCs w:val="24"/>
          <w:shd w:val="clear" w:color="auto" w:fill="FFFFFF"/>
        </w:rPr>
        <w:t xml:space="preserve"> F, Peter KP, Jason Z (2006) When Financial Institutions Are Large Shareholders: The Role of Macro Corporate Governance Environments. J Finance 61:2975-3007</w:t>
      </w:r>
    </w:p>
    <w:p w:rsidR="00651C5E" w:rsidRPr="00020413" w:rsidRDefault="00651C5E" w:rsidP="00651C5E">
      <w:pPr>
        <w:spacing w:after="0" w:line="240" w:lineRule="auto"/>
        <w:ind w:left="720" w:hanging="720"/>
        <w:jc w:val="both"/>
        <w:rPr>
          <w:rFonts w:ascii="Times New Roman" w:hAnsi="Times New Roman"/>
          <w:sz w:val="24"/>
          <w:szCs w:val="24"/>
        </w:rPr>
      </w:pPr>
      <w:r w:rsidRPr="00020413">
        <w:rPr>
          <w:rFonts w:ascii="Times New Roman" w:hAnsi="Times New Roman"/>
          <w:sz w:val="24"/>
          <w:szCs w:val="24"/>
        </w:rPr>
        <w:t xml:space="preserve">Lian Y (2018). Bank competition and the cost of bank loans. </w:t>
      </w:r>
      <w:r w:rsidRPr="00020413">
        <w:rPr>
          <w:rFonts w:ascii="Times New Roman" w:hAnsi="Times New Roman"/>
          <w:iCs/>
          <w:sz w:val="24"/>
          <w:szCs w:val="24"/>
        </w:rPr>
        <w:t>Rev Quant Finance Account</w:t>
      </w:r>
      <w:r w:rsidRPr="00020413">
        <w:rPr>
          <w:rFonts w:ascii="Times New Roman" w:hAnsi="Times New Roman"/>
          <w:sz w:val="24"/>
          <w:szCs w:val="24"/>
        </w:rPr>
        <w:t>, 51:253-282</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Louzis</w:t>
      </w:r>
      <w:proofErr w:type="spellEnd"/>
      <w:r w:rsidRPr="00020413">
        <w:rPr>
          <w:rFonts w:ascii="Times New Roman" w:hAnsi="Times New Roman"/>
          <w:sz w:val="24"/>
          <w:szCs w:val="24"/>
          <w:shd w:val="clear" w:color="auto" w:fill="FFFFFF"/>
        </w:rPr>
        <w:t xml:space="preserve"> DP, </w:t>
      </w:r>
      <w:proofErr w:type="spellStart"/>
      <w:r w:rsidRPr="00020413">
        <w:rPr>
          <w:rFonts w:ascii="Times New Roman" w:hAnsi="Times New Roman"/>
          <w:sz w:val="24"/>
          <w:szCs w:val="24"/>
          <w:shd w:val="clear" w:color="auto" w:fill="FFFFFF"/>
        </w:rPr>
        <w:t>Vouldis</w:t>
      </w:r>
      <w:proofErr w:type="spellEnd"/>
      <w:r w:rsidRPr="00020413">
        <w:rPr>
          <w:rFonts w:ascii="Times New Roman" w:hAnsi="Times New Roman"/>
          <w:sz w:val="24"/>
          <w:szCs w:val="24"/>
          <w:shd w:val="clear" w:color="auto" w:fill="FFFFFF"/>
        </w:rPr>
        <w:t xml:space="preserve"> AT, Metaxas VL (2012) Macroeconomic and bank-specific determinants of non-performing loans in Greece: A comparative study of mortgage, business and consumer loan portfolios. </w:t>
      </w:r>
      <w:r w:rsidRPr="00020413">
        <w:rPr>
          <w:rFonts w:ascii="Times New Roman" w:hAnsi="Times New Roman"/>
          <w:iCs/>
          <w:sz w:val="24"/>
          <w:szCs w:val="24"/>
          <w:shd w:val="clear" w:color="auto" w:fill="FFFFFF"/>
        </w:rPr>
        <w:t xml:space="preserve">J Bank Finance </w:t>
      </w:r>
      <w:r w:rsidRPr="00020413">
        <w:rPr>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36</w:t>
      </w:r>
      <w:r w:rsidRPr="00020413">
        <w:rPr>
          <w:rFonts w:ascii="Times New Roman" w:hAnsi="Times New Roman"/>
          <w:sz w:val="24"/>
          <w:szCs w:val="24"/>
          <w:shd w:val="clear" w:color="auto" w:fill="FFFFFF"/>
        </w:rPr>
        <w:t>(4):1012-1027</w:t>
      </w:r>
    </w:p>
    <w:p w:rsidR="00651C5E" w:rsidRPr="00020413" w:rsidRDefault="00651C5E" w:rsidP="00651C5E">
      <w:pPr>
        <w:spacing w:after="0" w:line="240" w:lineRule="auto"/>
        <w:jc w:val="both"/>
        <w:rPr>
          <w:rFonts w:ascii="Times New Roman" w:hAnsi="Times New Roman"/>
          <w:iCs/>
          <w:sz w:val="24"/>
          <w:szCs w:val="24"/>
          <w:shd w:val="clear" w:color="auto" w:fill="FFFFFF"/>
        </w:rPr>
      </w:pPr>
      <w:r w:rsidRPr="00020413">
        <w:rPr>
          <w:rFonts w:ascii="Times New Roman" w:hAnsi="Times New Roman"/>
          <w:sz w:val="24"/>
          <w:szCs w:val="24"/>
          <w:shd w:val="clear" w:color="auto" w:fill="FFFFFF"/>
        </w:rPr>
        <w:t xml:space="preserve">Love I, </w:t>
      </w:r>
      <w:proofErr w:type="spellStart"/>
      <w:r w:rsidRPr="00020413">
        <w:rPr>
          <w:rFonts w:ascii="Times New Roman" w:hAnsi="Times New Roman"/>
          <w:sz w:val="24"/>
          <w:szCs w:val="24"/>
          <w:shd w:val="clear" w:color="auto" w:fill="FFFFFF"/>
        </w:rPr>
        <w:t>Mylenko</w:t>
      </w:r>
      <w:proofErr w:type="spellEnd"/>
      <w:r w:rsidRPr="00020413">
        <w:rPr>
          <w:rFonts w:ascii="Times New Roman" w:hAnsi="Times New Roman"/>
          <w:sz w:val="24"/>
          <w:szCs w:val="24"/>
          <w:shd w:val="clear" w:color="auto" w:fill="FFFFFF"/>
        </w:rPr>
        <w:t xml:space="preserve"> N (2003) Credit reporting and financing constraints. </w:t>
      </w:r>
      <w:r w:rsidRPr="00020413">
        <w:rPr>
          <w:rFonts w:ascii="Times New Roman" w:hAnsi="Times New Roman"/>
          <w:iCs/>
          <w:sz w:val="24"/>
          <w:szCs w:val="24"/>
          <w:shd w:val="clear" w:color="auto" w:fill="FFFFFF"/>
        </w:rPr>
        <w:t xml:space="preserve">World Bank Policy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Research Working Paper</w:t>
      </w:r>
      <w:r w:rsidRPr="00020413">
        <w:rPr>
          <w:rFonts w:ascii="Times New Roman" w:hAnsi="Times New Roman"/>
          <w:sz w:val="24"/>
          <w:szCs w:val="24"/>
          <w:shd w:val="clear" w:color="auto" w:fill="FFFFFF"/>
        </w:rPr>
        <w:t xml:space="preserve"> 3142. Washington, DC: World Bank</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Marquez R (2002) Competition, adverse selection, and information dispersion in the</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banking industry. Rev </w:t>
      </w:r>
      <w:proofErr w:type="spellStart"/>
      <w:r w:rsidRPr="00020413">
        <w:rPr>
          <w:rFonts w:ascii="Times New Roman" w:hAnsi="Times New Roman"/>
          <w:sz w:val="24"/>
          <w:szCs w:val="24"/>
          <w:shd w:val="clear" w:color="auto" w:fill="FFFFFF"/>
        </w:rPr>
        <w:t>Financ</w:t>
      </w:r>
      <w:proofErr w:type="spellEnd"/>
      <w:r w:rsidRPr="00020413">
        <w:rPr>
          <w:rFonts w:ascii="Times New Roman" w:hAnsi="Times New Roman"/>
          <w:sz w:val="24"/>
          <w:szCs w:val="24"/>
          <w:shd w:val="clear" w:color="auto" w:fill="FFFFFF"/>
        </w:rPr>
        <w:t xml:space="preserve"> Stud 15:901–926</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Nana PN (2014) Legal rights, information sharing, and private credit: New cross-country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evidence.</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Q Rev Econ Finance 54</w:t>
      </w:r>
      <w:r w:rsidRPr="00020413">
        <w:rPr>
          <w:rFonts w:ascii="Times New Roman" w:hAnsi="Times New Roman"/>
          <w:sz w:val="24"/>
          <w:szCs w:val="24"/>
          <w:shd w:val="clear" w:color="auto" w:fill="FFFFFF"/>
        </w:rPr>
        <w:t>:315-323</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Mylenko</w:t>
      </w:r>
      <w:proofErr w:type="spellEnd"/>
      <w:r w:rsidRPr="00020413">
        <w:rPr>
          <w:rFonts w:ascii="Times New Roman" w:hAnsi="Times New Roman"/>
          <w:sz w:val="24"/>
          <w:szCs w:val="24"/>
          <w:shd w:val="clear" w:color="auto" w:fill="FFFFFF"/>
        </w:rPr>
        <w:t xml:space="preserve"> N (2007) Developing Credit Reporting in Africa: Opportunities and  Challenges.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Access Finance, The World Bank Group, Issue</w:t>
      </w:r>
      <w:r w:rsidRPr="00020413">
        <w:rPr>
          <w:rFonts w:ascii="Times New Roman" w:hAnsi="Times New Roman"/>
          <w:sz w:val="24"/>
          <w:szCs w:val="24"/>
          <w:shd w:val="clear" w:color="auto" w:fill="FFFFFF"/>
        </w:rPr>
        <w:t>, (19).</w:t>
      </w:r>
    </w:p>
    <w:p w:rsidR="00651C5E" w:rsidRPr="00020413" w:rsidRDefault="00651C5E" w:rsidP="00651C5E">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Pagano, M, Jappelli, T, 1993. Information sharing in credit markets.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 J Finance</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48</w:t>
      </w:r>
      <w:r w:rsidRPr="00020413">
        <w:rPr>
          <w:rFonts w:ascii="Times New Roman" w:hAnsi="Times New Roman"/>
          <w:sz w:val="24"/>
          <w:szCs w:val="24"/>
          <w:shd w:val="clear" w:color="auto" w:fill="FFFFFF"/>
        </w:rPr>
        <w:t>:1693-1718</w:t>
      </w:r>
    </w:p>
    <w:p w:rsidR="00651C5E" w:rsidRPr="00020413" w:rsidRDefault="00651C5E" w:rsidP="00651C5E">
      <w:pPr>
        <w:spacing w:after="0" w:line="240" w:lineRule="auto"/>
        <w:jc w:val="both"/>
        <w:rPr>
          <w:rFonts w:ascii="Times New Roman" w:hAnsi="Times New Roman"/>
          <w:sz w:val="24"/>
          <w:szCs w:val="24"/>
        </w:rPr>
      </w:pPr>
      <w:r w:rsidRPr="00020413">
        <w:rPr>
          <w:rFonts w:ascii="Times New Roman" w:hAnsi="Times New Roman"/>
          <w:sz w:val="24"/>
          <w:szCs w:val="24"/>
        </w:rPr>
        <w:t xml:space="preserve">Padilla, A. J, Pagano, M. 2000. Sharing default information as a borrower discipline device.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rPr>
        <w:t>Eur Econ Rev  44</w:t>
      </w:r>
      <w:r w:rsidRPr="00020413">
        <w:rPr>
          <w:rFonts w:ascii="Times New Roman" w:hAnsi="Times New Roman"/>
          <w:sz w:val="24"/>
          <w:szCs w:val="24"/>
        </w:rPr>
        <w:t>:1951-1980</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Padilla AJ, Pagano M (1997) Endogenous communication among lenders and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entrepreneurial incentives.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 xml:space="preserve">Rev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Stud 10:</w:t>
      </w:r>
      <w:r w:rsidRPr="00020413">
        <w:rPr>
          <w:rFonts w:ascii="Times New Roman" w:hAnsi="Times New Roman"/>
          <w:sz w:val="24"/>
          <w:szCs w:val="24"/>
          <w:shd w:val="clear" w:color="auto" w:fill="FFFFFF"/>
        </w:rPr>
        <w:t>205-236</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Petersen MA, </w:t>
      </w:r>
      <w:proofErr w:type="spellStart"/>
      <w:r w:rsidRPr="00020413">
        <w:rPr>
          <w:rFonts w:ascii="Times New Roman" w:hAnsi="Times New Roman"/>
          <w:sz w:val="24"/>
          <w:szCs w:val="24"/>
          <w:shd w:val="clear" w:color="auto" w:fill="FFFFFF"/>
        </w:rPr>
        <w:t>Rajan</w:t>
      </w:r>
      <w:proofErr w:type="spellEnd"/>
      <w:r w:rsidRPr="00020413">
        <w:rPr>
          <w:rFonts w:ascii="Times New Roman" w:hAnsi="Times New Roman"/>
          <w:sz w:val="24"/>
          <w:szCs w:val="24"/>
          <w:shd w:val="clear" w:color="auto" w:fill="FFFFFF"/>
        </w:rPr>
        <w:t xml:space="preserve"> RG (1995) The effect of credit market competition on lending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relationships.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Quarterly J Econ</w:t>
      </w:r>
      <w:r w:rsidRPr="00020413">
        <w:rPr>
          <w:rFonts w:ascii="Times New Roman" w:hAnsi="Times New Roman"/>
          <w:sz w:val="24"/>
          <w:szCs w:val="24"/>
          <w:shd w:val="clear" w:color="auto" w:fill="FFFFFF"/>
        </w:rPr>
        <w:t xml:space="preserve"> 110:407-443</w:t>
      </w:r>
    </w:p>
    <w:p w:rsidR="00651C5E" w:rsidRPr="00020413" w:rsidRDefault="00651C5E" w:rsidP="00651C5E">
      <w:pPr>
        <w:spacing w:after="0" w:line="240" w:lineRule="auto"/>
        <w:jc w:val="both"/>
        <w:rPr>
          <w:rFonts w:ascii="Times New Roman" w:hAnsi="Times New Roman"/>
          <w:sz w:val="24"/>
          <w:szCs w:val="24"/>
          <w:shd w:val="clear" w:color="auto" w:fill="FFFFFF"/>
        </w:rPr>
      </w:pPr>
      <w:proofErr w:type="spellStart"/>
      <w:r w:rsidRPr="00020413">
        <w:rPr>
          <w:rFonts w:ascii="Times New Roman" w:hAnsi="Times New Roman"/>
          <w:sz w:val="24"/>
          <w:szCs w:val="24"/>
          <w:shd w:val="clear" w:color="auto" w:fill="FFFFFF"/>
        </w:rPr>
        <w:t>Roodman</w:t>
      </w:r>
      <w:proofErr w:type="spellEnd"/>
      <w:r w:rsidRPr="00020413">
        <w:rPr>
          <w:rFonts w:ascii="Times New Roman" w:hAnsi="Times New Roman"/>
          <w:sz w:val="24"/>
          <w:szCs w:val="24"/>
          <w:shd w:val="clear" w:color="auto" w:fill="FFFFFF"/>
        </w:rPr>
        <w:t xml:space="preserve"> D (2009) How to do xtabond2: An introduction to difference and system GMM in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Stata. Stata J 9:86-136</w:t>
      </w:r>
    </w:p>
    <w:p w:rsidR="008B2FCB" w:rsidRPr="00020413" w:rsidRDefault="008B2FCB" w:rsidP="008B2FCB">
      <w:pPr>
        <w:spacing w:after="0" w:line="240" w:lineRule="auto"/>
        <w:ind w:left="720" w:hanging="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Sharma, P, </w:t>
      </w:r>
      <w:proofErr w:type="spellStart"/>
      <w:r w:rsidRPr="00020413">
        <w:rPr>
          <w:rFonts w:ascii="Times New Roman" w:hAnsi="Times New Roman"/>
          <w:sz w:val="24"/>
          <w:szCs w:val="24"/>
          <w:shd w:val="clear" w:color="auto" w:fill="FFFFFF"/>
        </w:rPr>
        <w:t>Gounder</w:t>
      </w:r>
      <w:proofErr w:type="spellEnd"/>
      <w:r w:rsidRPr="00020413">
        <w:rPr>
          <w:rFonts w:ascii="Times New Roman" w:hAnsi="Times New Roman"/>
          <w:sz w:val="24"/>
          <w:szCs w:val="24"/>
          <w:shd w:val="clear" w:color="auto" w:fill="FFFFFF"/>
        </w:rPr>
        <w:t xml:space="preserve">, N, Xiang, D (2015) Level and determinants of foreign bank efficiency in a pacific island country. Rev Pac Basin </w:t>
      </w:r>
      <w:proofErr w:type="spellStart"/>
      <w:r w:rsidRPr="00020413">
        <w:rPr>
          <w:rFonts w:ascii="Times New Roman" w:hAnsi="Times New Roman"/>
          <w:sz w:val="24"/>
          <w:szCs w:val="24"/>
          <w:shd w:val="clear" w:color="auto" w:fill="FFFFFF"/>
        </w:rPr>
        <w:t>Financ</w:t>
      </w:r>
      <w:proofErr w:type="spellEnd"/>
      <w:r w:rsidRPr="00020413">
        <w:rPr>
          <w:rFonts w:ascii="Times New Roman" w:hAnsi="Times New Roman"/>
          <w:sz w:val="24"/>
          <w:szCs w:val="24"/>
          <w:shd w:val="clear" w:color="auto" w:fill="FFFFFF"/>
        </w:rPr>
        <w:t xml:space="preserve"> Mark Policies 18(01):1550005-26</w:t>
      </w:r>
    </w:p>
    <w:p w:rsidR="00651C5E" w:rsidRPr="00020413" w:rsidRDefault="00651C5E" w:rsidP="00651C5E">
      <w:pPr>
        <w:spacing w:after="0" w:line="240" w:lineRule="auto"/>
        <w:jc w:val="both"/>
        <w:rPr>
          <w:rFonts w:ascii="Times New Roman" w:hAnsi="Times New Roman"/>
          <w:iCs/>
          <w:sz w:val="24"/>
          <w:szCs w:val="24"/>
          <w:shd w:val="clear" w:color="auto" w:fill="FFFFFF"/>
        </w:rPr>
      </w:pPr>
      <w:r w:rsidRPr="00020413">
        <w:rPr>
          <w:rFonts w:ascii="Times New Roman" w:hAnsi="Times New Roman"/>
          <w:sz w:val="24"/>
          <w:szCs w:val="24"/>
          <w:shd w:val="clear" w:color="auto" w:fill="FFFFFF"/>
        </w:rPr>
        <w:t>Stiglitz JE, Weiss A (1981) Credit rationing in markets with imperfect information.</w:t>
      </w:r>
      <w:r w:rsidRPr="00020413">
        <w:rPr>
          <w:rStyle w:val="apple-converted-space"/>
          <w:rFonts w:ascii="Times New Roman" w:hAnsi="Times New Roman"/>
          <w:sz w:val="24"/>
          <w:szCs w:val="24"/>
          <w:shd w:val="clear" w:color="auto" w:fill="FFFFFF"/>
        </w:rPr>
        <w:t>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iCs/>
          <w:sz w:val="24"/>
          <w:szCs w:val="24"/>
          <w:shd w:val="clear" w:color="auto" w:fill="FFFFFF"/>
        </w:rPr>
        <w:t>Am Econ Rev  71:</w:t>
      </w:r>
      <w:r w:rsidRPr="00020413">
        <w:rPr>
          <w:rFonts w:ascii="Times New Roman" w:hAnsi="Times New Roman"/>
          <w:sz w:val="24"/>
          <w:szCs w:val="24"/>
          <w:shd w:val="clear" w:color="auto" w:fill="FFFFFF"/>
        </w:rPr>
        <w:t>393-410</w:t>
      </w:r>
    </w:p>
    <w:p w:rsidR="00651C5E" w:rsidRPr="00020413" w:rsidRDefault="00651C5E" w:rsidP="00651C5E">
      <w:pPr>
        <w:spacing w:after="0" w:line="240" w:lineRule="auto"/>
        <w:ind w:left="720" w:hanging="720"/>
        <w:jc w:val="both"/>
        <w:rPr>
          <w:rFonts w:ascii="Times New Roman" w:hAnsi="Times New Roman"/>
          <w:sz w:val="24"/>
          <w:szCs w:val="24"/>
          <w:lang w:eastAsia="en-GB"/>
        </w:rPr>
      </w:pPr>
      <w:proofErr w:type="spellStart"/>
      <w:r w:rsidRPr="00020413">
        <w:rPr>
          <w:rFonts w:ascii="Times New Roman" w:hAnsi="Times New Roman"/>
          <w:sz w:val="24"/>
          <w:szCs w:val="24"/>
          <w:lang w:eastAsia="en-GB"/>
        </w:rPr>
        <w:t>Tunyi</w:t>
      </w:r>
      <w:proofErr w:type="spellEnd"/>
      <w:r w:rsidRPr="00020413">
        <w:rPr>
          <w:rFonts w:ascii="Times New Roman" w:hAnsi="Times New Roman"/>
          <w:sz w:val="24"/>
          <w:szCs w:val="24"/>
          <w:lang w:eastAsia="en-GB"/>
        </w:rPr>
        <w:t xml:space="preserve"> AA, Ntim CG (2016) Location Advantages, Governance Quality, Stock Market Development and Firm Characteristics as Antecedents of African M&amp;As, J Int </w:t>
      </w:r>
      <w:proofErr w:type="spellStart"/>
      <w:r w:rsidRPr="00020413">
        <w:rPr>
          <w:rFonts w:ascii="Times New Roman" w:hAnsi="Times New Roman"/>
          <w:sz w:val="24"/>
          <w:szCs w:val="24"/>
          <w:lang w:eastAsia="en-GB"/>
        </w:rPr>
        <w:t>Manag</w:t>
      </w:r>
      <w:proofErr w:type="spellEnd"/>
      <w:r w:rsidRPr="00020413">
        <w:rPr>
          <w:rFonts w:ascii="Times New Roman" w:hAnsi="Times New Roman"/>
          <w:sz w:val="24"/>
          <w:szCs w:val="24"/>
          <w:lang w:eastAsia="en-GB"/>
        </w:rPr>
        <w:t xml:space="preserve"> 22(2):147-167</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lastRenderedPageBreak/>
        <w:t xml:space="preserve">Vazquez F, Tabak BM, </w:t>
      </w:r>
      <w:proofErr w:type="spellStart"/>
      <w:r w:rsidRPr="00020413">
        <w:rPr>
          <w:rFonts w:ascii="Times New Roman" w:hAnsi="Times New Roman"/>
          <w:sz w:val="24"/>
          <w:szCs w:val="24"/>
          <w:shd w:val="clear" w:color="auto" w:fill="FFFFFF"/>
        </w:rPr>
        <w:t>Souto</w:t>
      </w:r>
      <w:proofErr w:type="spellEnd"/>
      <w:r w:rsidRPr="00020413">
        <w:rPr>
          <w:rFonts w:ascii="Times New Roman" w:hAnsi="Times New Roman"/>
          <w:sz w:val="24"/>
          <w:szCs w:val="24"/>
          <w:shd w:val="clear" w:color="auto" w:fill="FFFFFF"/>
        </w:rPr>
        <w:t xml:space="preserve"> M (2012) A macro stress test model of credit risk for the Brazilian banking sector. </w:t>
      </w:r>
      <w:r w:rsidRPr="00020413">
        <w:rPr>
          <w:rFonts w:ascii="Times New Roman" w:hAnsi="Times New Roman"/>
          <w:iCs/>
          <w:sz w:val="24"/>
          <w:szCs w:val="24"/>
          <w:shd w:val="clear" w:color="auto" w:fill="FFFFFF"/>
        </w:rPr>
        <w:t xml:space="preserve">J </w:t>
      </w:r>
      <w:proofErr w:type="spellStart"/>
      <w:r w:rsidRPr="00020413">
        <w:rPr>
          <w:rFonts w:ascii="Times New Roman" w:hAnsi="Times New Roman"/>
          <w:iCs/>
          <w:sz w:val="24"/>
          <w:szCs w:val="24"/>
          <w:shd w:val="clear" w:color="auto" w:fill="FFFFFF"/>
        </w:rPr>
        <w:t>Financ</w:t>
      </w:r>
      <w:proofErr w:type="spellEnd"/>
      <w:r w:rsidRPr="00020413">
        <w:rPr>
          <w:rFonts w:ascii="Times New Roman" w:hAnsi="Times New Roman"/>
          <w:iCs/>
          <w:sz w:val="24"/>
          <w:szCs w:val="24"/>
          <w:shd w:val="clear" w:color="auto" w:fill="FFFFFF"/>
        </w:rPr>
        <w:t xml:space="preserve"> Stab 8</w:t>
      </w:r>
      <w:r w:rsidRPr="00020413">
        <w:rPr>
          <w:rFonts w:ascii="Times New Roman" w:hAnsi="Times New Roman"/>
          <w:sz w:val="24"/>
          <w:szCs w:val="24"/>
          <w:shd w:val="clear" w:color="auto" w:fill="FFFFFF"/>
        </w:rPr>
        <w:t>(2):69-83</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Vercammen JA</w:t>
      </w:r>
      <w:r w:rsidRPr="00020413" w:rsidDel="00EB3172">
        <w:rPr>
          <w:rFonts w:ascii="Times New Roman" w:hAnsi="Times New Roman"/>
          <w:sz w:val="24"/>
          <w:szCs w:val="24"/>
          <w:shd w:val="clear" w:color="auto" w:fill="FFFFFF"/>
        </w:rPr>
        <w:t xml:space="preserve"> </w:t>
      </w:r>
      <w:r w:rsidRPr="00020413">
        <w:rPr>
          <w:rFonts w:ascii="Times New Roman" w:hAnsi="Times New Roman"/>
          <w:sz w:val="24"/>
          <w:szCs w:val="24"/>
          <w:shd w:val="clear" w:color="auto" w:fill="FFFFFF"/>
        </w:rPr>
        <w:t xml:space="preserve">(1995) Credit bureau policy and sustainable reputation effects in credit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markets.</w:t>
      </w:r>
      <w:r w:rsidRPr="00020413">
        <w:rPr>
          <w:rStyle w:val="apple-converted-space"/>
          <w:rFonts w:ascii="Times New Roman" w:hAnsi="Times New Roman"/>
          <w:sz w:val="24"/>
          <w:szCs w:val="24"/>
          <w:shd w:val="clear" w:color="auto" w:fill="FFFFFF"/>
        </w:rPr>
        <w:t> </w:t>
      </w:r>
      <w:proofErr w:type="spellStart"/>
      <w:r w:rsidRPr="00020413">
        <w:rPr>
          <w:rFonts w:ascii="Times New Roman" w:hAnsi="Times New Roman"/>
          <w:iCs/>
          <w:sz w:val="24"/>
          <w:szCs w:val="24"/>
          <w:shd w:val="clear" w:color="auto" w:fill="FFFFFF"/>
        </w:rPr>
        <w:t>Economica</w:t>
      </w:r>
      <w:proofErr w:type="spellEnd"/>
      <w:r w:rsidRPr="00020413">
        <w:rPr>
          <w:rFonts w:ascii="Times New Roman" w:hAnsi="Times New Roman"/>
          <w:sz w:val="24"/>
          <w:szCs w:val="24"/>
          <w:shd w:val="clear" w:color="auto" w:fill="FFFFFF"/>
        </w:rPr>
        <w:t xml:space="preserve"> 62:461-478</w:t>
      </w:r>
      <w:r w:rsidRPr="00020413">
        <w:rPr>
          <w:rFonts w:ascii="Times New Roman" w:hAnsi="Times New Roman"/>
          <w:sz w:val="24"/>
          <w:szCs w:val="24"/>
          <w:shd w:val="clear" w:color="auto" w:fill="FFFFFF"/>
        </w:rPr>
        <w:tab/>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Windmeijer F (2005) A finite sample correction for the variance of linear efficient two-step </w:t>
      </w:r>
    </w:p>
    <w:p w:rsidR="00651C5E" w:rsidRPr="00020413" w:rsidRDefault="00651C5E" w:rsidP="00651C5E">
      <w:pPr>
        <w:spacing w:after="0" w:line="240" w:lineRule="auto"/>
        <w:ind w:left="720"/>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GMM estimators.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J Econometrics</w:t>
      </w:r>
      <w:r w:rsidRPr="00020413">
        <w:rPr>
          <w:rStyle w:val="apple-converted-space"/>
          <w:rFonts w:ascii="Times New Roman" w:hAnsi="Times New Roman"/>
          <w:sz w:val="24"/>
          <w:szCs w:val="24"/>
          <w:shd w:val="clear" w:color="auto" w:fill="FFFFFF"/>
        </w:rPr>
        <w:t> </w:t>
      </w:r>
      <w:r w:rsidRPr="00020413">
        <w:rPr>
          <w:rFonts w:ascii="Times New Roman" w:hAnsi="Times New Roman"/>
          <w:iCs/>
          <w:sz w:val="24"/>
          <w:szCs w:val="24"/>
          <w:shd w:val="clear" w:color="auto" w:fill="FFFFFF"/>
        </w:rPr>
        <w:t>126:</w:t>
      </w:r>
      <w:r w:rsidRPr="00020413">
        <w:rPr>
          <w:rFonts w:ascii="Times New Roman" w:hAnsi="Times New Roman"/>
          <w:sz w:val="24"/>
          <w:szCs w:val="24"/>
          <w:shd w:val="clear" w:color="auto" w:fill="FFFFFF"/>
        </w:rPr>
        <w:t>25-51</w:t>
      </w:r>
    </w:p>
    <w:p w:rsidR="00651C5E" w:rsidRPr="00020413" w:rsidRDefault="00651C5E" w:rsidP="00651C5E">
      <w:pPr>
        <w:spacing w:after="0" w:line="240" w:lineRule="auto"/>
        <w:jc w:val="both"/>
        <w:rPr>
          <w:rFonts w:ascii="Times New Roman" w:hAnsi="Times New Roman"/>
          <w:sz w:val="24"/>
          <w:szCs w:val="24"/>
          <w:shd w:val="clear" w:color="auto" w:fill="FFFFFF"/>
        </w:rPr>
      </w:pPr>
      <w:r w:rsidRPr="00020413">
        <w:rPr>
          <w:rFonts w:ascii="Times New Roman" w:hAnsi="Times New Roman"/>
          <w:sz w:val="24"/>
          <w:szCs w:val="24"/>
          <w:shd w:val="clear" w:color="auto" w:fill="FFFFFF"/>
        </w:rPr>
        <w:t xml:space="preserve">World Bank Doing Business (2016) </w:t>
      </w:r>
      <w:r w:rsidRPr="00020413">
        <w:rPr>
          <w:rFonts w:ascii="Times New Roman" w:hAnsi="Times New Roman"/>
          <w:sz w:val="24"/>
          <w:szCs w:val="24"/>
        </w:rPr>
        <w:t>Getting Credit Methodology.</w:t>
      </w:r>
      <w:r w:rsidRPr="00020413">
        <w:rPr>
          <w:rFonts w:ascii="Times New Roman" w:hAnsi="Times New Roman"/>
          <w:sz w:val="24"/>
          <w:szCs w:val="24"/>
          <w:shd w:val="clear" w:color="auto" w:fill="FFFFFF"/>
        </w:rPr>
        <w:t xml:space="preserve"> Available at </w:t>
      </w:r>
    </w:p>
    <w:p w:rsidR="00651C5E" w:rsidRDefault="00386293" w:rsidP="00CF2EB5">
      <w:pPr>
        <w:spacing w:after="0" w:line="240" w:lineRule="auto"/>
        <w:ind w:left="720"/>
        <w:jc w:val="both"/>
        <w:rPr>
          <w:rFonts w:ascii="Times New Roman" w:hAnsi="Times New Roman"/>
          <w:sz w:val="24"/>
          <w:szCs w:val="24"/>
        </w:rPr>
      </w:pPr>
      <w:hyperlink r:id="rId70" w:history="1">
        <w:r w:rsidR="00651C5E" w:rsidRPr="00020413">
          <w:rPr>
            <w:rStyle w:val="Hyperlink"/>
            <w:rFonts w:ascii="Times New Roman" w:hAnsi="Times New Roman"/>
            <w:sz w:val="24"/>
            <w:szCs w:val="24"/>
          </w:rPr>
          <w:t>www.doingbusiness.com</w:t>
        </w:r>
      </w:hyperlink>
      <w:r w:rsidR="00651C5E" w:rsidRPr="00020413">
        <w:rPr>
          <w:rFonts w:ascii="Times New Roman" w:hAnsi="Times New Roman"/>
          <w:sz w:val="24"/>
          <w:szCs w:val="24"/>
        </w:rPr>
        <w:t>. Accessed 01 October 2016</w:t>
      </w:r>
    </w:p>
    <w:p w:rsidR="009D737F" w:rsidRDefault="009D737F" w:rsidP="00CF2EB5">
      <w:pPr>
        <w:spacing w:after="0" w:line="240" w:lineRule="auto"/>
        <w:ind w:left="720"/>
        <w:jc w:val="both"/>
        <w:rPr>
          <w:rFonts w:ascii="Times New Roman" w:hAnsi="Times New Roman"/>
          <w:sz w:val="24"/>
          <w:szCs w:val="24"/>
        </w:rPr>
      </w:pPr>
    </w:p>
    <w:p w:rsidR="009D737F" w:rsidRDefault="009D737F" w:rsidP="00CF2EB5">
      <w:pPr>
        <w:spacing w:after="0" w:line="240" w:lineRule="auto"/>
        <w:ind w:left="720"/>
        <w:jc w:val="both"/>
        <w:rPr>
          <w:rFonts w:ascii="Times New Roman" w:hAnsi="Times New Roman"/>
          <w:sz w:val="24"/>
          <w:szCs w:val="24"/>
          <w:lang w:eastAsia="en-GB"/>
        </w:rPr>
      </w:pPr>
    </w:p>
    <w:p w:rsidR="003D11CE" w:rsidRPr="00020413" w:rsidRDefault="003D11CE" w:rsidP="00CF2EB5">
      <w:pPr>
        <w:spacing w:after="0" w:line="240" w:lineRule="auto"/>
        <w:ind w:left="720"/>
        <w:jc w:val="both"/>
        <w:rPr>
          <w:rFonts w:ascii="Times New Roman" w:hAnsi="Times New Roman"/>
          <w:sz w:val="24"/>
          <w:szCs w:val="24"/>
          <w:lang w:eastAsia="en-GB"/>
        </w:rPr>
      </w:pPr>
    </w:p>
    <w:p w:rsidR="001A153B" w:rsidRPr="00020413" w:rsidRDefault="001A153B" w:rsidP="001A153B">
      <w:pPr>
        <w:keepNext/>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b/>
          <w:bCs/>
          <w:sz w:val="18"/>
          <w:szCs w:val="18"/>
          <w:lang w:val="en-US"/>
        </w:rPr>
        <w:t>Table 1:</w:t>
      </w:r>
      <w:r w:rsidRPr="00020413">
        <w:rPr>
          <w:rFonts w:ascii="Times New Roman" w:hAnsi="Times New Roman"/>
          <w:sz w:val="18"/>
          <w:szCs w:val="18"/>
          <w:lang w:val="en-US"/>
        </w:rPr>
        <w:t xml:space="preserve"> </w:t>
      </w:r>
      <w:r w:rsidRPr="00020413">
        <w:rPr>
          <w:rFonts w:ascii="Times New Roman" w:hAnsi="Times New Roman"/>
          <w:b/>
          <w:bCs/>
          <w:sz w:val="18"/>
          <w:szCs w:val="18"/>
          <w:lang w:val="en-US"/>
        </w:rPr>
        <w:t>Descriptive statistics</w:t>
      </w:r>
    </w:p>
    <w:tbl>
      <w:tblPr>
        <w:tblW w:w="9875" w:type="dxa"/>
        <w:jc w:val="center"/>
        <w:tblLayout w:type="fixed"/>
        <w:tblLook w:val="0000" w:firstRow="0" w:lastRow="0" w:firstColumn="0" w:lastColumn="0" w:noHBand="0" w:noVBand="0"/>
      </w:tblPr>
      <w:tblGrid>
        <w:gridCol w:w="1321"/>
        <w:gridCol w:w="659"/>
        <w:gridCol w:w="236"/>
        <w:gridCol w:w="935"/>
        <w:gridCol w:w="899"/>
        <w:gridCol w:w="608"/>
        <w:gridCol w:w="22"/>
        <w:gridCol w:w="251"/>
        <w:gridCol w:w="684"/>
        <w:gridCol w:w="740"/>
        <w:gridCol w:w="264"/>
        <w:gridCol w:w="793"/>
        <w:gridCol w:w="668"/>
        <w:gridCol w:w="666"/>
        <w:gridCol w:w="263"/>
        <w:gridCol w:w="847"/>
        <w:gridCol w:w="19"/>
      </w:tblGrid>
      <w:tr w:rsidR="001A153B" w:rsidRPr="00020413" w:rsidTr="005166B6">
        <w:trPr>
          <w:gridAfter w:val="1"/>
          <w:wAfter w:w="19" w:type="dxa"/>
          <w:trHeight w:val="68"/>
          <w:jc w:val="center"/>
        </w:trPr>
        <w:tc>
          <w:tcPr>
            <w:tcW w:w="1321"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p>
        </w:tc>
        <w:tc>
          <w:tcPr>
            <w:tcW w:w="659"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236"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2442" w:type="dxa"/>
            <w:gridSpan w:val="3"/>
            <w:tcBorders>
              <w:top w:val="single" w:sz="4" w:space="0" w:color="auto"/>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 xml:space="preserve">Standard </w:t>
            </w:r>
            <w:r w:rsidR="007A55A9" w:rsidRPr="00020413">
              <w:rPr>
                <w:rFonts w:ascii="Times New Roman" w:hAnsi="Times New Roman"/>
                <w:sz w:val="18"/>
                <w:szCs w:val="18"/>
                <w:lang w:val="en-US"/>
              </w:rPr>
              <w:t>d</w:t>
            </w:r>
            <w:r w:rsidRPr="00020413">
              <w:rPr>
                <w:rFonts w:ascii="Times New Roman" w:hAnsi="Times New Roman"/>
                <w:sz w:val="18"/>
                <w:szCs w:val="18"/>
                <w:lang w:val="en-US"/>
              </w:rPr>
              <w:t>eviation</w:t>
            </w:r>
          </w:p>
        </w:tc>
        <w:tc>
          <w:tcPr>
            <w:tcW w:w="273" w:type="dxa"/>
            <w:gridSpan w:val="2"/>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40"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264"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2127" w:type="dxa"/>
            <w:gridSpan w:val="3"/>
            <w:tcBorders>
              <w:top w:val="single" w:sz="4" w:space="0" w:color="auto"/>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Percentile</w:t>
            </w:r>
          </w:p>
        </w:tc>
        <w:tc>
          <w:tcPr>
            <w:tcW w:w="263"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r>
      <w:tr w:rsidR="001A153B" w:rsidRPr="00020413" w:rsidTr="005166B6">
        <w:trPr>
          <w:gridAfter w:val="1"/>
          <w:wAfter w:w="19" w:type="dxa"/>
          <w:trHeight w:val="68"/>
          <w:jc w:val="center"/>
        </w:trPr>
        <w:tc>
          <w:tcPr>
            <w:tcW w:w="1321"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p>
        </w:tc>
        <w:tc>
          <w:tcPr>
            <w:tcW w:w="659"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Mean</w:t>
            </w:r>
          </w:p>
        </w:tc>
        <w:tc>
          <w:tcPr>
            <w:tcW w:w="236"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Overall</w:t>
            </w:r>
          </w:p>
        </w:tc>
        <w:tc>
          <w:tcPr>
            <w:tcW w:w="899"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Between</w:t>
            </w:r>
          </w:p>
        </w:tc>
        <w:tc>
          <w:tcPr>
            <w:tcW w:w="881" w:type="dxa"/>
            <w:gridSpan w:val="3"/>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Within</w:t>
            </w:r>
          </w:p>
        </w:tc>
        <w:tc>
          <w:tcPr>
            <w:tcW w:w="684"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Min</w:t>
            </w:r>
          </w:p>
        </w:tc>
        <w:tc>
          <w:tcPr>
            <w:tcW w:w="740"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Max</w:t>
            </w:r>
          </w:p>
        </w:tc>
        <w:tc>
          <w:tcPr>
            <w:tcW w:w="264"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25</w:t>
            </w:r>
            <w:r w:rsidRPr="00020413">
              <w:rPr>
                <w:rFonts w:ascii="Times New Roman" w:hAnsi="Times New Roman"/>
                <w:sz w:val="18"/>
                <w:szCs w:val="18"/>
                <w:vertAlign w:val="superscript"/>
                <w:lang w:val="en-US"/>
              </w:rPr>
              <w:t>th</w:t>
            </w:r>
          </w:p>
        </w:tc>
        <w:tc>
          <w:tcPr>
            <w:tcW w:w="668"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50</w:t>
            </w:r>
            <w:r w:rsidRPr="00020413">
              <w:rPr>
                <w:rFonts w:ascii="Times New Roman" w:hAnsi="Times New Roman"/>
                <w:sz w:val="18"/>
                <w:szCs w:val="18"/>
                <w:vertAlign w:val="superscript"/>
                <w:lang w:val="en-US"/>
              </w:rPr>
              <w:t>th</w:t>
            </w:r>
          </w:p>
        </w:tc>
        <w:tc>
          <w:tcPr>
            <w:tcW w:w="666"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75</w:t>
            </w:r>
            <w:r w:rsidRPr="00020413">
              <w:rPr>
                <w:rFonts w:ascii="Times New Roman" w:hAnsi="Times New Roman"/>
                <w:sz w:val="18"/>
                <w:szCs w:val="18"/>
                <w:vertAlign w:val="superscript"/>
                <w:lang w:val="en-US"/>
              </w:rPr>
              <w:t>th</w:t>
            </w:r>
          </w:p>
        </w:tc>
        <w:tc>
          <w:tcPr>
            <w:tcW w:w="263"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b/>
                <w:sz w:val="18"/>
                <w:szCs w:val="18"/>
                <w:lang w:val="en-US"/>
              </w:rPr>
            </w:pPr>
          </w:p>
        </w:tc>
        <w:tc>
          <w:tcPr>
            <w:tcW w:w="847" w:type="dxa"/>
            <w:tcBorders>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roofErr w:type="spellStart"/>
            <w:r w:rsidRPr="00020413">
              <w:rPr>
                <w:rFonts w:ascii="Times New Roman" w:hAnsi="Times New Roman"/>
                <w:sz w:val="18"/>
                <w:szCs w:val="18"/>
                <w:lang w:val="en-US"/>
              </w:rPr>
              <w:t>Obs</w:t>
            </w:r>
            <w:proofErr w:type="spellEnd"/>
          </w:p>
        </w:tc>
      </w:tr>
      <w:tr w:rsidR="001A153B" w:rsidRPr="00020413" w:rsidTr="005166B6">
        <w:trPr>
          <w:gridAfter w:val="1"/>
          <w:wAfter w:w="19" w:type="dxa"/>
          <w:trHeight w:val="68"/>
          <w:jc w:val="center"/>
        </w:trPr>
        <w:tc>
          <w:tcPr>
            <w:tcW w:w="1321"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NPL</w:t>
            </w:r>
          </w:p>
        </w:tc>
        <w:tc>
          <w:tcPr>
            <w:tcW w:w="659"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236"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w:t>
            </w:r>
          </w:p>
        </w:tc>
        <w:tc>
          <w:tcPr>
            <w:tcW w:w="899"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630" w:type="dxa"/>
            <w:gridSpan w:val="2"/>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w:t>
            </w:r>
          </w:p>
        </w:tc>
        <w:tc>
          <w:tcPr>
            <w:tcW w:w="251"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740"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0.28</w:t>
            </w:r>
          </w:p>
        </w:tc>
        <w:tc>
          <w:tcPr>
            <w:tcW w:w="264"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w:t>
            </w:r>
          </w:p>
        </w:tc>
        <w:tc>
          <w:tcPr>
            <w:tcW w:w="668"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w:t>
            </w:r>
          </w:p>
        </w:tc>
        <w:tc>
          <w:tcPr>
            <w:tcW w:w="666"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w:t>
            </w:r>
          </w:p>
        </w:tc>
        <w:tc>
          <w:tcPr>
            <w:tcW w:w="263"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single" w:sz="4" w:space="0" w:color="auto"/>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Depth</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3.54</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2.41</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2.13</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1.12</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6.00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5.00</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6.00</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75"/>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Registry</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9.37</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13.01</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11.54</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6.81</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63.80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1.40</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16.40</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Bureau</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29.00</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31.42</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29.13</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11.77</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100.00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18.40</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52.10</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Size</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6.82</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1.86</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1.81</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0.40</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3.76</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10.38</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5.41</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6.63</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8.19</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Lending</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0.61</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0.17</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0.16</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0.27</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0.49</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0.61</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0.73</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75"/>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Profit</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6318</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Capital</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0.15</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0.17</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0.56</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0.15</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0.23</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0.45</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0.56</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0.68</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6317</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GDP growth</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4.77</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4.49</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2.45</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3.82</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-17.95</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34.50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2.48</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5.00</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7.30</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6294</w:t>
            </w:r>
          </w:p>
        </w:tc>
      </w:tr>
      <w:tr w:rsidR="001A153B" w:rsidRPr="00020413" w:rsidTr="005166B6">
        <w:trPr>
          <w:gridAfter w:val="1"/>
          <w:wAfter w:w="19" w:type="dxa"/>
          <w:trHeight w:val="75"/>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Inflation</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6.63</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5.33</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4.28</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3.73</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-4.86</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59.22</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3.18</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5.50</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8.89</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5868</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Law</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-0.22</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0.72</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-1.79</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1.77</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-0.76</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-0.35</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0.18</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Regulation</w:t>
            </w:r>
          </w:p>
        </w:tc>
        <w:tc>
          <w:tcPr>
            <w:tcW w:w="65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w:t>
            </w:r>
          </w:p>
        </w:tc>
        <w:tc>
          <w:tcPr>
            <w:tcW w:w="23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w:t>
            </w:r>
          </w:p>
        </w:tc>
        <w:tc>
          <w:tcPr>
            <w:tcW w:w="899"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0.69</w:t>
            </w:r>
          </w:p>
        </w:tc>
        <w:tc>
          <w:tcPr>
            <w:tcW w:w="630" w:type="dxa"/>
            <w:gridSpan w:val="2"/>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w:t>
            </w:r>
          </w:p>
        </w:tc>
        <w:tc>
          <w:tcPr>
            <w:tcW w:w="251"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-1.64</w:t>
            </w:r>
          </w:p>
        </w:tc>
        <w:tc>
          <w:tcPr>
            <w:tcW w:w="740"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2.00</w:t>
            </w:r>
          </w:p>
        </w:tc>
        <w:tc>
          <w:tcPr>
            <w:tcW w:w="264"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-0.40</w:t>
            </w:r>
          </w:p>
        </w:tc>
        <w:tc>
          <w:tcPr>
            <w:tcW w:w="668"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w:t>
            </w:r>
          </w:p>
        </w:tc>
        <w:tc>
          <w:tcPr>
            <w:tcW w:w="666"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w:t>
            </w:r>
          </w:p>
        </w:tc>
        <w:tc>
          <w:tcPr>
            <w:tcW w:w="263"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nil"/>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gridAfter w:val="1"/>
          <w:wAfter w:w="19" w:type="dxa"/>
          <w:trHeight w:val="68"/>
          <w:jc w:val="center"/>
        </w:trPr>
        <w:tc>
          <w:tcPr>
            <w:tcW w:w="1321"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Control</w:t>
            </w:r>
          </w:p>
        </w:tc>
        <w:tc>
          <w:tcPr>
            <w:tcW w:w="659"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-0.17</w:t>
            </w:r>
          </w:p>
        </w:tc>
        <w:tc>
          <w:tcPr>
            <w:tcW w:w="236"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935"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0.76</w:t>
            </w:r>
          </w:p>
        </w:tc>
        <w:tc>
          <w:tcPr>
            <w:tcW w:w="899"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0.73</w:t>
            </w:r>
          </w:p>
        </w:tc>
        <w:tc>
          <w:tcPr>
            <w:tcW w:w="630" w:type="dxa"/>
            <w:gridSpan w:val="2"/>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w:t>
            </w:r>
          </w:p>
        </w:tc>
        <w:tc>
          <w:tcPr>
            <w:tcW w:w="251"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684"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-1.52</w:t>
            </w:r>
          </w:p>
        </w:tc>
        <w:tc>
          <w:tcPr>
            <w:tcW w:w="740"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2.42</w:t>
            </w:r>
          </w:p>
        </w:tc>
        <w:tc>
          <w:tcPr>
            <w:tcW w:w="264"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793"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-0.72</w:t>
            </w:r>
          </w:p>
        </w:tc>
        <w:tc>
          <w:tcPr>
            <w:tcW w:w="668"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-0.34</w:t>
            </w:r>
          </w:p>
        </w:tc>
        <w:tc>
          <w:tcPr>
            <w:tcW w:w="666"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w:t>
            </w:r>
          </w:p>
        </w:tc>
        <w:tc>
          <w:tcPr>
            <w:tcW w:w="263"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c>
          <w:tcPr>
            <w:tcW w:w="847" w:type="dxa"/>
            <w:tcBorders>
              <w:top w:val="nil"/>
              <w:left w:val="nil"/>
              <w:bottom w:val="single" w:sz="4" w:space="0" w:color="auto"/>
              <w:right w:val="nil"/>
            </w:tcBorders>
          </w:tcPr>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6323</w:t>
            </w:r>
          </w:p>
        </w:tc>
      </w:tr>
      <w:tr w:rsidR="001A153B" w:rsidRPr="00020413" w:rsidTr="005166B6">
        <w:trPr>
          <w:trHeight w:val="68"/>
          <w:jc w:val="center"/>
        </w:trPr>
        <w:tc>
          <w:tcPr>
            <w:tcW w:w="9875" w:type="dxa"/>
            <w:gridSpan w:val="17"/>
            <w:tcBorders>
              <w:top w:val="single" w:sz="4" w:space="0" w:color="auto"/>
              <w:left w:val="nil"/>
            </w:tcBorders>
          </w:tcPr>
          <w:p w:rsidR="001A153B" w:rsidRPr="00020413" w:rsidRDefault="003D7A70" w:rsidP="00D13E65">
            <w:pPr>
              <w:spacing w:after="0" w:line="360" w:lineRule="auto"/>
              <w:jc w:val="both"/>
              <w:rPr>
                <w:rFonts w:ascii="Times New Roman" w:hAnsi="Times New Roman"/>
                <w:sz w:val="16"/>
                <w:szCs w:val="16"/>
              </w:rPr>
            </w:pPr>
            <w:r w:rsidRPr="00020413">
              <w:rPr>
                <w:rFonts w:ascii="Times New Roman" w:hAnsi="Times New Roman"/>
                <w:sz w:val="16"/>
                <w:szCs w:val="16"/>
              </w:rPr>
              <w:t xml:space="preserve">This table presents the descriptive statistics for all variables used in this study. </w:t>
            </w:r>
            <w:r w:rsidR="001A153B" w:rsidRPr="00020413">
              <w:rPr>
                <w:rFonts w:ascii="Times New Roman" w:hAnsi="Times New Roman"/>
                <w:sz w:val="16"/>
                <w:szCs w:val="16"/>
              </w:rPr>
              <w:t>NPL is the ratio of non-performing loans to total loans</w:t>
            </w:r>
            <w:r w:rsidR="001A153B" w:rsidRPr="00020413">
              <w:rPr>
                <w:rFonts w:ascii="Times New Roman" w:eastAsia="AdvEPSTIM" w:hAnsi="Times New Roman"/>
                <w:sz w:val="16"/>
                <w:szCs w:val="16"/>
                <w:lang w:eastAsia="en-GB"/>
              </w:rPr>
              <w:t xml:space="preserve">; Depth is the depth of credit information, an index that captures the depth of credit information; Registry is </w:t>
            </w:r>
            <w:r w:rsidR="001A153B" w:rsidRPr="00020413">
              <w:rPr>
                <w:rFonts w:ascii="Times New Roman" w:hAnsi="Times New Roman"/>
                <w:sz w:val="16"/>
                <w:szCs w:val="16"/>
              </w:rPr>
              <w:t>credit registry coverage,</w:t>
            </w:r>
            <w:r w:rsidR="001A153B" w:rsidRPr="00020413">
              <w:rPr>
                <w:rFonts w:ascii="Times New Roman" w:hAnsi="Times New Roman"/>
                <w:bCs/>
                <w:sz w:val="16"/>
                <w:szCs w:val="16"/>
              </w:rPr>
              <w:t xml:space="preserve"> measured as the number of individuals and firms listed by a public credit registry concerning the information on their borrowing history for the past five years, expressed as a percentage of the adult population. Bureau is </w:t>
            </w:r>
            <w:r w:rsidR="001A153B" w:rsidRPr="00020413">
              <w:rPr>
                <w:rFonts w:ascii="Times New Roman" w:hAnsi="Times New Roman"/>
                <w:sz w:val="16"/>
                <w:szCs w:val="16"/>
              </w:rPr>
              <w:t>credit bureau coverage and</w:t>
            </w:r>
            <w:r w:rsidR="001A153B" w:rsidRPr="00020413">
              <w:rPr>
                <w:rFonts w:ascii="Times New Roman" w:hAnsi="Times New Roman"/>
                <w:bCs/>
                <w:sz w:val="16"/>
                <w:szCs w:val="16"/>
              </w:rPr>
              <w:t xml:space="preserve"> measures the number of individuals and firms listed in a private credit bureau concerning the information on their borrowing history for the past five years, expressed as a percentage of the adult population;</w:t>
            </w:r>
            <w:r w:rsidR="001A153B" w:rsidRPr="00020413">
              <w:rPr>
                <w:rFonts w:ascii="Times New Roman" w:eastAsia="AdvEPSTIM" w:hAnsi="Times New Roman"/>
                <w:sz w:val="16"/>
                <w:szCs w:val="16"/>
                <w:lang w:eastAsia="en-GB"/>
              </w:rPr>
              <w:t xml:space="preserve"> </w:t>
            </w:r>
            <w:r w:rsidR="001A153B" w:rsidRPr="00020413">
              <w:rPr>
                <w:rFonts w:ascii="Times New Roman" w:hAnsi="Times New Roman"/>
                <w:sz w:val="16"/>
                <w:szCs w:val="16"/>
              </w:rPr>
              <w:t xml:space="preserve">Size is the logarithm of the total bank assets; Lending is lending specialisation and is measured as total loans as a ratio of total assets; Profit is the ratio of operating profit to total assets; Capital is the ratio of book value of equity to total assets; </w:t>
            </w:r>
            <w:r w:rsidR="001A153B" w:rsidRPr="00020413">
              <w:rPr>
                <w:rFonts w:ascii="Times New Roman" w:eastAsia="AdvEPSTIM" w:hAnsi="Times New Roman"/>
                <w:sz w:val="16"/>
                <w:szCs w:val="16"/>
                <w:lang w:eastAsia="en-GB"/>
              </w:rPr>
              <w:t>Concentration is the three-bank concentration ratio, measured as the share of assets of the largest three banks as a percentage of total banking assets;</w:t>
            </w:r>
            <w:r w:rsidR="001A153B" w:rsidRPr="00020413">
              <w:rPr>
                <w:rFonts w:ascii="Times New Roman" w:hAnsi="Times New Roman"/>
                <w:sz w:val="16"/>
                <w:szCs w:val="16"/>
              </w:rPr>
              <w:t xml:space="preserve"> </w:t>
            </w:r>
            <w:r w:rsidR="001A153B" w:rsidRPr="00020413">
              <w:rPr>
                <w:rFonts w:ascii="Times New Roman" w:eastAsia="AdvEPSTIM" w:hAnsi="Times New Roman"/>
                <w:sz w:val="16"/>
                <w:szCs w:val="16"/>
                <w:lang w:eastAsia="en-GB"/>
              </w:rPr>
              <w:t xml:space="preserve">GDP growth is the annual percentage change in real GDP; Inﬂation is the annual percentage change in the consumer price index; </w:t>
            </w:r>
            <w:r w:rsidR="001A153B" w:rsidRPr="00020413">
              <w:rPr>
                <w:rFonts w:ascii="Times New Roman" w:eastAsia="AdvEPSTIM" w:hAnsi="Times New Roman"/>
                <w:sz w:val="16"/>
                <w:szCs w:val="16"/>
              </w:rPr>
              <w:t xml:space="preserve">Law, Regulation and Control are respectively </w:t>
            </w:r>
            <w:r w:rsidR="001A153B" w:rsidRPr="00020413">
              <w:rPr>
                <w:rFonts w:ascii="Times New Roman" w:eastAsia="AdvEPSTIM" w:hAnsi="Times New Roman"/>
                <w:sz w:val="16"/>
                <w:szCs w:val="16"/>
                <w:lang w:eastAsia="en-GB"/>
              </w:rPr>
              <w:t>Rule of law, Regulatory quality and Control of corruption</w:t>
            </w:r>
            <w:r w:rsidR="001A153B" w:rsidRPr="00020413">
              <w:rPr>
                <w:rFonts w:ascii="Times New Roman" w:eastAsia="AdvEPSTIM" w:hAnsi="Times New Roman"/>
                <w:sz w:val="16"/>
                <w:szCs w:val="16"/>
              </w:rPr>
              <w:t xml:space="preserve">, </w:t>
            </w:r>
            <w:r w:rsidR="001A153B" w:rsidRPr="00020413">
              <w:rPr>
                <w:rFonts w:ascii="Times New Roman" w:eastAsia="AdvEPSTIM" w:hAnsi="Times New Roman"/>
                <w:sz w:val="16"/>
                <w:szCs w:val="16"/>
                <w:lang w:eastAsia="en-GB"/>
              </w:rPr>
              <w:t>indicators capturing the quality of governance</w:t>
            </w:r>
            <w:r w:rsidR="001A153B" w:rsidRPr="00020413">
              <w:rPr>
                <w:rFonts w:ascii="Times New Roman" w:eastAsia="AdvEPSTIM" w:hAnsi="Times New Roman"/>
                <w:sz w:val="16"/>
                <w:szCs w:val="16"/>
              </w:rPr>
              <w:t>, all of which are</w:t>
            </w:r>
            <w:r w:rsidR="001A153B" w:rsidRPr="00020413">
              <w:rPr>
                <w:rFonts w:ascii="Times New Roman" w:eastAsia="AdvEPSTIM" w:hAnsi="Times New Roman"/>
                <w:sz w:val="16"/>
                <w:szCs w:val="16"/>
                <w:lang w:eastAsia="en-GB"/>
              </w:rPr>
              <w:t xml:space="preserve"> deﬁned in detail in subsection 4.2.</w:t>
            </w:r>
          </w:p>
          <w:p w:rsidR="001A153B" w:rsidRPr="00020413" w:rsidRDefault="001A153B" w:rsidP="000F3A57">
            <w:pPr>
              <w:widowControl w:val="0"/>
              <w:autoSpaceDE w:val="0"/>
              <w:autoSpaceDN w:val="0"/>
              <w:adjustRightInd w:val="0"/>
              <w:spacing w:after="0" w:line="240" w:lineRule="auto"/>
              <w:jc w:val="center"/>
              <w:rPr>
                <w:rFonts w:ascii="Times New Roman" w:hAnsi="Times New Roman"/>
                <w:sz w:val="18"/>
                <w:szCs w:val="18"/>
                <w:lang w:val="en-US"/>
              </w:rPr>
            </w:pPr>
          </w:p>
        </w:tc>
      </w:tr>
    </w:tbl>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pPr>
    </w:p>
    <w:p w:rsidR="002F462B" w:rsidRPr="00020413" w:rsidRDefault="002F462B" w:rsidP="00763F96">
      <w:pPr>
        <w:spacing w:after="0" w:line="240" w:lineRule="auto"/>
        <w:jc w:val="both"/>
        <w:rPr>
          <w:rFonts w:ascii="Times New Roman" w:hAnsi="Times New Roman"/>
          <w:sz w:val="20"/>
          <w:szCs w:val="20"/>
        </w:rPr>
        <w:sectPr w:rsidR="002F462B" w:rsidRPr="00020413" w:rsidSect="00A651BC">
          <w:footerReference w:type="default" r:id="rId71"/>
          <w:pgSz w:w="11906" w:h="16838" w:code="9"/>
          <w:pgMar w:top="1440" w:right="1440" w:bottom="1440" w:left="1440" w:header="709" w:footer="709" w:gutter="0"/>
          <w:cols w:space="708"/>
          <w:docGrid w:linePitch="360"/>
        </w:sectPr>
      </w:pPr>
    </w:p>
    <w:p w:rsidR="002F462B" w:rsidRPr="00020413" w:rsidRDefault="005166B6" w:rsidP="002F462B">
      <w:pPr>
        <w:keepNext/>
        <w:widowControl w:val="0"/>
        <w:autoSpaceDE w:val="0"/>
        <w:autoSpaceDN w:val="0"/>
        <w:adjustRightInd w:val="0"/>
        <w:spacing w:after="0" w:line="240" w:lineRule="auto"/>
        <w:rPr>
          <w:rFonts w:ascii="Times New Roman" w:hAnsi="Times New Roman"/>
          <w:sz w:val="24"/>
          <w:szCs w:val="24"/>
        </w:rPr>
      </w:pPr>
      <w:r w:rsidRPr="00020413">
        <w:rPr>
          <w:rFonts w:ascii="Times New Roman" w:hAnsi="Times New Roman"/>
          <w:b/>
          <w:bCs/>
          <w:sz w:val="24"/>
          <w:szCs w:val="24"/>
        </w:rPr>
        <w:lastRenderedPageBreak/>
        <w:t xml:space="preserve">   </w:t>
      </w:r>
      <w:r w:rsidR="002F462B" w:rsidRPr="00020413">
        <w:rPr>
          <w:rFonts w:ascii="Times New Roman" w:hAnsi="Times New Roman"/>
          <w:b/>
          <w:bCs/>
          <w:sz w:val="24"/>
          <w:szCs w:val="24"/>
        </w:rPr>
        <w:t>Table 2:</w:t>
      </w:r>
      <w:r w:rsidR="002F462B" w:rsidRPr="00020413">
        <w:rPr>
          <w:rFonts w:ascii="Times New Roman" w:hAnsi="Times New Roman"/>
          <w:sz w:val="24"/>
          <w:szCs w:val="24"/>
        </w:rPr>
        <w:t xml:space="preserve"> </w:t>
      </w:r>
      <w:r w:rsidR="002F462B" w:rsidRPr="00020413">
        <w:rPr>
          <w:rFonts w:ascii="Times New Roman" w:hAnsi="Times New Roman"/>
          <w:b/>
          <w:bCs/>
          <w:sz w:val="24"/>
          <w:szCs w:val="24"/>
        </w:rPr>
        <w:t>Correlations matrix</w:t>
      </w:r>
    </w:p>
    <w:tbl>
      <w:tblPr>
        <w:tblW w:w="13642" w:type="dxa"/>
        <w:jc w:val="center"/>
        <w:tblLayout w:type="fixed"/>
        <w:tblLook w:val="0000" w:firstRow="0" w:lastRow="0" w:firstColumn="0" w:lastColumn="0" w:noHBand="0" w:noVBand="0"/>
      </w:tblPr>
      <w:tblGrid>
        <w:gridCol w:w="1320"/>
        <w:gridCol w:w="739"/>
        <w:gridCol w:w="891"/>
        <w:gridCol w:w="891"/>
        <w:gridCol w:w="891"/>
        <w:gridCol w:w="891"/>
        <w:gridCol w:w="891"/>
        <w:gridCol w:w="891"/>
        <w:gridCol w:w="891"/>
        <w:gridCol w:w="891"/>
        <w:gridCol w:w="891"/>
        <w:gridCol w:w="891"/>
        <w:gridCol w:w="891"/>
        <w:gridCol w:w="891"/>
        <w:gridCol w:w="891"/>
      </w:tblGrid>
      <w:tr w:rsidR="00D51BC0" w:rsidRPr="00020413" w:rsidTr="005166B6">
        <w:trPr>
          <w:trHeight w:val="319"/>
          <w:jc w:val="center"/>
        </w:trPr>
        <w:tc>
          <w:tcPr>
            <w:tcW w:w="1320"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p>
        </w:tc>
        <w:tc>
          <w:tcPr>
            <w:tcW w:w="739"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74"/>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3</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5</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6</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12</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14</w:t>
            </w:r>
          </w:p>
        </w:tc>
      </w:tr>
      <w:tr w:rsidR="00D51BC0" w:rsidRPr="00020413" w:rsidTr="005166B6">
        <w:trPr>
          <w:trHeight w:val="345"/>
          <w:jc w:val="center"/>
        </w:trPr>
        <w:tc>
          <w:tcPr>
            <w:tcW w:w="1320"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 NPL</w:t>
            </w:r>
          </w:p>
        </w:tc>
        <w:tc>
          <w:tcPr>
            <w:tcW w:w="739"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45"/>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2. Depth</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45"/>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3. Registry</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45"/>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4. Bureau</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0.67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45"/>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5. Size</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-0.16</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0.10</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6. Lending</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0.12</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7. Profit</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8. Capital</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0.11</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9. Concentration</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-0.16</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-0.20</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45"/>
          <w:jc w:val="center"/>
        </w:trPr>
        <w:tc>
          <w:tcPr>
            <w:tcW w:w="1320" w:type="dxa"/>
            <w:tcBorders>
              <w:top w:val="nil"/>
              <w:left w:val="nil"/>
              <w:bottom w:val="nil"/>
              <w:right w:val="nil"/>
            </w:tcBorders>
          </w:tcPr>
          <w:p w:rsidR="00D51BC0" w:rsidRPr="00020413" w:rsidRDefault="00082995"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10. GDP G</w:t>
            </w:r>
            <w:r w:rsidR="00D51BC0" w:rsidRPr="00020413">
              <w:rPr>
                <w:rFonts w:ascii="Times New Roman" w:hAnsi="Times New Roman"/>
                <w:sz w:val="16"/>
                <w:szCs w:val="16"/>
              </w:rPr>
              <w:t>rowth</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-0.10</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11. Inflation</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-0.12</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12. Law</w:t>
            </w:r>
          </w:p>
        </w:tc>
        <w:tc>
          <w:tcPr>
            <w:tcW w:w="739"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0.40</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-0.11</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-0.33</w:t>
            </w:r>
            <w:r w:rsidRPr="00020413">
              <w:rPr>
                <w:rFonts w:ascii="Times New Roman" w:hAnsi="Times New Roman"/>
                <w:sz w:val="16"/>
                <w:szCs w:val="16"/>
                <w:vertAlign w:val="superscript"/>
              </w:rPr>
              <w:t>a</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c>
          <w:tcPr>
            <w:tcW w:w="89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13. Regulation</w:t>
            </w:r>
          </w:p>
        </w:tc>
        <w:tc>
          <w:tcPr>
            <w:tcW w:w="739"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0.21</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0.36</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-0.10</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-0.12</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0.88</w:t>
            </w:r>
            <w:r w:rsidRPr="00020413">
              <w:rPr>
                <w:rFonts w:ascii="Times New Roman" w:hAnsi="Times New Roman"/>
                <w:sz w:val="16"/>
                <w:szCs w:val="16"/>
                <w:vertAlign w:val="superscript"/>
              </w:rPr>
              <w:t>a</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c>
          <w:tcPr>
            <w:tcW w:w="89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p>
        </w:tc>
      </w:tr>
      <w:tr w:rsidR="00D51BC0" w:rsidRPr="00020413" w:rsidTr="005166B6">
        <w:trPr>
          <w:trHeight w:val="319"/>
          <w:jc w:val="center"/>
        </w:trPr>
        <w:tc>
          <w:tcPr>
            <w:tcW w:w="1320"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14. Corruption</w:t>
            </w:r>
          </w:p>
        </w:tc>
        <w:tc>
          <w:tcPr>
            <w:tcW w:w="739"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-0.12</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0.92</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0.83</w:t>
            </w:r>
            <w:r w:rsidRPr="00020413">
              <w:rPr>
                <w:rFonts w:ascii="Times New Roman" w:hAnsi="Times New Roman"/>
                <w:sz w:val="16"/>
                <w:szCs w:val="16"/>
                <w:vertAlign w:val="superscript"/>
              </w:rPr>
              <w:t>a</w:t>
            </w:r>
          </w:p>
        </w:tc>
        <w:tc>
          <w:tcPr>
            <w:tcW w:w="89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w:t>
            </w:r>
          </w:p>
        </w:tc>
      </w:tr>
    </w:tbl>
    <w:p w:rsidR="00D51BC0" w:rsidRPr="00020413" w:rsidRDefault="003D7A70" w:rsidP="00AF3367">
      <w:pPr>
        <w:widowControl w:val="0"/>
        <w:autoSpaceDE w:val="0"/>
        <w:autoSpaceDN w:val="0"/>
        <w:adjustRightInd w:val="0"/>
        <w:spacing w:after="0" w:line="240" w:lineRule="auto"/>
        <w:ind w:left="227"/>
        <w:rPr>
          <w:rFonts w:ascii="Times New Roman" w:hAnsi="Times New Roman"/>
          <w:sz w:val="16"/>
          <w:szCs w:val="16"/>
        </w:rPr>
      </w:pPr>
      <w:r w:rsidRPr="00020413">
        <w:rPr>
          <w:rFonts w:ascii="Times New Roman" w:hAnsi="Times New Roman"/>
          <w:sz w:val="16"/>
          <w:szCs w:val="16"/>
        </w:rPr>
        <w:t xml:space="preserve">This table presents the unconditional correlation coefficient between any pair of variables. </w:t>
      </w:r>
      <w:r w:rsidR="00D51BC0" w:rsidRPr="00020413">
        <w:rPr>
          <w:rFonts w:ascii="Times New Roman" w:hAnsi="Times New Roman"/>
          <w:sz w:val="16"/>
          <w:szCs w:val="16"/>
        </w:rPr>
        <w:t>Variable</w:t>
      </w:r>
      <w:r w:rsidR="00156FFA" w:rsidRPr="00020413">
        <w:rPr>
          <w:rFonts w:ascii="Times New Roman" w:hAnsi="Times New Roman"/>
          <w:sz w:val="16"/>
          <w:szCs w:val="16"/>
        </w:rPr>
        <w:t>s</w:t>
      </w:r>
      <w:r w:rsidR="00D51BC0" w:rsidRPr="00020413">
        <w:rPr>
          <w:rFonts w:ascii="Times New Roman" w:hAnsi="Times New Roman"/>
          <w:sz w:val="16"/>
          <w:szCs w:val="16"/>
        </w:rPr>
        <w:t xml:space="preserve"> are as described in Table 1. </w:t>
      </w:r>
      <w:proofErr w:type="spellStart"/>
      <w:r w:rsidR="00D51BC0" w:rsidRPr="00020413">
        <w:rPr>
          <w:rFonts w:ascii="Times New Roman" w:hAnsi="Times New Roman"/>
          <w:sz w:val="16"/>
          <w:szCs w:val="16"/>
          <w:vertAlign w:val="superscript"/>
        </w:rPr>
        <w:t>a</w:t>
      </w:r>
      <w:proofErr w:type="spellEnd"/>
      <w:r w:rsidR="00D51BC0" w:rsidRPr="00020413">
        <w:rPr>
          <w:rFonts w:ascii="Times New Roman" w:hAnsi="Times New Roman"/>
          <w:sz w:val="16"/>
          <w:szCs w:val="16"/>
        </w:rPr>
        <w:t xml:space="preserve"> indicates significance at 1% or better</w:t>
      </w:r>
      <w:r w:rsidR="00156FFA" w:rsidRPr="00020413">
        <w:rPr>
          <w:rFonts w:ascii="Times New Roman" w:hAnsi="Times New Roman"/>
          <w:sz w:val="16"/>
          <w:szCs w:val="16"/>
        </w:rPr>
        <w:t>.</w:t>
      </w:r>
    </w:p>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p>
    <w:p w:rsidR="00D51BC0" w:rsidRPr="00020413" w:rsidRDefault="00D51BC0">
      <w:pPr>
        <w:spacing w:after="0" w:line="240" w:lineRule="auto"/>
        <w:rPr>
          <w:rFonts w:ascii="Times New Roman" w:hAnsi="Times New Roman"/>
          <w:sz w:val="16"/>
          <w:szCs w:val="16"/>
        </w:rPr>
      </w:pPr>
      <w:r w:rsidRPr="00020413">
        <w:rPr>
          <w:rFonts w:ascii="Times New Roman" w:hAnsi="Times New Roman"/>
          <w:sz w:val="16"/>
          <w:szCs w:val="16"/>
        </w:rPr>
        <w:br w:type="page"/>
      </w:r>
    </w:p>
    <w:p w:rsidR="00D51BC0" w:rsidRPr="00020413" w:rsidRDefault="00FD1A81" w:rsidP="00D51BC0">
      <w:pPr>
        <w:keepNext/>
        <w:widowControl w:val="0"/>
        <w:autoSpaceDE w:val="0"/>
        <w:autoSpaceDN w:val="0"/>
        <w:adjustRightInd w:val="0"/>
        <w:spacing w:after="0" w:line="240" w:lineRule="auto"/>
        <w:rPr>
          <w:rFonts w:ascii="Times New Roman" w:hAnsi="Times New Roman"/>
          <w:b/>
          <w:sz w:val="24"/>
          <w:szCs w:val="24"/>
        </w:rPr>
      </w:pPr>
      <w:r w:rsidRPr="00020413">
        <w:rPr>
          <w:rFonts w:ascii="Times New Roman" w:hAnsi="Times New Roman"/>
          <w:b/>
          <w:sz w:val="24"/>
          <w:szCs w:val="24"/>
        </w:rPr>
        <w:lastRenderedPageBreak/>
        <w:t xml:space="preserve">    </w:t>
      </w:r>
      <w:r w:rsidR="00D51BC0" w:rsidRPr="00020413">
        <w:rPr>
          <w:rFonts w:ascii="Times New Roman" w:hAnsi="Times New Roman"/>
          <w:b/>
          <w:sz w:val="24"/>
          <w:szCs w:val="24"/>
        </w:rPr>
        <w:t xml:space="preserve">Table 3: Information </w:t>
      </w:r>
      <w:r w:rsidR="007A55A9" w:rsidRPr="00020413">
        <w:rPr>
          <w:rFonts w:ascii="Times New Roman" w:hAnsi="Times New Roman"/>
          <w:b/>
          <w:sz w:val="24"/>
          <w:szCs w:val="24"/>
        </w:rPr>
        <w:t>s</w:t>
      </w:r>
      <w:r w:rsidR="00D51BC0" w:rsidRPr="00020413">
        <w:rPr>
          <w:rFonts w:ascii="Times New Roman" w:hAnsi="Times New Roman"/>
          <w:b/>
          <w:sz w:val="24"/>
          <w:szCs w:val="24"/>
        </w:rPr>
        <w:t>haring and loan default</w:t>
      </w:r>
    </w:p>
    <w:tbl>
      <w:tblPr>
        <w:tblW w:w="13533" w:type="dxa"/>
        <w:jc w:val="center"/>
        <w:tblLayout w:type="fixed"/>
        <w:tblLook w:val="0000" w:firstRow="0" w:lastRow="0" w:firstColumn="0" w:lastColumn="0" w:noHBand="0" w:noVBand="0"/>
      </w:tblPr>
      <w:tblGrid>
        <w:gridCol w:w="1701"/>
        <w:gridCol w:w="1264"/>
        <w:gridCol w:w="1321"/>
        <w:gridCol w:w="1321"/>
        <w:gridCol w:w="1321"/>
        <w:gridCol w:w="1321"/>
        <w:gridCol w:w="1321"/>
        <w:gridCol w:w="1321"/>
        <w:gridCol w:w="1321"/>
        <w:gridCol w:w="1321"/>
      </w:tblGrid>
      <w:tr w:rsidR="00D51BC0" w:rsidRPr="00020413" w:rsidTr="00FD1A81">
        <w:trPr>
          <w:trHeight w:val="217"/>
          <w:jc w:val="center"/>
        </w:trPr>
        <w:tc>
          <w:tcPr>
            <w:tcW w:w="170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single" w:sz="4" w:space="0" w:color="auto"/>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1</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2</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3</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4</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5</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6</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7</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8</w:t>
            </w:r>
          </w:p>
        </w:tc>
        <w:tc>
          <w:tcPr>
            <w:tcW w:w="1321" w:type="dxa"/>
            <w:tcBorders>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9</w:t>
            </w:r>
          </w:p>
        </w:tc>
      </w:tr>
      <w:tr w:rsidR="00D51BC0" w:rsidRPr="00020413" w:rsidTr="00FD1A81">
        <w:trPr>
          <w:trHeight w:val="217"/>
          <w:jc w:val="center"/>
        </w:trPr>
        <w:tc>
          <w:tcPr>
            <w:tcW w:w="1701" w:type="dxa"/>
            <w:tcBorders>
              <w:top w:val="single" w:sz="4" w:space="0" w:color="auto"/>
              <w:left w:val="nil"/>
              <w:bottom w:val="nil"/>
              <w:right w:val="nil"/>
            </w:tcBorders>
          </w:tcPr>
          <w:p w:rsidR="00D51BC0" w:rsidRPr="00020413" w:rsidRDefault="00F422A6"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 xml:space="preserve">Lagged </w:t>
            </w:r>
            <w:r w:rsidR="00D51BC0" w:rsidRPr="00020413">
              <w:rPr>
                <w:rFonts w:ascii="Times New Roman" w:hAnsi="Times New Roman"/>
                <w:sz w:val="18"/>
                <w:szCs w:val="18"/>
              </w:rPr>
              <w:t>Logit(NPL)</w:t>
            </w:r>
          </w:p>
        </w:tc>
        <w:tc>
          <w:tcPr>
            <w:tcW w:w="126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0.726</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0.725</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0.711</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0.739</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0.738</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0.725</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0.702</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0.704</w:t>
            </w:r>
            <w:r w:rsidRPr="00020413">
              <w:rPr>
                <w:rFonts w:ascii="Times New Roman" w:hAnsi="Times New Roman"/>
                <w:sz w:val="18"/>
                <w:szCs w:val="18"/>
                <w:vertAlign w:val="superscript"/>
              </w:rPr>
              <w:t>***</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0.698</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(0.053)</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Size</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0.031</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0.037</w:t>
            </w: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(0.030)</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Lending</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-0.315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-0.411</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-0.386</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-0.442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-0.522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-0.529</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(0.231)</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(0.256)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(0.262)</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Profit</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-9.570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-9.633</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-9.832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-8.962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-9.098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-9.268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-9.880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-9.906</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-9.973</w:t>
            </w:r>
            <w:r w:rsidRPr="00020413">
              <w:rPr>
                <w:rFonts w:ascii="Times New Roman" w:hAnsi="Times New Roman"/>
                <w:sz w:val="18"/>
                <w:szCs w:val="18"/>
                <w:vertAlign w:val="superscript"/>
              </w:rPr>
              <w:t>***</w:t>
            </w: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(1.982)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(1.978)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(2.017)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(1.833)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(1.843)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(1.874)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(2.044)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(2.036)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(2.052)</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Capital</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0.119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0.150</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(0.540)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(0.559)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(0.595)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(0.584)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(0.598)</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GDP Growth</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r w:rsidRPr="00020413">
              <w:rPr>
                <w:rFonts w:ascii="Times New Roman" w:hAnsi="Times New Roman"/>
                <w:sz w:val="18"/>
                <w:szCs w:val="18"/>
                <w:vertAlign w:val="superscript"/>
              </w:rPr>
              <w:t>***</w:t>
            </w: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Inflation</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-0.011</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-0.009</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1.255</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1.225</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1.366</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1.358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1.316</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1.463</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1.359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1.336</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1.406</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(0.354)</w:t>
            </w: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Depth</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-0.074</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-0.071</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-0.073</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(0.018)</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Registry</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Bureau</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-0.073</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-0.135</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-0.151</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(0.051)</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Control</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-0.163</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-0.085</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r>
      <w:tr w:rsidR="00D51BC0" w:rsidRPr="00020413" w:rsidTr="00FD1A81">
        <w:trPr>
          <w:trHeight w:val="230"/>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Constant</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-1.380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-1.382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-1.588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-1.449</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-1.367</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-1.678</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-1.300</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-1.342</w:t>
            </w:r>
            <w:r w:rsidRPr="00020413">
              <w:rPr>
                <w:rFonts w:ascii="Times New Roman" w:hAnsi="Times New Roman"/>
                <w:sz w:val="18"/>
                <w:szCs w:val="18"/>
                <w:vertAlign w:val="superscript"/>
              </w:rPr>
              <w:t>***</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-1.462</w:t>
            </w:r>
            <w:r w:rsidRPr="00020413">
              <w:rPr>
                <w:rFonts w:ascii="Times New Roman" w:hAnsi="Times New Roman"/>
                <w:sz w:val="18"/>
                <w:szCs w:val="18"/>
                <w:vertAlign w:val="superscript"/>
              </w:rPr>
              <w:t>***</w:t>
            </w:r>
          </w:p>
        </w:tc>
      </w:tr>
      <w:tr w:rsidR="00D51BC0" w:rsidRPr="00020413" w:rsidTr="00FD1A81">
        <w:trPr>
          <w:trHeight w:val="217"/>
          <w:jc w:val="center"/>
        </w:trPr>
        <w:tc>
          <w:tcPr>
            <w:tcW w:w="170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1264"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(0.397)</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(0.382)</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(0.413)</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(0.370)</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(0.373)</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(0.391)</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(0.402)</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(0.389)</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(0.414)</w:t>
            </w:r>
          </w:p>
        </w:tc>
      </w:tr>
      <w:tr w:rsidR="00D51BC0" w:rsidRPr="00020413" w:rsidTr="00FD1A81">
        <w:trPr>
          <w:trHeight w:val="217"/>
          <w:jc w:val="center"/>
        </w:trPr>
        <w:tc>
          <w:tcPr>
            <w:tcW w:w="170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Observations</w:t>
            </w:r>
          </w:p>
        </w:tc>
        <w:tc>
          <w:tcPr>
            <w:tcW w:w="126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2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r>
      <w:tr w:rsidR="00D51BC0" w:rsidRPr="00020413" w:rsidTr="00FD1A81">
        <w:trPr>
          <w:trHeight w:val="217"/>
          <w:jc w:val="center"/>
        </w:trPr>
        <w:tc>
          <w:tcPr>
            <w:tcW w:w="170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Hansen test p-value</w:t>
            </w:r>
          </w:p>
        </w:tc>
        <w:tc>
          <w:tcPr>
            <w:tcW w:w="1264"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0.126</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0.134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0.194</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0.207</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0.290</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0.299</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0.285</w:t>
            </w:r>
          </w:p>
        </w:tc>
        <w:tc>
          <w:tcPr>
            <w:tcW w:w="1321" w:type="dxa"/>
            <w:tcBorders>
              <w:top w:val="nil"/>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0.313</w:t>
            </w:r>
          </w:p>
        </w:tc>
      </w:tr>
      <w:tr w:rsidR="00D51BC0" w:rsidRPr="00020413" w:rsidTr="00FD1A81">
        <w:trPr>
          <w:trHeight w:val="217"/>
          <w:jc w:val="center"/>
        </w:trPr>
        <w:tc>
          <w:tcPr>
            <w:tcW w:w="1701" w:type="dxa"/>
            <w:tcBorders>
              <w:top w:val="nil"/>
              <w:left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AR(1)test p-value</w:t>
            </w:r>
          </w:p>
        </w:tc>
        <w:tc>
          <w:tcPr>
            <w:tcW w:w="1264"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21" w:type="dxa"/>
            <w:tcBorders>
              <w:top w:val="nil"/>
              <w:left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r>
      <w:tr w:rsidR="00D51BC0" w:rsidRPr="00020413" w:rsidTr="00FD1A81">
        <w:trPr>
          <w:trHeight w:val="230"/>
          <w:jc w:val="center"/>
        </w:trPr>
        <w:tc>
          <w:tcPr>
            <w:tcW w:w="170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w:t>
            </w:r>
            <w:r w:rsidR="005B59FA" w:rsidRPr="00020413">
              <w:rPr>
                <w:rFonts w:ascii="Times New Roman" w:hAnsi="Times New Roman"/>
                <w:sz w:val="18"/>
                <w:szCs w:val="18"/>
              </w:rPr>
              <w:t>2</w:t>
            </w:r>
            <w:r w:rsidRPr="00020413">
              <w:rPr>
                <w:rFonts w:ascii="Times New Roman" w:hAnsi="Times New Roman"/>
                <w:sz w:val="18"/>
                <w:szCs w:val="18"/>
              </w:rPr>
              <w:t>) test p-value</w:t>
            </w:r>
          </w:p>
        </w:tc>
        <w:tc>
          <w:tcPr>
            <w:tcW w:w="1264"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0.782</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0.785</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0.796</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0.777</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0.778</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0.788</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0.825</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0.824</w:t>
            </w:r>
          </w:p>
        </w:tc>
        <w:tc>
          <w:tcPr>
            <w:tcW w:w="1321" w:type="dxa"/>
            <w:tcBorders>
              <w:top w:val="nil"/>
              <w:left w:val="nil"/>
              <w:bottom w:val="single" w:sz="4" w:space="0" w:color="auto"/>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0.831</w:t>
            </w:r>
          </w:p>
        </w:tc>
      </w:tr>
    </w:tbl>
    <w:p w:rsidR="00AD4463" w:rsidRPr="00020413" w:rsidRDefault="00D51BC0" w:rsidP="00D51BC0">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 xml:space="preserve">This table shows the dynamic system GMM estimation results for the effect of credit information on bank credit default rate. Time fixed effects are included in all estimations. All variables are as described in Table 1. Robust Windmeijer (2005) ﬁnite-sample corrected standard errors are in parentheses. </w:t>
      </w:r>
      <w:r w:rsidRPr="00020413">
        <w:rPr>
          <w:rFonts w:ascii="Times New Roman" w:hAnsi="Times New Roman"/>
          <w:sz w:val="18"/>
          <w:szCs w:val="18"/>
          <w:vertAlign w:val="superscript"/>
        </w:rPr>
        <w:t xml:space="preserve">*, **, *** </w:t>
      </w:r>
      <w:r w:rsidRPr="00020413">
        <w:rPr>
          <w:rFonts w:ascii="Times New Roman" w:hAnsi="Times New Roman"/>
          <w:sz w:val="18"/>
          <w:szCs w:val="18"/>
        </w:rPr>
        <w:t>indicate signiﬁcance at 10%, 5% and 1% respectively.</w:t>
      </w:r>
    </w:p>
    <w:tbl>
      <w:tblPr>
        <w:tblW w:w="14117" w:type="dxa"/>
        <w:jc w:val="center"/>
        <w:tblLayout w:type="fixed"/>
        <w:tblLook w:val="0000" w:firstRow="0" w:lastRow="0" w:firstColumn="0" w:lastColumn="0" w:noHBand="0" w:noVBand="0"/>
      </w:tblPr>
      <w:tblGrid>
        <w:gridCol w:w="4263"/>
        <w:gridCol w:w="3284"/>
        <w:gridCol w:w="3284"/>
        <w:gridCol w:w="3286"/>
      </w:tblGrid>
      <w:tr w:rsidR="00FB518B" w:rsidRPr="00020413" w:rsidTr="005E1D5B">
        <w:trPr>
          <w:trHeight w:val="249"/>
          <w:jc w:val="center"/>
        </w:trPr>
        <w:tc>
          <w:tcPr>
            <w:tcW w:w="14117" w:type="dxa"/>
            <w:gridSpan w:val="4"/>
            <w:tcBorders>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b/>
                <w:sz w:val="18"/>
                <w:szCs w:val="18"/>
              </w:rPr>
            </w:pPr>
            <w:r w:rsidRPr="00020413">
              <w:rPr>
                <w:rFonts w:ascii="Times New Roman" w:hAnsi="Times New Roman"/>
                <w:b/>
                <w:sz w:val="24"/>
                <w:szCs w:val="24"/>
              </w:rPr>
              <w:lastRenderedPageBreak/>
              <w:t xml:space="preserve">Table 4: Marginal effect of information sharing on </w:t>
            </w:r>
            <w:r w:rsidR="005360E9" w:rsidRPr="00020413">
              <w:rPr>
                <w:rFonts w:ascii="Times New Roman" w:hAnsi="Times New Roman"/>
                <w:b/>
                <w:sz w:val="24"/>
                <w:szCs w:val="24"/>
              </w:rPr>
              <w:t>non-performing loans (</w:t>
            </w:r>
            <w:r w:rsidRPr="00020413">
              <w:rPr>
                <w:rFonts w:ascii="Times New Roman" w:hAnsi="Times New Roman"/>
                <w:b/>
                <w:sz w:val="24"/>
                <w:szCs w:val="24"/>
              </w:rPr>
              <w:t>NPL</w:t>
            </w:r>
            <w:r w:rsidR="005360E9" w:rsidRPr="00020413">
              <w:rPr>
                <w:rFonts w:ascii="Times New Roman" w:hAnsi="Times New Roman"/>
                <w:b/>
                <w:sz w:val="24"/>
                <w:szCs w:val="24"/>
              </w:rPr>
              <w:t>)</w:t>
            </w:r>
          </w:p>
        </w:tc>
      </w:tr>
      <w:tr w:rsidR="00FB518B" w:rsidRPr="00020413" w:rsidTr="005E1D5B">
        <w:trPr>
          <w:trHeight w:val="249"/>
          <w:jc w:val="center"/>
        </w:trPr>
        <w:tc>
          <w:tcPr>
            <w:tcW w:w="4263" w:type="dxa"/>
            <w:tcBorders>
              <w:top w:val="single" w:sz="4" w:space="0" w:color="auto"/>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single" w:sz="4" w:space="0" w:color="auto"/>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w:t>
            </w:r>
          </w:p>
        </w:tc>
        <w:tc>
          <w:tcPr>
            <w:tcW w:w="3284" w:type="dxa"/>
            <w:tcBorders>
              <w:top w:val="single" w:sz="4" w:space="0" w:color="auto"/>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w:t>
            </w:r>
          </w:p>
        </w:tc>
        <w:tc>
          <w:tcPr>
            <w:tcW w:w="3286" w:type="dxa"/>
            <w:tcBorders>
              <w:top w:val="single" w:sz="4" w:space="0" w:color="auto"/>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w:t>
            </w:r>
          </w:p>
        </w:tc>
      </w:tr>
      <w:tr w:rsidR="00ED2E23" w:rsidRPr="00020413" w:rsidTr="005E1D5B">
        <w:trPr>
          <w:trHeight w:val="266"/>
          <w:jc w:val="center"/>
        </w:trPr>
        <w:tc>
          <w:tcPr>
            <w:tcW w:w="4263" w:type="dxa"/>
            <w:tcBorders>
              <w:top w:val="nil"/>
              <w:left w:val="nil"/>
              <w:bottom w:val="single" w:sz="4" w:space="0" w:color="auto"/>
              <w:right w:val="nil"/>
            </w:tcBorders>
          </w:tcPr>
          <w:p w:rsidR="00ED2E23" w:rsidRPr="00020413" w:rsidRDefault="00ED2E23" w:rsidP="00ED2E23">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single" w:sz="4" w:space="0" w:color="auto"/>
              <w:right w:val="nil"/>
            </w:tcBorders>
          </w:tcPr>
          <w:p w:rsidR="00ED2E23" w:rsidRPr="00020413" w:rsidRDefault="00ED2E23" w:rsidP="00ED2E23">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Rule of law</w:t>
            </w:r>
          </w:p>
        </w:tc>
        <w:tc>
          <w:tcPr>
            <w:tcW w:w="3284" w:type="dxa"/>
            <w:tcBorders>
              <w:top w:val="nil"/>
              <w:left w:val="nil"/>
              <w:bottom w:val="single" w:sz="4" w:space="0" w:color="auto"/>
              <w:right w:val="nil"/>
            </w:tcBorders>
          </w:tcPr>
          <w:p w:rsidR="00ED2E23" w:rsidRPr="00020413" w:rsidRDefault="00ED2E23" w:rsidP="00ED2E23">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Regulatory quality</w:t>
            </w:r>
          </w:p>
        </w:tc>
        <w:tc>
          <w:tcPr>
            <w:tcW w:w="3286" w:type="dxa"/>
            <w:tcBorders>
              <w:top w:val="nil"/>
              <w:left w:val="nil"/>
              <w:bottom w:val="single" w:sz="4" w:space="0" w:color="auto"/>
              <w:right w:val="nil"/>
            </w:tcBorders>
          </w:tcPr>
          <w:p w:rsidR="00ED2E23" w:rsidRPr="00020413" w:rsidRDefault="00ED2E23" w:rsidP="00ED2E23">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Control of corruption</w:t>
            </w:r>
          </w:p>
        </w:tc>
      </w:tr>
      <w:tr w:rsidR="00FB518B" w:rsidRPr="00020413" w:rsidTr="005E1D5B">
        <w:trPr>
          <w:trHeight w:val="249"/>
          <w:jc w:val="center"/>
        </w:trPr>
        <w:tc>
          <w:tcPr>
            <w:tcW w:w="4263" w:type="dxa"/>
            <w:tcBorders>
              <w:top w:val="single" w:sz="4" w:space="0" w:color="auto"/>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Panel 1: Short-run effect</w:t>
            </w:r>
          </w:p>
        </w:tc>
        <w:tc>
          <w:tcPr>
            <w:tcW w:w="3284" w:type="dxa"/>
            <w:tcBorders>
              <w:top w:val="single" w:sz="4" w:space="0" w:color="auto"/>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top w:val="single" w:sz="4" w:space="0" w:color="auto"/>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top w:val="single" w:sz="4" w:space="0" w:color="auto"/>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49"/>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49"/>
          <w:jc w:val="center"/>
        </w:trPr>
        <w:tc>
          <w:tcPr>
            <w:tcW w:w="4263" w:type="dxa"/>
            <w:tcBorders>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Depth</w:t>
            </w:r>
          </w:p>
        </w:tc>
        <w:tc>
          <w:tcPr>
            <w:tcW w:w="3284" w:type="dxa"/>
            <w:tcBorders>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-0.919</w:t>
            </w:r>
            <w:r w:rsidRPr="00020413">
              <w:rPr>
                <w:rFonts w:ascii="Times New Roman" w:hAnsi="Times New Roman"/>
                <w:sz w:val="18"/>
                <w:szCs w:val="18"/>
                <w:vertAlign w:val="superscript"/>
              </w:rPr>
              <w:t>***</w:t>
            </w:r>
          </w:p>
        </w:tc>
        <w:tc>
          <w:tcPr>
            <w:tcW w:w="3284" w:type="dxa"/>
            <w:tcBorders>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-0.888</w:t>
            </w:r>
            <w:r w:rsidRPr="00020413">
              <w:rPr>
                <w:rFonts w:ascii="Times New Roman" w:hAnsi="Times New Roman"/>
                <w:sz w:val="18"/>
                <w:szCs w:val="18"/>
                <w:vertAlign w:val="superscript"/>
              </w:rPr>
              <w:t>***</w:t>
            </w:r>
          </w:p>
        </w:tc>
        <w:tc>
          <w:tcPr>
            <w:tcW w:w="3286" w:type="dxa"/>
            <w:tcBorders>
              <w:left w:val="nil"/>
              <w:bottom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-0.909</w:t>
            </w:r>
            <w:r w:rsidRPr="00020413">
              <w:rPr>
                <w:rFonts w:ascii="Times New Roman" w:hAnsi="Times New Roman"/>
                <w:sz w:val="18"/>
                <w:szCs w:val="18"/>
                <w:vertAlign w:val="superscript"/>
              </w:rPr>
              <w:t>***</w:t>
            </w:r>
          </w:p>
        </w:tc>
      </w:tr>
      <w:tr w:rsidR="00FB518B" w:rsidRPr="00020413" w:rsidTr="005E1D5B">
        <w:trPr>
          <w:trHeight w:val="249"/>
          <w:jc w:val="center"/>
        </w:trPr>
        <w:tc>
          <w:tcPr>
            <w:tcW w:w="4263"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(0.204)</w:t>
            </w: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(0.199)</w:t>
            </w:r>
          </w:p>
        </w:tc>
        <w:tc>
          <w:tcPr>
            <w:tcW w:w="3286"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(0.204)</w:t>
            </w:r>
          </w:p>
        </w:tc>
      </w:tr>
      <w:tr w:rsidR="00FB518B" w:rsidRPr="00020413" w:rsidTr="005E1D5B">
        <w:trPr>
          <w:trHeight w:val="266"/>
          <w:jc w:val="center"/>
        </w:trPr>
        <w:tc>
          <w:tcPr>
            <w:tcW w:w="4263"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6"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r>
      <w:tr w:rsidR="00FB518B" w:rsidRPr="00020413" w:rsidTr="005E1D5B">
        <w:trPr>
          <w:trHeight w:val="266"/>
          <w:jc w:val="center"/>
        </w:trPr>
        <w:tc>
          <w:tcPr>
            <w:tcW w:w="4263"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Registry</w:t>
            </w: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-0.510</w:t>
            </w:r>
            <w:r w:rsidRPr="00020413">
              <w:rPr>
                <w:rFonts w:ascii="Times New Roman" w:hAnsi="Times New Roman"/>
                <w:sz w:val="18"/>
                <w:szCs w:val="18"/>
                <w:vertAlign w:val="superscript"/>
              </w:rPr>
              <w:t>***</w:t>
            </w: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-0.510</w:t>
            </w:r>
            <w:r w:rsidRPr="00020413">
              <w:rPr>
                <w:rFonts w:ascii="Times New Roman" w:hAnsi="Times New Roman"/>
                <w:sz w:val="18"/>
                <w:szCs w:val="18"/>
                <w:vertAlign w:val="superscript"/>
              </w:rPr>
              <w:t>***</w:t>
            </w:r>
          </w:p>
        </w:tc>
        <w:tc>
          <w:tcPr>
            <w:tcW w:w="3286"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-0.529</w:t>
            </w:r>
            <w:r w:rsidRPr="00020413">
              <w:rPr>
                <w:rFonts w:ascii="Times New Roman" w:hAnsi="Times New Roman"/>
                <w:sz w:val="18"/>
                <w:szCs w:val="18"/>
                <w:vertAlign w:val="superscript"/>
              </w:rPr>
              <w:t>***</w:t>
            </w:r>
          </w:p>
        </w:tc>
      </w:tr>
      <w:tr w:rsidR="00FB518B" w:rsidRPr="00020413" w:rsidTr="005E1D5B">
        <w:trPr>
          <w:trHeight w:val="249"/>
          <w:jc w:val="center"/>
        </w:trPr>
        <w:tc>
          <w:tcPr>
            <w:tcW w:w="4263"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(0.161)</w:t>
            </w: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(0.161)</w:t>
            </w:r>
          </w:p>
        </w:tc>
        <w:tc>
          <w:tcPr>
            <w:tcW w:w="3286"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(0.162)</w:t>
            </w:r>
          </w:p>
        </w:tc>
      </w:tr>
      <w:tr w:rsidR="00FB518B" w:rsidRPr="00020413" w:rsidTr="005E1D5B">
        <w:trPr>
          <w:trHeight w:val="266"/>
          <w:jc w:val="center"/>
        </w:trPr>
        <w:tc>
          <w:tcPr>
            <w:tcW w:w="4263"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6" w:type="dxa"/>
            <w:tcBorders>
              <w:top w:val="nil"/>
              <w:left w:val="nil"/>
              <w:bottom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r>
      <w:tr w:rsidR="00FB518B" w:rsidRPr="00020413" w:rsidTr="005E1D5B">
        <w:trPr>
          <w:trHeight w:val="249"/>
          <w:jc w:val="center"/>
        </w:trPr>
        <w:tc>
          <w:tcPr>
            <w:tcW w:w="4263" w:type="dxa"/>
            <w:tcBorders>
              <w:top w:val="nil"/>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Bureau</w:t>
            </w:r>
          </w:p>
        </w:tc>
        <w:tc>
          <w:tcPr>
            <w:tcW w:w="3284"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-1.185</w:t>
            </w:r>
            <w:r w:rsidRPr="00020413">
              <w:rPr>
                <w:rFonts w:ascii="Times New Roman" w:hAnsi="Times New Roman"/>
                <w:sz w:val="18"/>
                <w:szCs w:val="18"/>
                <w:vertAlign w:val="superscript"/>
              </w:rPr>
              <w:t>***</w:t>
            </w:r>
          </w:p>
        </w:tc>
        <w:tc>
          <w:tcPr>
            <w:tcW w:w="3284"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-1.134</w:t>
            </w:r>
            <w:r w:rsidRPr="00020413">
              <w:rPr>
                <w:rFonts w:ascii="Times New Roman" w:hAnsi="Times New Roman"/>
                <w:sz w:val="18"/>
                <w:szCs w:val="18"/>
                <w:vertAlign w:val="superscript"/>
              </w:rPr>
              <w:t>***</w:t>
            </w:r>
          </w:p>
        </w:tc>
        <w:tc>
          <w:tcPr>
            <w:tcW w:w="3286"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-1.098</w:t>
            </w:r>
            <w:r w:rsidRPr="00020413">
              <w:rPr>
                <w:rFonts w:ascii="Times New Roman" w:hAnsi="Times New Roman"/>
                <w:sz w:val="18"/>
                <w:szCs w:val="18"/>
                <w:vertAlign w:val="superscript"/>
              </w:rPr>
              <w:t>***</w:t>
            </w:r>
          </w:p>
        </w:tc>
      </w:tr>
      <w:tr w:rsidR="00FB518B" w:rsidRPr="00020413" w:rsidTr="005E1D5B">
        <w:trPr>
          <w:trHeight w:val="266"/>
          <w:jc w:val="center"/>
        </w:trPr>
        <w:tc>
          <w:tcPr>
            <w:tcW w:w="4263" w:type="dxa"/>
            <w:tcBorders>
              <w:top w:val="nil"/>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(0.216)</w:t>
            </w:r>
          </w:p>
        </w:tc>
        <w:tc>
          <w:tcPr>
            <w:tcW w:w="3284"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(0.209)</w:t>
            </w:r>
          </w:p>
        </w:tc>
        <w:tc>
          <w:tcPr>
            <w:tcW w:w="3286" w:type="dxa"/>
            <w:tcBorders>
              <w:top w:val="nil"/>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(0.219)</w:t>
            </w: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Panel 2: Long-run effect</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Depth</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-3.352</w:t>
            </w:r>
            <w:r w:rsidRPr="00020413">
              <w:rPr>
                <w:rFonts w:ascii="Times New Roman" w:hAnsi="Times New Roman"/>
                <w:sz w:val="18"/>
                <w:szCs w:val="18"/>
                <w:vertAlign w:val="superscript"/>
              </w:rPr>
              <w:t>***</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-3.229</w:t>
            </w:r>
            <w:r w:rsidRPr="00020413">
              <w:rPr>
                <w:rFonts w:ascii="Times New Roman" w:hAnsi="Times New Roman"/>
                <w:sz w:val="18"/>
                <w:szCs w:val="18"/>
                <w:vertAlign w:val="superscript"/>
              </w:rPr>
              <w:t>***</w:t>
            </w: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-3.147</w:t>
            </w:r>
            <w:r w:rsidRPr="00020413">
              <w:rPr>
                <w:rFonts w:ascii="Times New Roman" w:hAnsi="Times New Roman"/>
                <w:sz w:val="18"/>
                <w:szCs w:val="18"/>
                <w:vertAlign w:val="superscript"/>
              </w:rPr>
              <w:t>***</w:t>
            </w: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(0.534)</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(0.533)</w:t>
            </w: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(0.524)</w:t>
            </w:r>
          </w:p>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Registry</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-1.952</w:t>
            </w:r>
            <w:r w:rsidRPr="00020413">
              <w:rPr>
                <w:rFonts w:ascii="Times New Roman" w:hAnsi="Times New Roman"/>
                <w:sz w:val="18"/>
                <w:szCs w:val="18"/>
                <w:vertAlign w:val="superscript"/>
              </w:rPr>
              <w:t>***</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-1.946</w:t>
            </w:r>
            <w:r w:rsidRPr="00020413">
              <w:rPr>
                <w:rFonts w:ascii="Times New Roman" w:hAnsi="Times New Roman"/>
                <w:sz w:val="18"/>
                <w:szCs w:val="18"/>
                <w:vertAlign w:val="superscript"/>
              </w:rPr>
              <w:t>***</w:t>
            </w: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-1.920</w:t>
            </w:r>
            <w:r w:rsidRPr="00020413">
              <w:rPr>
                <w:rFonts w:ascii="Times New Roman" w:hAnsi="Times New Roman"/>
                <w:sz w:val="18"/>
                <w:szCs w:val="18"/>
                <w:vertAlign w:val="superscript"/>
              </w:rPr>
              <w:t>***</w:t>
            </w: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(0.559)</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(0.559)</w:t>
            </w: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(0.546)</w:t>
            </w: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p>
        </w:tc>
      </w:tr>
      <w:tr w:rsidR="00FB518B" w:rsidRPr="00020413" w:rsidTr="005E1D5B">
        <w:trPr>
          <w:trHeight w:val="266"/>
          <w:jc w:val="center"/>
        </w:trPr>
        <w:tc>
          <w:tcPr>
            <w:tcW w:w="4263" w:type="dxa"/>
            <w:tcBorders>
              <w:left w:val="nil"/>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Bureau</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-3.981</w:t>
            </w:r>
            <w:r w:rsidRPr="00020413">
              <w:rPr>
                <w:rFonts w:ascii="Times New Roman" w:hAnsi="Times New Roman"/>
                <w:sz w:val="18"/>
                <w:szCs w:val="18"/>
                <w:vertAlign w:val="superscript"/>
              </w:rPr>
              <w:t>***</w:t>
            </w:r>
          </w:p>
        </w:tc>
        <w:tc>
          <w:tcPr>
            <w:tcW w:w="3284"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-3.836</w:t>
            </w:r>
            <w:r w:rsidRPr="00020413">
              <w:rPr>
                <w:rFonts w:ascii="Times New Roman" w:hAnsi="Times New Roman"/>
                <w:sz w:val="18"/>
                <w:szCs w:val="18"/>
                <w:vertAlign w:val="superscript"/>
              </w:rPr>
              <w:t>***</w:t>
            </w:r>
          </w:p>
        </w:tc>
        <w:tc>
          <w:tcPr>
            <w:tcW w:w="3286" w:type="dxa"/>
            <w:tcBorders>
              <w:left w:val="nil"/>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-3.638</w:t>
            </w:r>
            <w:r w:rsidRPr="00020413">
              <w:rPr>
                <w:rFonts w:ascii="Times New Roman" w:hAnsi="Times New Roman"/>
                <w:sz w:val="18"/>
                <w:szCs w:val="18"/>
                <w:vertAlign w:val="superscript"/>
              </w:rPr>
              <w:t>***</w:t>
            </w:r>
          </w:p>
        </w:tc>
      </w:tr>
      <w:tr w:rsidR="00FB518B" w:rsidRPr="00020413" w:rsidTr="005E1D5B">
        <w:trPr>
          <w:trHeight w:val="266"/>
          <w:jc w:val="center"/>
        </w:trPr>
        <w:tc>
          <w:tcPr>
            <w:tcW w:w="4263" w:type="dxa"/>
            <w:tcBorders>
              <w:left w:val="nil"/>
              <w:bottom w:val="single" w:sz="4" w:space="0" w:color="auto"/>
              <w:right w:val="nil"/>
            </w:tcBorders>
          </w:tcPr>
          <w:p w:rsidR="00FB518B" w:rsidRPr="00020413" w:rsidRDefault="00FB518B" w:rsidP="00250DEA">
            <w:pPr>
              <w:widowControl w:val="0"/>
              <w:autoSpaceDE w:val="0"/>
              <w:autoSpaceDN w:val="0"/>
              <w:adjustRightInd w:val="0"/>
              <w:spacing w:after="0" w:line="240" w:lineRule="auto"/>
              <w:rPr>
                <w:rFonts w:ascii="Times New Roman" w:hAnsi="Times New Roman"/>
                <w:sz w:val="18"/>
                <w:szCs w:val="18"/>
              </w:rPr>
            </w:pPr>
          </w:p>
        </w:tc>
        <w:tc>
          <w:tcPr>
            <w:tcW w:w="3284" w:type="dxa"/>
            <w:tcBorders>
              <w:left w:val="nil"/>
              <w:bottom w:val="single" w:sz="4" w:space="0" w:color="auto"/>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(0.623)</w:t>
            </w:r>
          </w:p>
        </w:tc>
        <w:tc>
          <w:tcPr>
            <w:tcW w:w="3284" w:type="dxa"/>
            <w:tcBorders>
              <w:left w:val="nil"/>
              <w:bottom w:val="single" w:sz="4" w:space="0" w:color="auto"/>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(0.625)</w:t>
            </w:r>
          </w:p>
        </w:tc>
        <w:tc>
          <w:tcPr>
            <w:tcW w:w="3286" w:type="dxa"/>
            <w:tcBorders>
              <w:left w:val="nil"/>
              <w:bottom w:val="single" w:sz="4" w:space="0" w:color="auto"/>
              <w:right w:val="nil"/>
            </w:tcBorders>
          </w:tcPr>
          <w:p w:rsidR="00FB518B" w:rsidRPr="00020413" w:rsidRDefault="00FB518B" w:rsidP="00250DEA">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(0.647)</w:t>
            </w:r>
          </w:p>
        </w:tc>
      </w:tr>
    </w:tbl>
    <w:p w:rsidR="00FB518B" w:rsidRPr="00020413" w:rsidRDefault="00FB518B" w:rsidP="00FB518B">
      <w:pPr>
        <w:widowControl w:val="0"/>
        <w:autoSpaceDE w:val="0"/>
        <w:autoSpaceDN w:val="0"/>
        <w:adjustRightInd w:val="0"/>
        <w:spacing w:after="0" w:line="240" w:lineRule="auto"/>
        <w:jc w:val="both"/>
        <w:rPr>
          <w:rFonts w:ascii="Times New Roman" w:hAnsi="Times New Roman"/>
          <w:sz w:val="18"/>
          <w:szCs w:val="18"/>
        </w:rPr>
      </w:pPr>
      <w:r w:rsidRPr="00020413">
        <w:rPr>
          <w:rFonts w:ascii="Times New Roman" w:hAnsi="Times New Roman"/>
          <w:sz w:val="18"/>
          <w:szCs w:val="18"/>
        </w:rPr>
        <w:t xml:space="preserve">This table shows the marginal effect of one standard deviation change in credit information on NPL. All variables are as described in Table 1. </w:t>
      </w:r>
      <w:bookmarkStart w:id="11" w:name="_Hlk507210898"/>
      <w:r w:rsidRPr="00020413">
        <w:rPr>
          <w:rFonts w:ascii="Times New Roman" w:hAnsi="Times New Roman"/>
          <w:sz w:val="18"/>
          <w:szCs w:val="18"/>
        </w:rPr>
        <w:t>Standard errors are in parentheses. *** indicates 1%.</w:t>
      </w:r>
    </w:p>
    <w:bookmarkEnd w:id="11"/>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pPr>
        <w:spacing w:after="0" w:line="240" w:lineRule="auto"/>
        <w:rPr>
          <w:rFonts w:ascii="Times New Roman" w:hAnsi="Times New Roman"/>
          <w:sz w:val="18"/>
          <w:szCs w:val="18"/>
        </w:rPr>
      </w:pPr>
    </w:p>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D51BC0">
      <w:pPr>
        <w:widowControl w:val="0"/>
        <w:autoSpaceDE w:val="0"/>
        <w:autoSpaceDN w:val="0"/>
        <w:adjustRightInd w:val="0"/>
        <w:spacing w:after="0" w:line="240" w:lineRule="auto"/>
        <w:rPr>
          <w:rFonts w:ascii="Times New Roman" w:hAnsi="Times New Roman"/>
          <w:sz w:val="18"/>
          <w:szCs w:val="18"/>
        </w:rPr>
      </w:pPr>
    </w:p>
    <w:p w:rsidR="00D51BC0" w:rsidRPr="00020413" w:rsidRDefault="005E1D5B" w:rsidP="00D51BC0">
      <w:pPr>
        <w:keepNext/>
        <w:widowControl w:val="0"/>
        <w:autoSpaceDE w:val="0"/>
        <w:autoSpaceDN w:val="0"/>
        <w:adjustRightInd w:val="0"/>
        <w:spacing w:after="0" w:line="240" w:lineRule="auto"/>
        <w:rPr>
          <w:rFonts w:ascii="Times New Roman" w:hAnsi="Times New Roman"/>
          <w:b/>
          <w:sz w:val="24"/>
          <w:szCs w:val="24"/>
        </w:rPr>
      </w:pPr>
      <w:r w:rsidRPr="00020413">
        <w:rPr>
          <w:rFonts w:ascii="Times New Roman" w:hAnsi="Times New Roman"/>
          <w:b/>
          <w:sz w:val="24"/>
          <w:szCs w:val="24"/>
        </w:rPr>
        <w:lastRenderedPageBreak/>
        <w:t xml:space="preserve"> </w:t>
      </w:r>
      <w:r w:rsidR="00631692" w:rsidRPr="00020413">
        <w:rPr>
          <w:rFonts w:ascii="Times New Roman" w:hAnsi="Times New Roman"/>
          <w:b/>
          <w:sz w:val="24"/>
          <w:szCs w:val="24"/>
        </w:rPr>
        <w:t xml:space="preserve">Table </w:t>
      </w:r>
      <w:r w:rsidR="005360E9" w:rsidRPr="00020413">
        <w:rPr>
          <w:rFonts w:ascii="Times New Roman" w:hAnsi="Times New Roman"/>
          <w:b/>
          <w:sz w:val="24"/>
          <w:szCs w:val="24"/>
        </w:rPr>
        <w:t>5</w:t>
      </w:r>
      <w:r w:rsidR="00D51BC0" w:rsidRPr="00020413">
        <w:rPr>
          <w:rFonts w:ascii="Times New Roman" w:hAnsi="Times New Roman"/>
          <w:b/>
          <w:sz w:val="24"/>
          <w:szCs w:val="24"/>
        </w:rPr>
        <w:t xml:space="preserve">: Information </w:t>
      </w:r>
      <w:r w:rsidR="005360E9" w:rsidRPr="00020413">
        <w:rPr>
          <w:rFonts w:ascii="Times New Roman" w:hAnsi="Times New Roman"/>
          <w:b/>
          <w:sz w:val="24"/>
          <w:szCs w:val="24"/>
        </w:rPr>
        <w:t>s</w:t>
      </w:r>
      <w:r w:rsidR="00D51BC0" w:rsidRPr="00020413">
        <w:rPr>
          <w:rFonts w:ascii="Times New Roman" w:hAnsi="Times New Roman"/>
          <w:b/>
          <w:sz w:val="24"/>
          <w:szCs w:val="24"/>
        </w:rPr>
        <w:t xml:space="preserve">haring and loan default rates </w:t>
      </w:r>
      <w:r w:rsidR="00156FFA" w:rsidRPr="00020413">
        <w:rPr>
          <w:rFonts w:ascii="Times New Roman" w:hAnsi="Times New Roman"/>
          <w:b/>
          <w:sz w:val="24"/>
          <w:szCs w:val="24"/>
        </w:rPr>
        <w:t>–</w:t>
      </w:r>
      <w:r w:rsidR="00D51BC0" w:rsidRPr="00020413">
        <w:rPr>
          <w:rFonts w:ascii="Times New Roman" w:hAnsi="Times New Roman"/>
          <w:b/>
          <w:sz w:val="24"/>
          <w:szCs w:val="24"/>
        </w:rPr>
        <w:t xml:space="preserve"> </w:t>
      </w:r>
      <w:r w:rsidR="007A55A9" w:rsidRPr="00020413">
        <w:rPr>
          <w:rFonts w:ascii="Times New Roman" w:hAnsi="Times New Roman"/>
          <w:b/>
          <w:sz w:val="24"/>
          <w:szCs w:val="24"/>
        </w:rPr>
        <w:t>I</w:t>
      </w:r>
      <w:r w:rsidR="00D51BC0" w:rsidRPr="00020413">
        <w:rPr>
          <w:rFonts w:ascii="Times New Roman" w:hAnsi="Times New Roman"/>
          <w:b/>
          <w:sz w:val="24"/>
          <w:szCs w:val="24"/>
        </w:rPr>
        <w:t xml:space="preserve">nteraction with </w:t>
      </w:r>
      <w:r w:rsidR="005360E9" w:rsidRPr="00020413">
        <w:rPr>
          <w:rFonts w:ascii="Times New Roman" w:hAnsi="Times New Roman"/>
          <w:b/>
          <w:sz w:val="24"/>
          <w:szCs w:val="24"/>
        </w:rPr>
        <w:t xml:space="preserve">banking </w:t>
      </w:r>
      <w:r w:rsidR="00FB0C83" w:rsidRPr="00020413">
        <w:rPr>
          <w:rFonts w:ascii="Times New Roman" w:hAnsi="Times New Roman"/>
          <w:b/>
          <w:sz w:val="24"/>
          <w:szCs w:val="24"/>
        </w:rPr>
        <w:t xml:space="preserve">market </w:t>
      </w:r>
      <w:r w:rsidR="00D51BC0" w:rsidRPr="00020413">
        <w:rPr>
          <w:rFonts w:ascii="Times New Roman" w:hAnsi="Times New Roman"/>
          <w:b/>
          <w:sz w:val="24"/>
          <w:szCs w:val="24"/>
        </w:rPr>
        <w:t>concentration</w:t>
      </w:r>
    </w:p>
    <w:tbl>
      <w:tblPr>
        <w:tblW w:w="13870" w:type="dxa"/>
        <w:jc w:val="center"/>
        <w:tblLayout w:type="fixed"/>
        <w:tblLook w:val="0000" w:firstRow="0" w:lastRow="0" w:firstColumn="0" w:lastColumn="0" w:noHBand="0" w:noVBand="0"/>
      </w:tblPr>
      <w:tblGrid>
        <w:gridCol w:w="2067"/>
        <w:gridCol w:w="971"/>
        <w:gridCol w:w="1354"/>
        <w:gridCol w:w="1354"/>
        <w:gridCol w:w="1354"/>
        <w:gridCol w:w="1354"/>
        <w:gridCol w:w="1354"/>
        <w:gridCol w:w="1354"/>
        <w:gridCol w:w="1354"/>
        <w:gridCol w:w="1354"/>
      </w:tblGrid>
      <w:tr w:rsidR="00D51BC0" w:rsidRPr="00020413" w:rsidTr="005E1D5B">
        <w:trPr>
          <w:trHeight w:val="247"/>
          <w:jc w:val="center"/>
        </w:trPr>
        <w:tc>
          <w:tcPr>
            <w:tcW w:w="2067"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tc>
        <w:tc>
          <w:tcPr>
            <w:tcW w:w="971"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(6)</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(7)</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(8)</w:t>
            </w:r>
          </w:p>
        </w:tc>
        <w:tc>
          <w:tcPr>
            <w:tcW w:w="1354" w:type="dxa"/>
            <w:tcBorders>
              <w:top w:val="single" w:sz="4" w:space="0" w:color="auto"/>
              <w:left w:val="nil"/>
              <w:bottom w:val="nil"/>
              <w:right w:val="nil"/>
            </w:tcBorders>
          </w:tcPr>
          <w:p w:rsidR="00D51BC0" w:rsidRPr="00020413" w:rsidRDefault="00D51BC0" w:rsidP="00D51BC0">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w:t>
            </w:r>
          </w:p>
        </w:tc>
      </w:tr>
      <w:tr w:rsidR="00F422A6" w:rsidRPr="00020413" w:rsidTr="005E1D5B">
        <w:trPr>
          <w:trHeight w:val="247"/>
          <w:jc w:val="center"/>
        </w:trPr>
        <w:tc>
          <w:tcPr>
            <w:tcW w:w="206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Lagged Logit(NPL)</w:t>
            </w:r>
          </w:p>
        </w:tc>
        <w:tc>
          <w:tcPr>
            <w:tcW w:w="97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0.740</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0.740</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0.729</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0.747</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0.747</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0.736</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0.735</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0.737</w:t>
            </w:r>
            <w:r w:rsidRPr="00020413">
              <w:rPr>
                <w:rFonts w:ascii="Times New Roman" w:hAnsi="Times New Roman"/>
                <w:sz w:val="18"/>
                <w:szCs w:val="18"/>
                <w:vertAlign w:val="superscript"/>
              </w:rPr>
              <w:t>***</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0.733</w:t>
            </w:r>
            <w:r w:rsidRPr="00020413">
              <w:rPr>
                <w:rFonts w:ascii="Times New Roman" w:hAnsi="Times New Roman"/>
                <w:sz w:val="18"/>
                <w:szCs w:val="18"/>
                <w:vertAlign w:val="superscript"/>
              </w:rPr>
              <w:t>***</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(0.053)</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Size</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0.053</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0.044</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(0.028)</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Lending</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-0.317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-0.413</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-0.432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-0.390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-0.394</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(0.242)</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Profit</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-9.239</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-9.332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-9.468</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-8.713</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-8.828</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-8.968</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-9.076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-9.062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-9.082</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(1.858)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(1.860)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(1.887)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(1.742)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(1.754)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(1.781)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(1.911)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(1.901)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(1.912)</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Capital</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0.403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-0.124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0.123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0.153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0.211</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(0.512)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(0.529)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(0.555)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(0.544)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(0.556)</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GDP Growth</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Inflation</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-0.013</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-0.009</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0.118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0.798</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0.768</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0.891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0.515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0.536</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(0.253)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(0.248)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(0.213)</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Depth</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Registry</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Bureau</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Depth</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0.349</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0.359</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(0.098)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(0.097)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(0.098)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Registry</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Bureau</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0.027</w:t>
            </w:r>
            <w:r w:rsidRPr="00020413">
              <w:rPr>
                <w:rFonts w:ascii="Times New Roman" w:hAnsi="Times New Roman"/>
                <w:sz w:val="18"/>
                <w:szCs w:val="18"/>
                <w:vertAlign w:val="superscript"/>
              </w:rPr>
              <w:t>***</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-0.025</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-0.122</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-0.130</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(0.048)</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lastRenderedPageBreak/>
              <w:t>Control</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-0.151</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-0.108</w:t>
            </w:r>
            <w:r w:rsidRPr="00020413">
              <w:rPr>
                <w:rFonts w:ascii="Times New Roman" w:hAnsi="Times New Roman"/>
                <w:sz w:val="18"/>
                <w:szCs w:val="18"/>
                <w:vertAlign w:val="superscript"/>
              </w:rPr>
              <w:t>**</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(0.044)</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(0.048)</w:t>
            </w:r>
          </w:p>
        </w:tc>
      </w:tr>
      <w:tr w:rsidR="00F422A6" w:rsidRPr="00020413" w:rsidTr="005E1D5B">
        <w:trPr>
          <w:trHeight w:val="247"/>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Constant</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-0.670</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-0.687</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-0.850</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-1.067</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-1.099</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-1.295</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-0.836</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-0.844</w:t>
            </w:r>
            <w:r w:rsidRPr="00020413">
              <w:rPr>
                <w:rFonts w:ascii="Times New Roman" w:hAnsi="Times New Roman"/>
                <w:sz w:val="18"/>
                <w:szCs w:val="18"/>
                <w:vertAlign w:val="superscript"/>
              </w:rPr>
              <w:t>***</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-0.969</w:t>
            </w:r>
            <w:r w:rsidRPr="00020413">
              <w:rPr>
                <w:rFonts w:ascii="Times New Roman" w:hAnsi="Times New Roman"/>
                <w:sz w:val="18"/>
                <w:szCs w:val="18"/>
                <w:vertAlign w:val="superscript"/>
              </w:rPr>
              <w:t>***</w:t>
            </w:r>
          </w:p>
        </w:tc>
      </w:tr>
      <w:tr w:rsidR="00F422A6" w:rsidRPr="00020413" w:rsidTr="005E1D5B">
        <w:trPr>
          <w:trHeight w:val="263"/>
          <w:jc w:val="center"/>
        </w:trPr>
        <w:tc>
          <w:tcPr>
            <w:tcW w:w="206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7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(0.298)</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(0.279)</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(0.304)</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(0.333)</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(0.323)</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(0.352)</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(0.338)</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(0.323)</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(0.346)</w:t>
            </w:r>
          </w:p>
        </w:tc>
      </w:tr>
      <w:tr w:rsidR="00F422A6" w:rsidRPr="00020413" w:rsidTr="005E1D5B">
        <w:trPr>
          <w:trHeight w:val="247"/>
          <w:jc w:val="center"/>
        </w:trPr>
        <w:tc>
          <w:tcPr>
            <w:tcW w:w="206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Observations</w:t>
            </w:r>
          </w:p>
        </w:tc>
        <w:tc>
          <w:tcPr>
            <w:tcW w:w="97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c>
          <w:tcPr>
            <w:tcW w:w="135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4995</w:t>
            </w:r>
          </w:p>
        </w:tc>
      </w:tr>
      <w:tr w:rsidR="00F422A6" w:rsidRPr="00020413" w:rsidTr="005E1D5B">
        <w:trPr>
          <w:trHeight w:val="263"/>
          <w:jc w:val="center"/>
        </w:trPr>
        <w:tc>
          <w:tcPr>
            <w:tcW w:w="206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Hansen test p-value</w:t>
            </w:r>
          </w:p>
        </w:tc>
        <w:tc>
          <w:tcPr>
            <w:tcW w:w="97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0.136</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0.143</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0.197</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0.392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0.379</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0.452</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0.240</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0.231</w:t>
            </w:r>
          </w:p>
        </w:tc>
        <w:tc>
          <w:tcPr>
            <w:tcW w:w="135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0.243</w:t>
            </w:r>
          </w:p>
        </w:tc>
      </w:tr>
      <w:tr w:rsidR="00F422A6" w:rsidRPr="00020413" w:rsidTr="005E1D5B">
        <w:trPr>
          <w:trHeight w:val="247"/>
          <w:jc w:val="center"/>
        </w:trPr>
        <w:tc>
          <w:tcPr>
            <w:tcW w:w="2067" w:type="dxa"/>
            <w:tcBorders>
              <w:top w:val="nil"/>
              <w:left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AR(1)test p-value</w:t>
            </w:r>
          </w:p>
        </w:tc>
        <w:tc>
          <w:tcPr>
            <w:tcW w:w="97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r>
      <w:tr w:rsidR="00F422A6" w:rsidRPr="00020413" w:rsidTr="005E1D5B">
        <w:trPr>
          <w:trHeight w:val="263"/>
          <w:jc w:val="center"/>
        </w:trPr>
        <w:tc>
          <w:tcPr>
            <w:tcW w:w="206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w:t>
            </w:r>
            <w:r w:rsidR="005B59FA" w:rsidRPr="00020413">
              <w:rPr>
                <w:rFonts w:ascii="Times New Roman" w:hAnsi="Times New Roman"/>
                <w:sz w:val="18"/>
                <w:szCs w:val="18"/>
              </w:rPr>
              <w:t>2</w:t>
            </w:r>
            <w:r w:rsidRPr="00020413">
              <w:rPr>
                <w:rFonts w:ascii="Times New Roman" w:hAnsi="Times New Roman"/>
                <w:sz w:val="18"/>
                <w:szCs w:val="18"/>
              </w:rPr>
              <w:t>) test p-value</w:t>
            </w:r>
          </w:p>
        </w:tc>
        <w:tc>
          <w:tcPr>
            <w:tcW w:w="97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0.735</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0.737</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0.746</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0.741</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0.742</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0.753</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0.761</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0.761</w:t>
            </w:r>
          </w:p>
        </w:tc>
        <w:tc>
          <w:tcPr>
            <w:tcW w:w="135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0.766</w:t>
            </w:r>
          </w:p>
        </w:tc>
      </w:tr>
    </w:tbl>
    <w:p w:rsidR="00D51BC0" w:rsidRPr="00020413" w:rsidRDefault="00D51BC0" w:rsidP="00D51BC0">
      <w:pPr>
        <w:widowControl w:val="0"/>
        <w:autoSpaceDE w:val="0"/>
        <w:autoSpaceDN w:val="0"/>
        <w:adjustRightInd w:val="0"/>
        <w:spacing w:after="0" w:line="240" w:lineRule="auto"/>
        <w:jc w:val="both"/>
        <w:rPr>
          <w:rFonts w:ascii="Times New Roman" w:hAnsi="Times New Roman"/>
          <w:sz w:val="18"/>
          <w:szCs w:val="18"/>
        </w:rPr>
      </w:pPr>
      <w:r w:rsidRPr="00020413">
        <w:rPr>
          <w:rFonts w:ascii="Times New Roman" w:hAnsi="Times New Roman"/>
          <w:sz w:val="18"/>
          <w:szCs w:val="18"/>
        </w:rPr>
        <w:t>This table shows the dynamic system GMM estimation results for the effect of credit information on bank credit default rate. Time fixed effects are included in all estimations. All variables are as described in Table 1. Robust Windmeijer (2005) finite-sample corrected standard errors are in parentheses. *, **, *** indicate significance at 10%, 5% and 1% respectively.</w:t>
      </w:r>
    </w:p>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p w:rsidR="00D51BC0" w:rsidRPr="00020413" w:rsidRDefault="00D51BC0" w:rsidP="00D51BC0">
      <w:pPr>
        <w:widowControl w:val="0"/>
        <w:autoSpaceDE w:val="0"/>
        <w:autoSpaceDN w:val="0"/>
        <w:adjustRightInd w:val="0"/>
        <w:spacing w:after="0" w:line="240" w:lineRule="auto"/>
        <w:rPr>
          <w:rFonts w:ascii="Times New Roman" w:hAnsi="Times New Roman"/>
          <w:sz w:val="18"/>
          <w:szCs w:val="18"/>
        </w:rPr>
      </w:pPr>
    </w:p>
    <w:p w:rsidR="00D51BC0" w:rsidRPr="00020413" w:rsidRDefault="00D51BC0" w:rsidP="00D51BC0">
      <w:pPr>
        <w:widowControl w:val="0"/>
        <w:autoSpaceDE w:val="0"/>
        <w:autoSpaceDN w:val="0"/>
        <w:adjustRightInd w:val="0"/>
        <w:spacing w:after="0" w:line="240" w:lineRule="auto"/>
        <w:rPr>
          <w:rFonts w:ascii="Times New Roman" w:hAnsi="Times New Roman"/>
          <w:sz w:val="16"/>
          <w:szCs w:val="16"/>
        </w:rPr>
      </w:pPr>
    </w:p>
    <w:p w:rsidR="002F462B" w:rsidRPr="00020413" w:rsidRDefault="002F462B" w:rsidP="00763F96">
      <w:pPr>
        <w:spacing w:after="0" w:line="240" w:lineRule="auto"/>
        <w:jc w:val="both"/>
        <w:rPr>
          <w:rFonts w:ascii="Times New Roman" w:hAnsi="Times New Roman"/>
          <w:sz w:val="20"/>
          <w:szCs w:val="20"/>
        </w:rPr>
      </w:pPr>
    </w:p>
    <w:p w:rsidR="00D51BC0" w:rsidRPr="00020413" w:rsidRDefault="00D51BC0" w:rsidP="000F76BB">
      <w:pPr>
        <w:keepNext/>
        <w:widowControl w:val="0"/>
        <w:autoSpaceDE w:val="0"/>
        <w:autoSpaceDN w:val="0"/>
        <w:adjustRightInd w:val="0"/>
        <w:spacing w:after="0" w:line="240" w:lineRule="auto"/>
        <w:rPr>
          <w:rFonts w:ascii="Times New Roman" w:hAnsi="Times New Roman"/>
          <w:sz w:val="20"/>
          <w:szCs w:val="20"/>
        </w:rPr>
      </w:pPr>
    </w:p>
    <w:p w:rsidR="00113846" w:rsidRPr="00020413" w:rsidRDefault="00D51BC0" w:rsidP="009B36F6">
      <w:pPr>
        <w:spacing w:after="0" w:line="240" w:lineRule="auto"/>
        <w:rPr>
          <w:rFonts w:ascii="Times New Roman" w:hAnsi="Times New Roman"/>
          <w:sz w:val="20"/>
          <w:szCs w:val="20"/>
        </w:rPr>
      </w:pPr>
      <w:r w:rsidRPr="00020413">
        <w:rPr>
          <w:rFonts w:ascii="Times New Roman" w:hAnsi="Times New Roman"/>
          <w:sz w:val="20"/>
          <w:szCs w:val="20"/>
        </w:rPr>
        <w:br w:type="page"/>
      </w:r>
    </w:p>
    <w:tbl>
      <w:tblPr>
        <w:tblW w:w="14210" w:type="dxa"/>
        <w:jc w:val="center"/>
        <w:tblLayout w:type="fixed"/>
        <w:tblLook w:val="0000" w:firstRow="0" w:lastRow="0" w:firstColumn="0" w:lastColumn="0" w:noHBand="0" w:noVBand="0"/>
      </w:tblPr>
      <w:tblGrid>
        <w:gridCol w:w="1500"/>
        <w:gridCol w:w="1155"/>
        <w:gridCol w:w="1156"/>
        <w:gridCol w:w="1155"/>
        <w:gridCol w:w="258"/>
        <w:gridCol w:w="2052"/>
        <w:gridCol w:w="1155"/>
        <w:gridCol w:w="1156"/>
        <w:gridCol w:w="306"/>
        <w:gridCol w:w="2004"/>
        <w:gridCol w:w="1155"/>
        <w:gridCol w:w="1158"/>
      </w:tblGrid>
      <w:tr w:rsidR="005D1C31" w:rsidRPr="00020413" w:rsidTr="00EF2A6F">
        <w:trPr>
          <w:trHeight w:val="288"/>
          <w:jc w:val="center"/>
        </w:trPr>
        <w:tc>
          <w:tcPr>
            <w:tcW w:w="14210" w:type="dxa"/>
            <w:gridSpan w:val="12"/>
            <w:tcBorders>
              <w:left w:val="nil"/>
              <w:bottom w:val="nil"/>
            </w:tcBorders>
          </w:tcPr>
          <w:p w:rsidR="005D1C31" w:rsidRPr="00020413" w:rsidRDefault="005D1C31" w:rsidP="00250DEA">
            <w:pPr>
              <w:keepNext/>
              <w:widowControl w:val="0"/>
              <w:autoSpaceDE w:val="0"/>
              <w:autoSpaceDN w:val="0"/>
              <w:adjustRightInd w:val="0"/>
              <w:spacing w:after="0" w:line="240" w:lineRule="auto"/>
              <w:rPr>
                <w:rFonts w:ascii="Times New Roman" w:hAnsi="Times New Roman" w:cstheme="minorBidi"/>
                <w:b/>
                <w:sz w:val="24"/>
                <w:szCs w:val="24"/>
              </w:rPr>
            </w:pPr>
            <w:r w:rsidRPr="00020413">
              <w:rPr>
                <w:rFonts w:ascii="Times New Roman" w:hAnsi="Times New Roman"/>
                <w:b/>
                <w:sz w:val="24"/>
                <w:szCs w:val="24"/>
              </w:rPr>
              <w:lastRenderedPageBreak/>
              <w:t xml:space="preserve">Table 6: Marginal effect of depth of credit information sharing </w:t>
            </w:r>
            <w:r w:rsidR="005360E9" w:rsidRPr="00020413">
              <w:rPr>
                <w:rFonts w:ascii="Times New Roman" w:hAnsi="Times New Roman"/>
                <w:b/>
                <w:sz w:val="24"/>
                <w:szCs w:val="24"/>
              </w:rPr>
              <w:t xml:space="preserve">on </w:t>
            </w:r>
            <w:r w:rsidRPr="00020413">
              <w:rPr>
                <w:rFonts w:ascii="Times New Roman" w:hAnsi="Times New Roman"/>
                <w:b/>
                <w:sz w:val="24"/>
                <w:szCs w:val="24"/>
              </w:rPr>
              <w:t xml:space="preserve">loan default at specified levels of </w:t>
            </w:r>
            <w:r w:rsidR="00BC4072" w:rsidRPr="00020413">
              <w:rPr>
                <w:rFonts w:ascii="Times New Roman" w:hAnsi="Times New Roman"/>
                <w:b/>
                <w:sz w:val="24"/>
                <w:szCs w:val="24"/>
              </w:rPr>
              <w:t>banking market concentration</w:t>
            </w:r>
          </w:p>
        </w:tc>
      </w:tr>
      <w:tr w:rsidR="005D1C31" w:rsidRPr="00020413" w:rsidTr="00EF2A6F">
        <w:trPr>
          <w:trHeight w:val="288"/>
          <w:jc w:val="center"/>
        </w:trPr>
        <w:tc>
          <w:tcPr>
            <w:tcW w:w="1500" w:type="dxa"/>
            <w:tcBorders>
              <w:top w:val="single" w:sz="4" w:space="0" w:color="auto"/>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w:t>
            </w:r>
          </w:p>
        </w:tc>
        <w:tc>
          <w:tcPr>
            <w:tcW w:w="1156"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w:t>
            </w: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(3)</w:t>
            </w:r>
          </w:p>
        </w:tc>
        <w:tc>
          <w:tcPr>
            <w:tcW w:w="258" w:type="dxa"/>
            <w:tcBorders>
              <w:top w:val="single" w:sz="4" w:space="0" w:color="auto"/>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w:t>
            </w: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(5)</w:t>
            </w:r>
          </w:p>
        </w:tc>
        <w:tc>
          <w:tcPr>
            <w:tcW w:w="1156"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(6)</w:t>
            </w:r>
          </w:p>
        </w:tc>
        <w:tc>
          <w:tcPr>
            <w:tcW w:w="306" w:type="dxa"/>
            <w:tcBorders>
              <w:top w:val="single" w:sz="4" w:space="0" w:color="auto"/>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w:t>
            </w: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w:t>
            </w:r>
          </w:p>
        </w:tc>
        <w:tc>
          <w:tcPr>
            <w:tcW w:w="1158"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w:t>
            </w:r>
          </w:p>
        </w:tc>
      </w:tr>
      <w:tr w:rsidR="005D1C31" w:rsidRPr="00020413" w:rsidTr="00EF2A6F">
        <w:trPr>
          <w:trHeight w:val="288"/>
          <w:jc w:val="center"/>
        </w:trPr>
        <w:tc>
          <w:tcPr>
            <w:tcW w:w="1500"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3466" w:type="dxa"/>
            <w:gridSpan w:val="3"/>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Depth of credit information</w:t>
            </w:r>
          </w:p>
        </w:tc>
        <w:tc>
          <w:tcPr>
            <w:tcW w:w="258"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4363" w:type="dxa"/>
            <w:gridSpan w:val="3"/>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Credit registry</w:t>
            </w:r>
          </w:p>
        </w:tc>
        <w:tc>
          <w:tcPr>
            <w:tcW w:w="30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4317" w:type="dxa"/>
            <w:gridSpan w:val="3"/>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Private bureau</w:t>
            </w:r>
          </w:p>
        </w:tc>
      </w:tr>
      <w:tr w:rsidR="005D1C31" w:rsidRPr="00020413" w:rsidTr="00EF2A6F">
        <w:trPr>
          <w:trHeight w:val="288"/>
          <w:jc w:val="center"/>
        </w:trPr>
        <w:tc>
          <w:tcPr>
            <w:tcW w:w="1500"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single" w:sz="4" w:space="0" w:color="auto"/>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Rule of law</w:t>
            </w:r>
          </w:p>
        </w:tc>
        <w:tc>
          <w:tcPr>
            <w:tcW w:w="1156" w:type="dxa"/>
            <w:tcBorders>
              <w:top w:val="single" w:sz="4" w:space="0" w:color="auto"/>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Regulatory quality</w:t>
            </w:r>
          </w:p>
        </w:tc>
        <w:tc>
          <w:tcPr>
            <w:tcW w:w="1155" w:type="dxa"/>
            <w:tcBorders>
              <w:top w:val="single" w:sz="4" w:space="0" w:color="auto"/>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Control of corruption</w:t>
            </w:r>
          </w:p>
        </w:tc>
        <w:tc>
          <w:tcPr>
            <w:tcW w:w="258"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left w:val="nil"/>
              <w:bottom w:val="single" w:sz="4" w:space="0" w:color="auto"/>
              <w:right w:val="nil"/>
            </w:tcBorders>
          </w:tcPr>
          <w:p w:rsidR="005D1C31" w:rsidRPr="00020413" w:rsidRDefault="00E079F0"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Rule</w:t>
            </w:r>
            <w:r w:rsidR="005D1C31" w:rsidRPr="00020413">
              <w:rPr>
                <w:rFonts w:ascii="Times New Roman" w:hAnsi="Times New Roman"/>
                <w:sz w:val="16"/>
                <w:szCs w:val="16"/>
              </w:rPr>
              <w:t xml:space="preserve"> of law</w:t>
            </w:r>
          </w:p>
        </w:tc>
        <w:tc>
          <w:tcPr>
            <w:tcW w:w="1155"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Regulatory quality</w:t>
            </w:r>
          </w:p>
        </w:tc>
        <w:tc>
          <w:tcPr>
            <w:tcW w:w="1156"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Control of corruption</w:t>
            </w:r>
          </w:p>
        </w:tc>
        <w:tc>
          <w:tcPr>
            <w:tcW w:w="306"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Depth of law</w:t>
            </w:r>
          </w:p>
        </w:tc>
        <w:tc>
          <w:tcPr>
            <w:tcW w:w="1155"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Regulatory quality</w:t>
            </w:r>
          </w:p>
        </w:tc>
        <w:tc>
          <w:tcPr>
            <w:tcW w:w="1158" w:type="dxa"/>
            <w:tcBorders>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Control of corruption</w:t>
            </w:r>
          </w:p>
        </w:tc>
      </w:tr>
      <w:tr w:rsidR="005D1C31" w:rsidRPr="00020413" w:rsidTr="00EF2A6F">
        <w:trPr>
          <w:trHeight w:val="288"/>
          <w:jc w:val="center"/>
        </w:trPr>
        <w:tc>
          <w:tcPr>
            <w:tcW w:w="4966" w:type="dxa"/>
            <w:gridSpan w:val="4"/>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8"/>
                <w:szCs w:val="18"/>
              </w:rPr>
              <w:t>Panel 1 – Short-run analysis</w:t>
            </w:r>
          </w:p>
        </w:tc>
        <w:tc>
          <w:tcPr>
            <w:tcW w:w="258"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306"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8" w:type="dxa"/>
            <w:tcBorders>
              <w:top w:val="single" w:sz="4" w:space="0" w:color="auto"/>
              <w:left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r>
      <w:tr w:rsidR="005D1C31" w:rsidRPr="00020413" w:rsidTr="00EF2A6F">
        <w:trPr>
          <w:trHeight w:val="288"/>
          <w:jc w:val="center"/>
        </w:trPr>
        <w:tc>
          <w:tcPr>
            <w:tcW w:w="1500"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58"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30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8"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r>
      <w:tr w:rsidR="005D1C31" w:rsidRPr="00020413" w:rsidTr="00EF2A6F">
        <w:trPr>
          <w:trHeight w:val="288"/>
          <w:jc w:val="center"/>
        </w:trPr>
        <w:tc>
          <w:tcPr>
            <w:tcW w:w="1500"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25th percentile</w:t>
            </w: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-2.230</w:t>
            </w:r>
            <w:r w:rsidRPr="00020413">
              <w:rPr>
                <w:rFonts w:ascii="Times New Roman" w:hAnsi="Times New Roman"/>
                <w:sz w:val="16"/>
                <w:szCs w:val="16"/>
                <w:vertAlign w:val="superscript"/>
              </w:rPr>
              <w:t>***</w:t>
            </w:r>
          </w:p>
        </w:tc>
        <w:tc>
          <w:tcPr>
            <w:tcW w:w="115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-2.225</w:t>
            </w:r>
            <w:r w:rsidRPr="00020413">
              <w:rPr>
                <w:rFonts w:ascii="Times New Roman" w:hAnsi="Times New Roman"/>
                <w:sz w:val="16"/>
                <w:szCs w:val="16"/>
                <w:vertAlign w:val="superscript"/>
              </w:rPr>
              <w:t>***</w:t>
            </w: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-2.268</w:t>
            </w:r>
            <w:r w:rsidRPr="00020413">
              <w:rPr>
                <w:rFonts w:ascii="Times New Roman" w:hAnsi="Times New Roman"/>
                <w:sz w:val="16"/>
                <w:szCs w:val="16"/>
                <w:vertAlign w:val="superscript"/>
              </w:rPr>
              <w:t>***</w:t>
            </w:r>
          </w:p>
        </w:tc>
        <w:tc>
          <w:tcPr>
            <w:tcW w:w="258"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-2.283</w:t>
            </w:r>
            <w:r w:rsidRPr="00020413">
              <w:rPr>
                <w:rFonts w:ascii="Times New Roman" w:hAnsi="Times New Roman"/>
                <w:sz w:val="16"/>
                <w:szCs w:val="16"/>
                <w:vertAlign w:val="superscript"/>
              </w:rPr>
              <w:t>***</w:t>
            </w: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-2.233</w:t>
            </w:r>
            <w:r w:rsidRPr="00020413">
              <w:rPr>
                <w:rFonts w:ascii="Times New Roman" w:hAnsi="Times New Roman"/>
                <w:sz w:val="16"/>
                <w:szCs w:val="16"/>
                <w:vertAlign w:val="superscript"/>
              </w:rPr>
              <w:t>***</w:t>
            </w:r>
          </w:p>
        </w:tc>
        <w:tc>
          <w:tcPr>
            <w:tcW w:w="115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-2.224</w:t>
            </w:r>
            <w:r w:rsidRPr="00020413">
              <w:rPr>
                <w:rFonts w:ascii="Times New Roman" w:hAnsi="Times New Roman"/>
                <w:sz w:val="16"/>
                <w:szCs w:val="16"/>
                <w:vertAlign w:val="superscript"/>
              </w:rPr>
              <w:t>***</w:t>
            </w:r>
          </w:p>
        </w:tc>
        <w:tc>
          <w:tcPr>
            <w:tcW w:w="306"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-2.691</w:t>
            </w:r>
            <w:r w:rsidRPr="00020413">
              <w:rPr>
                <w:rFonts w:ascii="Times New Roman" w:hAnsi="Times New Roman"/>
                <w:sz w:val="16"/>
                <w:szCs w:val="16"/>
                <w:vertAlign w:val="superscript"/>
              </w:rPr>
              <w:t>***</w:t>
            </w:r>
          </w:p>
        </w:tc>
        <w:tc>
          <w:tcPr>
            <w:tcW w:w="1155"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-2.652</w:t>
            </w:r>
            <w:r w:rsidRPr="00020413">
              <w:rPr>
                <w:rFonts w:ascii="Times New Roman" w:hAnsi="Times New Roman"/>
                <w:sz w:val="16"/>
                <w:szCs w:val="16"/>
                <w:vertAlign w:val="superscript"/>
              </w:rPr>
              <w:t>***</w:t>
            </w:r>
          </w:p>
        </w:tc>
        <w:tc>
          <w:tcPr>
            <w:tcW w:w="1158" w:type="dxa"/>
            <w:tcBorders>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-2.681</w:t>
            </w:r>
            <w:r w:rsidRPr="00020413">
              <w:rPr>
                <w:rFonts w:ascii="Times New Roman" w:hAnsi="Times New Roman"/>
                <w:sz w:val="16"/>
                <w:szCs w:val="16"/>
                <w:vertAlign w:val="superscript"/>
              </w:rPr>
              <w:t>***</w:t>
            </w:r>
          </w:p>
        </w:tc>
      </w:tr>
      <w:tr w:rsidR="005D1C31" w:rsidRPr="00020413" w:rsidTr="00EF2A6F">
        <w:trPr>
          <w:trHeight w:val="266"/>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(0.415)</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(0.410)</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(0.407)</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(0.418)</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(0.417)</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(0.419)</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(0.427)</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(0.426)</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(0.430)</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50th percentile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-2.096</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-2.089</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-2.130</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-2.259</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-2.209</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-2.200</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-2.683</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-2.643</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-2.672</w:t>
            </w:r>
            <w:r w:rsidRPr="00020413">
              <w:rPr>
                <w:rFonts w:ascii="Times New Roman" w:hAnsi="Times New Roman"/>
                <w:sz w:val="16"/>
                <w:szCs w:val="16"/>
                <w:vertAlign w:val="superscript"/>
              </w:rPr>
              <w:t>***</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(0.394)</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(0.389)</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(0.387)</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(0.415)</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(0.414)</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(0.416)</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(0.426)</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(0.425)</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(0.429)</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75th percentile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-1.956</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-1.946</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-1.985</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-2.234</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-2.185</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-2.177</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-2.674</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-2.635</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-2.663</w:t>
            </w:r>
            <w:r w:rsidRPr="00020413">
              <w:rPr>
                <w:rFonts w:ascii="Times New Roman" w:hAnsi="Times New Roman"/>
                <w:sz w:val="16"/>
                <w:szCs w:val="16"/>
                <w:vertAlign w:val="superscript"/>
              </w:rPr>
              <w:t>***</w:t>
            </w:r>
          </w:p>
        </w:tc>
      </w:tr>
      <w:tr w:rsidR="005D1C31" w:rsidRPr="00020413" w:rsidTr="00EF2A6F">
        <w:trPr>
          <w:trHeight w:val="266"/>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(0.371)</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(0.367)</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(0.365)</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(0.412)</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(0.411)</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(0.413)</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(0.425)</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(0.424)</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(0.428)</w:t>
            </w:r>
          </w:p>
        </w:tc>
      </w:tr>
      <w:tr w:rsidR="00D06565" w:rsidRPr="00020413" w:rsidTr="00EF2A6F">
        <w:trPr>
          <w:trHeight w:val="288"/>
          <w:jc w:val="center"/>
        </w:trPr>
        <w:tc>
          <w:tcPr>
            <w:tcW w:w="1500"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Change</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0.274</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0.279</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0.284</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0.049</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0.048</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0.047</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0.018</w:t>
            </w:r>
            <w:r w:rsidRPr="00020413">
              <w:rPr>
                <w:rFonts w:ascii="Times New Roman" w:hAnsi="Times New Roman"/>
                <w:sz w:val="16"/>
                <w:szCs w:val="16"/>
                <w:vertAlign w:val="superscript"/>
              </w:rPr>
              <w:t>***</w:t>
            </w:r>
          </w:p>
        </w:tc>
      </w:tr>
      <w:tr w:rsidR="00D06565" w:rsidRPr="00020413" w:rsidTr="00EF2A6F">
        <w:trPr>
          <w:trHeight w:val="288"/>
          <w:jc w:val="center"/>
        </w:trPr>
        <w:tc>
          <w:tcPr>
            <w:tcW w:w="1500"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15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(0.049)</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(0.048)</w:t>
            </w:r>
          </w:p>
        </w:tc>
        <w:tc>
          <w:tcPr>
            <w:tcW w:w="258"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15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306"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155"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158" w:type="dxa"/>
            <w:tcBorders>
              <w:top w:val="nil"/>
              <w:left w:val="nil"/>
              <w:bottom w:val="nil"/>
              <w:right w:val="nil"/>
            </w:tcBorders>
          </w:tcPr>
          <w:p w:rsidR="00D06565" w:rsidRPr="00020413" w:rsidRDefault="00D06565" w:rsidP="00D06565">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r>
      <w:tr w:rsidR="005D1C31" w:rsidRPr="00020413" w:rsidTr="00EF2A6F">
        <w:trPr>
          <w:trHeight w:val="266"/>
          <w:jc w:val="center"/>
        </w:trPr>
        <w:tc>
          <w:tcPr>
            <w:tcW w:w="3811" w:type="dxa"/>
            <w:gridSpan w:val="3"/>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 xml:space="preserve">Panel </w:t>
            </w:r>
            <w:r w:rsidR="005360E9" w:rsidRPr="00020413">
              <w:rPr>
                <w:rFonts w:ascii="Times New Roman" w:hAnsi="Times New Roman"/>
                <w:sz w:val="18"/>
                <w:szCs w:val="18"/>
              </w:rPr>
              <w:t>2</w:t>
            </w:r>
            <w:r w:rsidRPr="00020413">
              <w:rPr>
                <w:rFonts w:ascii="Times New Roman" w:hAnsi="Times New Roman"/>
                <w:sz w:val="18"/>
                <w:szCs w:val="18"/>
              </w:rPr>
              <w:t xml:space="preserve"> – </w:t>
            </w:r>
            <w:r w:rsidR="005360E9" w:rsidRPr="00020413">
              <w:rPr>
                <w:rFonts w:ascii="Times New Roman" w:hAnsi="Times New Roman"/>
                <w:sz w:val="18"/>
                <w:szCs w:val="18"/>
              </w:rPr>
              <w:t>Long</w:t>
            </w:r>
            <w:r w:rsidRPr="00020413">
              <w:rPr>
                <w:rFonts w:ascii="Times New Roman" w:hAnsi="Times New Roman"/>
                <w:sz w:val="18"/>
                <w:szCs w:val="18"/>
              </w:rPr>
              <w:t>-run analysis</w:t>
            </w:r>
          </w:p>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25th percentile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-8.588</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-8.542</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-8.361</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-9.008</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-8.824</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-8.421</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-10.160</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-10.090</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-10.025</w:t>
            </w:r>
            <w:r w:rsidRPr="00020413">
              <w:rPr>
                <w:rFonts w:ascii="Times New Roman" w:hAnsi="Times New Roman"/>
                <w:sz w:val="16"/>
                <w:szCs w:val="16"/>
                <w:vertAlign w:val="superscript"/>
              </w:rPr>
              <w:t>***</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(1.142)</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(1.134)</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(1.104)</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(1.584)</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(1.606)</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(1.563)</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(1.587)</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(1.611)</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(1.592)</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50th percentile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-8.071</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-8.019</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-7.850</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-8.913</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-8.730</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-8.332</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-10.128</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-10.058</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-9.991</w:t>
            </w:r>
            <w:r w:rsidRPr="00020413">
              <w:rPr>
                <w:rFonts w:ascii="Times New Roman" w:hAnsi="Times New Roman"/>
                <w:sz w:val="16"/>
                <w:szCs w:val="16"/>
                <w:vertAlign w:val="superscript"/>
              </w:rPr>
              <w:t>***</w:t>
            </w:r>
          </w:p>
        </w:tc>
      </w:tr>
      <w:tr w:rsidR="005D1C31" w:rsidRPr="00020413" w:rsidTr="00EF2A6F">
        <w:trPr>
          <w:trHeight w:val="266"/>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(1.067)</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(1.060)</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(1.033)</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(1.570)</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(1.591)</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(1.549)</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(1.582)</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(1.606)</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(1.586)</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75th percentile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-7.531</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-7.472</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-7.315</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-8.816</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-8.635</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-8.242</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-10.095</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-10.025</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-9.958</w:t>
            </w:r>
            <w:r w:rsidRPr="00020413">
              <w:rPr>
                <w:rFonts w:ascii="Times New Roman" w:hAnsi="Times New Roman"/>
                <w:sz w:val="16"/>
                <w:szCs w:val="16"/>
                <w:vertAlign w:val="superscript"/>
              </w:rPr>
              <w:t>***</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(0.989)</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(0.982)</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(0.959)</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(1.556)</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(1.577)</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(1.535)</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(1.576)</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(1.601)</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(1.581)</w:t>
            </w:r>
          </w:p>
        </w:tc>
      </w:tr>
      <w:tr w:rsidR="005D1C31" w:rsidRPr="00020413" w:rsidTr="00EF2A6F">
        <w:trPr>
          <w:trHeight w:val="288"/>
          <w:jc w:val="center"/>
        </w:trPr>
        <w:tc>
          <w:tcPr>
            <w:tcW w:w="1500"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Change</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1.057</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1.070</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1.046</w:t>
            </w:r>
            <w:r w:rsidRPr="00020413">
              <w:rPr>
                <w:rFonts w:ascii="Times New Roman" w:hAnsi="Times New Roman"/>
                <w:sz w:val="16"/>
                <w:szCs w:val="16"/>
                <w:vertAlign w:val="superscript"/>
              </w:rPr>
              <w:t>***</w:t>
            </w:r>
          </w:p>
        </w:tc>
        <w:tc>
          <w:tcPr>
            <w:tcW w:w="2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0.192</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0.189</w:t>
            </w:r>
            <w:r w:rsidRPr="00020413">
              <w:rPr>
                <w:rFonts w:ascii="Times New Roman" w:hAnsi="Times New Roman"/>
                <w:sz w:val="16"/>
                <w:szCs w:val="16"/>
                <w:vertAlign w:val="superscript"/>
              </w:rPr>
              <w:t>***</w:t>
            </w:r>
          </w:p>
        </w:tc>
        <w:tc>
          <w:tcPr>
            <w:tcW w:w="115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0.179</w:t>
            </w:r>
            <w:r w:rsidRPr="00020413">
              <w:rPr>
                <w:rFonts w:ascii="Times New Roman" w:hAnsi="Times New Roman"/>
                <w:sz w:val="16"/>
                <w:szCs w:val="16"/>
                <w:vertAlign w:val="superscript"/>
              </w:rPr>
              <w:t>***</w:t>
            </w:r>
          </w:p>
        </w:tc>
        <w:tc>
          <w:tcPr>
            <w:tcW w:w="306"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0.064</w:t>
            </w:r>
            <w:r w:rsidRPr="00020413">
              <w:rPr>
                <w:rFonts w:ascii="Times New Roman" w:hAnsi="Times New Roman"/>
                <w:sz w:val="16"/>
                <w:szCs w:val="16"/>
                <w:vertAlign w:val="superscript"/>
              </w:rPr>
              <w:t>***</w:t>
            </w:r>
          </w:p>
        </w:tc>
        <w:tc>
          <w:tcPr>
            <w:tcW w:w="1155"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0.065</w:t>
            </w:r>
            <w:r w:rsidRPr="00020413">
              <w:rPr>
                <w:rFonts w:ascii="Times New Roman" w:hAnsi="Times New Roman"/>
                <w:sz w:val="16"/>
                <w:szCs w:val="16"/>
                <w:vertAlign w:val="superscript"/>
              </w:rPr>
              <w:t>***</w:t>
            </w:r>
          </w:p>
        </w:tc>
        <w:tc>
          <w:tcPr>
            <w:tcW w:w="1158" w:type="dxa"/>
            <w:tcBorders>
              <w:top w:val="nil"/>
              <w:left w:val="nil"/>
              <w:bottom w:val="nil"/>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0.067</w:t>
            </w:r>
            <w:r w:rsidRPr="00020413">
              <w:rPr>
                <w:rFonts w:ascii="Times New Roman" w:hAnsi="Times New Roman"/>
                <w:sz w:val="16"/>
                <w:szCs w:val="16"/>
                <w:vertAlign w:val="superscript"/>
              </w:rPr>
              <w:t>***</w:t>
            </w:r>
          </w:p>
        </w:tc>
      </w:tr>
      <w:tr w:rsidR="005D1C31" w:rsidRPr="00020413" w:rsidTr="00EF2A6F">
        <w:trPr>
          <w:trHeight w:val="266"/>
          <w:jc w:val="center"/>
        </w:trPr>
        <w:tc>
          <w:tcPr>
            <w:tcW w:w="1500"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rPr>
                <w:rFonts w:ascii="Times New Roman" w:hAnsi="Times New Roman"/>
                <w:sz w:val="16"/>
                <w:szCs w:val="16"/>
              </w:rPr>
            </w:pPr>
          </w:p>
        </w:tc>
        <w:tc>
          <w:tcPr>
            <w:tcW w:w="1155"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(0.180)</w:t>
            </w:r>
          </w:p>
        </w:tc>
        <w:tc>
          <w:tcPr>
            <w:tcW w:w="1156"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(0.178)</w:t>
            </w:r>
          </w:p>
        </w:tc>
        <w:tc>
          <w:tcPr>
            <w:tcW w:w="1155"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(0.173)</w:t>
            </w:r>
          </w:p>
        </w:tc>
        <w:tc>
          <w:tcPr>
            <w:tcW w:w="258"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52"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(0.032)</w:t>
            </w:r>
          </w:p>
        </w:tc>
        <w:tc>
          <w:tcPr>
            <w:tcW w:w="1155"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(0.032)</w:t>
            </w:r>
          </w:p>
        </w:tc>
        <w:tc>
          <w:tcPr>
            <w:tcW w:w="1156"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(0.031)</w:t>
            </w:r>
          </w:p>
        </w:tc>
        <w:tc>
          <w:tcPr>
            <w:tcW w:w="306"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p>
        </w:tc>
        <w:tc>
          <w:tcPr>
            <w:tcW w:w="2004"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(0.012)</w:t>
            </w:r>
          </w:p>
        </w:tc>
        <w:tc>
          <w:tcPr>
            <w:tcW w:w="1155"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(0.012)</w:t>
            </w:r>
          </w:p>
        </w:tc>
        <w:tc>
          <w:tcPr>
            <w:tcW w:w="1158" w:type="dxa"/>
            <w:tcBorders>
              <w:top w:val="nil"/>
              <w:left w:val="nil"/>
              <w:bottom w:val="single" w:sz="4" w:space="0" w:color="auto"/>
              <w:right w:val="nil"/>
            </w:tcBorders>
          </w:tcPr>
          <w:p w:rsidR="005D1C31" w:rsidRPr="00020413" w:rsidRDefault="005D1C31" w:rsidP="00250DEA">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(0.012)</w:t>
            </w:r>
          </w:p>
        </w:tc>
      </w:tr>
    </w:tbl>
    <w:p w:rsidR="005D1C31" w:rsidRPr="00020413" w:rsidRDefault="005D1C31" w:rsidP="005D1C31">
      <w:pPr>
        <w:widowControl w:val="0"/>
        <w:autoSpaceDE w:val="0"/>
        <w:autoSpaceDN w:val="0"/>
        <w:adjustRightInd w:val="0"/>
        <w:spacing w:after="0" w:line="240" w:lineRule="auto"/>
        <w:jc w:val="both"/>
        <w:rPr>
          <w:rFonts w:ascii="Times New Roman" w:hAnsi="Times New Roman"/>
          <w:sz w:val="18"/>
          <w:szCs w:val="18"/>
        </w:rPr>
      </w:pPr>
      <w:r w:rsidRPr="00020413">
        <w:rPr>
          <w:rFonts w:ascii="Times New Roman" w:hAnsi="Times New Roman"/>
          <w:sz w:val="18"/>
          <w:szCs w:val="18"/>
        </w:rPr>
        <w:t>This table shows the marginal effect of one standard deviation change in credit information on NPL. All variables are as described in Table 1. Standard errors are in parentheses. *** indicates 1%.</w:t>
      </w: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AD4463" w:rsidRPr="00020413" w:rsidRDefault="00AD4463" w:rsidP="00AD4463">
      <w:pPr>
        <w:widowControl w:val="0"/>
        <w:autoSpaceDE w:val="0"/>
        <w:autoSpaceDN w:val="0"/>
        <w:adjustRightInd w:val="0"/>
        <w:spacing w:after="0" w:line="240" w:lineRule="auto"/>
        <w:rPr>
          <w:rFonts w:ascii="Times New Roman" w:hAnsi="Times New Roman"/>
          <w:sz w:val="18"/>
          <w:szCs w:val="18"/>
        </w:rPr>
      </w:pPr>
    </w:p>
    <w:p w:rsidR="00613BCF" w:rsidRPr="00020413" w:rsidRDefault="00EF2A6F" w:rsidP="002E33B9">
      <w:pPr>
        <w:keepNext/>
        <w:widowControl w:val="0"/>
        <w:autoSpaceDE w:val="0"/>
        <w:autoSpaceDN w:val="0"/>
        <w:adjustRightInd w:val="0"/>
        <w:spacing w:after="0" w:line="240" w:lineRule="auto"/>
        <w:rPr>
          <w:rFonts w:ascii="Times New Roman" w:hAnsi="Times New Roman"/>
          <w:b/>
          <w:sz w:val="24"/>
          <w:szCs w:val="24"/>
        </w:rPr>
      </w:pPr>
      <w:r w:rsidRPr="00020413">
        <w:rPr>
          <w:rFonts w:ascii="Times New Roman" w:hAnsi="Times New Roman"/>
          <w:b/>
          <w:sz w:val="24"/>
          <w:szCs w:val="24"/>
        </w:rPr>
        <w:lastRenderedPageBreak/>
        <w:t xml:space="preserve"> </w:t>
      </w:r>
      <w:r w:rsidR="00613BCF" w:rsidRPr="00020413">
        <w:rPr>
          <w:rFonts w:ascii="Times New Roman" w:hAnsi="Times New Roman"/>
          <w:b/>
          <w:sz w:val="24"/>
          <w:szCs w:val="24"/>
        </w:rPr>
        <w:t xml:space="preserve">Table </w:t>
      </w:r>
      <w:r w:rsidR="00AD4463" w:rsidRPr="00020413">
        <w:rPr>
          <w:rFonts w:ascii="Times New Roman" w:hAnsi="Times New Roman"/>
          <w:b/>
          <w:sz w:val="24"/>
          <w:szCs w:val="24"/>
        </w:rPr>
        <w:t>7</w:t>
      </w:r>
      <w:r w:rsidR="00613BCF" w:rsidRPr="00020413">
        <w:rPr>
          <w:rFonts w:ascii="Times New Roman" w:hAnsi="Times New Roman"/>
          <w:b/>
          <w:sz w:val="24"/>
          <w:szCs w:val="24"/>
        </w:rPr>
        <w:t xml:space="preserve">: Information </w:t>
      </w:r>
      <w:r w:rsidR="005360E9" w:rsidRPr="00020413">
        <w:rPr>
          <w:rFonts w:ascii="Times New Roman" w:hAnsi="Times New Roman"/>
          <w:b/>
          <w:sz w:val="24"/>
          <w:szCs w:val="24"/>
        </w:rPr>
        <w:t>s</w:t>
      </w:r>
      <w:r w:rsidR="00613BCF" w:rsidRPr="00020413">
        <w:rPr>
          <w:rFonts w:ascii="Times New Roman" w:hAnsi="Times New Roman"/>
          <w:b/>
          <w:sz w:val="24"/>
          <w:szCs w:val="24"/>
        </w:rPr>
        <w:t>haring and loan default</w:t>
      </w:r>
      <w:r w:rsidR="002E33B9" w:rsidRPr="00020413">
        <w:rPr>
          <w:rFonts w:ascii="Times New Roman" w:hAnsi="Times New Roman"/>
          <w:b/>
          <w:sz w:val="24"/>
          <w:szCs w:val="24"/>
        </w:rPr>
        <w:t xml:space="preserve"> </w:t>
      </w:r>
      <w:r w:rsidR="005360E9" w:rsidRPr="00020413">
        <w:rPr>
          <w:rFonts w:ascii="Times New Roman" w:hAnsi="Times New Roman"/>
          <w:b/>
          <w:sz w:val="24"/>
          <w:szCs w:val="24"/>
        </w:rPr>
        <w:t xml:space="preserve">– </w:t>
      </w:r>
      <w:r w:rsidR="007A55A9" w:rsidRPr="00020413">
        <w:rPr>
          <w:rFonts w:ascii="Times New Roman" w:hAnsi="Times New Roman"/>
          <w:b/>
          <w:sz w:val="24"/>
          <w:szCs w:val="24"/>
        </w:rPr>
        <w:t>I</w:t>
      </w:r>
      <w:r w:rsidR="005360E9" w:rsidRPr="00020413">
        <w:rPr>
          <w:rFonts w:ascii="Times New Roman" w:hAnsi="Times New Roman"/>
          <w:b/>
          <w:sz w:val="24"/>
          <w:szCs w:val="24"/>
        </w:rPr>
        <w:t>nteractions with governance variables</w:t>
      </w:r>
    </w:p>
    <w:tbl>
      <w:tblPr>
        <w:tblW w:w="13901" w:type="dxa"/>
        <w:jc w:val="center"/>
        <w:tblLayout w:type="fixed"/>
        <w:tblLook w:val="0000" w:firstRow="0" w:lastRow="0" w:firstColumn="0" w:lastColumn="0" w:noHBand="0" w:noVBand="0"/>
      </w:tblPr>
      <w:tblGrid>
        <w:gridCol w:w="1688"/>
        <w:gridCol w:w="1357"/>
        <w:gridCol w:w="1357"/>
        <w:gridCol w:w="1357"/>
        <w:gridCol w:w="1357"/>
        <w:gridCol w:w="1357"/>
        <w:gridCol w:w="1357"/>
        <w:gridCol w:w="1357"/>
        <w:gridCol w:w="1357"/>
        <w:gridCol w:w="1357"/>
      </w:tblGrid>
      <w:tr w:rsidR="00613BCF" w:rsidRPr="00020413" w:rsidTr="00EF2A6F">
        <w:trPr>
          <w:trHeight w:val="203"/>
          <w:jc w:val="center"/>
        </w:trPr>
        <w:tc>
          <w:tcPr>
            <w:tcW w:w="168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p>
        </w:tc>
      </w:tr>
      <w:tr w:rsidR="00613BCF" w:rsidRPr="00020413" w:rsidTr="00EF2A6F">
        <w:trPr>
          <w:trHeight w:val="203"/>
          <w:jc w:val="center"/>
        </w:trPr>
        <w:tc>
          <w:tcPr>
            <w:tcW w:w="168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rPr>
                <w:rFonts w:ascii="Times New Roman" w:hAnsi="Times New Roman"/>
                <w:sz w:val="16"/>
                <w:szCs w:val="16"/>
              </w:rPr>
            </w:pP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Model 1</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2</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3</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4</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5</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6</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7</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8</w:t>
            </w:r>
          </w:p>
        </w:tc>
        <w:tc>
          <w:tcPr>
            <w:tcW w:w="1357"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9</w:t>
            </w:r>
          </w:p>
        </w:tc>
      </w:tr>
      <w:tr w:rsidR="00F422A6" w:rsidRPr="00020413" w:rsidTr="00EF2A6F">
        <w:trPr>
          <w:trHeight w:val="203"/>
          <w:jc w:val="center"/>
        </w:trPr>
        <w:tc>
          <w:tcPr>
            <w:tcW w:w="168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8"/>
                <w:szCs w:val="18"/>
              </w:rPr>
              <w:t>Lagged Logit(NPL)</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0.729</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0.723</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0.711</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0.725</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0.729</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0.722</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0.707</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0.705</w:t>
            </w:r>
            <w:r w:rsidRPr="00020413">
              <w:rPr>
                <w:rFonts w:ascii="Times New Roman" w:hAnsi="Times New Roman"/>
                <w:sz w:val="16"/>
                <w:szCs w:val="16"/>
                <w:vertAlign w:val="superscript"/>
              </w:rPr>
              <w:t>***</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0.704</w:t>
            </w:r>
            <w:r w:rsidRPr="00020413">
              <w:rPr>
                <w:rFonts w:ascii="Times New Roman" w:hAnsi="Times New Roman"/>
                <w:sz w:val="16"/>
                <w:szCs w:val="16"/>
                <w:vertAlign w:val="superscript"/>
              </w:rPr>
              <w:t>***</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(0.053)</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Size</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0.038</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Lending</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-0.312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-0.376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-0.446</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-0.453</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-0.501</w:t>
            </w:r>
            <w:r w:rsidRPr="00020413">
              <w:rPr>
                <w:rFonts w:ascii="Times New Roman" w:hAnsi="Times New Roman"/>
                <w:sz w:val="16"/>
                <w:szCs w:val="16"/>
                <w:vertAlign w:val="superscript"/>
              </w:rPr>
              <w:t>*</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(0.256)</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Profit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-9.489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-9.505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-9.722</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-9.251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-9.352</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-9.352</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-9.842</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-9.824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-9.907</w:t>
            </w:r>
            <w:r w:rsidRPr="00020413">
              <w:rPr>
                <w:rFonts w:ascii="Times New Roman" w:hAnsi="Times New Roman"/>
                <w:sz w:val="16"/>
                <w:szCs w:val="16"/>
                <w:vertAlign w:val="superscript"/>
              </w:rPr>
              <w:t>***</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(1.973)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(1.962)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(2.011)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(1.899)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(1.899)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(1.896)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(2.037)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(2.047)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(2.041)</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Capital</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0.285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0.107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0.165</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(0.562)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(0.518)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(0.589)</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(0.584)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(0.592)</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GDP Growth</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-0.030</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r w:rsidRPr="00020413">
              <w:rPr>
                <w:rFonts w:ascii="Times New Roman" w:hAnsi="Times New Roman"/>
                <w:sz w:val="16"/>
                <w:szCs w:val="16"/>
                <w:vertAlign w:val="superscript"/>
              </w:rPr>
              <w:t>***</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Inflation</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-0.010</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-0.009</w:t>
            </w:r>
            <w:r w:rsidRPr="00020413">
              <w:rPr>
                <w:rFonts w:ascii="Times New Roman" w:hAnsi="Times New Roman"/>
                <w:sz w:val="16"/>
                <w:szCs w:val="16"/>
                <w:vertAlign w:val="superscript"/>
              </w:rPr>
              <w:t>*</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Concentration</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1.234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1.224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1.339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1.500</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1.379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1.495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1.326</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1.338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1.355</w:t>
            </w:r>
            <w:r w:rsidRPr="00020413">
              <w:rPr>
                <w:rFonts w:ascii="Times New Roman" w:hAnsi="Times New Roman"/>
                <w:sz w:val="16"/>
                <w:szCs w:val="16"/>
                <w:vertAlign w:val="superscript"/>
              </w:rPr>
              <w:t>***</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(0.334)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(0.333)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(0.335)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(0.336)</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Depth</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Registry</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-0.009</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109"/>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Bureau</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r w:rsidRPr="00020413">
              <w:rPr>
                <w:rFonts w:ascii="Times New Roman" w:hAnsi="Times New Roman"/>
                <w:sz w:val="16"/>
                <w:szCs w:val="16"/>
                <w:vertAlign w:val="superscript"/>
              </w:rPr>
              <w:t>***</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Depth</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 X Depth</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Depth</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Registry</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 X Registry</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Registry</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Bureau</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lastRenderedPageBreak/>
              <w:t>Regulation X Bureau</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Bureau</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-0.170</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0.031</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(0.056)</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-0.208</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-0.119</w:t>
            </w: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(0.085)</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(0.077)</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3"/>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Constant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-1.357</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-1.364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-1.535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-1.571</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-1.405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-1.605</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-1.283</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-1.344</w:t>
            </w:r>
            <w:r w:rsidRPr="00020413">
              <w:rPr>
                <w:rFonts w:ascii="Times New Roman" w:hAnsi="Times New Roman"/>
                <w:sz w:val="16"/>
                <w:szCs w:val="16"/>
                <w:vertAlign w:val="superscript"/>
              </w:rPr>
              <w:t>***</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-1.441</w:t>
            </w:r>
            <w:r w:rsidRPr="00020413">
              <w:rPr>
                <w:rFonts w:ascii="Times New Roman" w:hAnsi="Times New Roman"/>
                <w:sz w:val="16"/>
                <w:szCs w:val="16"/>
                <w:vertAlign w:val="superscript"/>
              </w:rPr>
              <w:t>***</w:t>
            </w:r>
          </w:p>
        </w:tc>
      </w:tr>
      <w:tr w:rsidR="00F422A6" w:rsidRPr="00020413" w:rsidTr="00EF2A6F">
        <w:trPr>
          <w:trHeight w:val="218"/>
          <w:jc w:val="center"/>
        </w:trPr>
        <w:tc>
          <w:tcPr>
            <w:tcW w:w="168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(0.407)</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(0.381)</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(0.420)</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(0.384)</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(0.380)</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(0.408)</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(0.397)</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(0.388)</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(0.412)</w:t>
            </w:r>
          </w:p>
        </w:tc>
      </w:tr>
      <w:tr w:rsidR="00F422A6" w:rsidRPr="00020413" w:rsidTr="00EF2A6F">
        <w:trPr>
          <w:trHeight w:val="203"/>
          <w:jc w:val="center"/>
        </w:trPr>
        <w:tc>
          <w:tcPr>
            <w:tcW w:w="168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Observations</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5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r>
      <w:tr w:rsidR="00F422A6" w:rsidRPr="00020413" w:rsidTr="00EF2A6F">
        <w:trPr>
          <w:trHeight w:val="218"/>
          <w:jc w:val="center"/>
        </w:trPr>
        <w:tc>
          <w:tcPr>
            <w:tcW w:w="168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Hansen test p-value</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0.178</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0.227</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0.272</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0.313</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0.290</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0.294</w:t>
            </w:r>
          </w:p>
        </w:tc>
        <w:tc>
          <w:tcPr>
            <w:tcW w:w="135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0.296</w:t>
            </w:r>
          </w:p>
        </w:tc>
      </w:tr>
      <w:tr w:rsidR="00F422A6" w:rsidRPr="00020413" w:rsidTr="00EF2A6F">
        <w:trPr>
          <w:trHeight w:val="203"/>
          <w:jc w:val="center"/>
        </w:trPr>
        <w:tc>
          <w:tcPr>
            <w:tcW w:w="1688" w:type="dxa"/>
            <w:tcBorders>
              <w:top w:val="nil"/>
              <w:left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AR(1)test p-value</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57"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r>
      <w:tr w:rsidR="00F422A6" w:rsidRPr="00020413" w:rsidTr="00EF2A6F">
        <w:trPr>
          <w:trHeight w:val="218"/>
          <w:jc w:val="center"/>
        </w:trPr>
        <w:tc>
          <w:tcPr>
            <w:tcW w:w="168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AR(</w:t>
            </w:r>
            <w:r w:rsidR="005B59FA" w:rsidRPr="00020413">
              <w:rPr>
                <w:rFonts w:ascii="Times New Roman" w:hAnsi="Times New Roman"/>
                <w:sz w:val="16"/>
                <w:szCs w:val="16"/>
              </w:rPr>
              <w:t>2</w:t>
            </w:r>
            <w:r w:rsidRPr="00020413">
              <w:rPr>
                <w:rFonts w:ascii="Times New Roman" w:hAnsi="Times New Roman"/>
                <w:sz w:val="16"/>
                <w:szCs w:val="16"/>
              </w:rPr>
              <w:t>) test p-value</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0.781</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0.791</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0.803</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0.782</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0.787</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0.788</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0.818</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0.826</w:t>
            </w:r>
          </w:p>
        </w:tc>
        <w:tc>
          <w:tcPr>
            <w:tcW w:w="135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0.823</w:t>
            </w:r>
          </w:p>
        </w:tc>
      </w:tr>
    </w:tbl>
    <w:p w:rsidR="00613BCF" w:rsidRPr="00020413" w:rsidRDefault="00613BCF" w:rsidP="00613BCF">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 xml:space="preserve">This table shows the dynamic system GMM estimation results for the effect of credit information on bank credit default rate. Time fixed effects are included in all estimations. All variables are as described in Table 1. Robust </w:t>
      </w:r>
      <w:proofErr w:type="spellStart"/>
      <w:r w:rsidRPr="00020413">
        <w:rPr>
          <w:rFonts w:ascii="Times New Roman" w:hAnsi="Times New Roman"/>
          <w:sz w:val="16"/>
          <w:szCs w:val="16"/>
        </w:rPr>
        <w:t>Windmeijer</w:t>
      </w:r>
      <w:proofErr w:type="spellEnd"/>
      <w:r w:rsidRPr="00020413">
        <w:rPr>
          <w:rFonts w:ascii="Times New Roman" w:hAnsi="Times New Roman"/>
          <w:sz w:val="16"/>
          <w:szCs w:val="16"/>
        </w:rPr>
        <w:t xml:space="preserve"> (2005) </w:t>
      </w:r>
      <w:proofErr w:type="spellStart"/>
      <w:r w:rsidR="00205DC0" w:rsidRPr="00020413">
        <w:rPr>
          <w:rFonts w:ascii="Times New Roman" w:hAnsi="Times New Roman"/>
          <w:sz w:val="16"/>
          <w:szCs w:val="16"/>
        </w:rPr>
        <w:t>f</w:t>
      </w:r>
      <w:r w:rsidRPr="00020413">
        <w:rPr>
          <w:rFonts w:ascii="Times New Roman" w:hAnsi="Times New Roman"/>
          <w:sz w:val="16"/>
          <w:szCs w:val="16"/>
        </w:rPr>
        <w:t>ï</w:t>
      </w:r>
      <w:r w:rsidR="00205DC0" w:rsidRPr="00020413">
        <w:rPr>
          <w:rFonts w:ascii="Times New Roman" w:hAnsi="Times New Roman"/>
          <w:sz w:val="16"/>
          <w:szCs w:val="16"/>
        </w:rPr>
        <w:t>nite</w:t>
      </w:r>
      <w:proofErr w:type="spellEnd"/>
      <w:r w:rsidR="00205DC0" w:rsidRPr="00020413">
        <w:rPr>
          <w:rFonts w:ascii="Times New Roman" w:hAnsi="Times New Roman"/>
          <w:sz w:val="16"/>
          <w:szCs w:val="16"/>
        </w:rPr>
        <w:t>-sample cor</w:t>
      </w:r>
      <w:r w:rsidRPr="00020413">
        <w:rPr>
          <w:rFonts w:ascii="Times New Roman" w:hAnsi="Times New Roman"/>
          <w:sz w:val="16"/>
          <w:szCs w:val="16"/>
        </w:rPr>
        <w:t xml:space="preserve">rected standard errors are in parentheses. *, **, *** indicate </w:t>
      </w:r>
      <w:r w:rsidR="00205DC0" w:rsidRPr="00020413">
        <w:rPr>
          <w:rFonts w:ascii="Times New Roman" w:hAnsi="Times New Roman"/>
          <w:sz w:val="16"/>
          <w:szCs w:val="16"/>
        </w:rPr>
        <w:t>signifi</w:t>
      </w:r>
      <w:r w:rsidRPr="00020413">
        <w:rPr>
          <w:rFonts w:ascii="Times New Roman" w:hAnsi="Times New Roman"/>
          <w:sz w:val="16"/>
          <w:szCs w:val="16"/>
        </w:rPr>
        <w:t>cance at 10%, 5% and 1% respectively.</w:t>
      </w:r>
    </w:p>
    <w:p w:rsidR="00613BCF" w:rsidRPr="00020413" w:rsidRDefault="00613BCF" w:rsidP="00613BCF">
      <w:pPr>
        <w:widowControl w:val="0"/>
        <w:autoSpaceDE w:val="0"/>
        <w:autoSpaceDN w:val="0"/>
        <w:adjustRightInd w:val="0"/>
        <w:spacing w:after="0" w:line="240" w:lineRule="auto"/>
        <w:rPr>
          <w:rFonts w:ascii="Times New Roman" w:hAnsi="Times New Roman"/>
          <w:sz w:val="16"/>
          <w:szCs w:val="16"/>
        </w:rPr>
      </w:pPr>
    </w:p>
    <w:p w:rsidR="00F213E1" w:rsidRPr="00020413" w:rsidRDefault="00F213E1">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613BCF">
      <w:pPr>
        <w:spacing w:after="0" w:line="240" w:lineRule="auto"/>
        <w:rPr>
          <w:rFonts w:ascii="Times New Roman" w:hAnsi="Times New Roman"/>
          <w:sz w:val="20"/>
          <w:szCs w:val="20"/>
        </w:rPr>
      </w:pPr>
    </w:p>
    <w:p w:rsidR="00613BCF" w:rsidRPr="00020413" w:rsidRDefault="00EF2A6F" w:rsidP="002E33B9">
      <w:pPr>
        <w:keepNext/>
        <w:widowControl w:val="0"/>
        <w:autoSpaceDE w:val="0"/>
        <w:autoSpaceDN w:val="0"/>
        <w:adjustRightInd w:val="0"/>
        <w:spacing w:after="0" w:line="240" w:lineRule="auto"/>
        <w:rPr>
          <w:rFonts w:ascii="Times New Roman" w:hAnsi="Times New Roman"/>
          <w:b/>
          <w:sz w:val="24"/>
          <w:szCs w:val="24"/>
        </w:rPr>
      </w:pPr>
      <w:r w:rsidRPr="00020413">
        <w:rPr>
          <w:rFonts w:ascii="Times New Roman" w:hAnsi="Times New Roman"/>
          <w:b/>
          <w:sz w:val="24"/>
          <w:szCs w:val="24"/>
        </w:rPr>
        <w:lastRenderedPageBreak/>
        <w:t xml:space="preserve">     </w:t>
      </w:r>
      <w:r w:rsidR="00613BCF" w:rsidRPr="00020413">
        <w:rPr>
          <w:rFonts w:ascii="Times New Roman" w:hAnsi="Times New Roman"/>
          <w:b/>
          <w:sz w:val="24"/>
          <w:szCs w:val="24"/>
        </w:rPr>
        <w:t xml:space="preserve">Table </w:t>
      </w:r>
      <w:r w:rsidR="00AD4463" w:rsidRPr="00020413">
        <w:rPr>
          <w:rFonts w:ascii="Times New Roman" w:hAnsi="Times New Roman"/>
          <w:b/>
          <w:sz w:val="24"/>
          <w:szCs w:val="24"/>
        </w:rPr>
        <w:t>8</w:t>
      </w:r>
      <w:r w:rsidR="00613BCF" w:rsidRPr="00020413">
        <w:rPr>
          <w:rFonts w:ascii="Times New Roman" w:hAnsi="Times New Roman"/>
          <w:b/>
          <w:sz w:val="24"/>
          <w:szCs w:val="24"/>
        </w:rPr>
        <w:t xml:space="preserve">: Information </w:t>
      </w:r>
      <w:r w:rsidR="005360E9" w:rsidRPr="00020413">
        <w:rPr>
          <w:rFonts w:ascii="Times New Roman" w:hAnsi="Times New Roman"/>
          <w:b/>
          <w:sz w:val="24"/>
          <w:szCs w:val="24"/>
        </w:rPr>
        <w:t>s</w:t>
      </w:r>
      <w:r w:rsidR="00613BCF" w:rsidRPr="00020413">
        <w:rPr>
          <w:rFonts w:ascii="Times New Roman" w:hAnsi="Times New Roman"/>
          <w:b/>
          <w:sz w:val="24"/>
          <w:szCs w:val="24"/>
        </w:rPr>
        <w:t xml:space="preserve">haring and loan default </w:t>
      </w:r>
      <w:r w:rsidR="002E33B9" w:rsidRPr="00020413">
        <w:rPr>
          <w:rFonts w:ascii="Times New Roman" w:hAnsi="Times New Roman"/>
          <w:b/>
          <w:sz w:val="24"/>
          <w:szCs w:val="24"/>
        </w:rPr>
        <w:t>–</w:t>
      </w:r>
      <w:r w:rsidR="00613BCF" w:rsidRPr="00020413">
        <w:rPr>
          <w:rFonts w:ascii="Times New Roman" w:hAnsi="Times New Roman"/>
          <w:b/>
          <w:sz w:val="24"/>
          <w:szCs w:val="24"/>
        </w:rPr>
        <w:t xml:space="preserve"> </w:t>
      </w:r>
      <w:r w:rsidR="007A55A9" w:rsidRPr="00020413">
        <w:rPr>
          <w:rFonts w:ascii="Times New Roman" w:hAnsi="Times New Roman"/>
          <w:b/>
          <w:sz w:val="24"/>
          <w:szCs w:val="24"/>
        </w:rPr>
        <w:t>I</w:t>
      </w:r>
      <w:r w:rsidR="00613BCF" w:rsidRPr="00020413">
        <w:rPr>
          <w:rFonts w:ascii="Times New Roman" w:hAnsi="Times New Roman"/>
          <w:b/>
          <w:sz w:val="24"/>
          <w:szCs w:val="24"/>
        </w:rPr>
        <w:t xml:space="preserve">nteraction with </w:t>
      </w:r>
      <w:r w:rsidR="00BC4072" w:rsidRPr="00020413">
        <w:rPr>
          <w:rFonts w:ascii="Times New Roman" w:hAnsi="Times New Roman"/>
          <w:b/>
          <w:sz w:val="24"/>
          <w:szCs w:val="24"/>
        </w:rPr>
        <w:t xml:space="preserve">banking market concentration </w:t>
      </w:r>
      <w:r w:rsidR="005360E9" w:rsidRPr="00020413">
        <w:rPr>
          <w:rFonts w:ascii="Times New Roman" w:hAnsi="Times New Roman"/>
          <w:b/>
          <w:sz w:val="24"/>
          <w:szCs w:val="24"/>
        </w:rPr>
        <w:t xml:space="preserve">and </w:t>
      </w:r>
      <w:r w:rsidR="00613BCF" w:rsidRPr="00020413">
        <w:rPr>
          <w:rFonts w:ascii="Times New Roman" w:hAnsi="Times New Roman"/>
          <w:b/>
          <w:sz w:val="24"/>
          <w:szCs w:val="24"/>
        </w:rPr>
        <w:t>governance</w:t>
      </w:r>
      <w:r w:rsidR="005360E9" w:rsidRPr="00020413">
        <w:rPr>
          <w:rFonts w:ascii="Times New Roman" w:hAnsi="Times New Roman"/>
          <w:b/>
          <w:sz w:val="24"/>
          <w:szCs w:val="24"/>
        </w:rPr>
        <w:t xml:space="preserve"> quality</w:t>
      </w:r>
    </w:p>
    <w:tbl>
      <w:tblPr>
        <w:tblW w:w="13399" w:type="dxa"/>
        <w:jc w:val="center"/>
        <w:tblLayout w:type="fixed"/>
        <w:tblLook w:val="0000" w:firstRow="0" w:lastRow="0" w:firstColumn="0" w:lastColumn="0" w:noHBand="0" w:noVBand="0"/>
      </w:tblPr>
      <w:tblGrid>
        <w:gridCol w:w="1985"/>
        <w:gridCol w:w="950"/>
        <w:gridCol w:w="1308"/>
        <w:gridCol w:w="1308"/>
        <w:gridCol w:w="1308"/>
        <w:gridCol w:w="1308"/>
        <w:gridCol w:w="1308"/>
        <w:gridCol w:w="1308"/>
        <w:gridCol w:w="1308"/>
        <w:gridCol w:w="1308"/>
      </w:tblGrid>
      <w:tr w:rsidR="00613BCF" w:rsidRPr="00020413" w:rsidTr="00EF2A6F">
        <w:trPr>
          <w:trHeight w:val="221"/>
          <w:jc w:val="center"/>
        </w:trPr>
        <w:tc>
          <w:tcPr>
            <w:tcW w:w="1985"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rPr>
                <w:rFonts w:ascii="Times New Roman" w:hAnsi="Times New Roman"/>
                <w:sz w:val="16"/>
                <w:szCs w:val="16"/>
              </w:rPr>
            </w:pPr>
          </w:p>
        </w:tc>
        <w:tc>
          <w:tcPr>
            <w:tcW w:w="950"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c>
          <w:tcPr>
            <w:tcW w:w="1308" w:type="dxa"/>
            <w:tcBorders>
              <w:top w:val="single" w:sz="4" w:space="0" w:color="auto"/>
              <w:left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8"/>
                <w:szCs w:val="18"/>
              </w:rPr>
            </w:pPr>
          </w:p>
        </w:tc>
      </w:tr>
      <w:tr w:rsidR="00613BCF" w:rsidRPr="00020413" w:rsidTr="00EF2A6F">
        <w:trPr>
          <w:trHeight w:val="221"/>
          <w:jc w:val="center"/>
        </w:trPr>
        <w:tc>
          <w:tcPr>
            <w:tcW w:w="1985"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rPr>
                <w:rFonts w:ascii="Times New Roman" w:hAnsi="Times New Roman"/>
                <w:sz w:val="16"/>
                <w:szCs w:val="16"/>
              </w:rPr>
            </w:pPr>
          </w:p>
        </w:tc>
        <w:tc>
          <w:tcPr>
            <w:tcW w:w="950"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1</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2</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Model 3</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4</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5</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6</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7</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8</w:t>
            </w:r>
          </w:p>
        </w:tc>
        <w:tc>
          <w:tcPr>
            <w:tcW w:w="1308" w:type="dxa"/>
            <w:tcBorders>
              <w:left w:val="nil"/>
              <w:bottom w:val="nil"/>
              <w:right w:val="nil"/>
            </w:tcBorders>
          </w:tcPr>
          <w:p w:rsidR="00613BCF" w:rsidRPr="00020413" w:rsidRDefault="00613BCF" w:rsidP="000424A7">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8"/>
                <w:szCs w:val="18"/>
              </w:rPr>
              <w:t xml:space="preserve">Model </w:t>
            </w:r>
            <w:r w:rsidRPr="00020413">
              <w:rPr>
                <w:rFonts w:ascii="Times New Roman" w:hAnsi="Times New Roman"/>
                <w:sz w:val="16"/>
                <w:szCs w:val="16"/>
              </w:rPr>
              <w:t>9</w:t>
            </w:r>
          </w:p>
        </w:tc>
      </w:tr>
      <w:tr w:rsidR="00F422A6" w:rsidRPr="00020413" w:rsidTr="00EF2A6F">
        <w:trPr>
          <w:trHeight w:val="204"/>
          <w:jc w:val="center"/>
        </w:trPr>
        <w:tc>
          <w:tcPr>
            <w:tcW w:w="1985"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8"/>
                <w:szCs w:val="18"/>
              </w:rPr>
              <w:t>Lagged Logit(NPL)</w:t>
            </w:r>
          </w:p>
        </w:tc>
        <w:tc>
          <w:tcPr>
            <w:tcW w:w="950"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0.742</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0.738</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0.727</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0.739</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0.739</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0.733</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0.734</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0.736</w:t>
            </w:r>
            <w:r w:rsidRPr="00020413">
              <w:rPr>
                <w:rFonts w:ascii="Times New Roman" w:hAnsi="Times New Roman"/>
                <w:sz w:val="16"/>
                <w:szCs w:val="16"/>
                <w:vertAlign w:val="superscript"/>
              </w:rPr>
              <w:t>***</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0.732</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(0.052)</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Size</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0.054</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0.062</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0.044</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(0.028)</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Lending</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-0.318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-0.315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-0.376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-0.425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-0.441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-0.398</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-0.384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-0.401</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(0.219)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(0.227)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(0.241)</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Profit</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-9.177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-9.217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-9.367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-8.805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-9.031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-9.041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-9.078</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-9.021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-9.081</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(1.853)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(1.855)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(1.884)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(1.793)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(1.809)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(1.802)</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(1.922)</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(1.916)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(1.925)</w:t>
            </w:r>
          </w:p>
        </w:tc>
      </w:tr>
      <w:tr w:rsidR="00F422A6" w:rsidRPr="00020413" w:rsidTr="00EF2A6F">
        <w:trPr>
          <w:trHeight w:val="204"/>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Capital</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0.363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0.434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0.119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0.207</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(0.512)</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(0.532)</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(0.499)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(0.508)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(0.558)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(0.545)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(0.560)</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GDP Growth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-0.025</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Inflation</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-0.010</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-0.008</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Concentration</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0.144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0.137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0.141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0.813</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0.905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0.534</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0.538</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(0.166)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(0.156)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(0.261)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(0.251)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(0.268)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(0.211)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(0.206)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(0.212)</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Depth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-0.297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Registry</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-0.049</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Bureau</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-0.020</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-0.021</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(0.005)</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Concentration X Depth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0.344</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0.340</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0.371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Concentration X Registry</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0.073</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0.073</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0.064</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Concentration X Bureau</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0.027</w:t>
            </w:r>
            <w:r w:rsidRPr="00020413">
              <w:rPr>
                <w:rFonts w:ascii="Times New Roman" w:hAnsi="Times New Roman"/>
                <w:sz w:val="16"/>
                <w:szCs w:val="16"/>
                <w:vertAlign w:val="superscript"/>
              </w:rPr>
              <w:t>***</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Depth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 X Depth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-0.029</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Depth</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Registry</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0.013</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lastRenderedPageBreak/>
              <w:t>Regulation X Registry</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0.009</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04"/>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(0.002)</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Registry</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 X Bureau</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 X Bureau</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 X Bureau</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(0.001)</w:t>
            </w:r>
          </w:p>
        </w:tc>
      </w:tr>
      <w:tr w:rsidR="00F422A6" w:rsidRPr="00020413" w:rsidTr="00EF2A6F">
        <w:trPr>
          <w:trHeight w:val="204"/>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Law</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-0.021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-0.161</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-0.014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Regulation</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-0.035</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(0.080)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Control</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-0.050</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-0.195</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-0.096</w:t>
            </w:r>
          </w:p>
        </w:tc>
      </w:tr>
      <w:tr w:rsidR="00F422A6" w:rsidRPr="00020413" w:rsidTr="00EF2A6F">
        <w:trPr>
          <w:trHeight w:val="335"/>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(0.076)</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(0.047)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(0.071)</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Constant</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-0.646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-0.686</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-0.767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-1.117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-1.070</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-1.298</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-0.837</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-0.854</w:t>
            </w:r>
            <w:r w:rsidRPr="00020413">
              <w:rPr>
                <w:rFonts w:ascii="Times New Roman" w:hAnsi="Times New Roman"/>
                <w:sz w:val="16"/>
                <w:szCs w:val="16"/>
                <w:vertAlign w:val="superscript"/>
              </w:rPr>
              <w:t>***</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-0.967</w:t>
            </w:r>
            <w:r w:rsidRPr="00020413">
              <w:rPr>
                <w:rFonts w:ascii="Times New Roman" w:hAnsi="Times New Roman"/>
                <w:sz w:val="16"/>
                <w:szCs w:val="16"/>
                <w:vertAlign w:val="superscript"/>
              </w:rPr>
              <w:t>***</w:t>
            </w:r>
          </w:p>
        </w:tc>
      </w:tr>
      <w:tr w:rsidR="00F422A6" w:rsidRPr="00020413" w:rsidTr="00EF2A6F">
        <w:trPr>
          <w:trHeight w:val="204"/>
          <w:jc w:val="center"/>
        </w:trPr>
        <w:tc>
          <w:tcPr>
            <w:tcW w:w="1985"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p>
        </w:tc>
        <w:tc>
          <w:tcPr>
            <w:tcW w:w="950"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(0.307)</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(0.279)</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(0.313)</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(0.344)</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(0.329)</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(0.354)</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(0.340)</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(0.323)</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(0.350)</w:t>
            </w:r>
          </w:p>
        </w:tc>
      </w:tr>
      <w:tr w:rsidR="00F422A6" w:rsidRPr="00020413" w:rsidTr="00EF2A6F">
        <w:trPr>
          <w:trHeight w:val="221"/>
          <w:jc w:val="center"/>
        </w:trPr>
        <w:tc>
          <w:tcPr>
            <w:tcW w:w="1985"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Observations</w:t>
            </w:r>
          </w:p>
        </w:tc>
        <w:tc>
          <w:tcPr>
            <w:tcW w:w="950"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c>
          <w:tcPr>
            <w:tcW w:w="1308"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4995</w:t>
            </w:r>
          </w:p>
        </w:tc>
      </w:tr>
      <w:tr w:rsidR="00F422A6" w:rsidRPr="00020413" w:rsidTr="00EF2A6F">
        <w:trPr>
          <w:trHeight w:val="221"/>
          <w:jc w:val="center"/>
        </w:trPr>
        <w:tc>
          <w:tcPr>
            <w:tcW w:w="1985"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Hansen test p-value</w:t>
            </w:r>
          </w:p>
        </w:tc>
        <w:tc>
          <w:tcPr>
            <w:tcW w:w="950"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0.141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0.173</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0.249</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0.517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0.498</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0.484</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0.237</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0.231</w:t>
            </w:r>
          </w:p>
        </w:tc>
        <w:tc>
          <w:tcPr>
            <w:tcW w:w="1308"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0.241</w:t>
            </w:r>
          </w:p>
        </w:tc>
      </w:tr>
      <w:tr w:rsidR="00F422A6" w:rsidRPr="00020413" w:rsidTr="00EF2A6F">
        <w:trPr>
          <w:trHeight w:val="221"/>
          <w:jc w:val="center"/>
        </w:trPr>
        <w:tc>
          <w:tcPr>
            <w:tcW w:w="1985" w:type="dxa"/>
            <w:tcBorders>
              <w:top w:val="nil"/>
              <w:left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AR(1)test p-value</w:t>
            </w:r>
          </w:p>
        </w:tc>
        <w:tc>
          <w:tcPr>
            <w:tcW w:w="950"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c>
          <w:tcPr>
            <w:tcW w:w="1308"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0.000</w:t>
            </w:r>
          </w:p>
        </w:tc>
      </w:tr>
      <w:tr w:rsidR="00F422A6" w:rsidRPr="00020413" w:rsidTr="00EF2A6F">
        <w:trPr>
          <w:trHeight w:val="221"/>
          <w:jc w:val="center"/>
        </w:trPr>
        <w:tc>
          <w:tcPr>
            <w:tcW w:w="1985"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AR(</w:t>
            </w:r>
            <w:r w:rsidR="005B59FA" w:rsidRPr="00020413">
              <w:rPr>
                <w:rFonts w:ascii="Times New Roman" w:hAnsi="Times New Roman"/>
                <w:sz w:val="16"/>
                <w:szCs w:val="16"/>
              </w:rPr>
              <w:t>2</w:t>
            </w:r>
            <w:r w:rsidRPr="00020413">
              <w:rPr>
                <w:rFonts w:ascii="Times New Roman" w:hAnsi="Times New Roman"/>
                <w:sz w:val="16"/>
                <w:szCs w:val="16"/>
              </w:rPr>
              <w:t>) test p-value</w:t>
            </w:r>
          </w:p>
        </w:tc>
        <w:tc>
          <w:tcPr>
            <w:tcW w:w="950"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0.736</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0.742</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0.757</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0.749</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0.757</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0.751</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0.762</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0.764</w:t>
            </w:r>
          </w:p>
        </w:tc>
        <w:tc>
          <w:tcPr>
            <w:tcW w:w="1308"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6"/>
                <w:szCs w:val="16"/>
              </w:rPr>
            </w:pPr>
            <w:r w:rsidRPr="00020413">
              <w:rPr>
                <w:rFonts w:ascii="Times New Roman" w:hAnsi="Times New Roman"/>
                <w:sz w:val="16"/>
                <w:szCs w:val="16"/>
              </w:rPr>
              <w:t>0.767</w:t>
            </w:r>
          </w:p>
        </w:tc>
      </w:tr>
    </w:tbl>
    <w:p w:rsidR="00613BCF" w:rsidRPr="00020413" w:rsidRDefault="00613BCF" w:rsidP="00EF2A6F">
      <w:pPr>
        <w:widowControl w:val="0"/>
        <w:autoSpaceDE w:val="0"/>
        <w:autoSpaceDN w:val="0"/>
        <w:adjustRightInd w:val="0"/>
        <w:spacing w:after="0" w:line="240" w:lineRule="auto"/>
        <w:ind w:left="284" w:right="284"/>
        <w:rPr>
          <w:rFonts w:ascii="Times New Roman" w:hAnsi="Times New Roman"/>
          <w:sz w:val="16"/>
          <w:szCs w:val="16"/>
        </w:rPr>
      </w:pPr>
      <w:bookmarkStart w:id="12" w:name="_Hlk534176695"/>
      <w:r w:rsidRPr="00020413">
        <w:rPr>
          <w:rFonts w:ascii="Times New Roman" w:hAnsi="Times New Roman"/>
          <w:sz w:val="16"/>
          <w:szCs w:val="16"/>
        </w:rPr>
        <w:t>This table shows the dynamic system GMM estimation results for the effect of credit information on bank credit default rate. Time fixed effects are included in all estimations. All variables are as described in Table 1. Robust Windmeijer (2005) finite-sample corrected standard errors are in parentheses. *, **, *** indicates significance at 10%, 5% and 1% respectively.</w:t>
      </w:r>
    </w:p>
    <w:bookmarkEnd w:id="12"/>
    <w:p w:rsidR="00613BCF" w:rsidRPr="00020413" w:rsidRDefault="00613BCF"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164AF7" w:rsidP="00613BCF">
      <w:pPr>
        <w:widowControl w:val="0"/>
        <w:autoSpaceDE w:val="0"/>
        <w:autoSpaceDN w:val="0"/>
        <w:adjustRightInd w:val="0"/>
        <w:spacing w:after="0" w:line="240" w:lineRule="auto"/>
        <w:rPr>
          <w:rFonts w:ascii="Times New Roman" w:hAnsi="Times New Roman"/>
          <w:sz w:val="16"/>
          <w:szCs w:val="16"/>
        </w:rPr>
      </w:pPr>
    </w:p>
    <w:p w:rsidR="00164AF7" w:rsidRPr="00020413" w:rsidRDefault="00EF2A6F" w:rsidP="00164AF7">
      <w:pPr>
        <w:keepNext/>
        <w:widowControl w:val="0"/>
        <w:autoSpaceDE w:val="0"/>
        <w:autoSpaceDN w:val="0"/>
        <w:adjustRightInd w:val="0"/>
        <w:spacing w:after="0" w:line="240" w:lineRule="auto"/>
        <w:rPr>
          <w:rFonts w:ascii="Times New Roman" w:hAnsi="Times New Roman"/>
          <w:b/>
          <w:sz w:val="24"/>
          <w:szCs w:val="24"/>
        </w:rPr>
      </w:pPr>
      <w:r w:rsidRPr="00020413">
        <w:rPr>
          <w:rFonts w:ascii="Times New Roman" w:hAnsi="Times New Roman"/>
          <w:b/>
          <w:sz w:val="24"/>
          <w:szCs w:val="24"/>
        </w:rPr>
        <w:lastRenderedPageBreak/>
        <w:t xml:space="preserve">   </w:t>
      </w:r>
      <w:r w:rsidR="00164AF7" w:rsidRPr="00020413">
        <w:rPr>
          <w:rFonts w:ascii="Times New Roman" w:hAnsi="Times New Roman"/>
          <w:b/>
          <w:sz w:val="24"/>
          <w:szCs w:val="24"/>
        </w:rPr>
        <w:t xml:space="preserve">Table </w:t>
      </w:r>
      <w:r w:rsidR="00AD4463" w:rsidRPr="00020413">
        <w:rPr>
          <w:rFonts w:ascii="Times New Roman" w:hAnsi="Times New Roman"/>
          <w:b/>
          <w:sz w:val="24"/>
          <w:szCs w:val="24"/>
        </w:rPr>
        <w:t>9</w:t>
      </w:r>
      <w:r w:rsidR="00164AF7" w:rsidRPr="00020413">
        <w:rPr>
          <w:rFonts w:ascii="Times New Roman" w:hAnsi="Times New Roman"/>
          <w:b/>
          <w:sz w:val="24"/>
          <w:szCs w:val="24"/>
        </w:rPr>
        <w:t xml:space="preserve">: Information </w:t>
      </w:r>
      <w:r w:rsidR="005360E9" w:rsidRPr="00020413">
        <w:rPr>
          <w:rFonts w:ascii="Times New Roman" w:hAnsi="Times New Roman"/>
          <w:b/>
          <w:sz w:val="24"/>
          <w:szCs w:val="24"/>
        </w:rPr>
        <w:t>s</w:t>
      </w:r>
      <w:r w:rsidR="00164AF7" w:rsidRPr="00020413">
        <w:rPr>
          <w:rFonts w:ascii="Times New Roman" w:hAnsi="Times New Roman"/>
          <w:b/>
          <w:sz w:val="24"/>
          <w:szCs w:val="24"/>
        </w:rPr>
        <w:t xml:space="preserve">haring and loan default – </w:t>
      </w:r>
      <w:r w:rsidR="007A55A9" w:rsidRPr="00020413">
        <w:rPr>
          <w:rFonts w:ascii="Times New Roman" w:hAnsi="Times New Roman"/>
          <w:b/>
          <w:sz w:val="24"/>
          <w:szCs w:val="24"/>
        </w:rPr>
        <w:t>A</w:t>
      </w:r>
      <w:r w:rsidR="00164AF7" w:rsidRPr="00020413">
        <w:rPr>
          <w:rFonts w:ascii="Times New Roman" w:hAnsi="Times New Roman"/>
          <w:b/>
          <w:sz w:val="24"/>
          <w:szCs w:val="24"/>
        </w:rPr>
        <w:t>dditional control variables</w:t>
      </w:r>
    </w:p>
    <w:tbl>
      <w:tblPr>
        <w:tblW w:w="13839" w:type="dxa"/>
        <w:jc w:val="center"/>
        <w:tblLayout w:type="fixed"/>
        <w:tblLook w:val="0000" w:firstRow="0" w:lastRow="0" w:firstColumn="0" w:lastColumn="0" w:noHBand="0" w:noVBand="0"/>
      </w:tblPr>
      <w:tblGrid>
        <w:gridCol w:w="2127"/>
        <w:gridCol w:w="904"/>
        <w:gridCol w:w="1351"/>
        <w:gridCol w:w="1351"/>
        <w:gridCol w:w="1351"/>
        <w:gridCol w:w="1351"/>
        <w:gridCol w:w="1351"/>
        <w:gridCol w:w="1351"/>
        <w:gridCol w:w="1351"/>
        <w:gridCol w:w="1351"/>
      </w:tblGrid>
      <w:tr w:rsidR="00164AF7" w:rsidRPr="00020413" w:rsidTr="00EF2A6F">
        <w:trPr>
          <w:trHeight w:val="214"/>
          <w:jc w:val="center"/>
        </w:trPr>
        <w:tc>
          <w:tcPr>
            <w:tcW w:w="2127"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rPr>
                <w:rFonts w:ascii="Times New Roman" w:hAnsi="Times New Roman"/>
                <w:sz w:val="18"/>
                <w:szCs w:val="18"/>
              </w:rPr>
            </w:pPr>
          </w:p>
        </w:tc>
        <w:tc>
          <w:tcPr>
            <w:tcW w:w="904"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single" w:sz="4" w:space="0" w:color="auto"/>
              <w:left w:val="nil"/>
              <w:bottom w:val="nil"/>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p>
        </w:tc>
      </w:tr>
      <w:tr w:rsidR="00164AF7" w:rsidRPr="00020413" w:rsidTr="00EF2A6F">
        <w:trPr>
          <w:trHeight w:val="214"/>
          <w:jc w:val="center"/>
        </w:trPr>
        <w:tc>
          <w:tcPr>
            <w:tcW w:w="2127"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rPr>
                <w:rFonts w:ascii="Times New Roman" w:hAnsi="Times New Roman"/>
                <w:sz w:val="18"/>
                <w:szCs w:val="18"/>
              </w:rPr>
            </w:pPr>
          </w:p>
        </w:tc>
        <w:tc>
          <w:tcPr>
            <w:tcW w:w="904"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1</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2</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3</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4</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5</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6</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7</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8</w:t>
            </w:r>
          </w:p>
        </w:tc>
        <w:tc>
          <w:tcPr>
            <w:tcW w:w="1351" w:type="dxa"/>
            <w:tcBorders>
              <w:left w:val="nil"/>
              <w:bottom w:val="single" w:sz="4" w:space="0" w:color="auto"/>
              <w:right w:val="nil"/>
            </w:tcBorders>
          </w:tcPr>
          <w:p w:rsidR="00164AF7" w:rsidRPr="00020413" w:rsidRDefault="00164AF7" w:rsidP="000424A7">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Model 9</w:t>
            </w:r>
          </w:p>
        </w:tc>
      </w:tr>
      <w:tr w:rsidR="00F422A6" w:rsidRPr="00020413" w:rsidTr="00EF2A6F">
        <w:trPr>
          <w:trHeight w:val="214"/>
          <w:jc w:val="center"/>
        </w:trPr>
        <w:tc>
          <w:tcPr>
            <w:tcW w:w="212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Lagged Logit(NPL)</w:t>
            </w:r>
          </w:p>
        </w:tc>
        <w:tc>
          <w:tcPr>
            <w:tcW w:w="90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0.731</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0.733</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0.729</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0.748</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0.741</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0.740</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0.792</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0.789</w:t>
            </w:r>
            <w:r w:rsidRPr="00020413">
              <w:rPr>
                <w:rFonts w:ascii="Times New Roman" w:hAnsi="Times New Roman"/>
                <w:sz w:val="18"/>
                <w:szCs w:val="18"/>
                <w:vertAlign w:val="superscript"/>
              </w:rPr>
              <w:t>***</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0.788</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(0.069)</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Size</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0.024</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(0.033)</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Lending</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-0.477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-0.260</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(0.287)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(0.260)</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Profit</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-5.866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-5.789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-5.866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-5.585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-5.742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-5.749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-5.178</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-5.238</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-5.360</w:t>
            </w:r>
            <w:r w:rsidRPr="00020413">
              <w:rPr>
                <w:rFonts w:ascii="Times New Roman" w:hAnsi="Times New Roman"/>
                <w:sz w:val="18"/>
                <w:szCs w:val="18"/>
                <w:vertAlign w:val="superscript"/>
              </w:rPr>
              <w:t>**</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(2.209)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(2.196)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(2.246)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(2.254)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(2.307)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(2.281)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(2.189)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(2.239)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(2.207)</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Capital</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-0.453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-0.428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-0.638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-0.626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-0.613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-0.290</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(0.657)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(0.651)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(0.663)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(0.681)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(0.694)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(0.682)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(0.655)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(0.672)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(0.649)</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GDP Growth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-0.030</w:t>
            </w:r>
            <w:r w:rsidRPr="00020413">
              <w:rPr>
                <w:rFonts w:ascii="Times New Roman" w:hAnsi="Times New Roman"/>
                <w:sz w:val="18"/>
                <w:szCs w:val="18"/>
                <w:vertAlign w:val="superscript"/>
              </w:rPr>
              <w:t>***</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Inflation</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0.338</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0.456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0.325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0.895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0.944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0.945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0.543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0.485</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(0.231)</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Depth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-0.259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-0.277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(0.082)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(0.085)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Registry</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Bureau</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-0.017</w:t>
            </w:r>
            <w:r w:rsidRPr="00020413">
              <w:rPr>
                <w:rFonts w:ascii="Times New Roman" w:hAnsi="Times New Roman"/>
                <w:sz w:val="18"/>
                <w:szCs w:val="18"/>
                <w:vertAlign w:val="superscript"/>
              </w:rPr>
              <w:t>***</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Depth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0.331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0.298</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0.342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(0.117)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(0.112)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(0.119)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Registry</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0.061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(0.018)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Concentration X Bureau</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0.020</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0.021</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 X Depth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 X Depth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Control X Depth</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(0.022)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 X Registry</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 X Registry</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Control X Registry</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 X Bureau</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 X Bureau</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Control X Bureau</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Law</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0.124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(0.099)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Regulation</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0.174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0.161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(0.098)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(0.049)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Control</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0.186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0.056</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(0.103)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(0.051)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(0.076)</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 xml:space="preserve">Ethnic </w:t>
            </w:r>
            <w:proofErr w:type="spellStart"/>
            <w:r w:rsidRPr="00020413">
              <w:rPr>
                <w:rFonts w:ascii="Times New Roman" w:hAnsi="Times New Roman"/>
                <w:sz w:val="18"/>
                <w:szCs w:val="18"/>
              </w:rPr>
              <w:t>fractinisation</w:t>
            </w:r>
            <w:proofErr w:type="spellEnd"/>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0.506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0.534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0.585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0.432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0.443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0.363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0.380</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0.377</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(0.233)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(0.240)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(0.214)</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(0.220)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(0.218)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(0.209)</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Latitude</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-0.924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-0.844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-0.859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-0.886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-0.809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-0.763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-0.923</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-0.937</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-0.884</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(0.475)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(0.475)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(0.473)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(0.467)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(0.491)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(0.486)</w:t>
            </w:r>
          </w:p>
        </w:tc>
      </w:tr>
      <w:tr w:rsidR="00F422A6" w:rsidRPr="00020413" w:rsidTr="00EF2A6F">
        <w:trPr>
          <w:trHeight w:val="228"/>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Urbanisation</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-0.001</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(0.002)</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Constant</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-0.629</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-0.864</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-0.755</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-0.918</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-0.932</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-0.656</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-0.741</w:t>
            </w:r>
            <w:r w:rsidRPr="00020413">
              <w:rPr>
                <w:rFonts w:ascii="Times New Roman" w:hAnsi="Times New Roman"/>
                <w:sz w:val="18"/>
                <w:szCs w:val="18"/>
                <w:vertAlign w:val="superscript"/>
              </w:rPr>
              <w:t>*</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-0.750</w:t>
            </w:r>
            <w:r w:rsidRPr="00020413">
              <w:rPr>
                <w:rFonts w:ascii="Times New Roman" w:hAnsi="Times New Roman"/>
                <w:sz w:val="18"/>
                <w:szCs w:val="18"/>
                <w:vertAlign w:val="superscript"/>
              </w:rPr>
              <w:t>**</w:t>
            </w:r>
          </w:p>
        </w:tc>
      </w:tr>
      <w:tr w:rsidR="00F422A6" w:rsidRPr="00020413" w:rsidTr="00EF2A6F">
        <w:trPr>
          <w:trHeight w:val="214"/>
          <w:jc w:val="center"/>
        </w:trPr>
        <w:tc>
          <w:tcPr>
            <w:tcW w:w="212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p>
        </w:tc>
        <w:tc>
          <w:tcPr>
            <w:tcW w:w="90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(0.372)</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(0.372)</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(0.373)</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(0.417)</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(0.457)</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(0.425)</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(0.371)</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(0.385)</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(0.370)</w:t>
            </w:r>
          </w:p>
        </w:tc>
      </w:tr>
      <w:tr w:rsidR="00F422A6" w:rsidRPr="00020413" w:rsidTr="00EF2A6F">
        <w:trPr>
          <w:trHeight w:val="214"/>
          <w:jc w:val="center"/>
        </w:trPr>
        <w:tc>
          <w:tcPr>
            <w:tcW w:w="2127"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Observations</w:t>
            </w:r>
          </w:p>
        </w:tc>
        <w:tc>
          <w:tcPr>
            <w:tcW w:w="904"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c>
          <w:tcPr>
            <w:tcW w:w="1351" w:type="dxa"/>
            <w:tcBorders>
              <w:top w:val="single" w:sz="4" w:space="0" w:color="auto"/>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3703</w:t>
            </w:r>
          </w:p>
        </w:tc>
      </w:tr>
      <w:tr w:rsidR="00F422A6" w:rsidRPr="00020413" w:rsidTr="00EF2A6F">
        <w:trPr>
          <w:trHeight w:val="214"/>
          <w:jc w:val="center"/>
        </w:trPr>
        <w:tc>
          <w:tcPr>
            <w:tcW w:w="2127"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Hansen test p-value</w:t>
            </w:r>
          </w:p>
        </w:tc>
        <w:tc>
          <w:tcPr>
            <w:tcW w:w="904"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0.893</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0.887</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0.905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0.835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0.845</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0.868</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0.306</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0.309</w:t>
            </w:r>
          </w:p>
        </w:tc>
        <w:tc>
          <w:tcPr>
            <w:tcW w:w="1351" w:type="dxa"/>
            <w:tcBorders>
              <w:top w:val="nil"/>
              <w:left w:val="nil"/>
              <w:bottom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0.359</w:t>
            </w:r>
          </w:p>
        </w:tc>
      </w:tr>
      <w:tr w:rsidR="00F422A6" w:rsidRPr="00020413" w:rsidTr="00EF2A6F">
        <w:trPr>
          <w:trHeight w:val="228"/>
          <w:jc w:val="center"/>
        </w:trPr>
        <w:tc>
          <w:tcPr>
            <w:tcW w:w="2127" w:type="dxa"/>
            <w:tcBorders>
              <w:top w:val="nil"/>
              <w:left w:val="nil"/>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AR(1)test p-value</w:t>
            </w:r>
          </w:p>
        </w:tc>
        <w:tc>
          <w:tcPr>
            <w:tcW w:w="904"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c>
          <w:tcPr>
            <w:tcW w:w="1351" w:type="dxa"/>
            <w:tcBorders>
              <w:top w:val="nil"/>
              <w:left w:val="nil"/>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0.000</w:t>
            </w:r>
          </w:p>
        </w:tc>
      </w:tr>
      <w:tr w:rsidR="00F422A6" w:rsidRPr="00020413" w:rsidTr="00EF2A6F">
        <w:trPr>
          <w:trHeight w:val="214"/>
          <w:jc w:val="center"/>
        </w:trPr>
        <w:tc>
          <w:tcPr>
            <w:tcW w:w="2127"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AR(</w:t>
            </w:r>
            <w:r w:rsidR="005B59FA" w:rsidRPr="00020413">
              <w:rPr>
                <w:rFonts w:ascii="Times New Roman" w:hAnsi="Times New Roman"/>
                <w:sz w:val="18"/>
                <w:szCs w:val="18"/>
              </w:rPr>
              <w:t>2</w:t>
            </w:r>
            <w:r w:rsidRPr="00020413">
              <w:rPr>
                <w:rFonts w:ascii="Times New Roman" w:hAnsi="Times New Roman"/>
                <w:sz w:val="18"/>
                <w:szCs w:val="18"/>
              </w:rPr>
              <w:t>) test p-value</w:t>
            </w:r>
          </w:p>
        </w:tc>
        <w:tc>
          <w:tcPr>
            <w:tcW w:w="904"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0.788</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0.791</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0.798</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0.711</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0.712</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0.712</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0.721</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0.716</w:t>
            </w:r>
          </w:p>
        </w:tc>
        <w:tc>
          <w:tcPr>
            <w:tcW w:w="1351" w:type="dxa"/>
            <w:tcBorders>
              <w:top w:val="nil"/>
              <w:left w:val="nil"/>
              <w:bottom w:val="single" w:sz="4" w:space="0" w:color="auto"/>
              <w:right w:val="nil"/>
            </w:tcBorders>
          </w:tcPr>
          <w:p w:rsidR="00F422A6" w:rsidRPr="00020413" w:rsidRDefault="00F422A6" w:rsidP="00F422A6">
            <w:pPr>
              <w:widowControl w:val="0"/>
              <w:autoSpaceDE w:val="0"/>
              <w:autoSpaceDN w:val="0"/>
              <w:adjustRightInd w:val="0"/>
              <w:spacing w:after="0" w:line="240" w:lineRule="auto"/>
              <w:jc w:val="center"/>
              <w:rPr>
                <w:rFonts w:ascii="Times New Roman" w:hAnsi="Times New Roman"/>
                <w:sz w:val="18"/>
                <w:szCs w:val="18"/>
              </w:rPr>
            </w:pPr>
            <w:r w:rsidRPr="00020413">
              <w:rPr>
                <w:rFonts w:ascii="Times New Roman" w:hAnsi="Times New Roman"/>
                <w:sz w:val="18"/>
                <w:szCs w:val="18"/>
              </w:rPr>
              <w:t>0.722</w:t>
            </w:r>
          </w:p>
        </w:tc>
      </w:tr>
    </w:tbl>
    <w:p w:rsidR="00CE57DA" w:rsidRPr="00020413" w:rsidRDefault="00164AF7" w:rsidP="00216743">
      <w:pPr>
        <w:keepNext/>
        <w:widowControl w:val="0"/>
        <w:autoSpaceDE w:val="0"/>
        <w:autoSpaceDN w:val="0"/>
        <w:adjustRightInd w:val="0"/>
        <w:spacing w:after="0" w:line="240" w:lineRule="auto"/>
        <w:rPr>
          <w:rFonts w:ascii="Times New Roman" w:hAnsi="Times New Roman"/>
          <w:sz w:val="18"/>
          <w:szCs w:val="18"/>
        </w:rPr>
      </w:pPr>
      <w:r w:rsidRPr="00020413">
        <w:rPr>
          <w:rFonts w:ascii="Times New Roman" w:hAnsi="Times New Roman"/>
          <w:sz w:val="18"/>
          <w:szCs w:val="18"/>
        </w:rPr>
        <w:t>This table shows the dynamic system GMM estimation results for the effect of credit information on bank credit default rate. Time fixed effects are included in all estimations. All variables are as described in Table 1. Robust Windmeijer (2005) finite-sample corrected standard errors are in parentheses. *, **, *** indicates significance at 10%, 5% and 1% respectively</w:t>
      </w:r>
      <w:r w:rsidR="003A5C46" w:rsidRPr="00020413">
        <w:rPr>
          <w:rFonts w:ascii="Times New Roman" w:hAnsi="Times New Roman"/>
          <w:sz w:val="18"/>
          <w:szCs w:val="18"/>
        </w:rPr>
        <w:t>.</w:t>
      </w:r>
    </w:p>
    <w:p w:rsidR="00CE57DA" w:rsidRPr="00020413" w:rsidRDefault="00CE57DA">
      <w:pPr>
        <w:spacing w:after="0" w:line="240" w:lineRule="auto"/>
        <w:rPr>
          <w:rFonts w:ascii="Times New Roman" w:hAnsi="Times New Roman"/>
          <w:sz w:val="18"/>
          <w:szCs w:val="18"/>
        </w:rPr>
      </w:pPr>
      <w:r w:rsidRPr="00020413">
        <w:rPr>
          <w:rFonts w:ascii="Times New Roman" w:hAnsi="Times New Roman"/>
          <w:sz w:val="18"/>
          <w:szCs w:val="18"/>
        </w:rPr>
        <w:br w:type="page"/>
      </w:r>
    </w:p>
    <w:p w:rsidR="000E6FD9" w:rsidRPr="00020413" w:rsidRDefault="000E6FD9" w:rsidP="000E6FD9">
      <w:pPr>
        <w:keepNext/>
        <w:widowControl w:val="0"/>
        <w:autoSpaceDE w:val="0"/>
        <w:autoSpaceDN w:val="0"/>
        <w:adjustRightInd w:val="0"/>
        <w:spacing w:after="0" w:line="240" w:lineRule="auto"/>
        <w:rPr>
          <w:rFonts w:ascii="Times New Roman" w:hAnsi="Times New Roman"/>
          <w:b/>
          <w:sz w:val="20"/>
          <w:szCs w:val="20"/>
          <w:lang w:val="en-US"/>
        </w:rPr>
      </w:pPr>
      <w:r w:rsidRPr="00020413">
        <w:rPr>
          <w:rFonts w:ascii="Times New Roman" w:hAnsi="Times New Roman"/>
          <w:b/>
          <w:sz w:val="20"/>
          <w:szCs w:val="20"/>
          <w:lang w:val="en-US"/>
        </w:rPr>
        <w:lastRenderedPageBreak/>
        <w:t xml:space="preserve">Table 10: Information </w:t>
      </w:r>
      <w:r w:rsidR="007A55A9" w:rsidRPr="00020413">
        <w:rPr>
          <w:rFonts w:ascii="Times New Roman" w:hAnsi="Times New Roman"/>
          <w:b/>
          <w:sz w:val="20"/>
          <w:szCs w:val="20"/>
          <w:lang w:val="en-US"/>
        </w:rPr>
        <w:t>s</w:t>
      </w:r>
      <w:r w:rsidRPr="00020413">
        <w:rPr>
          <w:rFonts w:ascii="Times New Roman" w:hAnsi="Times New Roman"/>
          <w:b/>
          <w:sz w:val="20"/>
          <w:szCs w:val="20"/>
          <w:lang w:val="en-US"/>
        </w:rPr>
        <w:t xml:space="preserve">haring and loan default – Using net charge offs as an alternative dependent variable </w:t>
      </w:r>
    </w:p>
    <w:tbl>
      <w:tblPr>
        <w:tblW w:w="14562" w:type="dxa"/>
        <w:jc w:val="right"/>
        <w:tblLayout w:type="fixed"/>
        <w:tblLook w:val="0000" w:firstRow="0" w:lastRow="0" w:firstColumn="0" w:lastColumn="0" w:noHBand="0" w:noVBand="0"/>
      </w:tblPr>
      <w:tblGrid>
        <w:gridCol w:w="2234"/>
        <w:gridCol w:w="1152"/>
        <w:gridCol w:w="1397"/>
        <w:gridCol w:w="1397"/>
        <w:gridCol w:w="1397"/>
        <w:gridCol w:w="1397"/>
        <w:gridCol w:w="1397"/>
        <w:gridCol w:w="1397"/>
        <w:gridCol w:w="1397"/>
        <w:gridCol w:w="1397"/>
      </w:tblGrid>
      <w:tr w:rsidR="008A0208" w:rsidRPr="00020413" w:rsidTr="00EF2A6F">
        <w:trPr>
          <w:trHeight w:val="208"/>
          <w:jc w:val="right"/>
        </w:trPr>
        <w:tc>
          <w:tcPr>
            <w:tcW w:w="2234"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(9)</w:t>
            </w:r>
          </w:p>
        </w:tc>
      </w:tr>
      <w:tr w:rsidR="008A0208" w:rsidRPr="00020413" w:rsidTr="00EF2A6F">
        <w:trPr>
          <w:trHeight w:val="208"/>
          <w:jc w:val="right"/>
        </w:trPr>
        <w:tc>
          <w:tcPr>
            <w:tcW w:w="2234"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roofErr w:type="spellStart"/>
            <w:r w:rsidRPr="00020413">
              <w:rPr>
                <w:rFonts w:ascii="Times New Roman" w:hAnsi="Times New Roman"/>
                <w:sz w:val="18"/>
                <w:szCs w:val="18"/>
                <w:lang w:val="en-US"/>
              </w:rPr>
              <w:t>L.Logit</w:t>
            </w:r>
            <w:proofErr w:type="spellEnd"/>
            <w:r w:rsidRPr="00020413">
              <w:rPr>
                <w:rFonts w:ascii="Times New Roman" w:hAnsi="Times New Roman"/>
                <w:sz w:val="18"/>
                <w:szCs w:val="18"/>
                <w:lang w:val="en-US"/>
              </w:rPr>
              <w:t>(net</w:t>
            </w:r>
            <w:r w:rsidRPr="00020413">
              <w:rPr>
                <w:rFonts w:ascii="Times New Roman" w:hAnsi="Times New Roman"/>
                <w:sz w:val="18"/>
                <w:szCs w:val="18"/>
              </w:rPr>
              <w:t xml:space="preserve"> charge offs</w:t>
            </w:r>
            <w:r w:rsidRPr="00020413">
              <w:rPr>
                <w:rFonts w:ascii="Times New Roman" w:hAnsi="Times New Roman"/>
                <w:sz w:val="18"/>
                <w:szCs w:val="18"/>
                <w:lang w:val="en-US"/>
              </w:rPr>
              <w:t>)</w:t>
            </w:r>
          </w:p>
        </w:tc>
        <w:tc>
          <w:tcPr>
            <w:tcW w:w="1152"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0.295</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0.298</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0.299</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0.290</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0.293</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0.308</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0.290</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0.301</w:t>
            </w:r>
            <w:r w:rsidRPr="00020413">
              <w:rPr>
                <w:rFonts w:ascii="Times New Roman" w:hAnsi="Times New Roman"/>
                <w:sz w:val="18"/>
                <w:szCs w:val="18"/>
                <w:vertAlign w:val="superscript"/>
                <w:lang w:val="en-US"/>
              </w:rPr>
              <w:t>***</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0.297</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(0.074)</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Size</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0.155</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0.138</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0.161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0.142</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0.158</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0.134</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(0.078)</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Lending</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-2.064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-2.095</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-2.235</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-2.222</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-2.279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-2.199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-2.001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-2.047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-2.126</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(0.697)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(0.710)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(0.694)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(0.705)</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Profit</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-10.784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-11.137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-10.166</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-12.452</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-11.480</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-10.837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-10.991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-10.654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-10.516</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(5.481)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(5.550)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(5.590)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(5.559)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(5.607)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(5.498)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(5.535)</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Capital</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1.625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1.365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1.528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1.245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1.785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1.720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1.473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1.528</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(1.440)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(1.421)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(1.443)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(1.485)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(1.437)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(1.484)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(1.443)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(1.408)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(1.442)</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GDP Growth</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-0.017</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Inflation</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-0.002</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-0.009</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(0.012)</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(0.012)</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2.893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3.017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2.913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-0.459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1.921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0.756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3.014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3.154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2.849</w:t>
            </w:r>
            <w:r w:rsidRPr="00020413">
              <w:rPr>
                <w:rFonts w:ascii="Times New Roman" w:hAnsi="Times New Roman"/>
                <w:sz w:val="18"/>
                <w:szCs w:val="18"/>
                <w:vertAlign w:val="superscript"/>
                <w:lang w:val="en-US"/>
              </w:rPr>
              <w:t>***</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(0.946)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(0.603)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(0.893)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(0.719)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(0.951)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(0.928)</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Depth</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-0.085</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-0.616</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(0.169)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Registry</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-0.094</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Bureau</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-0.008</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 X Depth</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0.919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(0.270)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 X Registry</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0.149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(0.062)</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 X Bureau</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Regulation X Depth</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(0.052)</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Regulation X Registry</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0.025</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Regulation X Bureau</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Regulation</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-0.095</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-0.459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-0.191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-0.250</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(0.237)</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(0.121)</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(0.195)</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r>
      <w:tr w:rsidR="008A0208" w:rsidRPr="00020413" w:rsidTr="00EF2A6F">
        <w:trPr>
          <w:trHeight w:val="185"/>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Constant</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-5.503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-5.433</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-5.441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-3.496</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-4.611</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-4.049</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-5.660</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-5.567</w:t>
            </w:r>
            <w:r w:rsidRPr="00020413">
              <w:rPr>
                <w:rFonts w:ascii="Times New Roman" w:hAnsi="Times New Roman"/>
                <w:sz w:val="18"/>
                <w:szCs w:val="18"/>
                <w:vertAlign w:val="superscript"/>
                <w:lang w:val="en-US"/>
              </w:rPr>
              <w:t>***</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-5.382</w:t>
            </w:r>
            <w:r w:rsidRPr="00020413">
              <w:rPr>
                <w:rFonts w:ascii="Times New Roman" w:hAnsi="Times New Roman"/>
                <w:sz w:val="18"/>
                <w:szCs w:val="18"/>
                <w:vertAlign w:val="superscript"/>
                <w:lang w:val="en-US"/>
              </w:rPr>
              <w:t>***</w:t>
            </w:r>
          </w:p>
        </w:tc>
      </w:tr>
      <w:tr w:rsidR="008A0208" w:rsidRPr="00020413" w:rsidTr="00EF2A6F">
        <w:trPr>
          <w:trHeight w:val="208"/>
          <w:jc w:val="right"/>
        </w:trPr>
        <w:tc>
          <w:tcPr>
            <w:tcW w:w="2234"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p>
        </w:tc>
        <w:tc>
          <w:tcPr>
            <w:tcW w:w="1152"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(1.119)</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(1.163)</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(1.131)</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(0.936)</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(1.203)</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(1.028)</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(1.135)</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(1.165)</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(1.135)</w:t>
            </w:r>
          </w:p>
        </w:tc>
      </w:tr>
      <w:tr w:rsidR="008A0208" w:rsidRPr="00020413" w:rsidTr="00EF2A6F">
        <w:trPr>
          <w:trHeight w:val="208"/>
          <w:jc w:val="right"/>
        </w:trPr>
        <w:tc>
          <w:tcPr>
            <w:tcW w:w="2234"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lastRenderedPageBreak/>
              <w:t>Observations</w:t>
            </w:r>
          </w:p>
        </w:tc>
        <w:tc>
          <w:tcPr>
            <w:tcW w:w="1152"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c>
          <w:tcPr>
            <w:tcW w:w="1397" w:type="dxa"/>
            <w:tcBorders>
              <w:top w:val="single" w:sz="4" w:space="0" w:color="auto"/>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1908</w:t>
            </w:r>
          </w:p>
        </w:tc>
      </w:tr>
      <w:tr w:rsidR="008A0208" w:rsidRPr="00020413" w:rsidTr="00EF2A6F">
        <w:trPr>
          <w:trHeight w:val="208"/>
          <w:jc w:val="right"/>
        </w:trPr>
        <w:tc>
          <w:tcPr>
            <w:tcW w:w="2234"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Hansen test p-value</w:t>
            </w:r>
          </w:p>
        </w:tc>
        <w:tc>
          <w:tcPr>
            <w:tcW w:w="1152"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0.748</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0.690</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0.754</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0.843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0.776</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0.739</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0.603</w:t>
            </w:r>
          </w:p>
        </w:tc>
        <w:tc>
          <w:tcPr>
            <w:tcW w:w="1397" w:type="dxa"/>
            <w:tcBorders>
              <w:top w:val="nil"/>
              <w:left w:val="nil"/>
              <w:bottom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0.742</w:t>
            </w:r>
          </w:p>
        </w:tc>
      </w:tr>
      <w:tr w:rsidR="008A0208" w:rsidRPr="00020413" w:rsidTr="00EF2A6F">
        <w:trPr>
          <w:trHeight w:val="185"/>
          <w:jc w:val="right"/>
        </w:trPr>
        <w:tc>
          <w:tcPr>
            <w:tcW w:w="2234" w:type="dxa"/>
            <w:tcBorders>
              <w:top w:val="nil"/>
              <w:left w:val="nil"/>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AR(1)test p-value</w:t>
            </w:r>
          </w:p>
        </w:tc>
        <w:tc>
          <w:tcPr>
            <w:tcW w:w="1152"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97" w:type="dxa"/>
            <w:tcBorders>
              <w:top w:val="nil"/>
              <w:left w:val="nil"/>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r>
      <w:tr w:rsidR="008A0208" w:rsidRPr="00020413" w:rsidTr="00EF2A6F">
        <w:trPr>
          <w:trHeight w:val="208"/>
          <w:jc w:val="right"/>
        </w:trPr>
        <w:tc>
          <w:tcPr>
            <w:tcW w:w="2234"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AR(2) test p-value</w:t>
            </w:r>
          </w:p>
        </w:tc>
        <w:tc>
          <w:tcPr>
            <w:tcW w:w="1152"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0.652</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0.644</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0.670</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0.609</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0.659</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0.664</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0.596</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0.712</w:t>
            </w:r>
          </w:p>
        </w:tc>
        <w:tc>
          <w:tcPr>
            <w:tcW w:w="1397" w:type="dxa"/>
            <w:tcBorders>
              <w:top w:val="nil"/>
              <w:left w:val="nil"/>
              <w:bottom w:val="single" w:sz="4" w:space="0" w:color="auto"/>
              <w:right w:val="nil"/>
            </w:tcBorders>
          </w:tcPr>
          <w:p w:rsidR="008A0208" w:rsidRPr="00020413" w:rsidRDefault="008A020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0.615</w:t>
            </w:r>
          </w:p>
        </w:tc>
      </w:tr>
    </w:tbl>
    <w:p w:rsidR="000E6FD9" w:rsidRPr="00020413" w:rsidRDefault="000E6FD9" w:rsidP="000E6FD9">
      <w:pPr>
        <w:widowControl w:val="0"/>
        <w:autoSpaceDE w:val="0"/>
        <w:autoSpaceDN w:val="0"/>
        <w:adjustRightInd w:val="0"/>
        <w:spacing w:after="0" w:line="240" w:lineRule="auto"/>
        <w:rPr>
          <w:rFonts w:ascii="Times New Roman" w:hAnsi="Times New Roman"/>
          <w:sz w:val="16"/>
          <w:szCs w:val="16"/>
        </w:rPr>
      </w:pPr>
      <w:r w:rsidRPr="00020413">
        <w:rPr>
          <w:rFonts w:ascii="Times New Roman" w:hAnsi="Times New Roman"/>
          <w:sz w:val="16"/>
          <w:szCs w:val="16"/>
        </w:rPr>
        <w:t>This table shows the dynamic system GMM estimation results for the effect of credit information on bank net charge off rate. Time fixed effects are included in all estimations. All variables are as described in Table 1. Robust Windmeijer (2005) finite-sample corrected standard errors are in parentheses. *, **, *** indicates significance at 10%, 5% and 1% respectively.</w:t>
      </w:r>
    </w:p>
    <w:p w:rsidR="000E6FD9" w:rsidRPr="00020413" w:rsidRDefault="000E6FD9" w:rsidP="000E6FD9">
      <w:pPr>
        <w:widowControl w:val="0"/>
        <w:autoSpaceDE w:val="0"/>
        <w:autoSpaceDN w:val="0"/>
        <w:adjustRightInd w:val="0"/>
        <w:spacing w:after="0" w:line="240" w:lineRule="auto"/>
        <w:rPr>
          <w:rFonts w:ascii="Times New Roman" w:hAnsi="Times New Roman"/>
          <w:sz w:val="16"/>
          <w:szCs w:val="16"/>
          <w:lang w:val="en-US"/>
        </w:rPr>
      </w:pPr>
    </w:p>
    <w:p w:rsidR="00D940E8" w:rsidRPr="00020413" w:rsidRDefault="00D940E8">
      <w:pPr>
        <w:spacing w:after="0" w:line="240" w:lineRule="auto"/>
        <w:rPr>
          <w:rFonts w:ascii="Times New Roman" w:hAnsi="Times New Roman"/>
          <w:sz w:val="18"/>
          <w:szCs w:val="18"/>
        </w:rPr>
      </w:pPr>
    </w:p>
    <w:p w:rsidR="00D940E8" w:rsidRPr="00020413" w:rsidRDefault="00D940E8">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FB57FB" w:rsidRPr="00020413" w:rsidRDefault="00FB57FB">
      <w:pPr>
        <w:spacing w:after="0" w:line="240" w:lineRule="auto"/>
        <w:rPr>
          <w:rFonts w:ascii="Times New Roman" w:hAnsi="Times New Roman"/>
          <w:sz w:val="18"/>
          <w:szCs w:val="18"/>
        </w:rPr>
      </w:pPr>
    </w:p>
    <w:p w:rsidR="00D940E8" w:rsidRPr="00020413" w:rsidRDefault="00D940E8">
      <w:pPr>
        <w:spacing w:after="0" w:line="240" w:lineRule="auto"/>
        <w:rPr>
          <w:rFonts w:ascii="Times New Roman" w:hAnsi="Times New Roman"/>
          <w:sz w:val="18"/>
          <w:szCs w:val="18"/>
        </w:rPr>
      </w:pPr>
    </w:p>
    <w:p w:rsidR="00D940E8" w:rsidRPr="00020413" w:rsidRDefault="00D940E8" w:rsidP="00D940E8">
      <w:pPr>
        <w:keepNext/>
        <w:widowControl w:val="0"/>
        <w:autoSpaceDE w:val="0"/>
        <w:autoSpaceDN w:val="0"/>
        <w:adjustRightInd w:val="0"/>
        <w:spacing w:after="0" w:line="240" w:lineRule="auto"/>
        <w:rPr>
          <w:rFonts w:ascii="Times New Roman" w:hAnsi="Times New Roman"/>
          <w:b/>
          <w:sz w:val="20"/>
          <w:szCs w:val="20"/>
          <w:lang w:val="en-US"/>
        </w:rPr>
      </w:pPr>
      <w:r w:rsidRPr="00020413">
        <w:rPr>
          <w:rFonts w:ascii="Times New Roman" w:hAnsi="Times New Roman"/>
          <w:b/>
          <w:sz w:val="20"/>
          <w:szCs w:val="20"/>
          <w:lang w:val="en-US"/>
        </w:rPr>
        <w:lastRenderedPageBreak/>
        <w:t xml:space="preserve">Table 11: Information </w:t>
      </w:r>
      <w:r w:rsidR="007A55A9" w:rsidRPr="00020413">
        <w:rPr>
          <w:rFonts w:ascii="Times New Roman" w:hAnsi="Times New Roman"/>
          <w:b/>
          <w:sz w:val="20"/>
          <w:szCs w:val="20"/>
          <w:lang w:val="en-US"/>
        </w:rPr>
        <w:t>s</w:t>
      </w:r>
      <w:r w:rsidRPr="00020413">
        <w:rPr>
          <w:rFonts w:ascii="Times New Roman" w:hAnsi="Times New Roman"/>
          <w:b/>
          <w:sz w:val="20"/>
          <w:szCs w:val="20"/>
          <w:lang w:val="en-US"/>
        </w:rPr>
        <w:t xml:space="preserve">haring and loan default - </w:t>
      </w:r>
      <w:r w:rsidR="007A55A9" w:rsidRPr="00020413">
        <w:rPr>
          <w:rFonts w:ascii="Times New Roman" w:hAnsi="Times New Roman"/>
          <w:b/>
          <w:sz w:val="20"/>
          <w:szCs w:val="20"/>
          <w:lang w:val="en-US"/>
        </w:rPr>
        <w:t>W</w:t>
      </w:r>
      <w:r w:rsidRPr="00020413">
        <w:rPr>
          <w:rFonts w:ascii="Times New Roman" w:hAnsi="Times New Roman"/>
          <w:b/>
          <w:sz w:val="20"/>
          <w:szCs w:val="20"/>
          <w:lang w:val="en-US"/>
        </w:rPr>
        <w:t>ith bank regulation variables</w:t>
      </w:r>
    </w:p>
    <w:tbl>
      <w:tblPr>
        <w:tblW w:w="14560" w:type="dxa"/>
        <w:jc w:val="center"/>
        <w:tblLayout w:type="fixed"/>
        <w:tblLook w:val="0000" w:firstRow="0" w:lastRow="0" w:firstColumn="0" w:lastColumn="0" w:noHBand="0" w:noVBand="0"/>
      </w:tblPr>
      <w:tblGrid>
        <w:gridCol w:w="2534"/>
        <w:gridCol w:w="986"/>
        <w:gridCol w:w="1380"/>
        <w:gridCol w:w="1380"/>
        <w:gridCol w:w="1380"/>
        <w:gridCol w:w="1380"/>
        <w:gridCol w:w="1380"/>
        <w:gridCol w:w="1380"/>
        <w:gridCol w:w="1380"/>
        <w:gridCol w:w="1380"/>
      </w:tblGrid>
      <w:tr w:rsidR="00FB57FB" w:rsidRPr="00020413" w:rsidTr="00FB57FB">
        <w:trPr>
          <w:trHeight w:val="70"/>
          <w:jc w:val="center"/>
        </w:trPr>
        <w:tc>
          <w:tcPr>
            <w:tcW w:w="2534"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(4)</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(5)</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(8)</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(9)</w:t>
            </w:r>
          </w:p>
        </w:tc>
      </w:tr>
      <w:tr w:rsidR="00FB57FB" w:rsidRPr="00020413" w:rsidTr="00FB57FB">
        <w:trPr>
          <w:trHeight w:val="75"/>
          <w:jc w:val="center"/>
        </w:trPr>
        <w:tc>
          <w:tcPr>
            <w:tcW w:w="2534"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rPr>
              <w:t>Lagged Logit(NPL)</w:t>
            </w:r>
          </w:p>
        </w:tc>
        <w:tc>
          <w:tcPr>
            <w:tcW w:w="986"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0.780</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0.774</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0.772</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0.787</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0.790</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0.784</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0.774</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0.764</w:t>
            </w:r>
            <w:r w:rsidRPr="00020413">
              <w:rPr>
                <w:rFonts w:ascii="Times New Roman" w:hAnsi="Times New Roman"/>
                <w:sz w:val="18"/>
                <w:szCs w:val="18"/>
                <w:vertAlign w:val="superscript"/>
                <w:lang w:val="en-US"/>
              </w:rPr>
              <w:t>***</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0.775</w:t>
            </w:r>
            <w:r w:rsidRPr="00020413">
              <w:rPr>
                <w:rFonts w:ascii="Times New Roman" w:hAnsi="Times New Roman"/>
                <w:sz w:val="18"/>
                <w:szCs w:val="18"/>
                <w:vertAlign w:val="superscript"/>
                <w:lang w:val="en-US"/>
              </w:rPr>
              <w:t>***</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(0.057)</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Size</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0.036</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(0.034)</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Lending</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-0.441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-0.249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-0.403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-0.275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-0.380</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(0.287)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(0.272)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(0.280)</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Profit</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-7.651</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-7.734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-7.117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-7.252</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-7.397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-6.943</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-7.748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-8.088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-7.321</w:t>
            </w:r>
            <w:r w:rsidRPr="00020413">
              <w:rPr>
                <w:rFonts w:ascii="Times New Roman" w:hAnsi="Times New Roman"/>
                <w:sz w:val="18"/>
                <w:szCs w:val="18"/>
                <w:vertAlign w:val="superscript"/>
                <w:lang w:val="en-US"/>
              </w:rPr>
              <w:t>***</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(2.079)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(2.237)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(2.019)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(2.008)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(2.081)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(1.919)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(2.098)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(2.336)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(2.058)</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Capital</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0.277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0.195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0.288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0.312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0.181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0.247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0.142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0.119</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(0.567)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(0.528)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(0.573)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(0.554)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(0.492)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(0.531)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(0.579)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(0.545)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(0.565)</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GDP per capita</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(0.041)</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GDP Growth</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-0.040</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-0.036</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-0.032</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-0.042</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-0.033</w:t>
            </w:r>
            <w:r w:rsidRPr="00020413">
              <w:rPr>
                <w:rFonts w:ascii="Times New Roman" w:hAnsi="Times New Roman"/>
                <w:sz w:val="18"/>
                <w:szCs w:val="18"/>
                <w:vertAlign w:val="superscript"/>
                <w:lang w:val="en-US"/>
              </w:rPr>
              <w:t>***</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Inflation</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-0.008</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(0.005)</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0.871</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1.342</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0.997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-0.218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0.828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1.487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1.131</w:t>
            </w:r>
            <w:r w:rsidRPr="00020413">
              <w:rPr>
                <w:rFonts w:ascii="Times New Roman" w:hAnsi="Times New Roman"/>
                <w:sz w:val="18"/>
                <w:szCs w:val="18"/>
                <w:vertAlign w:val="superscript"/>
                <w:lang w:val="en-US"/>
              </w:rPr>
              <w:t>***</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(0.326)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(0.434)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(0.344)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(0.194)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(0.232)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(0.216)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(0.328)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(0.468)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(0.371)</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Depth</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-0.100</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-0.214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-0.190</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0.129</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0.073</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(0.086)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(0.060)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(0.058)</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Concentration X Depth</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0.247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0.298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0.356</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 xml:space="preserve">Activity restrict X Depth </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Capital stringency X Depth</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-0.044</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Supervisory power X Depth</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-0.015</w:t>
            </w:r>
            <w:r w:rsidRPr="00020413">
              <w:rPr>
                <w:rFonts w:ascii="Times New Roman" w:hAnsi="Times New Roman"/>
                <w:sz w:val="18"/>
                <w:szCs w:val="18"/>
                <w:vertAlign w:val="superscript"/>
                <w:lang w:val="en-US"/>
              </w:rPr>
              <w:t>**</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(0.006)</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Activity restrict</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(0.030)</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Capital stringency</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-0.127</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-0.130</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(0.027)</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Supervisory power</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-0.036</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-0.048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0.027</w:t>
            </w:r>
          </w:p>
        </w:tc>
      </w:tr>
      <w:tr w:rsidR="00FB57FB" w:rsidRPr="00020413" w:rsidTr="00FB57FB">
        <w:trPr>
          <w:trHeight w:val="70"/>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(0.017)</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Constant</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-0.859</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-0.116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-0.282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-0.301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0.379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0.569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-0.361</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-1.118</w:t>
            </w:r>
            <w:r w:rsidRPr="00020413">
              <w:rPr>
                <w:rFonts w:ascii="Times New Roman" w:hAnsi="Times New Roman"/>
                <w:sz w:val="18"/>
                <w:szCs w:val="18"/>
                <w:vertAlign w:val="superscript"/>
                <w:lang w:val="en-US"/>
              </w:rPr>
              <w:t>***</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-1.177</w:t>
            </w:r>
            <w:r w:rsidRPr="00020413">
              <w:rPr>
                <w:rFonts w:ascii="Times New Roman" w:hAnsi="Times New Roman"/>
                <w:sz w:val="18"/>
                <w:szCs w:val="18"/>
                <w:vertAlign w:val="superscript"/>
                <w:lang w:val="en-US"/>
              </w:rPr>
              <w:t>**</w:t>
            </w:r>
          </w:p>
        </w:tc>
      </w:tr>
      <w:tr w:rsidR="00FB57FB" w:rsidRPr="00020413" w:rsidTr="00FB57FB">
        <w:trPr>
          <w:trHeight w:val="75"/>
          <w:jc w:val="center"/>
        </w:trPr>
        <w:tc>
          <w:tcPr>
            <w:tcW w:w="2534"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p>
        </w:tc>
        <w:tc>
          <w:tcPr>
            <w:tcW w:w="986"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(0.440)</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(0.319)</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(0.374)</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(0.361)</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(0.357)</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(0.393)</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(0.495)</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(0.401)</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(0.466)</w:t>
            </w:r>
          </w:p>
        </w:tc>
      </w:tr>
      <w:tr w:rsidR="00FB57FB" w:rsidRPr="00020413" w:rsidTr="00FB57FB">
        <w:trPr>
          <w:trHeight w:val="70"/>
          <w:jc w:val="center"/>
        </w:trPr>
        <w:tc>
          <w:tcPr>
            <w:tcW w:w="2534"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Observations</w:t>
            </w:r>
          </w:p>
        </w:tc>
        <w:tc>
          <w:tcPr>
            <w:tcW w:w="986"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3633</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3486</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3697</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3633</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3486</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3697</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3633</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3486</w:t>
            </w:r>
          </w:p>
        </w:tc>
        <w:tc>
          <w:tcPr>
            <w:tcW w:w="1380" w:type="dxa"/>
            <w:tcBorders>
              <w:top w:val="single" w:sz="4" w:space="0" w:color="auto"/>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3697</w:t>
            </w:r>
          </w:p>
        </w:tc>
      </w:tr>
      <w:tr w:rsidR="00FB57FB" w:rsidRPr="00020413" w:rsidTr="00FB57FB">
        <w:trPr>
          <w:trHeight w:val="75"/>
          <w:jc w:val="center"/>
        </w:trPr>
        <w:tc>
          <w:tcPr>
            <w:tcW w:w="2534"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Hansen test p-value</w:t>
            </w:r>
          </w:p>
        </w:tc>
        <w:tc>
          <w:tcPr>
            <w:tcW w:w="986"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0.106</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0.262</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0.098</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0.105</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0.263</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0.104</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0.099</w:t>
            </w:r>
          </w:p>
        </w:tc>
        <w:tc>
          <w:tcPr>
            <w:tcW w:w="1380" w:type="dxa"/>
            <w:tcBorders>
              <w:top w:val="nil"/>
              <w:left w:val="nil"/>
              <w:bottom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0.231</w:t>
            </w:r>
          </w:p>
        </w:tc>
      </w:tr>
      <w:tr w:rsidR="00FB57FB" w:rsidRPr="00020413" w:rsidTr="00FB57FB">
        <w:trPr>
          <w:trHeight w:val="70"/>
          <w:jc w:val="center"/>
        </w:trPr>
        <w:tc>
          <w:tcPr>
            <w:tcW w:w="2534" w:type="dxa"/>
            <w:tcBorders>
              <w:top w:val="nil"/>
              <w:left w:val="nil"/>
              <w:right w:val="nil"/>
            </w:tcBorders>
          </w:tcPr>
          <w:p w:rsidR="00D940E8" w:rsidRPr="00020413" w:rsidRDefault="00D940E8"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AR(1)test p-value</w:t>
            </w:r>
          </w:p>
        </w:tc>
        <w:tc>
          <w:tcPr>
            <w:tcW w:w="986"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c>
          <w:tcPr>
            <w:tcW w:w="1380" w:type="dxa"/>
            <w:tcBorders>
              <w:top w:val="nil"/>
              <w:left w:val="nil"/>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0.000</w:t>
            </w:r>
          </w:p>
        </w:tc>
      </w:tr>
      <w:tr w:rsidR="00FB57FB" w:rsidRPr="00020413" w:rsidTr="00FB57FB">
        <w:trPr>
          <w:trHeight w:val="55"/>
          <w:jc w:val="center"/>
        </w:trPr>
        <w:tc>
          <w:tcPr>
            <w:tcW w:w="2534" w:type="dxa"/>
            <w:tcBorders>
              <w:top w:val="nil"/>
              <w:left w:val="nil"/>
              <w:bottom w:val="single" w:sz="4" w:space="0" w:color="auto"/>
              <w:right w:val="nil"/>
            </w:tcBorders>
          </w:tcPr>
          <w:p w:rsidR="00D940E8" w:rsidRPr="00020413" w:rsidRDefault="00212A3B" w:rsidP="008D6DE0">
            <w:pPr>
              <w:widowControl w:val="0"/>
              <w:autoSpaceDE w:val="0"/>
              <w:autoSpaceDN w:val="0"/>
              <w:adjustRightInd w:val="0"/>
              <w:spacing w:after="0" w:line="240" w:lineRule="auto"/>
              <w:rPr>
                <w:rFonts w:ascii="Times New Roman" w:hAnsi="Times New Roman"/>
                <w:sz w:val="18"/>
                <w:szCs w:val="18"/>
                <w:lang w:val="en-US"/>
              </w:rPr>
            </w:pPr>
            <w:r w:rsidRPr="00020413">
              <w:rPr>
                <w:rFonts w:ascii="Times New Roman" w:hAnsi="Times New Roman"/>
                <w:sz w:val="18"/>
                <w:szCs w:val="18"/>
                <w:lang w:val="en-US"/>
              </w:rPr>
              <w:t>AR(2</w:t>
            </w:r>
            <w:r w:rsidR="00D940E8" w:rsidRPr="00020413">
              <w:rPr>
                <w:rFonts w:ascii="Times New Roman" w:hAnsi="Times New Roman"/>
                <w:sz w:val="18"/>
                <w:szCs w:val="18"/>
                <w:lang w:val="en-US"/>
              </w:rPr>
              <w:t>) test p-value</w:t>
            </w:r>
          </w:p>
        </w:tc>
        <w:tc>
          <w:tcPr>
            <w:tcW w:w="986"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0.917</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0.980</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0.819</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0.931</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0.971</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0.824</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0.914</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0.957</w:t>
            </w:r>
          </w:p>
        </w:tc>
        <w:tc>
          <w:tcPr>
            <w:tcW w:w="1380" w:type="dxa"/>
            <w:tcBorders>
              <w:top w:val="nil"/>
              <w:left w:val="nil"/>
              <w:bottom w:val="single" w:sz="4" w:space="0" w:color="auto"/>
              <w:right w:val="nil"/>
            </w:tcBorders>
          </w:tcPr>
          <w:p w:rsidR="00D940E8" w:rsidRPr="00020413" w:rsidRDefault="00D940E8" w:rsidP="008D6DE0">
            <w:pPr>
              <w:widowControl w:val="0"/>
              <w:autoSpaceDE w:val="0"/>
              <w:autoSpaceDN w:val="0"/>
              <w:adjustRightInd w:val="0"/>
              <w:spacing w:after="0" w:line="240" w:lineRule="auto"/>
              <w:jc w:val="center"/>
              <w:rPr>
                <w:rFonts w:ascii="Times New Roman" w:hAnsi="Times New Roman"/>
                <w:sz w:val="18"/>
                <w:szCs w:val="18"/>
                <w:lang w:val="en-US"/>
              </w:rPr>
            </w:pPr>
            <w:r w:rsidRPr="00020413">
              <w:rPr>
                <w:rFonts w:ascii="Times New Roman" w:hAnsi="Times New Roman"/>
                <w:sz w:val="18"/>
                <w:szCs w:val="18"/>
                <w:lang w:val="en-US"/>
              </w:rPr>
              <w:t>0.839</w:t>
            </w:r>
          </w:p>
        </w:tc>
      </w:tr>
    </w:tbl>
    <w:p w:rsidR="00D940E8" w:rsidRPr="00020413" w:rsidRDefault="00D940E8" w:rsidP="00720926">
      <w:pPr>
        <w:widowControl w:val="0"/>
        <w:autoSpaceDE w:val="0"/>
        <w:autoSpaceDN w:val="0"/>
        <w:adjustRightInd w:val="0"/>
        <w:spacing w:after="0" w:line="240" w:lineRule="auto"/>
        <w:ind w:left="-284" w:right="-284"/>
        <w:rPr>
          <w:rFonts w:ascii="Times New Roman" w:hAnsi="Times New Roman"/>
          <w:sz w:val="16"/>
          <w:szCs w:val="16"/>
        </w:rPr>
      </w:pPr>
      <w:r w:rsidRPr="00020413">
        <w:rPr>
          <w:rFonts w:ascii="Times New Roman" w:hAnsi="Times New Roman"/>
          <w:sz w:val="16"/>
          <w:szCs w:val="16"/>
        </w:rPr>
        <w:lastRenderedPageBreak/>
        <w:t>This table shows the dynamic system GMM estimation results for the effect of credit information on bank credit default rate. Time fixed effects are included in all estimations. All variables are as described in Table 1. Robust Windmeijer (2005) finite-sample corrected standard errors are in parentheses. *, **, *** indicates significance at 10%, 5% and 1% respectively.</w:t>
      </w:r>
    </w:p>
    <w:p w:rsidR="00D940E8" w:rsidRPr="00020413" w:rsidRDefault="00D940E8" w:rsidP="00720926">
      <w:pPr>
        <w:widowControl w:val="0"/>
        <w:autoSpaceDE w:val="0"/>
        <w:autoSpaceDN w:val="0"/>
        <w:adjustRightInd w:val="0"/>
        <w:spacing w:after="0" w:line="240" w:lineRule="auto"/>
        <w:ind w:left="-284" w:right="-284"/>
        <w:rPr>
          <w:rFonts w:ascii="Times New Roman" w:hAnsi="Times New Roman"/>
          <w:sz w:val="16"/>
          <w:szCs w:val="16"/>
          <w:lang w:val="en-US"/>
        </w:rPr>
      </w:pPr>
    </w:p>
    <w:p w:rsidR="00E61986" w:rsidRPr="00020413" w:rsidRDefault="00E61986">
      <w:pPr>
        <w:spacing w:after="0" w:line="240" w:lineRule="auto"/>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tabs>
          <w:tab w:val="left" w:pos="4202"/>
        </w:tabs>
        <w:rPr>
          <w:rFonts w:ascii="Times New Roman" w:hAnsi="Times New Roman"/>
          <w:sz w:val="18"/>
          <w:szCs w:val="18"/>
        </w:rPr>
      </w:pPr>
      <w:r w:rsidRPr="00020413">
        <w:rPr>
          <w:rFonts w:ascii="Times New Roman" w:hAnsi="Times New Roman"/>
          <w:sz w:val="18"/>
          <w:szCs w:val="18"/>
        </w:rPr>
        <w:tab/>
      </w:r>
    </w:p>
    <w:p w:rsidR="00E61986" w:rsidRPr="00020413" w:rsidRDefault="00E61986"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FB57FB" w:rsidRPr="00020413" w:rsidRDefault="00FB57FB" w:rsidP="00E61986">
      <w:pPr>
        <w:tabs>
          <w:tab w:val="left" w:pos="4202"/>
        </w:tabs>
        <w:rPr>
          <w:rFonts w:ascii="Times New Roman" w:hAnsi="Times New Roman"/>
          <w:sz w:val="18"/>
          <w:szCs w:val="18"/>
        </w:rPr>
      </w:pPr>
    </w:p>
    <w:p w:rsidR="00E61986" w:rsidRPr="00020413" w:rsidRDefault="00E61986" w:rsidP="00E61986">
      <w:pPr>
        <w:tabs>
          <w:tab w:val="left" w:pos="4202"/>
        </w:tabs>
        <w:rPr>
          <w:rFonts w:ascii="Times New Roman" w:hAnsi="Times New Roman"/>
          <w:sz w:val="18"/>
          <w:szCs w:val="18"/>
        </w:rPr>
      </w:pPr>
    </w:p>
    <w:p w:rsidR="00E61986" w:rsidRPr="00020413" w:rsidRDefault="00E61986" w:rsidP="00E61986">
      <w:pPr>
        <w:tabs>
          <w:tab w:val="left" w:pos="4202"/>
        </w:tabs>
        <w:rPr>
          <w:rFonts w:ascii="Times New Roman" w:hAnsi="Times New Roman"/>
          <w:sz w:val="18"/>
          <w:szCs w:val="18"/>
        </w:rPr>
      </w:pPr>
    </w:p>
    <w:p w:rsidR="00E61986" w:rsidRPr="00020413" w:rsidRDefault="00E61986" w:rsidP="00E61986">
      <w:pPr>
        <w:rPr>
          <w:rFonts w:ascii="Times New Roman" w:hAnsi="Times New Roman"/>
          <w:sz w:val="18"/>
          <w:szCs w:val="18"/>
        </w:rPr>
      </w:pPr>
      <w:r w:rsidRPr="00020413">
        <w:rPr>
          <w:rFonts w:ascii="Times New Roman" w:hAnsi="Times New Roman"/>
          <w:noProof/>
          <w:sz w:val="18"/>
          <w:szCs w:val="18"/>
        </w:rPr>
        <w:lastRenderedPageBreak/>
        <mc:AlternateContent>
          <mc:Choice Requires="wpg">
            <w:drawing>
              <wp:anchor distT="0" distB="0" distL="114300" distR="114300" simplePos="0" relativeHeight="251658240" behindDoc="0" locked="0" layoutInCell="1" allowOverlap="1" wp14:editId="24B6C7B6">
                <wp:simplePos x="0" y="0"/>
                <wp:positionH relativeFrom="margin">
                  <wp:posOffset>2468236</wp:posOffset>
                </wp:positionH>
                <wp:positionV relativeFrom="paragraph">
                  <wp:posOffset>111163</wp:posOffset>
                </wp:positionV>
                <wp:extent cx="3968115" cy="2800350"/>
                <wp:effectExtent l="0" t="0" r="1333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115" cy="2800350"/>
                          <a:chOff x="2711" y="3235"/>
                          <a:chExt cx="6249" cy="4410"/>
                        </a:xfrm>
                      </wpg:grpSpPr>
                      <wps:wsp>
                        <wps:cNvPr id="3" name="Text Box 32"/>
                        <wps:cNvSpPr txBox="1">
                          <a:spLocks noChangeArrowheads="1"/>
                        </wps:cNvSpPr>
                        <wps:spPr bwMode="auto">
                          <a:xfrm>
                            <a:off x="4833" y="3235"/>
                            <a:ext cx="2104" cy="355"/>
                          </a:xfrm>
                          <a:prstGeom prst="rect">
                            <a:avLst/>
                          </a:prstGeom>
                          <a:solidFill>
                            <a:srgbClr val="D9E2F3"/>
                          </a:solidFill>
                          <a:ln w="9525">
                            <a:solidFill>
                              <a:srgbClr val="000000"/>
                            </a:solidFill>
                            <a:miter lim="800000"/>
                            <a:headEnd/>
                            <a:tailEnd/>
                          </a:ln>
                        </wps:spPr>
                        <wps:txbx>
                          <w:txbxContent>
                            <w:p w:rsidR="00091972" w:rsidRPr="008D70AC" w:rsidRDefault="00091972" w:rsidP="00E61986">
                              <w:pPr>
                                <w:rPr>
                                  <w:sz w:val="16"/>
                                  <w:szCs w:val="16"/>
                                </w:rPr>
                              </w:pPr>
                              <w:r w:rsidRPr="008D70AC">
                                <w:rPr>
                                  <w:sz w:val="16"/>
                                  <w:szCs w:val="16"/>
                                </w:rPr>
                                <w:t>Credit information sharing</w:t>
                              </w:r>
                            </w:p>
                          </w:txbxContent>
                        </wps:txbx>
                        <wps:bodyPr rot="0" vert="horz" wrap="square" lIns="91440" tIns="45720" rIns="91440" bIns="45720" anchor="t" anchorCtr="0" upright="1">
                          <a:noAutofit/>
                        </wps:bodyPr>
                      </wps:wsp>
                      <wps:wsp>
                        <wps:cNvPr id="4" name="Text Box 33"/>
                        <wps:cNvSpPr txBox="1">
                          <a:spLocks noChangeArrowheads="1"/>
                        </wps:cNvSpPr>
                        <wps:spPr bwMode="auto">
                          <a:xfrm>
                            <a:off x="4804" y="4058"/>
                            <a:ext cx="2104" cy="617"/>
                          </a:xfrm>
                          <a:prstGeom prst="rect">
                            <a:avLst/>
                          </a:prstGeom>
                          <a:solidFill>
                            <a:srgbClr val="FFFFFF"/>
                          </a:solidFill>
                          <a:ln w="9525">
                            <a:solidFill>
                              <a:srgbClr val="000000"/>
                            </a:solidFill>
                            <a:miter lim="800000"/>
                            <a:headEnd/>
                            <a:tailEnd/>
                          </a:ln>
                        </wps:spPr>
                        <wps:txbx>
                          <w:txbxContent>
                            <w:p w:rsidR="00091972" w:rsidRPr="008D70AC" w:rsidRDefault="00091972" w:rsidP="00E61986">
                              <w:pPr>
                                <w:rPr>
                                  <w:sz w:val="16"/>
                                  <w:szCs w:val="16"/>
                                </w:rPr>
                              </w:pPr>
                              <w:r>
                                <w:rPr>
                                  <w:sz w:val="16"/>
                                  <w:szCs w:val="16"/>
                                </w:rPr>
                                <w:t>Reductions in information asymmetries</w:t>
                              </w:r>
                            </w:p>
                          </w:txbxContent>
                        </wps:txbx>
                        <wps:bodyPr rot="0" vert="horz" wrap="square" lIns="91440" tIns="45720" rIns="91440" bIns="45720" anchor="t" anchorCtr="0" upright="1">
                          <a:noAutofit/>
                        </wps:bodyPr>
                      </wps:wsp>
                      <wps:wsp>
                        <wps:cNvPr id="5" name="Text Box 34"/>
                        <wps:cNvSpPr txBox="1">
                          <a:spLocks noChangeArrowheads="1"/>
                        </wps:cNvSpPr>
                        <wps:spPr bwMode="auto">
                          <a:xfrm>
                            <a:off x="6533" y="4534"/>
                            <a:ext cx="2104" cy="582"/>
                          </a:xfrm>
                          <a:prstGeom prst="rect">
                            <a:avLst/>
                          </a:prstGeom>
                          <a:solidFill>
                            <a:srgbClr val="BFBFBF"/>
                          </a:solidFill>
                          <a:ln w="9525">
                            <a:solidFill>
                              <a:srgbClr val="000000"/>
                            </a:solidFill>
                            <a:miter lim="800000"/>
                            <a:headEnd/>
                            <a:tailEnd/>
                          </a:ln>
                        </wps:spPr>
                        <wps:txbx>
                          <w:txbxContent>
                            <w:p w:rsidR="00091972" w:rsidRPr="008D70AC" w:rsidRDefault="00091972" w:rsidP="00E61986">
                              <w:pPr>
                                <w:jc w:val="center"/>
                                <w:rPr>
                                  <w:sz w:val="16"/>
                                  <w:szCs w:val="16"/>
                                </w:rPr>
                              </w:pPr>
                              <w:r>
                                <w:rPr>
                                  <w:sz w:val="16"/>
                                  <w:szCs w:val="16"/>
                                </w:rPr>
                                <w:t>Reductions in moral hazards</w:t>
                              </w:r>
                            </w:p>
                          </w:txbxContent>
                        </wps:txbx>
                        <wps:bodyPr rot="0" vert="horz" wrap="square" lIns="91440" tIns="45720" rIns="91440" bIns="45720" anchor="t" anchorCtr="0" upright="1">
                          <a:noAutofit/>
                        </wps:bodyPr>
                      </wps:wsp>
                      <wps:wsp>
                        <wps:cNvPr id="6" name="Text Box 35"/>
                        <wps:cNvSpPr txBox="1">
                          <a:spLocks noChangeArrowheads="1"/>
                        </wps:cNvSpPr>
                        <wps:spPr bwMode="auto">
                          <a:xfrm>
                            <a:off x="3033" y="4554"/>
                            <a:ext cx="2104" cy="599"/>
                          </a:xfrm>
                          <a:prstGeom prst="rect">
                            <a:avLst/>
                          </a:prstGeom>
                          <a:solidFill>
                            <a:srgbClr val="BFBFBF"/>
                          </a:solidFill>
                          <a:ln w="9525">
                            <a:solidFill>
                              <a:srgbClr val="000000"/>
                            </a:solidFill>
                            <a:miter lim="800000"/>
                            <a:headEnd/>
                            <a:tailEnd/>
                          </a:ln>
                        </wps:spPr>
                        <wps:txbx>
                          <w:txbxContent>
                            <w:p w:rsidR="00091972" w:rsidRPr="008D70AC" w:rsidRDefault="00091972" w:rsidP="00E61986">
                              <w:pPr>
                                <w:jc w:val="center"/>
                                <w:rPr>
                                  <w:sz w:val="16"/>
                                  <w:szCs w:val="16"/>
                                </w:rPr>
                              </w:pPr>
                              <w:r>
                                <w:rPr>
                                  <w:sz w:val="16"/>
                                  <w:szCs w:val="16"/>
                                </w:rPr>
                                <w:t xml:space="preserve">Reductions in adverse selection </w:t>
                              </w:r>
                            </w:p>
                          </w:txbxContent>
                        </wps:txbx>
                        <wps:bodyPr rot="0" vert="horz" wrap="square" lIns="91440" tIns="45720" rIns="91440" bIns="45720" anchor="t" anchorCtr="0" upright="1">
                          <a:noAutofit/>
                        </wps:bodyPr>
                      </wps:wsp>
                      <wps:wsp>
                        <wps:cNvPr id="7" name="Text Box 36"/>
                        <wps:cNvSpPr txBox="1">
                          <a:spLocks noChangeArrowheads="1"/>
                        </wps:cNvSpPr>
                        <wps:spPr bwMode="auto">
                          <a:xfrm>
                            <a:off x="2711" y="5170"/>
                            <a:ext cx="2660" cy="1207"/>
                          </a:xfrm>
                          <a:prstGeom prst="rect">
                            <a:avLst/>
                          </a:prstGeom>
                          <a:solidFill>
                            <a:srgbClr val="E2EFD9"/>
                          </a:solidFill>
                          <a:ln w="9525">
                            <a:solidFill>
                              <a:srgbClr val="000000"/>
                            </a:solidFill>
                            <a:miter lim="800000"/>
                            <a:headEnd/>
                            <a:tailEnd/>
                          </a:ln>
                        </wps:spPr>
                        <wps:txbx>
                          <w:txbxContent>
                            <w:p w:rsidR="00091972" w:rsidRDefault="00091972" w:rsidP="00E61986">
                              <w:pPr>
                                <w:numPr>
                                  <w:ilvl w:val="0"/>
                                  <w:numId w:val="9"/>
                                </w:numPr>
                                <w:ind w:left="113" w:hanging="113"/>
                                <w:rPr>
                                  <w:sz w:val="16"/>
                                  <w:szCs w:val="16"/>
                                </w:rPr>
                              </w:pPr>
                              <w:r>
                                <w:rPr>
                                  <w:sz w:val="16"/>
                                  <w:szCs w:val="16"/>
                                </w:rPr>
                                <w:t>Expand banks’ knowledge of applicants’ characteristics, leading to enhanced</w:t>
                              </w:r>
                              <w:r w:rsidRPr="00C52D36">
                                <w:rPr>
                                  <w:sz w:val="16"/>
                                  <w:szCs w:val="16"/>
                                </w:rPr>
                                <w:t xml:space="preserve"> </w:t>
                              </w:r>
                              <w:r>
                                <w:rPr>
                                  <w:sz w:val="16"/>
                                  <w:szCs w:val="16"/>
                                </w:rPr>
                                <w:t xml:space="preserve">ability to </w:t>
                              </w:r>
                              <w:r w:rsidRPr="00C52D36">
                                <w:rPr>
                                  <w:sz w:val="16"/>
                                  <w:szCs w:val="16"/>
                                </w:rPr>
                                <w:t>screen</w:t>
                              </w:r>
                              <w:r>
                                <w:rPr>
                                  <w:sz w:val="16"/>
                                  <w:szCs w:val="16"/>
                                </w:rPr>
                                <w:t xml:space="preserve"> new credit applicants.</w:t>
                              </w:r>
                            </w:p>
                          </w:txbxContent>
                        </wps:txbx>
                        <wps:bodyPr rot="0" vert="horz" wrap="square" lIns="91440" tIns="45720" rIns="91440" bIns="45720" anchor="t" anchorCtr="0" upright="1">
                          <a:noAutofit/>
                        </wps:bodyPr>
                      </wps:wsp>
                      <wps:wsp>
                        <wps:cNvPr id="8" name="Text Box 37"/>
                        <wps:cNvSpPr txBox="1">
                          <a:spLocks noChangeArrowheads="1"/>
                        </wps:cNvSpPr>
                        <wps:spPr bwMode="auto">
                          <a:xfrm>
                            <a:off x="6300" y="5133"/>
                            <a:ext cx="2660" cy="1244"/>
                          </a:xfrm>
                          <a:prstGeom prst="rect">
                            <a:avLst/>
                          </a:prstGeom>
                          <a:solidFill>
                            <a:srgbClr val="E2EFD9"/>
                          </a:solidFill>
                          <a:ln w="9525">
                            <a:solidFill>
                              <a:srgbClr val="000000"/>
                            </a:solidFill>
                            <a:miter lim="800000"/>
                            <a:headEnd/>
                            <a:tailEnd/>
                          </a:ln>
                        </wps:spPr>
                        <wps:txbx>
                          <w:txbxContent>
                            <w:p w:rsidR="00091972" w:rsidRDefault="00091972" w:rsidP="00E61986">
                              <w:pPr>
                                <w:numPr>
                                  <w:ilvl w:val="0"/>
                                  <w:numId w:val="9"/>
                                </w:numPr>
                                <w:ind w:left="113" w:hanging="113"/>
                                <w:rPr>
                                  <w:sz w:val="16"/>
                                  <w:szCs w:val="16"/>
                                </w:rPr>
                              </w:pPr>
                              <w:r>
                                <w:rPr>
                                  <w:sz w:val="16"/>
                                  <w:szCs w:val="16"/>
                                </w:rPr>
                                <w:t>Instil borrower discipline and enhance incentive to repay loans.</w:t>
                              </w:r>
                            </w:p>
                            <w:p w:rsidR="00091972" w:rsidRPr="008D70AC" w:rsidRDefault="00091972" w:rsidP="00E61986">
                              <w:pPr>
                                <w:numPr>
                                  <w:ilvl w:val="0"/>
                                  <w:numId w:val="9"/>
                                </w:numPr>
                                <w:ind w:left="113" w:hanging="113"/>
                                <w:rPr>
                                  <w:sz w:val="16"/>
                                  <w:szCs w:val="16"/>
                                </w:rPr>
                              </w:pPr>
                              <w:r>
                                <w:rPr>
                                  <w:sz w:val="16"/>
                                  <w:szCs w:val="16"/>
                                </w:rPr>
                                <w:t>Reduce over-borrowing from multiple lenders.</w:t>
                              </w:r>
                            </w:p>
                          </w:txbxContent>
                        </wps:txbx>
                        <wps:bodyPr rot="0" vert="horz" wrap="square" lIns="91440" tIns="45720" rIns="91440" bIns="45720" anchor="t" anchorCtr="0" upright="1">
                          <a:noAutofit/>
                        </wps:bodyPr>
                      </wps:wsp>
                      <wps:wsp>
                        <wps:cNvPr id="9" name="Text Box 38"/>
                        <wps:cNvSpPr txBox="1">
                          <a:spLocks noChangeArrowheads="1"/>
                        </wps:cNvSpPr>
                        <wps:spPr bwMode="auto">
                          <a:xfrm>
                            <a:off x="4741" y="6281"/>
                            <a:ext cx="2104" cy="617"/>
                          </a:xfrm>
                          <a:prstGeom prst="rect">
                            <a:avLst/>
                          </a:prstGeom>
                          <a:solidFill>
                            <a:srgbClr val="FFFFFF"/>
                          </a:solidFill>
                          <a:ln w="9525">
                            <a:solidFill>
                              <a:srgbClr val="000000"/>
                            </a:solidFill>
                            <a:miter lim="800000"/>
                            <a:headEnd/>
                            <a:tailEnd/>
                          </a:ln>
                        </wps:spPr>
                        <wps:txbx>
                          <w:txbxContent>
                            <w:p w:rsidR="00091972" w:rsidRPr="008D70AC" w:rsidRDefault="00091972" w:rsidP="00E61986">
                              <w:pPr>
                                <w:jc w:val="center"/>
                                <w:rPr>
                                  <w:sz w:val="16"/>
                                  <w:szCs w:val="16"/>
                                </w:rPr>
                              </w:pPr>
                              <w:r>
                                <w:rPr>
                                  <w:sz w:val="16"/>
                                  <w:szCs w:val="16"/>
                                </w:rPr>
                                <w:t>Improvements in loan portfolio quality</w:t>
                              </w:r>
                            </w:p>
                          </w:txbxContent>
                        </wps:txbx>
                        <wps:bodyPr rot="0" vert="horz" wrap="square" lIns="91440" tIns="45720" rIns="91440" bIns="45720" anchor="t" anchorCtr="0" upright="1">
                          <a:noAutofit/>
                        </wps:bodyPr>
                      </wps:wsp>
                      <wps:wsp>
                        <wps:cNvPr id="10" name="Text Box 39"/>
                        <wps:cNvSpPr txBox="1">
                          <a:spLocks noChangeArrowheads="1"/>
                        </wps:cNvSpPr>
                        <wps:spPr bwMode="auto">
                          <a:xfrm>
                            <a:off x="4741" y="7290"/>
                            <a:ext cx="2104" cy="355"/>
                          </a:xfrm>
                          <a:prstGeom prst="rect">
                            <a:avLst/>
                          </a:prstGeom>
                          <a:solidFill>
                            <a:srgbClr val="D9E2F3"/>
                          </a:solidFill>
                          <a:ln w="9525">
                            <a:solidFill>
                              <a:srgbClr val="000000"/>
                            </a:solidFill>
                            <a:miter lim="800000"/>
                            <a:headEnd/>
                            <a:tailEnd/>
                          </a:ln>
                        </wps:spPr>
                        <wps:txbx>
                          <w:txbxContent>
                            <w:p w:rsidR="00091972" w:rsidRPr="008D70AC" w:rsidRDefault="00091972" w:rsidP="00E61986">
                              <w:pPr>
                                <w:jc w:val="center"/>
                                <w:rPr>
                                  <w:sz w:val="16"/>
                                  <w:szCs w:val="16"/>
                                </w:rPr>
                              </w:pPr>
                              <w:r>
                                <w:rPr>
                                  <w:sz w:val="16"/>
                                  <w:szCs w:val="16"/>
                                </w:rPr>
                                <w:t>Reductions in loan defaults</w:t>
                              </w:r>
                            </w:p>
                          </w:txbxContent>
                        </wps:txbx>
                        <wps:bodyPr rot="0" vert="horz" wrap="square" lIns="91440" tIns="45720" rIns="91440" bIns="45720" anchor="t" anchorCtr="0" upright="1">
                          <a:noAutofit/>
                        </wps:bodyPr>
                      </wps:wsp>
                      <wps:wsp>
                        <wps:cNvPr id="11" name="AutoShape 40"/>
                        <wps:cNvCnPr>
                          <a:cxnSpLocks noChangeShapeType="1"/>
                        </wps:cNvCnPr>
                        <wps:spPr bwMode="auto">
                          <a:xfrm>
                            <a:off x="5891" y="3608"/>
                            <a:ext cx="1"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1"/>
                        <wps:cNvCnPr>
                          <a:cxnSpLocks noChangeShapeType="1"/>
                        </wps:cNvCnPr>
                        <wps:spPr bwMode="auto">
                          <a:xfrm>
                            <a:off x="5937" y="4694"/>
                            <a:ext cx="608" cy="188"/>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 name="AutoShape 42"/>
                        <wps:cNvCnPr>
                          <a:cxnSpLocks noChangeShapeType="1"/>
                        </wps:cNvCnPr>
                        <wps:spPr bwMode="auto">
                          <a:xfrm flipH="1">
                            <a:off x="5405" y="4694"/>
                            <a:ext cx="412" cy="52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AutoShape 43"/>
                        <wps:cNvCnPr>
                          <a:cxnSpLocks noChangeShapeType="1"/>
                        </wps:cNvCnPr>
                        <wps:spPr bwMode="auto">
                          <a:xfrm flipH="1">
                            <a:off x="5097" y="4665"/>
                            <a:ext cx="682" cy="2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 name="AutoShape 44"/>
                        <wps:cNvCnPr>
                          <a:cxnSpLocks noChangeShapeType="1"/>
                        </wps:cNvCnPr>
                        <wps:spPr bwMode="auto">
                          <a:xfrm>
                            <a:off x="5844" y="4675"/>
                            <a:ext cx="442" cy="56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 name="AutoShape 45"/>
                        <wps:cNvCnPr>
                          <a:cxnSpLocks noChangeShapeType="1"/>
                        </wps:cNvCnPr>
                        <wps:spPr bwMode="auto">
                          <a:xfrm>
                            <a:off x="5816" y="6917"/>
                            <a:ext cx="1"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4.35pt;margin-top:8.75pt;width:312.45pt;height:220.5pt;z-index:251658240;mso-position-horizontal-relative:margin" coordorigin="2711,3235" coordsize="6249,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">
                <v:shapetype id="_x0000_t202" coordsize="21600,21600" o:spt="202" path="m,l,21600r21600,l21600,xe">
                  <v:stroke joinstyle="miter"/>
                  <v:path gradientshapeok="t" o:connecttype="rect"/>
                </v:shapetype>
                <v:shape id="Text Box 32" o:spid="_x0000_s1027" type="#_x0000_t202" style="position:absolute;left:4833;top:3235;width:21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" fillcolor="#d9e2f3">
                  <v:textbox>
                    <w:txbxContent>
                      <w:p w:rsidR="00091972" w:rsidRPr="008D70AC" w:rsidRDefault="00091972" w:rsidP="00E61986">
                        <w:pPr>
                          <w:rPr>
                            <w:sz w:val="16"/>
                            <w:szCs w:val="16"/>
                          </w:rPr>
                        </w:pPr>
                        <w:r w:rsidRPr="008D70AC">
                          <w:rPr>
                            <w:sz w:val="16"/>
                            <w:szCs w:val="16"/>
                          </w:rPr>
                          <w:t>Credit information sharing</w:t>
                        </w:r>
                      </w:p>
                    </w:txbxContent>
                  </v:textbox>
                </v:shape>
                <v:shape id="Text Box 33" o:spid="_x0000_s1028" type="#_x0000_t202" style="position:absolute;left:4804;top:4058;width:210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91972" w:rsidRPr="008D70AC" w:rsidRDefault="00091972" w:rsidP="00E61986">
                        <w:pPr>
                          <w:rPr>
                            <w:sz w:val="16"/>
                            <w:szCs w:val="16"/>
                          </w:rPr>
                        </w:pPr>
                        <w:r>
                          <w:rPr>
                            <w:sz w:val="16"/>
                            <w:szCs w:val="16"/>
                          </w:rPr>
                          <w:t>Reductions in information asymmetries</w:t>
                        </w:r>
                      </w:p>
                    </w:txbxContent>
                  </v:textbox>
                </v:shape>
                <v:shape id="Text Box 34" o:spid="_x0000_s1029" type="#_x0000_t202" style="position:absolute;left:6533;top:4534;width:2104;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" fillcolor="#bfbfbf">
                  <v:textbox>
                    <w:txbxContent>
                      <w:p w:rsidR="00091972" w:rsidRPr="008D70AC" w:rsidRDefault="00091972" w:rsidP="00E61986">
                        <w:pPr>
                          <w:jc w:val="center"/>
                          <w:rPr>
                            <w:sz w:val="16"/>
                            <w:szCs w:val="16"/>
                          </w:rPr>
                        </w:pPr>
                        <w:r>
                          <w:rPr>
                            <w:sz w:val="16"/>
                            <w:szCs w:val="16"/>
                          </w:rPr>
                          <w:t>Reductions in moral hazards</w:t>
                        </w:r>
                      </w:p>
                    </w:txbxContent>
                  </v:textbox>
                </v:shape>
                <v:shape id="Text Box 35" o:spid="_x0000_s1030" type="#_x0000_t202" style="position:absolute;left:3033;top:4554;width:21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" fillcolor="#bfbfbf">
                  <v:textbox>
                    <w:txbxContent>
                      <w:p w:rsidR="00091972" w:rsidRPr="008D70AC" w:rsidRDefault="00091972" w:rsidP="00E61986">
                        <w:pPr>
                          <w:jc w:val="center"/>
                          <w:rPr>
                            <w:sz w:val="16"/>
                            <w:szCs w:val="16"/>
                          </w:rPr>
                        </w:pPr>
                        <w:r>
                          <w:rPr>
                            <w:sz w:val="16"/>
                            <w:szCs w:val="16"/>
                          </w:rPr>
                          <w:t xml:space="preserve">Reductions in adverse selection </w:t>
                        </w:r>
                      </w:p>
                    </w:txbxContent>
                  </v:textbox>
                </v:shape>
                <v:shape id="Text Box 36" o:spid="_x0000_s1031" type="#_x0000_t202" style="position:absolute;left:2711;top:5170;width:2660;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" fillcolor="#e2efd9">
                  <v:textbox>
                    <w:txbxContent>
                      <w:p w:rsidR="00091972" w:rsidRDefault="00091972" w:rsidP="00E61986">
                        <w:pPr>
                          <w:numPr>
                            <w:ilvl w:val="0"/>
                            <w:numId w:val="9"/>
                          </w:numPr>
                          <w:ind w:left="113" w:hanging="113"/>
                          <w:rPr>
                            <w:sz w:val="16"/>
                            <w:szCs w:val="16"/>
                          </w:rPr>
                        </w:pPr>
                        <w:r>
                          <w:rPr>
                            <w:sz w:val="16"/>
                            <w:szCs w:val="16"/>
                          </w:rPr>
                          <w:t>Expand banks’ knowledge of applicants’ characteristics, leading to enhanced</w:t>
                        </w:r>
                        <w:r w:rsidRPr="00C52D36">
                          <w:rPr>
                            <w:sz w:val="16"/>
                            <w:szCs w:val="16"/>
                          </w:rPr>
                          <w:t xml:space="preserve"> </w:t>
                        </w:r>
                        <w:r>
                          <w:rPr>
                            <w:sz w:val="16"/>
                            <w:szCs w:val="16"/>
                          </w:rPr>
                          <w:t xml:space="preserve">ability to </w:t>
                        </w:r>
                        <w:r w:rsidRPr="00C52D36">
                          <w:rPr>
                            <w:sz w:val="16"/>
                            <w:szCs w:val="16"/>
                          </w:rPr>
                          <w:t>screen</w:t>
                        </w:r>
                        <w:r>
                          <w:rPr>
                            <w:sz w:val="16"/>
                            <w:szCs w:val="16"/>
                          </w:rPr>
                          <w:t xml:space="preserve"> new credit applicants.</w:t>
                        </w:r>
                      </w:p>
                    </w:txbxContent>
                  </v:textbox>
                </v:shape>
                <v:shape id="Text Box 37" o:spid="_x0000_s1032" type="#_x0000_t202" style="position:absolute;left:6300;top:5133;width:266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" fillcolor="#e2efd9">
                  <v:textbox>
                    <w:txbxContent>
                      <w:p w:rsidR="00091972" w:rsidRDefault="00091972" w:rsidP="00E61986">
                        <w:pPr>
                          <w:numPr>
                            <w:ilvl w:val="0"/>
                            <w:numId w:val="9"/>
                          </w:numPr>
                          <w:ind w:left="113" w:hanging="113"/>
                          <w:rPr>
                            <w:sz w:val="16"/>
                            <w:szCs w:val="16"/>
                          </w:rPr>
                        </w:pPr>
                        <w:r>
                          <w:rPr>
                            <w:sz w:val="16"/>
                            <w:szCs w:val="16"/>
                          </w:rPr>
                          <w:t>Instil borrower discipline and enhance incentive to repay loans.</w:t>
                        </w:r>
                      </w:p>
                      <w:p w:rsidR="00091972" w:rsidRPr="008D70AC" w:rsidRDefault="00091972" w:rsidP="00E61986">
                        <w:pPr>
                          <w:numPr>
                            <w:ilvl w:val="0"/>
                            <w:numId w:val="9"/>
                          </w:numPr>
                          <w:ind w:left="113" w:hanging="113"/>
                          <w:rPr>
                            <w:sz w:val="16"/>
                            <w:szCs w:val="16"/>
                          </w:rPr>
                        </w:pPr>
                        <w:r>
                          <w:rPr>
                            <w:sz w:val="16"/>
                            <w:szCs w:val="16"/>
                          </w:rPr>
                          <w:t>Reduce over-borrowing from multiple lenders.</w:t>
                        </w:r>
                      </w:p>
                    </w:txbxContent>
                  </v:textbox>
                </v:shape>
                <v:shape id="Text Box 38" o:spid="_x0000_s1033" type="#_x0000_t202" style="position:absolute;left:4741;top:6281;width:210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091972" w:rsidRPr="008D70AC" w:rsidRDefault="00091972" w:rsidP="00E61986">
                        <w:pPr>
                          <w:jc w:val="center"/>
                          <w:rPr>
                            <w:sz w:val="16"/>
                            <w:szCs w:val="16"/>
                          </w:rPr>
                        </w:pPr>
                        <w:r>
                          <w:rPr>
                            <w:sz w:val="16"/>
                            <w:szCs w:val="16"/>
                          </w:rPr>
                          <w:t>Improvements in loan portfolio quality</w:t>
                        </w:r>
                      </w:p>
                    </w:txbxContent>
                  </v:textbox>
                </v:shape>
                <v:shape id="Text Box 39" o:spid="_x0000_s1034" type="#_x0000_t202" style="position:absolute;left:4741;top:7290;width:21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" fillcolor="#d9e2f3">
                  <v:textbox>
                    <w:txbxContent>
                      <w:p w:rsidR="00091972" w:rsidRPr="008D70AC" w:rsidRDefault="00091972" w:rsidP="00E61986">
                        <w:pPr>
                          <w:jc w:val="center"/>
                          <w:rPr>
                            <w:sz w:val="16"/>
                            <w:szCs w:val="16"/>
                          </w:rPr>
                        </w:pPr>
                        <w:r>
                          <w:rPr>
                            <w:sz w:val="16"/>
                            <w:szCs w:val="16"/>
                          </w:rPr>
                          <w:t>Reductions in loan defaults</w:t>
                        </w:r>
                      </w:p>
                    </w:txbxContent>
                  </v:textbox>
                </v:shape>
                <v:shapetype id="_x0000_t32" coordsize="21600,21600" o:spt="32" o:oned="t" path="m,l21600,21600e" filled="f">
                  <v:path arrowok="t" fillok="f" o:connecttype="none"/>
                  <o:lock v:ext="edit" shapetype="t"/>
                </v:shapetype>
                <v:shape id="AutoShape 40" o:spid="_x0000_s1035" type="#_x0000_t32" style="position:absolute;left:5891;top:3608;width:1;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41" o:spid="_x0000_s1036" type="#_x0000_t32" style="position:absolute;left:5937;top:4694;width:608;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">
                  <v:stroke dashstyle="dash" endarrow="block"/>
                </v:shape>
                <v:shape id="AutoShape 42" o:spid="_x0000_s1037" type="#_x0000_t32" style="position:absolute;left:5405;top:4694;width:412;height: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">
                  <v:stroke dashstyle="dash" endarrow="block"/>
                </v:shape>
                <v:shape id="AutoShape 43" o:spid="_x0000_s1038" type="#_x0000_t32" style="position:absolute;left:5097;top:4665;width:682;height:2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">
                  <v:stroke dashstyle="dash" endarrow="block"/>
                </v:shape>
                <v:shape id="AutoShape 44" o:spid="_x0000_s1039" type="#_x0000_t32" style="position:absolute;left:5844;top:4675;width:442;height: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">
                  <v:stroke dashstyle="dash" endarrow="block"/>
                </v:shape>
                <v:shape id="AutoShape 45" o:spid="_x0000_s1040" type="#_x0000_t32" style="position:absolute;left:5816;top:6917;width:1;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w10:wrap anchorx="margin"/>
              </v:group>
            </w:pict>
          </mc:Fallback>
        </mc:AlternateContent>
      </w: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E61986" w:rsidRPr="00020413" w:rsidRDefault="00E61986" w:rsidP="00E61986">
      <w:pPr>
        <w:rPr>
          <w:rFonts w:ascii="Times New Roman" w:hAnsi="Times New Roman"/>
          <w:sz w:val="18"/>
          <w:szCs w:val="18"/>
        </w:rPr>
      </w:pPr>
    </w:p>
    <w:p w:rsidR="00C071FB" w:rsidRPr="00020413" w:rsidRDefault="00C071FB" w:rsidP="00E61986">
      <w:pPr>
        <w:tabs>
          <w:tab w:val="left" w:pos="5448"/>
        </w:tabs>
        <w:jc w:val="center"/>
        <w:rPr>
          <w:rFonts w:ascii="Times New Roman" w:hAnsi="Times New Roman"/>
          <w:sz w:val="18"/>
          <w:szCs w:val="18"/>
        </w:rPr>
      </w:pPr>
    </w:p>
    <w:p w:rsidR="00E61986" w:rsidRPr="00020413" w:rsidRDefault="00E61986" w:rsidP="00E61986">
      <w:pPr>
        <w:tabs>
          <w:tab w:val="left" w:pos="5448"/>
        </w:tabs>
        <w:jc w:val="center"/>
        <w:rPr>
          <w:rFonts w:ascii="Times New Roman" w:hAnsi="Times New Roman"/>
          <w:sz w:val="18"/>
          <w:szCs w:val="18"/>
        </w:rPr>
      </w:pPr>
      <w:r w:rsidRPr="00020413">
        <w:rPr>
          <w:rFonts w:ascii="Times New Roman" w:hAnsi="Times New Roman"/>
          <w:sz w:val="18"/>
          <w:szCs w:val="18"/>
        </w:rPr>
        <w:t>Figure 1: The key channels through which credit information sharing reduces loan default rates</w:t>
      </w:r>
    </w:p>
    <w:p w:rsidR="00D940E8" w:rsidRPr="00020413" w:rsidRDefault="00E61986" w:rsidP="00E61986">
      <w:pPr>
        <w:tabs>
          <w:tab w:val="left" w:pos="5448"/>
        </w:tabs>
        <w:rPr>
          <w:rFonts w:ascii="Times New Roman" w:hAnsi="Times New Roman"/>
          <w:sz w:val="18"/>
          <w:szCs w:val="18"/>
        </w:rPr>
        <w:sectPr w:rsidR="00D940E8" w:rsidRPr="00020413" w:rsidSect="009B36F6">
          <w:pgSz w:w="16838" w:h="11906" w:orient="landscape" w:code="9"/>
          <w:pgMar w:top="1440" w:right="1440" w:bottom="1440" w:left="1440" w:header="709" w:footer="709" w:gutter="0"/>
          <w:cols w:space="708"/>
          <w:docGrid w:linePitch="360"/>
        </w:sectPr>
      </w:pPr>
      <w:r w:rsidRPr="00020413">
        <w:rPr>
          <w:rFonts w:ascii="Times New Roman" w:hAnsi="Times New Roman"/>
          <w:sz w:val="18"/>
          <w:szCs w:val="18"/>
        </w:rPr>
        <w:tab/>
      </w:r>
    </w:p>
    <w:p w:rsidR="00403E2A" w:rsidRPr="00020413" w:rsidRDefault="000F3A57">
      <w:pPr>
        <w:spacing w:after="0" w:line="240" w:lineRule="auto"/>
        <w:rPr>
          <w:rFonts w:ascii="Times New Roman" w:hAnsi="Times New Roman"/>
          <w:sz w:val="18"/>
          <w:szCs w:val="18"/>
        </w:rPr>
      </w:pPr>
      <w:r w:rsidRPr="00020413">
        <w:rPr>
          <w:rFonts w:ascii="Times New Roman" w:hAnsi="Times New Roman"/>
          <w:noProof/>
          <w:sz w:val="18"/>
          <w:szCs w:val="18"/>
          <w:lang w:eastAsia="zh-TW"/>
        </w:rPr>
        <w:lastRenderedPageBreak/>
        <w:drawing>
          <wp:inline distT="0" distB="0" distL="0" distR="0" wp14:anchorId="55C934B7" wp14:editId="3635F9E4">
            <wp:extent cx="5670645" cy="3738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71862" cy="3739682"/>
                    </a:xfrm>
                    <a:prstGeom prst="rect">
                      <a:avLst/>
                    </a:prstGeom>
                    <a:noFill/>
                    <a:ln>
                      <a:noFill/>
                    </a:ln>
                  </pic:spPr>
                </pic:pic>
              </a:graphicData>
            </a:graphic>
          </wp:inline>
        </w:drawing>
      </w:r>
    </w:p>
    <w:p w:rsidR="006C0CAD" w:rsidRPr="00020413" w:rsidRDefault="000F3A57" w:rsidP="00F55C18">
      <w:pPr>
        <w:spacing w:after="0" w:line="240" w:lineRule="auto"/>
        <w:ind w:left="144" w:right="144"/>
        <w:jc w:val="both"/>
        <w:rPr>
          <w:rFonts w:ascii="Times New Roman" w:hAnsi="Times New Roman"/>
          <w:sz w:val="16"/>
          <w:szCs w:val="16"/>
          <w:lang w:val="en-US"/>
        </w:rPr>
      </w:pPr>
      <w:r w:rsidRPr="00020413">
        <w:rPr>
          <w:rFonts w:ascii="Times New Roman" w:hAnsi="Times New Roman"/>
          <w:sz w:val="16"/>
          <w:szCs w:val="16"/>
        </w:rPr>
        <w:t xml:space="preserve">Figure </w:t>
      </w:r>
      <w:r w:rsidR="00E61986" w:rsidRPr="00020413">
        <w:rPr>
          <w:rFonts w:ascii="Times New Roman" w:hAnsi="Times New Roman"/>
          <w:sz w:val="16"/>
          <w:szCs w:val="16"/>
        </w:rPr>
        <w:t>2</w:t>
      </w:r>
      <w:r w:rsidRPr="00020413">
        <w:rPr>
          <w:rFonts w:ascii="Times New Roman" w:hAnsi="Times New Roman"/>
          <w:sz w:val="16"/>
          <w:szCs w:val="16"/>
        </w:rPr>
        <w:t xml:space="preserve">: </w:t>
      </w:r>
      <w:r w:rsidR="006C0CAD" w:rsidRPr="00020413">
        <w:rPr>
          <w:rFonts w:ascii="Times New Roman" w:hAnsi="Times New Roman"/>
          <w:sz w:val="16"/>
          <w:szCs w:val="16"/>
        </w:rPr>
        <w:t xml:space="preserve">Trends in depth of credit information </w:t>
      </w:r>
      <w:r w:rsidR="00D13E65" w:rsidRPr="00020413">
        <w:rPr>
          <w:rFonts w:ascii="Times New Roman" w:hAnsi="Times New Roman"/>
          <w:sz w:val="16"/>
          <w:szCs w:val="16"/>
        </w:rPr>
        <w:t xml:space="preserve">index for </w:t>
      </w:r>
      <w:r w:rsidR="00D13E65" w:rsidRPr="00020413">
        <w:rPr>
          <w:rFonts w:ascii="Times New Roman" w:hAnsi="Times New Roman"/>
          <w:sz w:val="16"/>
          <w:szCs w:val="16"/>
          <w:lang w:val="en-US"/>
        </w:rPr>
        <w:t>t</w:t>
      </w:r>
      <w:r w:rsidR="006C0CAD" w:rsidRPr="00020413">
        <w:rPr>
          <w:rFonts w:ascii="Times New Roman" w:hAnsi="Times New Roman"/>
          <w:sz w:val="16"/>
          <w:szCs w:val="16"/>
          <w:lang w:val="en-US"/>
        </w:rPr>
        <w:t>he group of countries with sharp and those with gradual improvements.</w:t>
      </w:r>
    </w:p>
    <w:p w:rsidR="006C0CAD" w:rsidRPr="00020413" w:rsidRDefault="006C0CAD" w:rsidP="00F55C18">
      <w:pPr>
        <w:spacing w:after="0" w:line="240" w:lineRule="auto"/>
        <w:ind w:left="144" w:right="144"/>
        <w:jc w:val="both"/>
        <w:rPr>
          <w:rFonts w:ascii="Times New Roman" w:hAnsi="Times New Roman"/>
          <w:sz w:val="16"/>
          <w:szCs w:val="16"/>
        </w:rPr>
      </w:pPr>
      <w:r w:rsidRPr="00020413">
        <w:rPr>
          <w:rFonts w:ascii="Times New Roman" w:hAnsi="Times New Roman"/>
          <w:sz w:val="16"/>
          <w:szCs w:val="16"/>
        </w:rPr>
        <w:t xml:space="preserve">Note: </w:t>
      </w:r>
      <w:r w:rsidR="00D13E65" w:rsidRPr="00020413">
        <w:rPr>
          <w:rFonts w:ascii="Times New Roman" w:hAnsi="Times New Roman"/>
          <w:sz w:val="16"/>
          <w:szCs w:val="16"/>
        </w:rPr>
        <w:t>The l</w:t>
      </w:r>
      <w:r w:rsidRPr="00020413">
        <w:rPr>
          <w:rFonts w:ascii="Times New Roman" w:hAnsi="Times New Roman"/>
          <w:sz w:val="16"/>
          <w:szCs w:val="16"/>
        </w:rPr>
        <w:t xml:space="preserve">ist of countries showing major improvements in information sharing include: </w:t>
      </w:r>
      <w:r w:rsidRPr="00020413">
        <w:rPr>
          <w:rFonts w:ascii="Times New Roman" w:hAnsi="Times New Roman"/>
          <w:i/>
          <w:sz w:val="16"/>
          <w:szCs w:val="16"/>
        </w:rPr>
        <w:t>Costa Rica, Croatia, Kazakhstan, Lithuania, Macedonia (</w:t>
      </w:r>
      <w:proofErr w:type="spellStart"/>
      <w:r w:rsidRPr="00020413">
        <w:rPr>
          <w:rFonts w:ascii="Times New Roman" w:hAnsi="Times New Roman"/>
          <w:i/>
          <w:sz w:val="16"/>
          <w:szCs w:val="16"/>
        </w:rPr>
        <w:t>Fyrom</w:t>
      </w:r>
      <w:proofErr w:type="spellEnd"/>
      <w:r w:rsidRPr="00020413">
        <w:rPr>
          <w:rFonts w:ascii="Times New Roman" w:hAnsi="Times New Roman"/>
          <w:i/>
          <w:sz w:val="16"/>
          <w:szCs w:val="16"/>
        </w:rPr>
        <w:t>), Mauritius, Mongolia, Oman, Romania, Saudi Arabia, Serbia,</w:t>
      </w:r>
      <w:r w:rsidRPr="00020413">
        <w:rPr>
          <w:rFonts w:ascii="Times New Roman" w:hAnsi="Times New Roman"/>
          <w:sz w:val="16"/>
          <w:szCs w:val="16"/>
        </w:rPr>
        <w:t xml:space="preserve"> </w:t>
      </w:r>
      <w:r w:rsidRPr="00020413">
        <w:rPr>
          <w:rFonts w:ascii="Times New Roman" w:hAnsi="Times New Roman"/>
          <w:b/>
          <w:sz w:val="16"/>
          <w:szCs w:val="16"/>
        </w:rPr>
        <w:t>Albania, Armenia, Azerbaijan, Belarus, Egypt, Georgia, Ghana, Latvia, Morocco, Rwanda, United Arab Emirates, Zambia</w:t>
      </w:r>
      <w:r w:rsidRPr="00020413">
        <w:rPr>
          <w:rFonts w:ascii="Times New Roman" w:hAnsi="Times New Roman"/>
          <w:sz w:val="16"/>
          <w:szCs w:val="16"/>
        </w:rPr>
        <w:t xml:space="preserve">. Please note that the countries in </w:t>
      </w:r>
      <w:r w:rsidRPr="00020413">
        <w:rPr>
          <w:rFonts w:ascii="Times New Roman" w:hAnsi="Times New Roman"/>
          <w:i/>
          <w:sz w:val="16"/>
          <w:szCs w:val="16"/>
        </w:rPr>
        <w:t>italics</w:t>
      </w:r>
      <w:r w:rsidRPr="00020413">
        <w:rPr>
          <w:rFonts w:ascii="Times New Roman" w:hAnsi="Times New Roman"/>
          <w:sz w:val="16"/>
          <w:szCs w:val="16"/>
        </w:rPr>
        <w:t xml:space="preserve"> (</w:t>
      </w:r>
      <w:r w:rsidRPr="00020413">
        <w:rPr>
          <w:rFonts w:ascii="Times New Roman" w:hAnsi="Times New Roman"/>
          <w:b/>
          <w:sz w:val="16"/>
          <w:szCs w:val="16"/>
        </w:rPr>
        <w:t>bold</w:t>
      </w:r>
      <w:r w:rsidRPr="00020413">
        <w:rPr>
          <w:rFonts w:ascii="Times New Roman" w:hAnsi="Times New Roman"/>
          <w:sz w:val="16"/>
          <w:szCs w:val="16"/>
        </w:rPr>
        <w:t xml:space="preserve">) experienced </w:t>
      </w:r>
      <w:r w:rsidRPr="00020413">
        <w:rPr>
          <w:rFonts w:ascii="Times New Roman" w:hAnsi="Times New Roman"/>
          <w:i/>
          <w:sz w:val="16"/>
          <w:szCs w:val="16"/>
        </w:rPr>
        <w:t>gradual</w:t>
      </w:r>
      <w:r w:rsidRPr="00020413">
        <w:rPr>
          <w:rFonts w:ascii="Times New Roman" w:hAnsi="Times New Roman"/>
          <w:sz w:val="16"/>
          <w:szCs w:val="16"/>
        </w:rPr>
        <w:t xml:space="preserve"> (</w:t>
      </w:r>
      <w:r w:rsidRPr="00020413">
        <w:rPr>
          <w:rFonts w:ascii="Times New Roman" w:hAnsi="Times New Roman"/>
          <w:b/>
          <w:sz w:val="16"/>
          <w:szCs w:val="16"/>
        </w:rPr>
        <w:t>sharp</w:t>
      </w:r>
      <w:r w:rsidRPr="00020413">
        <w:rPr>
          <w:rFonts w:ascii="Times New Roman" w:hAnsi="Times New Roman"/>
          <w:sz w:val="16"/>
          <w:szCs w:val="16"/>
        </w:rPr>
        <w:t xml:space="preserve">) improvements in information sharing during </w:t>
      </w:r>
      <w:r w:rsidR="00200E1B" w:rsidRPr="00020413">
        <w:rPr>
          <w:rFonts w:ascii="Times New Roman" w:hAnsi="Times New Roman"/>
          <w:sz w:val="16"/>
          <w:szCs w:val="16"/>
        </w:rPr>
        <w:t>the sample period</w:t>
      </w:r>
      <w:r w:rsidRPr="00020413">
        <w:rPr>
          <w:rFonts w:ascii="Times New Roman" w:hAnsi="Times New Roman"/>
          <w:sz w:val="16"/>
          <w:szCs w:val="16"/>
        </w:rPr>
        <w:t xml:space="preserve">.  </w:t>
      </w:r>
    </w:p>
    <w:p w:rsidR="006C0CAD" w:rsidRPr="00020413" w:rsidRDefault="006C0CAD">
      <w:pPr>
        <w:spacing w:after="0" w:line="240" w:lineRule="auto"/>
        <w:rPr>
          <w:rFonts w:ascii="Times New Roman" w:hAnsi="Times New Roman"/>
          <w:sz w:val="16"/>
          <w:szCs w:val="16"/>
        </w:rPr>
      </w:pPr>
    </w:p>
    <w:p w:rsidR="00CE57DA" w:rsidRPr="00020413" w:rsidRDefault="00CE57DA"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0F3A57" w:rsidRPr="00020413" w:rsidRDefault="000F3A57" w:rsidP="00CE57DA">
      <w:pPr>
        <w:rPr>
          <w:rFonts w:ascii="Times New Roman" w:hAnsi="Times New Roman"/>
          <w:sz w:val="18"/>
          <w:szCs w:val="18"/>
        </w:rPr>
      </w:pPr>
    </w:p>
    <w:p w:rsidR="00CE57DA" w:rsidRPr="00020413" w:rsidRDefault="00CE57DA" w:rsidP="00CE57DA">
      <w:pPr>
        <w:spacing w:after="0"/>
        <w:rPr>
          <w:rFonts w:ascii="Times New Roman" w:hAnsi="Times New Roman"/>
          <w:b/>
          <w:sz w:val="18"/>
          <w:szCs w:val="18"/>
        </w:rPr>
      </w:pPr>
      <w:r w:rsidRPr="00020413">
        <w:rPr>
          <w:rFonts w:ascii="Times New Roman" w:hAnsi="Times New Roman"/>
          <w:b/>
          <w:sz w:val="18"/>
          <w:szCs w:val="18"/>
        </w:rPr>
        <w:lastRenderedPageBreak/>
        <w:t xml:space="preserve">Table </w:t>
      </w:r>
      <w:r w:rsidR="00C071FB" w:rsidRPr="00020413">
        <w:rPr>
          <w:rFonts w:ascii="Times New Roman" w:hAnsi="Times New Roman"/>
          <w:b/>
          <w:sz w:val="18"/>
          <w:szCs w:val="18"/>
        </w:rPr>
        <w:t>1</w:t>
      </w:r>
      <w:r w:rsidR="00DD4823" w:rsidRPr="00020413">
        <w:rPr>
          <w:rFonts w:ascii="Times New Roman" w:hAnsi="Times New Roman"/>
          <w:b/>
          <w:sz w:val="18"/>
          <w:szCs w:val="18"/>
        </w:rPr>
        <w:t>2</w:t>
      </w:r>
      <w:r w:rsidRPr="00020413">
        <w:rPr>
          <w:rFonts w:ascii="Times New Roman" w:hAnsi="Times New Roman"/>
          <w:b/>
          <w:sz w:val="18"/>
          <w:szCs w:val="18"/>
        </w:rPr>
        <w:t xml:space="preserve">: </w:t>
      </w:r>
      <w:r w:rsidR="001138D7" w:rsidRPr="00020413">
        <w:rPr>
          <w:rFonts w:ascii="Times New Roman" w:hAnsi="Times New Roman"/>
          <w:b/>
          <w:sz w:val="18"/>
          <w:szCs w:val="18"/>
        </w:rPr>
        <w:t>List of countries and c</w:t>
      </w:r>
      <w:r w:rsidRPr="00020413">
        <w:rPr>
          <w:rFonts w:ascii="Times New Roman" w:hAnsi="Times New Roman"/>
          <w:b/>
          <w:sz w:val="18"/>
          <w:szCs w:val="18"/>
        </w:rPr>
        <w:t>ross-sectional sample distribution</w:t>
      </w:r>
    </w:p>
    <w:tbl>
      <w:tblPr>
        <w:tblW w:w="11078" w:type="dxa"/>
        <w:jc w:val="center"/>
        <w:tblLook w:val="04A0" w:firstRow="1" w:lastRow="0" w:firstColumn="1" w:lastColumn="0" w:noHBand="0" w:noVBand="1"/>
      </w:tblPr>
      <w:tblGrid>
        <w:gridCol w:w="1733"/>
        <w:gridCol w:w="667"/>
        <w:gridCol w:w="1006"/>
        <w:gridCol w:w="1755"/>
        <w:gridCol w:w="667"/>
        <w:gridCol w:w="1090"/>
        <w:gridCol w:w="2445"/>
        <w:gridCol w:w="709"/>
        <w:gridCol w:w="1006"/>
      </w:tblGrid>
      <w:tr w:rsidR="00CE57DA" w:rsidRPr="00020413" w:rsidTr="002A0E84">
        <w:trPr>
          <w:trHeight w:val="238"/>
          <w:jc w:val="center"/>
        </w:trPr>
        <w:tc>
          <w:tcPr>
            <w:tcW w:w="1733"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667"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No of banks</w:t>
            </w:r>
          </w:p>
        </w:tc>
        <w:tc>
          <w:tcPr>
            <w:tcW w:w="1006"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 xml:space="preserve"> Percentage</w:t>
            </w:r>
          </w:p>
        </w:tc>
        <w:tc>
          <w:tcPr>
            <w:tcW w:w="1755"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667"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No of banks</w:t>
            </w:r>
          </w:p>
        </w:tc>
        <w:tc>
          <w:tcPr>
            <w:tcW w:w="1090"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Percentage</w:t>
            </w:r>
          </w:p>
        </w:tc>
        <w:tc>
          <w:tcPr>
            <w:tcW w:w="2445"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709"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No of banks</w:t>
            </w:r>
          </w:p>
        </w:tc>
        <w:tc>
          <w:tcPr>
            <w:tcW w:w="1006" w:type="dxa"/>
            <w:tcBorders>
              <w:top w:val="single" w:sz="4" w:space="0" w:color="auto"/>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Percentage</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Albania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8</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0.91</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Guyana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Peru</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1.93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Algeria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Haiti</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Philippines</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1.71</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Angola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0.57</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Honduras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Qatar</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Argentina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3.75</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Hong Kong</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32</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3.64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 xml:space="preserve">Republic </w:t>
            </w:r>
            <w:r w:rsidR="004273C1" w:rsidRPr="00020413">
              <w:rPr>
                <w:rFonts w:ascii="Times New Roman" w:eastAsia="Times New Roman" w:hAnsi="Times New Roman"/>
                <w:sz w:val="18"/>
                <w:szCs w:val="18"/>
                <w:lang w:eastAsia="en-GB"/>
              </w:rPr>
              <w:t>of</w:t>
            </w:r>
            <w:r w:rsidRPr="00020413">
              <w:rPr>
                <w:rFonts w:ascii="Times New Roman" w:eastAsia="Times New Roman" w:hAnsi="Times New Roman"/>
                <w:sz w:val="18"/>
                <w:szCs w:val="18"/>
                <w:lang w:eastAsia="en-GB"/>
              </w:rPr>
              <w:t xml:space="preserve"> Moldova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Armenia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1.25</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Jamaica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8</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0.91</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Romania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Azerbaijan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Jordan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Rwanda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Bahamas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0.57</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Kazakhstan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19</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2.16</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Saudi Arabia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1.37</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Bahrain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1.48</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Kenya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28</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3.19</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Senegal</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Belarus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0.46</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Kuwait</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Serbia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Benin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Kyrgyzstan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Sierra Leone</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Bolivia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1.14</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Latvia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Singapore</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2A0E84"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Bosnia a</w:t>
            </w:r>
            <w:r w:rsidR="00CE57DA" w:rsidRPr="00020413">
              <w:rPr>
                <w:rFonts w:ascii="Times New Roman" w:eastAsia="Times New Roman" w:hAnsi="Times New Roman"/>
                <w:sz w:val="18"/>
                <w:szCs w:val="18"/>
                <w:lang w:eastAsia="en-GB"/>
              </w:rPr>
              <w:t>nd Herzegovina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Lithuania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South Africa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3.07</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Botswana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Macedonia (</w:t>
            </w:r>
            <w:proofErr w:type="spellStart"/>
            <w:r w:rsidRPr="00020413">
              <w:rPr>
                <w:rFonts w:ascii="Times New Roman" w:eastAsia="Times New Roman" w:hAnsi="Times New Roman"/>
                <w:sz w:val="18"/>
                <w:szCs w:val="18"/>
                <w:lang w:eastAsia="en-GB"/>
              </w:rPr>
              <w:t>Fyrom</w:t>
            </w:r>
            <w:proofErr w:type="spellEnd"/>
            <w:r w:rsidRPr="00020413">
              <w:rPr>
                <w:rFonts w:ascii="Times New Roman" w:eastAsia="Times New Roman" w:hAnsi="Times New Roman"/>
                <w:sz w:val="18"/>
                <w:szCs w:val="18"/>
                <w:lang w:eastAsia="en-GB"/>
              </w:rPr>
              <w:t>)</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8</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0.91</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Swaziland</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0.46</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Bulgaria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Malawi</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Syrian Arab Republic</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Cambodia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Malaysia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Tajikistan</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Colombia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Maldives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Thailand</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Costa Rica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1.14</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Mali</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Togo</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Cote D'Ivoire</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Mauritius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Trinidad And Tobago</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0.46</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Croatia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1.93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Mongolia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Tunisia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1.71</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Cyprus</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0.8</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Montenegro</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Turkey</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50</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5.69</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Dominican Republic</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Morocco</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Uganda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1.37</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Ecuador</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2.73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Mozambique</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Ukraine</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1.48</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Egypt</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0.34</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Namibia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United Arab Emirates</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2.5</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El Salvador</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17</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1.93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Nepal</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 xml:space="preserve">United Republic </w:t>
            </w:r>
            <w:r w:rsidR="004273C1" w:rsidRPr="00020413">
              <w:rPr>
                <w:rFonts w:ascii="Times New Roman" w:eastAsia="Times New Roman" w:hAnsi="Times New Roman"/>
                <w:sz w:val="18"/>
                <w:szCs w:val="18"/>
                <w:lang w:eastAsia="en-GB"/>
              </w:rPr>
              <w:t>of</w:t>
            </w:r>
            <w:r w:rsidRPr="00020413">
              <w:rPr>
                <w:rFonts w:ascii="Times New Roman" w:eastAsia="Times New Roman" w:hAnsi="Times New Roman"/>
                <w:sz w:val="18"/>
                <w:szCs w:val="18"/>
                <w:lang w:eastAsia="en-GB"/>
              </w:rPr>
              <w:t xml:space="preserve"> Tanzania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Ethiopia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Nicaragua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8</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0.91</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Uruguay</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1.59</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Georgia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1.14</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Niger</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Uzbekistan</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0.57</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Ghana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1.14</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Oman</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11</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1.25</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Venezuela</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24</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2.73</w:t>
            </w:r>
          </w:p>
        </w:tc>
      </w:tr>
      <w:tr w:rsidR="00CE57DA" w:rsidRPr="00020413" w:rsidTr="002A0E84">
        <w:trPr>
          <w:trHeight w:val="238"/>
          <w:jc w:val="center"/>
        </w:trPr>
        <w:tc>
          <w:tcPr>
            <w:tcW w:w="1733"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Grenada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0.23</w:t>
            </w:r>
          </w:p>
        </w:tc>
        <w:tc>
          <w:tcPr>
            <w:tcW w:w="175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Panama</w:t>
            </w:r>
          </w:p>
        </w:tc>
        <w:tc>
          <w:tcPr>
            <w:tcW w:w="667"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25</w:t>
            </w:r>
          </w:p>
        </w:tc>
        <w:tc>
          <w:tcPr>
            <w:tcW w:w="1090"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2.84</w:t>
            </w:r>
          </w:p>
        </w:tc>
        <w:tc>
          <w:tcPr>
            <w:tcW w:w="2445"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Vietnam</w:t>
            </w:r>
          </w:p>
        </w:tc>
        <w:tc>
          <w:tcPr>
            <w:tcW w:w="709"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nil"/>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r>
      <w:tr w:rsidR="00CE57DA" w:rsidRPr="00020413" w:rsidTr="002A0E84">
        <w:trPr>
          <w:trHeight w:val="238"/>
          <w:jc w:val="center"/>
        </w:trPr>
        <w:tc>
          <w:tcPr>
            <w:tcW w:w="1733"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Guatemala</w:t>
            </w:r>
          </w:p>
        </w:tc>
        <w:tc>
          <w:tcPr>
            <w:tcW w:w="667"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22</w:t>
            </w:r>
          </w:p>
        </w:tc>
        <w:tc>
          <w:tcPr>
            <w:tcW w:w="1006"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2.5</w:t>
            </w:r>
          </w:p>
        </w:tc>
        <w:tc>
          <w:tcPr>
            <w:tcW w:w="1755"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Paraguay</w:t>
            </w:r>
          </w:p>
        </w:tc>
        <w:tc>
          <w:tcPr>
            <w:tcW w:w="667"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9</w:t>
            </w:r>
          </w:p>
        </w:tc>
        <w:tc>
          <w:tcPr>
            <w:tcW w:w="1090"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c>
          <w:tcPr>
            <w:tcW w:w="2445"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Zambia</w:t>
            </w:r>
          </w:p>
        </w:tc>
        <w:tc>
          <w:tcPr>
            <w:tcW w:w="709"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006" w:type="dxa"/>
            <w:tcBorders>
              <w:top w:val="nil"/>
              <w:left w:val="nil"/>
              <w:bottom w:val="single" w:sz="4" w:space="0" w:color="auto"/>
              <w:right w:val="nil"/>
            </w:tcBorders>
            <w:shd w:val="clear" w:color="auto" w:fill="auto"/>
            <w:noWrap/>
            <w:vAlign w:val="bottom"/>
            <w:hideMark/>
          </w:tcPr>
          <w:p w:rsidR="00CE57DA" w:rsidRPr="00020413" w:rsidRDefault="00CE57DA"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0.68</w:t>
            </w:r>
          </w:p>
        </w:tc>
      </w:tr>
    </w:tbl>
    <w:p w:rsidR="00CE57DA" w:rsidRPr="00020413" w:rsidRDefault="00CE57DA" w:rsidP="00CE57DA">
      <w:pPr>
        <w:rPr>
          <w:rFonts w:ascii="Times New Roman" w:hAnsi="Times New Roman"/>
          <w:sz w:val="18"/>
          <w:szCs w:val="18"/>
        </w:rPr>
      </w:pPr>
      <w:r w:rsidRPr="00020413">
        <w:rPr>
          <w:rFonts w:ascii="Times New Roman" w:hAnsi="Times New Roman"/>
          <w:sz w:val="18"/>
          <w:szCs w:val="18"/>
        </w:rPr>
        <w:t>This table shows the cross-sectional distribution of the sample.</w:t>
      </w:r>
    </w:p>
    <w:p w:rsidR="001B46EC" w:rsidRPr="00020413" w:rsidRDefault="001B46EC" w:rsidP="00216743">
      <w:pPr>
        <w:keepNext/>
        <w:widowControl w:val="0"/>
        <w:autoSpaceDE w:val="0"/>
        <w:autoSpaceDN w:val="0"/>
        <w:adjustRightInd w:val="0"/>
        <w:spacing w:after="0" w:line="240" w:lineRule="auto"/>
        <w:rPr>
          <w:rFonts w:ascii="Times New Roman" w:hAnsi="Times New Roman"/>
          <w:sz w:val="20"/>
          <w:szCs w:val="20"/>
        </w:rPr>
      </w:pPr>
    </w:p>
    <w:p w:rsidR="001B46EC" w:rsidRPr="00020413" w:rsidRDefault="001B46EC">
      <w:pPr>
        <w:spacing w:after="0" w:line="240" w:lineRule="auto"/>
        <w:rPr>
          <w:rFonts w:ascii="Times New Roman" w:hAnsi="Times New Roman"/>
          <w:sz w:val="20"/>
          <w:szCs w:val="20"/>
        </w:rPr>
      </w:pPr>
      <w:r w:rsidRPr="00020413">
        <w:rPr>
          <w:rFonts w:ascii="Times New Roman" w:hAnsi="Times New Roman"/>
          <w:sz w:val="20"/>
          <w:szCs w:val="20"/>
        </w:rPr>
        <w:br w:type="page"/>
      </w:r>
    </w:p>
    <w:p w:rsidR="001B46EC" w:rsidRPr="00020413" w:rsidRDefault="001B46EC" w:rsidP="00220566">
      <w:pPr>
        <w:spacing w:after="0"/>
        <w:ind w:left="-397"/>
        <w:rPr>
          <w:rFonts w:ascii="Times New Roman" w:hAnsi="Times New Roman"/>
          <w:b/>
          <w:sz w:val="18"/>
          <w:szCs w:val="18"/>
        </w:rPr>
      </w:pPr>
      <w:r w:rsidRPr="00020413">
        <w:rPr>
          <w:rFonts w:ascii="Times New Roman" w:hAnsi="Times New Roman"/>
          <w:b/>
          <w:sz w:val="18"/>
          <w:szCs w:val="18"/>
        </w:rPr>
        <w:lastRenderedPageBreak/>
        <w:t xml:space="preserve">Table </w:t>
      </w:r>
      <w:r w:rsidR="00C071FB" w:rsidRPr="00020413">
        <w:rPr>
          <w:rFonts w:ascii="Times New Roman" w:hAnsi="Times New Roman"/>
          <w:b/>
          <w:sz w:val="18"/>
          <w:szCs w:val="18"/>
        </w:rPr>
        <w:t>1</w:t>
      </w:r>
      <w:r w:rsidR="00DD4823" w:rsidRPr="00020413">
        <w:rPr>
          <w:rFonts w:ascii="Times New Roman" w:hAnsi="Times New Roman"/>
          <w:b/>
          <w:sz w:val="18"/>
          <w:szCs w:val="18"/>
        </w:rPr>
        <w:t>3</w:t>
      </w:r>
      <w:r w:rsidRPr="00020413">
        <w:rPr>
          <w:rFonts w:ascii="Times New Roman" w:hAnsi="Times New Roman"/>
          <w:b/>
          <w:sz w:val="18"/>
          <w:szCs w:val="18"/>
        </w:rPr>
        <w:t>: Cross-sectional loan default and depth of credit information (mean)</w:t>
      </w:r>
    </w:p>
    <w:tbl>
      <w:tblPr>
        <w:tblW w:w="10210" w:type="dxa"/>
        <w:jc w:val="center"/>
        <w:tblLook w:val="04A0" w:firstRow="1" w:lastRow="0" w:firstColumn="1" w:lastColumn="0" w:noHBand="0" w:noVBand="1"/>
      </w:tblPr>
      <w:tblGrid>
        <w:gridCol w:w="2089"/>
        <w:gridCol w:w="873"/>
        <w:gridCol w:w="656"/>
        <w:gridCol w:w="1776"/>
        <w:gridCol w:w="724"/>
        <w:gridCol w:w="724"/>
        <w:gridCol w:w="2397"/>
        <w:gridCol w:w="557"/>
        <w:gridCol w:w="724"/>
      </w:tblGrid>
      <w:tr w:rsidR="001B46EC" w:rsidRPr="00020413" w:rsidTr="00EF2A6F">
        <w:trPr>
          <w:trHeight w:val="257"/>
          <w:jc w:val="center"/>
        </w:trPr>
        <w:tc>
          <w:tcPr>
            <w:tcW w:w="2089"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873"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NPL</w:t>
            </w:r>
          </w:p>
        </w:tc>
        <w:tc>
          <w:tcPr>
            <w:tcW w:w="656"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Depth</w:t>
            </w:r>
          </w:p>
        </w:tc>
        <w:tc>
          <w:tcPr>
            <w:tcW w:w="1776"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724"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NPL</w:t>
            </w:r>
          </w:p>
        </w:tc>
        <w:tc>
          <w:tcPr>
            <w:tcW w:w="724"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Depth</w:t>
            </w:r>
          </w:p>
        </w:tc>
        <w:tc>
          <w:tcPr>
            <w:tcW w:w="2397"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Country</w:t>
            </w:r>
          </w:p>
        </w:tc>
        <w:tc>
          <w:tcPr>
            <w:tcW w:w="247"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NPL</w:t>
            </w:r>
          </w:p>
        </w:tc>
        <w:tc>
          <w:tcPr>
            <w:tcW w:w="724" w:type="dxa"/>
            <w:tcBorders>
              <w:top w:val="single" w:sz="4" w:space="0" w:color="auto"/>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Depth</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Albania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3.64</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Guyana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Peru</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Algeria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Haiti</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Philippines</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1.54</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Angola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Honduras</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5.58</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Qatar</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1.02</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Argentina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Hong Kong</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0.01</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Republic of Moldova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Armenia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4.43</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Jamaica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Romania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0.11</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4.53</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Azerbaijan</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2.75</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Jordan</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282DB5" w:rsidRPr="00020413">
              <w:rPr>
                <w:rFonts w:ascii="Times New Roman" w:eastAsia="Times New Roman" w:hAnsi="Times New Roman"/>
                <w:sz w:val="18"/>
                <w:szCs w:val="18"/>
                <w:lang w:eastAsia="en-GB"/>
              </w:rPr>
              <w:t>0</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Rwanda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0.15</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1.09</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Bahamas</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Kazakhstan</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4.3</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Saudi Arabia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4.91</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Bahrain</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Kenya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282DB5" w:rsidRPr="00020413">
              <w:rPr>
                <w:rFonts w:ascii="Times New Roman" w:eastAsia="Times New Roman" w:hAnsi="Times New Roman"/>
                <w:sz w:val="18"/>
                <w:szCs w:val="18"/>
                <w:lang w:eastAsia="en-GB"/>
              </w:rPr>
              <w:t>0</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Senegal</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Belarus</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0.17</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3.13</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Kuwait</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0.07</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4.75</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Serbia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4.03</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Benin</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Kyrgyzstan</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2.67</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Sierra Leone</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0.24</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Bolivia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5.57</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Latvia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Singapore</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3.32</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Bosnia and Herzegovina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4.88</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Lithuania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5.37</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South Africa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5.78</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Botswana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Macedonia (</w:t>
            </w:r>
            <w:proofErr w:type="spellStart"/>
            <w:r w:rsidRPr="00020413">
              <w:rPr>
                <w:rFonts w:ascii="Times New Roman" w:eastAsia="Times New Roman" w:hAnsi="Times New Roman"/>
                <w:sz w:val="18"/>
                <w:szCs w:val="18"/>
                <w:lang w:eastAsia="en-GB"/>
              </w:rPr>
              <w:t>Fyrom</w:t>
            </w:r>
            <w:proofErr w:type="spellEnd"/>
            <w:r w:rsidRPr="00020413">
              <w:rPr>
                <w:rFonts w:ascii="Times New Roman" w:eastAsia="Times New Roman" w:hAnsi="Times New Roman"/>
                <w:sz w:val="18"/>
                <w:szCs w:val="18"/>
                <w:lang w:eastAsia="en-GB"/>
              </w:rPr>
              <w:t>)</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2.63</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Swaziland</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Bulgaria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4.82</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Malawi</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Syrian Arab Republic</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0.08</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Cambodia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0.43</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Malaysia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5.39</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Tajikistan</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Colombia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Maldives</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1.45</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Thailand</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0.07</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4.95</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Costa Rica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4.7</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Mali</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0.11</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Togo</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Cote D'Ivoire</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Mauritius</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2.83</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Trinidad And Tobago</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3.75</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Croatia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3.1</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Mongolia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Tunisia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0.11</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3.06</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Cyprus</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Montenegro</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2.67</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Turkey</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4.88</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Dominican Republic</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5.98</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Morocco</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3.24</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Uganda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Ecuador</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5.14</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Mozambique</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Ukraine</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1.36</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Egypt</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3.6</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Namibia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4</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United Arab Emirates</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3.01</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El Salvador</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5.85</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Nepal</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United Republic of Tanzania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0.07</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Ethiopia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0.09</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Nicaragua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5.49</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Uruguay</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5.59</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Georgia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3.16</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Niger</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0.05</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Uzbekistan</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w:t>
            </w:r>
            <w:r w:rsidR="00EF2A6F" w:rsidRPr="00020413">
              <w:rPr>
                <w:rFonts w:ascii="Times New Roman" w:eastAsia="Times New Roman" w:hAnsi="Times New Roman"/>
                <w:sz w:val="18"/>
                <w:szCs w:val="18"/>
                <w:lang w:eastAsia="en-GB"/>
              </w:rPr>
              <w:t>0</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1.21</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Ghana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0.12</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0.79</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Oman</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0.06</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2.21</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Venezuela</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0.02</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1.85</w:t>
            </w:r>
          </w:p>
        </w:tc>
      </w:tr>
      <w:tr w:rsidR="001B46EC" w:rsidRPr="00020413" w:rsidTr="00EF2A6F">
        <w:trPr>
          <w:trHeight w:val="257"/>
          <w:jc w:val="center"/>
        </w:trPr>
        <w:tc>
          <w:tcPr>
            <w:tcW w:w="2089"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Grenada</w:t>
            </w:r>
          </w:p>
        </w:tc>
        <w:tc>
          <w:tcPr>
            <w:tcW w:w="873"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65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w:t>
            </w:r>
          </w:p>
        </w:tc>
        <w:tc>
          <w:tcPr>
            <w:tcW w:w="1776"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Panama</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0.01</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239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Vietnam</w:t>
            </w:r>
          </w:p>
        </w:tc>
        <w:tc>
          <w:tcPr>
            <w:tcW w:w="247"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0.03</w:t>
            </w:r>
          </w:p>
        </w:tc>
        <w:tc>
          <w:tcPr>
            <w:tcW w:w="724" w:type="dxa"/>
            <w:tcBorders>
              <w:top w:val="nil"/>
              <w:left w:val="nil"/>
              <w:bottom w:val="nil"/>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3.29</w:t>
            </w:r>
          </w:p>
        </w:tc>
      </w:tr>
      <w:tr w:rsidR="001B46EC" w:rsidRPr="00020413" w:rsidTr="00EF2A6F">
        <w:trPr>
          <w:trHeight w:val="257"/>
          <w:jc w:val="center"/>
        </w:trPr>
        <w:tc>
          <w:tcPr>
            <w:tcW w:w="2089"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Guatemala</w:t>
            </w:r>
          </w:p>
        </w:tc>
        <w:tc>
          <w:tcPr>
            <w:tcW w:w="873"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656"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5.5</w:t>
            </w:r>
          </w:p>
        </w:tc>
        <w:tc>
          <w:tcPr>
            <w:tcW w:w="1776"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Paraguay</w:t>
            </w:r>
          </w:p>
        </w:tc>
        <w:tc>
          <w:tcPr>
            <w:tcW w:w="724"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0.01</w:t>
            </w:r>
          </w:p>
        </w:tc>
        <w:tc>
          <w:tcPr>
            <w:tcW w:w="724"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6</w:t>
            </w:r>
          </w:p>
        </w:tc>
        <w:tc>
          <w:tcPr>
            <w:tcW w:w="2397"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Zambia</w:t>
            </w:r>
          </w:p>
        </w:tc>
        <w:tc>
          <w:tcPr>
            <w:tcW w:w="247"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0.04</w:t>
            </w:r>
          </w:p>
        </w:tc>
        <w:tc>
          <w:tcPr>
            <w:tcW w:w="724" w:type="dxa"/>
            <w:tcBorders>
              <w:top w:val="nil"/>
              <w:left w:val="nil"/>
              <w:bottom w:val="single" w:sz="4" w:space="0" w:color="auto"/>
              <w:right w:val="nil"/>
            </w:tcBorders>
            <w:shd w:val="clear" w:color="auto" w:fill="auto"/>
            <w:noWrap/>
            <w:vAlign w:val="bottom"/>
            <w:hideMark/>
          </w:tcPr>
          <w:p w:rsidR="001B46EC" w:rsidRPr="00020413" w:rsidRDefault="001B46EC" w:rsidP="000F3A57">
            <w:pPr>
              <w:spacing w:after="0" w:line="240" w:lineRule="auto"/>
              <w:jc w:val="right"/>
              <w:rPr>
                <w:rFonts w:ascii="Times New Roman" w:eastAsia="Times New Roman" w:hAnsi="Times New Roman"/>
                <w:sz w:val="18"/>
                <w:szCs w:val="18"/>
                <w:lang w:eastAsia="en-GB"/>
              </w:rPr>
            </w:pPr>
            <w:r w:rsidRPr="00020413">
              <w:rPr>
                <w:rFonts w:ascii="Times New Roman" w:eastAsia="Times New Roman" w:hAnsi="Times New Roman"/>
                <w:sz w:val="18"/>
                <w:szCs w:val="18"/>
                <w:lang w:eastAsia="en-GB"/>
              </w:rPr>
              <w:t>0.6</w:t>
            </w:r>
            <w:r w:rsidR="00282DB5" w:rsidRPr="00020413">
              <w:rPr>
                <w:rFonts w:ascii="Times New Roman" w:eastAsia="Times New Roman" w:hAnsi="Times New Roman"/>
                <w:sz w:val="18"/>
                <w:szCs w:val="18"/>
                <w:lang w:eastAsia="en-GB"/>
              </w:rPr>
              <w:t>0</w:t>
            </w:r>
          </w:p>
        </w:tc>
      </w:tr>
    </w:tbl>
    <w:p w:rsidR="001B46EC" w:rsidRPr="009E2394" w:rsidRDefault="001B46EC" w:rsidP="000D553B">
      <w:pPr>
        <w:ind w:left="-624"/>
        <w:rPr>
          <w:rFonts w:ascii="Times New Roman" w:hAnsi="Times New Roman"/>
          <w:sz w:val="18"/>
          <w:szCs w:val="18"/>
        </w:rPr>
      </w:pPr>
      <w:r w:rsidRPr="00020413">
        <w:rPr>
          <w:rFonts w:ascii="Times New Roman" w:hAnsi="Times New Roman"/>
          <w:sz w:val="18"/>
          <w:szCs w:val="18"/>
        </w:rPr>
        <w:t>This table shows the cross-sectional mean loan default and depth of information sharing index.</w:t>
      </w:r>
    </w:p>
    <w:p w:rsidR="001B46EC" w:rsidRPr="009E2394" w:rsidRDefault="001B46EC" w:rsidP="001B46EC">
      <w:pPr>
        <w:rPr>
          <w:rFonts w:ascii="Times New Roman" w:hAnsi="Times New Roman"/>
          <w:sz w:val="18"/>
          <w:szCs w:val="18"/>
        </w:rPr>
      </w:pPr>
    </w:p>
    <w:p w:rsidR="009B36F6" w:rsidRPr="009E2394" w:rsidRDefault="009B36F6" w:rsidP="00216743">
      <w:pPr>
        <w:keepNext/>
        <w:widowControl w:val="0"/>
        <w:autoSpaceDE w:val="0"/>
        <w:autoSpaceDN w:val="0"/>
        <w:adjustRightInd w:val="0"/>
        <w:spacing w:after="0" w:line="240" w:lineRule="auto"/>
        <w:rPr>
          <w:rFonts w:ascii="Times New Roman" w:hAnsi="Times New Roman"/>
          <w:sz w:val="20"/>
          <w:szCs w:val="20"/>
        </w:rPr>
      </w:pPr>
    </w:p>
    <w:sectPr w:rsidR="009B36F6" w:rsidRPr="009E2394" w:rsidSect="00D13E6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DC1" w:rsidRDefault="00421DC1" w:rsidP="00A651BC">
      <w:pPr>
        <w:spacing w:after="0" w:line="240" w:lineRule="auto"/>
      </w:pPr>
      <w:r>
        <w:separator/>
      </w:r>
    </w:p>
  </w:endnote>
  <w:endnote w:type="continuationSeparator" w:id="0">
    <w:p w:rsidR="00421DC1" w:rsidRDefault="00421DC1" w:rsidP="00A6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dvEPSTIM">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72" w:rsidRDefault="00091972">
    <w:pPr>
      <w:pStyle w:val="Footer"/>
      <w:jc w:val="center"/>
    </w:pPr>
    <w:r>
      <w:fldChar w:fldCharType="begin"/>
    </w:r>
    <w:r>
      <w:instrText xml:space="preserve"> PAGE   \* MERGEFORMAT </w:instrText>
    </w:r>
    <w:r>
      <w:fldChar w:fldCharType="separate"/>
    </w:r>
    <w:r>
      <w:rPr>
        <w:noProof/>
      </w:rPr>
      <w:t>37</w:t>
    </w:r>
    <w:r>
      <w:rPr>
        <w:noProof/>
      </w:rPr>
      <w:fldChar w:fldCharType="end"/>
    </w:r>
  </w:p>
  <w:p w:rsidR="00091972" w:rsidRDefault="00091972" w:rsidP="00C9343F">
    <w:pPr>
      <w:pStyle w:val="Footer"/>
      <w:jc w:val="right"/>
    </w:pPr>
  </w:p>
  <w:p w:rsidR="00091972" w:rsidRDefault="00091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DC1" w:rsidRDefault="00421DC1" w:rsidP="00A651BC">
      <w:pPr>
        <w:spacing w:after="0" w:line="240" w:lineRule="auto"/>
      </w:pPr>
      <w:r>
        <w:separator/>
      </w:r>
    </w:p>
  </w:footnote>
  <w:footnote w:type="continuationSeparator" w:id="0">
    <w:p w:rsidR="00421DC1" w:rsidRDefault="00421DC1" w:rsidP="00A651BC">
      <w:pPr>
        <w:spacing w:after="0" w:line="240" w:lineRule="auto"/>
      </w:pPr>
      <w:r>
        <w:continuationSeparator/>
      </w:r>
    </w:p>
  </w:footnote>
  <w:footnote w:id="1">
    <w:p w:rsidR="00091972" w:rsidRDefault="00091972" w:rsidP="00091972">
      <w:pPr>
        <w:pStyle w:val="FootnoteText"/>
        <w:rPr>
          <w:rFonts w:ascii="Times New Roman" w:hAnsi="Times New Roman"/>
          <w:sz w:val="18"/>
          <w:szCs w:val="18"/>
          <w:lang w:val="en-US"/>
        </w:rPr>
      </w:pPr>
      <w:r>
        <w:rPr>
          <w:rStyle w:val="FootnoteReference"/>
          <w:rFonts w:ascii="Times New Roman" w:hAnsi="Times New Roman"/>
          <w:sz w:val="18"/>
          <w:szCs w:val="18"/>
        </w:rPr>
        <w:t>1</w:t>
      </w:r>
      <w:r>
        <w:rPr>
          <w:rFonts w:ascii="Times New Roman" w:hAnsi="Times New Roman"/>
          <w:sz w:val="18"/>
          <w:szCs w:val="18"/>
        </w:rPr>
        <w:t xml:space="preserve"> Leicester Castle Business School, </w:t>
      </w:r>
      <w:r>
        <w:rPr>
          <w:rFonts w:ascii="Times New Roman" w:hAnsi="Times New Roman"/>
          <w:sz w:val="18"/>
          <w:szCs w:val="18"/>
          <w:lang w:val="en-US"/>
        </w:rPr>
        <w:t>De Montfort University, Leicester, UK</w:t>
      </w:r>
      <w:r w:rsidR="00386293">
        <w:rPr>
          <w:rFonts w:ascii="Times New Roman" w:hAnsi="Times New Roman"/>
          <w:sz w:val="18"/>
          <w:szCs w:val="18"/>
          <w:lang w:val="en-US"/>
        </w:rPr>
        <w:t>.</w:t>
      </w:r>
    </w:p>
    <w:p w:rsidR="00091972" w:rsidRDefault="00091972" w:rsidP="00091972">
      <w:pPr>
        <w:spacing w:after="0" w:line="240" w:lineRule="auto"/>
        <w:ind w:right="562"/>
        <w:rPr>
          <w:rFonts w:ascii="Times New Roman" w:hAnsi="Times New Roman"/>
          <w:sz w:val="18"/>
          <w:szCs w:val="18"/>
          <w:shd w:val="clear" w:color="auto" w:fill="FFFFFF"/>
        </w:rPr>
      </w:pPr>
      <w:r>
        <w:rPr>
          <w:rFonts w:ascii="Times New Roman" w:hAnsi="Times New Roman"/>
          <w:sz w:val="16"/>
          <w:szCs w:val="18"/>
          <w:lang w:val="en-US"/>
        </w:rPr>
        <w:t xml:space="preserve">2 </w:t>
      </w:r>
      <w:r>
        <w:rPr>
          <w:rFonts w:ascii="Times New Roman" w:hAnsi="Times New Roman"/>
          <w:sz w:val="18"/>
          <w:szCs w:val="18"/>
        </w:rPr>
        <w:t>University of York Management School, York,</w:t>
      </w:r>
      <w:r>
        <w:rPr>
          <w:rFonts w:ascii="Times New Roman" w:hAnsi="Times New Roman"/>
          <w:sz w:val="18"/>
          <w:szCs w:val="18"/>
          <w:shd w:val="clear" w:color="auto" w:fill="FFFFFF"/>
        </w:rPr>
        <w:t xml:space="preserve"> YO10 5GD, UK</w:t>
      </w:r>
      <w:r w:rsidR="00386293">
        <w:rPr>
          <w:rFonts w:ascii="Times New Roman" w:hAnsi="Times New Roman"/>
          <w:sz w:val="18"/>
          <w:szCs w:val="18"/>
          <w:shd w:val="clear" w:color="auto" w:fill="FFFFFF"/>
        </w:rPr>
        <w:t>.</w:t>
      </w:r>
    </w:p>
    <w:p w:rsidR="00091972" w:rsidRDefault="00091972" w:rsidP="00091972">
      <w:pPr>
        <w:spacing w:after="0" w:line="240" w:lineRule="auto"/>
        <w:ind w:right="562"/>
        <w:rPr>
          <w:rFonts w:ascii="Times New Roman" w:hAnsi="Times New Roman"/>
          <w:sz w:val="18"/>
          <w:szCs w:val="18"/>
          <w:shd w:val="clear" w:color="auto" w:fill="FFFFFF"/>
        </w:rPr>
      </w:pPr>
      <w:r>
        <w:rPr>
          <w:rFonts w:ascii="Times New Roman" w:hAnsi="Times New Roman"/>
          <w:sz w:val="16"/>
          <w:szCs w:val="18"/>
          <w:lang w:val="en-US"/>
        </w:rPr>
        <w:t xml:space="preserve">3 </w:t>
      </w:r>
      <w:r w:rsidR="00386293" w:rsidRPr="00386293">
        <w:rPr>
          <w:rFonts w:ascii="Times New Roman" w:hAnsi="Times New Roman"/>
          <w:sz w:val="18"/>
          <w:szCs w:val="18"/>
          <w:lang w:val="en-US"/>
        </w:rPr>
        <w:t xml:space="preserve">Centre for Research in Accounting, Accountability and Governance, Department of Accounting, Southampton Business School, </w:t>
      </w:r>
      <w:r w:rsidRPr="00386293">
        <w:rPr>
          <w:rFonts w:ascii="Times New Roman" w:hAnsi="Times New Roman"/>
          <w:sz w:val="18"/>
          <w:szCs w:val="18"/>
        </w:rPr>
        <w:t>University of Southampton, Southampton,</w:t>
      </w:r>
      <w:r w:rsidRPr="00386293">
        <w:rPr>
          <w:rFonts w:ascii="Times New Roman" w:hAnsi="Times New Roman"/>
          <w:sz w:val="18"/>
          <w:szCs w:val="18"/>
          <w:shd w:val="clear" w:color="auto" w:fill="FFFFFF"/>
        </w:rPr>
        <w:t xml:space="preserve"> SO17 1</w:t>
      </w:r>
      <w:r w:rsidR="00386293" w:rsidRPr="00386293">
        <w:rPr>
          <w:rFonts w:ascii="Times New Roman" w:hAnsi="Times New Roman"/>
          <w:sz w:val="18"/>
          <w:szCs w:val="18"/>
          <w:shd w:val="clear" w:color="auto" w:fill="FFFFFF"/>
        </w:rPr>
        <w:t>BJ</w:t>
      </w:r>
      <w:r w:rsidRPr="00386293">
        <w:rPr>
          <w:rFonts w:ascii="Times New Roman" w:hAnsi="Times New Roman"/>
          <w:sz w:val="18"/>
          <w:szCs w:val="18"/>
          <w:shd w:val="clear" w:color="auto" w:fill="FFFFFF"/>
        </w:rPr>
        <w:t>, UK</w:t>
      </w:r>
      <w:r w:rsidR="00386293">
        <w:rPr>
          <w:rFonts w:ascii="Times New Roman" w:hAnsi="Times New Roman"/>
          <w:sz w:val="18"/>
          <w:szCs w:val="18"/>
          <w:shd w:val="clear" w:color="auto" w:fill="FFFFFF"/>
        </w:rPr>
        <w:t>.</w:t>
      </w:r>
    </w:p>
    <w:p w:rsidR="00091972" w:rsidRDefault="00091972" w:rsidP="00091972">
      <w:pPr>
        <w:spacing w:after="0" w:line="240" w:lineRule="auto"/>
        <w:ind w:right="562"/>
        <w:rPr>
          <w:rFonts w:ascii="Times New Roman" w:hAnsi="Times New Roman"/>
          <w:sz w:val="18"/>
          <w:szCs w:val="18"/>
          <w:shd w:val="clear" w:color="auto" w:fill="FFFFFF"/>
        </w:rPr>
      </w:pPr>
      <w:r>
        <w:rPr>
          <w:rFonts w:ascii="Times New Roman" w:hAnsi="Times New Roman"/>
          <w:sz w:val="16"/>
          <w:szCs w:val="18"/>
          <w:lang w:val="en-US"/>
        </w:rPr>
        <w:t xml:space="preserve">4 </w:t>
      </w:r>
      <w:r>
        <w:rPr>
          <w:rFonts w:ascii="Times New Roman" w:hAnsi="Times New Roman"/>
          <w:sz w:val="18"/>
          <w:szCs w:val="18"/>
        </w:rPr>
        <w:t xml:space="preserve">Nottingham University Business School, Nottingham, </w:t>
      </w:r>
      <w:r>
        <w:rPr>
          <w:rFonts w:ascii="Times New Roman" w:hAnsi="Times New Roman"/>
          <w:sz w:val="18"/>
          <w:szCs w:val="18"/>
          <w:shd w:val="clear" w:color="auto" w:fill="FFFFFF"/>
        </w:rPr>
        <w:t>NG8 1BB, UK and James Cook University, Singapore.</w:t>
      </w:r>
    </w:p>
    <w:p w:rsidR="00091972" w:rsidRDefault="00091972" w:rsidP="00091972">
      <w:pPr>
        <w:pStyle w:val="FootnoteText"/>
        <w:rPr>
          <w:rFonts w:ascii="Times New Roman" w:hAnsi="Times New Roman"/>
          <w:sz w:val="18"/>
          <w:szCs w:val="18"/>
          <w:lang w:val="en-US"/>
        </w:rPr>
      </w:pPr>
    </w:p>
  </w:footnote>
  <w:footnote w:id="2">
    <w:p w:rsidR="00091972" w:rsidRPr="007C1638" w:rsidRDefault="00091972">
      <w:pPr>
        <w:pStyle w:val="FootnoteText"/>
        <w:rPr>
          <w:rFonts w:ascii="Times New Roman" w:hAnsi="Times New Roman"/>
        </w:rPr>
      </w:pPr>
      <w:r w:rsidRPr="007C1638">
        <w:rPr>
          <w:rStyle w:val="FootnoteReference"/>
          <w:rFonts w:ascii="Times New Roman" w:hAnsi="Times New Roman"/>
        </w:rPr>
        <w:footnoteRef/>
      </w:r>
      <w:r w:rsidRPr="007C1638">
        <w:rPr>
          <w:rFonts w:ascii="Times New Roman" w:hAnsi="Times New Roman"/>
        </w:rPr>
        <w:t xml:space="preserve">These statistics are based on our own computations using the relevant World Bank </w:t>
      </w:r>
      <w:r>
        <w:rPr>
          <w:rFonts w:ascii="Times New Roman" w:hAnsi="Times New Roman"/>
        </w:rPr>
        <w:t xml:space="preserve">Doing Business (2016) </w:t>
      </w:r>
      <w:r w:rsidRPr="007C1638">
        <w:rPr>
          <w:rFonts w:ascii="Times New Roman" w:hAnsi="Times New Roman"/>
        </w:rPr>
        <w:t>data for our sample</w:t>
      </w:r>
      <w:r>
        <w:rPr>
          <w:rFonts w:ascii="Times New Roman" w:hAnsi="Times New Roman"/>
        </w:rPr>
        <w:t>d</w:t>
      </w:r>
      <w:r w:rsidRPr="007C1638">
        <w:rPr>
          <w:rFonts w:ascii="Times New Roman" w:hAnsi="Times New Roman"/>
        </w:rPr>
        <w:t xml:space="preserve"> countries </w:t>
      </w:r>
      <w:r>
        <w:rPr>
          <w:rFonts w:ascii="Times New Roman" w:hAnsi="Times New Roman"/>
        </w:rPr>
        <w:t>over the</w:t>
      </w:r>
      <w:r w:rsidRPr="007C1638">
        <w:rPr>
          <w:rFonts w:ascii="Times New Roman" w:hAnsi="Times New Roman"/>
        </w:rPr>
        <w:t xml:space="preserve"> period</w:t>
      </w:r>
      <w:r>
        <w:rPr>
          <w:rFonts w:ascii="Times New Roman" w:hAnsi="Times New Roman"/>
        </w:rPr>
        <w:t xml:space="preserve"> of investigation</w:t>
      </w:r>
      <w:r w:rsidRPr="007C1638">
        <w:rPr>
          <w:rFonts w:ascii="Times New Roman" w:hAnsi="Times New Roman"/>
        </w:rPr>
        <w:t xml:space="preserve">. </w:t>
      </w:r>
    </w:p>
  </w:footnote>
  <w:footnote w:id="3">
    <w:p w:rsidR="00091972" w:rsidRPr="00593AB3" w:rsidRDefault="00091972">
      <w:pPr>
        <w:pStyle w:val="FootnoteText"/>
        <w:rPr>
          <w:rFonts w:ascii="Times New Roman" w:hAnsi="Times New Roman"/>
        </w:rPr>
      </w:pPr>
      <w:r w:rsidRPr="009E2394">
        <w:rPr>
          <w:rStyle w:val="FootnoteReference"/>
          <w:rFonts w:ascii="Times New Roman" w:hAnsi="Times New Roman"/>
        </w:rPr>
        <w:footnoteRef/>
      </w:r>
      <w:r w:rsidRPr="009E2394">
        <w:rPr>
          <w:rFonts w:ascii="Times New Roman" w:hAnsi="Times New Roman"/>
        </w:rPr>
        <w:t>We are grateful to an anonymous reviewer for suggesting this argument.</w:t>
      </w:r>
    </w:p>
  </w:footnote>
  <w:footnote w:id="4">
    <w:p w:rsidR="00091972" w:rsidRPr="00111938" w:rsidRDefault="00091972" w:rsidP="004E1831">
      <w:pPr>
        <w:pStyle w:val="FootnoteText"/>
        <w:jc w:val="both"/>
        <w:rPr>
          <w:rFonts w:ascii="Times New Roman" w:hAnsi="Times New Roman"/>
        </w:rPr>
      </w:pPr>
      <w:r w:rsidRPr="00111938">
        <w:rPr>
          <w:rStyle w:val="FootnoteReference"/>
          <w:rFonts w:ascii="Times New Roman" w:hAnsi="Times New Roman"/>
        </w:rPr>
        <w:footnoteRef/>
      </w:r>
      <w:r w:rsidRPr="00111938">
        <w:rPr>
          <w:rFonts w:ascii="Times New Roman" w:hAnsi="Times New Roman"/>
          <w:lang w:val="en-US"/>
        </w:rPr>
        <w:t xml:space="preserve">Our sample period starts from 2004 because the World Bank Doing Business (WBDB) database on credit information sharing starts from 2004. There was a methodological change in the construction of the credit information sharing index in 2012. The index, therefore, now ranged from 0 to 8 instead of 0 to 6. To avoid the potential confounding effects of this methodological change, as well as to be consistent with prior studies (e.g. </w:t>
      </w:r>
      <w:bookmarkStart w:id="4" w:name="_Hlk535465112"/>
      <w:r w:rsidRPr="00111938">
        <w:rPr>
          <w:rFonts w:ascii="Times New Roman" w:hAnsi="Times New Roman"/>
          <w:lang w:val="en-US"/>
        </w:rPr>
        <w:t xml:space="preserve">Kalyvas and </w:t>
      </w:r>
      <w:proofErr w:type="spellStart"/>
      <w:r w:rsidRPr="00111938">
        <w:rPr>
          <w:rFonts w:ascii="Times New Roman" w:hAnsi="Times New Roman"/>
          <w:lang w:val="en-US"/>
        </w:rPr>
        <w:t>Mamatzakis</w:t>
      </w:r>
      <w:proofErr w:type="spellEnd"/>
      <w:r w:rsidRPr="00111938">
        <w:rPr>
          <w:rFonts w:ascii="Times New Roman" w:hAnsi="Times New Roman"/>
          <w:lang w:val="en-US"/>
        </w:rPr>
        <w:t>, 2017</w:t>
      </w:r>
      <w:bookmarkEnd w:id="4"/>
      <w:r w:rsidRPr="00111938">
        <w:rPr>
          <w:rFonts w:ascii="Times New Roman" w:hAnsi="Times New Roman"/>
          <w:lang w:val="en-US"/>
        </w:rPr>
        <w:t xml:space="preserve">), we decided to employ 2012 as our cut-off period. </w:t>
      </w:r>
      <w:r w:rsidRPr="00111938">
        <w:rPr>
          <w:rFonts w:ascii="Times New Roman" w:hAnsi="Times New Roman"/>
        </w:rPr>
        <w:t>We also note that our sample period covers the period of the recent global financial crisis (2007-2009) which affected the level of bank loans and default rates. In unreported robustness analysis, which excludes the crisis period, our main results reported in this study and the conclusions drawn from them are not affected. These results are available upon request.</w:t>
      </w:r>
    </w:p>
  </w:footnote>
  <w:footnote w:id="5">
    <w:p w:rsidR="00091972" w:rsidRPr="00111938" w:rsidRDefault="00091972" w:rsidP="006577F4">
      <w:pPr>
        <w:pStyle w:val="FootnoteText"/>
        <w:jc w:val="both"/>
        <w:rPr>
          <w:rFonts w:ascii="Times New Roman" w:hAnsi="Times New Roman"/>
        </w:rPr>
      </w:pPr>
      <w:r w:rsidRPr="00111938">
        <w:rPr>
          <w:rStyle w:val="FootnoteReference"/>
          <w:rFonts w:ascii="Times New Roman" w:hAnsi="Times New Roman"/>
        </w:rPr>
        <w:footnoteRef/>
      </w:r>
      <w:r w:rsidRPr="00111938">
        <w:rPr>
          <w:rFonts w:ascii="Times New Roman" w:hAnsi="Times New Roman"/>
        </w:rPr>
        <w:t>We define developing countries based on United Nation’s Country Classifications contained in the World Economic Situation and Prospects. See links for the UN reports containing list of countries in 2014 (p.146) and 2018 (p.142):</w:t>
      </w:r>
    </w:p>
    <w:p w:rsidR="00091972" w:rsidRPr="00111938" w:rsidRDefault="00386293" w:rsidP="006577F4">
      <w:pPr>
        <w:pStyle w:val="FootnoteText"/>
        <w:jc w:val="both"/>
        <w:rPr>
          <w:rFonts w:ascii="Times New Roman" w:hAnsi="Times New Roman"/>
        </w:rPr>
      </w:pPr>
      <w:hyperlink r:id="rId1" w:history="1">
        <w:r w:rsidR="00091972" w:rsidRPr="00111938">
          <w:rPr>
            <w:rStyle w:val="Hyperlink"/>
            <w:rFonts w:ascii="Times New Roman" w:hAnsi="Times New Roman"/>
            <w:i/>
          </w:rPr>
          <w:t>http://www.un.org/en/development/desa/policy/wesp/wesp_current/2014wesp_country_classification.pdf</w:t>
        </w:r>
      </w:hyperlink>
    </w:p>
    <w:p w:rsidR="00091972" w:rsidRPr="00111938" w:rsidRDefault="00386293" w:rsidP="006577F4">
      <w:pPr>
        <w:pStyle w:val="FootnoteText"/>
        <w:jc w:val="both"/>
        <w:rPr>
          <w:rFonts w:ascii="Times New Roman" w:hAnsi="Times New Roman"/>
          <w:i/>
        </w:rPr>
      </w:pPr>
      <w:hyperlink r:id="rId2" w:history="1">
        <w:r w:rsidR="00091972" w:rsidRPr="00111938">
          <w:rPr>
            <w:rStyle w:val="Hyperlink"/>
            <w:rFonts w:ascii="Times New Roman" w:hAnsi="Times New Roman"/>
            <w:i/>
          </w:rPr>
          <w:t>https://www.un.org/development/desa/dpad/wp-content/uploads/sites/45/publication/WESP2018_Full_Web-1.pdf</w:t>
        </w:r>
      </w:hyperlink>
      <w:r w:rsidR="00091972" w:rsidRPr="00111938">
        <w:rPr>
          <w:rFonts w:ascii="Times New Roman" w:hAnsi="Times New Roman"/>
          <w:i/>
        </w:rPr>
        <w:t xml:space="preserve"> </w:t>
      </w:r>
    </w:p>
    <w:p w:rsidR="00091972" w:rsidRPr="00042C3B" w:rsidRDefault="00091972" w:rsidP="006577F4">
      <w:pPr>
        <w:pStyle w:val="FootnoteText"/>
        <w:jc w:val="both"/>
        <w:rPr>
          <w:rFonts w:ascii="Times New Roman" w:hAnsi="Times New Roman"/>
        </w:rPr>
      </w:pPr>
      <w:r w:rsidRPr="00111938">
        <w:rPr>
          <w:rFonts w:ascii="Times New Roman" w:hAnsi="Times New Roman"/>
        </w:rPr>
        <w:t xml:space="preserve">Although China and India are classed as developing countries, they are excluded from our sample because they do not have country-level credit information sharing indexes. Rather, these countries have city-level credit information sharing indexes. In </w:t>
      </w:r>
      <w:proofErr w:type="spellStart"/>
      <w:r w:rsidRPr="00111938">
        <w:rPr>
          <w:rFonts w:ascii="Times New Roman" w:hAnsi="Times New Roman"/>
        </w:rPr>
        <w:t>untabulated</w:t>
      </w:r>
      <w:proofErr w:type="spellEnd"/>
      <w:r w:rsidRPr="00111938">
        <w:rPr>
          <w:rFonts w:ascii="Times New Roman" w:hAnsi="Times New Roman"/>
        </w:rPr>
        <w:t xml:space="preserve"> analyses, which include the city-level indexes for Shanghai (China) and Mumbai (India), </w:t>
      </w:r>
      <w:r>
        <w:rPr>
          <w:rFonts w:ascii="Times New Roman" w:hAnsi="Times New Roman"/>
        </w:rPr>
        <w:t xml:space="preserve">with </w:t>
      </w:r>
      <w:r w:rsidRPr="00111938">
        <w:rPr>
          <w:rFonts w:ascii="Times New Roman" w:hAnsi="Times New Roman"/>
        </w:rPr>
        <w:t>our main conclusions remain</w:t>
      </w:r>
      <w:r>
        <w:rPr>
          <w:rFonts w:ascii="Times New Roman" w:hAnsi="Times New Roman"/>
        </w:rPr>
        <w:t>ing</w:t>
      </w:r>
      <w:r w:rsidRPr="00111938">
        <w:rPr>
          <w:rFonts w:ascii="Times New Roman" w:hAnsi="Times New Roman"/>
        </w:rPr>
        <w:t xml:space="preserve"> unchanged.</w:t>
      </w:r>
    </w:p>
    <w:p w:rsidR="00091972" w:rsidRDefault="00091972">
      <w:pPr>
        <w:pStyle w:val="FootnoteText"/>
      </w:pPr>
      <w:r>
        <w:t xml:space="preserve"> </w:t>
      </w:r>
    </w:p>
  </w:footnote>
  <w:footnote w:id="6">
    <w:p w:rsidR="00091972" w:rsidRPr="00045F5D" w:rsidRDefault="00091972" w:rsidP="006577F4">
      <w:pPr>
        <w:pStyle w:val="FootnoteText"/>
        <w:jc w:val="both"/>
        <w:rPr>
          <w:rFonts w:ascii="Times New Roman" w:hAnsi="Times New Roman"/>
        </w:rPr>
      </w:pPr>
      <w:r w:rsidRPr="00111938">
        <w:rPr>
          <w:rStyle w:val="FootnoteReference"/>
          <w:rFonts w:ascii="Times New Roman" w:hAnsi="Times New Roman"/>
        </w:rPr>
        <w:footnoteRef/>
      </w:r>
      <w:r w:rsidRPr="00111938">
        <w:rPr>
          <w:rFonts w:ascii="Times New Roman" w:hAnsi="Times New Roman"/>
        </w:rPr>
        <w:t>A more detailed description of the information sharing measures can be found at World Bank, Doing Business project (</w:t>
      </w:r>
      <w:hyperlink r:id="rId3" w:history="1">
        <w:r w:rsidRPr="00111938">
          <w:rPr>
            <w:rStyle w:val="Hyperlink"/>
            <w:rFonts w:ascii="Times New Roman" w:hAnsi="Times New Roman"/>
          </w:rPr>
          <w:t>http://www.doingbusiness.org/</w:t>
        </w:r>
      </w:hyperlink>
      <w:r w:rsidRPr="00111938">
        <w:rPr>
          <w:rFonts w:ascii="Times New Roman" w:hAnsi="Times New Roman"/>
        </w:rPr>
        <w:t>).</w:t>
      </w:r>
    </w:p>
    <w:p w:rsidR="00091972" w:rsidRDefault="00091972">
      <w:pPr>
        <w:pStyle w:val="FootnoteText"/>
      </w:pPr>
    </w:p>
  </w:footnote>
  <w:footnote w:id="7">
    <w:p w:rsidR="00091972" w:rsidRPr="00B17D6F" w:rsidRDefault="00091972" w:rsidP="00A858A3">
      <w:pPr>
        <w:pStyle w:val="FootnoteText"/>
        <w:jc w:val="both"/>
        <w:rPr>
          <w:rFonts w:ascii="Times New Roman" w:hAnsi="Times New Roman"/>
        </w:rPr>
      </w:pPr>
      <w:r w:rsidRPr="0066105C">
        <w:rPr>
          <w:rStyle w:val="FootnoteReference"/>
          <w:rFonts w:ascii="Times New Roman" w:hAnsi="Times New Roman"/>
        </w:rPr>
        <w:footnoteRef/>
      </w:r>
      <w:r w:rsidRPr="0066105C">
        <w:rPr>
          <w:rFonts w:ascii="Times New Roman" w:hAnsi="Times New Roman"/>
        </w:rPr>
        <w:t xml:space="preserve">The list of countries showing major improvements in information sharing include: </w:t>
      </w:r>
      <w:r w:rsidRPr="0066105C">
        <w:rPr>
          <w:rFonts w:ascii="Times New Roman" w:hAnsi="Times New Roman"/>
          <w:i/>
        </w:rPr>
        <w:t>Costa Rica, Croatia, Kazakhstan, Lithuania, Macedonia (</w:t>
      </w:r>
      <w:proofErr w:type="spellStart"/>
      <w:r w:rsidRPr="0066105C">
        <w:rPr>
          <w:rFonts w:ascii="Times New Roman" w:hAnsi="Times New Roman"/>
          <w:i/>
        </w:rPr>
        <w:t>Fyrom</w:t>
      </w:r>
      <w:proofErr w:type="spellEnd"/>
      <w:r w:rsidRPr="0066105C">
        <w:rPr>
          <w:rFonts w:ascii="Times New Roman" w:hAnsi="Times New Roman"/>
          <w:i/>
        </w:rPr>
        <w:t>), Mauritius, Mongolia, Oman, Romania, Saudi Arabia, Serbia,</w:t>
      </w:r>
      <w:r w:rsidRPr="0066105C">
        <w:rPr>
          <w:rFonts w:ascii="Times New Roman" w:hAnsi="Times New Roman"/>
        </w:rPr>
        <w:t xml:space="preserve"> </w:t>
      </w:r>
      <w:r w:rsidRPr="0066105C">
        <w:rPr>
          <w:rFonts w:ascii="Times New Roman" w:hAnsi="Times New Roman"/>
          <w:b/>
        </w:rPr>
        <w:t>Albania, Armenia, Azerbaijan, Belarus, Egypt, Georgia, Ghana, Latvia, Morocco, Rwanda, United Arab Emirates, Zambia</w:t>
      </w:r>
      <w:r w:rsidRPr="0066105C">
        <w:rPr>
          <w:rFonts w:ascii="Times New Roman" w:hAnsi="Times New Roman"/>
        </w:rPr>
        <w:t xml:space="preserve">. Please note that the countries in </w:t>
      </w:r>
      <w:r w:rsidRPr="0066105C">
        <w:rPr>
          <w:rFonts w:ascii="Times New Roman" w:hAnsi="Times New Roman"/>
          <w:i/>
        </w:rPr>
        <w:t>italics</w:t>
      </w:r>
      <w:r w:rsidRPr="0066105C">
        <w:rPr>
          <w:rFonts w:ascii="Times New Roman" w:hAnsi="Times New Roman"/>
        </w:rPr>
        <w:t xml:space="preserve"> (</w:t>
      </w:r>
      <w:r w:rsidRPr="0066105C">
        <w:rPr>
          <w:rFonts w:ascii="Times New Roman" w:hAnsi="Times New Roman"/>
          <w:b/>
        </w:rPr>
        <w:t>bold</w:t>
      </w:r>
      <w:r w:rsidRPr="0066105C">
        <w:rPr>
          <w:rFonts w:ascii="Times New Roman" w:hAnsi="Times New Roman"/>
        </w:rPr>
        <w:t xml:space="preserve">) experienced </w:t>
      </w:r>
      <w:r w:rsidRPr="0066105C">
        <w:rPr>
          <w:rFonts w:ascii="Times New Roman" w:hAnsi="Times New Roman"/>
          <w:i/>
        </w:rPr>
        <w:t>gradual</w:t>
      </w:r>
      <w:r w:rsidRPr="0066105C">
        <w:rPr>
          <w:rFonts w:ascii="Times New Roman" w:hAnsi="Times New Roman"/>
        </w:rPr>
        <w:t xml:space="preserve"> (</w:t>
      </w:r>
      <w:r w:rsidRPr="0066105C">
        <w:rPr>
          <w:rFonts w:ascii="Times New Roman" w:hAnsi="Times New Roman"/>
          <w:b/>
        </w:rPr>
        <w:t>sharp</w:t>
      </w:r>
      <w:r w:rsidRPr="0066105C">
        <w:rPr>
          <w:rFonts w:ascii="Times New Roman" w:hAnsi="Times New Roman"/>
        </w:rPr>
        <w:t>) improvements in information sharing during the sample period.</w:t>
      </w:r>
      <w:r w:rsidRPr="00B17D6F">
        <w:rPr>
          <w:rFonts w:ascii="Times New Roman" w:hAnsi="Times New Roman"/>
        </w:rPr>
        <w:t xml:space="preserve">  </w:t>
      </w:r>
    </w:p>
  </w:footnote>
  <w:footnote w:id="8">
    <w:p w:rsidR="00091972" w:rsidRDefault="00091972" w:rsidP="00CB43B1">
      <w:pPr>
        <w:spacing w:after="0" w:line="240" w:lineRule="auto"/>
        <w:jc w:val="both"/>
        <w:rPr>
          <w:rFonts w:ascii="Times New Roman" w:hAnsi="Times New Roman"/>
          <w:sz w:val="24"/>
          <w:szCs w:val="24"/>
        </w:rPr>
      </w:pPr>
      <w:r>
        <w:rPr>
          <w:rStyle w:val="FootnoteReference"/>
        </w:rPr>
        <w:footnoteRef/>
      </w:r>
      <w:r w:rsidRPr="00CC13FB">
        <w:rPr>
          <w:rFonts w:ascii="Times New Roman" w:hAnsi="Times New Roman"/>
          <w:sz w:val="18"/>
          <w:szCs w:val="24"/>
        </w:rPr>
        <w:t xml:space="preserve">Note that </w:t>
      </w:r>
      <w:r>
        <w:rPr>
          <w:rFonts w:ascii="Times New Roman" w:hAnsi="Times New Roman"/>
          <w:sz w:val="18"/>
          <w:szCs w:val="24"/>
        </w:rPr>
        <w:t xml:space="preserve">the </w:t>
      </w:r>
      <w:r w:rsidRPr="00CC13FB">
        <w:rPr>
          <w:rFonts w:ascii="Times New Roman" w:hAnsi="Times New Roman"/>
          <w:sz w:val="18"/>
          <w:szCs w:val="24"/>
        </w:rPr>
        <w:t xml:space="preserve">most recent lagged differences are used in order to avoid redundant moment conditions (see Arellano </w:t>
      </w:r>
      <w:r>
        <w:rPr>
          <w:rFonts w:ascii="Times New Roman" w:hAnsi="Times New Roman"/>
          <w:sz w:val="18"/>
          <w:szCs w:val="24"/>
        </w:rPr>
        <w:t>and</w:t>
      </w:r>
      <w:r w:rsidRPr="00CC13FB">
        <w:rPr>
          <w:rFonts w:ascii="Times New Roman" w:hAnsi="Times New Roman"/>
          <w:sz w:val="18"/>
          <w:szCs w:val="24"/>
        </w:rPr>
        <w:t xml:space="preserve"> </w:t>
      </w:r>
      <w:proofErr w:type="spellStart"/>
      <w:r w:rsidRPr="00CC13FB">
        <w:rPr>
          <w:rFonts w:ascii="Times New Roman" w:hAnsi="Times New Roman"/>
          <w:sz w:val="18"/>
          <w:szCs w:val="24"/>
        </w:rPr>
        <w:t>Bover</w:t>
      </w:r>
      <w:proofErr w:type="spellEnd"/>
      <w:r w:rsidRPr="00CC13FB">
        <w:rPr>
          <w:rFonts w:ascii="Times New Roman" w:hAnsi="Times New Roman"/>
          <w:sz w:val="18"/>
          <w:szCs w:val="24"/>
        </w:rPr>
        <w:t>, 1995).</w:t>
      </w:r>
    </w:p>
    <w:p w:rsidR="00091972" w:rsidRDefault="00091972">
      <w:pPr>
        <w:pStyle w:val="FootnoteText"/>
      </w:pPr>
    </w:p>
  </w:footnote>
  <w:footnote w:id="9">
    <w:p w:rsidR="00091972" w:rsidRPr="00111938" w:rsidRDefault="00091972" w:rsidP="00442685">
      <w:pPr>
        <w:pStyle w:val="FootnoteText"/>
        <w:jc w:val="both"/>
        <w:rPr>
          <w:rFonts w:ascii="Times New Roman" w:hAnsi="Times New Roman"/>
        </w:rPr>
      </w:pPr>
      <w:r w:rsidRPr="00111938">
        <w:rPr>
          <w:rStyle w:val="FootnoteReference"/>
          <w:rFonts w:ascii="Times New Roman" w:hAnsi="Times New Roman"/>
        </w:rPr>
        <w:footnoteRef/>
      </w:r>
      <w:r w:rsidRPr="00111938">
        <w:rPr>
          <w:rFonts w:ascii="Times New Roman" w:hAnsi="Times New Roman"/>
        </w:rPr>
        <w:t>The correlation among the governance indicators is at least 0.83 and this could cause multicollinearity problems when they are included in the model together. On the contrary, the correlations among the other country-level variables (</w:t>
      </w:r>
      <w:r w:rsidRPr="00111938">
        <w:rPr>
          <w:rFonts w:ascii="Times New Roman" w:hAnsi="Times New Roman"/>
          <w:i/>
        </w:rPr>
        <w:t>Depth, Concentration, Governance, GDP Growth, and Inflation</w:t>
      </w:r>
      <w:r w:rsidRPr="00111938">
        <w:rPr>
          <w:rFonts w:ascii="Times New Roman" w:hAnsi="Times New Roman"/>
        </w:rPr>
        <w:t xml:space="preserve">) are moderate (less than 0.21) and could thus be included together in the model without serious econometric concerns. The results remain qualitatively similar when the country-level variables (other than the governance indicators) are also included alternately in the model. These results are available upon request. </w:t>
      </w:r>
    </w:p>
  </w:footnote>
  <w:footnote w:id="10">
    <w:p w:rsidR="00091972" w:rsidRPr="00CA2DA4" w:rsidRDefault="00091972" w:rsidP="002B3390">
      <w:pPr>
        <w:pStyle w:val="FootnoteText"/>
        <w:jc w:val="both"/>
        <w:rPr>
          <w:rFonts w:ascii="Times New Roman" w:hAnsi="Times New Roman"/>
        </w:rPr>
      </w:pPr>
      <w:r w:rsidRPr="00111938">
        <w:rPr>
          <w:rStyle w:val="FootnoteReference"/>
          <w:rFonts w:ascii="Times New Roman" w:hAnsi="Times New Roman"/>
        </w:rPr>
        <w:footnoteRef/>
      </w:r>
      <w:r w:rsidRPr="00111938">
        <w:rPr>
          <w:rFonts w:ascii="Times New Roman" w:hAnsi="Times New Roman"/>
        </w:rPr>
        <w:t xml:space="preserve">The magnitude of the economic significance that we find is </w:t>
      </w:r>
      <w:proofErr w:type="gramStart"/>
      <w:r w:rsidRPr="00111938">
        <w:rPr>
          <w:rFonts w:ascii="Times New Roman" w:hAnsi="Times New Roman"/>
        </w:rPr>
        <w:t>similar to</w:t>
      </w:r>
      <w:proofErr w:type="gramEnd"/>
      <w:r w:rsidRPr="00111938">
        <w:rPr>
          <w:rFonts w:ascii="Times New Roman" w:hAnsi="Times New Roman"/>
        </w:rPr>
        <w:t xml:space="preserve"> the findings of Vazquez et al. (2012) who examine the impact of GDP on default rate in Brazil (see page 76 of their paper).</w:t>
      </w:r>
    </w:p>
  </w:footnote>
  <w:footnote w:id="11">
    <w:p w:rsidR="00091972" w:rsidRPr="0023569D" w:rsidRDefault="00091972" w:rsidP="00A858A3">
      <w:pPr>
        <w:pStyle w:val="FootnoteText"/>
        <w:jc w:val="both"/>
        <w:rPr>
          <w:rFonts w:ascii="Times New Roman" w:hAnsi="Times New Roman"/>
          <w:sz w:val="18"/>
          <w:szCs w:val="18"/>
        </w:rPr>
      </w:pPr>
      <w:r w:rsidRPr="0023569D">
        <w:rPr>
          <w:rStyle w:val="FootnoteReference"/>
          <w:rFonts w:ascii="Times New Roman" w:hAnsi="Times New Roman"/>
          <w:sz w:val="18"/>
          <w:szCs w:val="18"/>
        </w:rPr>
        <w:footnoteRef/>
      </w:r>
      <w:r w:rsidRPr="0023569D">
        <w:rPr>
          <w:rFonts w:ascii="Times New Roman" w:hAnsi="Times New Roman"/>
          <w:sz w:val="18"/>
          <w:szCs w:val="18"/>
        </w:rPr>
        <w:t xml:space="preserve">A separate table for the marginal effect </w:t>
      </w:r>
      <w:r>
        <w:rPr>
          <w:rFonts w:ascii="Times New Roman" w:hAnsi="Times New Roman"/>
          <w:sz w:val="18"/>
          <w:szCs w:val="18"/>
        </w:rPr>
        <w:t xml:space="preserve">of </w:t>
      </w:r>
      <w:r w:rsidRPr="0023569D">
        <w:rPr>
          <w:rFonts w:ascii="Times New Roman" w:hAnsi="Times New Roman"/>
          <w:sz w:val="18"/>
          <w:szCs w:val="18"/>
        </w:rPr>
        <w:t>concentration is not reported for brevity</w:t>
      </w:r>
      <w:r>
        <w:rPr>
          <w:rFonts w:ascii="Times New Roman" w:hAnsi="Times New Roman"/>
          <w:sz w:val="18"/>
          <w:szCs w:val="18"/>
        </w:rPr>
        <w:t xml:space="preserve"> but</w:t>
      </w:r>
      <w:r w:rsidRPr="0023569D">
        <w:rPr>
          <w:rFonts w:ascii="Times New Roman" w:hAnsi="Times New Roman"/>
          <w:sz w:val="18"/>
          <w:szCs w:val="18"/>
        </w:rPr>
        <w:t xml:space="preserve"> is available upon request.  </w:t>
      </w:r>
    </w:p>
  </w:footnote>
  <w:footnote w:id="12">
    <w:p w:rsidR="00091972" w:rsidRPr="009B4599" w:rsidRDefault="00091972" w:rsidP="009B4599">
      <w:pPr>
        <w:pStyle w:val="FootnoteText"/>
        <w:jc w:val="both"/>
        <w:rPr>
          <w:rFonts w:ascii="Times New Roman" w:hAnsi="Times New Roman"/>
        </w:rPr>
      </w:pPr>
      <w:r w:rsidRPr="009E2394">
        <w:rPr>
          <w:rStyle w:val="FootnoteReference"/>
          <w:rFonts w:ascii="Times New Roman" w:hAnsi="Times New Roman"/>
        </w:rPr>
        <w:footnoteRef/>
      </w:r>
      <w:r w:rsidRPr="009E2394">
        <w:rPr>
          <w:rFonts w:ascii="Times New Roman" w:hAnsi="Times New Roman"/>
        </w:rPr>
        <w:t xml:space="preserve"> When we utilise Principal Component Analysis to construct a single composite governance quality measure from the three governance variables (rule of law, regulatory quality, and the control of corruption) and re-run regressions with the composite measure of governance quality, the results remain mixed. These results are </w:t>
      </w:r>
      <w:proofErr w:type="spellStart"/>
      <w:r w:rsidRPr="009E2394">
        <w:rPr>
          <w:rFonts w:ascii="Times New Roman" w:hAnsi="Times New Roman"/>
        </w:rPr>
        <w:t>untabulated</w:t>
      </w:r>
      <w:proofErr w:type="spellEnd"/>
      <w:r w:rsidRPr="009E2394">
        <w:rPr>
          <w:rFonts w:ascii="Times New Roman" w:hAnsi="Times New Roman"/>
        </w:rPr>
        <w:t xml:space="preserve"> to save space. We are grateful to an anonymous reviewer for suggesting this robustness testing.</w:t>
      </w:r>
      <w:r w:rsidRPr="009B459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691"/>
    <w:multiLevelType w:val="hybridMultilevel"/>
    <w:tmpl w:val="20060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D6B1B"/>
    <w:multiLevelType w:val="hybridMultilevel"/>
    <w:tmpl w:val="6A00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651C3"/>
    <w:multiLevelType w:val="hybridMultilevel"/>
    <w:tmpl w:val="C89E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024AE"/>
    <w:multiLevelType w:val="hybridMultilevel"/>
    <w:tmpl w:val="3CD4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B0AD3"/>
    <w:multiLevelType w:val="hybridMultilevel"/>
    <w:tmpl w:val="B2BC6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04ABD"/>
    <w:multiLevelType w:val="hybridMultilevel"/>
    <w:tmpl w:val="0E24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456C2"/>
    <w:multiLevelType w:val="hybridMultilevel"/>
    <w:tmpl w:val="6C9AE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F6348A"/>
    <w:multiLevelType w:val="hybridMultilevel"/>
    <w:tmpl w:val="2F180DDA"/>
    <w:lvl w:ilvl="0" w:tplc="DF28C006">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E1F36"/>
    <w:multiLevelType w:val="hybridMultilevel"/>
    <w:tmpl w:val="5866DB6C"/>
    <w:lvl w:ilvl="0" w:tplc="08090003">
      <w:start w:val="1"/>
      <w:numFmt w:val="decimal"/>
      <w:lvlText w:val="%1."/>
      <w:lvlJc w:val="left"/>
      <w:pPr>
        <w:tabs>
          <w:tab w:val="num" w:pos="360"/>
        </w:tabs>
        <w:ind w:left="360" w:hanging="360"/>
      </w:pPr>
      <w:rPr>
        <w:rFonts w:hint="default"/>
        <w:b/>
        <w:caps w:val="0"/>
        <w:smallCap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BC"/>
    <w:rsid w:val="00000763"/>
    <w:rsid w:val="00000817"/>
    <w:rsid w:val="0000150F"/>
    <w:rsid w:val="00001DCE"/>
    <w:rsid w:val="000021F1"/>
    <w:rsid w:val="00002F84"/>
    <w:rsid w:val="00003895"/>
    <w:rsid w:val="00003BFA"/>
    <w:rsid w:val="00003E25"/>
    <w:rsid w:val="00004140"/>
    <w:rsid w:val="00004326"/>
    <w:rsid w:val="000046AB"/>
    <w:rsid w:val="00005746"/>
    <w:rsid w:val="0000577C"/>
    <w:rsid w:val="00005A62"/>
    <w:rsid w:val="0000677F"/>
    <w:rsid w:val="000067B0"/>
    <w:rsid w:val="0000763D"/>
    <w:rsid w:val="00010450"/>
    <w:rsid w:val="00010F60"/>
    <w:rsid w:val="000111F6"/>
    <w:rsid w:val="000112FB"/>
    <w:rsid w:val="00011415"/>
    <w:rsid w:val="00011418"/>
    <w:rsid w:val="00011F73"/>
    <w:rsid w:val="00012191"/>
    <w:rsid w:val="00012B73"/>
    <w:rsid w:val="00013443"/>
    <w:rsid w:val="000137E2"/>
    <w:rsid w:val="000149EA"/>
    <w:rsid w:val="00015494"/>
    <w:rsid w:val="00015A0F"/>
    <w:rsid w:val="00015D85"/>
    <w:rsid w:val="00016B2C"/>
    <w:rsid w:val="00016D8B"/>
    <w:rsid w:val="00017477"/>
    <w:rsid w:val="000174C1"/>
    <w:rsid w:val="00020413"/>
    <w:rsid w:val="00021152"/>
    <w:rsid w:val="000211CE"/>
    <w:rsid w:val="00021248"/>
    <w:rsid w:val="0002129B"/>
    <w:rsid w:val="000221F5"/>
    <w:rsid w:val="00022CF2"/>
    <w:rsid w:val="000233F3"/>
    <w:rsid w:val="00023589"/>
    <w:rsid w:val="00023B6A"/>
    <w:rsid w:val="000245A7"/>
    <w:rsid w:val="00025387"/>
    <w:rsid w:val="00026674"/>
    <w:rsid w:val="00027040"/>
    <w:rsid w:val="00030528"/>
    <w:rsid w:val="000305A5"/>
    <w:rsid w:val="00030C52"/>
    <w:rsid w:val="00031107"/>
    <w:rsid w:val="00032ADE"/>
    <w:rsid w:val="00032F55"/>
    <w:rsid w:val="00033F07"/>
    <w:rsid w:val="00036427"/>
    <w:rsid w:val="00036523"/>
    <w:rsid w:val="00036D36"/>
    <w:rsid w:val="000378D8"/>
    <w:rsid w:val="00037D74"/>
    <w:rsid w:val="000400FA"/>
    <w:rsid w:val="00040894"/>
    <w:rsid w:val="000417F8"/>
    <w:rsid w:val="000424A7"/>
    <w:rsid w:val="00042C3B"/>
    <w:rsid w:val="00042E17"/>
    <w:rsid w:val="00043A2D"/>
    <w:rsid w:val="00043CDD"/>
    <w:rsid w:val="00044E9B"/>
    <w:rsid w:val="00045F5D"/>
    <w:rsid w:val="00046254"/>
    <w:rsid w:val="00047AF5"/>
    <w:rsid w:val="00047D6B"/>
    <w:rsid w:val="00050643"/>
    <w:rsid w:val="00050B23"/>
    <w:rsid w:val="00051563"/>
    <w:rsid w:val="00051EB1"/>
    <w:rsid w:val="000522CD"/>
    <w:rsid w:val="00052AA5"/>
    <w:rsid w:val="00052ABD"/>
    <w:rsid w:val="000542D0"/>
    <w:rsid w:val="000555D2"/>
    <w:rsid w:val="000556C2"/>
    <w:rsid w:val="000557C5"/>
    <w:rsid w:val="0005606D"/>
    <w:rsid w:val="00056AB9"/>
    <w:rsid w:val="0005759B"/>
    <w:rsid w:val="00057728"/>
    <w:rsid w:val="00057BC2"/>
    <w:rsid w:val="000607B0"/>
    <w:rsid w:val="00060B85"/>
    <w:rsid w:val="00060FDF"/>
    <w:rsid w:val="000619F1"/>
    <w:rsid w:val="00061D96"/>
    <w:rsid w:val="000630FE"/>
    <w:rsid w:val="00063563"/>
    <w:rsid w:val="000635E7"/>
    <w:rsid w:val="00063C03"/>
    <w:rsid w:val="00064665"/>
    <w:rsid w:val="00065179"/>
    <w:rsid w:val="00067109"/>
    <w:rsid w:val="00067182"/>
    <w:rsid w:val="00067690"/>
    <w:rsid w:val="00070234"/>
    <w:rsid w:val="000710DC"/>
    <w:rsid w:val="00071316"/>
    <w:rsid w:val="000717A7"/>
    <w:rsid w:val="00071D6E"/>
    <w:rsid w:val="00074042"/>
    <w:rsid w:val="000741E0"/>
    <w:rsid w:val="00074877"/>
    <w:rsid w:val="000749F7"/>
    <w:rsid w:val="000761E1"/>
    <w:rsid w:val="000764F4"/>
    <w:rsid w:val="000774B9"/>
    <w:rsid w:val="00081144"/>
    <w:rsid w:val="00082154"/>
    <w:rsid w:val="000826FF"/>
    <w:rsid w:val="0008273D"/>
    <w:rsid w:val="00082995"/>
    <w:rsid w:val="0008338F"/>
    <w:rsid w:val="00083AB9"/>
    <w:rsid w:val="00083BDF"/>
    <w:rsid w:val="00083DC6"/>
    <w:rsid w:val="00084437"/>
    <w:rsid w:val="0008476E"/>
    <w:rsid w:val="00085162"/>
    <w:rsid w:val="00085598"/>
    <w:rsid w:val="00085C6A"/>
    <w:rsid w:val="00086A06"/>
    <w:rsid w:val="000909D8"/>
    <w:rsid w:val="00091422"/>
    <w:rsid w:val="00091972"/>
    <w:rsid w:val="000920CF"/>
    <w:rsid w:val="0009388A"/>
    <w:rsid w:val="00094F21"/>
    <w:rsid w:val="00095364"/>
    <w:rsid w:val="00095555"/>
    <w:rsid w:val="00095F12"/>
    <w:rsid w:val="000967B2"/>
    <w:rsid w:val="000968B2"/>
    <w:rsid w:val="00096B21"/>
    <w:rsid w:val="00097228"/>
    <w:rsid w:val="00097315"/>
    <w:rsid w:val="00097CA8"/>
    <w:rsid w:val="000A0FE2"/>
    <w:rsid w:val="000A14ED"/>
    <w:rsid w:val="000A1A47"/>
    <w:rsid w:val="000A207A"/>
    <w:rsid w:val="000A24C0"/>
    <w:rsid w:val="000A3981"/>
    <w:rsid w:val="000A3F0A"/>
    <w:rsid w:val="000A4BCB"/>
    <w:rsid w:val="000A55F1"/>
    <w:rsid w:val="000A64AF"/>
    <w:rsid w:val="000B0EF4"/>
    <w:rsid w:val="000B1443"/>
    <w:rsid w:val="000B162D"/>
    <w:rsid w:val="000B1FD4"/>
    <w:rsid w:val="000B2171"/>
    <w:rsid w:val="000B245E"/>
    <w:rsid w:val="000B30EE"/>
    <w:rsid w:val="000B3B72"/>
    <w:rsid w:val="000B3C22"/>
    <w:rsid w:val="000B43DB"/>
    <w:rsid w:val="000B4733"/>
    <w:rsid w:val="000B4819"/>
    <w:rsid w:val="000B486B"/>
    <w:rsid w:val="000B5296"/>
    <w:rsid w:val="000B6237"/>
    <w:rsid w:val="000B62D5"/>
    <w:rsid w:val="000B6393"/>
    <w:rsid w:val="000B6481"/>
    <w:rsid w:val="000B6C7F"/>
    <w:rsid w:val="000B7057"/>
    <w:rsid w:val="000C00C7"/>
    <w:rsid w:val="000C0A6F"/>
    <w:rsid w:val="000C0E76"/>
    <w:rsid w:val="000C161E"/>
    <w:rsid w:val="000C1814"/>
    <w:rsid w:val="000C1BF9"/>
    <w:rsid w:val="000C2B86"/>
    <w:rsid w:val="000C3062"/>
    <w:rsid w:val="000C349D"/>
    <w:rsid w:val="000C419F"/>
    <w:rsid w:val="000C430C"/>
    <w:rsid w:val="000C4417"/>
    <w:rsid w:val="000C4CA9"/>
    <w:rsid w:val="000C5212"/>
    <w:rsid w:val="000C5EA9"/>
    <w:rsid w:val="000C5EF3"/>
    <w:rsid w:val="000C730D"/>
    <w:rsid w:val="000C74E7"/>
    <w:rsid w:val="000C7841"/>
    <w:rsid w:val="000C791D"/>
    <w:rsid w:val="000D0052"/>
    <w:rsid w:val="000D00FA"/>
    <w:rsid w:val="000D1B61"/>
    <w:rsid w:val="000D314A"/>
    <w:rsid w:val="000D3905"/>
    <w:rsid w:val="000D396D"/>
    <w:rsid w:val="000D3BCF"/>
    <w:rsid w:val="000D4B3F"/>
    <w:rsid w:val="000D4BF0"/>
    <w:rsid w:val="000D4DE1"/>
    <w:rsid w:val="000D553B"/>
    <w:rsid w:val="000D5C4C"/>
    <w:rsid w:val="000D66A1"/>
    <w:rsid w:val="000D672F"/>
    <w:rsid w:val="000D6DA9"/>
    <w:rsid w:val="000E0474"/>
    <w:rsid w:val="000E0682"/>
    <w:rsid w:val="000E0974"/>
    <w:rsid w:val="000E131A"/>
    <w:rsid w:val="000E152C"/>
    <w:rsid w:val="000E1899"/>
    <w:rsid w:val="000E37CC"/>
    <w:rsid w:val="000E38D9"/>
    <w:rsid w:val="000E3B10"/>
    <w:rsid w:val="000E441B"/>
    <w:rsid w:val="000E56A8"/>
    <w:rsid w:val="000E5CA1"/>
    <w:rsid w:val="000E6640"/>
    <w:rsid w:val="000E6926"/>
    <w:rsid w:val="000E6FD9"/>
    <w:rsid w:val="000E727E"/>
    <w:rsid w:val="000E78A6"/>
    <w:rsid w:val="000E7FC0"/>
    <w:rsid w:val="000F02B9"/>
    <w:rsid w:val="000F0B27"/>
    <w:rsid w:val="000F0E73"/>
    <w:rsid w:val="000F11CC"/>
    <w:rsid w:val="000F2CD1"/>
    <w:rsid w:val="000F3936"/>
    <w:rsid w:val="000F3A08"/>
    <w:rsid w:val="000F3A57"/>
    <w:rsid w:val="000F4004"/>
    <w:rsid w:val="000F44E4"/>
    <w:rsid w:val="000F4C4F"/>
    <w:rsid w:val="000F5215"/>
    <w:rsid w:val="000F539F"/>
    <w:rsid w:val="000F552A"/>
    <w:rsid w:val="000F7543"/>
    <w:rsid w:val="000F76BB"/>
    <w:rsid w:val="000F7B31"/>
    <w:rsid w:val="00100C0E"/>
    <w:rsid w:val="00101696"/>
    <w:rsid w:val="00101B0A"/>
    <w:rsid w:val="0010231A"/>
    <w:rsid w:val="00104685"/>
    <w:rsid w:val="0010496B"/>
    <w:rsid w:val="00106275"/>
    <w:rsid w:val="00106318"/>
    <w:rsid w:val="0010637A"/>
    <w:rsid w:val="00106CF6"/>
    <w:rsid w:val="00110AB9"/>
    <w:rsid w:val="001115AB"/>
    <w:rsid w:val="00111677"/>
    <w:rsid w:val="00111938"/>
    <w:rsid w:val="00111978"/>
    <w:rsid w:val="00111E79"/>
    <w:rsid w:val="00112323"/>
    <w:rsid w:val="00112429"/>
    <w:rsid w:val="001125C2"/>
    <w:rsid w:val="001125E0"/>
    <w:rsid w:val="001128DE"/>
    <w:rsid w:val="00113846"/>
    <w:rsid w:val="001138D7"/>
    <w:rsid w:val="00115149"/>
    <w:rsid w:val="001156EE"/>
    <w:rsid w:val="00115A5D"/>
    <w:rsid w:val="00115D18"/>
    <w:rsid w:val="00116BD6"/>
    <w:rsid w:val="00120D46"/>
    <w:rsid w:val="00120E76"/>
    <w:rsid w:val="00121542"/>
    <w:rsid w:val="00122DB2"/>
    <w:rsid w:val="00123068"/>
    <w:rsid w:val="00124606"/>
    <w:rsid w:val="0012579C"/>
    <w:rsid w:val="001259C3"/>
    <w:rsid w:val="00125FE2"/>
    <w:rsid w:val="00126020"/>
    <w:rsid w:val="00130C23"/>
    <w:rsid w:val="0013111C"/>
    <w:rsid w:val="001326B1"/>
    <w:rsid w:val="001341F4"/>
    <w:rsid w:val="001343D9"/>
    <w:rsid w:val="00134D0E"/>
    <w:rsid w:val="001356BE"/>
    <w:rsid w:val="00135876"/>
    <w:rsid w:val="00136B63"/>
    <w:rsid w:val="00136F3F"/>
    <w:rsid w:val="00140542"/>
    <w:rsid w:val="001408E6"/>
    <w:rsid w:val="00141D75"/>
    <w:rsid w:val="001425CC"/>
    <w:rsid w:val="001426AC"/>
    <w:rsid w:val="00142771"/>
    <w:rsid w:val="00143AD5"/>
    <w:rsid w:val="0014453A"/>
    <w:rsid w:val="00144E8D"/>
    <w:rsid w:val="00146381"/>
    <w:rsid w:val="0014673D"/>
    <w:rsid w:val="00146C8F"/>
    <w:rsid w:val="00147760"/>
    <w:rsid w:val="001479CA"/>
    <w:rsid w:val="00147D2E"/>
    <w:rsid w:val="00150525"/>
    <w:rsid w:val="00150837"/>
    <w:rsid w:val="00151886"/>
    <w:rsid w:val="00151C18"/>
    <w:rsid w:val="00151F40"/>
    <w:rsid w:val="00152821"/>
    <w:rsid w:val="00153729"/>
    <w:rsid w:val="00153799"/>
    <w:rsid w:val="0015481F"/>
    <w:rsid w:val="00154C5C"/>
    <w:rsid w:val="00154E28"/>
    <w:rsid w:val="001551F8"/>
    <w:rsid w:val="0015526C"/>
    <w:rsid w:val="0015552D"/>
    <w:rsid w:val="00155D2B"/>
    <w:rsid w:val="00155FC8"/>
    <w:rsid w:val="00156AD3"/>
    <w:rsid w:val="00156B05"/>
    <w:rsid w:val="00156FFA"/>
    <w:rsid w:val="00157848"/>
    <w:rsid w:val="00157DD2"/>
    <w:rsid w:val="0016044F"/>
    <w:rsid w:val="00160491"/>
    <w:rsid w:val="00160D3C"/>
    <w:rsid w:val="00161C3E"/>
    <w:rsid w:val="00161E42"/>
    <w:rsid w:val="00161E52"/>
    <w:rsid w:val="001624EA"/>
    <w:rsid w:val="0016254D"/>
    <w:rsid w:val="001631E4"/>
    <w:rsid w:val="00164437"/>
    <w:rsid w:val="00164AF7"/>
    <w:rsid w:val="00164B7A"/>
    <w:rsid w:val="001675C9"/>
    <w:rsid w:val="00167932"/>
    <w:rsid w:val="0016794E"/>
    <w:rsid w:val="00167E3A"/>
    <w:rsid w:val="0017240A"/>
    <w:rsid w:val="0017266C"/>
    <w:rsid w:val="00172731"/>
    <w:rsid w:val="00173121"/>
    <w:rsid w:val="0017338B"/>
    <w:rsid w:val="0017351C"/>
    <w:rsid w:val="00173A60"/>
    <w:rsid w:val="00173C25"/>
    <w:rsid w:val="00173CA3"/>
    <w:rsid w:val="00174739"/>
    <w:rsid w:val="00174C29"/>
    <w:rsid w:val="0017504C"/>
    <w:rsid w:val="001751C6"/>
    <w:rsid w:val="00175ABB"/>
    <w:rsid w:val="00177DCF"/>
    <w:rsid w:val="001800DC"/>
    <w:rsid w:val="00180342"/>
    <w:rsid w:val="00180AF3"/>
    <w:rsid w:val="00180BDD"/>
    <w:rsid w:val="00181403"/>
    <w:rsid w:val="00181AE4"/>
    <w:rsid w:val="00181D89"/>
    <w:rsid w:val="00182EB1"/>
    <w:rsid w:val="00183329"/>
    <w:rsid w:val="00183B0A"/>
    <w:rsid w:val="00184599"/>
    <w:rsid w:val="00184B01"/>
    <w:rsid w:val="0018581F"/>
    <w:rsid w:val="001863C0"/>
    <w:rsid w:val="001866B5"/>
    <w:rsid w:val="00186B5F"/>
    <w:rsid w:val="00186BDE"/>
    <w:rsid w:val="00190A43"/>
    <w:rsid w:val="00190CD0"/>
    <w:rsid w:val="00191C5C"/>
    <w:rsid w:val="00192A48"/>
    <w:rsid w:val="00193255"/>
    <w:rsid w:val="00193D7B"/>
    <w:rsid w:val="001940BE"/>
    <w:rsid w:val="00194130"/>
    <w:rsid w:val="001945D9"/>
    <w:rsid w:val="00195497"/>
    <w:rsid w:val="001954AA"/>
    <w:rsid w:val="001962E2"/>
    <w:rsid w:val="0019722A"/>
    <w:rsid w:val="001A0002"/>
    <w:rsid w:val="001A0BC2"/>
    <w:rsid w:val="001A119B"/>
    <w:rsid w:val="001A153B"/>
    <w:rsid w:val="001A19CE"/>
    <w:rsid w:val="001A2059"/>
    <w:rsid w:val="001A24BB"/>
    <w:rsid w:val="001A3738"/>
    <w:rsid w:val="001A39EF"/>
    <w:rsid w:val="001A3A28"/>
    <w:rsid w:val="001A3A63"/>
    <w:rsid w:val="001A4BE1"/>
    <w:rsid w:val="001B0039"/>
    <w:rsid w:val="001B0315"/>
    <w:rsid w:val="001B104C"/>
    <w:rsid w:val="001B1333"/>
    <w:rsid w:val="001B1B14"/>
    <w:rsid w:val="001B33F1"/>
    <w:rsid w:val="001B3784"/>
    <w:rsid w:val="001B3F53"/>
    <w:rsid w:val="001B46EC"/>
    <w:rsid w:val="001B54FE"/>
    <w:rsid w:val="001B55F0"/>
    <w:rsid w:val="001B5BD4"/>
    <w:rsid w:val="001B6642"/>
    <w:rsid w:val="001B67E5"/>
    <w:rsid w:val="001B6BED"/>
    <w:rsid w:val="001B7116"/>
    <w:rsid w:val="001B7F2F"/>
    <w:rsid w:val="001C083C"/>
    <w:rsid w:val="001C28F6"/>
    <w:rsid w:val="001C2C90"/>
    <w:rsid w:val="001C346F"/>
    <w:rsid w:val="001C3664"/>
    <w:rsid w:val="001C3D8A"/>
    <w:rsid w:val="001C459E"/>
    <w:rsid w:val="001C5296"/>
    <w:rsid w:val="001C55D7"/>
    <w:rsid w:val="001C57DF"/>
    <w:rsid w:val="001C58A5"/>
    <w:rsid w:val="001C72D1"/>
    <w:rsid w:val="001D2181"/>
    <w:rsid w:val="001D2651"/>
    <w:rsid w:val="001D3C60"/>
    <w:rsid w:val="001D400B"/>
    <w:rsid w:val="001D4923"/>
    <w:rsid w:val="001D4C46"/>
    <w:rsid w:val="001D793D"/>
    <w:rsid w:val="001D7CFC"/>
    <w:rsid w:val="001E0AC0"/>
    <w:rsid w:val="001E0AD5"/>
    <w:rsid w:val="001E103A"/>
    <w:rsid w:val="001E19F3"/>
    <w:rsid w:val="001E1A49"/>
    <w:rsid w:val="001E218A"/>
    <w:rsid w:val="001E23E3"/>
    <w:rsid w:val="001E26B7"/>
    <w:rsid w:val="001E2FAC"/>
    <w:rsid w:val="001E36E4"/>
    <w:rsid w:val="001E4199"/>
    <w:rsid w:val="001E4FDA"/>
    <w:rsid w:val="001E5269"/>
    <w:rsid w:val="001E5A05"/>
    <w:rsid w:val="001E6240"/>
    <w:rsid w:val="001E6FA9"/>
    <w:rsid w:val="001F007D"/>
    <w:rsid w:val="001F2075"/>
    <w:rsid w:val="001F23CE"/>
    <w:rsid w:val="001F3367"/>
    <w:rsid w:val="001F3392"/>
    <w:rsid w:val="001F3FE2"/>
    <w:rsid w:val="001F403A"/>
    <w:rsid w:val="001F5873"/>
    <w:rsid w:val="001F636A"/>
    <w:rsid w:val="001F7D66"/>
    <w:rsid w:val="001F7F84"/>
    <w:rsid w:val="00200E1B"/>
    <w:rsid w:val="00200EB3"/>
    <w:rsid w:val="0020141D"/>
    <w:rsid w:val="00202A43"/>
    <w:rsid w:val="00203019"/>
    <w:rsid w:val="002033CF"/>
    <w:rsid w:val="00203816"/>
    <w:rsid w:val="002042DA"/>
    <w:rsid w:val="00204901"/>
    <w:rsid w:val="00205141"/>
    <w:rsid w:val="00205822"/>
    <w:rsid w:val="00205AA4"/>
    <w:rsid w:val="00205AA5"/>
    <w:rsid w:val="00205DC0"/>
    <w:rsid w:val="00205FE4"/>
    <w:rsid w:val="00206CC4"/>
    <w:rsid w:val="002071D8"/>
    <w:rsid w:val="0020751D"/>
    <w:rsid w:val="0021034D"/>
    <w:rsid w:val="002108C5"/>
    <w:rsid w:val="00210D99"/>
    <w:rsid w:val="0021119D"/>
    <w:rsid w:val="002114C1"/>
    <w:rsid w:val="002116D8"/>
    <w:rsid w:val="00211C0E"/>
    <w:rsid w:val="0021219A"/>
    <w:rsid w:val="00212493"/>
    <w:rsid w:val="002125C1"/>
    <w:rsid w:val="00212A3B"/>
    <w:rsid w:val="00213489"/>
    <w:rsid w:val="0021457D"/>
    <w:rsid w:val="00214BA9"/>
    <w:rsid w:val="00215131"/>
    <w:rsid w:val="00215F03"/>
    <w:rsid w:val="00216668"/>
    <w:rsid w:val="00216743"/>
    <w:rsid w:val="002171BA"/>
    <w:rsid w:val="0021759F"/>
    <w:rsid w:val="00217DAE"/>
    <w:rsid w:val="00220566"/>
    <w:rsid w:val="00220E1D"/>
    <w:rsid w:val="00220F81"/>
    <w:rsid w:val="002217E6"/>
    <w:rsid w:val="00221EF9"/>
    <w:rsid w:val="002221F2"/>
    <w:rsid w:val="00222CED"/>
    <w:rsid w:val="002236A1"/>
    <w:rsid w:val="00224276"/>
    <w:rsid w:val="00225600"/>
    <w:rsid w:val="00225F6E"/>
    <w:rsid w:val="00226716"/>
    <w:rsid w:val="00226D71"/>
    <w:rsid w:val="002274DB"/>
    <w:rsid w:val="00227723"/>
    <w:rsid w:val="00227C70"/>
    <w:rsid w:val="00230337"/>
    <w:rsid w:val="0023087C"/>
    <w:rsid w:val="00231823"/>
    <w:rsid w:val="00232809"/>
    <w:rsid w:val="002335EA"/>
    <w:rsid w:val="00233C9C"/>
    <w:rsid w:val="00234B55"/>
    <w:rsid w:val="0023518A"/>
    <w:rsid w:val="0023569D"/>
    <w:rsid w:val="002357C3"/>
    <w:rsid w:val="00235BC5"/>
    <w:rsid w:val="002367C9"/>
    <w:rsid w:val="00240359"/>
    <w:rsid w:val="002406C3"/>
    <w:rsid w:val="002408B7"/>
    <w:rsid w:val="00240B76"/>
    <w:rsid w:val="00240F2F"/>
    <w:rsid w:val="00241F65"/>
    <w:rsid w:val="00242438"/>
    <w:rsid w:val="00242537"/>
    <w:rsid w:val="00243288"/>
    <w:rsid w:val="0024383A"/>
    <w:rsid w:val="002444C6"/>
    <w:rsid w:val="002459C8"/>
    <w:rsid w:val="00246F09"/>
    <w:rsid w:val="00247718"/>
    <w:rsid w:val="0025060A"/>
    <w:rsid w:val="00250DEA"/>
    <w:rsid w:val="0025287E"/>
    <w:rsid w:val="00253586"/>
    <w:rsid w:val="00254197"/>
    <w:rsid w:val="002546E9"/>
    <w:rsid w:val="0025496E"/>
    <w:rsid w:val="002551E5"/>
    <w:rsid w:val="00255649"/>
    <w:rsid w:val="002567BD"/>
    <w:rsid w:val="00256E43"/>
    <w:rsid w:val="00260E43"/>
    <w:rsid w:val="00261508"/>
    <w:rsid w:val="00261EBC"/>
    <w:rsid w:val="002629DC"/>
    <w:rsid w:val="00262D25"/>
    <w:rsid w:val="00262D41"/>
    <w:rsid w:val="00262DA7"/>
    <w:rsid w:val="00263EE9"/>
    <w:rsid w:val="00265A2F"/>
    <w:rsid w:val="0026642D"/>
    <w:rsid w:val="002664F1"/>
    <w:rsid w:val="002667A4"/>
    <w:rsid w:val="00267154"/>
    <w:rsid w:val="00267D63"/>
    <w:rsid w:val="00270A33"/>
    <w:rsid w:val="00270DA6"/>
    <w:rsid w:val="002715D7"/>
    <w:rsid w:val="00272D12"/>
    <w:rsid w:val="00273100"/>
    <w:rsid w:val="00273729"/>
    <w:rsid w:val="00273D35"/>
    <w:rsid w:val="00274CDA"/>
    <w:rsid w:val="0027532C"/>
    <w:rsid w:val="00275526"/>
    <w:rsid w:val="00275538"/>
    <w:rsid w:val="0027646C"/>
    <w:rsid w:val="00276B61"/>
    <w:rsid w:val="00276B8B"/>
    <w:rsid w:val="00277618"/>
    <w:rsid w:val="002777FE"/>
    <w:rsid w:val="0027784F"/>
    <w:rsid w:val="002779C9"/>
    <w:rsid w:val="00277D53"/>
    <w:rsid w:val="0028099D"/>
    <w:rsid w:val="00281105"/>
    <w:rsid w:val="0028146D"/>
    <w:rsid w:val="00281A16"/>
    <w:rsid w:val="002821D4"/>
    <w:rsid w:val="002822A2"/>
    <w:rsid w:val="0028252E"/>
    <w:rsid w:val="002827A7"/>
    <w:rsid w:val="00282DB5"/>
    <w:rsid w:val="00284304"/>
    <w:rsid w:val="002846CE"/>
    <w:rsid w:val="00284D48"/>
    <w:rsid w:val="0028611F"/>
    <w:rsid w:val="002870BB"/>
    <w:rsid w:val="002876F2"/>
    <w:rsid w:val="0028784B"/>
    <w:rsid w:val="002878F8"/>
    <w:rsid w:val="0029014A"/>
    <w:rsid w:val="0029169A"/>
    <w:rsid w:val="00291F3C"/>
    <w:rsid w:val="00292BA4"/>
    <w:rsid w:val="00292E7C"/>
    <w:rsid w:val="00293E2A"/>
    <w:rsid w:val="00293F36"/>
    <w:rsid w:val="00293F9C"/>
    <w:rsid w:val="0029426C"/>
    <w:rsid w:val="00297402"/>
    <w:rsid w:val="00297DB6"/>
    <w:rsid w:val="002A038D"/>
    <w:rsid w:val="002A0DF7"/>
    <w:rsid w:val="002A0E84"/>
    <w:rsid w:val="002A152D"/>
    <w:rsid w:val="002A2A1A"/>
    <w:rsid w:val="002A4D90"/>
    <w:rsid w:val="002A4E22"/>
    <w:rsid w:val="002A4EF1"/>
    <w:rsid w:val="002A5635"/>
    <w:rsid w:val="002A5F1C"/>
    <w:rsid w:val="002A6282"/>
    <w:rsid w:val="002A64BC"/>
    <w:rsid w:val="002A654B"/>
    <w:rsid w:val="002A7DF0"/>
    <w:rsid w:val="002B0307"/>
    <w:rsid w:val="002B0A6F"/>
    <w:rsid w:val="002B0D88"/>
    <w:rsid w:val="002B0E02"/>
    <w:rsid w:val="002B1729"/>
    <w:rsid w:val="002B23C4"/>
    <w:rsid w:val="002B244F"/>
    <w:rsid w:val="002B30BF"/>
    <w:rsid w:val="002B3390"/>
    <w:rsid w:val="002B38FC"/>
    <w:rsid w:val="002B550D"/>
    <w:rsid w:val="002B5B15"/>
    <w:rsid w:val="002B6189"/>
    <w:rsid w:val="002B7209"/>
    <w:rsid w:val="002B725E"/>
    <w:rsid w:val="002B75EC"/>
    <w:rsid w:val="002B7776"/>
    <w:rsid w:val="002C037C"/>
    <w:rsid w:val="002C119F"/>
    <w:rsid w:val="002C11CA"/>
    <w:rsid w:val="002C121C"/>
    <w:rsid w:val="002C158F"/>
    <w:rsid w:val="002C23D3"/>
    <w:rsid w:val="002C2747"/>
    <w:rsid w:val="002C2B65"/>
    <w:rsid w:val="002C305D"/>
    <w:rsid w:val="002C3C8E"/>
    <w:rsid w:val="002C4D27"/>
    <w:rsid w:val="002C4DCC"/>
    <w:rsid w:val="002C4EB3"/>
    <w:rsid w:val="002C5132"/>
    <w:rsid w:val="002C535A"/>
    <w:rsid w:val="002C5DDC"/>
    <w:rsid w:val="002C626C"/>
    <w:rsid w:val="002D0C37"/>
    <w:rsid w:val="002D0E1D"/>
    <w:rsid w:val="002D225C"/>
    <w:rsid w:val="002D2C80"/>
    <w:rsid w:val="002D3AF3"/>
    <w:rsid w:val="002D4687"/>
    <w:rsid w:val="002D46A2"/>
    <w:rsid w:val="002D4C11"/>
    <w:rsid w:val="002D4F36"/>
    <w:rsid w:val="002D5E55"/>
    <w:rsid w:val="002D5F2B"/>
    <w:rsid w:val="002D6790"/>
    <w:rsid w:val="002D67D8"/>
    <w:rsid w:val="002D7C72"/>
    <w:rsid w:val="002E022C"/>
    <w:rsid w:val="002E0352"/>
    <w:rsid w:val="002E0D7B"/>
    <w:rsid w:val="002E0DAE"/>
    <w:rsid w:val="002E1649"/>
    <w:rsid w:val="002E2DE2"/>
    <w:rsid w:val="002E33B9"/>
    <w:rsid w:val="002E3777"/>
    <w:rsid w:val="002E4B1E"/>
    <w:rsid w:val="002E5038"/>
    <w:rsid w:val="002E5370"/>
    <w:rsid w:val="002E5D7C"/>
    <w:rsid w:val="002E67CC"/>
    <w:rsid w:val="002E6C15"/>
    <w:rsid w:val="002F00F7"/>
    <w:rsid w:val="002F21A6"/>
    <w:rsid w:val="002F249D"/>
    <w:rsid w:val="002F2A55"/>
    <w:rsid w:val="002F34EE"/>
    <w:rsid w:val="002F424B"/>
    <w:rsid w:val="002F462B"/>
    <w:rsid w:val="002F48BE"/>
    <w:rsid w:val="002F5041"/>
    <w:rsid w:val="002F52E9"/>
    <w:rsid w:val="002F53F8"/>
    <w:rsid w:val="002F599E"/>
    <w:rsid w:val="002F5A7E"/>
    <w:rsid w:val="003000F7"/>
    <w:rsid w:val="0030014C"/>
    <w:rsid w:val="00300B11"/>
    <w:rsid w:val="003014D1"/>
    <w:rsid w:val="003020E7"/>
    <w:rsid w:val="0030210E"/>
    <w:rsid w:val="003026FC"/>
    <w:rsid w:val="003034AD"/>
    <w:rsid w:val="00304554"/>
    <w:rsid w:val="00304611"/>
    <w:rsid w:val="003048B2"/>
    <w:rsid w:val="003066DF"/>
    <w:rsid w:val="003067C2"/>
    <w:rsid w:val="00306927"/>
    <w:rsid w:val="00306E47"/>
    <w:rsid w:val="00307147"/>
    <w:rsid w:val="00307266"/>
    <w:rsid w:val="003074D1"/>
    <w:rsid w:val="0031099B"/>
    <w:rsid w:val="00310BC8"/>
    <w:rsid w:val="00310D3E"/>
    <w:rsid w:val="00311894"/>
    <w:rsid w:val="003123C0"/>
    <w:rsid w:val="00312945"/>
    <w:rsid w:val="00313082"/>
    <w:rsid w:val="0031463E"/>
    <w:rsid w:val="00315D63"/>
    <w:rsid w:val="003163B4"/>
    <w:rsid w:val="00316F3F"/>
    <w:rsid w:val="00317ADC"/>
    <w:rsid w:val="003205A2"/>
    <w:rsid w:val="00320665"/>
    <w:rsid w:val="003206C9"/>
    <w:rsid w:val="003209E9"/>
    <w:rsid w:val="0032127A"/>
    <w:rsid w:val="003225ED"/>
    <w:rsid w:val="00322A2F"/>
    <w:rsid w:val="00322AE1"/>
    <w:rsid w:val="00322D52"/>
    <w:rsid w:val="0032328D"/>
    <w:rsid w:val="0032345A"/>
    <w:rsid w:val="00324302"/>
    <w:rsid w:val="00324313"/>
    <w:rsid w:val="00324334"/>
    <w:rsid w:val="00327028"/>
    <w:rsid w:val="00327198"/>
    <w:rsid w:val="00327A96"/>
    <w:rsid w:val="00327C8F"/>
    <w:rsid w:val="00331256"/>
    <w:rsid w:val="00331458"/>
    <w:rsid w:val="00332654"/>
    <w:rsid w:val="003329E7"/>
    <w:rsid w:val="00332DCC"/>
    <w:rsid w:val="00333F94"/>
    <w:rsid w:val="00335607"/>
    <w:rsid w:val="00335717"/>
    <w:rsid w:val="003357C2"/>
    <w:rsid w:val="00335F9B"/>
    <w:rsid w:val="00336404"/>
    <w:rsid w:val="00337FCE"/>
    <w:rsid w:val="00341645"/>
    <w:rsid w:val="0034171F"/>
    <w:rsid w:val="00342C2C"/>
    <w:rsid w:val="00342E35"/>
    <w:rsid w:val="00343438"/>
    <w:rsid w:val="00344605"/>
    <w:rsid w:val="0034476E"/>
    <w:rsid w:val="00344C73"/>
    <w:rsid w:val="00345F73"/>
    <w:rsid w:val="00346225"/>
    <w:rsid w:val="003470BD"/>
    <w:rsid w:val="0035058D"/>
    <w:rsid w:val="003519C8"/>
    <w:rsid w:val="00351C5E"/>
    <w:rsid w:val="0035200F"/>
    <w:rsid w:val="003527A9"/>
    <w:rsid w:val="003527BD"/>
    <w:rsid w:val="003527C3"/>
    <w:rsid w:val="00352A07"/>
    <w:rsid w:val="003533C8"/>
    <w:rsid w:val="00353435"/>
    <w:rsid w:val="003544CC"/>
    <w:rsid w:val="00354921"/>
    <w:rsid w:val="003567DB"/>
    <w:rsid w:val="0035686E"/>
    <w:rsid w:val="00356BE7"/>
    <w:rsid w:val="00356F44"/>
    <w:rsid w:val="0035730F"/>
    <w:rsid w:val="003579D8"/>
    <w:rsid w:val="0036024D"/>
    <w:rsid w:val="003632B5"/>
    <w:rsid w:val="0036368F"/>
    <w:rsid w:val="00364036"/>
    <w:rsid w:val="0036455A"/>
    <w:rsid w:val="00364A60"/>
    <w:rsid w:val="003658CC"/>
    <w:rsid w:val="00365F84"/>
    <w:rsid w:val="0036629D"/>
    <w:rsid w:val="0036639C"/>
    <w:rsid w:val="003670B7"/>
    <w:rsid w:val="003670C8"/>
    <w:rsid w:val="00370539"/>
    <w:rsid w:val="00372AAE"/>
    <w:rsid w:val="0037302F"/>
    <w:rsid w:val="00373646"/>
    <w:rsid w:val="00373A72"/>
    <w:rsid w:val="003742AA"/>
    <w:rsid w:val="00374FD9"/>
    <w:rsid w:val="00375BAB"/>
    <w:rsid w:val="003769A9"/>
    <w:rsid w:val="00377506"/>
    <w:rsid w:val="00377B1D"/>
    <w:rsid w:val="003801E8"/>
    <w:rsid w:val="00380C70"/>
    <w:rsid w:val="00381A81"/>
    <w:rsid w:val="0038240D"/>
    <w:rsid w:val="003834AD"/>
    <w:rsid w:val="00383542"/>
    <w:rsid w:val="003838FE"/>
    <w:rsid w:val="00383AD8"/>
    <w:rsid w:val="0038403B"/>
    <w:rsid w:val="00384262"/>
    <w:rsid w:val="00385FCD"/>
    <w:rsid w:val="00386293"/>
    <w:rsid w:val="00387E14"/>
    <w:rsid w:val="0039093A"/>
    <w:rsid w:val="00390E1E"/>
    <w:rsid w:val="00390F3F"/>
    <w:rsid w:val="00390FC8"/>
    <w:rsid w:val="00391469"/>
    <w:rsid w:val="00391AC3"/>
    <w:rsid w:val="003925EC"/>
    <w:rsid w:val="00392D0A"/>
    <w:rsid w:val="00392F02"/>
    <w:rsid w:val="00393819"/>
    <w:rsid w:val="003939A3"/>
    <w:rsid w:val="00394644"/>
    <w:rsid w:val="00394E9C"/>
    <w:rsid w:val="00394FF5"/>
    <w:rsid w:val="003950F8"/>
    <w:rsid w:val="00395619"/>
    <w:rsid w:val="003957EA"/>
    <w:rsid w:val="003964CA"/>
    <w:rsid w:val="003966A8"/>
    <w:rsid w:val="00396746"/>
    <w:rsid w:val="003969B8"/>
    <w:rsid w:val="00397AFF"/>
    <w:rsid w:val="003A0545"/>
    <w:rsid w:val="003A1CE2"/>
    <w:rsid w:val="003A2692"/>
    <w:rsid w:val="003A2B52"/>
    <w:rsid w:val="003A2B79"/>
    <w:rsid w:val="003A2C31"/>
    <w:rsid w:val="003A360D"/>
    <w:rsid w:val="003A3A00"/>
    <w:rsid w:val="003A3C45"/>
    <w:rsid w:val="003A3F55"/>
    <w:rsid w:val="003A4AB6"/>
    <w:rsid w:val="003A51C2"/>
    <w:rsid w:val="003A5371"/>
    <w:rsid w:val="003A53BE"/>
    <w:rsid w:val="003A5B7F"/>
    <w:rsid w:val="003A5C46"/>
    <w:rsid w:val="003A5CCA"/>
    <w:rsid w:val="003A5D81"/>
    <w:rsid w:val="003A5D8F"/>
    <w:rsid w:val="003A5E46"/>
    <w:rsid w:val="003A6486"/>
    <w:rsid w:val="003A656C"/>
    <w:rsid w:val="003A6CE1"/>
    <w:rsid w:val="003A7956"/>
    <w:rsid w:val="003B17D3"/>
    <w:rsid w:val="003B1840"/>
    <w:rsid w:val="003B358A"/>
    <w:rsid w:val="003B4258"/>
    <w:rsid w:val="003B4B19"/>
    <w:rsid w:val="003B4E8C"/>
    <w:rsid w:val="003B5293"/>
    <w:rsid w:val="003B55B1"/>
    <w:rsid w:val="003B579C"/>
    <w:rsid w:val="003B58C7"/>
    <w:rsid w:val="003B6DCE"/>
    <w:rsid w:val="003B6E8B"/>
    <w:rsid w:val="003B7248"/>
    <w:rsid w:val="003B77A3"/>
    <w:rsid w:val="003C01EC"/>
    <w:rsid w:val="003C090F"/>
    <w:rsid w:val="003C1915"/>
    <w:rsid w:val="003C24E4"/>
    <w:rsid w:val="003C3204"/>
    <w:rsid w:val="003C3EDE"/>
    <w:rsid w:val="003C3F8E"/>
    <w:rsid w:val="003C3FE3"/>
    <w:rsid w:val="003C4020"/>
    <w:rsid w:val="003C40D4"/>
    <w:rsid w:val="003C43A6"/>
    <w:rsid w:val="003C51FF"/>
    <w:rsid w:val="003C520E"/>
    <w:rsid w:val="003C53DD"/>
    <w:rsid w:val="003C55A7"/>
    <w:rsid w:val="003C60B6"/>
    <w:rsid w:val="003C7588"/>
    <w:rsid w:val="003C7692"/>
    <w:rsid w:val="003C7D50"/>
    <w:rsid w:val="003D0140"/>
    <w:rsid w:val="003D0668"/>
    <w:rsid w:val="003D0713"/>
    <w:rsid w:val="003D0B15"/>
    <w:rsid w:val="003D11CE"/>
    <w:rsid w:val="003D1399"/>
    <w:rsid w:val="003D1F1C"/>
    <w:rsid w:val="003D22C7"/>
    <w:rsid w:val="003D2432"/>
    <w:rsid w:val="003D2C49"/>
    <w:rsid w:val="003D3644"/>
    <w:rsid w:val="003D36D9"/>
    <w:rsid w:val="003D3863"/>
    <w:rsid w:val="003D3AFC"/>
    <w:rsid w:val="003D43EE"/>
    <w:rsid w:val="003D461F"/>
    <w:rsid w:val="003D4C21"/>
    <w:rsid w:val="003D68A3"/>
    <w:rsid w:val="003D690C"/>
    <w:rsid w:val="003D7A70"/>
    <w:rsid w:val="003E0347"/>
    <w:rsid w:val="003E0BC5"/>
    <w:rsid w:val="003E15F0"/>
    <w:rsid w:val="003E1E8C"/>
    <w:rsid w:val="003E2015"/>
    <w:rsid w:val="003E30F5"/>
    <w:rsid w:val="003E3348"/>
    <w:rsid w:val="003E338A"/>
    <w:rsid w:val="003E3E1F"/>
    <w:rsid w:val="003E3E8B"/>
    <w:rsid w:val="003E58B4"/>
    <w:rsid w:val="003E7903"/>
    <w:rsid w:val="003E7E26"/>
    <w:rsid w:val="003F0069"/>
    <w:rsid w:val="003F044B"/>
    <w:rsid w:val="003F1186"/>
    <w:rsid w:val="003F1E7D"/>
    <w:rsid w:val="003F208A"/>
    <w:rsid w:val="003F2371"/>
    <w:rsid w:val="003F2486"/>
    <w:rsid w:val="003F24A0"/>
    <w:rsid w:val="003F25A1"/>
    <w:rsid w:val="003F3AE4"/>
    <w:rsid w:val="003F3CDF"/>
    <w:rsid w:val="003F430E"/>
    <w:rsid w:val="003F479D"/>
    <w:rsid w:val="003F4F3B"/>
    <w:rsid w:val="003F73E2"/>
    <w:rsid w:val="003F7FA2"/>
    <w:rsid w:val="00400C86"/>
    <w:rsid w:val="00401434"/>
    <w:rsid w:val="00402091"/>
    <w:rsid w:val="004021D3"/>
    <w:rsid w:val="00402ADB"/>
    <w:rsid w:val="00402E1A"/>
    <w:rsid w:val="00403356"/>
    <w:rsid w:val="004035FE"/>
    <w:rsid w:val="00403678"/>
    <w:rsid w:val="00403E2A"/>
    <w:rsid w:val="004052D5"/>
    <w:rsid w:val="00405B67"/>
    <w:rsid w:val="00405CF0"/>
    <w:rsid w:val="00405DA4"/>
    <w:rsid w:val="00405E9E"/>
    <w:rsid w:val="004061C8"/>
    <w:rsid w:val="00406A7A"/>
    <w:rsid w:val="00406FFD"/>
    <w:rsid w:val="004104E4"/>
    <w:rsid w:val="00410627"/>
    <w:rsid w:val="004106A4"/>
    <w:rsid w:val="00410CA5"/>
    <w:rsid w:val="00410F3D"/>
    <w:rsid w:val="00411462"/>
    <w:rsid w:val="00412162"/>
    <w:rsid w:val="00412C9B"/>
    <w:rsid w:val="00412E95"/>
    <w:rsid w:val="00414672"/>
    <w:rsid w:val="00414B67"/>
    <w:rsid w:val="00414C66"/>
    <w:rsid w:val="00414E2E"/>
    <w:rsid w:val="00420795"/>
    <w:rsid w:val="00420D9E"/>
    <w:rsid w:val="00421B0C"/>
    <w:rsid w:val="00421DC1"/>
    <w:rsid w:val="004229BE"/>
    <w:rsid w:val="00422E04"/>
    <w:rsid w:val="004235FF"/>
    <w:rsid w:val="00423D1F"/>
    <w:rsid w:val="00424030"/>
    <w:rsid w:val="004242EB"/>
    <w:rsid w:val="00425083"/>
    <w:rsid w:val="00425745"/>
    <w:rsid w:val="00425BFC"/>
    <w:rsid w:val="00426DD8"/>
    <w:rsid w:val="0042702E"/>
    <w:rsid w:val="00427042"/>
    <w:rsid w:val="004271D6"/>
    <w:rsid w:val="004273C1"/>
    <w:rsid w:val="00427866"/>
    <w:rsid w:val="00427905"/>
    <w:rsid w:val="00427C4E"/>
    <w:rsid w:val="00427ECD"/>
    <w:rsid w:val="004300D8"/>
    <w:rsid w:val="004308D4"/>
    <w:rsid w:val="004312B0"/>
    <w:rsid w:val="004324C1"/>
    <w:rsid w:val="0043262A"/>
    <w:rsid w:val="00432F39"/>
    <w:rsid w:val="00433CAB"/>
    <w:rsid w:val="00433FBA"/>
    <w:rsid w:val="004342F5"/>
    <w:rsid w:val="004345DD"/>
    <w:rsid w:val="004349A4"/>
    <w:rsid w:val="00434CCC"/>
    <w:rsid w:val="004351E1"/>
    <w:rsid w:val="00435EC2"/>
    <w:rsid w:val="00435FC6"/>
    <w:rsid w:val="00436A5C"/>
    <w:rsid w:val="00436C66"/>
    <w:rsid w:val="004373AB"/>
    <w:rsid w:val="00441AF6"/>
    <w:rsid w:val="00441EAA"/>
    <w:rsid w:val="004420EC"/>
    <w:rsid w:val="00442685"/>
    <w:rsid w:val="00442D77"/>
    <w:rsid w:val="00443DB8"/>
    <w:rsid w:val="00444D9D"/>
    <w:rsid w:val="00444DBA"/>
    <w:rsid w:val="004458F8"/>
    <w:rsid w:val="00446402"/>
    <w:rsid w:val="004464C7"/>
    <w:rsid w:val="00446539"/>
    <w:rsid w:val="00446BF6"/>
    <w:rsid w:val="00447458"/>
    <w:rsid w:val="0044749D"/>
    <w:rsid w:val="0044781A"/>
    <w:rsid w:val="00447909"/>
    <w:rsid w:val="00447FBF"/>
    <w:rsid w:val="0045018A"/>
    <w:rsid w:val="00450518"/>
    <w:rsid w:val="004508C3"/>
    <w:rsid w:val="00451B35"/>
    <w:rsid w:val="004525CB"/>
    <w:rsid w:val="004534AE"/>
    <w:rsid w:val="00453908"/>
    <w:rsid w:val="004539E1"/>
    <w:rsid w:val="004540EB"/>
    <w:rsid w:val="00454D28"/>
    <w:rsid w:val="00454ED5"/>
    <w:rsid w:val="00455C8D"/>
    <w:rsid w:val="004573F3"/>
    <w:rsid w:val="0045779C"/>
    <w:rsid w:val="00461BB3"/>
    <w:rsid w:val="00461D39"/>
    <w:rsid w:val="00461E33"/>
    <w:rsid w:val="0046207E"/>
    <w:rsid w:val="0046268E"/>
    <w:rsid w:val="00462FB8"/>
    <w:rsid w:val="004649EF"/>
    <w:rsid w:val="00464AF1"/>
    <w:rsid w:val="00465CE0"/>
    <w:rsid w:val="00465DC7"/>
    <w:rsid w:val="00466801"/>
    <w:rsid w:val="00466856"/>
    <w:rsid w:val="0046738D"/>
    <w:rsid w:val="00471C7E"/>
    <w:rsid w:val="00471D10"/>
    <w:rsid w:val="00472668"/>
    <w:rsid w:val="0047440A"/>
    <w:rsid w:val="004745B5"/>
    <w:rsid w:val="004759E8"/>
    <w:rsid w:val="00475A9D"/>
    <w:rsid w:val="00476098"/>
    <w:rsid w:val="00476D66"/>
    <w:rsid w:val="00480F72"/>
    <w:rsid w:val="00481D76"/>
    <w:rsid w:val="00481E05"/>
    <w:rsid w:val="004820DF"/>
    <w:rsid w:val="00482E2E"/>
    <w:rsid w:val="00482F8B"/>
    <w:rsid w:val="00483546"/>
    <w:rsid w:val="00483907"/>
    <w:rsid w:val="00484A76"/>
    <w:rsid w:val="00484C37"/>
    <w:rsid w:val="004850AB"/>
    <w:rsid w:val="004856D7"/>
    <w:rsid w:val="0048637D"/>
    <w:rsid w:val="0048667D"/>
    <w:rsid w:val="00486F3F"/>
    <w:rsid w:val="0049000A"/>
    <w:rsid w:val="004904B9"/>
    <w:rsid w:val="004916F1"/>
    <w:rsid w:val="00491AE2"/>
    <w:rsid w:val="00492150"/>
    <w:rsid w:val="00492B2F"/>
    <w:rsid w:val="00493E2E"/>
    <w:rsid w:val="004940F6"/>
    <w:rsid w:val="00495A3E"/>
    <w:rsid w:val="00495ADE"/>
    <w:rsid w:val="00495E04"/>
    <w:rsid w:val="00496323"/>
    <w:rsid w:val="00496B85"/>
    <w:rsid w:val="004972B9"/>
    <w:rsid w:val="00497BEC"/>
    <w:rsid w:val="00497FD3"/>
    <w:rsid w:val="00497FDC"/>
    <w:rsid w:val="004A07B7"/>
    <w:rsid w:val="004A0B4F"/>
    <w:rsid w:val="004A0C66"/>
    <w:rsid w:val="004A1AFD"/>
    <w:rsid w:val="004A23B3"/>
    <w:rsid w:val="004A2D98"/>
    <w:rsid w:val="004A3C5F"/>
    <w:rsid w:val="004A4D55"/>
    <w:rsid w:val="004A58D0"/>
    <w:rsid w:val="004A5DB9"/>
    <w:rsid w:val="004A60D6"/>
    <w:rsid w:val="004A6A2A"/>
    <w:rsid w:val="004A6DA3"/>
    <w:rsid w:val="004A72B4"/>
    <w:rsid w:val="004A7EF4"/>
    <w:rsid w:val="004B12B1"/>
    <w:rsid w:val="004B1E7F"/>
    <w:rsid w:val="004B1EC4"/>
    <w:rsid w:val="004B2140"/>
    <w:rsid w:val="004B227F"/>
    <w:rsid w:val="004B2352"/>
    <w:rsid w:val="004B285C"/>
    <w:rsid w:val="004B2D20"/>
    <w:rsid w:val="004B3990"/>
    <w:rsid w:val="004B3A7C"/>
    <w:rsid w:val="004B4048"/>
    <w:rsid w:val="004B50B4"/>
    <w:rsid w:val="004B5916"/>
    <w:rsid w:val="004B5C7A"/>
    <w:rsid w:val="004B5FE0"/>
    <w:rsid w:val="004B72E8"/>
    <w:rsid w:val="004B796A"/>
    <w:rsid w:val="004B79FD"/>
    <w:rsid w:val="004C089C"/>
    <w:rsid w:val="004C1149"/>
    <w:rsid w:val="004C1955"/>
    <w:rsid w:val="004C19BE"/>
    <w:rsid w:val="004C259A"/>
    <w:rsid w:val="004C2A1C"/>
    <w:rsid w:val="004C2E7C"/>
    <w:rsid w:val="004C41A8"/>
    <w:rsid w:val="004C7054"/>
    <w:rsid w:val="004C748C"/>
    <w:rsid w:val="004C78CC"/>
    <w:rsid w:val="004D011F"/>
    <w:rsid w:val="004D03EF"/>
    <w:rsid w:val="004D0825"/>
    <w:rsid w:val="004D08AF"/>
    <w:rsid w:val="004D130B"/>
    <w:rsid w:val="004D1711"/>
    <w:rsid w:val="004D264D"/>
    <w:rsid w:val="004D3524"/>
    <w:rsid w:val="004D38DC"/>
    <w:rsid w:val="004D3B2B"/>
    <w:rsid w:val="004D42DC"/>
    <w:rsid w:val="004D4C2E"/>
    <w:rsid w:val="004D4E53"/>
    <w:rsid w:val="004D55AC"/>
    <w:rsid w:val="004D65CD"/>
    <w:rsid w:val="004D6A62"/>
    <w:rsid w:val="004E0958"/>
    <w:rsid w:val="004E0E06"/>
    <w:rsid w:val="004E0E36"/>
    <w:rsid w:val="004E1831"/>
    <w:rsid w:val="004E1BC2"/>
    <w:rsid w:val="004E1F96"/>
    <w:rsid w:val="004E2508"/>
    <w:rsid w:val="004E2A79"/>
    <w:rsid w:val="004E311E"/>
    <w:rsid w:val="004E381B"/>
    <w:rsid w:val="004E5CEF"/>
    <w:rsid w:val="004E61B3"/>
    <w:rsid w:val="004E727E"/>
    <w:rsid w:val="004E76A3"/>
    <w:rsid w:val="004E7A0A"/>
    <w:rsid w:val="004E7CE0"/>
    <w:rsid w:val="004E7D92"/>
    <w:rsid w:val="004F09BC"/>
    <w:rsid w:val="004F0ADA"/>
    <w:rsid w:val="004F164D"/>
    <w:rsid w:val="004F1B4E"/>
    <w:rsid w:val="004F1C07"/>
    <w:rsid w:val="004F286F"/>
    <w:rsid w:val="004F2985"/>
    <w:rsid w:val="004F2FF3"/>
    <w:rsid w:val="004F3DBA"/>
    <w:rsid w:val="004F427A"/>
    <w:rsid w:val="004F4DC7"/>
    <w:rsid w:val="004F4F80"/>
    <w:rsid w:val="004F509B"/>
    <w:rsid w:val="004F5402"/>
    <w:rsid w:val="004F5CED"/>
    <w:rsid w:val="004F666F"/>
    <w:rsid w:val="004F669B"/>
    <w:rsid w:val="004F6E35"/>
    <w:rsid w:val="004F75A5"/>
    <w:rsid w:val="004F7912"/>
    <w:rsid w:val="0050005C"/>
    <w:rsid w:val="00500BF7"/>
    <w:rsid w:val="00500CF4"/>
    <w:rsid w:val="00501E50"/>
    <w:rsid w:val="00501F12"/>
    <w:rsid w:val="005035A3"/>
    <w:rsid w:val="00503C91"/>
    <w:rsid w:val="005043CF"/>
    <w:rsid w:val="005047BF"/>
    <w:rsid w:val="00505173"/>
    <w:rsid w:val="005051C1"/>
    <w:rsid w:val="005052BD"/>
    <w:rsid w:val="005058FD"/>
    <w:rsid w:val="00505A27"/>
    <w:rsid w:val="00506846"/>
    <w:rsid w:val="00506AE5"/>
    <w:rsid w:val="00506D97"/>
    <w:rsid w:val="00510288"/>
    <w:rsid w:val="00510971"/>
    <w:rsid w:val="00510FAD"/>
    <w:rsid w:val="005112F7"/>
    <w:rsid w:val="00511491"/>
    <w:rsid w:val="00511A92"/>
    <w:rsid w:val="00511D60"/>
    <w:rsid w:val="0051251B"/>
    <w:rsid w:val="0051282E"/>
    <w:rsid w:val="00513C2A"/>
    <w:rsid w:val="00515C37"/>
    <w:rsid w:val="005166B6"/>
    <w:rsid w:val="005168F9"/>
    <w:rsid w:val="00516E0A"/>
    <w:rsid w:val="00517C91"/>
    <w:rsid w:val="005208AF"/>
    <w:rsid w:val="00521516"/>
    <w:rsid w:val="0052176F"/>
    <w:rsid w:val="00521F59"/>
    <w:rsid w:val="005226D5"/>
    <w:rsid w:val="00522CDC"/>
    <w:rsid w:val="00523557"/>
    <w:rsid w:val="00523BCC"/>
    <w:rsid w:val="0052493A"/>
    <w:rsid w:val="00525484"/>
    <w:rsid w:val="005258D3"/>
    <w:rsid w:val="00525BD8"/>
    <w:rsid w:val="00525F5C"/>
    <w:rsid w:val="00526183"/>
    <w:rsid w:val="00526480"/>
    <w:rsid w:val="00526FEB"/>
    <w:rsid w:val="005320F7"/>
    <w:rsid w:val="00532A37"/>
    <w:rsid w:val="00533282"/>
    <w:rsid w:val="005334F2"/>
    <w:rsid w:val="00533B14"/>
    <w:rsid w:val="00533EFF"/>
    <w:rsid w:val="005346B6"/>
    <w:rsid w:val="00535187"/>
    <w:rsid w:val="00535A9A"/>
    <w:rsid w:val="00535EC5"/>
    <w:rsid w:val="005360E9"/>
    <w:rsid w:val="0053658C"/>
    <w:rsid w:val="00536D0F"/>
    <w:rsid w:val="00537DB5"/>
    <w:rsid w:val="005406DD"/>
    <w:rsid w:val="00541106"/>
    <w:rsid w:val="005413EC"/>
    <w:rsid w:val="00541870"/>
    <w:rsid w:val="00542146"/>
    <w:rsid w:val="0054303E"/>
    <w:rsid w:val="00543113"/>
    <w:rsid w:val="00543A83"/>
    <w:rsid w:val="00545721"/>
    <w:rsid w:val="005457B9"/>
    <w:rsid w:val="00545F27"/>
    <w:rsid w:val="00546F21"/>
    <w:rsid w:val="005472ED"/>
    <w:rsid w:val="00547806"/>
    <w:rsid w:val="00547FDC"/>
    <w:rsid w:val="00550476"/>
    <w:rsid w:val="005516CA"/>
    <w:rsid w:val="005527B1"/>
    <w:rsid w:val="0055288E"/>
    <w:rsid w:val="00554ED7"/>
    <w:rsid w:val="005552C4"/>
    <w:rsid w:val="0055532A"/>
    <w:rsid w:val="00556D01"/>
    <w:rsid w:val="0055799E"/>
    <w:rsid w:val="005579AB"/>
    <w:rsid w:val="00560BD8"/>
    <w:rsid w:val="0056122B"/>
    <w:rsid w:val="00562012"/>
    <w:rsid w:val="00562713"/>
    <w:rsid w:val="00562FB4"/>
    <w:rsid w:val="00562FC2"/>
    <w:rsid w:val="0056310E"/>
    <w:rsid w:val="00563131"/>
    <w:rsid w:val="00563278"/>
    <w:rsid w:val="00563B30"/>
    <w:rsid w:val="00564749"/>
    <w:rsid w:val="005662D1"/>
    <w:rsid w:val="005667F1"/>
    <w:rsid w:val="00570080"/>
    <w:rsid w:val="005700D6"/>
    <w:rsid w:val="00570138"/>
    <w:rsid w:val="00570200"/>
    <w:rsid w:val="00570B0B"/>
    <w:rsid w:val="00570BC9"/>
    <w:rsid w:val="00571D57"/>
    <w:rsid w:val="00572122"/>
    <w:rsid w:val="005733B8"/>
    <w:rsid w:val="00573902"/>
    <w:rsid w:val="005754DC"/>
    <w:rsid w:val="005755F3"/>
    <w:rsid w:val="0057589C"/>
    <w:rsid w:val="005773F8"/>
    <w:rsid w:val="00577FC4"/>
    <w:rsid w:val="005805AB"/>
    <w:rsid w:val="00580648"/>
    <w:rsid w:val="00580721"/>
    <w:rsid w:val="00580AC1"/>
    <w:rsid w:val="00580FD4"/>
    <w:rsid w:val="0058188D"/>
    <w:rsid w:val="00582BDF"/>
    <w:rsid w:val="0058389D"/>
    <w:rsid w:val="005845C8"/>
    <w:rsid w:val="00584B71"/>
    <w:rsid w:val="005852B1"/>
    <w:rsid w:val="00585A27"/>
    <w:rsid w:val="005862DD"/>
    <w:rsid w:val="00586593"/>
    <w:rsid w:val="00587081"/>
    <w:rsid w:val="00587532"/>
    <w:rsid w:val="005876EB"/>
    <w:rsid w:val="00587E3A"/>
    <w:rsid w:val="00590E15"/>
    <w:rsid w:val="0059232C"/>
    <w:rsid w:val="005923ED"/>
    <w:rsid w:val="005924ED"/>
    <w:rsid w:val="00592888"/>
    <w:rsid w:val="005929F1"/>
    <w:rsid w:val="00592F02"/>
    <w:rsid w:val="00593339"/>
    <w:rsid w:val="00593936"/>
    <w:rsid w:val="00593AB3"/>
    <w:rsid w:val="005941CA"/>
    <w:rsid w:val="005961A0"/>
    <w:rsid w:val="005963C0"/>
    <w:rsid w:val="00596402"/>
    <w:rsid w:val="00596FA8"/>
    <w:rsid w:val="00597134"/>
    <w:rsid w:val="005973CB"/>
    <w:rsid w:val="00597734"/>
    <w:rsid w:val="005A0C6B"/>
    <w:rsid w:val="005A1068"/>
    <w:rsid w:val="005A170D"/>
    <w:rsid w:val="005A1D11"/>
    <w:rsid w:val="005A1F9B"/>
    <w:rsid w:val="005A2580"/>
    <w:rsid w:val="005A3120"/>
    <w:rsid w:val="005A3743"/>
    <w:rsid w:val="005A3757"/>
    <w:rsid w:val="005A3791"/>
    <w:rsid w:val="005A3A54"/>
    <w:rsid w:val="005A466E"/>
    <w:rsid w:val="005A4939"/>
    <w:rsid w:val="005A527C"/>
    <w:rsid w:val="005A5E04"/>
    <w:rsid w:val="005A6250"/>
    <w:rsid w:val="005A64B8"/>
    <w:rsid w:val="005A6A36"/>
    <w:rsid w:val="005A6BA2"/>
    <w:rsid w:val="005A722C"/>
    <w:rsid w:val="005A78F5"/>
    <w:rsid w:val="005A7B17"/>
    <w:rsid w:val="005B01CE"/>
    <w:rsid w:val="005B02A0"/>
    <w:rsid w:val="005B05AB"/>
    <w:rsid w:val="005B1138"/>
    <w:rsid w:val="005B59FA"/>
    <w:rsid w:val="005B5AE8"/>
    <w:rsid w:val="005B5FA7"/>
    <w:rsid w:val="005B5FD5"/>
    <w:rsid w:val="005B74C1"/>
    <w:rsid w:val="005B765A"/>
    <w:rsid w:val="005B7E87"/>
    <w:rsid w:val="005C049B"/>
    <w:rsid w:val="005C06A1"/>
    <w:rsid w:val="005C16A8"/>
    <w:rsid w:val="005C1984"/>
    <w:rsid w:val="005C1F50"/>
    <w:rsid w:val="005C20EE"/>
    <w:rsid w:val="005C2CA9"/>
    <w:rsid w:val="005C3442"/>
    <w:rsid w:val="005C3566"/>
    <w:rsid w:val="005C3B73"/>
    <w:rsid w:val="005C4A6E"/>
    <w:rsid w:val="005C4DFA"/>
    <w:rsid w:val="005C5188"/>
    <w:rsid w:val="005C54AE"/>
    <w:rsid w:val="005C608A"/>
    <w:rsid w:val="005C6487"/>
    <w:rsid w:val="005C64C9"/>
    <w:rsid w:val="005C6E18"/>
    <w:rsid w:val="005C7E82"/>
    <w:rsid w:val="005C7E98"/>
    <w:rsid w:val="005C7F8D"/>
    <w:rsid w:val="005D0DA2"/>
    <w:rsid w:val="005D16AC"/>
    <w:rsid w:val="005D16D2"/>
    <w:rsid w:val="005D1B85"/>
    <w:rsid w:val="005D1C31"/>
    <w:rsid w:val="005D2500"/>
    <w:rsid w:val="005D27C2"/>
    <w:rsid w:val="005D2849"/>
    <w:rsid w:val="005D2978"/>
    <w:rsid w:val="005D3F85"/>
    <w:rsid w:val="005D4084"/>
    <w:rsid w:val="005D4307"/>
    <w:rsid w:val="005D4432"/>
    <w:rsid w:val="005D473C"/>
    <w:rsid w:val="005D49C7"/>
    <w:rsid w:val="005D4F15"/>
    <w:rsid w:val="005D577B"/>
    <w:rsid w:val="005D57E0"/>
    <w:rsid w:val="005D57F2"/>
    <w:rsid w:val="005D58CC"/>
    <w:rsid w:val="005D5D34"/>
    <w:rsid w:val="005D604C"/>
    <w:rsid w:val="005D6210"/>
    <w:rsid w:val="005D6F85"/>
    <w:rsid w:val="005E01C0"/>
    <w:rsid w:val="005E04B5"/>
    <w:rsid w:val="005E150A"/>
    <w:rsid w:val="005E1D5B"/>
    <w:rsid w:val="005E27AB"/>
    <w:rsid w:val="005E45FD"/>
    <w:rsid w:val="005E5069"/>
    <w:rsid w:val="005E51D1"/>
    <w:rsid w:val="005E5FBC"/>
    <w:rsid w:val="005E6160"/>
    <w:rsid w:val="005E6162"/>
    <w:rsid w:val="005E65DD"/>
    <w:rsid w:val="005E7145"/>
    <w:rsid w:val="005E7200"/>
    <w:rsid w:val="005E79D6"/>
    <w:rsid w:val="005E7D76"/>
    <w:rsid w:val="005E7F8F"/>
    <w:rsid w:val="005F17AD"/>
    <w:rsid w:val="005F248E"/>
    <w:rsid w:val="005F3097"/>
    <w:rsid w:val="005F3452"/>
    <w:rsid w:val="005F43EB"/>
    <w:rsid w:val="005F5965"/>
    <w:rsid w:val="005F5ECE"/>
    <w:rsid w:val="005F6073"/>
    <w:rsid w:val="005F6251"/>
    <w:rsid w:val="005F636B"/>
    <w:rsid w:val="006019B1"/>
    <w:rsid w:val="00602A1F"/>
    <w:rsid w:val="00603B4C"/>
    <w:rsid w:val="006053C0"/>
    <w:rsid w:val="00606D95"/>
    <w:rsid w:val="00606F47"/>
    <w:rsid w:val="00607900"/>
    <w:rsid w:val="006101D6"/>
    <w:rsid w:val="00610905"/>
    <w:rsid w:val="00610B4C"/>
    <w:rsid w:val="00611864"/>
    <w:rsid w:val="00611F87"/>
    <w:rsid w:val="006125A5"/>
    <w:rsid w:val="00612E5B"/>
    <w:rsid w:val="006130BB"/>
    <w:rsid w:val="00613743"/>
    <w:rsid w:val="00613A78"/>
    <w:rsid w:val="00613B3E"/>
    <w:rsid w:val="00613BCF"/>
    <w:rsid w:val="00614007"/>
    <w:rsid w:val="00614162"/>
    <w:rsid w:val="0061585B"/>
    <w:rsid w:val="0061639E"/>
    <w:rsid w:val="00616F2E"/>
    <w:rsid w:val="00621187"/>
    <w:rsid w:val="0062121F"/>
    <w:rsid w:val="006219A8"/>
    <w:rsid w:val="00621DA3"/>
    <w:rsid w:val="006227BB"/>
    <w:rsid w:val="00623AEC"/>
    <w:rsid w:val="006240BD"/>
    <w:rsid w:val="00624C59"/>
    <w:rsid w:val="00625107"/>
    <w:rsid w:val="00626561"/>
    <w:rsid w:val="00626D52"/>
    <w:rsid w:val="00626EB8"/>
    <w:rsid w:val="00627597"/>
    <w:rsid w:val="006277D5"/>
    <w:rsid w:val="00627FB3"/>
    <w:rsid w:val="00630308"/>
    <w:rsid w:val="0063032F"/>
    <w:rsid w:val="00630559"/>
    <w:rsid w:val="00630910"/>
    <w:rsid w:val="00630F8A"/>
    <w:rsid w:val="00631103"/>
    <w:rsid w:val="00631692"/>
    <w:rsid w:val="00635194"/>
    <w:rsid w:val="006358ED"/>
    <w:rsid w:val="00635FE3"/>
    <w:rsid w:val="00636724"/>
    <w:rsid w:val="006368EE"/>
    <w:rsid w:val="00636A58"/>
    <w:rsid w:val="0063712D"/>
    <w:rsid w:val="006378CF"/>
    <w:rsid w:val="006405D0"/>
    <w:rsid w:val="00641323"/>
    <w:rsid w:val="00641809"/>
    <w:rsid w:val="00642344"/>
    <w:rsid w:val="00642C73"/>
    <w:rsid w:val="006439C1"/>
    <w:rsid w:val="00643E19"/>
    <w:rsid w:val="00644118"/>
    <w:rsid w:val="0064519E"/>
    <w:rsid w:val="006457AF"/>
    <w:rsid w:val="0064581E"/>
    <w:rsid w:val="0064585E"/>
    <w:rsid w:val="006460ED"/>
    <w:rsid w:val="006469BC"/>
    <w:rsid w:val="00646C25"/>
    <w:rsid w:val="00647243"/>
    <w:rsid w:val="00647630"/>
    <w:rsid w:val="006477E6"/>
    <w:rsid w:val="0065098E"/>
    <w:rsid w:val="00650BF2"/>
    <w:rsid w:val="006517DA"/>
    <w:rsid w:val="00651C5E"/>
    <w:rsid w:val="00651F5A"/>
    <w:rsid w:val="006528D6"/>
    <w:rsid w:val="00652D3A"/>
    <w:rsid w:val="006531BA"/>
    <w:rsid w:val="006531E0"/>
    <w:rsid w:val="00653D92"/>
    <w:rsid w:val="00654051"/>
    <w:rsid w:val="00654382"/>
    <w:rsid w:val="0065464D"/>
    <w:rsid w:val="00654C0B"/>
    <w:rsid w:val="00655287"/>
    <w:rsid w:val="006577F4"/>
    <w:rsid w:val="0065792C"/>
    <w:rsid w:val="00660914"/>
    <w:rsid w:val="00660921"/>
    <w:rsid w:val="0066105C"/>
    <w:rsid w:val="0066218C"/>
    <w:rsid w:val="00662FA8"/>
    <w:rsid w:val="006635DA"/>
    <w:rsid w:val="006639FB"/>
    <w:rsid w:val="0066405E"/>
    <w:rsid w:val="00664A7D"/>
    <w:rsid w:val="00664DEB"/>
    <w:rsid w:val="006659E8"/>
    <w:rsid w:val="00665AE5"/>
    <w:rsid w:val="00665CED"/>
    <w:rsid w:val="0066670A"/>
    <w:rsid w:val="00667C20"/>
    <w:rsid w:val="00667C99"/>
    <w:rsid w:val="00670FB4"/>
    <w:rsid w:val="006716CD"/>
    <w:rsid w:val="00672228"/>
    <w:rsid w:val="00672810"/>
    <w:rsid w:val="0067499E"/>
    <w:rsid w:val="00674C8D"/>
    <w:rsid w:val="006752DA"/>
    <w:rsid w:val="00675549"/>
    <w:rsid w:val="00675DAC"/>
    <w:rsid w:val="00675E28"/>
    <w:rsid w:val="006771C0"/>
    <w:rsid w:val="0067773E"/>
    <w:rsid w:val="006803F8"/>
    <w:rsid w:val="006824F9"/>
    <w:rsid w:val="006826CA"/>
    <w:rsid w:val="006835D5"/>
    <w:rsid w:val="0068374D"/>
    <w:rsid w:val="00683CB8"/>
    <w:rsid w:val="0068413E"/>
    <w:rsid w:val="00684515"/>
    <w:rsid w:val="00685632"/>
    <w:rsid w:val="00685685"/>
    <w:rsid w:val="00686E67"/>
    <w:rsid w:val="006870AC"/>
    <w:rsid w:val="0068786F"/>
    <w:rsid w:val="00687A75"/>
    <w:rsid w:val="00687B89"/>
    <w:rsid w:val="0069023E"/>
    <w:rsid w:val="006909B4"/>
    <w:rsid w:val="00690EA3"/>
    <w:rsid w:val="00691511"/>
    <w:rsid w:val="00691829"/>
    <w:rsid w:val="00691A3C"/>
    <w:rsid w:val="00692036"/>
    <w:rsid w:val="0069242E"/>
    <w:rsid w:val="00692DBD"/>
    <w:rsid w:val="00694AFE"/>
    <w:rsid w:val="00694D06"/>
    <w:rsid w:val="00695529"/>
    <w:rsid w:val="00695DF7"/>
    <w:rsid w:val="0069669C"/>
    <w:rsid w:val="00697408"/>
    <w:rsid w:val="00697580"/>
    <w:rsid w:val="00697920"/>
    <w:rsid w:val="00697D0E"/>
    <w:rsid w:val="006A0830"/>
    <w:rsid w:val="006A0908"/>
    <w:rsid w:val="006A0CBA"/>
    <w:rsid w:val="006A0E41"/>
    <w:rsid w:val="006A1198"/>
    <w:rsid w:val="006A1F2C"/>
    <w:rsid w:val="006A30CB"/>
    <w:rsid w:val="006A31DB"/>
    <w:rsid w:val="006A46FB"/>
    <w:rsid w:val="006A5164"/>
    <w:rsid w:val="006A567A"/>
    <w:rsid w:val="006A5751"/>
    <w:rsid w:val="006A5818"/>
    <w:rsid w:val="006A5C12"/>
    <w:rsid w:val="006A5EAE"/>
    <w:rsid w:val="006A60D1"/>
    <w:rsid w:val="006A657C"/>
    <w:rsid w:val="006A7088"/>
    <w:rsid w:val="006A7621"/>
    <w:rsid w:val="006A7A73"/>
    <w:rsid w:val="006A7EEA"/>
    <w:rsid w:val="006B0388"/>
    <w:rsid w:val="006B07E8"/>
    <w:rsid w:val="006B080E"/>
    <w:rsid w:val="006B109A"/>
    <w:rsid w:val="006B1105"/>
    <w:rsid w:val="006B19AD"/>
    <w:rsid w:val="006B2ED8"/>
    <w:rsid w:val="006B2F12"/>
    <w:rsid w:val="006B3BAA"/>
    <w:rsid w:val="006B3F17"/>
    <w:rsid w:val="006B4EFA"/>
    <w:rsid w:val="006B5BA8"/>
    <w:rsid w:val="006B6EE0"/>
    <w:rsid w:val="006B72CB"/>
    <w:rsid w:val="006B7F06"/>
    <w:rsid w:val="006C03F3"/>
    <w:rsid w:val="006C0CAD"/>
    <w:rsid w:val="006C0E82"/>
    <w:rsid w:val="006C1473"/>
    <w:rsid w:val="006C1F3C"/>
    <w:rsid w:val="006C28CB"/>
    <w:rsid w:val="006C3898"/>
    <w:rsid w:val="006C4BE0"/>
    <w:rsid w:val="006C64F9"/>
    <w:rsid w:val="006D24E3"/>
    <w:rsid w:val="006D2E4D"/>
    <w:rsid w:val="006D394C"/>
    <w:rsid w:val="006D467B"/>
    <w:rsid w:val="006D48C2"/>
    <w:rsid w:val="006D4938"/>
    <w:rsid w:val="006D626F"/>
    <w:rsid w:val="006D675A"/>
    <w:rsid w:val="006D68D4"/>
    <w:rsid w:val="006D74F5"/>
    <w:rsid w:val="006E02D1"/>
    <w:rsid w:val="006E0F3D"/>
    <w:rsid w:val="006E1360"/>
    <w:rsid w:val="006E195B"/>
    <w:rsid w:val="006E1CA1"/>
    <w:rsid w:val="006E1DC8"/>
    <w:rsid w:val="006E1F45"/>
    <w:rsid w:val="006E2FD4"/>
    <w:rsid w:val="006E3FDC"/>
    <w:rsid w:val="006E471D"/>
    <w:rsid w:val="006E4942"/>
    <w:rsid w:val="006E4B12"/>
    <w:rsid w:val="006E58EA"/>
    <w:rsid w:val="006E6B4E"/>
    <w:rsid w:val="006E746A"/>
    <w:rsid w:val="006E7512"/>
    <w:rsid w:val="006F02ED"/>
    <w:rsid w:val="006F06B3"/>
    <w:rsid w:val="006F0A8C"/>
    <w:rsid w:val="006F0BAC"/>
    <w:rsid w:val="006F1505"/>
    <w:rsid w:val="006F159D"/>
    <w:rsid w:val="006F1D1F"/>
    <w:rsid w:val="006F29CE"/>
    <w:rsid w:val="006F2B2F"/>
    <w:rsid w:val="006F2CBF"/>
    <w:rsid w:val="006F4DBD"/>
    <w:rsid w:val="006F4DC6"/>
    <w:rsid w:val="006F630B"/>
    <w:rsid w:val="006F6AC1"/>
    <w:rsid w:val="007015F6"/>
    <w:rsid w:val="0070235E"/>
    <w:rsid w:val="007024C6"/>
    <w:rsid w:val="00702783"/>
    <w:rsid w:val="00703213"/>
    <w:rsid w:val="00703FB6"/>
    <w:rsid w:val="0070401D"/>
    <w:rsid w:val="00705039"/>
    <w:rsid w:val="007050E2"/>
    <w:rsid w:val="00706C32"/>
    <w:rsid w:val="00707F3E"/>
    <w:rsid w:val="00710259"/>
    <w:rsid w:val="00710905"/>
    <w:rsid w:val="00711418"/>
    <w:rsid w:val="007119CF"/>
    <w:rsid w:val="00711A9D"/>
    <w:rsid w:val="007129A2"/>
    <w:rsid w:val="00712C52"/>
    <w:rsid w:val="00712CBD"/>
    <w:rsid w:val="00712F7F"/>
    <w:rsid w:val="00713023"/>
    <w:rsid w:val="0071460E"/>
    <w:rsid w:val="007148FE"/>
    <w:rsid w:val="00714BAE"/>
    <w:rsid w:val="00714EB2"/>
    <w:rsid w:val="0071542C"/>
    <w:rsid w:val="00716A68"/>
    <w:rsid w:val="00717053"/>
    <w:rsid w:val="00717488"/>
    <w:rsid w:val="00717A63"/>
    <w:rsid w:val="00717E09"/>
    <w:rsid w:val="0072041E"/>
    <w:rsid w:val="007207FF"/>
    <w:rsid w:val="00720926"/>
    <w:rsid w:val="00720BB7"/>
    <w:rsid w:val="00720C75"/>
    <w:rsid w:val="007211CE"/>
    <w:rsid w:val="007211FF"/>
    <w:rsid w:val="00721D7E"/>
    <w:rsid w:val="00722A62"/>
    <w:rsid w:val="00722D6E"/>
    <w:rsid w:val="00723376"/>
    <w:rsid w:val="007238BD"/>
    <w:rsid w:val="00724813"/>
    <w:rsid w:val="00724D1D"/>
    <w:rsid w:val="00724FD1"/>
    <w:rsid w:val="007273A0"/>
    <w:rsid w:val="00727905"/>
    <w:rsid w:val="00727D7B"/>
    <w:rsid w:val="00727EC7"/>
    <w:rsid w:val="0073007A"/>
    <w:rsid w:val="007311B1"/>
    <w:rsid w:val="00731458"/>
    <w:rsid w:val="0073194F"/>
    <w:rsid w:val="00731E41"/>
    <w:rsid w:val="007320BA"/>
    <w:rsid w:val="007329D4"/>
    <w:rsid w:val="00732A99"/>
    <w:rsid w:val="007332FB"/>
    <w:rsid w:val="007335AF"/>
    <w:rsid w:val="00733859"/>
    <w:rsid w:val="007347EC"/>
    <w:rsid w:val="00734974"/>
    <w:rsid w:val="00734EDA"/>
    <w:rsid w:val="00735177"/>
    <w:rsid w:val="007356FA"/>
    <w:rsid w:val="0073580E"/>
    <w:rsid w:val="00735A1E"/>
    <w:rsid w:val="00737370"/>
    <w:rsid w:val="007400F3"/>
    <w:rsid w:val="007403C4"/>
    <w:rsid w:val="00740D95"/>
    <w:rsid w:val="00740F60"/>
    <w:rsid w:val="007411C6"/>
    <w:rsid w:val="0074169E"/>
    <w:rsid w:val="00741EE0"/>
    <w:rsid w:val="007422CB"/>
    <w:rsid w:val="007437EC"/>
    <w:rsid w:val="0074402F"/>
    <w:rsid w:val="00744921"/>
    <w:rsid w:val="00745265"/>
    <w:rsid w:val="0074554C"/>
    <w:rsid w:val="007464A1"/>
    <w:rsid w:val="00746B30"/>
    <w:rsid w:val="00746EAE"/>
    <w:rsid w:val="00747386"/>
    <w:rsid w:val="0075022A"/>
    <w:rsid w:val="00751042"/>
    <w:rsid w:val="007510D3"/>
    <w:rsid w:val="00751809"/>
    <w:rsid w:val="00752C46"/>
    <w:rsid w:val="00752D9D"/>
    <w:rsid w:val="0075338C"/>
    <w:rsid w:val="0075435B"/>
    <w:rsid w:val="00754960"/>
    <w:rsid w:val="007553B9"/>
    <w:rsid w:val="00756A3A"/>
    <w:rsid w:val="007571C5"/>
    <w:rsid w:val="00760234"/>
    <w:rsid w:val="0076089A"/>
    <w:rsid w:val="00761D3D"/>
    <w:rsid w:val="0076224B"/>
    <w:rsid w:val="007625DA"/>
    <w:rsid w:val="007631AB"/>
    <w:rsid w:val="00763310"/>
    <w:rsid w:val="00763411"/>
    <w:rsid w:val="0076364B"/>
    <w:rsid w:val="00763956"/>
    <w:rsid w:val="00763F96"/>
    <w:rsid w:val="0076439D"/>
    <w:rsid w:val="00764535"/>
    <w:rsid w:val="00764746"/>
    <w:rsid w:val="00765234"/>
    <w:rsid w:val="007654B0"/>
    <w:rsid w:val="007676A9"/>
    <w:rsid w:val="007677AA"/>
    <w:rsid w:val="007704A4"/>
    <w:rsid w:val="00770A4D"/>
    <w:rsid w:val="0077172F"/>
    <w:rsid w:val="00771A18"/>
    <w:rsid w:val="00771D73"/>
    <w:rsid w:val="00771E11"/>
    <w:rsid w:val="00772BD4"/>
    <w:rsid w:val="007734B6"/>
    <w:rsid w:val="00774B66"/>
    <w:rsid w:val="00774D75"/>
    <w:rsid w:val="00775032"/>
    <w:rsid w:val="00775DC9"/>
    <w:rsid w:val="00775E5C"/>
    <w:rsid w:val="00777483"/>
    <w:rsid w:val="007776AA"/>
    <w:rsid w:val="00777E7D"/>
    <w:rsid w:val="007804F9"/>
    <w:rsid w:val="00781A65"/>
    <w:rsid w:val="00782FC1"/>
    <w:rsid w:val="0078346E"/>
    <w:rsid w:val="007838C6"/>
    <w:rsid w:val="00784B65"/>
    <w:rsid w:val="00784C48"/>
    <w:rsid w:val="00784CE9"/>
    <w:rsid w:val="00785B65"/>
    <w:rsid w:val="007861CD"/>
    <w:rsid w:val="00786C91"/>
    <w:rsid w:val="007872C6"/>
    <w:rsid w:val="007876BE"/>
    <w:rsid w:val="0078779E"/>
    <w:rsid w:val="007902CD"/>
    <w:rsid w:val="00791927"/>
    <w:rsid w:val="00791A90"/>
    <w:rsid w:val="00791FF7"/>
    <w:rsid w:val="00792294"/>
    <w:rsid w:val="00792A0A"/>
    <w:rsid w:val="00792C26"/>
    <w:rsid w:val="00792C32"/>
    <w:rsid w:val="00793A2D"/>
    <w:rsid w:val="00793FBC"/>
    <w:rsid w:val="0079464C"/>
    <w:rsid w:val="00794DFD"/>
    <w:rsid w:val="0079509E"/>
    <w:rsid w:val="007951EA"/>
    <w:rsid w:val="007952BC"/>
    <w:rsid w:val="00796E12"/>
    <w:rsid w:val="00797E2D"/>
    <w:rsid w:val="007A0BA4"/>
    <w:rsid w:val="007A0F0C"/>
    <w:rsid w:val="007A10B4"/>
    <w:rsid w:val="007A1752"/>
    <w:rsid w:val="007A1949"/>
    <w:rsid w:val="007A1B53"/>
    <w:rsid w:val="007A1D51"/>
    <w:rsid w:val="007A217F"/>
    <w:rsid w:val="007A219F"/>
    <w:rsid w:val="007A22F0"/>
    <w:rsid w:val="007A2650"/>
    <w:rsid w:val="007A2CB1"/>
    <w:rsid w:val="007A3310"/>
    <w:rsid w:val="007A355E"/>
    <w:rsid w:val="007A3DA7"/>
    <w:rsid w:val="007A3DF7"/>
    <w:rsid w:val="007A3FB9"/>
    <w:rsid w:val="007A4655"/>
    <w:rsid w:val="007A55A9"/>
    <w:rsid w:val="007A67C0"/>
    <w:rsid w:val="007A68FB"/>
    <w:rsid w:val="007A6CE7"/>
    <w:rsid w:val="007A7D87"/>
    <w:rsid w:val="007A7FC0"/>
    <w:rsid w:val="007B003E"/>
    <w:rsid w:val="007B0143"/>
    <w:rsid w:val="007B10AE"/>
    <w:rsid w:val="007B15B9"/>
    <w:rsid w:val="007B1DFB"/>
    <w:rsid w:val="007B2395"/>
    <w:rsid w:val="007B3548"/>
    <w:rsid w:val="007B4C14"/>
    <w:rsid w:val="007B6A44"/>
    <w:rsid w:val="007B7909"/>
    <w:rsid w:val="007C0A0E"/>
    <w:rsid w:val="007C1638"/>
    <w:rsid w:val="007C202D"/>
    <w:rsid w:val="007C2046"/>
    <w:rsid w:val="007C218F"/>
    <w:rsid w:val="007C3570"/>
    <w:rsid w:val="007C3A5B"/>
    <w:rsid w:val="007C47F2"/>
    <w:rsid w:val="007C5270"/>
    <w:rsid w:val="007C6164"/>
    <w:rsid w:val="007C66E1"/>
    <w:rsid w:val="007C675E"/>
    <w:rsid w:val="007C6A4D"/>
    <w:rsid w:val="007C7363"/>
    <w:rsid w:val="007D0B3A"/>
    <w:rsid w:val="007D12DB"/>
    <w:rsid w:val="007D1D4B"/>
    <w:rsid w:val="007D1D6D"/>
    <w:rsid w:val="007D23B1"/>
    <w:rsid w:val="007D2818"/>
    <w:rsid w:val="007D31BA"/>
    <w:rsid w:val="007D489C"/>
    <w:rsid w:val="007D552D"/>
    <w:rsid w:val="007D5C1E"/>
    <w:rsid w:val="007D5C2C"/>
    <w:rsid w:val="007D5F9E"/>
    <w:rsid w:val="007D6129"/>
    <w:rsid w:val="007D659E"/>
    <w:rsid w:val="007D6950"/>
    <w:rsid w:val="007D6976"/>
    <w:rsid w:val="007D7CE2"/>
    <w:rsid w:val="007D7FBD"/>
    <w:rsid w:val="007E03EE"/>
    <w:rsid w:val="007E07EC"/>
    <w:rsid w:val="007E0F56"/>
    <w:rsid w:val="007E1653"/>
    <w:rsid w:val="007E3E4E"/>
    <w:rsid w:val="007E3E85"/>
    <w:rsid w:val="007E42BD"/>
    <w:rsid w:val="007E439A"/>
    <w:rsid w:val="007E4603"/>
    <w:rsid w:val="007E47A5"/>
    <w:rsid w:val="007E5BE8"/>
    <w:rsid w:val="007E5D6A"/>
    <w:rsid w:val="007E636B"/>
    <w:rsid w:val="007E7835"/>
    <w:rsid w:val="007F018C"/>
    <w:rsid w:val="007F03A6"/>
    <w:rsid w:val="007F0565"/>
    <w:rsid w:val="007F0D46"/>
    <w:rsid w:val="007F19A5"/>
    <w:rsid w:val="007F1EB1"/>
    <w:rsid w:val="007F2894"/>
    <w:rsid w:val="007F2AA9"/>
    <w:rsid w:val="007F2CA5"/>
    <w:rsid w:val="007F2DBD"/>
    <w:rsid w:val="007F372F"/>
    <w:rsid w:val="007F453B"/>
    <w:rsid w:val="007F486C"/>
    <w:rsid w:val="007F55DC"/>
    <w:rsid w:val="007F564A"/>
    <w:rsid w:val="007F687D"/>
    <w:rsid w:val="007F6D79"/>
    <w:rsid w:val="007F75B7"/>
    <w:rsid w:val="007F7E00"/>
    <w:rsid w:val="007F7FF6"/>
    <w:rsid w:val="0080039F"/>
    <w:rsid w:val="008007F2"/>
    <w:rsid w:val="00800A8D"/>
    <w:rsid w:val="00800D8A"/>
    <w:rsid w:val="008017E6"/>
    <w:rsid w:val="0080185F"/>
    <w:rsid w:val="008018CB"/>
    <w:rsid w:val="00801CFD"/>
    <w:rsid w:val="00802009"/>
    <w:rsid w:val="00802067"/>
    <w:rsid w:val="00802281"/>
    <w:rsid w:val="00802DEF"/>
    <w:rsid w:val="00803E50"/>
    <w:rsid w:val="00804843"/>
    <w:rsid w:val="0080510A"/>
    <w:rsid w:val="008051C6"/>
    <w:rsid w:val="00805756"/>
    <w:rsid w:val="00805F2A"/>
    <w:rsid w:val="00806B75"/>
    <w:rsid w:val="008072C0"/>
    <w:rsid w:val="00807D5B"/>
    <w:rsid w:val="00807F85"/>
    <w:rsid w:val="008100C8"/>
    <w:rsid w:val="00810A5C"/>
    <w:rsid w:val="008122FF"/>
    <w:rsid w:val="008124A8"/>
    <w:rsid w:val="00813987"/>
    <w:rsid w:val="008141C3"/>
    <w:rsid w:val="0081490C"/>
    <w:rsid w:val="00814F3F"/>
    <w:rsid w:val="00815241"/>
    <w:rsid w:val="00820FAB"/>
    <w:rsid w:val="00821B97"/>
    <w:rsid w:val="0082228F"/>
    <w:rsid w:val="00822491"/>
    <w:rsid w:val="00822514"/>
    <w:rsid w:val="00822CDE"/>
    <w:rsid w:val="0082324C"/>
    <w:rsid w:val="008247B6"/>
    <w:rsid w:val="00826189"/>
    <w:rsid w:val="008269D4"/>
    <w:rsid w:val="00826E64"/>
    <w:rsid w:val="00826E9D"/>
    <w:rsid w:val="00827145"/>
    <w:rsid w:val="0082756A"/>
    <w:rsid w:val="0082756C"/>
    <w:rsid w:val="00827E25"/>
    <w:rsid w:val="00830330"/>
    <w:rsid w:val="00830714"/>
    <w:rsid w:val="008319B7"/>
    <w:rsid w:val="00832EE6"/>
    <w:rsid w:val="008331A5"/>
    <w:rsid w:val="00833A89"/>
    <w:rsid w:val="00834365"/>
    <w:rsid w:val="0083538A"/>
    <w:rsid w:val="00837249"/>
    <w:rsid w:val="00837486"/>
    <w:rsid w:val="008374FC"/>
    <w:rsid w:val="00840272"/>
    <w:rsid w:val="00840B5C"/>
    <w:rsid w:val="00841103"/>
    <w:rsid w:val="00841236"/>
    <w:rsid w:val="008415BA"/>
    <w:rsid w:val="00841B2C"/>
    <w:rsid w:val="00841C83"/>
    <w:rsid w:val="00841DF4"/>
    <w:rsid w:val="008423C2"/>
    <w:rsid w:val="00843F65"/>
    <w:rsid w:val="008446DD"/>
    <w:rsid w:val="00844C75"/>
    <w:rsid w:val="00845B6A"/>
    <w:rsid w:val="008461E4"/>
    <w:rsid w:val="0084642A"/>
    <w:rsid w:val="00846BF3"/>
    <w:rsid w:val="00847462"/>
    <w:rsid w:val="008474C8"/>
    <w:rsid w:val="0084795C"/>
    <w:rsid w:val="008507D3"/>
    <w:rsid w:val="00850D24"/>
    <w:rsid w:val="00851822"/>
    <w:rsid w:val="00851DA3"/>
    <w:rsid w:val="00851E90"/>
    <w:rsid w:val="00851ED0"/>
    <w:rsid w:val="00851F33"/>
    <w:rsid w:val="00852D14"/>
    <w:rsid w:val="008532A2"/>
    <w:rsid w:val="00853401"/>
    <w:rsid w:val="0085364A"/>
    <w:rsid w:val="00854C23"/>
    <w:rsid w:val="00854D88"/>
    <w:rsid w:val="00855800"/>
    <w:rsid w:val="00855ABF"/>
    <w:rsid w:val="00855AF6"/>
    <w:rsid w:val="00856C0B"/>
    <w:rsid w:val="00857E40"/>
    <w:rsid w:val="00860A28"/>
    <w:rsid w:val="00860B2D"/>
    <w:rsid w:val="0086195B"/>
    <w:rsid w:val="00861A74"/>
    <w:rsid w:val="00861AB3"/>
    <w:rsid w:val="0086227F"/>
    <w:rsid w:val="008625C6"/>
    <w:rsid w:val="00862E9B"/>
    <w:rsid w:val="0086349F"/>
    <w:rsid w:val="00864099"/>
    <w:rsid w:val="00864400"/>
    <w:rsid w:val="008649A2"/>
    <w:rsid w:val="00865240"/>
    <w:rsid w:val="00865BAE"/>
    <w:rsid w:val="00865D70"/>
    <w:rsid w:val="00866370"/>
    <w:rsid w:val="008669E2"/>
    <w:rsid w:val="00866EE8"/>
    <w:rsid w:val="008672A0"/>
    <w:rsid w:val="008704D9"/>
    <w:rsid w:val="00870BCF"/>
    <w:rsid w:val="008710DB"/>
    <w:rsid w:val="008716BF"/>
    <w:rsid w:val="0087312E"/>
    <w:rsid w:val="00873240"/>
    <w:rsid w:val="008736E8"/>
    <w:rsid w:val="00873899"/>
    <w:rsid w:val="00873AAE"/>
    <w:rsid w:val="00873B51"/>
    <w:rsid w:val="00874099"/>
    <w:rsid w:val="008746F6"/>
    <w:rsid w:val="00874833"/>
    <w:rsid w:val="00874ED2"/>
    <w:rsid w:val="008756DF"/>
    <w:rsid w:val="00876151"/>
    <w:rsid w:val="00876934"/>
    <w:rsid w:val="008769E6"/>
    <w:rsid w:val="00876B56"/>
    <w:rsid w:val="00881637"/>
    <w:rsid w:val="00881B05"/>
    <w:rsid w:val="00881D57"/>
    <w:rsid w:val="0088201D"/>
    <w:rsid w:val="0088259E"/>
    <w:rsid w:val="0088291E"/>
    <w:rsid w:val="00882C54"/>
    <w:rsid w:val="00883041"/>
    <w:rsid w:val="00883A29"/>
    <w:rsid w:val="00884664"/>
    <w:rsid w:val="0088469F"/>
    <w:rsid w:val="008847B7"/>
    <w:rsid w:val="0088497C"/>
    <w:rsid w:val="00884E01"/>
    <w:rsid w:val="00885365"/>
    <w:rsid w:val="00885D56"/>
    <w:rsid w:val="00885F3E"/>
    <w:rsid w:val="0088684F"/>
    <w:rsid w:val="00886CCA"/>
    <w:rsid w:val="00886DCA"/>
    <w:rsid w:val="00887545"/>
    <w:rsid w:val="00887689"/>
    <w:rsid w:val="0089086F"/>
    <w:rsid w:val="00890A31"/>
    <w:rsid w:val="00890F8C"/>
    <w:rsid w:val="008913AC"/>
    <w:rsid w:val="0089153D"/>
    <w:rsid w:val="008925FA"/>
    <w:rsid w:val="00892EE6"/>
    <w:rsid w:val="008932F9"/>
    <w:rsid w:val="008935FB"/>
    <w:rsid w:val="00893A0C"/>
    <w:rsid w:val="00894076"/>
    <w:rsid w:val="008940D8"/>
    <w:rsid w:val="00894C27"/>
    <w:rsid w:val="00895CD9"/>
    <w:rsid w:val="00895F19"/>
    <w:rsid w:val="008968FB"/>
    <w:rsid w:val="00896A9C"/>
    <w:rsid w:val="008A0208"/>
    <w:rsid w:val="008A0403"/>
    <w:rsid w:val="008A0E1D"/>
    <w:rsid w:val="008A2213"/>
    <w:rsid w:val="008A2C43"/>
    <w:rsid w:val="008A3982"/>
    <w:rsid w:val="008A3D6C"/>
    <w:rsid w:val="008A3FA4"/>
    <w:rsid w:val="008A4033"/>
    <w:rsid w:val="008A4CC3"/>
    <w:rsid w:val="008A57C4"/>
    <w:rsid w:val="008A61B2"/>
    <w:rsid w:val="008A67F6"/>
    <w:rsid w:val="008A6B58"/>
    <w:rsid w:val="008A71B3"/>
    <w:rsid w:val="008A73E4"/>
    <w:rsid w:val="008A7FD2"/>
    <w:rsid w:val="008B03FF"/>
    <w:rsid w:val="008B04A7"/>
    <w:rsid w:val="008B14F1"/>
    <w:rsid w:val="008B2079"/>
    <w:rsid w:val="008B2FCB"/>
    <w:rsid w:val="008B3A64"/>
    <w:rsid w:val="008B6480"/>
    <w:rsid w:val="008B72AB"/>
    <w:rsid w:val="008B7C77"/>
    <w:rsid w:val="008C081B"/>
    <w:rsid w:val="008C11AF"/>
    <w:rsid w:val="008C1289"/>
    <w:rsid w:val="008C1E8F"/>
    <w:rsid w:val="008C24EC"/>
    <w:rsid w:val="008C3A99"/>
    <w:rsid w:val="008C4B6B"/>
    <w:rsid w:val="008C4E5F"/>
    <w:rsid w:val="008C5132"/>
    <w:rsid w:val="008C52C8"/>
    <w:rsid w:val="008C54AB"/>
    <w:rsid w:val="008C6F09"/>
    <w:rsid w:val="008C7139"/>
    <w:rsid w:val="008C7DF7"/>
    <w:rsid w:val="008D0509"/>
    <w:rsid w:val="008D0966"/>
    <w:rsid w:val="008D0C04"/>
    <w:rsid w:val="008D1144"/>
    <w:rsid w:val="008D18F1"/>
    <w:rsid w:val="008D1967"/>
    <w:rsid w:val="008D2171"/>
    <w:rsid w:val="008D2495"/>
    <w:rsid w:val="008D28A1"/>
    <w:rsid w:val="008D2E80"/>
    <w:rsid w:val="008D30F5"/>
    <w:rsid w:val="008D3224"/>
    <w:rsid w:val="008D3ABF"/>
    <w:rsid w:val="008D3DC5"/>
    <w:rsid w:val="008D47F1"/>
    <w:rsid w:val="008D4C90"/>
    <w:rsid w:val="008D4E24"/>
    <w:rsid w:val="008D52F0"/>
    <w:rsid w:val="008D5716"/>
    <w:rsid w:val="008D59A5"/>
    <w:rsid w:val="008D6098"/>
    <w:rsid w:val="008D6280"/>
    <w:rsid w:val="008D6369"/>
    <w:rsid w:val="008D6A37"/>
    <w:rsid w:val="008D6AB5"/>
    <w:rsid w:val="008D6DE0"/>
    <w:rsid w:val="008D75DF"/>
    <w:rsid w:val="008D76F5"/>
    <w:rsid w:val="008D7907"/>
    <w:rsid w:val="008E0D1F"/>
    <w:rsid w:val="008E1045"/>
    <w:rsid w:val="008E24EE"/>
    <w:rsid w:val="008E2775"/>
    <w:rsid w:val="008E344B"/>
    <w:rsid w:val="008E3658"/>
    <w:rsid w:val="008E5C8C"/>
    <w:rsid w:val="008E6CB3"/>
    <w:rsid w:val="008E7F48"/>
    <w:rsid w:val="008F00DA"/>
    <w:rsid w:val="008F0990"/>
    <w:rsid w:val="008F0EEB"/>
    <w:rsid w:val="008F15CB"/>
    <w:rsid w:val="008F1602"/>
    <w:rsid w:val="008F1800"/>
    <w:rsid w:val="008F1DE6"/>
    <w:rsid w:val="008F2B8A"/>
    <w:rsid w:val="008F2CBA"/>
    <w:rsid w:val="008F475A"/>
    <w:rsid w:val="008F4AAD"/>
    <w:rsid w:val="008F58B1"/>
    <w:rsid w:val="008F62B0"/>
    <w:rsid w:val="008F755E"/>
    <w:rsid w:val="00900AA5"/>
    <w:rsid w:val="00902105"/>
    <w:rsid w:val="00903809"/>
    <w:rsid w:val="00903C18"/>
    <w:rsid w:val="00903D3D"/>
    <w:rsid w:val="0090408C"/>
    <w:rsid w:val="0090486F"/>
    <w:rsid w:val="00904E87"/>
    <w:rsid w:val="00905161"/>
    <w:rsid w:val="00905440"/>
    <w:rsid w:val="00905762"/>
    <w:rsid w:val="00906F2C"/>
    <w:rsid w:val="00907F9D"/>
    <w:rsid w:val="0091048F"/>
    <w:rsid w:val="00911DA1"/>
    <w:rsid w:val="00912C35"/>
    <w:rsid w:val="00913FFC"/>
    <w:rsid w:val="00914870"/>
    <w:rsid w:val="00914AB0"/>
    <w:rsid w:val="00914F4F"/>
    <w:rsid w:val="0091515B"/>
    <w:rsid w:val="00916FF7"/>
    <w:rsid w:val="009174BB"/>
    <w:rsid w:val="009174E1"/>
    <w:rsid w:val="00917BFF"/>
    <w:rsid w:val="00920FDD"/>
    <w:rsid w:val="00921288"/>
    <w:rsid w:val="00921F0D"/>
    <w:rsid w:val="00922A3B"/>
    <w:rsid w:val="00923296"/>
    <w:rsid w:val="0092359F"/>
    <w:rsid w:val="00923BCE"/>
    <w:rsid w:val="00923F78"/>
    <w:rsid w:val="0092468E"/>
    <w:rsid w:val="00924729"/>
    <w:rsid w:val="00924AA0"/>
    <w:rsid w:val="0092511C"/>
    <w:rsid w:val="00925384"/>
    <w:rsid w:val="0092624C"/>
    <w:rsid w:val="00926389"/>
    <w:rsid w:val="00927DC7"/>
    <w:rsid w:val="00927EED"/>
    <w:rsid w:val="00930510"/>
    <w:rsid w:val="009309B9"/>
    <w:rsid w:val="00930E22"/>
    <w:rsid w:val="009343B7"/>
    <w:rsid w:val="009344CD"/>
    <w:rsid w:val="00934ED1"/>
    <w:rsid w:val="009358CD"/>
    <w:rsid w:val="00935990"/>
    <w:rsid w:val="00935BB5"/>
    <w:rsid w:val="00936650"/>
    <w:rsid w:val="00936705"/>
    <w:rsid w:val="00936A72"/>
    <w:rsid w:val="009377F7"/>
    <w:rsid w:val="00940ABD"/>
    <w:rsid w:val="00940F74"/>
    <w:rsid w:val="00941DD4"/>
    <w:rsid w:val="00942809"/>
    <w:rsid w:val="00943286"/>
    <w:rsid w:val="009435EB"/>
    <w:rsid w:val="0094400B"/>
    <w:rsid w:val="00944D7C"/>
    <w:rsid w:val="009459F2"/>
    <w:rsid w:val="0094674A"/>
    <w:rsid w:val="00946B65"/>
    <w:rsid w:val="00946DE3"/>
    <w:rsid w:val="00947379"/>
    <w:rsid w:val="00950295"/>
    <w:rsid w:val="0095085B"/>
    <w:rsid w:val="00950AEE"/>
    <w:rsid w:val="00951288"/>
    <w:rsid w:val="00951D47"/>
    <w:rsid w:val="00951DF3"/>
    <w:rsid w:val="009526EC"/>
    <w:rsid w:val="00952F8C"/>
    <w:rsid w:val="00953EB0"/>
    <w:rsid w:val="009540C2"/>
    <w:rsid w:val="009549DA"/>
    <w:rsid w:val="00954CE6"/>
    <w:rsid w:val="00954FEE"/>
    <w:rsid w:val="00955411"/>
    <w:rsid w:val="00956741"/>
    <w:rsid w:val="00956824"/>
    <w:rsid w:val="00956E28"/>
    <w:rsid w:val="00960F87"/>
    <w:rsid w:val="009616D2"/>
    <w:rsid w:val="009619E8"/>
    <w:rsid w:val="00962B14"/>
    <w:rsid w:val="009643BD"/>
    <w:rsid w:val="009644D5"/>
    <w:rsid w:val="0096787E"/>
    <w:rsid w:val="00967C64"/>
    <w:rsid w:val="009700FD"/>
    <w:rsid w:val="009707D6"/>
    <w:rsid w:val="00970932"/>
    <w:rsid w:val="00970A22"/>
    <w:rsid w:val="009716FB"/>
    <w:rsid w:val="00971A05"/>
    <w:rsid w:val="009720A1"/>
    <w:rsid w:val="0097309A"/>
    <w:rsid w:val="009752AE"/>
    <w:rsid w:val="009755E2"/>
    <w:rsid w:val="009759B2"/>
    <w:rsid w:val="00975D4B"/>
    <w:rsid w:val="00975ECD"/>
    <w:rsid w:val="00976830"/>
    <w:rsid w:val="00977442"/>
    <w:rsid w:val="0097759D"/>
    <w:rsid w:val="00977AD9"/>
    <w:rsid w:val="00980AFD"/>
    <w:rsid w:val="00980E51"/>
    <w:rsid w:val="00981B01"/>
    <w:rsid w:val="00981B39"/>
    <w:rsid w:val="00982295"/>
    <w:rsid w:val="009832BF"/>
    <w:rsid w:val="00983F69"/>
    <w:rsid w:val="009840A8"/>
    <w:rsid w:val="009852A7"/>
    <w:rsid w:val="0098567D"/>
    <w:rsid w:val="009857E5"/>
    <w:rsid w:val="00985BE1"/>
    <w:rsid w:val="0098641D"/>
    <w:rsid w:val="00986538"/>
    <w:rsid w:val="009867E8"/>
    <w:rsid w:val="009876E7"/>
    <w:rsid w:val="00990EBF"/>
    <w:rsid w:val="00991A67"/>
    <w:rsid w:val="00991B15"/>
    <w:rsid w:val="009923ED"/>
    <w:rsid w:val="00992420"/>
    <w:rsid w:val="009928F0"/>
    <w:rsid w:val="00992F92"/>
    <w:rsid w:val="0099346B"/>
    <w:rsid w:val="00993AEE"/>
    <w:rsid w:val="00993E68"/>
    <w:rsid w:val="00994698"/>
    <w:rsid w:val="00994E2C"/>
    <w:rsid w:val="00995108"/>
    <w:rsid w:val="0099556D"/>
    <w:rsid w:val="00995AA5"/>
    <w:rsid w:val="00995B4E"/>
    <w:rsid w:val="00995EB3"/>
    <w:rsid w:val="0099639F"/>
    <w:rsid w:val="009969D3"/>
    <w:rsid w:val="00997440"/>
    <w:rsid w:val="009A05D1"/>
    <w:rsid w:val="009A0C50"/>
    <w:rsid w:val="009A0F0A"/>
    <w:rsid w:val="009A0F9D"/>
    <w:rsid w:val="009A2B37"/>
    <w:rsid w:val="009A3E54"/>
    <w:rsid w:val="009A43B6"/>
    <w:rsid w:val="009A47AB"/>
    <w:rsid w:val="009A5775"/>
    <w:rsid w:val="009A6387"/>
    <w:rsid w:val="009A6879"/>
    <w:rsid w:val="009A75FD"/>
    <w:rsid w:val="009B0B82"/>
    <w:rsid w:val="009B107D"/>
    <w:rsid w:val="009B1A04"/>
    <w:rsid w:val="009B1E23"/>
    <w:rsid w:val="009B2B83"/>
    <w:rsid w:val="009B36F6"/>
    <w:rsid w:val="009B4599"/>
    <w:rsid w:val="009B4D6D"/>
    <w:rsid w:val="009B5282"/>
    <w:rsid w:val="009B53B5"/>
    <w:rsid w:val="009B5DF8"/>
    <w:rsid w:val="009B6256"/>
    <w:rsid w:val="009B7192"/>
    <w:rsid w:val="009B771A"/>
    <w:rsid w:val="009C03B1"/>
    <w:rsid w:val="009C04B4"/>
    <w:rsid w:val="009C18DC"/>
    <w:rsid w:val="009C3AC9"/>
    <w:rsid w:val="009C3C9B"/>
    <w:rsid w:val="009C44E4"/>
    <w:rsid w:val="009C4DC3"/>
    <w:rsid w:val="009C7A5C"/>
    <w:rsid w:val="009D021E"/>
    <w:rsid w:val="009D0746"/>
    <w:rsid w:val="009D1266"/>
    <w:rsid w:val="009D1892"/>
    <w:rsid w:val="009D235D"/>
    <w:rsid w:val="009D27FA"/>
    <w:rsid w:val="009D2C00"/>
    <w:rsid w:val="009D3125"/>
    <w:rsid w:val="009D3C4E"/>
    <w:rsid w:val="009D4883"/>
    <w:rsid w:val="009D4F98"/>
    <w:rsid w:val="009D5709"/>
    <w:rsid w:val="009D5903"/>
    <w:rsid w:val="009D66D7"/>
    <w:rsid w:val="009D6741"/>
    <w:rsid w:val="009D6F73"/>
    <w:rsid w:val="009D737F"/>
    <w:rsid w:val="009D7B4F"/>
    <w:rsid w:val="009D7C6B"/>
    <w:rsid w:val="009E0978"/>
    <w:rsid w:val="009E0C32"/>
    <w:rsid w:val="009E1037"/>
    <w:rsid w:val="009E1BE8"/>
    <w:rsid w:val="009E2027"/>
    <w:rsid w:val="009E2394"/>
    <w:rsid w:val="009E2513"/>
    <w:rsid w:val="009E2F0F"/>
    <w:rsid w:val="009E34E4"/>
    <w:rsid w:val="009E40A8"/>
    <w:rsid w:val="009E44FB"/>
    <w:rsid w:val="009E5437"/>
    <w:rsid w:val="009E54ED"/>
    <w:rsid w:val="009E6664"/>
    <w:rsid w:val="009E666E"/>
    <w:rsid w:val="009E6B77"/>
    <w:rsid w:val="009E6FA8"/>
    <w:rsid w:val="009E7342"/>
    <w:rsid w:val="009E7368"/>
    <w:rsid w:val="009F0380"/>
    <w:rsid w:val="009F0E33"/>
    <w:rsid w:val="009F1151"/>
    <w:rsid w:val="009F12B0"/>
    <w:rsid w:val="009F16F4"/>
    <w:rsid w:val="009F1983"/>
    <w:rsid w:val="009F1B1E"/>
    <w:rsid w:val="009F2278"/>
    <w:rsid w:val="009F32A5"/>
    <w:rsid w:val="009F345C"/>
    <w:rsid w:val="009F36FE"/>
    <w:rsid w:val="009F42F4"/>
    <w:rsid w:val="009F4C08"/>
    <w:rsid w:val="009F590C"/>
    <w:rsid w:val="009F6275"/>
    <w:rsid w:val="009F68C8"/>
    <w:rsid w:val="00A01572"/>
    <w:rsid w:val="00A02077"/>
    <w:rsid w:val="00A022A2"/>
    <w:rsid w:val="00A0359E"/>
    <w:rsid w:val="00A03D4C"/>
    <w:rsid w:val="00A04896"/>
    <w:rsid w:val="00A05B44"/>
    <w:rsid w:val="00A0612F"/>
    <w:rsid w:val="00A06AD9"/>
    <w:rsid w:val="00A06B12"/>
    <w:rsid w:val="00A06D12"/>
    <w:rsid w:val="00A07204"/>
    <w:rsid w:val="00A075B7"/>
    <w:rsid w:val="00A07EF8"/>
    <w:rsid w:val="00A07F59"/>
    <w:rsid w:val="00A11352"/>
    <w:rsid w:val="00A11C73"/>
    <w:rsid w:val="00A11E7B"/>
    <w:rsid w:val="00A12494"/>
    <w:rsid w:val="00A12BBF"/>
    <w:rsid w:val="00A12F29"/>
    <w:rsid w:val="00A1346A"/>
    <w:rsid w:val="00A13DD4"/>
    <w:rsid w:val="00A146ED"/>
    <w:rsid w:val="00A149B3"/>
    <w:rsid w:val="00A15200"/>
    <w:rsid w:val="00A15210"/>
    <w:rsid w:val="00A15B46"/>
    <w:rsid w:val="00A1668D"/>
    <w:rsid w:val="00A172CC"/>
    <w:rsid w:val="00A172E0"/>
    <w:rsid w:val="00A17352"/>
    <w:rsid w:val="00A17B17"/>
    <w:rsid w:val="00A20AC9"/>
    <w:rsid w:val="00A21B90"/>
    <w:rsid w:val="00A23851"/>
    <w:rsid w:val="00A23B91"/>
    <w:rsid w:val="00A24102"/>
    <w:rsid w:val="00A245BA"/>
    <w:rsid w:val="00A24730"/>
    <w:rsid w:val="00A24CE7"/>
    <w:rsid w:val="00A24DDF"/>
    <w:rsid w:val="00A24E3F"/>
    <w:rsid w:val="00A25050"/>
    <w:rsid w:val="00A25BA0"/>
    <w:rsid w:val="00A25FFD"/>
    <w:rsid w:val="00A26809"/>
    <w:rsid w:val="00A26C11"/>
    <w:rsid w:val="00A26E6B"/>
    <w:rsid w:val="00A273EA"/>
    <w:rsid w:val="00A27989"/>
    <w:rsid w:val="00A31416"/>
    <w:rsid w:val="00A31667"/>
    <w:rsid w:val="00A31ED1"/>
    <w:rsid w:val="00A33328"/>
    <w:rsid w:val="00A3364A"/>
    <w:rsid w:val="00A33F46"/>
    <w:rsid w:val="00A3404D"/>
    <w:rsid w:val="00A34684"/>
    <w:rsid w:val="00A348EC"/>
    <w:rsid w:val="00A34AFC"/>
    <w:rsid w:val="00A34B16"/>
    <w:rsid w:val="00A34F2C"/>
    <w:rsid w:val="00A35DCF"/>
    <w:rsid w:val="00A370A8"/>
    <w:rsid w:val="00A3735B"/>
    <w:rsid w:val="00A40C7A"/>
    <w:rsid w:val="00A4153D"/>
    <w:rsid w:val="00A421F8"/>
    <w:rsid w:val="00A42E60"/>
    <w:rsid w:val="00A43866"/>
    <w:rsid w:val="00A44581"/>
    <w:rsid w:val="00A44E72"/>
    <w:rsid w:val="00A44F06"/>
    <w:rsid w:val="00A45035"/>
    <w:rsid w:val="00A455D1"/>
    <w:rsid w:val="00A45AF3"/>
    <w:rsid w:val="00A46233"/>
    <w:rsid w:val="00A47C66"/>
    <w:rsid w:val="00A50167"/>
    <w:rsid w:val="00A5055D"/>
    <w:rsid w:val="00A50C13"/>
    <w:rsid w:val="00A52B15"/>
    <w:rsid w:val="00A52D5D"/>
    <w:rsid w:val="00A52E5C"/>
    <w:rsid w:val="00A53174"/>
    <w:rsid w:val="00A532EE"/>
    <w:rsid w:val="00A5348C"/>
    <w:rsid w:val="00A53CFE"/>
    <w:rsid w:val="00A54477"/>
    <w:rsid w:val="00A54631"/>
    <w:rsid w:val="00A5466F"/>
    <w:rsid w:val="00A54866"/>
    <w:rsid w:val="00A548E9"/>
    <w:rsid w:val="00A54C5F"/>
    <w:rsid w:val="00A54DB8"/>
    <w:rsid w:val="00A54F8F"/>
    <w:rsid w:val="00A550E0"/>
    <w:rsid w:val="00A55AF5"/>
    <w:rsid w:val="00A5639C"/>
    <w:rsid w:val="00A56472"/>
    <w:rsid w:val="00A5652C"/>
    <w:rsid w:val="00A56C44"/>
    <w:rsid w:val="00A57A78"/>
    <w:rsid w:val="00A57BEC"/>
    <w:rsid w:val="00A57CDA"/>
    <w:rsid w:val="00A60EDC"/>
    <w:rsid w:val="00A6197D"/>
    <w:rsid w:val="00A628CF"/>
    <w:rsid w:val="00A62D09"/>
    <w:rsid w:val="00A63896"/>
    <w:rsid w:val="00A63BC9"/>
    <w:rsid w:val="00A63FAA"/>
    <w:rsid w:val="00A6425F"/>
    <w:rsid w:val="00A649C8"/>
    <w:rsid w:val="00A651BC"/>
    <w:rsid w:val="00A6556B"/>
    <w:rsid w:val="00A65CCA"/>
    <w:rsid w:val="00A662D3"/>
    <w:rsid w:val="00A675BC"/>
    <w:rsid w:val="00A67931"/>
    <w:rsid w:val="00A67D9A"/>
    <w:rsid w:val="00A7098E"/>
    <w:rsid w:val="00A715C4"/>
    <w:rsid w:val="00A721ED"/>
    <w:rsid w:val="00A729C2"/>
    <w:rsid w:val="00A7348C"/>
    <w:rsid w:val="00A73AFA"/>
    <w:rsid w:val="00A74289"/>
    <w:rsid w:val="00A75A93"/>
    <w:rsid w:val="00A75C21"/>
    <w:rsid w:val="00A76138"/>
    <w:rsid w:val="00A76EB7"/>
    <w:rsid w:val="00A77293"/>
    <w:rsid w:val="00A7790F"/>
    <w:rsid w:val="00A81235"/>
    <w:rsid w:val="00A81738"/>
    <w:rsid w:val="00A8173A"/>
    <w:rsid w:val="00A82452"/>
    <w:rsid w:val="00A82912"/>
    <w:rsid w:val="00A82F80"/>
    <w:rsid w:val="00A833EE"/>
    <w:rsid w:val="00A8497C"/>
    <w:rsid w:val="00A849EC"/>
    <w:rsid w:val="00A858A3"/>
    <w:rsid w:val="00A86B3C"/>
    <w:rsid w:val="00A86E6D"/>
    <w:rsid w:val="00A90645"/>
    <w:rsid w:val="00A91339"/>
    <w:rsid w:val="00A914C7"/>
    <w:rsid w:val="00A9177B"/>
    <w:rsid w:val="00A91914"/>
    <w:rsid w:val="00A919CC"/>
    <w:rsid w:val="00A91E8F"/>
    <w:rsid w:val="00A92305"/>
    <w:rsid w:val="00A925AE"/>
    <w:rsid w:val="00A9302D"/>
    <w:rsid w:val="00A933F2"/>
    <w:rsid w:val="00A937ED"/>
    <w:rsid w:val="00A93C71"/>
    <w:rsid w:val="00A947E5"/>
    <w:rsid w:val="00A94B9A"/>
    <w:rsid w:val="00A9544F"/>
    <w:rsid w:val="00A95475"/>
    <w:rsid w:val="00A974CE"/>
    <w:rsid w:val="00A974D2"/>
    <w:rsid w:val="00A97894"/>
    <w:rsid w:val="00AA0DB4"/>
    <w:rsid w:val="00AA17CF"/>
    <w:rsid w:val="00AA1E22"/>
    <w:rsid w:val="00AA2D54"/>
    <w:rsid w:val="00AA2F47"/>
    <w:rsid w:val="00AA64B2"/>
    <w:rsid w:val="00AA6936"/>
    <w:rsid w:val="00AA70FE"/>
    <w:rsid w:val="00AA7454"/>
    <w:rsid w:val="00AA7706"/>
    <w:rsid w:val="00AA7AF4"/>
    <w:rsid w:val="00AB075A"/>
    <w:rsid w:val="00AB085F"/>
    <w:rsid w:val="00AB0DA9"/>
    <w:rsid w:val="00AB153C"/>
    <w:rsid w:val="00AB1E7F"/>
    <w:rsid w:val="00AB2540"/>
    <w:rsid w:val="00AB2D28"/>
    <w:rsid w:val="00AB2D8B"/>
    <w:rsid w:val="00AB3AF3"/>
    <w:rsid w:val="00AB3CF1"/>
    <w:rsid w:val="00AB3ED9"/>
    <w:rsid w:val="00AB4B08"/>
    <w:rsid w:val="00AB5EEF"/>
    <w:rsid w:val="00AB60C6"/>
    <w:rsid w:val="00AB6C73"/>
    <w:rsid w:val="00AB6EB2"/>
    <w:rsid w:val="00AC0282"/>
    <w:rsid w:val="00AC03D7"/>
    <w:rsid w:val="00AC04FD"/>
    <w:rsid w:val="00AC0512"/>
    <w:rsid w:val="00AC0544"/>
    <w:rsid w:val="00AC1188"/>
    <w:rsid w:val="00AC2B9F"/>
    <w:rsid w:val="00AC2FD0"/>
    <w:rsid w:val="00AC4467"/>
    <w:rsid w:val="00AC46EC"/>
    <w:rsid w:val="00AC6F7B"/>
    <w:rsid w:val="00AC717C"/>
    <w:rsid w:val="00AC7B72"/>
    <w:rsid w:val="00AC7C64"/>
    <w:rsid w:val="00AD1751"/>
    <w:rsid w:val="00AD1A8A"/>
    <w:rsid w:val="00AD1A9E"/>
    <w:rsid w:val="00AD219F"/>
    <w:rsid w:val="00AD280C"/>
    <w:rsid w:val="00AD3027"/>
    <w:rsid w:val="00AD3844"/>
    <w:rsid w:val="00AD4463"/>
    <w:rsid w:val="00AD4667"/>
    <w:rsid w:val="00AD4B6D"/>
    <w:rsid w:val="00AD4DEB"/>
    <w:rsid w:val="00AD584C"/>
    <w:rsid w:val="00AD71FB"/>
    <w:rsid w:val="00AD7392"/>
    <w:rsid w:val="00AD781E"/>
    <w:rsid w:val="00AD7F5B"/>
    <w:rsid w:val="00AE02EC"/>
    <w:rsid w:val="00AE0607"/>
    <w:rsid w:val="00AE0AE5"/>
    <w:rsid w:val="00AE0E21"/>
    <w:rsid w:val="00AE1491"/>
    <w:rsid w:val="00AE1833"/>
    <w:rsid w:val="00AE18FA"/>
    <w:rsid w:val="00AE1E82"/>
    <w:rsid w:val="00AE1EB5"/>
    <w:rsid w:val="00AE1FC1"/>
    <w:rsid w:val="00AE242E"/>
    <w:rsid w:val="00AE26CE"/>
    <w:rsid w:val="00AE3257"/>
    <w:rsid w:val="00AE3388"/>
    <w:rsid w:val="00AE3FA0"/>
    <w:rsid w:val="00AE44C2"/>
    <w:rsid w:val="00AE4619"/>
    <w:rsid w:val="00AE4847"/>
    <w:rsid w:val="00AE4EFD"/>
    <w:rsid w:val="00AF072E"/>
    <w:rsid w:val="00AF0B9C"/>
    <w:rsid w:val="00AF1109"/>
    <w:rsid w:val="00AF147B"/>
    <w:rsid w:val="00AF16D8"/>
    <w:rsid w:val="00AF19E5"/>
    <w:rsid w:val="00AF1F47"/>
    <w:rsid w:val="00AF2B4E"/>
    <w:rsid w:val="00AF3010"/>
    <w:rsid w:val="00AF3367"/>
    <w:rsid w:val="00AF3484"/>
    <w:rsid w:val="00AF3A2C"/>
    <w:rsid w:val="00AF4AAD"/>
    <w:rsid w:val="00AF5010"/>
    <w:rsid w:val="00AF577E"/>
    <w:rsid w:val="00AF5AE8"/>
    <w:rsid w:val="00AF5E0E"/>
    <w:rsid w:val="00AF79CF"/>
    <w:rsid w:val="00AF7C06"/>
    <w:rsid w:val="00AF7C6C"/>
    <w:rsid w:val="00B014B3"/>
    <w:rsid w:val="00B02639"/>
    <w:rsid w:val="00B03D2C"/>
    <w:rsid w:val="00B060F7"/>
    <w:rsid w:val="00B06FAA"/>
    <w:rsid w:val="00B07388"/>
    <w:rsid w:val="00B0771A"/>
    <w:rsid w:val="00B10391"/>
    <w:rsid w:val="00B10727"/>
    <w:rsid w:val="00B10AD0"/>
    <w:rsid w:val="00B1162E"/>
    <w:rsid w:val="00B136BC"/>
    <w:rsid w:val="00B157D6"/>
    <w:rsid w:val="00B15DAC"/>
    <w:rsid w:val="00B16BCB"/>
    <w:rsid w:val="00B16DC5"/>
    <w:rsid w:val="00B174B8"/>
    <w:rsid w:val="00B17D6F"/>
    <w:rsid w:val="00B20272"/>
    <w:rsid w:val="00B21220"/>
    <w:rsid w:val="00B212AB"/>
    <w:rsid w:val="00B21EAC"/>
    <w:rsid w:val="00B24116"/>
    <w:rsid w:val="00B24A70"/>
    <w:rsid w:val="00B2540E"/>
    <w:rsid w:val="00B2554A"/>
    <w:rsid w:val="00B26178"/>
    <w:rsid w:val="00B26F51"/>
    <w:rsid w:val="00B300C4"/>
    <w:rsid w:val="00B302A8"/>
    <w:rsid w:val="00B306FD"/>
    <w:rsid w:val="00B30F29"/>
    <w:rsid w:val="00B31905"/>
    <w:rsid w:val="00B31FBF"/>
    <w:rsid w:val="00B32665"/>
    <w:rsid w:val="00B32FE2"/>
    <w:rsid w:val="00B33AD1"/>
    <w:rsid w:val="00B33B65"/>
    <w:rsid w:val="00B34977"/>
    <w:rsid w:val="00B34AC7"/>
    <w:rsid w:val="00B34FB8"/>
    <w:rsid w:val="00B35989"/>
    <w:rsid w:val="00B35ACD"/>
    <w:rsid w:val="00B36571"/>
    <w:rsid w:val="00B36D5F"/>
    <w:rsid w:val="00B36EB4"/>
    <w:rsid w:val="00B3743F"/>
    <w:rsid w:val="00B37A16"/>
    <w:rsid w:val="00B37B1D"/>
    <w:rsid w:val="00B40189"/>
    <w:rsid w:val="00B406AF"/>
    <w:rsid w:val="00B4075C"/>
    <w:rsid w:val="00B40FAA"/>
    <w:rsid w:val="00B41044"/>
    <w:rsid w:val="00B41D2F"/>
    <w:rsid w:val="00B42449"/>
    <w:rsid w:val="00B42681"/>
    <w:rsid w:val="00B42B6A"/>
    <w:rsid w:val="00B4323E"/>
    <w:rsid w:val="00B43400"/>
    <w:rsid w:val="00B45635"/>
    <w:rsid w:val="00B45912"/>
    <w:rsid w:val="00B45A9B"/>
    <w:rsid w:val="00B50767"/>
    <w:rsid w:val="00B50D20"/>
    <w:rsid w:val="00B513E9"/>
    <w:rsid w:val="00B51939"/>
    <w:rsid w:val="00B52C44"/>
    <w:rsid w:val="00B53695"/>
    <w:rsid w:val="00B539BB"/>
    <w:rsid w:val="00B541B8"/>
    <w:rsid w:val="00B5423A"/>
    <w:rsid w:val="00B54C46"/>
    <w:rsid w:val="00B55331"/>
    <w:rsid w:val="00B55555"/>
    <w:rsid w:val="00B558D0"/>
    <w:rsid w:val="00B55E46"/>
    <w:rsid w:val="00B571BF"/>
    <w:rsid w:val="00B57C6C"/>
    <w:rsid w:val="00B60A0D"/>
    <w:rsid w:val="00B611C4"/>
    <w:rsid w:val="00B61335"/>
    <w:rsid w:val="00B61560"/>
    <w:rsid w:val="00B626FF"/>
    <w:rsid w:val="00B62741"/>
    <w:rsid w:val="00B63556"/>
    <w:rsid w:val="00B63E25"/>
    <w:rsid w:val="00B647BB"/>
    <w:rsid w:val="00B6533A"/>
    <w:rsid w:val="00B6541B"/>
    <w:rsid w:val="00B662F1"/>
    <w:rsid w:val="00B663B9"/>
    <w:rsid w:val="00B66749"/>
    <w:rsid w:val="00B67B7F"/>
    <w:rsid w:val="00B67CB4"/>
    <w:rsid w:val="00B67DF1"/>
    <w:rsid w:val="00B70711"/>
    <w:rsid w:val="00B70F80"/>
    <w:rsid w:val="00B710F2"/>
    <w:rsid w:val="00B7134C"/>
    <w:rsid w:val="00B71542"/>
    <w:rsid w:val="00B71B68"/>
    <w:rsid w:val="00B72037"/>
    <w:rsid w:val="00B7219E"/>
    <w:rsid w:val="00B72B6A"/>
    <w:rsid w:val="00B7306A"/>
    <w:rsid w:val="00B732B7"/>
    <w:rsid w:val="00B74033"/>
    <w:rsid w:val="00B74597"/>
    <w:rsid w:val="00B7534A"/>
    <w:rsid w:val="00B75E83"/>
    <w:rsid w:val="00B760C9"/>
    <w:rsid w:val="00B76482"/>
    <w:rsid w:val="00B77076"/>
    <w:rsid w:val="00B77717"/>
    <w:rsid w:val="00B77ACF"/>
    <w:rsid w:val="00B80D71"/>
    <w:rsid w:val="00B80E1D"/>
    <w:rsid w:val="00B8103D"/>
    <w:rsid w:val="00B819A9"/>
    <w:rsid w:val="00B81DA0"/>
    <w:rsid w:val="00B826E0"/>
    <w:rsid w:val="00B827EA"/>
    <w:rsid w:val="00B82B80"/>
    <w:rsid w:val="00B82E5B"/>
    <w:rsid w:val="00B83CC4"/>
    <w:rsid w:val="00B84AB7"/>
    <w:rsid w:val="00B84B0E"/>
    <w:rsid w:val="00B853B6"/>
    <w:rsid w:val="00B8554A"/>
    <w:rsid w:val="00B8636E"/>
    <w:rsid w:val="00B869F4"/>
    <w:rsid w:val="00B86B63"/>
    <w:rsid w:val="00B87432"/>
    <w:rsid w:val="00B8773D"/>
    <w:rsid w:val="00B87D6B"/>
    <w:rsid w:val="00B902C7"/>
    <w:rsid w:val="00B923BF"/>
    <w:rsid w:val="00B92F94"/>
    <w:rsid w:val="00B9408C"/>
    <w:rsid w:val="00B94AF3"/>
    <w:rsid w:val="00B950CD"/>
    <w:rsid w:val="00B95149"/>
    <w:rsid w:val="00B95328"/>
    <w:rsid w:val="00B962BE"/>
    <w:rsid w:val="00B97C9D"/>
    <w:rsid w:val="00BA083C"/>
    <w:rsid w:val="00BA0D4E"/>
    <w:rsid w:val="00BA0E8D"/>
    <w:rsid w:val="00BA1CEC"/>
    <w:rsid w:val="00BA1DB7"/>
    <w:rsid w:val="00BA23CD"/>
    <w:rsid w:val="00BA2A90"/>
    <w:rsid w:val="00BA2E4C"/>
    <w:rsid w:val="00BA2E80"/>
    <w:rsid w:val="00BA31C7"/>
    <w:rsid w:val="00BA5E76"/>
    <w:rsid w:val="00BA6CB4"/>
    <w:rsid w:val="00BA6E0A"/>
    <w:rsid w:val="00BB0135"/>
    <w:rsid w:val="00BB074C"/>
    <w:rsid w:val="00BB099E"/>
    <w:rsid w:val="00BB0B42"/>
    <w:rsid w:val="00BB1C5D"/>
    <w:rsid w:val="00BB2030"/>
    <w:rsid w:val="00BB2415"/>
    <w:rsid w:val="00BB2592"/>
    <w:rsid w:val="00BB2BF4"/>
    <w:rsid w:val="00BB360B"/>
    <w:rsid w:val="00BB3B2B"/>
    <w:rsid w:val="00BB3CCB"/>
    <w:rsid w:val="00BB459F"/>
    <w:rsid w:val="00BB504D"/>
    <w:rsid w:val="00BB5367"/>
    <w:rsid w:val="00BB5A0E"/>
    <w:rsid w:val="00BB5C9F"/>
    <w:rsid w:val="00BB5DD6"/>
    <w:rsid w:val="00BB5FC3"/>
    <w:rsid w:val="00BB7280"/>
    <w:rsid w:val="00BB7D45"/>
    <w:rsid w:val="00BB7F9E"/>
    <w:rsid w:val="00BC08BB"/>
    <w:rsid w:val="00BC1478"/>
    <w:rsid w:val="00BC160C"/>
    <w:rsid w:val="00BC1759"/>
    <w:rsid w:val="00BC2794"/>
    <w:rsid w:val="00BC2A7C"/>
    <w:rsid w:val="00BC2BDF"/>
    <w:rsid w:val="00BC4072"/>
    <w:rsid w:val="00BC408E"/>
    <w:rsid w:val="00BC5A54"/>
    <w:rsid w:val="00BC60BE"/>
    <w:rsid w:val="00BC641F"/>
    <w:rsid w:val="00BC6C9A"/>
    <w:rsid w:val="00BC7DD5"/>
    <w:rsid w:val="00BD1F85"/>
    <w:rsid w:val="00BD37A1"/>
    <w:rsid w:val="00BD40E3"/>
    <w:rsid w:val="00BD4101"/>
    <w:rsid w:val="00BD45DF"/>
    <w:rsid w:val="00BD45F7"/>
    <w:rsid w:val="00BD4FF1"/>
    <w:rsid w:val="00BD5118"/>
    <w:rsid w:val="00BD6D66"/>
    <w:rsid w:val="00BE0CCA"/>
    <w:rsid w:val="00BE1CCE"/>
    <w:rsid w:val="00BE37AD"/>
    <w:rsid w:val="00BE43BD"/>
    <w:rsid w:val="00BE4B5D"/>
    <w:rsid w:val="00BE7E4D"/>
    <w:rsid w:val="00BF0A0F"/>
    <w:rsid w:val="00BF0A2B"/>
    <w:rsid w:val="00BF0C34"/>
    <w:rsid w:val="00BF0C6A"/>
    <w:rsid w:val="00BF0E00"/>
    <w:rsid w:val="00BF1199"/>
    <w:rsid w:val="00BF1383"/>
    <w:rsid w:val="00BF1BBB"/>
    <w:rsid w:val="00BF1F17"/>
    <w:rsid w:val="00BF3B08"/>
    <w:rsid w:val="00BF3E0D"/>
    <w:rsid w:val="00BF4023"/>
    <w:rsid w:val="00BF40F5"/>
    <w:rsid w:val="00BF4301"/>
    <w:rsid w:val="00BF4751"/>
    <w:rsid w:val="00BF4C12"/>
    <w:rsid w:val="00BF59C0"/>
    <w:rsid w:val="00BF640C"/>
    <w:rsid w:val="00BF6801"/>
    <w:rsid w:val="00BF6D46"/>
    <w:rsid w:val="00BF70EC"/>
    <w:rsid w:val="00BF7134"/>
    <w:rsid w:val="00BF7422"/>
    <w:rsid w:val="00C00532"/>
    <w:rsid w:val="00C00538"/>
    <w:rsid w:val="00C00A43"/>
    <w:rsid w:val="00C01840"/>
    <w:rsid w:val="00C01878"/>
    <w:rsid w:val="00C0246F"/>
    <w:rsid w:val="00C02529"/>
    <w:rsid w:val="00C030BA"/>
    <w:rsid w:val="00C03F91"/>
    <w:rsid w:val="00C04D95"/>
    <w:rsid w:val="00C050D8"/>
    <w:rsid w:val="00C05D42"/>
    <w:rsid w:val="00C05F7C"/>
    <w:rsid w:val="00C0603C"/>
    <w:rsid w:val="00C06426"/>
    <w:rsid w:val="00C06DF3"/>
    <w:rsid w:val="00C07029"/>
    <w:rsid w:val="00C071FB"/>
    <w:rsid w:val="00C0799D"/>
    <w:rsid w:val="00C12467"/>
    <w:rsid w:val="00C12769"/>
    <w:rsid w:val="00C12ABA"/>
    <w:rsid w:val="00C12B80"/>
    <w:rsid w:val="00C12CFF"/>
    <w:rsid w:val="00C152B1"/>
    <w:rsid w:val="00C1555C"/>
    <w:rsid w:val="00C1609D"/>
    <w:rsid w:val="00C170ED"/>
    <w:rsid w:val="00C20667"/>
    <w:rsid w:val="00C218B9"/>
    <w:rsid w:val="00C22938"/>
    <w:rsid w:val="00C22D6A"/>
    <w:rsid w:val="00C23C7E"/>
    <w:rsid w:val="00C23DFB"/>
    <w:rsid w:val="00C244AA"/>
    <w:rsid w:val="00C25170"/>
    <w:rsid w:val="00C25232"/>
    <w:rsid w:val="00C255EB"/>
    <w:rsid w:val="00C25F9A"/>
    <w:rsid w:val="00C271DD"/>
    <w:rsid w:val="00C2727F"/>
    <w:rsid w:val="00C277E1"/>
    <w:rsid w:val="00C31B1E"/>
    <w:rsid w:val="00C325DC"/>
    <w:rsid w:val="00C32BFB"/>
    <w:rsid w:val="00C33320"/>
    <w:rsid w:val="00C3336A"/>
    <w:rsid w:val="00C3371D"/>
    <w:rsid w:val="00C338FF"/>
    <w:rsid w:val="00C354C5"/>
    <w:rsid w:val="00C358D0"/>
    <w:rsid w:val="00C35996"/>
    <w:rsid w:val="00C35C62"/>
    <w:rsid w:val="00C35DBD"/>
    <w:rsid w:val="00C36B5A"/>
    <w:rsid w:val="00C37518"/>
    <w:rsid w:val="00C378F2"/>
    <w:rsid w:val="00C37AC5"/>
    <w:rsid w:val="00C4030A"/>
    <w:rsid w:val="00C404E7"/>
    <w:rsid w:val="00C41E27"/>
    <w:rsid w:val="00C42A8B"/>
    <w:rsid w:val="00C42CE0"/>
    <w:rsid w:val="00C43758"/>
    <w:rsid w:val="00C43960"/>
    <w:rsid w:val="00C44141"/>
    <w:rsid w:val="00C44266"/>
    <w:rsid w:val="00C454B5"/>
    <w:rsid w:val="00C47B63"/>
    <w:rsid w:val="00C47B83"/>
    <w:rsid w:val="00C47F9F"/>
    <w:rsid w:val="00C5031F"/>
    <w:rsid w:val="00C508B8"/>
    <w:rsid w:val="00C510D6"/>
    <w:rsid w:val="00C51D67"/>
    <w:rsid w:val="00C525BD"/>
    <w:rsid w:val="00C52707"/>
    <w:rsid w:val="00C52D8E"/>
    <w:rsid w:val="00C53217"/>
    <w:rsid w:val="00C532C7"/>
    <w:rsid w:val="00C53326"/>
    <w:rsid w:val="00C54313"/>
    <w:rsid w:val="00C551D9"/>
    <w:rsid w:val="00C5689F"/>
    <w:rsid w:val="00C56A06"/>
    <w:rsid w:val="00C56DCC"/>
    <w:rsid w:val="00C57EB2"/>
    <w:rsid w:val="00C601A2"/>
    <w:rsid w:val="00C60C5A"/>
    <w:rsid w:val="00C61909"/>
    <w:rsid w:val="00C61CD3"/>
    <w:rsid w:val="00C61FC3"/>
    <w:rsid w:val="00C62A13"/>
    <w:rsid w:val="00C62DFF"/>
    <w:rsid w:val="00C62E05"/>
    <w:rsid w:val="00C6326E"/>
    <w:rsid w:val="00C6336E"/>
    <w:rsid w:val="00C64426"/>
    <w:rsid w:val="00C65BEA"/>
    <w:rsid w:val="00C65F87"/>
    <w:rsid w:val="00C660A5"/>
    <w:rsid w:val="00C6634E"/>
    <w:rsid w:val="00C6688D"/>
    <w:rsid w:val="00C66BDA"/>
    <w:rsid w:val="00C67A8B"/>
    <w:rsid w:val="00C70285"/>
    <w:rsid w:val="00C709C8"/>
    <w:rsid w:val="00C7144A"/>
    <w:rsid w:val="00C7384D"/>
    <w:rsid w:val="00C73910"/>
    <w:rsid w:val="00C75B62"/>
    <w:rsid w:val="00C7619A"/>
    <w:rsid w:val="00C76B2A"/>
    <w:rsid w:val="00C77420"/>
    <w:rsid w:val="00C77AD9"/>
    <w:rsid w:val="00C77D89"/>
    <w:rsid w:val="00C80322"/>
    <w:rsid w:val="00C80C59"/>
    <w:rsid w:val="00C80D74"/>
    <w:rsid w:val="00C812CA"/>
    <w:rsid w:val="00C81BEF"/>
    <w:rsid w:val="00C81DD6"/>
    <w:rsid w:val="00C82A6B"/>
    <w:rsid w:val="00C82BF6"/>
    <w:rsid w:val="00C82D15"/>
    <w:rsid w:val="00C82FC3"/>
    <w:rsid w:val="00C839B3"/>
    <w:rsid w:val="00C83C25"/>
    <w:rsid w:val="00C849C8"/>
    <w:rsid w:val="00C84EC7"/>
    <w:rsid w:val="00C856E0"/>
    <w:rsid w:val="00C85AD3"/>
    <w:rsid w:val="00C85AE9"/>
    <w:rsid w:val="00C85D35"/>
    <w:rsid w:val="00C86D7F"/>
    <w:rsid w:val="00C8769D"/>
    <w:rsid w:val="00C9023A"/>
    <w:rsid w:val="00C908AE"/>
    <w:rsid w:val="00C909FD"/>
    <w:rsid w:val="00C90E49"/>
    <w:rsid w:val="00C91248"/>
    <w:rsid w:val="00C9147A"/>
    <w:rsid w:val="00C927BA"/>
    <w:rsid w:val="00C9343F"/>
    <w:rsid w:val="00C93EB7"/>
    <w:rsid w:val="00C940ED"/>
    <w:rsid w:val="00C95140"/>
    <w:rsid w:val="00C9538F"/>
    <w:rsid w:val="00C95EF3"/>
    <w:rsid w:val="00C96307"/>
    <w:rsid w:val="00C97EBC"/>
    <w:rsid w:val="00CA003C"/>
    <w:rsid w:val="00CA049D"/>
    <w:rsid w:val="00CA1F2F"/>
    <w:rsid w:val="00CA2604"/>
    <w:rsid w:val="00CA2DA4"/>
    <w:rsid w:val="00CA345A"/>
    <w:rsid w:val="00CA3784"/>
    <w:rsid w:val="00CA3C97"/>
    <w:rsid w:val="00CA4594"/>
    <w:rsid w:val="00CA4C96"/>
    <w:rsid w:val="00CA590D"/>
    <w:rsid w:val="00CA77A3"/>
    <w:rsid w:val="00CB020F"/>
    <w:rsid w:val="00CB1287"/>
    <w:rsid w:val="00CB2539"/>
    <w:rsid w:val="00CB25A6"/>
    <w:rsid w:val="00CB31D4"/>
    <w:rsid w:val="00CB3CF4"/>
    <w:rsid w:val="00CB43B1"/>
    <w:rsid w:val="00CB462A"/>
    <w:rsid w:val="00CB4767"/>
    <w:rsid w:val="00CB688F"/>
    <w:rsid w:val="00CB6C31"/>
    <w:rsid w:val="00CB749C"/>
    <w:rsid w:val="00CB755C"/>
    <w:rsid w:val="00CC0C3A"/>
    <w:rsid w:val="00CC13FB"/>
    <w:rsid w:val="00CC15D9"/>
    <w:rsid w:val="00CC240C"/>
    <w:rsid w:val="00CC2A13"/>
    <w:rsid w:val="00CC2E6F"/>
    <w:rsid w:val="00CC33E1"/>
    <w:rsid w:val="00CC3A03"/>
    <w:rsid w:val="00CC50CB"/>
    <w:rsid w:val="00CC5D66"/>
    <w:rsid w:val="00CC65BA"/>
    <w:rsid w:val="00CC6C65"/>
    <w:rsid w:val="00CC7B23"/>
    <w:rsid w:val="00CC7DBB"/>
    <w:rsid w:val="00CD1FDF"/>
    <w:rsid w:val="00CD2E99"/>
    <w:rsid w:val="00CD3A01"/>
    <w:rsid w:val="00CD3ACE"/>
    <w:rsid w:val="00CD52A3"/>
    <w:rsid w:val="00CD5C91"/>
    <w:rsid w:val="00CD6689"/>
    <w:rsid w:val="00CD68C8"/>
    <w:rsid w:val="00CD775B"/>
    <w:rsid w:val="00CD7A3D"/>
    <w:rsid w:val="00CD7C31"/>
    <w:rsid w:val="00CE0CD0"/>
    <w:rsid w:val="00CE136D"/>
    <w:rsid w:val="00CE1729"/>
    <w:rsid w:val="00CE1CE1"/>
    <w:rsid w:val="00CE2A78"/>
    <w:rsid w:val="00CE2C6F"/>
    <w:rsid w:val="00CE46F8"/>
    <w:rsid w:val="00CE47BB"/>
    <w:rsid w:val="00CE4F2F"/>
    <w:rsid w:val="00CE4F34"/>
    <w:rsid w:val="00CE57DA"/>
    <w:rsid w:val="00CE6166"/>
    <w:rsid w:val="00CE640F"/>
    <w:rsid w:val="00CE6783"/>
    <w:rsid w:val="00CE6CFA"/>
    <w:rsid w:val="00CE6DDA"/>
    <w:rsid w:val="00CE6FFF"/>
    <w:rsid w:val="00CE7F7E"/>
    <w:rsid w:val="00CF09E4"/>
    <w:rsid w:val="00CF0C03"/>
    <w:rsid w:val="00CF0D3F"/>
    <w:rsid w:val="00CF16D2"/>
    <w:rsid w:val="00CF1955"/>
    <w:rsid w:val="00CF2EB5"/>
    <w:rsid w:val="00CF39CF"/>
    <w:rsid w:val="00CF4BDB"/>
    <w:rsid w:val="00CF61C3"/>
    <w:rsid w:val="00CF644C"/>
    <w:rsid w:val="00CF657F"/>
    <w:rsid w:val="00CF6A70"/>
    <w:rsid w:val="00CF6AEA"/>
    <w:rsid w:val="00CF781D"/>
    <w:rsid w:val="00D01C55"/>
    <w:rsid w:val="00D01D04"/>
    <w:rsid w:val="00D022DC"/>
    <w:rsid w:val="00D02864"/>
    <w:rsid w:val="00D029F4"/>
    <w:rsid w:val="00D02ED5"/>
    <w:rsid w:val="00D041FA"/>
    <w:rsid w:val="00D0420C"/>
    <w:rsid w:val="00D04E16"/>
    <w:rsid w:val="00D05813"/>
    <w:rsid w:val="00D06565"/>
    <w:rsid w:val="00D0707B"/>
    <w:rsid w:val="00D073DA"/>
    <w:rsid w:val="00D075FB"/>
    <w:rsid w:val="00D07958"/>
    <w:rsid w:val="00D103EA"/>
    <w:rsid w:val="00D10781"/>
    <w:rsid w:val="00D12D84"/>
    <w:rsid w:val="00D1352F"/>
    <w:rsid w:val="00D13659"/>
    <w:rsid w:val="00D13E65"/>
    <w:rsid w:val="00D142F8"/>
    <w:rsid w:val="00D14A47"/>
    <w:rsid w:val="00D15475"/>
    <w:rsid w:val="00D15D30"/>
    <w:rsid w:val="00D171A7"/>
    <w:rsid w:val="00D200F8"/>
    <w:rsid w:val="00D207D1"/>
    <w:rsid w:val="00D21508"/>
    <w:rsid w:val="00D22838"/>
    <w:rsid w:val="00D2335C"/>
    <w:rsid w:val="00D236E3"/>
    <w:rsid w:val="00D24537"/>
    <w:rsid w:val="00D24868"/>
    <w:rsid w:val="00D2490B"/>
    <w:rsid w:val="00D25842"/>
    <w:rsid w:val="00D27540"/>
    <w:rsid w:val="00D27953"/>
    <w:rsid w:val="00D30135"/>
    <w:rsid w:val="00D32CC4"/>
    <w:rsid w:val="00D332D6"/>
    <w:rsid w:val="00D3387B"/>
    <w:rsid w:val="00D338B6"/>
    <w:rsid w:val="00D34119"/>
    <w:rsid w:val="00D3546D"/>
    <w:rsid w:val="00D354A9"/>
    <w:rsid w:val="00D362F0"/>
    <w:rsid w:val="00D36844"/>
    <w:rsid w:val="00D371F4"/>
    <w:rsid w:val="00D37DD9"/>
    <w:rsid w:val="00D4009D"/>
    <w:rsid w:val="00D414D2"/>
    <w:rsid w:val="00D41C28"/>
    <w:rsid w:val="00D43D25"/>
    <w:rsid w:val="00D4444B"/>
    <w:rsid w:val="00D44CF3"/>
    <w:rsid w:val="00D45011"/>
    <w:rsid w:val="00D462C2"/>
    <w:rsid w:val="00D46533"/>
    <w:rsid w:val="00D467FD"/>
    <w:rsid w:val="00D46ADB"/>
    <w:rsid w:val="00D5019C"/>
    <w:rsid w:val="00D506F6"/>
    <w:rsid w:val="00D5107D"/>
    <w:rsid w:val="00D51BC0"/>
    <w:rsid w:val="00D51D4E"/>
    <w:rsid w:val="00D51F15"/>
    <w:rsid w:val="00D51F86"/>
    <w:rsid w:val="00D52EE3"/>
    <w:rsid w:val="00D5336D"/>
    <w:rsid w:val="00D53F5F"/>
    <w:rsid w:val="00D557B0"/>
    <w:rsid w:val="00D55D24"/>
    <w:rsid w:val="00D5679F"/>
    <w:rsid w:val="00D5704A"/>
    <w:rsid w:val="00D57608"/>
    <w:rsid w:val="00D57929"/>
    <w:rsid w:val="00D60F3D"/>
    <w:rsid w:val="00D610B0"/>
    <w:rsid w:val="00D61575"/>
    <w:rsid w:val="00D61AFE"/>
    <w:rsid w:val="00D6238F"/>
    <w:rsid w:val="00D62502"/>
    <w:rsid w:val="00D62733"/>
    <w:rsid w:val="00D6315A"/>
    <w:rsid w:val="00D654D4"/>
    <w:rsid w:val="00D65600"/>
    <w:rsid w:val="00D65624"/>
    <w:rsid w:val="00D65E88"/>
    <w:rsid w:val="00D6709E"/>
    <w:rsid w:val="00D67650"/>
    <w:rsid w:val="00D70463"/>
    <w:rsid w:val="00D7065F"/>
    <w:rsid w:val="00D70953"/>
    <w:rsid w:val="00D7177F"/>
    <w:rsid w:val="00D71EAA"/>
    <w:rsid w:val="00D725DC"/>
    <w:rsid w:val="00D74179"/>
    <w:rsid w:val="00D74B13"/>
    <w:rsid w:val="00D773DD"/>
    <w:rsid w:val="00D7795D"/>
    <w:rsid w:val="00D80451"/>
    <w:rsid w:val="00D81310"/>
    <w:rsid w:val="00D81934"/>
    <w:rsid w:val="00D828E4"/>
    <w:rsid w:val="00D83AE7"/>
    <w:rsid w:val="00D83CA0"/>
    <w:rsid w:val="00D83F5F"/>
    <w:rsid w:val="00D85075"/>
    <w:rsid w:val="00D86134"/>
    <w:rsid w:val="00D86892"/>
    <w:rsid w:val="00D87A38"/>
    <w:rsid w:val="00D90D08"/>
    <w:rsid w:val="00D912DF"/>
    <w:rsid w:val="00D91349"/>
    <w:rsid w:val="00D918B6"/>
    <w:rsid w:val="00D923C8"/>
    <w:rsid w:val="00D925CD"/>
    <w:rsid w:val="00D925FD"/>
    <w:rsid w:val="00D92927"/>
    <w:rsid w:val="00D92E1C"/>
    <w:rsid w:val="00D93C54"/>
    <w:rsid w:val="00D93E19"/>
    <w:rsid w:val="00D940E8"/>
    <w:rsid w:val="00D95032"/>
    <w:rsid w:val="00D95505"/>
    <w:rsid w:val="00D95C11"/>
    <w:rsid w:val="00D96084"/>
    <w:rsid w:val="00D96A09"/>
    <w:rsid w:val="00D96A3B"/>
    <w:rsid w:val="00D97A09"/>
    <w:rsid w:val="00DA145F"/>
    <w:rsid w:val="00DA1748"/>
    <w:rsid w:val="00DA2C9F"/>
    <w:rsid w:val="00DA2DCD"/>
    <w:rsid w:val="00DA47B6"/>
    <w:rsid w:val="00DA5B99"/>
    <w:rsid w:val="00DA5F8B"/>
    <w:rsid w:val="00DA63AA"/>
    <w:rsid w:val="00DA7087"/>
    <w:rsid w:val="00DA7BA7"/>
    <w:rsid w:val="00DB05C7"/>
    <w:rsid w:val="00DB07D3"/>
    <w:rsid w:val="00DB1678"/>
    <w:rsid w:val="00DB1E66"/>
    <w:rsid w:val="00DB1FCD"/>
    <w:rsid w:val="00DB2519"/>
    <w:rsid w:val="00DB2B36"/>
    <w:rsid w:val="00DB2B3C"/>
    <w:rsid w:val="00DB3583"/>
    <w:rsid w:val="00DB3E9F"/>
    <w:rsid w:val="00DB40DC"/>
    <w:rsid w:val="00DB47D6"/>
    <w:rsid w:val="00DB48D9"/>
    <w:rsid w:val="00DB4CEF"/>
    <w:rsid w:val="00DB4F69"/>
    <w:rsid w:val="00DB50AE"/>
    <w:rsid w:val="00DB526F"/>
    <w:rsid w:val="00DB684F"/>
    <w:rsid w:val="00DB6FAF"/>
    <w:rsid w:val="00DB77D0"/>
    <w:rsid w:val="00DB7CB0"/>
    <w:rsid w:val="00DB7F91"/>
    <w:rsid w:val="00DC0869"/>
    <w:rsid w:val="00DC0DDD"/>
    <w:rsid w:val="00DC1044"/>
    <w:rsid w:val="00DC190C"/>
    <w:rsid w:val="00DC1F7E"/>
    <w:rsid w:val="00DC20EF"/>
    <w:rsid w:val="00DC221E"/>
    <w:rsid w:val="00DC2583"/>
    <w:rsid w:val="00DC2E38"/>
    <w:rsid w:val="00DC3B66"/>
    <w:rsid w:val="00DC3DE2"/>
    <w:rsid w:val="00DC4533"/>
    <w:rsid w:val="00DC476C"/>
    <w:rsid w:val="00DC4D97"/>
    <w:rsid w:val="00DC5AD4"/>
    <w:rsid w:val="00DC5EC7"/>
    <w:rsid w:val="00DC6CC4"/>
    <w:rsid w:val="00DC7572"/>
    <w:rsid w:val="00DD05F0"/>
    <w:rsid w:val="00DD1DF2"/>
    <w:rsid w:val="00DD2810"/>
    <w:rsid w:val="00DD2B45"/>
    <w:rsid w:val="00DD2B76"/>
    <w:rsid w:val="00DD42E8"/>
    <w:rsid w:val="00DD4823"/>
    <w:rsid w:val="00DD531B"/>
    <w:rsid w:val="00DD5631"/>
    <w:rsid w:val="00DD5901"/>
    <w:rsid w:val="00DD66CB"/>
    <w:rsid w:val="00DE0745"/>
    <w:rsid w:val="00DE07BB"/>
    <w:rsid w:val="00DE0D91"/>
    <w:rsid w:val="00DE10FD"/>
    <w:rsid w:val="00DE1E0D"/>
    <w:rsid w:val="00DE4338"/>
    <w:rsid w:val="00DE46C0"/>
    <w:rsid w:val="00DE4EBB"/>
    <w:rsid w:val="00DE6D35"/>
    <w:rsid w:val="00DE7675"/>
    <w:rsid w:val="00DE7A54"/>
    <w:rsid w:val="00DE7FD8"/>
    <w:rsid w:val="00DF0638"/>
    <w:rsid w:val="00DF1AB3"/>
    <w:rsid w:val="00DF1C4D"/>
    <w:rsid w:val="00DF299A"/>
    <w:rsid w:val="00DF2C14"/>
    <w:rsid w:val="00DF2CA0"/>
    <w:rsid w:val="00DF3B30"/>
    <w:rsid w:val="00DF3C63"/>
    <w:rsid w:val="00DF3FF1"/>
    <w:rsid w:val="00DF48DC"/>
    <w:rsid w:val="00DF4B7A"/>
    <w:rsid w:val="00DF4C65"/>
    <w:rsid w:val="00DF51D8"/>
    <w:rsid w:val="00DF736D"/>
    <w:rsid w:val="00DF7636"/>
    <w:rsid w:val="00E008F8"/>
    <w:rsid w:val="00E00FBC"/>
    <w:rsid w:val="00E01220"/>
    <w:rsid w:val="00E013C9"/>
    <w:rsid w:val="00E0188A"/>
    <w:rsid w:val="00E040B6"/>
    <w:rsid w:val="00E0435A"/>
    <w:rsid w:val="00E043F5"/>
    <w:rsid w:val="00E052E5"/>
    <w:rsid w:val="00E05428"/>
    <w:rsid w:val="00E06BE0"/>
    <w:rsid w:val="00E07330"/>
    <w:rsid w:val="00E0786A"/>
    <w:rsid w:val="00E07871"/>
    <w:rsid w:val="00E079F0"/>
    <w:rsid w:val="00E07F36"/>
    <w:rsid w:val="00E1010F"/>
    <w:rsid w:val="00E109BC"/>
    <w:rsid w:val="00E11AEA"/>
    <w:rsid w:val="00E12483"/>
    <w:rsid w:val="00E12720"/>
    <w:rsid w:val="00E130D6"/>
    <w:rsid w:val="00E1314A"/>
    <w:rsid w:val="00E13465"/>
    <w:rsid w:val="00E13B82"/>
    <w:rsid w:val="00E13E63"/>
    <w:rsid w:val="00E13F5E"/>
    <w:rsid w:val="00E14525"/>
    <w:rsid w:val="00E15406"/>
    <w:rsid w:val="00E16119"/>
    <w:rsid w:val="00E16E17"/>
    <w:rsid w:val="00E17092"/>
    <w:rsid w:val="00E17794"/>
    <w:rsid w:val="00E17DDD"/>
    <w:rsid w:val="00E208D1"/>
    <w:rsid w:val="00E20DA1"/>
    <w:rsid w:val="00E22DC3"/>
    <w:rsid w:val="00E231C2"/>
    <w:rsid w:val="00E23967"/>
    <w:rsid w:val="00E240B2"/>
    <w:rsid w:val="00E2457B"/>
    <w:rsid w:val="00E2483E"/>
    <w:rsid w:val="00E25B25"/>
    <w:rsid w:val="00E25F9D"/>
    <w:rsid w:val="00E2690C"/>
    <w:rsid w:val="00E26CB1"/>
    <w:rsid w:val="00E30031"/>
    <w:rsid w:val="00E31649"/>
    <w:rsid w:val="00E31B80"/>
    <w:rsid w:val="00E31F9A"/>
    <w:rsid w:val="00E32444"/>
    <w:rsid w:val="00E324C1"/>
    <w:rsid w:val="00E3399A"/>
    <w:rsid w:val="00E35489"/>
    <w:rsid w:val="00E359B5"/>
    <w:rsid w:val="00E35D32"/>
    <w:rsid w:val="00E35F4D"/>
    <w:rsid w:val="00E36785"/>
    <w:rsid w:val="00E3700B"/>
    <w:rsid w:val="00E37236"/>
    <w:rsid w:val="00E374E4"/>
    <w:rsid w:val="00E37632"/>
    <w:rsid w:val="00E37919"/>
    <w:rsid w:val="00E37FFA"/>
    <w:rsid w:val="00E40F27"/>
    <w:rsid w:val="00E40F8A"/>
    <w:rsid w:val="00E411C4"/>
    <w:rsid w:val="00E414C4"/>
    <w:rsid w:val="00E416E5"/>
    <w:rsid w:val="00E41DCD"/>
    <w:rsid w:val="00E41FD4"/>
    <w:rsid w:val="00E42152"/>
    <w:rsid w:val="00E42A9C"/>
    <w:rsid w:val="00E42F94"/>
    <w:rsid w:val="00E4413B"/>
    <w:rsid w:val="00E4473A"/>
    <w:rsid w:val="00E4531B"/>
    <w:rsid w:val="00E4558A"/>
    <w:rsid w:val="00E463FD"/>
    <w:rsid w:val="00E478F5"/>
    <w:rsid w:val="00E47F73"/>
    <w:rsid w:val="00E500B9"/>
    <w:rsid w:val="00E51204"/>
    <w:rsid w:val="00E5162D"/>
    <w:rsid w:val="00E51EDE"/>
    <w:rsid w:val="00E51F3F"/>
    <w:rsid w:val="00E51F69"/>
    <w:rsid w:val="00E52602"/>
    <w:rsid w:val="00E52EC4"/>
    <w:rsid w:val="00E54B59"/>
    <w:rsid w:val="00E5558F"/>
    <w:rsid w:val="00E5562B"/>
    <w:rsid w:val="00E5613C"/>
    <w:rsid w:val="00E56419"/>
    <w:rsid w:val="00E56A06"/>
    <w:rsid w:val="00E574C8"/>
    <w:rsid w:val="00E57C41"/>
    <w:rsid w:val="00E607AD"/>
    <w:rsid w:val="00E608E1"/>
    <w:rsid w:val="00E60FA5"/>
    <w:rsid w:val="00E61986"/>
    <w:rsid w:val="00E61BDE"/>
    <w:rsid w:val="00E61D97"/>
    <w:rsid w:val="00E62541"/>
    <w:rsid w:val="00E62621"/>
    <w:rsid w:val="00E6437A"/>
    <w:rsid w:val="00E64FE6"/>
    <w:rsid w:val="00E65782"/>
    <w:rsid w:val="00E65ABD"/>
    <w:rsid w:val="00E66202"/>
    <w:rsid w:val="00E674AB"/>
    <w:rsid w:val="00E67592"/>
    <w:rsid w:val="00E67B8C"/>
    <w:rsid w:val="00E7071F"/>
    <w:rsid w:val="00E70A88"/>
    <w:rsid w:val="00E70BA0"/>
    <w:rsid w:val="00E70EC9"/>
    <w:rsid w:val="00E711E3"/>
    <w:rsid w:val="00E715DF"/>
    <w:rsid w:val="00E724A1"/>
    <w:rsid w:val="00E724C3"/>
    <w:rsid w:val="00E73524"/>
    <w:rsid w:val="00E73F5D"/>
    <w:rsid w:val="00E74000"/>
    <w:rsid w:val="00E74424"/>
    <w:rsid w:val="00E75E9C"/>
    <w:rsid w:val="00E761E0"/>
    <w:rsid w:val="00E76247"/>
    <w:rsid w:val="00E76345"/>
    <w:rsid w:val="00E764C0"/>
    <w:rsid w:val="00E77905"/>
    <w:rsid w:val="00E77EB7"/>
    <w:rsid w:val="00E80042"/>
    <w:rsid w:val="00E802CF"/>
    <w:rsid w:val="00E80377"/>
    <w:rsid w:val="00E80A37"/>
    <w:rsid w:val="00E80F77"/>
    <w:rsid w:val="00E811AD"/>
    <w:rsid w:val="00E81F53"/>
    <w:rsid w:val="00E83D02"/>
    <w:rsid w:val="00E840A4"/>
    <w:rsid w:val="00E8417E"/>
    <w:rsid w:val="00E842D2"/>
    <w:rsid w:val="00E84560"/>
    <w:rsid w:val="00E84895"/>
    <w:rsid w:val="00E84B95"/>
    <w:rsid w:val="00E84BC1"/>
    <w:rsid w:val="00E858A3"/>
    <w:rsid w:val="00E85A18"/>
    <w:rsid w:val="00E85D37"/>
    <w:rsid w:val="00E86163"/>
    <w:rsid w:val="00E86653"/>
    <w:rsid w:val="00E870A9"/>
    <w:rsid w:val="00E87CCF"/>
    <w:rsid w:val="00E87F45"/>
    <w:rsid w:val="00E90103"/>
    <w:rsid w:val="00E903BF"/>
    <w:rsid w:val="00E90483"/>
    <w:rsid w:val="00E914C4"/>
    <w:rsid w:val="00E91DB9"/>
    <w:rsid w:val="00E92563"/>
    <w:rsid w:val="00E92BB1"/>
    <w:rsid w:val="00E93200"/>
    <w:rsid w:val="00E9387D"/>
    <w:rsid w:val="00E94350"/>
    <w:rsid w:val="00E953D1"/>
    <w:rsid w:val="00E9544E"/>
    <w:rsid w:val="00E95741"/>
    <w:rsid w:val="00E95CB3"/>
    <w:rsid w:val="00E95ECA"/>
    <w:rsid w:val="00E96153"/>
    <w:rsid w:val="00E96BD5"/>
    <w:rsid w:val="00E9705C"/>
    <w:rsid w:val="00E97A5F"/>
    <w:rsid w:val="00EA09DF"/>
    <w:rsid w:val="00EA1284"/>
    <w:rsid w:val="00EA254D"/>
    <w:rsid w:val="00EA2ADC"/>
    <w:rsid w:val="00EA2D15"/>
    <w:rsid w:val="00EA2DE8"/>
    <w:rsid w:val="00EA34EC"/>
    <w:rsid w:val="00EA3BEB"/>
    <w:rsid w:val="00EA4585"/>
    <w:rsid w:val="00EA4B95"/>
    <w:rsid w:val="00EA7B20"/>
    <w:rsid w:val="00EB081B"/>
    <w:rsid w:val="00EB279F"/>
    <w:rsid w:val="00EB2A3B"/>
    <w:rsid w:val="00EB3172"/>
    <w:rsid w:val="00EB3251"/>
    <w:rsid w:val="00EB4158"/>
    <w:rsid w:val="00EB41C8"/>
    <w:rsid w:val="00EB467D"/>
    <w:rsid w:val="00EB49E6"/>
    <w:rsid w:val="00EB4AAC"/>
    <w:rsid w:val="00EB50BD"/>
    <w:rsid w:val="00EB58C9"/>
    <w:rsid w:val="00EB5B36"/>
    <w:rsid w:val="00EB5DCD"/>
    <w:rsid w:val="00EB6A1F"/>
    <w:rsid w:val="00EB6AC9"/>
    <w:rsid w:val="00EB74CA"/>
    <w:rsid w:val="00EC053A"/>
    <w:rsid w:val="00EC0FAF"/>
    <w:rsid w:val="00EC167E"/>
    <w:rsid w:val="00EC1A23"/>
    <w:rsid w:val="00EC2057"/>
    <w:rsid w:val="00EC2EF8"/>
    <w:rsid w:val="00EC3B6A"/>
    <w:rsid w:val="00EC3F7D"/>
    <w:rsid w:val="00EC4B3D"/>
    <w:rsid w:val="00EC4C32"/>
    <w:rsid w:val="00EC4CD5"/>
    <w:rsid w:val="00EC4EB5"/>
    <w:rsid w:val="00EC55F6"/>
    <w:rsid w:val="00EC5604"/>
    <w:rsid w:val="00EC5AFF"/>
    <w:rsid w:val="00EC67D6"/>
    <w:rsid w:val="00EC6C77"/>
    <w:rsid w:val="00EC74BC"/>
    <w:rsid w:val="00EC7C7A"/>
    <w:rsid w:val="00ED0556"/>
    <w:rsid w:val="00ED23F4"/>
    <w:rsid w:val="00ED2D7C"/>
    <w:rsid w:val="00ED2E23"/>
    <w:rsid w:val="00ED32FE"/>
    <w:rsid w:val="00ED46B1"/>
    <w:rsid w:val="00ED4A6B"/>
    <w:rsid w:val="00ED502B"/>
    <w:rsid w:val="00ED5E86"/>
    <w:rsid w:val="00ED659F"/>
    <w:rsid w:val="00ED6A3F"/>
    <w:rsid w:val="00ED71C6"/>
    <w:rsid w:val="00ED7CE1"/>
    <w:rsid w:val="00EE02ED"/>
    <w:rsid w:val="00EE05F4"/>
    <w:rsid w:val="00EE09FE"/>
    <w:rsid w:val="00EE1415"/>
    <w:rsid w:val="00EE42A9"/>
    <w:rsid w:val="00EE4815"/>
    <w:rsid w:val="00EE5187"/>
    <w:rsid w:val="00EE56D0"/>
    <w:rsid w:val="00EE5E73"/>
    <w:rsid w:val="00EE5F58"/>
    <w:rsid w:val="00EE6125"/>
    <w:rsid w:val="00EE62F4"/>
    <w:rsid w:val="00EE645C"/>
    <w:rsid w:val="00EE6EAF"/>
    <w:rsid w:val="00EE756F"/>
    <w:rsid w:val="00EE7D06"/>
    <w:rsid w:val="00EF0ABE"/>
    <w:rsid w:val="00EF135A"/>
    <w:rsid w:val="00EF21C2"/>
    <w:rsid w:val="00EF25C7"/>
    <w:rsid w:val="00EF2A6F"/>
    <w:rsid w:val="00EF2DC8"/>
    <w:rsid w:val="00EF4C2C"/>
    <w:rsid w:val="00EF5935"/>
    <w:rsid w:val="00EF5EA4"/>
    <w:rsid w:val="00EF7146"/>
    <w:rsid w:val="00EF766D"/>
    <w:rsid w:val="00EF7F71"/>
    <w:rsid w:val="00F01E8F"/>
    <w:rsid w:val="00F02730"/>
    <w:rsid w:val="00F02CDF"/>
    <w:rsid w:val="00F0327A"/>
    <w:rsid w:val="00F0339B"/>
    <w:rsid w:val="00F03613"/>
    <w:rsid w:val="00F04D35"/>
    <w:rsid w:val="00F04D39"/>
    <w:rsid w:val="00F04E9A"/>
    <w:rsid w:val="00F057B0"/>
    <w:rsid w:val="00F05C5E"/>
    <w:rsid w:val="00F05F6E"/>
    <w:rsid w:val="00F06788"/>
    <w:rsid w:val="00F06B5A"/>
    <w:rsid w:val="00F077FD"/>
    <w:rsid w:val="00F0785D"/>
    <w:rsid w:val="00F07DE7"/>
    <w:rsid w:val="00F10729"/>
    <w:rsid w:val="00F10C46"/>
    <w:rsid w:val="00F1100F"/>
    <w:rsid w:val="00F11AE4"/>
    <w:rsid w:val="00F12818"/>
    <w:rsid w:val="00F13854"/>
    <w:rsid w:val="00F138B1"/>
    <w:rsid w:val="00F13953"/>
    <w:rsid w:val="00F13A9D"/>
    <w:rsid w:val="00F1467B"/>
    <w:rsid w:val="00F15FEE"/>
    <w:rsid w:val="00F16788"/>
    <w:rsid w:val="00F16B73"/>
    <w:rsid w:val="00F16D12"/>
    <w:rsid w:val="00F1772D"/>
    <w:rsid w:val="00F20104"/>
    <w:rsid w:val="00F202D0"/>
    <w:rsid w:val="00F20BF7"/>
    <w:rsid w:val="00F213E1"/>
    <w:rsid w:val="00F219E1"/>
    <w:rsid w:val="00F21A85"/>
    <w:rsid w:val="00F22605"/>
    <w:rsid w:val="00F227B5"/>
    <w:rsid w:val="00F22F6A"/>
    <w:rsid w:val="00F23A78"/>
    <w:rsid w:val="00F23AE4"/>
    <w:rsid w:val="00F25574"/>
    <w:rsid w:val="00F25616"/>
    <w:rsid w:val="00F25F62"/>
    <w:rsid w:val="00F2693C"/>
    <w:rsid w:val="00F26BC1"/>
    <w:rsid w:val="00F27213"/>
    <w:rsid w:val="00F277BB"/>
    <w:rsid w:val="00F30588"/>
    <w:rsid w:val="00F32AC2"/>
    <w:rsid w:val="00F32CB8"/>
    <w:rsid w:val="00F331AE"/>
    <w:rsid w:val="00F335C8"/>
    <w:rsid w:val="00F340BD"/>
    <w:rsid w:val="00F34BE3"/>
    <w:rsid w:val="00F353D1"/>
    <w:rsid w:val="00F35B31"/>
    <w:rsid w:val="00F36842"/>
    <w:rsid w:val="00F36907"/>
    <w:rsid w:val="00F36973"/>
    <w:rsid w:val="00F37092"/>
    <w:rsid w:val="00F4023F"/>
    <w:rsid w:val="00F403FF"/>
    <w:rsid w:val="00F40A96"/>
    <w:rsid w:val="00F40CEC"/>
    <w:rsid w:val="00F4137A"/>
    <w:rsid w:val="00F41A69"/>
    <w:rsid w:val="00F422A6"/>
    <w:rsid w:val="00F4230E"/>
    <w:rsid w:val="00F43698"/>
    <w:rsid w:val="00F4379F"/>
    <w:rsid w:val="00F44B39"/>
    <w:rsid w:val="00F4622C"/>
    <w:rsid w:val="00F464E0"/>
    <w:rsid w:val="00F47DC9"/>
    <w:rsid w:val="00F47EC3"/>
    <w:rsid w:val="00F50000"/>
    <w:rsid w:val="00F513B7"/>
    <w:rsid w:val="00F519EB"/>
    <w:rsid w:val="00F52671"/>
    <w:rsid w:val="00F52E6D"/>
    <w:rsid w:val="00F53838"/>
    <w:rsid w:val="00F54A2A"/>
    <w:rsid w:val="00F54DE2"/>
    <w:rsid w:val="00F555AE"/>
    <w:rsid w:val="00F55C18"/>
    <w:rsid w:val="00F56004"/>
    <w:rsid w:val="00F57244"/>
    <w:rsid w:val="00F57D25"/>
    <w:rsid w:val="00F604D9"/>
    <w:rsid w:val="00F605C1"/>
    <w:rsid w:val="00F61173"/>
    <w:rsid w:val="00F615D0"/>
    <w:rsid w:val="00F62F23"/>
    <w:rsid w:val="00F63251"/>
    <w:rsid w:val="00F6329F"/>
    <w:rsid w:val="00F634F4"/>
    <w:rsid w:val="00F63CED"/>
    <w:rsid w:val="00F63CF5"/>
    <w:rsid w:val="00F6413C"/>
    <w:rsid w:val="00F6418F"/>
    <w:rsid w:val="00F64448"/>
    <w:rsid w:val="00F64B01"/>
    <w:rsid w:val="00F658D9"/>
    <w:rsid w:val="00F671EE"/>
    <w:rsid w:val="00F6789D"/>
    <w:rsid w:val="00F679F3"/>
    <w:rsid w:val="00F67D66"/>
    <w:rsid w:val="00F67E48"/>
    <w:rsid w:val="00F7038D"/>
    <w:rsid w:val="00F70608"/>
    <w:rsid w:val="00F70A86"/>
    <w:rsid w:val="00F7142C"/>
    <w:rsid w:val="00F72F0C"/>
    <w:rsid w:val="00F738F7"/>
    <w:rsid w:val="00F73F3B"/>
    <w:rsid w:val="00F73F81"/>
    <w:rsid w:val="00F7510C"/>
    <w:rsid w:val="00F75DC1"/>
    <w:rsid w:val="00F770C4"/>
    <w:rsid w:val="00F77175"/>
    <w:rsid w:val="00F775B4"/>
    <w:rsid w:val="00F7766D"/>
    <w:rsid w:val="00F77A04"/>
    <w:rsid w:val="00F77A15"/>
    <w:rsid w:val="00F80AD0"/>
    <w:rsid w:val="00F81079"/>
    <w:rsid w:val="00F8312F"/>
    <w:rsid w:val="00F83C4D"/>
    <w:rsid w:val="00F83C6D"/>
    <w:rsid w:val="00F84362"/>
    <w:rsid w:val="00F844D4"/>
    <w:rsid w:val="00F84ABF"/>
    <w:rsid w:val="00F84E43"/>
    <w:rsid w:val="00F8580F"/>
    <w:rsid w:val="00F86418"/>
    <w:rsid w:val="00F876ED"/>
    <w:rsid w:val="00F87CE4"/>
    <w:rsid w:val="00F9147D"/>
    <w:rsid w:val="00F92129"/>
    <w:rsid w:val="00F923CC"/>
    <w:rsid w:val="00F92403"/>
    <w:rsid w:val="00F92E7A"/>
    <w:rsid w:val="00F93AAC"/>
    <w:rsid w:val="00F94FD3"/>
    <w:rsid w:val="00F95243"/>
    <w:rsid w:val="00F9617C"/>
    <w:rsid w:val="00F96201"/>
    <w:rsid w:val="00F9692A"/>
    <w:rsid w:val="00F96AC8"/>
    <w:rsid w:val="00F976AF"/>
    <w:rsid w:val="00FA04A6"/>
    <w:rsid w:val="00FA0812"/>
    <w:rsid w:val="00FA11F9"/>
    <w:rsid w:val="00FA1280"/>
    <w:rsid w:val="00FA1466"/>
    <w:rsid w:val="00FA1B78"/>
    <w:rsid w:val="00FA1E2B"/>
    <w:rsid w:val="00FA2581"/>
    <w:rsid w:val="00FA4197"/>
    <w:rsid w:val="00FA43BB"/>
    <w:rsid w:val="00FA4457"/>
    <w:rsid w:val="00FA49C3"/>
    <w:rsid w:val="00FA4C88"/>
    <w:rsid w:val="00FA5700"/>
    <w:rsid w:val="00FA5AF7"/>
    <w:rsid w:val="00FA5B8A"/>
    <w:rsid w:val="00FA5DEC"/>
    <w:rsid w:val="00FA5F25"/>
    <w:rsid w:val="00FA71E4"/>
    <w:rsid w:val="00FA7948"/>
    <w:rsid w:val="00FB0398"/>
    <w:rsid w:val="00FB03B5"/>
    <w:rsid w:val="00FB0C83"/>
    <w:rsid w:val="00FB13DE"/>
    <w:rsid w:val="00FB1658"/>
    <w:rsid w:val="00FB3ACF"/>
    <w:rsid w:val="00FB45C3"/>
    <w:rsid w:val="00FB490D"/>
    <w:rsid w:val="00FB518B"/>
    <w:rsid w:val="00FB57FB"/>
    <w:rsid w:val="00FB6E4A"/>
    <w:rsid w:val="00FC08B2"/>
    <w:rsid w:val="00FC0B74"/>
    <w:rsid w:val="00FC1809"/>
    <w:rsid w:val="00FC1D29"/>
    <w:rsid w:val="00FC2185"/>
    <w:rsid w:val="00FC2ABF"/>
    <w:rsid w:val="00FC2E7F"/>
    <w:rsid w:val="00FC3795"/>
    <w:rsid w:val="00FC3B2D"/>
    <w:rsid w:val="00FC3CEE"/>
    <w:rsid w:val="00FC3EB3"/>
    <w:rsid w:val="00FC4155"/>
    <w:rsid w:val="00FC45F2"/>
    <w:rsid w:val="00FC46C7"/>
    <w:rsid w:val="00FC4E4E"/>
    <w:rsid w:val="00FC5B52"/>
    <w:rsid w:val="00FC65E2"/>
    <w:rsid w:val="00FC6776"/>
    <w:rsid w:val="00FC7DC0"/>
    <w:rsid w:val="00FC7E10"/>
    <w:rsid w:val="00FC7F23"/>
    <w:rsid w:val="00FD0CB2"/>
    <w:rsid w:val="00FD0D48"/>
    <w:rsid w:val="00FD1368"/>
    <w:rsid w:val="00FD1A81"/>
    <w:rsid w:val="00FD1B21"/>
    <w:rsid w:val="00FD34E2"/>
    <w:rsid w:val="00FD35DF"/>
    <w:rsid w:val="00FD388D"/>
    <w:rsid w:val="00FD475C"/>
    <w:rsid w:val="00FD5DCE"/>
    <w:rsid w:val="00FD60E2"/>
    <w:rsid w:val="00FD6C99"/>
    <w:rsid w:val="00FD6D5D"/>
    <w:rsid w:val="00FD738E"/>
    <w:rsid w:val="00FE0BA8"/>
    <w:rsid w:val="00FE0E17"/>
    <w:rsid w:val="00FE1806"/>
    <w:rsid w:val="00FE1827"/>
    <w:rsid w:val="00FE2A6F"/>
    <w:rsid w:val="00FE2DB9"/>
    <w:rsid w:val="00FE2DF4"/>
    <w:rsid w:val="00FE3E0D"/>
    <w:rsid w:val="00FE3F3D"/>
    <w:rsid w:val="00FE4CDB"/>
    <w:rsid w:val="00FE6089"/>
    <w:rsid w:val="00FE6350"/>
    <w:rsid w:val="00FF1862"/>
    <w:rsid w:val="00FF32C6"/>
    <w:rsid w:val="00FF36A9"/>
    <w:rsid w:val="00FF4312"/>
    <w:rsid w:val="00FF450B"/>
    <w:rsid w:val="00FF4B34"/>
    <w:rsid w:val="00FF5ACF"/>
    <w:rsid w:val="00FF655F"/>
    <w:rsid w:val="00FF6AF5"/>
    <w:rsid w:val="00FF705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21532"/>
  <w15:docId w15:val="{02AB0C8C-91F1-4098-970C-CE4A3A9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1BC"/>
    <w:pPr>
      <w:spacing w:after="160" w:line="259" w:lineRule="auto"/>
    </w:pPr>
    <w:rPr>
      <w:sz w:val="22"/>
      <w:szCs w:val="22"/>
      <w:lang w:eastAsia="en-US"/>
    </w:rPr>
  </w:style>
  <w:style w:type="paragraph" w:styleId="Heading1">
    <w:name w:val="heading 1"/>
    <w:basedOn w:val="Normal"/>
    <w:link w:val="Heading1Char"/>
    <w:uiPriority w:val="9"/>
    <w:qFormat/>
    <w:rsid w:val="00A3735B"/>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1B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651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51BC"/>
    <w:rPr>
      <w:rFonts w:ascii="Tahoma" w:eastAsia="Calibri" w:hAnsi="Tahoma" w:cs="Tahoma"/>
      <w:sz w:val="16"/>
      <w:szCs w:val="16"/>
    </w:rPr>
  </w:style>
  <w:style w:type="paragraph" w:styleId="ListParagraph">
    <w:name w:val="List Paragraph"/>
    <w:basedOn w:val="Normal"/>
    <w:uiPriority w:val="34"/>
    <w:qFormat/>
    <w:rsid w:val="00A651BC"/>
    <w:pPr>
      <w:ind w:left="720"/>
      <w:contextualSpacing/>
    </w:pPr>
  </w:style>
  <w:style w:type="paragraph" w:styleId="Revision">
    <w:name w:val="Revision"/>
    <w:hidden/>
    <w:uiPriority w:val="99"/>
    <w:semiHidden/>
    <w:rsid w:val="00A651BC"/>
    <w:rPr>
      <w:sz w:val="22"/>
      <w:szCs w:val="22"/>
      <w:lang w:eastAsia="en-US"/>
    </w:rPr>
  </w:style>
  <w:style w:type="character" w:customStyle="1" w:styleId="apple-converted-space">
    <w:name w:val="apple-converted-space"/>
    <w:rsid w:val="00A651BC"/>
  </w:style>
  <w:style w:type="character" w:styleId="CommentReference">
    <w:name w:val="annotation reference"/>
    <w:uiPriority w:val="99"/>
    <w:semiHidden/>
    <w:unhideWhenUsed/>
    <w:rsid w:val="00A651BC"/>
    <w:rPr>
      <w:sz w:val="16"/>
      <w:szCs w:val="16"/>
    </w:rPr>
  </w:style>
  <w:style w:type="paragraph" w:styleId="CommentText">
    <w:name w:val="annotation text"/>
    <w:basedOn w:val="Normal"/>
    <w:link w:val="CommentTextChar"/>
    <w:uiPriority w:val="99"/>
    <w:unhideWhenUsed/>
    <w:rsid w:val="00A651BC"/>
    <w:pPr>
      <w:spacing w:line="240" w:lineRule="auto"/>
    </w:pPr>
    <w:rPr>
      <w:sz w:val="20"/>
      <w:szCs w:val="20"/>
    </w:rPr>
  </w:style>
  <w:style w:type="character" w:customStyle="1" w:styleId="CommentTextChar">
    <w:name w:val="Comment Text Char"/>
    <w:link w:val="CommentText"/>
    <w:uiPriority w:val="99"/>
    <w:rsid w:val="00A651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51BC"/>
    <w:rPr>
      <w:b/>
      <w:bCs/>
    </w:rPr>
  </w:style>
  <w:style w:type="character" w:customStyle="1" w:styleId="CommentSubjectChar">
    <w:name w:val="Comment Subject Char"/>
    <w:link w:val="CommentSubject"/>
    <w:uiPriority w:val="99"/>
    <w:semiHidden/>
    <w:rsid w:val="00A651BC"/>
    <w:rPr>
      <w:rFonts w:ascii="Calibri" w:eastAsia="Calibri" w:hAnsi="Calibri" w:cs="Times New Roman"/>
      <w:b/>
      <w:bCs/>
      <w:sz w:val="20"/>
      <w:szCs w:val="20"/>
    </w:rPr>
  </w:style>
  <w:style w:type="character" w:styleId="Hyperlink">
    <w:name w:val="Hyperlink"/>
    <w:unhideWhenUsed/>
    <w:rsid w:val="00A651BC"/>
    <w:rPr>
      <w:color w:val="0000FF"/>
      <w:u w:val="single"/>
    </w:rPr>
  </w:style>
  <w:style w:type="paragraph" w:styleId="Header">
    <w:name w:val="header"/>
    <w:basedOn w:val="Normal"/>
    <w:link w:val="HeaderChar"/>
    <w:uiPriority w:val="99"/>
    <w:unhideWhenUsed/>
    <w:rsid w:val="00A651BC"/>
    <w:pPr>
      <w:tabs>
        <w:tab w:val="center" w:pos="4513"/>
        <w:tab w:val="right" w:pos="9026"/>
      </w:tabs>
      <w:spacing w:after="0" w:line="240" w:lineRule="auto"/>
    </w:pPr>
  </w:style>
  <w:style w:type="character" w:customStyle="1" w:styleId="HeaderChar">
    <w:name w:val="Header Char"/>
    <w:link w:val="Header"/>
    <w:uiPriority w:val="99"/>
    <w:rsid w:val="00A651BC"/>
    <w:rPr>
      <w:rFonts w:ascii="Calibri" w:eastAsia="Calibri" w:hAnsi="Calibri" w:cs="Times New Roman"/>
    </w:rPr>
  </w:style>
  <w:style w:type="paragraph" w:styleId="Footer">
    <w:name w:val="footer"/>
    <w:basedOn w:val="Normal"/>
    <w:link w:val="FooterChar"/>
    <w:uiPriority w:val="99"/>
    <w:unhideWhenUsed/>
    <w:rsid w:val="00A651BC"/>
    <w:pPr>
      <w:tabs>
        <w:tab w:val="center" w:pos="4513"/>
        <w:tab w:val="right" w:pos="9026"/>
      </w:tabs>
      <w:spacing w:after="0" w:line="240" w:lineRule="auto"/>
    </w:pPr>
  </w:style>
  <w:style w:type="character" w:customStyle="1" w:styleId="FooterChar">
    <w:name w:val="Footer Char"/>
    <w:link w:val="Footer"/>
    <w:uiPriority w:val="99"/>
    <w:rsid w:val="00A651BC"/>
    <w:rPr>
      <w:rFonts w:ascii="Calibri" w:eastAsia="Calibri" w:hAnsi="Calibri" w:cs="Times New Roman"/>
    </w:rPr>
  </w:style>
  <w:style w:type="paragraph" w:styleId="FootnoteText">
    <w:name w:val="footnote text"/>
    <w:basedOn w:val="Normal"/>
    <w:link w:val="FootnoteTextChar"/>
    <w:uiPriority w:val="99"/>
    <w:semiHidden/>
    <w:unhideWhenUsed/>
    <w:rsid w:val="00A651BC"/>
    <w:pPr>
      <w:spacing w:after="0" w:line="240" w:lineRule="auto"/>
    </w:pPr>
    <w:rPr>
      <w:sz w:val="20"/>
      <w:szCs w:val="20"/>
    </w:rPr>
  </w:style>
  <w:style w:type="character" w:customStyle="1" w:styleId="FootnoteTextChar">
    <w:name w:val="Footnote Text Char"/>
    <w:link w:val="FootnoteText"/>
    <w:uiPriority w:val="99"/>
    <w:semiHidden/>
    <w:rsid w:val="00A651BC"/>
    <w:rPr>
      <w:rFonts w:ascii="Calibri" w:eastAsia="Calibri" w:hAnsi="Calibri" w:cs="Times New Roman"/>
      <w:sz w:val="20"/>
      <w:szCs w:val="20"/>
    </w:rPr>
  </w:style>
  <w:style w:type="character" w:styleId="FootnoteReference">
    <w:name w:val="footnote reference"/>
    <w:uiPriority w:val="99"/>
    <w:semiHidden/>
    <w:unhideWhenUsed/>
    <w:rsid w:val="00A651BC"/>
    <w:rPr>
      <w:vertAlign w:val="superscript"/>
    </w:rPr>
  </w:style>
  <w:style w:type="table" w:styleId="TableGrid">
    <w:name w:val="Table Grid"/>
    <w:basedOn w:val="TableNormal"/>
    <w:uiPriority w:val="39"/>
    <w:rsid w:val="00A65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51BC"/>
    <w:rPr>
      <w:sz w:val="22"/>
      <w:szCs w:val="22"/>
      <w:lang w:eastAsia="en-US"/>
    </w:rPr>
  </w:style>
  <w:style w:type="paragraph" w:customStyle="1" w:styleId="EndNoteBibliography">
    <w:name w:val="EndNote Bibliography"/>
    <w:basedOn w:val="Normal"/>
    <w:link w:val="EndNoteBibliographyChar"/>
    <w:rsid w:val="00A651BC"/>
    <w:pPr>
      <w:spacing w:after="200" w:line="240" w:lineRule="auto"/>
    </w:pPr>
    <w:rPr>
      <w:noProof/>
      <w:lang w:val="en-US"/>
    </w:rPr>
  </w:style>
  <w:style w:type="character" w:customStyle="1" w:styleId="EndNoteBibliographyChar">
    <w:name w:val="EndNote Bibliography Char"/>
    <w:link w:val="EndNoteBibliography"/>
    <w:rsid w:val="00A651BC"/>
    <w:rPr>
      <w:rFonts w:ascii="Calibri" w:eastAsia="Calibri" w:hAnsi="Calibri" w:cs="Times New Roman"/>
      <w:noProof/>
      <w:lang w:val="en-US"/>
    </w:rPr>
  </w:style>
  <w:style w:type="character" w:customStyle="1" w:styleId="Heading1Char">
    <w:name w:val="Heading 1 Char"/>
    <w:link w:val="Heading1"/>
    <w:uiPriority w:val="9"/>
    <w:rsid w:val="00A3735B"/>
    <w:rPr>
      <w:rFonts w:ascii="Times New Roman" w:eastAsia="Times New Roman" w:hAnsi="Times New Roman"/>
      <w:b/>
      <w:bCs/>
      <w:kern w:val="36"/>
      <w:sz w:val="48"/>
      <w:szCs w:val="48"/>
    </w:rPr>
  </w:style>
  <w:style w:type="character" w:styleId="PlaceholderText">
    <w:name w:val="Placeholder Text"/>
    <w:basedOn w:val="DefaultParagraphFont"/>
    <w:uiPriority w:val="99"/>
    <w:semiHidden/>
    <w:rsid w:val="002D46A2"/>
    <w:rPr>
      <w:color w:val="808080"/>
    </w:rPr>
  </w:style>
  <w:style w:type="paragraph" w:styleId="BodyText">
    <w:name w:val="Body Text"/>
    <w:basedOn w:val="Normal"/>
    <w:link w:val="BodyTextChar"/>
    <w:uiPriority w:val="1"/>
    <w:qFormat/>
    <w:rsid w:val="00E67B8C"/>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67B8C"/>
    <w:rPr>
      <w:rFonts w:ascii="Times New Roman" w:eastAsia="Times New Roman" w:hAnsi="Times New Roman"/>
      <w:sz w:val="24"/>
      <w:szCs w:val="24"/>
      <w:lang w:val="en-US" w:eastAsia="en-US"/>
    </w:rPr>
  </w:style>
  <w:style w:type="paragraph" w:customStyle="1" w:styleId="DecimalAligned">
    <w:name w:val="Decimal Aligned"/>
    <w:basedOn w:val="Normal"/>
    <w:uiPriority w:val="40"/>
    <w:qFormat/>
    <w:rsid w:val="00864400"/>
    <w:pPr>
      <w:tabs>
        <w:tab w:val="decimal" w:pos="360"/>
      </w:tabs>
      <w:spacing w:after="200" w:line="276" w:lineRule="auto"/>
    </w:pPr>
    <w:rPr>
      <w:rFonts w:asciiTheme="minorHAnsi" w:eastAsiaTheme="minorEastAsia" w:hAnsiTheme="minorHAnsi"/>
      <w:lang w:val="en-US"/>
    </w:rPr>
  </w:style>
  <w:style w:type="table" w:styleId="LightShading-Accent1">
    <w:name w:val="Light Shading Accent 1"/>
    <w:basedOn w:val="TableNormal"/>
    <w:uiPriority w:val="60"/>
    <w:rsid w:val="00864400"/>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ertablecelldata">
    <w:name w:val="headertablecelldata"/>
    <w:rsid w:val="00A02077"/>
  </w:style>
  <w:style w:type="character" w:customStyle="1" w:styleId="st">
    <w:name w:val="st"/>
    <w:basedOn w:val="DefaultParagraphFont"/>
    <w:rsid w:val="0028099D"/>
  </w:style>
  <w:style w:type="character" w:styleId="Emphasis">
    <w:name w:val="Emphasis"/>
    <w:basedOn w:val="DefaultParagraphFont"/>
    <w:uiPriority w:val="20"/>
    <w:qFormat/>
    <w:rsid w:val="0028099D"/>
    <w:rPr>
      <w:i/>
      <w:iCs/>
    </w:rPr>
  </w:style>
  <w:style w:type="character" w:customStyle="1" w:styleId="UnresolvedMention1">
    <w:name w:val="Unresolved Mention1"/>
    <w:basedOn w:val="DefaultParagraphFont"/>
    <w:uiPriority w:val="99"/>
    <w:semiHidden/>
    <w:unhideWhenUsed/>
    <w:rsid w:val="00927DC7"/>
    <w:rPr>
      <w:color w:val="808080"/>
      <w:shd w:val="clear" w:color="auto" w:fill="E6E6E6"/>
    </w:rPr>
  </w:style>
  <w:style w:type="character" w:styleId="FollowedHyperlink">
    <w:name w:val="FollowedHyperlink"/>
    <w:basedOn w:val="DefaultParagraphFont"/>
    <w:uiPriority w:val="99"/>
    <w:semiHidden/>
    <w:unhideWhenUsed/>
    <w:rsid w:val="00894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8337">
      <w:bodyDiv w:val="1"/>
      <w:marLeft w:val="0"/>
      <w:marRight w:val="0"/>
      <w:marTop w:val="0"/>
      <w:marBottom w:val="0"/>
      <w:divBdr>
        <w:top w:val="none" w:sz="0" w:space="0" w:color="auto"/>
        <w:left w:val="none" w:sz="0" w:space="0" w:color="auto"/>
        <w:bottom w:val="none" w:sz="0" w:space="0" w:color="auto"/>
        <w:right w:val="none" w:sz="0" w:space="0" w:color="auto"/>
      </w:divBdr>
    </w:div>
    <w:div w:id="518815262">
      <w:bodyDiv w:val="1"/>
      <w:marLeft w:val="0"/>
      <w:marRight w:val="0"/>
      <w:marTop w:val="0"/>
      <w:marBottom w:val="0"/>
      <w:divBdr>
        <w:top w:val="none" w:sz="0" w:space="0" w:color="auto"/>
        <w:left w:val="none" w:sz="0" w:space="0" w:color="auto"/>
        <w:bottom w:val="none" w:sz="0" w:space="0" w:color="auto"/>
        <w:right w:val="none" w:sz="0" w:space="0" w:color="auto"/>
      </w:divBdr>
      <w:divsChild>
        <w:div w:id="76875280">
          <w:marLeft w:val="0"/>
          <w:marRight w:val="0"/>
          <w:marTop w:val="0"/>
          <w:marBottom w:val="0"/>
          <w:divBdr>
            <w:top w:val="none" w:sz="0" w:space="0" w:color="auto"/>
            <w:left w:val="none" w:sz="0" w:space="0" w:color="auto"/>
            <w:bottom w:val="none" w:sz="0" w:space="0" w:color="auto"/>
            <w:right w:val="none" w:sz="0" w:space="0" w:color="auto"/>
          </w:divBdr>
          <w:divsChild>
            <w:div w:id="1652098629">
              <w:marLeft w:val="0"/>
              <w:marRight w:val="0"/>
              <w:marTop w:val="0"/>
              <w:marBottom w:val="0"/>
              <w:divBdr>
                <w:top w:val="none" w:sz="0" w:space="0" w:color="auto"/>
                <w:left w:val="none" w:sz="0" w:space="0" w:color="auto"/>
                <w:bottom w:val="none" w:sz="0" w:space="0" w:color="auto"/>
                <w:right w:val="none" w:sz="0" w:space="0" w:color="auto"/>
              </w:divBdr>
              <w:divsChild>
                <w:div w:id="1214848959">
                  <w:marLeft w:val="0"/>
                  <w:marRight w:val="0"/>
                  <w:marTop w:val="0"/>
                  <w:marBottom w:val="0"/>
                  <w:divBdr>
                    <w:top w:val="none" w:sz="0" w:space="0" w:color="auto"/>
                    <w:left w:val="none" w:sz="0" w:space="0" w:color="auto"/>
                    <w:bottom w:val="none" w:sz="0" w:space="0" w:color="auto"/>
                    <w:right w:val="none" w:sz="0" w:space="0" w:color="auto"/>
                  </w:divBdr>
                  <w:divsChild>
                    <w:div w:id="1941838918">
                      <w:marLeft w:val="0"/>
                      <w:marRight w:val="0"/>
                      <w:marTop w:val="0"/>
                      <w:marBottom w:val="0"/>
                      <w:divBdr>
                        <w:top w:val="none" w:sz="0" w:space="0" w:color="auto"/>
                        <w:left w:val="none" w:sz="0" w:space="0" w:color="auto"/>
                        <w:bottom w:val="none" w:sz="0" w:space="0" w:color="auto"/>
                        <w:right w:val="none" w:sz="0" w:space="0" w:color="auto"/>
                      </w:divBdr>
                      <w:divsChild>
                        <w:div w:id="1380739876">
                          <w:marLeft w:val="0"/>
                          <w:marRight w:val="0"/>
                          <w:marTop w:val="0"/>
                          <w:marBottom w:val="0"/>
                          <w:divBdr>
                            <w:top w:val="none" w:sz="0" w:space="0" w:color="auto"/>
                            <w:left w:val="none" w:sz="0" w:space="0" w:color="auto"/>
                            <w:bottom w:val="none" w:sz="0" w:space="0" w:color="auto"/>
                            <w:right w:val="none" w:sz="0" w:space="0" w:color="auto"/>
                          </w:divBdr>
                          <w:divsChild>
                            <w:div w:id="17292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3521">
      <w:bodyDiv w:val="1"/>
      <w:marLeft w:val="0"/>
      <w:marRight w:val="0"/>
      <w:marTop w:val="0"/>
      <w:marBottom w:val="0"/>
      <w:divBdr>
        <w:top w:val="none" w:sz="0" w:space="0" w:color="auto"/>
        <w:left w:val="none" w:sz="0" w:space="0" w:color="auto"/>
        <w:bottom w:val="none" w:sz="0" w:space="0" w:color="auto"/>
        <w:right w:val="none" w:sz="0" w:space="0" w:color="auto"/>
      </w:divBdr>
    </w:div>
    <w:div w:id="1151409685">
      <w:bodyDiv w:val="1"/>
      <w:marLeft w:val="0"/>
      <w:marRight w:val="0"/>
      <w:marTop w:val="0"/>
      <w:marBottom w:val="0"/>
      <w:divBdr>
        <w:top w:val="none" w:sz="0" w:space="0" w:color="auto"/>
        <w:left w:val="none" w:sz="0" w:space="0" w:color="auto"/>
        <w:bottom w:val="none" w:sz="0" w:space="0" w:color="auto"/>
        <w:right w:val="none" w:sz="0" w:space="0" w:color="auto"/>
      </w:divBdr>
    </w:div>
    <w:div w:id="16404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hyperlink" Target="https://ssrn.com/abstract=2798531"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hyperlink" Target="https://ssrn.com/abstract=2609271"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8.wmf"/><Relationship Id="rId69" Type="http://schemas.openxmlformats.org/officeDocument/2006/relationships/hyperlink" Target="https://dx.doi.org/10.2139/ssrn.2798531" TargetMode="External"/><Relationship Id="rId8" Type="http://schemas.openxmlformats.org/officeDocument/2006/relationships/hyperlink" Target="mailto:samuel.fosu@dmu.ac.uk" TargetMode="External"/><Relationship Id="rId51" Type="http://schemas.openxmlformats.org/officeDocument/2006/relationships/image" Target="media/image22.wmf"/><Relationship Id="rId72" Type="http://schemas.openxmlformats.org/officeDocument/2006/relationships/image" Target="media/image29.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hyperlink" Target="https://dx.doi.org/10.2139/ssrn.2609271" TargetMode="Externa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27.wmf"/><Relationship Id="rId70" Type="http://schemas.openxmlformats.org/officeDocument/2006/relationships/hyperlink" Target="http://www.doingbusines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 Type="http://schemas.openxmlformats.org/officeDocument/2006/relationships/endnotes" Target="end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ingbusiness.org/" TargetMode="External"/><Relationship Id="rId2" Type="http://schemas.openxmlformats.org/officeDocument/2006/relationships/hyperlink" Target="https://www.un.org/development/desa/dpad/wp-content/uploads/sites/45/publication/WESP2018_Full_Web-1.pdf" TargetMode="External"/><Relationship Id="rId1" Type="http://schemas.openxmlformats.org/officeDocument/2006/relationships/hyperlink" Target="http://www.un.org/en/development/desa/policy/wesp/wesp_current/2014wesp_country_class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2736-D1F6-4914-8FE7-4481F8D3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17960</Words>
  <Characters>102374</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 Danso</dc:creator>
  <cp:lastModifiedBy>Ntim C.G.</cp:lastModifiedBy>
  <cp:revision>4</cp:revision>
  <cp:lastPrinted>2017-01-12T15:33:00Z</cp:lastPrinted>
  <dcterms:created xsi:type="dcterms:W3CDTF">2019-08-03T07:13:00Z</dcterms:created>
  <dcterms:modified xsi:type="dcterms:W3CDTF">2019-08-03T07:19:00Z</dcterms:modified>
</cp:coreProperties>
</file>